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B00" w:rsidRDefault="00876CB2">
      <w:pPr>
        <w:spacing w:before="240" w:after="240" w:line="360" w:lineRule="auto"/>
        <w:jc w:val="both"/>
        <w:rPr>
          <w:rFonts w:ascii="Palatino Linotype" w:eastAsia="Palatino Linotype" w:hAnsi="Palatino Linotype" w:cs="Palatino Linotype"/>
        </w:rPr>
      </w:pPr>
      <w:bookmarkStart w:id="0" w:name="_heading=h.1fob9te"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uno de junio de dos mil veintidós. </w:t>
      </w:r>
    </w:p>
    <w:p w:rsidR="00FD3B00" w:rsidRDefault="00876CB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01939/INFOEM/IP/RR/2022</w:t>
      </w:r>
      <w:r>
        <w:rPr>
          <w:rFonts w:ascii="Palatino Linotype" w:eastAsia="Palatino Linotype" w:hAnsi="Palatino Linotype" w:cs="Palatino Linotype"/>
        </w:rPr>
        <w:t xml:space="preserve">, interpuesto por </w:t>
      </w:r>
      <w:r w:rsidR="00213CC8" w:rsidRPr="00213CC8">
        <w:rPr>
          <w:rFonts w:ascii="Palatino Linotype" w:eastAsia="Palatino Linotype" w:hAnsi="Palatino Linotype" w:cs="Palatino Linotype"/>
          <w:b/>
        </w:rPr>
        <w:t>XXXXXX XXXX XXXXXXX</w:t>
      </w:r>
      <w:bookmarkStart w:id="1" w:name="_GoBack"/>
      <w:bookmarkEnd w:id="1"/>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Zacualpan,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FD3B00" w:rsidRDefault="00876CB2">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tres de febrero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00037/ZACUALPA/IP/2022, </w:t>
      </w:r>
      <w:r>
        <w:rPr>
          <w:rFonts w:ascii="Palatino Linotype" w:eastAsia="Palatino Linotype" w:hAnsi="Palatino Linotype" w:cs="Palatino Linotype"/>
        </w:rPr>
        <w:t xml:space="preserve">mediante la cual requirió la información siguiente: </w:t>
      </w:r>
    </w:p>
    <w:p w:rsidR="00FD3B00" w:rsidRDefault="00876CB2">
      <w:pPr>
        <w:spacing w:before="240" w:after="240"/>
        <w:ind w:left="851" w:right="902"/>
        <w:jc w:val="both"/>
        <w:rPr>
          <w:rFonts w:ascii="Palatino Linotype" w:eastAsia="Palatino Linotype" w:hAnsi="Palatino Linotype" w:cs="Palatino Linotype"/>
          <w:b/>
          <w:i/>
          <w:sz w:val="22"/>
          <w:szCs w:val="22"/>
        </w:rPr>
      </w:pPr>
      <w:bookmarkStart w:id="2" w:name="_heading=h.gjdgxs" w:colFirst="0" w:colLast="0"/>
      <w:bookmarkEnd w:id="2"/>
      <w:r>
        <w:rPr>
          <w:rFonts w:ascii="Palatino Linotype" w:eastAsia="Palatino Linotype" w:hAnsi="Palatino Linotype" w:cs="Palatino Linotype"/>
          <w:i/>
          <w:sz w:val="22"/>
          <w:szCs w:val="22"/>
        </w:rPr>
        <w:t>“SOLICITO INFORMACIÓN ARCHIVISTICA MUNICIPAL, MISMA QUE SE DETALLA EN EL ARCHIVO ADJUNTO, CON RESPUESTA EN MI CORREO ELECTRÓNICO EN COPIAS SIMPLES.” (sic)</w:t>
      </w:r>
    </w:p>
    <w:p w:rsidR="00FD3B00" w:rsidRDefault="00876CB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La parte </w:t>
      </w:r>
      <w:r>
        <w:rPr>
          <w:rFonts w:ascii="Palatino Linotype" w:eastAsia="Palatino Linotype" w:hAnsi="Palatino Linotype" w:cs="Palatino Linotype"/>
          <w:b/>
        </w:rPr>
        <w:t xml:space="preserve">Solicitante </w:t>
      </w:r>
      <w:r>
        <w:rPr>
          <w:rFonts w:ascii="Palatino Linotype" w:eastAsia="Palatino Linotype" w:hAnsi="Palatino Linotype" w:cs="Palatino Linotype"/>
        </w:rPr>
        <w:t>adjuntó a su formato de solicitud de información, el archivo denominado “</w:t>
      </w:r>
      <w:r>
        <w:rPr>
          <w:rFonts w:ascii="Palatino Linotype" w:eastAsia="Palatino Linotype" w:hAnsi="Palatino Linotype" w:cs="Palatino Linotype"/>
          <w:i/>
        </w:rPr>
        <w:t>SOL.INF.ARCH..pdf</w:t>
      </w:r>
      <w:r>
        <w:rPr>
          <w:rFonts w:ascii="Palatino Linotype" w:eastAsia="Palatino Linotype" w:hAnsi="Palatino Linotype" w:cs="Palatino Linotype"/>
        </w:rPr>
        <w:t>”, que contiene un documento constante de diecisiete fojas, a través del cual detalla la información que se solicita, medularmente en los siguientes ejes temáticos:</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 </w:t>
      </w:r>
    </w:p>
    <w:p w:rsidR="00FD3B00" w:rsidRDefault="00876CB2">
      <w:pPr>
        <w:spacing w:before="120" w:after="120"/>
        <w:ind w:left="426" w:right="47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ÓRGANOS ARCHIVÍSTICOS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ÁREA COORDINADORA DE ARCHIVOS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SISTEMA INSTITUCIONAL DE ARCHIVOS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GRUPO INTERDISCIPLINARIO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 SISTEMA DE ADMINISTRACIÓN DE ARCHIVOS Y GESTIÓN DOCUMENTAL</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COMITÉ DE TRANSPARENCIA </w:t>
      </w:r>
    </w:p>
    <w:p w:rsidR="00FD3B00" w:rsidRDefault="00876CB2">
      <w:pPr>
        <w:spacing w:before="120" w:after="120"/>
        <w:ind w:left="426" w:right="47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INSTRUMENTOS DE CONTROL Y CONSULTA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 CUADRO GENERAL DE CLASIFICACIÓN ARCHIVÍSTICA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7. CATÁLOGO DE DISPOSICIÓN DOCUMENTAL</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INVENTARIOS DE ARCHIVO DE TRÁMITE, CONCENTRACIÓN E HISTÓRICO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 GUÍA DE ARCHIVO DOCUMENTAL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ÍNDICE DE EXPEDIENTES CLASIFICADOS COMO RESERVADOS </w:t>
      </w:r>
    </w:p>
    <w:p w:rsidR="00FD3B00" w:rsidRDefault="00876CB2">
      <w:pPr>
        <w:spacing w:before="120" w:after="120"/>
        <w:ind w:left="426" w:right="47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TIPOS DE ARCHIVOS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 ARCHIVOS DE TRÁMITE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12. ARCHIVO DE CONCENTRACIÓN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13. ARCHIVO HISTÓRICO </w:t>
      </w:r>
    </w:p>
    <w:p w:rsidR="00FD3B00" w:rsidRDefault="00876CB2">
      <w:pPr>
        <w:spacing w:before="120" w:after="120"/>
        <w:ind w:left="426" w:right="47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ACTIVIDADES ARCHIVÍSTICAS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14. PROGRAMA ANUAL DE DESARROLLO ARCHIVÍSTICO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15. PROGRAMA DE PRESERVACIÓN DIGITAL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16. PROGRAMA DE SEGURIDAD DE LA INFORMACIÓN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17. ARCHIVACIÓN</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18. TRANSFERENCIA PRIMARIA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19. TRANSFERENCIA SECUNDARIA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20. DIGITALIZACIÓN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21. DOCUMENTOS ELECTRÓNICOS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22. SELECCIÓN FINAL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23. ADMINISTRACIÓN DE ARCHIVOS DE TRÁMITE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24. CAPACITACIÓN ARCHIVÍSTICA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25. PRÉSTAMO DE DOCUMENTOS</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26. DIFUSIÓN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27. SEGURIDAD EN LOS ARCHIVOS </w:t>
      </w:r>
    </w:p>
    <w:p w:rsidR="00FD3B00" w:rsidRDefault="00876CB2">
      <w:pPr>
        <w:spacing w:before="120" w:after="120"/>
        <w:ind w:left="426" w:right="47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REGISTROS ARCHIVÍSTICOS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28. REGISTRO NACIONAL DE ARCHIVOS</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29. REGISTRO ESTATAL DE ARCHIVOS </w:t>
      </w:r>
    </w:p>
    <w:p w:rsidR="00FD3B00" w:rsidRDefault="00876CB2">
      <w:pPr>
        <w:spacing w:before="120" w:after="120"/>
        <w:ind w:left="426" w:right="47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CONTROL DE ARCHIVOS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30. ENTREGA-RECEPCIÓN DE ARCHIVOS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31. CONTRALORÍA </w:t>
      </w:r>
    </w:p>
    <w:p w:rsidR="00FD3B00" w:rsidRDefault="00876CB2">
      <w:pPr>
        <w:spacing w:before="120" w:after="120"/>
        <w:ind w:left="426"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32. FUENTE”</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rsidR="00FD3B00" w:rsidRDefault="00876CB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veintidós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FD3B00" w:rsidRDefault="00876CB2">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“…Envío información solicitada...” (sic)</w:t>
      </w:r>
    </w:p>
    <w:p w:rsidR="00FD3B00" w:rsidRDefault="00876CB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el archivo: </w:t>
      </w:r>
      <w:r>
        <w:rPr>
          <w:rFonts w:ascii="Palatino Linotype" w:eastAsia="Palatino Linotype" w:hAnsi="Palatino Linotype" w:cs="Palatino Linotype"/>
          <w:i/>
        </w:rPr>
        <w:t xml:space="preserve">“Untitled_02222022_023721.pdf”, </w:t>
      </w:r>
      <w:r>
        <w:rPr>
          <w:rFonts w:ascii="Palatino Linotype" w:eastAsia="Palatino Linotype" w:hAnsi="Palatino Linotype" w:cs="Palatino Linotype"/>
        </w:rPr>
        <w:t xml:space="preserve">por duplicado, que contiene el nombramiento de la Titular del Área Coordinadora de </w:t>
      </w:r>
      <w:r>
        <w:rPr>
          <w:rFonts w:ascii="Palatino Linotype" w:eastAsia="Palatino Linotype" w:hAnsi="Palatino Linotype" w:cs="Palatino Linotype"/>
        </w:rPr>
        <w:lastRenderedPageBreak/>
        <w:t>Archivos, así como el  cuestionario contestado, que fuera presentado por la particular.</w:t>
      </w:r>
    </w:p>
    <w:p w:rsidR="00FD3B00" w:rsidRDefault="00876CB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veinticinco de febrero de dos mil veintidós,</w:t>
      </w:r>
      <w:r>
        <w:rPr>
          <w:rFonts w:ascii="Palatino Linotype" w:eastAsia="Palatino Linotype" w:hAnsi="Palatino Linotype" w:cs="Palatino Linotype"/>
        </w:rPr>
        <w:t xml:space="preserve"> la parte recurrente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FD3B00" w:rsidRDefault="00876CB2">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rsidR="00FD3B00" w:rsidRDefault="00876CB2">
      <w:pPr>
        <w:tabs>
          <w:tab w:val="left" w:pos="2745"/>
        </w:tabs>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LOS ARTÍCULOS 142 Y 143 FRACCIONES IV DE LA LEY GENERAL DE TRANSPARENCIA Y ACCESO A LA INFORMACIÓN PÚBLICA; ARTÍCULOS 178 Y 179 FRACCIONES V DE LA LEY DE TRANSPARENCIA Y ACCESO A LA INFORMACIÓN PÚBLICA DEL ESTADO DE MÉXICO Y MUNICIPIOS ASÍ COMO EL ARTÍCULO 121 FRACCIÓN I DE LA LEY GENERAL DE ARCHIVOS, ME PERMITO INTERPONER RECURSO DE REVISIÓN POR ENTREGA DE INFORMACIÓN INCOMPLETA, DE ACUERDO A LO SIGUIENTE.” (sic)</w:t>
      </w:r>
    </w:p>
    <w:p w:rsidR="00FD3B00" w:rsidRDefault="00876C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rsidR="00FD3B00" w:rsidRDefault="00876CB2">
      <w:pPr>
        <w:ind w:left="851" w:right="902"/>
        <w:jc w:val="both"/>
        <w:rPr>
          <w:rFonts w:ascii="Palatino Linotype" w:eastAsia="Palatino Linotype" w:hAnsi="Palatino Linotype" w:cs="Palatino Linotype"/>
          <w:i/>
          <w:sz w:val="22"/>
          <w:szCs w:val="22"/>
        </w:rPr>
      </w:pPr>
      <w:bookmarkStart w:id="3" w:name="_heading=h.30j0zll" w:colFirst="0" w:colLast="0"/>
      <w:bookmarkEnd w:id="3"/>
      <w:r>
        <w:rPr>
          <w:rFonts w:ascii="Palatino Linotype" w:eastAsia="Palatino Linotype" w:hAnsi="Palatino Linotype" w:cs="Palatino Linotype"/>
          <w:i/>
          <w:sz w:val="22"/>
          <w:szCs w:val="22"/>
        </w:rPr>
        <w:t xml:space="preserve"> “POR ENTREGA DE INFORMACIÓN INCOMPLETA. (CONTIENE ARCHIVO ADJUNTO).” (sic)</w:t>
      </w:r>
    </w:p>
    <w:p w:rsidR="00FD3B00" w:rsidRDefault="00876CB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Anexos: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adjuntó el archivo “</w:t>
      </w:r>
      <w:r>
        <w:rPr>
          <w:rFonts w:ascii="Palatino Linotype" w:eastAsia="Palatino Linotype" w:hAnsi="Palatino Linotype" w:cs="Palatino Linotype"/>
          <w:i/>
        </w:rPr>
        <w:t>ZACUALPAN_RR.pdf</w:t>
      </w:r>
      <w:r>
        <w:rPr>
          <w:rFonts w:ascii="Palatino Linotype" w:eastAsia="Palatino Linotype" w:hAnsi="Palatino Linotype" w:cs="Palatino Linotype"/>
        </w:rPr>
        <w:t>”, cuyo contenido consiste en un documento suscrito por la particular, constante de  una  foja, en la que detalla sus motivos de inconformidad, mismos que serán analizados en líneas posteriores.</w:t>
      </w:r>
    </w:p>
    <w:p w:rsidR="00FD3B00" w:rsidRDefault="00876CB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Pr>
          <w:rFonts w:ascii="Palatino Linotype" w:eastAsia="Palatino Linotype" w:hAnsi="Palatino Linotype" w:cs="Palatino Linotype"/>
        </w:rPr>
        <w:lastRenderedPageBreak/>
        <w:t xml:space="preserve">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tres de marzo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FD3B00" w:rsidRDefault="00876CB2">
      <w:pPr>
        <w:spacing w:after="240" w:line="360" w:lineRule="auto"/>
        <w:jc w:val="both"/>
        <w:rPr>
          <w:rFonts w:ascii="Palatino Linotype" w:eastAsia="Palatino Linotype" w:hAnsi="Palatino Linotype" w:cs="Palatino Linotype"/>
        </w:rPr>
      </w:pPr>
      <w:bookmarkStart w:id="4" w:name="_heading=h.2s8eyo1" w:colFirst="0" w:colLast="0"/>
      <w:bookmarkEnd w:id="4"/>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catorce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a través de SAIMEX, su informe justificado, señalando que, con fundamento en los artículos 12 de la Ley de Transparencia y Acceso a la Información Pública del Estado de México y Municipios, y 6 de la Constitución Política de los Estados Unidos Mexicanos, otorga la información que obra en su poder, remitiendo la contestación de los puntos del cuestionario combatidos por la particular.     Asimismo, remitió el Acta de la Segunda Sesión Extraordinaria, mediante la cual, el Comité de Transparencia  confirma la declaratoria de inexistencia de la información que no fue encontrada en los archivos del Sujeto Obligado, al señalar que se trata de manifestaciones subjetivas vertidas por el particular, interrogantes y declaraciones que no se colman con la entrega de documentos, cuya situación conlleva a afirmar que se está en presencia del derecho de petición. </w:t>
      </w:r>
    </w:p>
    <w:p w:rsidR="00FD3B00" w:rsidRDefault="00876CB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una vez analizados, se hicieron del conocimiento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a efecto de que manifestara lo que a su derecho estimara conveniente, </w:t>
      </w:r>
      <w:r>
        <w:rPr>
          <w:rFonts w:ascii="Palatino Linotype" w:eastAsia="Palatino Linotype" w:hAnsi="Palatino Linotype" w:cs="Palatino Linotype"/>
        </w:rPr>
        <w:lastRenderedPageBreak/>
        <w:t>sin embargo, fue omisa en ejercer dicha prerrogativa en el plazo establecido para tal efecto.</w:t>
      </w:r>
    </w:p>
    <w:p w:rsidR="00FD3B00" w:rsidRDefault="00876CB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término para resolver</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veintidós de abril de dos mil veintidós</w:t>
      </w:r>
      <w:r>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rsidR="00FD3B00" w:rsidRDefault="00876CB2">
      <w:pPr>
        <w:tabs>
          <w:tab w:val="left" w:pos="5103"/>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trece de mayo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FD3B00" w:rsidRDefault="00876CB2">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FD3B00" w:rsidRDefault="00876C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w:t>
      </w:r>
      <w:r>
        <w:rPr>
          <w:rFonts w:ascii="Palatino Linotype" w:eastAsia="Palatino Linotype" w:hAnsi="Palatino Linotype" w:cs="Palatino Linotype"/>
        </w:rPr>
        <w:lastRenderedPageBreak/>
        <w:t>Pública del Estado de México y Municipios; 9, fracciones I y XXIV y 11 del Reglamento Interior del Instituto de Transparencia, Acceso a la Información Pública y Protección de Datos Personales del Estado de México y Municipios.</w:t>
      </w:r>
    </w:p>
    <w:p w:rsidR="00FD3B00" w:rsidRDefault="00876CB2">
      <w:pPr>
        <w:spacing w:before="240" w:after="240" w:line="360" w:lineRule="auto"/>
        <w:jc w:val="both"/>
        <w:rPr>
          <w:rFonts w:ascii="Palatino Linotype" w:eastAsia="Palatino Linotype" w:hAnsi="Palatino Linotype" w:cs="Palatino Linotype"/>
        </w:rPr>
      </w:pPr>
      <w:bookmarkStart w:id="5" w:name="_heading=h.tyjcwt" w:colFirst="0" w:colLast="0"/>
      <w:bookmarkEnd w:id="5"/>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Pr>
          <w:rFonts w:ascii="Palatino Linotype" w:eastAsia="Palatino Linotype" w:hAnsi="Palatino Linotype" w:cs="Palatino Linotype"/>
          <w:b/>
        </w:rPr>
        <w:t xml:space="preserve">veintidós de febrero de dos mil veintidós, </w:t>
      </w:r>
      <w:r>
        <w:rPr>
          <w:rFonts w:ascii="Palatino Linotype" w:eastAsia="Palatino Linotype" w:hAnsi="Palatino Linotype" w:cs="Palatino Linotype"/>
        </w:rPr>
        <w:t xml:space="preserve">mientras que el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veinticinco de febrero de dos mil veintidós</w:t>
      </w:r>
      <w:r>
        <w:rPr>
          <w:rFonts w:ascii="Palatino Linotype" w:eastAsia="Palatino Linotype" w:hAnsi="Palatino Linotype" w:cs="Palatino Linotype"/>
        </w:rPr>
        <w:t>, esto es, al tercer día hábil en que tuvo conocimiento de la respuesta impugnada.</w:t>
      </w:r>
    </w:p>
    <w:p w:rsidR="00FD3B00" w:rsidRDefault="00876CB2">
      <w:pPr>
        <w:spacing w:before="240" w:after="240" w:line="360" w:lineRule="auto"/>
        <w:jc w:val="both"/>
        <w:rPr>
          <w:rFonts w:ascii="Palatino Linotype" w:eastAsia="Palatino Linotype" w:hAnsi="Palatino Linotype" w:cs="Palatino Linotype"/>
        </w:rPr>
      </w:pPr>
      <w:bookmarkStart w:id="6" w:name="_heading=h.3znysh7" w:colFirst="0" w:colLast="0"/>
      <w:bookmarkEnd w:id="6"/>
      <w:r>
        <w:rPr>
          <w:rFonts w:ascii="Palatino Linotype" w:eastAsia="Palatino Linotype" w:hAnsi="Palatino Linotype" w:cs="Palatino Linotype"/>
        </w:rPr>
        <w:t xml:space="preserve">En este sentido, al considerar la fecha en que se formuló la solicitud y la fecha en que respondió a ésta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Pr>
          <w:rFonts w:ascii="Palatino Linotype" w:eastAsia="Palatino Linotype" w:hAnsi="Palatino Linotype" w:cs="Palatino Linotype"/>
        </w:rPr>
        <w:lastRenderedPageBreak/>
        <w:t>Municipios, en atención a que fue presentado mediante el formato visible en el SAIMEX.</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V del ordenamiento legal citado, que a la letra dice: </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FD3B00" w:rsidRDefault="00876CB2">
      <w:pPr>
        <w:spacing w:before="120" w:after="120"/>
        <w:ind w:left="993"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FD3B00" w:rsidRDefault="00876CB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La entrega de información incompleta;”</w:t>
      </w:r>
    </w:p>
    <w:p w:rsidR="00FD3B00" w:rsidRDefault="00876CB2">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rsidR="00FD3B00" w:rsidRDefault="00876CB2">
      <w:pPr>
        <w:spacing w:before="240" w:after="240" w:line="360" w:lineRule="auto"/>
        <w:ind w:right="51"/>
        <w:jc w:val="both"/>
      </w:pPr>
      <w:bookmarkStart w:id="7" w:name="_heading=h.2et92p0" w:colFirst="0" w:colLast="0"/>
      <w:bookmarkEnd w:id="7"/>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Del análisis de la solicitud de información, motivo del recurso de revisión que ahora se resuelve se advierte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le proporcione, información consistente en lo siguiente</w:t>
      </w:r>
      <w:r>
        <w:t>:</w:t>
      </w:r>
    </w:p>
    <w:p w:rsidR="00FD3B00" w:rsidRDefault="00876CB2">
      <w:pPr>
        <w:tabs>
          <w:tab w:val="left" w:pos="8503"/>
        </w:tabs>
        <w:spacing w:before="120" w:after="120"/>
        <w:ind w:left="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w:t>
      </w:r>
      <w:r>
        <w:rPr>
          <w:rFonts w:ascii="Palatino Linotype" w:eastAsia="Palatino Linotype" w:hAnsi="Palatino Linotype" w:cs="Palatino Linotype"/>
          <w:sz w:val="20"/>
          <w:szCs w:val="20"/>
        </w:rPr>
        <w:lastRenderedPageBreak/>
        <w:t xml:space="preserve">ARTÍCULO SEGUNDO DE LOS LINEAMIENTOS PARA LA ORGANIZACIÓN Y CONSERVACIÓN DE LOS ARCHIVOS ME PERMITO SOLICITAR, DE LA MANERA MÁS ATENTA LA SIGUIENTE INFORMACIÓN EN MI CORREO ELECTRÓNICO. </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 xml:space="preserve">ÓRGANOS ARCHIVÍSTICOS </w:t>
      </w: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 ÁREA COORDINADORA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 ¿CUENTAN ACTUALMENTE CON ÁREA COORDINADORA DE ARCHIVOS O SIMILAR TAL COMO LO ESTABLECEN LOS ARTÍCULOS 27 Y 28 DE LA LEY GENERAL DE ARCHIVOS Y EL ARTÍCULO NOVENO FRACCIÓN I INCISO a) DE LOS LINEAMIENTOS PARA LA ORGANIZACIÓN Y CONSERVACIÓN DE LOS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 ¿A PARTIR DE QUE AÑO CUENTAN CON ÁREA COORDINADORA DE ARCHIVOS O SIMILAR?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1.3 ¿QUIEN ES EL TITULAR DEL ÁREA COORDINADORA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1.4 ¿QUE NIVEL JERÁRQUICO TIENE EL TITULAR DEL ÁREA COORDINADORA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1.5 EL NOMBRAMIENTO DEL TITULAR DEL ÁREA COORDINADORA DE ARCHIVOS O EQUIVALENTE EN LA ESTRUCTURA JERÁRQUICA. </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2. SISTEMA INSTITUCIONAL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 ¿A PARTIR DE QUE AÑO CUENTAN CON SISTEMA INSTITUCIONAL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2.3 ¿QUIENES SON LOS INTEGRANTES DEL SISTEMA INSTITUCIONAL DE ARCHIVOS?</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 LAS ACTAS DE INSTALACIÓN DEL SISTEMA INSTITUCIONAL DE ARCHIVOS DE LOS AÑOS 2019, 2020 Y 2021.</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 xml:space="preserve">3. GRUPO INTERDISCIPLINARIO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3.1 ¿CUENTAN ACTUALMENTE CON GRUPO INTERDISCIPLINARIO COMO LO ESTABLECEN LOS ARTÍCULOS 50, 52, DE LA LEY GENERAL DE ARCHIVOS Y LOS ARTÍCULOS SEXTO FRACCIÓN IV Y SÉPTIMO TRANSITORIO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3.2 ¿A PARTIR DE QUE AÑO CUENTAN CON GRUPO INTERDISCIPLINARIO?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3.3 ¿QUIENES SON LOS INTEGRANTES DEL GRUPO INTERDISCIPLINARIO?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3.4 LAS ACTAS DE INSTALACIÓN DEL GRUPO INTERDISCIPLINARIO DE LOS AÑOS 2019, 2020 Y 2021. </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4. SISTEMA DE ADMINISTRACIÓN DE ARCHIVOS Y GESTIÓN DOCUMENTAL</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4.1 ¿CUENTAN ACTUALMENTE CON SISTEMA DE ADMINISTRACIÓN DE ARCHIVOS Y GESTIÓN DOCUMENTAL COMO LO ESTABLECE EL TRANSITORIO TERCERO Y ANEXO 1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4.2 ¿DESDE QUE AÑO CUENTAN CON SISTEMA DE ADMINISTRACIÓN DE ARCHIVOS Y GESTIÓN DOCUMENTAL?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4.3 ¿QUE ES LO QUE ATIENDE EL SISTEMA DE ADMINISTRACIÓN DE ARCHIVOS Y GESTIÓN DOCUMENTAL?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4.4 EL PERFIL DE METADATOS MÍNIMOS DEL SISTEMA DE ADMINISTRACIÓN DE ARCHIVOS Y GESTIÓN DOCUMENTAL INHERENTES AL SISTEMA Y AL DOCUMENTO DE ARCHIVO. </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5. COMITÉ DE TRANSPARENCIA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5.1 ¿CUENTAN ACTUALMENTE CON COMITÉ DE TRANSPARENCIA COMO LO ESTABLECE EL ARTÍCULO NOVENO FRACCIÓN I INCISO b)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5.2 ¿QUIENES INTEGRAN EL COMITÉ DE TRANSPARENCIA?</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5.3 ¿QUE POLÍTICAS, MANUALES E INSTRUMENTOS DE CONTROL ARCHIVÍSTICO A APROBADO EL COMITÉ DE TRANSPARENCIA EN LOS AÑOS 2019, 2020 Y 2021 COMO LO ESTABLECE EL ARTÍCULO DÉCIMO FRACCIÓN II INCISOS a) Y e) DE LOS LINEAMIENTOS PARA LA ORGANIZACIÓN Y CONSERVACIÓN DE ARCHIVOS?</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5.4 LAS ACTAS DEL COMITÉ DE TRANSPARENCIA DE LOS AÑOS 2019, 2020 Y 2021 DONDE SE APROBÓ CUALQUIER POLÍTICA, MANUAL Y/O INSTRUMENTO DE CONTROL ARCHIVÍSTICO. </w:t>
      </w:r>
    </w:p>
    <w:p w:rsidR="00FD3B00" w:rsidRDefault="00FD3B00">
      <w:pPr>
        <w:tabs>
          <w:tab w:val="left" w:pos="8503"/>
        </w:tabs>
        <w:spacing w:before="120" w:after="120"/>
        <w:ind w:left="567"/>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 xml:space="preserve">INSTRUMENTOS DE CONTROL Y CONSULTA </w:t>
      </w: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6. CUADRO GENERAL DE CLASIFICACIÓN ARCHIVÍSTICA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EN CASO AFIRMATIVO:</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6.2 ¿A PARTIR DE QUE AÑO CUENTAN CON CUADRO GENERAL DE CLASIFICACIÓN ARCHIVÍSTICA?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6.3 ¿SU CUADRO DE CLASIFICACIÓN ARCHIVÍSTICA ESTA ESTRUCTURADO DE FORMA JERÁRQUICA, POR FUNCIONES O POR ASUNTO? 6.3 ¿CUAL FUE LA METODOLOGÍA QUE SE UTILIZÓ PARA ESTRUCTURAR EL CUADRO GENERAL DE CLASIFICACIÓN ARCHIVÍSTICA?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6.4 ¿LOS EXPEDIENTES QUE OBRAN EN SUS ARCHIVOS DE TRÁMITE YA ESTÁN CLASIFICADOS DE ACUERDO A SU CUADRO GENERAL DE CLASIFICACIÓN ARCHIVÍSTICA?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6.5 EL CUADRO GENERAL DE CLASIFICACIÓN ARCHIVÍSTICA.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 CATÁLOGO DE DISPOSICIÓN DOCUMENTAL</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7.1 ¿CUENTAN ACTUALMENTE CON CATÁLOGO DE DISPOSICIÓN DOCUMENTAL COMO LO ESTABLECE EL ARTÍCULO 13 FRACCIÓN II DE LA LEY GENERAL DE ARCHIVOS Y DÉCIMO TERCERO FRACCIÓN II DE LOS LINEAMIENTOS PARA LA ORGANIZACIÓN Y CONSERVACIÓN DE LOS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7.2 ¿A PARTIR DE QUE AÑO CUENTAN CON CATÁLOGO DE DISPOSICIÓN DOCUMENTAL?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7.3 ¿EL CATÁLOGO DE DISPOSICIÓN DOCUMENTAL QUE UTILIZAN ES PROPIO?</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7.4 ¿CUÁL FUE LA METODOLOGÍA QUE SE UTILIZÓ PARA ESTRUCTURAR EL CATÁLOGO DE DISPOSICIÓN DOCUMENTAL?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7.5 ¿QUIÉN APROBÓ LA UTILIZACIÓN DE SU CATÁLOGO DE DISPOSICIÓN DOCUMENTAL?</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7.6 EL CATÁLOGO DE DISPOSICIÓN DOCUMENTAL.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7.8 EL ACTA POR MEDIO DE LA CUAL SE APROBÓ EL CATÁLOGO DE DISPOSICIÓN DOCUMENTAL COMO LO ESTABLECE EL ARTÍCULO 51 DE LA LEY GENERAL DE ARCHIVOS Y EL ARTÍCULO DÉCIMO FRACCIÓN II INCISO a) DE LOS LINEAMIENTOS PARA LA ORGANIZACIÓN Y CONSERVACIÓN DE LOS ARCHIVOS. </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8. INVENTARIOS DE ARCHIVO DE TRÁMITE, CONCENTRACIÓN E HISTÓRICO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 ¿CUENTAN CON INVENTARIOS DOCUMENTALES COMO LO ESTABLECEN LOS ARTÍCULOS 13 FRACCIÓN III, 40 FRACCIÓN III DE LA LEY GENERAL DE ARCHIVOS Y LOS ARTÍCULOS SEXTO FRACCIÓN V, DÉCIMO TERCERO FRACCIÓN III, VIGÉSIMO SEGUNDO FRACCIÓN III SEGUNDO PÁRRAFO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 ¿LAS UNIDADES ADMINISTRATIVAS CUENTAN CON INVENTARIO DE ARCHIVO DE TRÁMITE?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8.3. ¿DESDE QUE AÑO UTILIZAN INVENTARIOS DE ARCHIVO DE TRÁMITE?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8.4. ¿ESTOS INVENTARIOS SON REQUERIDOS POR EL ÁREA COORDINADORA DE ARCHIVOS O EL ARCHIVO MUNICIPAL EN SU CASO?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8.5. ¿CON QUE FRECUENCIA SON REQUERIDOS LOS INVENTARIOS DE ARCHIVO DE TRÁMITE POR EL ÁREA COORDINADORA DE ARCHIVOS O EL ARCHIVO MUNICIPAL EN SU CASO?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8.6. ¿EL ARCHIVO DE CONCENTRACIÓN CUENTA CON INVENTARIO DE SU ACERVO DOCUMENTAL?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8.7. ¿DESDE QUE AÑO UTILIZAN INVENTARIO DEL ACERVO DOCUMENTAL DEL ARCHIVO DE CONCENTRACIÓN?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8.8. ¿EL ARCHIVO DE CONCENTRACIÓN CUENTA CON INVENTARIO TOPOGRÁFICO?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8.9. ¿DESDE QUE AÑO UTILIZAN INVENTARIO DE ARCHIVO TOPOGRÁFICO?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8.10. ¿EL ARCHIVO HISTÓRICO CUENTA CON INVENTARIO DE SU ACERVO DOCUMENTAL?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8.11. ¿DESDE QUE AÑO UTILIZAN INVENTARIO DE ACERVO DOCUMENTAL DEL ARCHIVO HISTÓRICO?</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8.12. ¿CUENTAN CON INVENTARIOS DE TRASFERENCIA PRIMARIA?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8.13. ¿QUIEN ELABORA LOS INVENTARIOS DE TRANSFERENCIA PRIMARIA?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8.14. ¿CUENTAN CON INVENTARIOS DE TRANSFERENCIA SECUNDARIA?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8.15. ¿QUIEN ELABORA LOS INVENTARIOS DE TRANSFERENCIA SECUNDARIA?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8.16. ¿CUENTAN CON INVENTARIOS DE BAJA DOCUMENTAL?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8.17. ¿QUIEN ELABORA LOS INVENTARIOS DE BAJA DOCUMENTAL?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8.18. FORMATO INSTITUCIONAL DEL INVENTARIO DE ARCHIVO DE TRÁMITE.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8.19. FORMATO INSTITUCIONAL DEL INVENTARIO DE ARCHIVO DE CONCENTRACIÓN.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8.20. FORMATO INSTITUCIONAL DEL INVENTARIO DE ARCHIVO HISTÓRICO.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8.21. FORMATO INSTITUCIONAL DEL INVENTARIO DE TRANSFERENCIA PRIMARIA.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8.22. FORMATO INSTITUCIONAL DEL INVENTARIO DE TRANSFERENCIA SECUNDARIA.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8.23. FORMATO INSTITUCIONAL DEL INVENTARIO DE BAJA DOCUMENTAL. </w:t>
      </w:r>
    </w:p>
    <w:p w:rsidR="00FD3B00" w:rsidRDefault="00FD3B00">
      <w:pPr>
        <w:tabs>
          <w:tab w:val="left" w:pos="8503"/>
        </w:tabs>
        <w:spacing w:before="120" w:after="120"/>
        <w:ind w:left="284"/>
        <w:jc w:val="both"/>
        <w:rPr>
          <w:rFonts w:ascii="Palatino Linotype" w:eastAsia="Palatino Linotype" w:hAnsi="Palatino Linotype" w:cs="Palatino Linotype"/>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9. GUÍA DE ARCHIVO DOCUMENTAL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9.1. ¿CUENTAN CON GUÍA DE ARCHIVO DOCUMENTAL COMO LO ESTABLECE EL ARTÍCULO DÉCIMO CUARTO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EN CASO AFIRMATIVO</w:t>
      </w:r>
      <w:r>
        <w:rPr>
          <w:rFonts w:ascii="Palatino Linotype" w:eastAsia="Palatino Linotype" w:hAnsi="Palatino Linotype" w:cs="Palatino Linotype"/>
          <w:sz w:val="20"/>
          <w:szCs w:val="20"/>
        </w:rPr>
        <w:t xml:space="preserve">: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9.2. ¿DESDE QUE AÑO CUENTAN CON GUÍA DE ARCHIVO DOCUMENTAL?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9.3. ¿TIENEN PUBLICADO EN SU PORTAL OFICIAL LA GUÍA DE ARCHIVO DOCUMENTAL COMO LO INDICA EL ARTÍCULO 70 FRACCIÓN XLV DE LA LEY GENERAL DE TRANSPARENCIA Y ACCESO A LA INFORMACIÓN PÚBLICA?</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9.4. FORMATO INSTITUCIONAL DE LA GUÍA DE ARCHIVO DOCUMENTAL.</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10. ÍNDICE DE EXPEDIENTES CLASIFICADOS COMO RESERVADOS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10.1. ¿CUENTAN CON ÍNDICE DE EXPEDIENTES CLASIFICADOS COMO RESERVADOS COMO LO ESTABLECE EL ARTÍCULO 14 DE LA LEY GENERAL DE ARCHIVOS ASÍ COMO EL ARTÍCULO DÉCIMO CUARTO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10.2. ¿DESDE QUE AÑO CUENTAN CON ÍNDICE DE EXPEDIENTES CLASIFICADOS COMO RESERVADOS?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10.3. ¿TIENEN PUBLICADO EL ÍNDICE DE EXPEDIENTES CLASIFICADOS COMO RESERVADOS COMO LO ESTABLECE EL ARTÍCULO 102 DE LA LEY GENERAL DE TRANSPARENCIA Y ACCESO A LA INFORMACIÓN PÚBLICA?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10.4. ¿EN DONDE TIENEN PUBLICADO EL ÍNDICE DE EXPEDIENTES CLASIFICADOS COMO RESERVADOS? </w:t>
      </w:r>
    </w:p>
    <w:p w:rsidR="00FD3B00" w:rsidRDefault="00FD3B00">
      <w:pPr>
        <w:tabs>
          <w:tab w:val="left" w:pos="8503"/>
        </w:tabs>
        <w:spacing w:before="120" w:after="120"/>
        <w:ind w:left="284"/>
        <w:jc w:val="both"/>
        <w:rPr>
          <w:rFonts w:ascii="Palatino Linotype" w:eastAsia="Palatino Linotype" w:hAnsi="Palatino Linotype" w:cs="Palatino Linotype"/>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 xml:space="preserve">TIPOS DE ARCHIVOS </w:t>
      </w:r>
    </w:p>
    <w:p w:rsidR="00FD3B00" w:rsidRDefault="00876CB2">
      <w:pPr>
        <w:tabs>
          <w:tab w:val="left" w:pos="8503"/>
        </w:tabs>
        <w:spacing w:before="120" w:after="120"/>
        <w:ind w:left="284"/>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11. ARCHIVOS DE TRÁMITE</w:t>
      </w:r>
      <w:r>
        <w:rPr>
          <w:rFonts w:ascii="Palatino Linotype" w:eastAsia="Palatino Linotype" w:hAnsi="Palatino Linotype" w:cs="Palatino Linotype"/>
          <w:sz w:val="20"/>
          <w:szCs w:val="20"/>
        </w:rPr>
        <w:t xml:space="preserve">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11.1. ¿CON CUANTAS UNIDADES ADMINISTRATIVAS CUENTAN?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11.2. ¿CON CUANTOS ARCHIVOS DE TRÁMITE CUENTAN?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11.3. ¿CADA ARCHIVO DE TRÁMITE CUENTA CON UN RESPONSABLE COMO LO ESTABLECE EL ARTÍCULO 30 ÚLTIMO PÁRRAFO DE LA LEY GENERAL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11.4. ¿CADA ARCHIVO DE TRÁMITE CUENTA CON SU INVENTARIO DE ARCHIVO DE TRÁMITE COMO LO ESTABLECE EL ARTÍCULO 13 FRACCIÓN III DE LA LEY GENERAL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11.5. ¿QUIEN COORDINA LA OPERACIÓN DE LOS ARCHIVOS DE TRÁMITE?</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11.7. ¿LOS RESPONSABLES DE ARCHIVOS DE TRÁMITE CUENTAN CON LOS CONOCIMIENTOS, HABILIDADES, COMPETENCIAS Y EXPERIENCIA ARCHIVÍSTICOS ACORDES CON SU RESPONSABILIDAD, COMO LO ESTABLECE EL ARTÍCULO 30 ÚLTIMO PÁRRAFO DE LA LEY GENERAL DE ARCHIVOS?</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12. ARCHIVO DE CONCENTRACIÓN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12.1. ¿CUENTAN CON ARCHIVO DE CONCENTRACIÓN?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12.2. ¿EL ARCHIVO DE CONCENTRACIÓN CUENTA CON INVENTARIO DE SU ACERVO DOCUMENTAL?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12.3. ¿SABEN CON CUANTAS REMESAS O TRANSFERENCIAS PRIMARIAS CUENTAN EN EL ARCHIVO DE CONCENTRACIÓN?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12.4. ¿EL ACERVO DOCUMENTAL DEL ARCHIVO DE CONCENTRACIÓN CUENTA CON EXPEDIENTES CLASIFICADOS COMO RESERVADOS Y/O CONFIDENCIALES?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12.5. ¿EL ARCHIVO DE CONCENTRACIÓN SE ENCARGA DE LLEVAR A CABO LAS TRANSFERENCIAS SECUNDARIAS COMO LO ESTABLECE EL ARTÍCULO 31 FRACCIÓN X DE LA LEY GENERAL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12.6. ¿EL RESPONSABLE DE ARCHIVO DE CONCENTRACIÓN CUENTA CON LOS CONOCIMIENTOS, HABILIDADES, COMPETENCIAS Y EXPERIENCIA ACORDES A SU RESPONSABILIDAD, COMO LO ESTABLECE EL ARTÍCULO 31 EN SU ÚLTIMO PÁRRAFO DE LA LEY GENERAL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12.7. ¿EL RESPONSABLE DEL ARCHIVO DE CONCENTRACIÓN SE ENCARGA DE LA SELECCIÓN FINAL COMO LO ESTABLECE EL ARTÍCULO DÉCIMO PRIMERO FRACCIÓN III INCISO a)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12.8. ¿EL RESPONSABLE DEL ARCHIVO DE CONCENTRACIÓN BRINDA EL SERVICIO DE PRÉSTAMO DE EXPEDIENTES COMO LO ESTABLECE EL ARTÍCULO DÉCIMO PRIMERO FRACCIÓN III INCISO b) DE LOS LINEAMIENTOS PARA LA ORGANIZACIÓN Y CONSERVACIÓN DE ARCHIVOS?</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12.10. EL FORMATO INSTITUCIONAL CON EL CUAL SE LLEVA A CABO EL PRÉSTAMO DE EXPEDIENTES EN EL ARCHIVO DE CONCENTRACIÓN. </w:t>
      </w:r>
    </w:p>
    <w:p w:rsidR="00FD3B00" w:rsidRDefault="00FD3B00">
      <w:pPr>
        <w:tabs>
          <w:tab w:val="left" w:pos="8503"/>
        </w:tabs>
        <w:spacing w:before="120" w:after="120"/>
        <w:ind w:left="284"/>
        <w:jc w:val="both"/>
        <w:rPr>
          <w:rFonts w:ascii="Palatino Linotype" w:eastAsia="Palatino Linotype" w:hAnsi="Palatino Linotype" w:cs="Palatino Linotype"/>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13. ARCHIVO HISTÓRICO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13.1. ¿CUENTAN CON ARCHIVO HISTÓRICO?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13.2. ¿EL ARCHIVO HISTÓRICO CUENTA CON INVENTARIO DE SU ACERVO DOCUMENTAL?</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13.3. ¿EL RESPONSABLE DEL ARCHIVO HISTÓRICO HACE LA DIFUSIÓN DEL ACERVO DOCUMENTAL DEL MISMO ARCHIVO COMO LO ESTABLECE EL ARTÍCULO DÉCIMO PRIMERO FRACCIÓN IV INCISO d) DE LOS LINEAMIENTOS PARA LA ORGANIZACIÓN Y CONSERVACIÓN DE LOS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13.5. ¿EL RESPONSABLE DEL ARCHIVO HISTÓRICO CUENTA CON LOS CONOCIMIENTOS, HABILIDADES, COMPETENCIAS Y EXPERIENCIA ACORDES CON SU RESPONSABILIDAD, COMO LO ESTABLECE EL ARTÍCULO 32 DE LA LEY GENERAL DE ARCHIVOS?</w:t>
      </w:r>
    </w:p>
    <w:p w:rsidR="00FD3B00" w:rsidRDefault="00FD3B00">
      <w:pPr>
        <w:tabs>
          <w:tab w:val="left" w:pos="8503"/>
        </w:tabs>
        <w:spacing w:before="120" w:after="120"/>
        <w:ind w:left="284"/>
        <w:jc w:val="both"/>
        <w:rPr>
          <w:rFonts w:ascii="Palatino Linotype" w:eastAsia="Palatino Linotype" w:hAnsi="Palatino Linotype" w:cs="Palatino Linotype"/>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 xml:space="preserve">ACTIVIDADES ARCHIVÍSTICAS </w:t>
      </w: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14. PROGRAMA ANUAL DE DESARROLLO ARCHIVÍSTICO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14.1. ¿CUENTAN ACTUALMENTE CON EL PROGRAMA ANUAL DE DESARROLLO ARCHIVÍSTICO (PADA 2022) 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14.2. ¿QUIEN ELABORÓ LOS PROGRAMAS ANUALES DE DESARROLLO ARCHIVÍSTICO 2019, 2020 Y 2021?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14.3. ¿HAN PUBLICADO LOS PROGRAMAS ANUALES DE DESARROLLO ARCHIVÍSTICO EN SU PORTAL OFICIAL COMO LO ESTABLECE EL ARTÍCULO 23 DE LA LEY GENERAL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14.4. ¿HAN PUBLICADO LOS INFORMES ANUALES DE 2019, 2020 Y 2021 DETALLANDO EL CUMPLIMIENTO DEL PROGRAMA ANUAL DE DESARROLLO ARCHIVÍSTICO COMO LO ESTABLECE EL ARTÍCULO 26 DE LA LEY GENERAL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14.5. LOS PROGRAMAS ANUALES DE DESARROLLO ARCHIVÍSTICO DE LOS AÑOS 2019, 2020 Y 2021.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14.6. LOS INFORMES ANUALES DEL CUMPLIMIENTO DE LOS PROGRAMAS ANUALES DE DESARROLLO ARCHIVÍSTICO DE LOS AÑOS 2019, 2020 Y 2021.</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15. PROGRAMA DE PRESERVACIÓN DIGITAL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15.1. ¿CUENTAN CON PROGRAMA DE PRESERVACIÓN DIGITAL COMO LO ESTABLECE EL ARTÍCULO TRIGÉSIMO NOVENO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15.2. ¿DESDE QUE AÑO CUENTAN CON PROGRAMA DE PRESERVACIÓN DIGITAL?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15.3. ¿QUIENES INTERVINIERON EN LA PLANEACIÓN, DESARROLLO Y PUESTA EN MARCHA DEL PROGRAMA DE PRESERVACIÓN DIGITAL?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15.4. LOS PROGRAMAS DE PRESERVACIÓN DIGITAL DE LOS AÑOS 2019, 2020 Y 2021. </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16. PROGRAMA DE SEGURIDAD DE LA INFORMACIÓN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16.1. ¿CUENTAN CON PROGRAMA DE SEGURIDAD DE LA INFORMACIÓN COMO LO ESTABLECE EL ARTÍCULO QUINCUAGÉSIMO OCTAVO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16.2. ¿DESDE QUE AÑO CUENTAN CON PROGRAMA DE SEGURIDAD DE LA INFORMACIÓN?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16.3. ¿QUIENES INTERVINIERON EN LA PLANEACIÓN, DESARROLLO Y PUESTA EN MARCHA DEL PROGRAMA DE SEGURIDAD DE LA INFORMACIÓN?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16.4. LOS PROGRAMAS DE SEGURIDAD DE LA INFORMACIÓN DE LOS AÑOS 2017, 2018, 2019, 2020 Y 2021. </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17. ARCHIVACIÓN</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17.1. ¿ARCHIVAN SUS DOCUMENTOS POR ASUNTO COMO LO ESTABLECE EL ARTÍCULO 20 SEGUNDO PÁRRAFO DE LA LEY GENERAL DE ARCHIVOS Y EL ARTÍCULO OCTAVO DE LOS LINEAMIENTOS PARA LA ORGANIZACIÓN Y CONSERVACIÓN DE ARCHIVOS?</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17.2. ¿DESDE QUE AÑO ARCHIVAN SUS DOCUMENTOS POR ASUNTO?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17.3. ¿DE DONDE PROCEDE EL ASUNTO DE CADA DOCUMENTO, ES DECIR, DE CUAL FUE EL CRITERIO PARA DETERMINAR LOS ASUNTOS DE CADA DOCUMENTO?</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EN CASO AFIRMATIVO</w:t>
      </w:r>
      <w:r>
        <w:rPr>
          <w:rFonts w:ascii="Palatino Linotype" w:eastAsia="Palatino Linotype" w:hAnsi="Palatino Linotype" w:cs="Palatino Linotype"/>
          <w:sz w:val="20"/>
          <w:szCs w:val="20"/>
        </w:rPr>
        <w:t>:</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17.5. ¿DESDE QUE AÑO CUENTAN CON IDENTIFICADORES EN SUS EXPEDIENTES?</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17.6. ¿QUIEN APRUEBA EL FORMATO DE SUS CARÁTULAS Y PESTAÑAS O CEJAS O MARBETES?</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17.7. LOS FORMATOS INSTITUCIONALES DE CARÁTULA DE EXPEDIENTES Y PESTAÑAS O CEJAS O MARBETES DE SUS EXPEDIENTES </w:t>
      </w:r>
    </w:p>
    <w:p w:rsidR="00FD3B00" w:rsidRDefault="00FD3B00">
      <w:pPr>
        <w:tabs>
          <w:tab w:val="left" w:pos="8503"/>
        </w:tabs>
        <w:spacing w:before="120" w:after="120"/>
        <w:ind w:left="567"/>
        <w:jc w:val="both"/>
        <w:rPr>
          <w:rFonts w:ascii="Palatino Linotype" w:eastAsia="Palatino Linotype" w:hAnsi="Palatino Linotype" w:cs="Palatino Linotype"/>
          <w:sz w:val="20"/>
          <w:szCs w:val="20"/>
        </w:rPr>
      </w:pPr>
    </w:p>
    <w:p w:rsidR="00FD3B00" w:rsidRDefault="00FD3B00">
      <w:pPr>
        <w:tabs>
          <w:tab w:val="left" w:pos="8503"/>
        </w:tabs>
        <w:spacing w:before="120" w:after="120"/>
        <w:ind w:left="567"/>
        <w:jc w:val="both"/>
        <w:rPr>
          <w:rFonts w:ascii="Palatino Linotype" w:eastAsia="Palatino Linotype" w:hAnsi="Palatino Linotype" w:cs="Palatino Linotype"/>
          <w:sz w:val="20"/>
          <w:szCs w:val="20"/>
        </w:rPr>
      </w:pPr>
    </w:p>
    <w:p w:rsidR="00FD3B00" w:rsidRDefault="00FD3B00">
      <w:pPr>
        <w:tabs>
          <w:tab w:val="left" w:pos="8503"/>
        </w:tabs>
        <w:spacing w:before="120" w:after="120"/>
        <w:ind w:left="567"/>
        <w:jc w:val="both"/>
        <w:rPr>
          <w:rFonts w:ascii="Palatino Linotype" w:eastAsia="Palatino Linotype" w:hAnsi="Palatino Linotype" w:cs="Palatino Linotype"/>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18. TRANSFERENCIA PRIMARIA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18.1. ¿SUS ARCHIVOS DE TRÁMITE LLEVAN A CABO LAS TRANSFERENCIAS PRIMARIAS DE SUS EXPEDIENTES DE TRÁMITE CONCLUIDO COMO LO ESTABLECE EL ARTÍCULO 30 FRACCIÓN VI DE LA LEY GENERAL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18.2. ¿LA TRANSFERENCIA PRIMARIA LA REALIZAN CON INVENTARIO DE TRANSFERENCIA PRIMARIA?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18.3. ¿SOLICITAN QUE EN LAS TRANSFERENCIAS PRIMARIAS SE INCLUYA LA DIGITALIZACIÓN DE LOS DOCUMENTOS QUE SE INGRESAN AL ARCHIVO DE CONCENTRACIÓN?</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18.4. ¿SOLICITAN QUE LOS EXPEDIENTES QUE INGRESAN AL ARCHIVO DE CONCENTRACIÓN YA INGRESEN CLASIFICADOS DE ACUERDO SU CUADRO GENERAL DE CLASIFICACIÓN ARCHIVÍSTICA?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18.5. ¿COMO ASEGURAN QUE LAS REMESAS DE TRANSFERENCIA PRIMARIA CUMPLAN CON LO INDICADO EN EL ARTÍCULO 30 FRACCIÓN III DE LA LEY GENERAL DE ARCHIVOS, ES DECIR, COMO SE ASEGURAN DE QUE LOS RESPONSABLES DE LOS ARCHIVOS DE TRÁMITE NO QUIERAN INGRESAR DOCUMENTACIÓN CLASIFICADA AL ARCHIVO DE CONCENTRACIÓN EN TRANSFERENCIA PRIMARIA?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SOLICITO, DE LA MANERA MÁS ATENTA, LA SIGUIENTE DOCUMENTACIÓN EN FORMATO PDF:</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18.6. EL FORMATO INSTITUCIONAL DEL INVENTARIO DE TRANSFERENCIA PRIMARIA.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18.7. EL PROCEDIMIENTO PARA LA TRANSFERENCIA PRIMARA.</w:t>
      </w:r>
    </w:p>
    <w:p w:rsidR="00FD3B00" w:rsidRDefault="00FD3B00">
      <w:pPr>
        <w:tabs>
          <w:tab w:val="left" w:pos="8503"/>
        </w:tabs>
        <w:spacing w:before="120" w:after="120"/>
        <w:ind w:left="567"/>
        <w:jc w:val="both"/>
        <w:rPr>
          <w:rFonts w:ascii="Palatino Linotype" w:eastAsia="Palatino Linotype" w:hAnsi="Palatino Linotype" w:cs="Palatino Linotype"/>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19. TRANSFERENCIA SECUNDARIA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19.1. ¿SU ARCHIVO DE CONCENTRACIÓN LLEVA A CABO TRANSFERENCIAS SECUNDARIAS COMO LO ESTABLECEN LOS ARTÍCULOS 31 FRACCIÓN X Y 59 DE LA LEY GENERAL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19.2. ¿QUIEN LLEVA A CABO LA SELECCIÓN DE DOCUMENTACIÓN QUE SE DESTINA AL ARCHIVO HISTÓRICO EN TRANSFERENCIA SECUNDARIA?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19.3. ¿BAJO QUE CRITERIOS SE LLEVA A CABO LA SELECCIÓN DE LA DOCUMENTACIÓN QUE SE DESTINA AL ARCHIVO HISTÓRICO EN TRANSFERENCIA SECUNDARIA?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19.4. EL FORMATO INSTITUCIONAL DEL INVENTARIO DE TRASFERENCIA SECUNDARIA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19.5. EL PROCEDIMIENTO PARA LA TRANSFERENCIA SECUNDARIA. </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20. DIGITALIZACIÓN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20.1. ¿LLEVAN A CABO LA DIGITALIZACIÓN DE DOCUMENTOS COMO LO ESTABLECE EL ARTÍCULO 11 FRACCIÓN XI DE LA LEY GENERAL DE ARCHIVOS Y LOS ARTÍCULOS TRIGÉSIMO CUARTO, TRIGÉSIMO QUINTO, CUADRAGÉSIMO PRIMERO, CUADRAGÉSIMO SEGUNDO, CUADRAGÉSIMO TERCERO, CUADRAGÉSIMO CUARTO </w:t>
      </w:r>
      <w:r>
        <w:rPr>
          <w:rFonts w:ascii="Palatino Linotype" w:eastAsia="Palatino Linotype" w:hAnsi="Palatino Linotype" w:cs="Palatino Linotype"/>
          <w:sz w:val="20"/>
          <w:szCs w:val="20"/>
        </w:rPr>
        <w:lastRenderedPageBreak/>
        <w:t xml:space="preserve">Y CUADRAGÉSIMO QUINTO Y NOVENO DE LOS TRANSITORIOS DE LOS LINEAMIENTOS PARA LA ORGANIZACIÓN Y CONSERVACIÓN DE LOS ARCHIVOS? </w:t>
      </w:r>
    </w:p>
    <w:p w:rsidR="00FD3B00" w:rsidRDefault="00FD3B00">
      <w:pPr>
        <w:tabs>
          <w:tab w:val="left" w:pos="8503"/>
        </w:tabs>
        <w:spacing w:before="120" w:after="120"/>
        <w:ind w:left="284"/>
        <w:jc w:val="both"/>
        <w:rPr>
          <w:rFonts w:ascii="Palatino Linotype" w:eastAsia="Palatino Linotype" w:hAnsi="Palatino Linotype" w:cs="Palatino Linotype"/>
          <w:sz w:val="20"/>
          <w:szCs w:val="20"/>
          <w:u w:val="single"/>
        </w:rPr>
      </w:pPr>
    </w:p>
    <w:p w:rsidR="00FD3B00" w:rsidRDefault="00876CB2">
      <w:pPr>
        <w:tabs>
          <w:tab w:val="left" w:pos="8503"/>
        </w:tabs>
        <w:spacing w:before="120" w:after="120"/>
        <w:ind w:left="284"/>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20.2. ¿CUENTAN CON UN PROGRAMA PERMANENTE DE DIGITALIZACIÓN DE EXPEDIENTES?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20.3. ¿LOS ARCHIVOS DE TRÁMITE LLEVAN A CABO LA DIGITALIZACIÓN DE SUS EXPEDIENTES?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20.4. ¿EL ARCHIVO DE CONCENTRACIÓN LLEVA A CABO LA DIGITALIZACIÓN DE SU ACERVO DOCUMENTAL?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20.5. ¿EL ARCHIVO HISTÓRICO LLEVA A CABO LA DIGITALIZACIÓN DE SU ACERVO DOCUMENTAL?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20.6. EL PROGRAMA DE DIGITALIZACIÓN DEL AÑO 2019, 2020 Y 2021. </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21. DOCUMENTOS ELECTRÓNICOS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21.1. ¿LLEVAN A CABO EL MANEJO DE LOS DOCUMENTOS ELECTRÓNICOS COMO LO ESTABLECEN LOS ARTÍCULOS 41, 42, 43, 44 Y 45 DE LA LEY GENERAL DE ARCHIVOS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21.2. ¿QUIEN DETERMINA LOS CRITERIOS PARA EL MANEJO DE DOCUMENTOS ELECTRÓNICOS?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21.3. ¿HACEN UTILIZACIÓN DEL SERVICIO DE UNA NUBE PARA EL MANEJO DE ARCHIVOS ELECTRÓNICOS? SOLICITO, DE LA MANERA MÁS ATENTA, LA SIGUIENTE DOCUMENTACIÓN EN FORMATO PDF:</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21.4. EL PROGRAMA DE PRESERVACIÓN DIGITAL DE LOS AÑOS 2019, 2020 Y 2021. </w:t>
      </w:r>
    </w:p>
    <w:p w:rsidR="00FD3B00" w:rsidRDefault="00FD3B00">
      <w:pPr>
        <w:tabs>
          <w:tab w:val="left" w:pos="8503"/>
        </w:tabs>
        <w:spacing w:before="120" w:after="120"/>
        <w:ind w:left="567"/>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22. SELECCIÓN FINAL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22.1. ¿EL ARCHIVO DE CONCENTRACIÓN LLEVA A CABO LA SELECCIÓN FINAL DE LA DOCUMENTACIÓN COMO LO ESTABLECEN LOS ARTÍCULOS 31 FRACCIONES VI, VII Y IX; 58 DE LA LEY GENERAL DE ARCHIVOS Y LOS ARTÍCULOS DÉCIMO PRIMERO </w:t>
      </w:r>
      <w:r>
        <w:rPr>
          <w:rFonts w:ascii="Palatino Linotype" w:eastAsia="Palatino Linotype" w:hAnsi="Palatino Linotype" w:cs="Palatino Linotype"/>
          <w:sz w:val="20"/>
          <w:szCs w:val="20"/>
        </w:rPr>
        <w:lastRenderedPageBreak/>
        <w:t xml:space="preserve">FRACCIÓN III INCISO a) DE LOS LINEAMIENTOS PARA LA ORGANIZACIÓN Y CONSERVACIÓN DE LOS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22.2. ¿DESDE QUE AÑO HACEN SELECCIÓN FINAL?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22.3. ¿QUIEN SE ENCARGA DE LA SELECCIÓN FINAL?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22.4. ¿CUAL ES EL CRITERIO PARA ESCOGER LA DOCUMENTACIÓN SUSCEPTIBLE DE SER DESTRUIDA EN SELECCIÓN FINAL?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22.5. ¿CUANTAS SELECCIONES FINALES LLEVAN EN LOS AÑOS 2019, 2020 Y 2021?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22.6. ¿CUENTAN CON PROCEDIMIENTO PARA LA SELECCIÓN FINAL?</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22.7. ¿QUIEN INTERVIENE EN LA APROBACIÓN DE LA DESTRUCCIÓN DE LA SELECCIÓN FINAL?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22.8. ¿YA LLEVAN A CABO LA SELECCIÓN FINAL UTILIZANDO LAS SERIES DOCUMENTALES DEL CUADRO GENERAL DE CLASIFICACIÓN ARCHIVÍSTICA?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22.9. ¿CON CUANTAS DESTRUCCIONES DE SELECCIÓN FINAL CUENTAN DESDE 2019?</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22.10. EL ÚLTIMO ACUERDO DE DESTRUCCIÓN DOCUMENTAL EMITIDO POR LA AUTORIDAD ESTATAL </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23. ADMINISTRACIÓN DE ARCHIVOS DE TRÁMITE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23.1. ¿LLEVAN A CABO LA COORDINACIÓN DE LAS ACTIVIDADES DE LOS ARCHIVOS DE TRÁMITE COMO LO ESTABLECE EL ARTÍCULO 28 FRACCIÓN IX DE LA LEY GENERAL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23.2. ¿CUANTOS ARCHIVOS DE TRÁMITE TIENEN?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23.3. ¿LOS RESPONSABLES DE LOS ARCHIVOS DE TRÁMITE CUENTAN CON NOMBRAMIENTO POR ESCRITO COMO LO ESTABLECE EL ARTÍCULO 21 FRACCIÓN II INCISO b) Y PENÚLTIMO PÁRRAFO DEL MISMO ARTÍCULO DE LA LEY GENERAL DE ARCHIVOS Y EL ARTÍCULO NOVENO FRACCIÓN II INCISO b) PENÚLTIMO PÁRRAFO DEL MISMO ARTÍCULO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23.4. ¿LOS RESPONSABLES DE LOS ARCHIVOS DE TRÁMITE ESTÁN CAPACITADOS EN ARCHIVÍSTICA COMO LO ESTABLECE EL ARTÍCULO EL ARTÍCULO 30 ÚLTIMO PÁRRAFO DE LA LEY GENERAL DE ARCHIVOS Y EL ARTÍCULO SEXTO FRACCIÓN X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23.5. ¿TIENEN ALGÚN PROGRAMA PARA COORDINAR LAS ACTIVIDADES QUE DEBEN CUMPLIR LOS ARCHIVOS DE TRÁMITE?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23.6. EL PROGRAMA DE ATENCIÓN A LOS ARCHIVOS DE TRÁMITE DE LOS AÑOS 2019, 2020 Y 2021. </w:t>
      </w:r>
    </w:p>
    <w:p w:rsidR="00FD3B00" w:rsidRDefault="00FD3B00">
      <w:pPr>
        <w:tabs>
          <w:tab w:val="left" w:pos="8503"/>
        </w:tabs>
        <w:spacing w:before="120" w:after="120"/>
        <w:ind w:left="284"/>
        <w:jc w:val="both"/>
        <w:rPr>
          <w:rFonts w:ascii="Palatino Linotype" w:eastAsia="Palatino Linotype" w:hAnsi="Palatino Linotype" w:cs="Palatino Linotype"/>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24. CAPACITACIÓN ARCHIVÍSTICA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24.1. ¿LLEVAN A CABO LA CAPACITACIÓN ARCHIVÍSTICA COMO LO ESTABLECE EL ARTÍCULO 99 DE LA LEY GENERAL DE ARCHIVOS Y EL ARTÍCULO SEXTO FRACCIÓN X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EN CASO AFIRMATIVO</w:t>
      </w:r>
      <w:r>
        <w:rPr>
          <w:rFonts w:ascii="Palatino Linotype" w:eastAsia="Palatino Linotype" w:hAnsi="Palatino Linotype" w:cs="Palatino Linotype"/>
          <w:sz w:val="20"/>
          <w:szCs w:val="20"/>
        </w:rPr>
        <w:t xml:space="preserve">: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24.2. ¿DESDE QUE AÑO IMPARTEN CURSOS DE CAPACITACIÓN ARCHIVÍSTICA?</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24.3. ¿TIENEN PROGRAMA DE CAPACITACIÓN ARCHIVÍSTICA?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24.4. ¿QUIEN ELABORA EL PROGRAMA DE CAPACITACIÓN ARCHIVÍSTICA?</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24.5. ¿QUIEN BRINDA LAS ASESORÍAS TÉCNICAS A LOS ARCHIVOS DE TRÁMITE?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24.6. ¿QUIEN IMPARTE LOS CURSOS DE CAPACITACIÓN ARCHIVÍSTICA?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24.7. ¿IMPARTEN CURSOS DE FORMA PRESENCIAL?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24.8. ¿IMPARTEN CURSOS DE FORMA REMOTA, ES DECIR ONLINE?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EN CASO AFIRMATIVO</w:t>
      </w:r>
      <w:r>
        <w:rPr>
          <w:rFonts w:ascii="Palatino Linotype" w:eastAsia="Palatino Linotype" w:hAnsi="Palatino Linotype" w:cs="Palatino Linotype"/>
          <w:sz w:val="20"/>
          <w:szCs w:val="20"/>
        </w:rPr>
        <w:t xml:space="preserve">: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24.9. ¿QUE PLATAFORMA USAN PARA LOS CURSOS ONLINE?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24.10. ¿CUANTOS TIPOS DE CURSOS IMPARTEN?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24.11. ¿CUALES SON LOS CURSOS QUE SE IMPARTEN?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24.12. ¿CUAL ES LA CANTIDAD DE PERSONAS QUE CAPACITAN AL AÑO EN PROMEDIO?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24.13. EL PROGRAMA DE CAPACITACIÓN ARCHIVÍSTICA DE LOS AÑOS 2019, 2020, 2021 Y 2022.</w:t>
      </w:r>
    </w:p>
    <w:p w:rsidR="00FD3B00" w:rsidRDefault="00FD3B00">
      <w:pPr>
        <w:tabs>
          <w:tab w:val="left" w:pos="8503"/>
        </w:tabs>
        <w:spacing w:before="120" w:after="120"/>
        <w:ind w:left="284"/>
        <w:jc w:val="both"/>
        <w:rPr>
          <w:rFonts w:ascii="Palatino Linotype" w:eastAsia="Palatino Linotype" w:hAnsi="Palatino Linotype" w:cs="Palatino Linotype"/>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 25. PRÉSTAMO DE DOCUMENTOS</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25.1. ¿LLEVAN A CABO EL PRÉSTAMO Y CONSULTA DE LA DOCUMENTACIÓN DE LOS ACERVOS DOCUMENTALES DE LOS ARCHIVOS DE CONCENTRACIÓN E HISTÓRICO </w:t>
      </w:r>
      <w:r>
        <w:rPr>
          <w:rFonts w:ascii="Palatino Linotype" w:eastAsia="Palatino Linotype" w:hAnsi="Palatino Linotype" w:cs="Palatino Linotype"/>
          <w:sz w:val="20"/>
          <w:szCs w:val="20"/>
        </w:rPr>
        <w:lastRenderedPageBreak/>
        <w:t xml:space="preserve">COMO LO ESTABLECEN LOS ARTÍCULOS 31 FRACCIÓN II, 32 FRACCIÓN II DE LA LEY GENERAL DE ARCHIVOS Y LOS ARTÍCULOS DECIMO PRIMERO FRACCIÓN III INCISO b) Y FRACCIÓN IV INCISO d)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EN CASO AFIRMATIVO:</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25.2. ¿CUENTAN CON PROGRAMA PARA EL PRÉSTAMO DE DOCUMENTOS EN CADA CASO?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25.3. ¿QUIEN LLEVA A CABO EL PRÉSTAMO DE DOCUMENTOS EN CADA CASO?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25.4. ¿QUIEN ESTABLECE LAS POLÍTICAS PARA EL PRÉSTAMO DE DOCUMENTOS?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25.5. EL PROGRAMA DE PRÉSTAMO DOCUMENTAL DE LOS AÑOS 2019, 2020 Y 2021.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25.6. EL FORMATO INSTITUCIONAL DEL VALE DE PRÉSTAMO DE DOCUMENTACIÓN.</w:t>
      </w:r>
    </w:p>
    <w:p w:rsidR="00FD3B00" w:rsidRDefault="00FD3B00">
      <w:pPr>
        <w:tabs>
          <w:tab w:val="left" w:pos="8503"/>
        </w:tabs>
        <w:spacing w:before="120" w:after="120"/>
        <w:ind w:left="284"/>
        <w:jc w:val="both"/>
        <w:rPr>
          <w:rFonts w:ascii="Palatino Linotype" w:eastAsia="Palatino Linotype" w:hAnsi="Palatino Linotype" w:cs="Palatino Linotype"/>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26. DIFUSIÓN</w:t>
      </w:r>
      <w:r>
        <w:rPr>
          <w:rFonts w:ascii="Palatino Linotype" w:eastAsia="Palatino Linotype" w:hAnsi="Palatino Linotype" w:cs="Palatino Linotype"/>
          <w:sz w:val="20"/>
          <w:szCs w:val="20"/>
        </w:rPr>
        <w:t xml:space="preserve">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26.1. ¿LLEVAN A CABO LA DIFUSIÓN DE LOS DOCUMENTOS HISTÓRICOS COMO LO ESTABLECE EL ARTÍCULO 40 Y SUS FRACCIONES I, II Y VI DE LA LEY GENERAL DE ARCHIVOS Y EL ARTÍCULO DÉCIMO PRIMERO FRACCIÓN IV INCISO d)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EN CASO AFIRMATIVO:</w:t>
      </w:r>
      <w:r>
        <w:rPr>
          <w:rFonts w:ascii="Palatino Linotype" w:eastAsia="Palatino Linotype" w:hAnsi="Palatino Linotype" w:cs="Palatino Linotype"/>
          <w:sz w:val="20"/>
          <w:szCs w:val="20"/>
        </w:rPr>
        <w:t xml:space="preserve">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26.2. ¿TIENEN ALGÚN PROGRAMA DE DIFUSIÓN DEL ARCHIVO HISTÓRICO?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26.3. ¿QUIEN SE ENCARGA DE HACER LA DIFUSIÓN DE LOS DOCUMENTOS HISTÓRICOS?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26.4. ¿DIFUNDEN TAMBIÉN LA HISTORIA DE SU MUNICIPIO?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26.5. ¿QUE MEDIOS UTILIZAN PARA LA DIFUSIÓN DE LOS DOCUMENTOS HISTÓRICOS Y DE SU HISTORIA?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26.6. EL PROGRAMA DE DIFUSIÓN DE LOS DOCUMENTOS HISTÓRICOS DE LOS AÑOS 2019, 2020, 2021 Y 2022. </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27. SEGURIDAD EN LOS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27.1. ¿LLEVAN A CABO LA SUPERVISIÓN DE LA SEGURIDAD FÍSICA DE LOS ARCHIVOS COMO LO ESTABLECE EL ARTÍCULO 60 Y SUS FRACCIONES I Y II DE LA LEY GENERAL </w:t>
      </w:r>
      <w:r>
        <w:rPr>
          <w:rFonts w:ascii="Palatino Linotype" w:eastAsia="Palatino Linotype" w:hAnsi="Palatino Linotype" w:cs="Palatino Linotype"/>
          <w:sz w:val="20"/>
          <w:szCs w:val="20"/>
        </w:rPr>
        <w:lastRenderedPageBreak/>
        <w:t xml:space="preserve">DE ARCHIVOS Y LOS ARTÍCULOS QUINCUAGÉSIMO OCTAVO Y SU FRACCIÓN I DE LOS LINEAMIENTOS PARA LA ORGANIZACIÓN Y CONSERVACIÓN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EN CASO AFIRMATIVO</w:t>
      </w:r>
      <w:r>
        <w:rPr>
          <w:rFonts w:ascii="Palatino Linotype" w:eastAsia="Palatino Linotype" w:hAnsi="Palatino Linotype" w:cs="Palatino Linotype"/>
          <w:sz w:val="20"/>
          <w:szCs w:val="20"/>
        </w:rPr>
        <w:t>:</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27.2. ¿CUENTAN CON ALGÚN PROGRAMA DE SEGURIDAD PARA LOS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27.3. ¿QUIEN SE ENCARGA DE LA SEGURIDAD DE LOS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27.4. ¿CUALES SON LOS ASPECTOS QUE TOMAN EN CUENTA PARA GARANTIZAR LA SEGURIDAD FÍSICA DE LOS ARCHIVOS DE TRÁMITE, CONCENTRACIÓN E HISTÓRICO?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27.5. EL PROGRAMA DE SEGURIDAD DE LOS ARCHIVOS DE LOS AÑOS 2019, 2020 Y 2021. </w:t>
      </w:r>
    </w:p>
    <w:p w:rsidR="00FD3B00" w:rsidRDefault="00FD3B00">
      <w:pPr>
        <w:tabs>
          <w:tab w:val="left" w:pos="8503"/>
        </w:tabs>
        <w:spacing w:before="120" w:after="120"/>
        <w:ind w:left="284"/>
        <w:jc w:val="both"/>
        <w:rPr>
          <w:rFonts w:ascii="Palatino Linotype" w:eastAsia="Palatino Linotype" w:hAnsi="Palatino Linotype" w:cs="Palatino Linotype"/>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REGISTROS ARCHIVÍSTICOS </w:t>
      </w: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28. REGISTRO NACIONAL DE ARCHIVOS</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28.1. ¿LLEVARON A CABO EL REGISTRO NACIONAL DE ARCHIVOS 2021 DE SU MUNICIPIO COMO LO ESTABLECE EL ARTÍCULO 11 FRACCIÓN IV, 78, 79, 80 Y 81 DE LA LEY GENERAL DE ARCHIVOS?</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28.2. ¿QUIEN SE ENCARGÓ DEL LLENADO DEL REGISTRO NACIONAL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28.3. ¿QUE PERSONAS INTERVINIERON PARA EL LLENADO DEL REGISTRO NACIONAL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28.4. EL REGISTRO NACIONAL DE ARCHIVOS 2021 DE SU MUNICIPIO </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29. REGISTRO ESTATAL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29.1. ¿LLEVARON A CABO EL REGISTRO ESTATAL DE ARCHIVOS EN LOS AÑOS 2019, 2020 Y 2021?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29.2. ¿CUANTOS ARCHIVOS DE TRÁMITE HICIERON SU REGISTRO ESTATAL EN LOS AÑOS 2019, 2020 Y 2021?</w:t>
      </w:r>
    </w:p>
    <w:p w:rsidR="00FD3B00" w:rsidRDefault="00FD3B00">
      <w:pPr>
        <w:tabs>
          <w:tab w:val="left" w:pos="8503"/>
        </w:tabs>
        <w:spacing w:before="120" w:after="120"/>
        <w:ind w:left="567"/>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 xml:space="preserve">CONTROL DE ARCHIVOS </w:t>
      </w: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30. ENTREGA-RECEPCIÓN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30.1. ¿LA ULTIMA ENTREGA-RECEPCIÓN DE ARCHIVOS POR CAMBIO DE ADMINISTRACIÓN SE LLEVÓ A CABO COMO LO ESTABLECE EL ARTÍCULO 10 PÁRRAFO SEGUNDO Y 17 DE LA LEY GENERAL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30.2. ¿QUE INSTRUMENTOS DE CONTROL Y CONSULTA SE ENTREGARON EN EL ACTO DE ENTREGA RECEPCIÓN DE LOS ARCHIVOS DE TRÁMITE, CONCENTRACIÓN E HISTÓRICO?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30.3. ¿CON CUANTOS INVENTARIOS DE ARCHIVO DE TRÁMITE CONTARON PARA LA ÚLTIMA ENTREGA-RECEPCIÓN DE LA ADMINISTRACIÓN?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30.4. ¿SE CAPACITÓ A LOS RESPONSABLES DE LOS ARCHIVOS DE TRAMITE PARA LA ENTREGA RECEPCIÓN DE SUS ARCHIVOS DE TRÁMITE?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30.5. ¿QUIEN CAPACITÓ A LOS RESPONSABLES DE ARCHIVO DE TRÁMITE?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30.6. ¿EL ARCHIVO MUNICIPAL Y/O EL ÁREA COORDINADORA DE ARCHIVOS CUENTA CON LA INFORMACIÓN SOBRE LA CANTIDAD DE EXPEDIENTES QUE ENTREGÓ CADA UNIDAD ADMINISTRATIVA EN SU ÚLTIMA ENTREGA-RECEPCIÓN?</w:t>
      </w:r>
    </w:p>
    <w:p w:rsidR="00FD3B00" w:rsidRDefault="00FD3B00">
      <w:pPr>
        <w:tabs>
          <w:tab w:val="left" w:pos="8503"/>
        </w:tabs>
        <w:spacing w:before="120" w:after="120"/>
        <w:ind w:left="284"/>
        <w:jc w:val="both"/>
        <w:rPr>
          <w:rFonts w:ascii="Palatino Linotype" w:eastAsia="Palatino Linotype" w:hAnsi="Palatino Linotype" w:cs="Palatino Linotype"/>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31. CONTRALORÍA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31.1. ¿EL ÓRGANO INTERNO DE CONTROL LLEVA A CABO AUDITORÍAS ADMINISTRATIVAS A LOS ARCHIVOS COMO LO ESTABLECE EL ARTÍCULO 12 PÁRRAFO SEGUNDO DE LA LEY GENERAL DE ARCHIVOS?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EN CASO AFIRMATIVO</w:t>
      </w:r>
      <w:r>
        <w:rPr>
          <w:rFonts w:ascii="Palatino Linotype" w:eastAsia="Palatino Linotype" w:hAnsi="Palatino Linotype" w:cs="Palatino Linotype"/>
          <w:sz w:val="20"/>
          <w:szCs w:val="20"/>
        </w:rPr>
        <w:t xml:space="preserve">: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31.2. ¿CUANTAS AUDITORIAS ADMINISTRATIVAS A LOS ARCHIVOS SE HICIERON EN LOS AÑOS 2019, 2020 Y 2021?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31.3. ¿SE HICIERON INSPECCIONES Y/O REVISIONES A LOS ARCHIVOS DE TRÁMITE PARA REVISIÓN DEL CUMPLIMIENTO DE LA NORMATIVIDAD APLICABLE VIGENTE EN MATERIA DE ARCHIVÍSTICA?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rsidR="00FD3B00" w:rsidRDefault="00876CB2">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31.4. ¿CUANTAS INSPECCIONES Y/O REVISIONES A LOS ARCHIVOS DE TRÁMITE PARA REVISIÓN DEL CUMPLIMIENTO DE LA NORMATIVIDAD APLICABLE VIGENTE EN MATERIA DE ARCHIVÍSTICA SE LLEVARON A CABO EN LOS AÑOS 2019, 2020 Y 2021? </w:t>
      </w:r>
    </w:p>
    <w:p w:rsidR="00FD3B00" w:rsidRDefault="00FD3B00">
      <w:pPr>
        <w:tabs>
          <w:tab w:val="left" w:pos="8503"/>
        </w:tabs>
        <w:spacing w:before="120" w:after="120"/>
        <w:ind w:left="284"/>
        <w:jc w:val="both"/>
        <w:rPr>
          <w:rFonts w:ascii="Palatino Linotype" w:eastAsia="Palatino Linotype" w:hAnsi="Palatino Linotype" w:cs="Palatino Linotype"/>
          <w:b/>
          <w:sz w:val="20"/>
          <w:szCs w:val="20"/>
        </w:rPr>
      </w:pPr>
    </w:p>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32. FUENTE </w:t>
      </w:r>
    </w:p>
    <w:p w:rsidR="00FD3B00" w:rsidRDefault="00876CB2">
      <w:pPr>
        <w:tabs>
          <w:tab w:val="left" w:pos="426"/>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32.1. SOLICITO, DE LA MANERA MÁS ATENTA, EL NOMBRE COMPLETO Y CARGO DE LOS RESPONSABLES DE PROVEER LA INFORMACIÓN SOLICITADA EN EL PRESENTE DOCUMENTO.</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previo a entrar al estudio de fondo del presente asunto, no escapa de la óptica que la particular, a través de su solicitud de información pretende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pronuncie de manera afirmativa negativa, o bien emita un pronunciamiento categórico mediante el cual explique determinada situación, a fin de satisfacer la mayoría de sus interrogantes o inquietudes</w:t>
      </w:r>
      <w:r>
        <w:rPr>
          <w:rFonts w:ascii="Palatino Linotype" w:eastAsia="Palatino Linotype" w:hAnsi="Palatino Linotype" w:cs="Palatino Linotype"/>
          <w:i/>
        </w:rPr>
        <w:t>,</w:t>
      </w:r>
      <w:r>
        <w:rPr>
          <w:rFonts w:ascii="Palatino Linotype" w:eastAsia="Palatino Linotype" w:hAnsi="Palatino Linotype" w:cs="Palatino Linotype"/>
        </w:rPr>
        <w:t xml:space="preserve"> razón por la cual este Organismo considera pertinente, en primer lugar, establecer las diferencias entre el derecho de petición y el derecho base del asunto que nos ocupa, basado en lo siguiente:</w:t>
      </w:r>
    </w:p>
    <w:p w:rsidR="00FD3B00" w:rsidRDefault="00876CB2">
      <w:pPr>
        <w:spacing w:before="240" w:after="360" w:line="360" w:lineRule="auto"/>
        <w:jc w:val="both"/>
        <w:rPr>
          <w:rFonts w:ascii="Palatino Linotype" w:eastAsia="Palatino Linotype" w:hAnsi="Palatino Linotype" w:cs="Palatino Linotype"/>
          <w:i/>
        </w:rPr>
      </w:pPr>
      <w:r>
        <w:rPr>
          <w:rFonts w:ascii="Palatino Linotype" w:eastAsia="Palatino Linotype" w:hAnsi="Palatino Linotype" w:cs="Palatino Linotype"/>
        </w:rPr>
        <w:t>El Maestro Ignacio Burgoa Orihuela refiere que el derecho de petición “…</w:t>
      </w:r>
      <w:r>
        <w:rPr>
          <w:rFonts w:ascii="Palatino Linotype" w:eastAsia="Palatino Linotype" w:hAnsi="Palatino Linotype" w:cs="Palatino Linotype"/>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Pr>
          <w:rFonts w:ascii="Palatino Linotype" w:eastAsia="Palatino Linotype" w:hAnsi="Palatino Linotype" w:cs="Palatino Linotype"/>
          <w:i/>
          <w:vertAlign w:val="superscript"/>
        </w:rPr>
        <w:t xml:space="preserve"> </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rPr>
        <w:t xml:space="preserve">“, </w:t>
      </w:r>
      <w:r>
        <w:rPr>
          <w:rFonts w:ascii="Palatino Linotype" w:eastAsia="Palatino Linotype" w:hAnsi="Palatino Linotype" w:cs="Palatino Linotype"/>
        </w:rPr>
        <w:t>mientras que</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David Cienfuegos Salgado, lo concibe como </w:t>
      </w:r>
      <w:r>
        <w:rPr>
          <w:rFonts w:ascii="Palatino Linotype" w:eastAsia="Palatino Linotype" w:hAnsi="Palatino Linotype" w:cs="Palatino Linotype"/>
          <w:i/>
        </w:rPr>
        <w:t>“el derecho de toda persona a ser escuchado por quienes ejercen el poder público.</w:t>
      </w:r>
      <w:r>
        <w:rPr>
          <w:rFonts w:ascii="Palatino Linotype" w:eastAsia="Palatino Linotype" w:hAnsi="Palatino Linotype" w:cs="Palatino Linotype"/>
          <w:i/>
          <w:vertAlign w:val="superscript"/>
        </w:rPr>
        <w:t xml:space="preserve"> </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i/>
        </w:rPr>
        <w:t xml:space="preserve">” </w:t>
      </w:r>
    </w:p>
    <w:p w:rsidR="00FD3B00" w:rsidRDefault="00876CB2">
      <w:pPr>
        <w:spacing w:before="240" w:after="36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Para diferenciar el derecho de petición al derecho de acceso a la información, resulta conducente señalar que José Guadalupe Robles, conceptualiza el derecho a la información como </w:t>
      </w:r>
      <w:r>
        <w:rPr>
          <w:rFonts w:ascii="Palatino Linotype" w:eastAsia="Palatino Linotype" w:hAnsi="Palatino Linotype" w:cs="Palatino Linotype"/>
          <w:i/>
        </w:rPr>
        <w:t xml:space="preserve">“un derecho fundamental tanto de carácter individual como colectivo, cuyas limitaciones deben estar establecida en la ley, así como una garantía de que la información sea transmitida con claridad y objetividad, por cuanto a que es un bien jurídico </w:t>
      </w:r>
      <w:r>
        <w:rPr>
          <w:rFonts w:ascii="Palatino Linotype" w:eastAsia="Palatino Linotype" w:hAnsi="Palatino Linotype" w:cs="Palatino Linotype"/>
          <w:i/>
        </w:rPr>
        <w:lastRenderedPageBreak/>
        <w:t>que coadyuva al desarrollo de las personas y a la formación de opinión pública de calidad para poder participar y luego influir en la vida pública.</w:t>
      </w:r>
      <w:r>
        <w:rPr>
          <w:rFonts w:ascii="Palatino Linotype" w:eastAsia="Palatino Linotype" w:hAnsi="Palatino Linotype" w:cs="Palatino Linotype"/>
          <w:i/>
          <w:vertAlign w:val="superscript"/>
        </w:rPr>
        <w:t xml:space="preserve"> </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i/>
        </w:rPr>
        <w:t>“</w:t>
      </w:r>
    </w:p>
    <w:p w:rsidR="00FD3B00" w:rsidRDefault="00876CB2">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el derecho a la información constituye una prerrogativa de acceder a documentación en poder de los Sujetos Obligados, no así a realizar cuestionamientos, o manifestaciones subjetivas. </w:t>
      </w:r>
    </w:p>
    <w:p w:rsidR="00FD3B00" w:rsidRDefault="00876CB2">
      <w:pPr>
        <w:spacing w:before="240" w:after="360" w:line="360" w:lineRule="auto"/>
        <w:jc w:val="both"/>
        <w:rPr>
          <w:rFonts w:ascii="Palatino Linotype" w:eastAsia="Palatino Linotype" w:hAnsi="Palatino Linotype" w:cs="Palatino Linotype"/>
          <w:i/>
        </w:rPr>
      </w:pPr>
      <w:r>
        <w:rPr>
          <w:rFonts w:ascii="Palatino Linotype" w:eastAsia="Palatino Linotype" w:hAnsi="Palatino Linotype" w:cs="Palatino Linotype"/>
        </w:rPr>
        <w:t>Sirve de apoyo a lo anterior la definición de derecho a la información de Ernesto Villanueva Villanueva que dice: “</w:t>
      </w:r>
      <w:r>
        <w:rPr>
          <w:rFonts w:ascii="Palatino Linotype" w:eastAsia="Palatino Linotype" w:hAnsi="Palatino Linotype" w:cs="Palatino Linotype"/>
          <w:i/>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Pr>
          <w:rFonts w:ascii="Palatino Linotype" w:eastAsia="Palatino Linotype" w:hAnsi="Palatino Linotype" w:cs="Palatino Linotype"/>
          <w:i/>
          <w:vertAlign w:val="superscript"/>
        </w:rPr>
        <w:footnoteReference w:id="4"/>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w:t>
      </w:r>
      <w:r>
        <w:rPr>
          <w:rFonts w:ascii="Palatino Linotype" w:eastAsia="Palatino Linotype" w:hAnsi="Palatino Linotype" w:cs="Palatino Linotype"/>
          <w:b/>
        </w:rPr>
        <w:t>la entrega de una razón o un razonamiento por parte del Sujeto Obligado no es algo que la ley establezca como atribución, derecho, o facultad</w:t>
      </w:r>
      <w:r>
        <w:rPr>
          <w:rFonts w:ascii="Palatino Linotype" w:eastAsia="Palatino Linotype" w:hAnsi="Palatino Linotype" w:cs="Palatino Linotype"/>
        </w:rPr>
        <w:t xml:space="preserve">; </w:t>
      </w:r>
      <w:r>
        <w:rPr>
          <w:rFonts w:ascii="Palatino Linotype" w:eastAsia="Palatino Linotype" w:hAnsi="Palatino Linotype" w:cs="Palatino Linotype"/>
          <w:b/>
        </w:rPr>
        <w:t>pues ello implicaría un juicio de valor referente a un cuestionamiento realizado</w:t>
      </w:r>
      <w:r>
        <w:rPr>
          <w:rFonts w:ascii="Palatino Linotype" w:eastAsia="Palatino Linotype" w:hAnsi="Palatino Linotype" w:cs="Palatino Linotype"/>
        </w:rPr>
        <w:t>, los cuales, al constituir interrogantes, inquietudes y manifestaciones se satisfacen vía derecho de petición.</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se menciona que el derecho de acceso a la información pública por disposición del artículo 4 citado con antelación, de la Ley de Transparencia y Acceso a la Información Pública del Estado de México y Municipios es la </w:t>
      </w:r>
      <w:r>
        <w:rPr>
          <w:rFonts w:ascii="Palatino Linotype" w:eastAsia="Palatino Linotype" w:hAnsi="Palatino Linotype" w:cs="Palatino Linotype"/>
        </w:rPr>
        <w:lastRenderedPageBreak/>
        <w:t xml:space="preserve">prerrogativa de las personas para buscar, difundir, investigar, recabar, recibir y solicitar información pública. </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Pr>
          <w:rFonts w:ascii="Palatino Linotype" w:eastAsia="Palatino Linotype" w:hAnsi="Palatino Linotype" w:cs="Palatino Linotype"/>
        </w:rPr>
        <w:lastRenderedPageBreak/>
        <w:t>documentos podrán estar en cualquier medio, sea escrito, impreso, sonoro, visual, electrónico, informático u holográfico.</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el derecho de acceso a la información pública se satisface en aquellos casos en que se entregue el soporte documental en que conste la información pública, toda vez que los Sujetos Obligados no tienen el deber de generar información, resumirla, practicar investigaciones o realizar cálculos para satisfacer el derecho de acceso a la información conforme al interés de los particulares. </w:t>
      </w:r>
    </w:p>
    <w:p w:rsidR="00FD3B00" w:rsidRDefault="00876CB2">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Así, se puede concluir que la distinción entre el derecho de petición y el derecho de acceso a la información pública estriba principalmente en que en el primero de ellos, la pretensión del peticionario consiste generalmente en </w:t>
      </w:r>
      <w:r>
        <w:rPr>
          <w:rFonts w:ascii="Palatino Linotype" w:eastAsia="Palatino Linotype" w:hAnsi="Palatino Linotype" w:cs="Palatino Linotype"/>
          <w:i/>
        </w:rPr>
        <w:t>obligar a la autoridad responsable a que actúe en el sentido de contestar lo solicitado</w:t>
      </w:r>
      <w:r>
        <w:rPr>
          <w:rFonts w:ascii="Palatino Linotype" w:eastAsia="Palatino Linotype" w:hAnsi="Palatino Linotype" w:cs="Palatino Linotype"/>
        </w:rPr>
        <w:t xml:space="preserve">, mientras que en el segundo supuesto la solicitud de acceso a la información pública </w:t>
      </w:r>
      <w:r>
        <w:rPr>
          <w:rFonts w:ascii="Palatino Linotype" w:eastAsia="Palatino Linotype" w:hAnsi="Palatino Linotype" w:cs="Palatino Linotype"/>
          <w:i/>
        </w:rPr>
        <w:t>se encamina primordialmente a permitir el acceso a datos, registros y todo tipo de información pública que conste en documentos, sea generada o se encuentre en posesión de la autoridad.</w:t>
      </w:r>
    </w:p>
    <w:p w:rsidR="00FD3B00" w:rsidRDefault="00876CB2">
      <w:pPr>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Asimismo, es importante enfatizar que el Derecho de Acceso a la Información Pública consiste en que la </w:t>
      </w:r>
      <w:r>
        <w:rPr>
          <w:rFonts w:ascii="Palatino Linotype" w:eastAsia="Palatino Linotype" w:hAnsi="Palatino Linotype" w:cs="Palatino Linotype"/>
          <w:b/>
          <w:u w:val="single"/>
        </w:rPr>
        <w:t>información solicitada conste en un soporte documental</w:t>
      </w:r>
      <w:r>
        <w:rPr>
          <w:rFonts w:ascii="Palatino Linotype" w:eastAsia="Palatino Linotype" w:hAnsi="Palatino Linotype" w:cs="Palatino Linotype"/>
        </w:rPr>
        <w:t xml:space="preserve"> en cualquiera de sus formas, a saber: expedientes, reportes, estudios, actas</w:t>
      </w:r>
      <w:r>
        <w:rPr>
          <w:rFonts w:ascii="Palatino Linotype" w:eastAsia="Palatino Linotype" w:hAnsi="Palatino Linotype" w:cs="Palatino Linotype"/>
          <w:b/>
        </w:rPr>
        <w:t>,</w:t>
      </w:r>
      <w:r>
        <w:rPr>
          <w:rFonts w:ascii="Palatino Linotype" w:eastAsia="Palatino Linotype" w:hAnsi="Palatino Linotype" w:cs="Palatino Linotype"/>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w:t>
      </w:r>
      <w:r>
        <w:rPr>
          <w:rFonts w:ascii="Palatino Linotype" w:eastAsia="Palatino Linotype" w:hAnsi="Palatino Linotype" w:cs="Palatino Linotype"/>
        </w:rPr>
        <w:lastRenderedPageBreak/>
        <w:t xml:space="preserve">conformidad con el artículo 3, fracción XI de la Ley de la materia, el cual dispone lo siguiente: </w:t>
      </w:r>
    </w:p>
    <w:p w:rsidR="00FD3B00" w:rsidRDefault="00876CB2">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FD3B00" w:rsidRDefault="00876CB2">
      <w:pPr>
        <w:ind w:left="1134"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D3B00" w:rsidRDefault="00876CB2">
      <w:pPr>
        <w:ind w:left="1134"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 resoluciones,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D3B00" w:rsidRDefault="00FD3B00">
      <w:pPr>
        <w:ind w:left="1134" w:right="901"/>
        <w:jc w:val="both"/>
        <w:rPr>
          <w:rFonts w:ascii="Palatino Linotype" w:eastAsia="Palatino Linotype" w:hAnsi="Palatino Linotype" w:cs="Palatino Linotype"/>
          <w:sz w:val="22"/>
          <w:szCs w:val="22"/>
        </w:rPr>
      </w:pPr>
    </w:p>
    <w:p w:rsidR="00FD3B00" w:rsidRDefault="00876C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FD3B00" w:rsidRDefault="00FD3B00">
      <w:pPr>
        <w:ind w:left="851" w:right="850"/>
        <w:jc w:val="both"/>
        <w:rPr>
          <w:rFonts w:ascii="Palatino Linotype" w:eastAsia="Palatino Linotype" w:hAnsi="Palatino Linotype" w:cs="Palatino Linotype"/>
          <w:sz w:val="20"/>
          <w:szCs w:val="20"/>
        </w:rPr>
      </w:pPr>
    </w:p>
    <w:p w:rsidR="00FD3B00" w:rsidRDefault="00876CB2">
      <w:pPr>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FD3B00" w:rsidRDefault="00876CB2">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D3B00" w:rsidRDefault="00876CB2">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FD3B00" w:rsidRDefault="00876CB2">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w:t>
      </w:r>
      <w:r>
        <w:rPr>
          <w:rFonts w:ascii="Palatino Linotype" w:eastAsia="Palatino Linotype" w:hAnsi="Palatino Linotype" w:cs="Palatino Linotype"/>
          <w:b/>
          <w:i/>
          <w:sz w:val="22"/>
          <w:szCs w:val="22"/>
          <w:u w:val="single"/>
        </w:rPr>
        <w:t>registrada en cualquier soporte documental</w:t>
      </w:r>
      <w:r>
        <w:rPr>
          <w:rFonts w:ascii="Palatino Linotype" w:eastAsia="Palatino Linotype" w:hAnsi="Palatino Linotype" w:cs="Palatino Linotype"/>
          <w:i/>
          <w:sz w:val="22"/>
          <w:szCs w:val="22"/>
        </w:rPr>
        <w:t>, que en ejercicio de las atribuciones conferidas, sea generada por los Sujetos Obligados;</w:t>
      </w:r>
    </w:p>
    <w:p w:rsidR="00FD3B00" w:rsidRDefault="00876CB2">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2) Que se trate de información </w:t>
      </w:r>
      <w:r>
        <w:rPr>
          <w:rFonts w:ascii="Palatino Linotype" w:eastAsia="Palatino Linotype" w:hAnsi="Palatino Linotype" w:cs="Palatino Linotype"/>
          <w:b/>
          <w:i/>
          <w:sz w:val="22"/>
          <w:szCs w:val="22"/>
          <w:u w:val="single"/>
        </w:rPr>
        <w:t>registrada en cualquier soporte documental</w:t>
      </w:r>
      <w:r>
        <w:rPr>
          <w:rFonts w:ascii="Palatino Linotype" w:eastAsia="Palatino Linotype" w:hAnsi="Palatino Linotype" w:cs="Palatino Linotype"/>
          <w:i/>
          <w:sz w:val="22"/>
          <w:szCs w:val="22"/>
        </w:rPr>
        <w:t>, que en ejercicio de las atribuciones conferidas, sea administrada por los Sujetos Obligados, y</w:t>
      </w:r>
    </w:p>
    <w:p w:rsidR="00FD3B00" w:rsidRDefault="00876CB2">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w:t>
      </w:r>
      <w:r>
        <w:rPr>
          <w:rFonts w:ascii="Palatino Linotype" w:eastAsia="Palatino Linotype" w:hAnsi="Palatino Linotype" w:cs="Palatino Linotype"/>
          <w:b/>
          <w:i/>
          <w:sz w:val="22"/>
          <w:szCs w:val="22"/>
          <w:u w:val="single"/>
        </w:rPr>
        <w:t>registrada en cualquier soporte documental</w:t>
      </w:r>
      <w:r>
        <w:rPr>
          <w:rFonts w:ascii="Palatino Linotype" w:eastAsia="Palatino Linotype" w:hAnsi="Palatino Linotype" w:cs="Palatino Linotype"/>
          <w:i/>
          <w:sz w:val="22"/>
          <w:szCs w:val="22"/>
        </w:rPr>
        <w:t>, que en ejercicio de las atribuciones conferidas, se encuentre en posesión de los Sujetos Obligados.” (Sic)</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generó o porque como parte del ejercicio de sus funciones la recibió y por consiguiente, la administra y posee. </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no obsta mencionar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rsidR="00FD3B00" w:rsidRDefault="00876CB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sustento a lo anterior resulta aplicable el Criterio 16/17, emitido por el Instituto Nacional de Transparencia, Acceso a la Información y Protección de Datos Personales, INAI, establece lo siguiente: </w:t>
      </w:r>
    </w:p>
    <w:p w:rsidR="00FD3B00" w:rsidRDefault="00876CB2">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Pr>
          <w:sz w:val="22"/>
          <w:szCs w:val="22"/>
        </w:rPr>
        <w:lastRenderedPageBreak/>
        <w:t xml:space="preserve"> “</w:t>
      </w:r>
      <w:r>
        <w:rPr>
          <w:rFonts w:ascii="Palatino Linotype" w:eastAsia="Palatino Linotype" w:hAnsi="Palatino Linotype" w:cs="Palatino Linotype"/>
          <w:b/>
          <w:i/>
          <w:sz w:val="22"/>
          <w:szCs w:val="22"/>
        </w:rPr>
        <w:t xml:space="preserve">Expresión documental. </w:t>
      </w:r>
      <w:r>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es de señalar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 la encargada de Archivo Municipal, remitió su nombramiento, así como la contestación a los planteamientos vertidos por la particular, en el ámbito de su competencia.</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Sin embargo, al no estar conforme con los términos de la misma, la particular presentó el recurso de revisión que nos ocupa, mediante el cual, como motivo de inconformidad, señaló que la información se entregó incompleta, precisando lo siguiente:</w:t>
      </w:r>
    </w:p>
    <w:p w:rsidR="00FD3B00" w:rsidRDefault="00876CB2">
      <w:pPr>
        <w:spacing w:before="240" w:after="240" w:line="276" w:lineRule="auto"/>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ACLARACIÓN:</w:t>
      </w:r>
      <w:r>
        <w:rPr>
          <w:rFonts w:ascii="Palatino Linotype" w:eastAsia="Palatino Linotype" w:hAnsi="Palatino Linotype" w:cs="Palatino Linotype"/>
          <w:sz w:val="22"/>
          <w:szCs w:val="22"/>
        </w:rPr>
        <w:t xml:space="preserve"> NO SE RECIBIÓ NIGUNA RESPUESTA A LAS PREGUNTAS Y SOLICITUDES DE DOCUMENTACIÓN QUE SE ENLISTAN A CONTINUACIÓN. </w:t>
      </w:r>
    </w:p>
    <w:p w:rsidR="00FD3B00" w:rsidRDefault="00876CB2">
      <w:pPr>
        <w:spacing w:before="240" w:after="240" w:line="276" w:lineRule="auto"/>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1.2, 1.4, 3.1, 3.2, 3.3, 3.4, 5.3, 5.4, 11.1, 11.2, 11.3, 11.5, 11.6, 11.7, 12.1, 13.3, 17.2, 17.3, 19.1, 19.2, 19.3, 19.4, 19.5, 23.1, 26.2, 23.3, 23.4, 23.5, 23.6, 25.1, 26.1, 27.1, 29.1, 29.2, 30.1, 30.2, 30.3, 30.4, 30.5, 30.6, 31.1, 31.2, 31.3 Y 31.4 </w:t>
      </w:r>
    </w:p>
    <w:p w:rsidR="00FD3B00" w:rsidRDefault="00876CB2">
      <w:pPr>
        <w:spacing w:before="240" w:after="240" w:line="276" w:lineRule="auto"/>
        <w:ind w:left="284" w:right="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DERIVADO DE LO ANTERIOR, SOLICITO DE LA MANERA MÁS ATENTA, SE CONTESTEN LAS PREGUNTAS Y SOLICITUDES DE INFORMACIÓN EN COMENTO DE ACUERDO A LO INDICADO EN EL DOCUMENTO QUE CONSTA DE 32 NUMERALES CON 17 HOJAS, AMPARADO POR LA SOLICITUD CON N° DE FOLIO 00037/ZACULPA/IP/2022.</w:t>
      </w:r>
    </w:p>
    <w:p w:rsidR="00FD3B00" w:rsidRDefault="00876CB2">
      <w:pPr>
        <w:spacing w:before="240" w:after="240" w:line="276" w:lineRule="auto"/>
        <w:ind w:left="284" w:right="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DE IGUAL FORMA SOLICITO, DE LA MANERA MÁS ATENTA, QUE A LAS PREGUNTAS Y SOLICITUDES DE DOCUMENTACIÓN DE LAS CUALES NO SE ENCUENTRE EVIDENCIA DE SU EXISTENCIA, O SEA EL CASO DE EMITIR UNA RESPUESTA IGUAL Y/O SEMEJANTE, SE CONTESTE EL PRESENTE RECURSO DE REVISIÓN EN TÉRMINOS DE LOS ARTÍCULOS 19 Y 20 DE LA LEY DE </w:t>
      </w:r>
      <w:r>
        <w:rPr>
          <w:rFonts w:ascii="Palatino Linotype" w:eastAsia="Palatino Linotype" w:hAnsi="Palatino Linotype" w:cs="Palatino Linotype"/>
          <w:b/>
          <w:sz w:val="22"/>
          <w:szCs w:val="22"/>
        </w:rPr>
        <w:lastRenderedPageBreak/>
        <w:t>TRANSPARENCIA Y ACCESO A LA INFORMACIÓN PÚBLICA DEL ESTADO DE MÉXICO Y MUNICIPIOS, ADJUNTANDO COPIA DEL ACTA DEL COMITÉ DE TRANSPARENCIA CORRESPONDIENTE.</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no pasa inadvertido para este Organismo Garante que los motivos de inconformidad aducidos, no versan sobre la totalidad de la información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pues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inconformó, de manera expresa, respecto de los puntos 1.2, 1.4, 3.1, 3.2, 3.3, 3.4, 5.3, 5.4, 11.1, 11.2, 11.3, 11.5, 11.6, 11.7, 12.1, 13.3, 17.2, 17.3, 19.1, 19.2, 19.3, 19.4, 19.5, 23.1, 26.2, 23.3, 23.4, 23.5, 23.6, 25.1, 26.1, 27.1, 29.1, 29.2, 30.1, 30.2, 30.3, 30.4, 30.5, 30.6, 31.1, 31.2, 31.3 y 31.4</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satisface la solicitud presentada.</w:t>
      </w:r>
    </w:p>
    <w:p w:rsidR="00FD3B00" w:rsidRDefault="00876CB2">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debido a que cuando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impugna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FD3B00" w:rsidRDefault="00876CB2">
      <w:pPr>
        <w:spacing w:before="240" w:after="36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“REVISIÓN EN AMPARO. LOS RESOLUTIVOS NO COMBATIDOS DEBEN DECLARARSE FIRMES. </w:t>
      </w:r>
      <w:r>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Consecuentemente, se insiste, ante la falta de impugnación eficaz, la respuesta entregada debe declararse consentida por el particular.</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rsidR="00FD3B00" w:rsidRDefault="00876CB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Actos consentidos tácitamente. Improcedencia de su análisis. </w:t>
      </w:r>
      <w:r>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admitido el presente recurso de revisión, en términos del artículo 185 fracción II</w:t>
      </w:r>
      <w:r>
        <w:rPr>
          <w:rFonts w:ascii="Palatino Linotype" w:eastAsia="Palatino Linotype" w:hAnsi="Palatino Linotype" w:cs="Palatino Linotype"/>
          <w:vertAlign w:val="superscript"/>
        </w:rPr>
        <w:footnoteReference w:id="5"/>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tal sentido,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 la Encargada del Archivo Municipal,</w:t>
      </w:r>
      <w:r>
        <w:rPr>
          <w:rFonts w:ascii="Palatino Linotype" w:eastAsia="Palatino Linotype" w:hAnsi="Palatino Linotype" w:cs="Palatino Linotype"/>
          <w:b/>
        </w:rPr>
        <w:t xml:space="preserve"> </w:t>
      </w:r>
      <w:r>
        <w:rPr>
          <w:rFonts w:ascii="Palatino Linotype" w:eastAsia="Palatino Linotype" w:hAnsi="Palatino Linotype" w:cs="Palatino Linotype"/>
        </w:rPr>
        <w:t>y la Titular de la Unidad de Transparencia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remitió la contestación a los puntos del cuestionario combatidos por la particular. </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remitió el Acta de la Segunda Sesión Extraordinaria, mediante la cual, el Comité de Transparencia  confirma la declaratoria de inexistencia de la información que no fue encontrada en los archivos del Sujeto Obligado, al señalar que se trata de manifestaciones subjetivas vertidas por el particular, interrogantes y declaraciones que no se colman con la entrega de documentos, cuya situación conlleva a afirmar que se está en presencia del derecho de petición. </w:t>
      </w:r>
    </w:p>
    <w:p w:rsidR="00FD3B00" w:rsidRDefault="00876CB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señalar que una vez que los documentos fueron analizados, se hicieron del conocimiento de la particular, a efecto de que manifestara lo que a su derecho estimara conveniente, siendo omisa en ejercer dicha prerrogativa en el plazo establecido para tal efecto.</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esta tesitura, respecto de los requerimientos combatidos, los mismos fueron analizados por este Organismo Garante a la luz del derecho de acceso a la información en contraposición con lo establecido en los Lineamientos para la Organización y Conservación de los Archivos, la Ley General de Archivos, los Lineamientos para la Organización y Conservación de los Archivos y la Ley de Archivos y Administración de Documentos del Estado de México y Municipios, a efecto de determinar si los mismos podían colmarse con la entrega de un documento, o, por el contrario, si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encuentra imposibilitado para atender los mismos por tratarse del ejercicio del derecho de petición en los términos expuestos con antelación.</w:t>
      </w:r>
    </w:p>
    <w:p w:rsidR="00FD3B00" w:rsidRDefault="00876CB2">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Siendo indispensable, en primer lugar, mencionar que de conformidad con el Transitorio Primero de los Lineamientos para la Organización y Conservación de los Archivos, los mismos </w:t>
      </w:r>
      <w:r>
        <w:rPr>
          <w:rFonts w:ascii="Palatino Linotype" w:eastAsia="Palatino Linotype" w:hAnsi="Palatino Linotype" w:cs="Palatino Linotype"/>
          <w:u w:val="single"/>
        </w:rPr>
        <w:t>entraron en vigor</w:t>
      </w:r>
      <w:r>
        <w:rPr>
          <w:rFonts w:ascii="Palatino Linotype" w:eastAsia="Palatino Linotype" w:hAnsi="Palatino Linotype" w:cs="Palatino Linotype"/>
        </w:rPr>
        <w:t xml:space="preserve"> al día siguiente de su publicación en el Diario Oficial de la Federación, es decir, a partir del </w:t>
      </w:r>
      <w:r>
        <w:rPr>
          <w:rFonts w:ascii="Palatino Linotype" w:eastAsia="Palatino Linotype" w:hAnsi="Palatino Linotype" w:cs="Palatino Linotype"/>
          <w:u w:val="single"/>
        </w:rPr>
        <w:t>cinco de mayo de dos mil dieciséis,</w:t>
      </w:r>
      <w:r>
        <w:rPr>
          <w:rFonts w:ascii="Palatino Linotype" w:eastAsia="Palatino Linotype" w:hAnsi="Palatino Linotype" w:cs="Palatino Linotype"/>
        </w:rPr>
        <w:t xml:space="preserve"> contando los Sujetos Obligados con un plazo máximo de 12 meses 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 asimismo, de conformidad con el Transitorio Primero de la Ley General de Archivos, esta entró en vigor a los 365 días siguientes, contados a partir de su publicación en el Diario Oficial de la Federación, misma que tuvo lugar quince de junio de dos mil dieciocho, por lo que la referida normatividad </w:t>
      </w:r>
      <w:r>
        <w:rPr>
          <w:rFonts w:ascii="Palatino Linotype" w:eastAsia="Palatino Linotype" w:hAnsi="Palatino Linotype" w:cs="Palatino Linotype"/>
          <w:u w:val="single"/>
        </w:rPr>
        <w:t>entró en vigor hasta el día quince de junio de dos mil diecinueve</w:t>
      </w:r>
      <w:r>
        <w:rPr>
          <w:rFonts w:ascii="Palatino Linotype" w:eastAsia="Palatino Linotype" w:hAnsi="Palatino Linotype" w:cs="Palatino Linotype"/>
        </w:rPr>
        <w:t>; mientras que el Transitorio Cuarto establece la obligación de las legislaturas de cada entidad federativa, para armonizar los ordenamientos relacionados con la referida Ley en un plazo de un año, a partir de la entrada en vigor de la misma, en otras palabras, las legislaturas de las entidades, contaron con un plazo de un año, contado a partir del  quince de junio de dos mil diecinueve para ajustar sus ordenamientos en materia archivística, plazo que venció el quince de junio de dos mil veinte; y, finalmente, el Transitorio Décimo Primero, establece que los Sujetos Obligados debían implementar su sistema institucional de archivos, dentro de los seis meses posteriores a la entrada en vigor de la Ley General, esto es, a más tardar el quince de diciembre de dos mil diecinueve.</w:t>
      </w:r>
    </w:p>
    <w:p w:rsidR="00FD3B00" w:rsidRDefault="00876CB2">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lastRenderedPageBreak/>
        <w:t xml:space="preserve">Por otro lado, en el ámbito Local, la Ley de Archivos y Administración de Documentos del Estado de México y Municipios se publicó el veintiséis de noviembre de dos mil veinte, en el Periódico Oficial “Gaceta del Gobierno”, del Estado de México, ordenamiento que </w:t>
      </w:r>
      <w:r>
        <w:rPr>
          <w:rFonts w:ascii="Palatino Linotype" w:eastAsia="Palatino Linotype" w:hAnsi="Palatino Linotype" w:cs="Palatino Linotype"/>
          <w:u w:val="single"/>
        </w:rPr>
        <w:t>entró en vigor</w:t>
      </w:r>
      <w:r>
        <w:rPr>
          <w:rFonts w:ascii="Palatino Linotype" w:eastAsia="Palatino Linotype" w:hAnsi="Palatino Linotype" w:cs="Palatino Linotype"/>
        </w:rPr>
        <w:t xml:space="preserve"> a los 365 días siguientes a su publicación, es decir, el </w:t>
      </w:r>
      <w:r>
        <w:rPr>
          <w:rFonts w:ascii="Palatino Linotype" w:eastAsia="Palatino Linotype" w:hAnsi="Palatino Linotype" w:cs="Palatino Linotype"/>
          <w:u w:val="single"/>
        </w:rPr>
        <w:t xml:space="preserve">veintiséis de noviembre de dos mil veintiuno, </w:t>
      </w:r>
      <w:r>
        <w:rPr>
          <w:rFonts w:ascii="Palatino Linotype" w:eastAsia="Palatino Linotype" w:hAnsi="Palatino Linotype" w:cs="Palatino Linotype"/>
        </w:rPr>
        <w:t>de conformidad con el TRANSITORIO PRIMERO; mientras que el TRANSITORIO OCTAVO dispone que los Sujetos Obligados debían implementar su Sistema Institucional, dentro de los seis meses posteriores a la entrada en vigor de la referida Ley, teniendo como fecha límite el veintiséis de mayo de dos mil veintidós</w:t>
      </w:r>
      <w:r>
        <w:rPr>
          <w:rFonts w:ascii="Palatino Linotype" w:eastAsia="Palatino Linotype" w:hAnsi="Palatino Linotype" w:cs="Palatino Linotype"/>
          <w:sz w:val="22"/>
          <w:szCs w:val="22"/>
        </w:rPr>
        <w:t>.</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derivado de dicho análisis, se concluyó lo siguiente:</w:t>
      </w:r>
    </w:p>
    <w:tbl>
      <w:tblPr>
        <w:tblStyle w:val="af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FD3B00">
        <w:tc>
          <w:tcPr>
            <w:tcW w:w="8828" w:type="dxa"/>
            <w:gridSpan w:val="3"/>
            <w:vAlign w:val="center"/>
          </w:tcPr>
          <w:p w:rsidR="00FD3B00" w:rsidRDefault="00876CB2">
            <w:pPr>
              <w:numPr>
                <w:ilvl w:val="0"/>
                <w:numId w:val="2"/>
              </w:numPr>
              <w:pBdr>
                <w:top w:val="nil"/>
                <w:left w:val="nil"/>
                <w:bottom w:val="nil"/>
                <w:right w:val="nil"/>
                <w:between w:val="nil"/>
              </w:pBd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ÁREA COORDINADORA DE ARCHIVOS</w:t>
            </w:r>
            <w:r>
              <w:rPr>
                <w:rFonts w:ascii="Palatino Linotype" w:eastAsia="Palatino Linotype" w:hAnsi="Palatino Linotype" w:cs="Palatino Linotype"/>
                <w:sz w:val="20"/>
                <w:szCs w:val="20"/>
              </w:rPr>
              <w:t xml:space="preserve"> </w:t>
            </w:r>
          </w:p>
          <w:p w:rsidR="00FD3B00" w:rsidRDefault="00876CB2">
            <w:r>
              <w:rPr>
                <w:rFonts w:ascii="Palatino Linotype" w:eastAsia="Palatino Linotype" w:hAnsi="Palatino Linotype" w:cs="Palatino Linotype"/>
                <w:sz w:val="20"/>
                <w:szCs w:val="20"/>
              </w:rPr>
              <w:t>CONFORME LO ESTABLECIDO EN LOS ARTÍCULOS 27 Y 28 DE LA LEY GENERAL DE ARCHIVOS Y EL ARTÍCULO NOVENO FRACCIÓN I INCISO a) DE LOS LINEAMIENTOS PARA LA ORGANIZACIÓN Y CONSERVACIÓN DE LOS ARCHIVOS.</w:t>
            </w:r>
          </w:p>
        </w:tc>
      </w:tr>
      <w:tr w:rsidR="00FD3B00">
        <w:tc>
          <w:tcPr>
            <w:tcW w:w="2942" w:type="dxa"/>
            <w:vAlign w:val="center"/>
          </w:tcPr>
          <w:p w:rsidR="00FD3B00" w:rsidRDefault="00876CB2">
            <w:pPr>
              <w:jc w:val="center"/>
            </w:pPr>
            <w:r>
              <w:rPr>
                <w:rFonts w:ascii="Palatino Linotype" w:eastAsia="Palatino Linotype" w:hAnsi="Palatino Linotype" w:cs="Palatino Linotype"/>
                <w:b/>
                <w:sz w:val="20"/>
                <w:szCs w:val="20"/>
              </w:rPr>
              <w:t>REQUERIMIENTO</w:t>
            </w:r>
          </w:p>
        </w:tc>
        <w:tc>
          <w:tcPr>
            <w:tcW w:w="2943" w:type="dxa"/>
            <w:vAlign w:val="center"/>
          </w:tcPr>
          <w:p w:rsidR="00FD3B00" w:rsidRDefault="00876CB2">
            <w:pPr>
              <w:jc w:val="center"/>
            </w:pPr>
            <w:r>
              <w:rPr>
                <w:rFonts w:ascii="Palatino Linotype" w:eastAsia="Palatino Linotype" w:hAnsi="Palatino Linotype" w:cs="Palatino Linotype"/>
                <w:b/>
                <w:sz w:val="20"/>
                <w:szCs w:val="20"/>
              </w:rPr>
              <w:t>RESPUESTA</w:t>
            </w:r>
          </w:p>
        </w:tc>
        <w:tc>
          <w:tcPr>
            <w:tcW w:w="2943" w:type="dxa"/>
            <w:vAlign w:val="center"/>
          </w:tcPr>
          <w:p w:rsidR="00FD3B00" w:rsidRDefault="00876CB2">
            <w:pPr>
              <w:jc w:val="center"/>
            </w:pPr>
            <w:r>
              <w:rPr>
                <w:rFonts w:ascii="Palatino Linotype" w:eastAsia="Palatino Linotype" w:hAnsi="Palatino Linotype" w:cs="Palatino Linotype"/>
                <w:b/>
                <w:sz w:val="20"/>
                <w:szCs w:val="20"/>
              </w:rPr>
              <w:t>INFORME JUSTIFICADO</w:t>
            </w:r>
          </w:p>
        </w:tc>
      </w:tr>
      <w:tr w:rsidR="00FD3B00">
        <w:tc>
          <w:tcPr>
            <w:tcW w:w="2942" w:type="dxa"/>
            <w:vAlign w:val="center"/>
          </w:tcPr>
          <w:p w:rsidR="00FD3B00" w:rsidRDefault="00876CB2">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 ¿A PARTIR DE QUE AÑO CUENTAN CON ÁREA COORDINADORA DE ARCHIVOS?</w:t>
            </w:r>
          </w:p>
        </w:tc>
        <w:tc>
          <w:tcPr>
            <w:tcW w:w="2943" w:type="dxa"/>
            <w:vAlign w:val="center"/>
          </w:tcPr>
          <w:p w:rsidR="00FD3B00" w:rsidRDefault="00876CB2">
            <w:pPr>
              <w:jc w:val="center"/>
            </w:pPr>
            <w:r>
              <w:rPr>
                <w:rFonts w:ascii="Palatino Linotype" w:eastAsia="Palatino Linotype" w:hAnsi="Palatino Linotype" w:cs="Palatino Linotype"/>
                <w:sz w:val="20"/>
                <w:szCs w:val="20"/>
              </w:rPr>
              <w:t>OMISO</w:t>
            </w:r>
          </w:p>
        </w:tc>
        <w:tc>
          <w:tcPr>
            <w:tcW w:w="2943" w:type="dxa"/>
            <w:vAlign w:val="center"/>
          </w:tcPr>
          <w:p w:rsidR="00FD3B00" w:rsidRDefault="00876CB2">
            <w:pPr>
              <w:jc w:val="center"/>
            </w:pPr>
            <w:r>
              <w:rPr>
                <w:rFonts w:ascii="Palatino Linotype" w:eastAsia="Palatino Linotype" w:hAnsi="Palatino Linotype" w:cs="Palatino Linotype"/>
                <w:sz w:val="20"/>
                <w:szCs w:val="20"/>
              </w:rPr>
              <w:t>1970</w:t>
            </w:r>
          </w:p>
        </w:tc>
      </w:tr>
      <w:tr w:rsidR="00FD3B00">
        <w:tc>
          <w:tcPr>
            <w:tcW w:w="2942" w:type="dxa"/>
            <w:vAlign w:val="center"/>
          </w:tcPr>
          <w:p w:rsidR="00FD3B00" w:rsidRDefault="00876CB2">
            <w:r>
              <w:rPr>
                <w:rFonts w:ascii="Palatino Linotype" w:eastAsia="Palatino Linotype" w:hAnsi="Palatino Linotype" w:cs="Palatino Linotype"/>
                <w:sz w:val="20"/>
                <w:szCs w:val="20"/>
              </w:rPr>
              <w:t xml:space="preserve">1.4 ¿QUÉ NIVEL JERÁRQUICO TIENE EL TITULAR DEL ÁREA COORDINADORA DE ARCHIVOS? </w:t>
            </w:r>
          </w:p>
        </w:tc>
        <w:tc>
          <w:tcPr>
            <w:tcW w:w="2943" w:type="dxa"/>
            <w:vAlign w:val="center"/>
          </w:tcPr>
          <w:p w:rsidR="00FD3B00" w:rsidRDefault="00876CB2">
            <w:pPr>
              <w:jc w:val="center"/>
            </w:pPr>
            <w:r>
              <w:rPr>
                <w:rFonts w:ascii="Palatino Linotype" w:eastAsia="Palatino Linotype" w:hAnsi="Palatino Linotype" w:cs="Palatino Linotype"/>
                <w:sz w:val="20"/>
                <w:szCs w:val="20"/>
              </w:rPr>
              <w:t>OMISO</w:t>
            </w:r>
          </w:p>
        </w:tc>
        <w:tc>
          <w:tcPr>
            <w:tcW w:w="2943" w:type="dxa"/>
            <w:vAlign w:val="center"/>
          </w:tcPr>
          <w:p w:rsidR="00FD3B00" w:rsidRDefault="00876CB2">
            <w:pPr>
              <w:jc w:val="center"/>
              <w:rPr>
                <w:rFonts w:ascii="Palatino Linotype" w:eastAsia="Palatino Linotype" w:hAnsi="Palatino Linotype" w:cs="Palatino Linotype"/>
              </w:rPr>
            </w:pPr>
            <w:r>
              <w:rPr>
                <w:rFonts w:ascii="Palatino Linotype" w:eastAsia="Palatino Linotype" w:hAnsi="Palatino Linotype" w:cs="Palatino Linotype"/>
                <w:sz w:val="20"/>
                <w:szCs w:val="20"/>
              </w:rPr>
              <w:t>Operativo</w:t>
            </w:r>
          </w:p>
        </w:tc>
      </w:tr>
    </w:tbl>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estos requerimientos,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la etapa de manifestaciones señaló que contaba con el Área Coordinadora de Archivos desde el año 1970, asimismo, que el nivel jerárquico que tiene la titular de dicha área es operativo, por lo que al haber existido un pronunciamiento del área competente, a fin de dar respuesta a los mismos, se tienen por colmados los requerimientos de información, </w:t>
      </w:r>
      <w:r>
        <w:rPr>
          <w:rFonts w:ascii="Palatino Linotype" w:eastAsia="Palatino Linotype" w:hAnsi="Palatino Linotype" w:cs="Palatino Linotype"/>
        </w:rPr>
        <w:lastRenderedPageBreak/>
        <w:t>toda vez que no se advirtió que la particular pretenda acceder a un documento previamente generado, sino más bien un pronunciamiento por parte de</w:t>
      </w:r>
      <w:r>
        <w:rPr>
          <w:rFonts w:ascii="Palatino Linotype" w:eastAsia="Palatino Linotype" w:hAnsi="Palatino Linotype" w:cs="Palatino Linotype"/>
          <w:b/>
        </w:rPr>
        <w:t>l Sujeto Obligado.</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efecto de robustecer lo anterior, se menciona que este Organismo Garante no está facultado para manifestarse sobre la veracidad de lo expresado por parte de este, pues no existe precepto legal alguno en la Ley de la materia que lo faculte para ello.</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00FD3B00" w:rsidRDefault="00876CB2">
      <w:pPr>
        <w:spacing w:before="240"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D3B00" w:rsidRDefault="00FD3B00">
      <w:pPr>
        <w:spacing w:before="240" w:after="240" w:line="360" w:lineRule="auto"/>
        <w:jc w:val="both"/>
        <w:rPr>
          <w:rFonts w:ascii="Palatino Linotype" w:eastAsia="Palatino Linotype" w:hAnsi="Palatino Linotype" w:cs="Palatino Linotype"/>
        </w:rPr>
      </w:pPr>
    </w:p>
    <w:tbl>
      <w:tblPr>
        <w:tblStyle w:val="af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FD3B00">
        <w:tc>
          <w:tcPr>
            <w:tcW w:w="8828" w:type="dxa"/>
            <w:gridSpan w:val="3"/>
          </w:tcPr>
          <w:p w:rsidR="00FD3B00" w:rsidRDefault="00876CB2">
            <w:pPr>
              <w:numPr>
                <w:ilvl w:val="0"/>
                <w:numId w:val="4"/>
              </w:numPr>
              <w:pBdr>
                <w:top w:val="nil"/>
                <w:left w:val="nil"/>
                <w:bottom w:val="nil"/>
                <w:right w:val="nil"/>
                <w:between w:val="nil"/>
              </w:pBdr>
              <w:tabs>
                <w:tab w:val="left" w:pos="8503"/>
              </w:tabs>
              <w:jc w:val="both"/>
              <w:rPr>
                <w:rFonts w:ascii="Palatino Linotype" w:eastAsia="Palatino Linotype" w:hAnsi="Palatino Linotype" w:cs="Palatino Linotype"/>
                <w:b/>
                <w:color w:val="000000"/>
                <w:sz w:val="20"/>
                <w:szCs w:val="20"/>
              </w:rPr>
            </w:pPr>
            <w:bookmarkStart w:id="8" w:name="_heading=h.35nkun2" w:colFirst="0" w:colLast="0"/>
            <w:bookmarkEnd w:id="8"/>
            <w:r>
              <w:rPr>
                <w:rFonts w:ascii="Palatino Linotype" w:eastAsia="Palatino Linotype" w:hAnsi="Palatino Linotype" w:cs="Palatino Linotype"/>
                <w:b/>
                <w:color w:val="000000"/>
                <w:sz w:val="20"/>
                <w:szCs w:val="20"/>
              </w:rPr>
              <w:t xml:space="preserve">GRUPO INTERDISCIPLINARIO </w:t>
            </w:r>
          </w:p>
          <w:p w:rsidR="00FD3B00" w:rsidRDefault="00876CB2">
            <w:pPr>
              <w:jc w:val="both"/>
              <w:rPr>
                <w:rFonts w:ascii="Palatino Linotype" w:eastAsia="Palatino Linotype" w:hAnsi="Palatino Linotype" w:cs="Palatino Linotype"/>
              </w:rPr>
            </w:pPr>
            <w:r>
              <w:rPr>
                <w:rFonts w:ascii="Palatino Linotype" w:eastAsia="Palatino Linotype" w:hAnsi="Palatino Linotype" w:cs="Palatino Linotype"/>
                <w:sz w:val="20"/>
                <w:szCs w:val="20"/>
              </w:rPr>
              <w:lastRenderedPageBreak/>
              <w:t>CONFORME LO ESTABLECIDO EN LOS ARTÍCULOS 50, 52, DE LA LEY GENERAL DE ARCHIVOS Y LOS ARTÍCULOS SEXTO FRACCIÓN IV Y SÉPTIMO TRANSITORIO DE LOS LINEAMIENTOS PARA LA ORGANIZACIÓN Y CONSERVACIÓN DE ARCHIVOS.</w:t>
            </w:r>
          </w:p>
        </w:tc>
      </w:tr>
      <w:tr w:rsidR="00FD3B00">
        <w:tc>
          <w:tcPr>
            <w:tcW w:w="2942" w:type="dxa"/>
            <w:vAlign w:val="center"/>
          </w:tcPr>
          <w:p w:rsidR="00FD3B00" w:rsidRDefault="00876CB2">
            <w:pPr>
              <w:jc w:val="center"/>
              <w:rPr>
                <w:rFonts w:ascii="Palatino Linotype" w:eastAsia="Palatino Linotype" w:hAnsi="Palatino Linotype" w:cs="Palatino Linotype"/>
              </w:rPr>
            </w:pPr>
            <w:r>
              <w:rPr>
                <w:rFonts w:ascii="Palatino Linotype" w:eastAsia="Palatino Linotype" w:hAnsi="Palatino Linotype" w:cs="Palatino Linotype"/>
                <w:b/>
                <w:sz w:val="20"/>
                <w:szCs w:val="20"/>
              </w:rPr>
              <w:lastRenderedPageBreak/>
              <w:t>REQUERIMIENTO</w:t>
            </w:r>
          </w:p>
        </w:tc>
        <w:tc>
          <w:tcPr>
            <w:tcW w:w="2943" w:type="dxa"/>
            <w:vAlign w:val="center"/>
          </w:tcPr>
          <w:p w:rsidR="00FD3B00" w:rsidRDefault="00876CB2">
            <w:pPr>
              <w:jc w:val="center"/>
              <w:rPr>
                <w:rFonts w:ascii="Palatino Linotype" w:eastAsia="Palatino Linotype" w:hAnsi="Palatino Linotype" w:cs="Palatino Linotype"/>
              </w:rPr>
            </w:pPr>
            <w:r>
              <w:rPr>
                <w:rFonts w:ascii="Palatino Linotype" w:eastAsia="Palatino Linotype" w:hAnsi="Palatino Linotype" w:cs="Palatino Linotype"/>
                <w:b/>
                <w:sz w:val="20"/>
                <w:szCs w:val="20"/>
              </w:rPr>
              <w:t>RESPUESTA</w:t>
            </w:r>
          </w:p>
        </w:tc>
        <w:tc>
          <w:tcPr>
            <w:tcW w:w="2943" w:type="dxa"/>
            <w:vAlign w:val="center"/>
          </w:tcPr>
          <w:p w:rsidR="00FD3B00" w:rsidRDefault="00876CB2">
            <w:pPr>
              <w:jc w:val="center"/>
              <w:rPr>
                <w:rFonts w:ascii="Palatino Linotype" w:eastAsia="Palatino Linotype" w:hAnsi="Palatino Linotype" w:cs="Palatino Linotype"/>
              </w:rPr>
            </w:pPr>
            <w:r>
              <w:rPr>
                <w:rFonts w:ascii="Palatino Linotype" w:eastAsia="Palatino Linotype" w:hAnsi="Palatino Linotype" w:cs="Palatino Linotype"/>
                <w:b/>
                <w:sz w:val="20"/>
                <w:szCs w:val="20"/>
              </w:rPr>
              <w:t>INFORME JUSTIFICADO</w:t>
            </w:r>
          </w:p>
        </w:tc>
      </w:tr>
      <w:tr w:rsidR="00FD3B00">
        <w:tc>
          <w:tcPr>
            <w:tcW w:w="2942" w:type="dxa"/>
            <w:vAlign w:val="center"/>
          </w:tcPr>
          <w:p w:rsidR="00FD3B00" w:rsidRDefault="00876CB2">
            <w:pPr>
              <w:jc w:val="both"/>
              <w:rPr>
                <w:rFonts w:ascii="Palatino Linotype" w:eastAsia="Palatino Linotype" w:hAnsi="Palatino Linotype" w:cs="Palatino Linotype"/>
              </w:rPr>
            </w:pPr>
            <w:r>
              <w:rPr>
                <w:rFonts w:ascii="Palatino Linotype" w:eastAsia="Palatino Linotype" w:hAnsi="Palatino Linotype" w:cs="Palatino Linotype"/>
                <w:sz w:val="20"/>
                <w:szCs w:val="20"/>
              </w:rPr>
              <w:t>3.1 ¿CUENTAN ACTUALMENTE CON GRUPO INTERDISCIPLINARIO COMO LO ESTABLECEN LOS ARTÍCULOS 50, 52, DE LA LEY GENERAL DE ARCHIVOS Y LOS ARTÍCULOS SEXTO FRACCIÓN IV Y SÉPTIMO TRANSITORIO DE LOS LINEAMIENTOS PARA LA ORGANIZACIÓN Y CONSERVACIÓN DE ARCHIVOS?</w:t>
            </w:r>
          </w:p>
        </w:tc>
        <w:tc>
          <w:tcPr>
            <w:tcW w:w="2943" w:type="dxa"/>
            <w:vAlign w:val="center"/>
          </w:tcPr>
          <w:p w:rsidR="00FD3B00" w:rsidRDefault="00876CB2">
            <w:pPr>
              <w:jc w:val="center"/>
              <w:rPr>
                <w:rFonts w:ascii="Palatino Linotype" w:eastAsia="Palatino Linotype" w:hAnsi="Palatino Linotype" w:cs="Palatino Linotype"/>
              </w:rPr>
            </w:pPr>
            <w:r>
              <w:rPr>
                <w:rFonts w:ascii="Palatino Linotype" w:eastAsia="Palatino Linotype" w:hAnsi="Palatino Linotype" w:cs="Palatino Linotype"/>
                <w:sz w:val="20"/>
                <w:szCs w:val="20"/>
              </w:rPr>
              <w:t>OMISO</w:t>
            </w:r>
          </w:p>
        </w:tc>
        <w:tc>
          <w:tcPr>
            <w:tcW w:w="2943" w:type="dxa"/>
            <w:vAlign w:val="center"/>
          </w:tcPr>
          <w:p w:rsidR="00FD3B00" w:rsidRDefault="00876CB2">
            <w:pPr>
              <w:jc w:val="both"/>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No </w:t>
            </w:r>
            <w:r>
              <w:rPr>
                <w:rFonts w:ascii="Palatino Linotype" w:eastAsia="Palatino Linotype" w:hAnsi="Palatino Linotype" w:cs="Palatino Linotype"/>
                <w:sz w:val="20"/>
                <w:szCs w:val="20"/>
              </w:rPr>
              <w:t xml:space="preserve">se cuenta con el gripo interdisciplinario por el momento, ya que en las administraciones pasadas no se implementó, se pretende llevar a cabo dicha creación en la presente administración. </w:t>
            </w:r>
          </w:p>
        </w:tc>
      </w:tr>
      <w:tr w:rsidR="00FD3B00">
        <w:tc>
          <w:tcPr>
            <w:tcW w:w="2942" w:type="dxa"/>
            <w:vAlign w:val="center"/>
          </w:tcPr>
          <w:p w:rsidR="00FD3B00" w:rsidRDefault="00876CB2">
            <w:pPr>
              <w:jc w:val="both"/>
              <w:rPr>
                <w:rFonts w:ascii="Palatino Linotype" w:eastAsia="Palatino Linotype" w:hAnsi="Palatino Linotype" w:cs="Palatino Linotype"/>
              </w:rPr>
            </w:pPr>
            <w:r>
              <w:rPr>
                <w:rFonts w:ascii="Palatino Linotype" w:eastAsia="Palatino Linotype" w:hAnsi="Palatino Linotype" w:cs="Palatino Linotype"/>
                <w:sz w:val="20"/>
                <w:szCs w:val="20"/>
              </w:rPr>
              <w:t>3.2 ¿A PARTIR DE QUE AÑO CUENTAN CON GRUPO INTERDICIPLINARIO?</w:t>
            </w:r>
          </w:p>
        </w:tc>
        <w:tc>
          <w:tcPr>
            <w:tcW w:w="2943" w:type="dxa"/>
            <w:vAlign w:val="center"/>
          </w:tcPr>
          <w:p w:rsidR="00FD3B00" w:rsidRDefault="00876CB2">
            <w:pPr>
              <w:jc w:val="center"/>
              <w:rPr>
                <w:rFonts w:ascii="Palatino Linotype" w:eastAsia="Palatino Linotype" w:hAnsi="Palatino Linotype" w:cs="Palatino Linotype"/>
              </w:rPr>
            </w:pPr>
            <w:r>
              <w:rPr>
                <w:rFonts w:ascii="Palatino Linotype" w:eastAsia="Palatino Linotype" w:hAnsi="Palatino Linotype" w:cs="Palatino Linotype"/>
                <w:sz w:val="20"/>
                <w:szCs w:val="20"/>
              </w:rPr>
              <w:t>OMISO</w:t>
            </w:r>
          </w:p>
        </w:tc>
        <w:tc>
          <w:tcPr>
            <w:tcW w:w="2943" w:type="dxa"/>
            <w:vAlign w:val="center"/>
          </w:tcPr>
          <w:p w:rsidR="00FD3B00" w:rsidRDefault="00876CB2">
            <w:pPr>
              <w:jc w:val="center"/>
              <w:rPr>
                <w:rFonts w:ascii="Palatino Linotype" w:eastAsia="Palatino Linotype" w:hAnsi="Palatino Linotype" w:cs="Palatino Linotype"/>
              </w:rPr>
            </w:pPr>
            <w:r>
              <w:rPr>
                <w:rFonts w:ascii="Palatino Linotype" w:eastAsia="Palatino Linotype" w:hAnsi="Palatino Linotype" w:cs="Palatino Linotype"/>
              </w:rPr>
              <w:t>----</w:t>
            </w:r>
          </w:p>
        </w:tc>
      </w:tr>
      <w:tr w:rsidR="00FD3B00">
        <w:tc>
          <w:tcPr>
            <w:tcW w:w="2942" w:type="dxa"/>
            <w:vAlign w:val="center"/>
          </w:tcPr>
          <w:p w:rsidR="00FD3B00" w:rsidRDefault="00876CB2">
            <w:pPr>
              <w:jc w:val="both"/>
              <w:rPr>
                <w:rFonts w:ascii="Palatino Linotype" w:eastAsia="Palatino Linotype" w:hAnsi="Palatino Linotype" w:cs="Palatino Linotype"/>
              </w:rPr>
            </w:pPr>
            <w:r>
              <w:rPr>
                <w:rFonts w:ascii="Palatino Linotype" w:eastAsia="Palatino Linotype" w:hAnsi="Palatino Linotype" w:cs="Palatino Linotype"/>
                <w:sz w:val="20"/>
                <w:szCs w:val="20"/>
              </w:rPr>
              <w:t>3.3 ¿QUIÉNES SON LOS INTEGRANTES DEL GRUPO INTERDISCIPLINARIO?</w:t>
            </w:r>
          </w:p>
        </w:tc>
        <w:tc>
          <w:tcPr>
            <w:tcW w:w="2943" w:type="dxa"/>
            <w:vAlign w:val="center"/>
          </w:tcPr>
          <w:p w:rsidR="00FD3B00" w:rsidRDefault="00876CB2">
            <w:pPr>
              <w:jc w:val="center"/>
              <w:rPr>
                <w:rFonts w:ascii="Palatino Linotype" w:eastAsia="Palatino Linotype" w:hAnsi="Palatino Linotype" w:cs="Palatino Linotype"/>
              </w:rPr>
            </w:pPr>
            <w:r>
              <w:rPr>
                <w:rFonts w:ascii="Palatino Linotype" w:eastAsia="Palatino Linotype" w:hAnsi="Palatino Linotype" w:cs="Palatino Linotype"/>
                <w:sz w:val="20"/>
                <w:szCs w:val="20"/>
              </w:rPr>
              <w:t>OMISO</w:t>
            </w:r>
          </w:p>
        </w:tc>
        <w:tc>
          <w:tcPr>
            <w:tcW w:w="2943" w:type="dxa"/>
            <w:vAlign w:val="center"/>
          </w:tcPr>
          <w:p w:rsidR="00FD3B00" w:rsidRDefault="00876CB2">
            <w:pPr>
              <w:jc w:val="center"/>
              <w:rPr>
                <w:rFonts w:ascii="Palatino Linotype" w:eastAsia="Palatino Linotype" w:hAnsi="Palatino Linotype" w:cs="Palatino Linotype"/>
              </w:rPr>
            </w:pPr>
            <w:r>
              <w:rPr>
                <w:rFonts w:ascii="Palatino Linotype" w:eastAsia="Palatino Linotype" w:hAnsi="Palatino Linotype" w:cs="Palatino Linotype"/>
              </w:rPr>
              <w:t>----</w:t>
            </w:r>
          </w:p>
        </w:tc>
      </w:tr>
      <w:tr w:rsidR="00FD3B00">
        <w:tc>
          <w:tcPr>
            <w:tcW w:w="2942" w:type="dxa"/>
            <w:vAlign w:val="center"/>
          </w:tcPr>
          <w:p w:rsidR="00FD3B00" w:rsidRDefault="00876CB2">
            <w:pPr>
              <w:tabs>
                <w:tab w:val="left" w:pos="8503"/>
              </w:tabs>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3.4 ACTAS DE INSTALACIÓN DEL GRUPO INTERDISCIPLINARIO DE LOS AÑOS 2019, 2020 Y 2021. </w:t>
            </w:r>
          </w:p>
          <w:p w:rsidR="00FD3B00" w:rsidRDefault="00FD3B00">
            <w:pPr>
              <w:jc w:val="both"/>
              <w:rPr>
                <w:rFonts w:ascii="Palatino Linotype" w:eastAsia="Palatino Linotype" w:hAnsi="Palatino Linotype" w:cs="Palatino Linotype"/>
              </w:rPr>
            </w:pPr>
          </w:p>
        </w:tc>
        <w:tc>
          <w:tcPr>
            <w:tcW w:w="2943" w:type="dxa"/>
            <w:vAlign w:val="center"/>
          </w:tcPr>
          <w:p w:rsidR="00FD3B00" w:rsidRDefault="00876CB2">
            <w:pPr>
              <w:jc w:val="center"/>
              <w:rPr>
                <w:rFonts w:ascii="Palatino Linotype" w:eastAsia="Palatino Linotype" w:hAnsi="Palatino Linotype" w:cs="Palatino Linotype"/>
              </w:rPr>
            </w:pPr>
            <w:r>
              <w:rPr>
                <w:rFonts w:ascii="Palatino Linotype" w:eastAsia="Palatino Linotype" w:hAnsi="Palatino Linotype" w:cs="Palatino Linotype"/>
                <w:sz w:val="20"/>
                <w:szCs w:val="20"/>
              </w:rPr>
              <w:t>OMISO</w:t>
            </w:r>
          </w:p>
        </w:tc>
        <w:tc>
          <w:tcPr>
            <w:tcW w:w="2943" w:type="dxa"/>
            <w:vAlign w:val="center"/>
          </w:tcPr>
          <w:p w:rsidR="00FD3B00" w:rsidRDefault="00876CB2">
            <w:pPr>
              <w:jc w:val="both"/>
              <w:rPr>
                <w:rFonts w:ascii="Palatino Linotype" w:eastAsia="Palatino Linotype" w:hAnsi="Palatino Linotype" w:cs="Palatino Linotype"/>
              </w:rPr>
            </w:pPr>
            <w:r>
              <w:rPr>
                <w:rFonts w:ascii="Palatino Linotype" w:eastAsia="Palatino Linotype" w:hAnsi="Palatino Linotype" w:cs="Palatino Linotype"/>
                <w:sz w:val="20"/>
                <w:szCs w:val="20"/>
              </w:rPr>
              <w:t xml:space="preserve">Después de una búsqueda exhaustiva en los documentos que se obtuvieron en la entrega – recepción, </w:t>
            </w:r>
            <w:r>
              <w:rPr>
                <w:rFonts w:ascii="Palatino Linotype" w:eastAsia="Palatino Linotype" w:hAnsi="Palatino Linotype" w:cs="Palatino Linotype"/>
                <w:b/>
                <w:sz w:val="20"/>
                <w:szCs w:val="20"/>
              </w:rPr>
              <w:t>no se encontró alguno que haga referencia a lo solicitado</w:t>
            </w:r>
            <w:r>
              <w:rPr>
                <w:rFonts w:ascii="Palatino Linotype" w:eastAsia="Palatino Linotype" w:hAnsi="Palatino Linotype" w:cs="Palatino Linotype"/>
                <w:b/>
              </w:rPr>
              <w:t>.</w:t>
            </w:r>
          </w:p>
        </w:tc>
      </w:tr>
    </w:tbl>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es de señalar que, de conformidad con el Lineamiento Sexto, fracción IV de los Lineamientos para la Organización y Conservación de los Archivos, y los artículos 11 fracción V de la Ley General de Archivos y 11 fracción V de la Ley de Archivos y Administración de Documentos del Estado de México y Municipios, </w:t>
      </w:r>
      <w:r>
        <w:rPr>
          <w:rFonts w:ascii="Palatino Linotype" w:eastAsia="Palatino Linotype" w:hAnsi="Palatino Linotype" w:cs="Palatino Linotype"/>
          <w:u w:val="single"/>
        </w:rPr>
        <w:t>es obligación de los Sujetos Obligados establecer un grupo interdisciplinario</w:t>
      </w:r>
      <w:r>
        <w:rPr>
          <w:rFonts w:ascii="Palatino Linotype" w:eastAsia="Palatino Linotype" w:hAnsi="Palatino Linotype" w:cs="Palatino Linotype"/>
        </w:rPr>
        <w:t xml:space="preserve"> para que, mediante el análisis de los procesos y procedimientos institucionales que dan origen a la documentación que integra los expedientes de cada serie, permita establecer los </w:t>
      </w:r>
      <w:r>
        <w:rPr>
          <w:rFonts w:ascii="Palatino Linotype" w:eastAsia="Palatino Linotype" w:hAnsi="Palatino Linotype" w:cs="Palatino Linotype"/>
        </w:rPr>
        <w:lastRenderedPageBreak/>
        <w:t>valores documentales, plazos de conservación y políticas que garanticen el acceso a la información, así como la disposición documental.</w:t>
      </w:r>
    </w:p>
    <w:p w:rsidR="00FD3B00" w:rsidRDefault="00876CB2">
      <w:pPr>
        <w:spacing w:before="240" w:after="240" w:line="360" w:lineRule="auto"/>
        <w:ind w:right="51"/>
        <w:jc w:val="both"/>
        <w:rPr>
          <w:rFonts w:ascii="Palatino Linotype" w:eastAsia="Palatino Linotype" w:hAnsi="Palatino Linotype" w:cs="Palatino Linotype"/>
          <w:i/>
          <w:sz w:val="22"/>
          <w:szCs w:val="22"/>
        </w:rPr>
      </w:pPr>
      <w:r>
        <w:rPr>
          <w:rFonts w:ascii="Palatino Linotype" w:eastAsia="Palatino Linotype" w:hAnsi="Palatino Linotype" w:cs="Palatino Linotype"/>
        </w:rPr>
        <w:t>Dicho Grupo interdisciplinario se integra de la siguiente forma, según establece la Ley General de Archivos y la Ley Local en su artículo 50, respectivamente:</w:t>
      </w:r>
    </w:p>
    <w:p w:rsidR="00FD3B00" w:rsidRDefault="00876CB2">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cada Ente Público </w:t>
      </w:r>
      <w:r>
        <w:rPr>
          <w:rFonts w:ascii="Palatino Linotype" w:eastAsia="Palatino Linotype" w:hAnsi="Palatino Linotype" w:cs="Palatino Linotype"/>
          <w:b/>
          <w:i/>
          <w:sz w:val="22"/>
          <w:szCs w:val="22"/>
          <w:u w:val="single"/>
        </w:rPr>
        <w:t>deberá</w:t>
      </w:r>
      <w:r>
        <w:rPr>
          <w:rFonts w:ascii="Palatino Linotype" w:eastAsia="Palatino Linotype" w:hAnsi="Palatino Linotype" w:cs="Palatino Linotype"/>
          <w:b/>
          <w:i/>
          <w:sz w:val="22"/>
          <w:szCs w:val="22"/>
        </w:rPr>
        <w:t xml:space="preserve"> existir un Grupo Interdisciplinario</w:t>
      </w:r>
      <w:r>
        <w:rPr>
          <w:rFonts w:ascii="Palatino Linotype" w:eastAsia="Palatino Linotype" w:hAnsi="Palatino Linotype" w:cs="Palatino Linotype"/>
          <w:i/>
          <w:sz w:val="22"/>
          <w:szCs w:val="22"/>
        </w:rPr>
        <w:t>, que es un equipo de profesionales de la misma institución, integrado por las personas titulares de las unidades administrativas con las funciones o atribuciones homólogas siguientes:</w:t>
      </w:r>
    </w:p>
    <w:p w:rsidR="00FD3B00" w:rsidRDefault="00876CB2">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Jurídica; </w:t>
      </w:r>
    </w:p>
    <w:p w:rsidR="00FD3B00" w:rsidRDefault="00876CB2">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Planeación y/o mejora regulatoria; </w:t>
      </w:r>
    </w:p>
    <w:p w:rsidR="00FD3B00" w:rsidRDefault="00876CB2">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Coordinación de Archivos;</w:t>
      </w:r>
    </w:p>
    <w:p w:rsidR="00FD3B00" w:rsidRDefault="00876CB2">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Tecnologías de la información; </w:t>
      </w:r>
    </w:p>
    <w:p w:rsidR="00FD3B00" w:rsidRDefault="00876CB2">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Transparencia; </w:t>
      </w:r>
    </w:p>
    <w:p w:rsidR="00FD3B00" w:rsidRDefault="00876CB2">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Órgano Interno de Control, y</w:t>
      </w:r>
    </w:p>
    <w:p w:rsidR="00FD3B00" w:rsidRDefault="00876CB2">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Las áreas o unidades administrativas productoras de la documentación.”</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es de señalar que, de conformidad con el Transitorio Séptimo de los Lineamientos, </w:t>
      </w:r>
      <w:r>
        <w:rPr>
          <w:rFonts w:ascii="Palatino Linotype" w:eastAsia="Palatino Linotype" w:hAnsi="Palatino Linotype" w:cs="Palatino Linotype"/>
          <w:u w:val="single"/>
        </w:rPr>
        <w:t>los Sujetos Obligados debían contar con un Grupo interdisciplinario</w:t>
      </w:r>
      <w:r>
        <w:rPr>
          <w:rFonts w:ascii="Palatino Linotype" w:eastAsia="Palatino Linotype" w:hAnsi="Palatino Linotype" w:cs="Palatino Linotype"/>
        </w:rPr>
        <w:t xml:space="preserve"> a más tardar a los doce meses posteriores a la entrada en vigor de los mismos, es decir, </w:t>
      </w:r>
      <w:r>
        <w:rPr>
          <w:rFonts w:ascii="Palatino Linotype" w:eastAsia="Palatino Linotype" w:hAnsi="Palatino Linotype" w:cs="Palatino Linotype"/>
          <w:u w:val="single"/>
        </w:rPr>
        <w:t>a más tardar el cinco de mayo de dos mil diecisiete</w:t>
      </w:r>
      <w:r>
        <w:rPr>
          <w:rFonts w:ascii="Palatino Linotype" w:eastAsia="Palatino Linotype" w:hAnsi="Palatino Linotype" w:cs="Palatino Linotype"/>
        </w:rPr>
        <w:t>.</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no obsta mencionar que dichos Lineamientos, de conformidad con el Lineamiento Segundo, son de observancia obligatoria y de aplicación general para los sujetos obligados señalados en el artículo 1 de la Ley General de Transparencia y Acceso a la Información Pública, a saber:</w:t>
      </w:r>
    </w:p>
    <w:p w:rsidR="00FD3B00" w:rsidRDefault="00876CB2">
      <w:pPr>
        <w:spacing w:before="240" w:after="240"/>
        <w:ind w:left="851" w:right="900"/>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2"/>
          <w:szCs w:val="22"/>
        </w:rPr>
        <w:t>Lineamientos para la Organización y Conservación de los Archivos</w:t>
      </w:r>
    </w:p>
    <w:p w:rsidR="00FD3B00" w:rsidRDefault="00876CB2">
      <w:pPr>
        <w:spacing w:before="240" w:after="240"/>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“Segundo. </w:t>
      </w:r>
      <w:r>
        <w:rPr>
          <w:rFonts w:ascii="Palatino Linotype" w:eastAsia="Palatino Linotype" w:hAnsi="Palatino Linotype" w:cs="Palatino Linotype"/>
          <w:i/>
          <w:sz w:val="22"/>
          <w:szCs w:val="22"/>
        </w:rPr>
        <w:t>Los presentes lineamientos, son de observancia obligatoria y de aplicación general para los sujetos obligados señalados en el artículo 1 de la Ley General de Transparencia y Acceso a la Información Pública</w:t>
      </w:r>
      <w:r>
        <w:rPr>
          <w:rFonts w:ascii="Palatino Linotype" w:eastAsia="Palatino Linotype" w:hAnsi="Palatino Linotype" w:cs="Palatino Linotype"/>
          <w:b/>
          <w:i/>
          <w:sz w:val="22"/>
          <w:szCs w:val="22"/>
        </w:rPr>
        <w:t>.”</w:t>
      </w:r>
    </w:p>
    <w:p w:rsidR="00FD3B00" w:rsidRDefault="00876CB2">
      <w:pPr>
        <w:spacing w:before="240" w:after="240"/>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rPr>
        <w:t>Ley General de Transparencia y Acceso a la Información Pública</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La presente Ley es de orden público y de observancia general en toda la República, es reglamentaria del artículo 6o. de la Constitución Política de los Estados Unidos Mexicanos, en materia de transparencia y acceso a la información. </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w:t>
      </w:r>
      <w:r>
        <w:rPr>
          <w:rFonts w:ascii="Palatino Linotype" w:eastAsia="Palatino Linotype" w:hAnsi="Palatino Linotype" w:cs="Palatino Linotype"/>
          <w:b/>
          <w:i/>
          <w:sz w:val="22"/>
          <w:szCs w:val="22"/>
        </w:rPr>
        <w:t>municipios</w:t>
      </w:r>
      <w:r>
        <w:rPr>
          <w:rFonts w:ascii="Palatino Linotype" w:eastAsia="Palatino Linotype" w:hAnsi="Palatino Linotype" w:cs="Palatino Linotype"/>
          <w:i/>
          <w:sz w:val="22"/>
          <w:szCs w:val="22"/>
        </w:rPr>
        <w:t>.”</w:t>
      </w:r>
    </w:p>
    <w:p w:rsidR="00FD3B00" w:rsidRDefault="00876CB2">
      <w:pPr>
        <w:spacing w:before="240" w:after="240" w:line="360" w:lineRule="auto"/>
        <w:jc w:val="both"/>
        <w:rPr>
          <w:rFonts w:ascii="Palatino Linotype" w:eastAsia="Palatino Linotype" w:hAnsi="Palatino Linotype" w:cs="Palatino Linotype"/>
        </w:rPr>
      </w:pPr>
      <w:bookmarkStart w:id="9" w:name="_heading=h.2jxsxqh" w:colFirst="0" w:colLast="0"/>
      <w:bookmarkEnd w:id="9"/>
      <w:r>
        <w:rPr>
          <w:rFonts w:ascii="Palatino Linotype" w:eastAsia="Palatino Linotype" w:hAnsi="Palatino Linotype" w:cs="Palatino Linotype"/>
        </w:rPr>
        <w:t>Ahora bien, en el caso concreto, la Encargada del Archivo Municipal indicó que derivado de la búsqueda exhaustiva en los documentos obtenidos de la entrega recepción no se encontró alguno relacionado con las actas de instalación del grupo interdisciplinario de los ejercicios 2019, 2020 y 2021, por lo que no se contaba el mismo, en virtud de que no se implementó en las administraciones pasadas.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tales consideraciones, toda vez que es obligación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contar con un gripo interdisciplinar</w:t>
      </w:r>
      <w:r>
        <w:t xml:space="preserve">io, </w:t>
      </w:r>
      <w:r>
        <w:rPr>
          <w:rFonts w:ascii="Palatino Linotype" w:eastAsia="Palatino Linotype" w:hAnsi="Palatino Linotype" w:cs="Palatino Linotype"/>
        </w:rPr>
        <w:t xml:space="preserve">se estima que para tener por satisfecho el derecho de acceso a la información,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deberá entregar el acuerdo mediante el cual el Comité de Transparencia confirme formalmente la declaratoria de inexistencia de la información, en términos de lo que señala el artículo 19, tercer párrafo, 49, fracciones II y XIII; 169 y 170 de la Ley de Transparencia y Acceso a la Información Pública del Estado de México y Municipios, que se leen como sigue:</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 xml:space="preserve"> (…)</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Pr>
          <w:rFonts w:ascii="Palatino Linotype" w:eastAsia="Palatino Linotype" w:hAnsi="Palatino Linotype" w:cs="Palatino Linotype"/>
          <w:i/>
          <w:sz w:val="22"/>
          <w:szCs w:val="22"/>
        </w:rPr>
        <w:t>, debidamente fundado y motivado, en el que detalle las razones del por qué no obra en sus archivos.”</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atribuciones</w:t>
      </w:r>
      <w:r>
        <w:rPr>
          <w:rFonts w:ascii="Palatino Linotype" w:eastAsia="Palatino Linotype" w:hAnsi="Palatino Linotype" w:cs="Palatino Linotype"/>
          <w:i/>
          <w:sz w:val="22"/>
          <w:szCs w:val="22"/>
        </w:rPr>
        <w:t>:</w:t>
      </w:r>
    </w:p>
    <w:p w:rsidR="00FD3B00" w:rsidRDefault="00876CB2">
      <w:pPr>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Confirmar, modificar o revocar las determinaciones que en materia de</w:t>
      </w:r>
      <w:r>
        <w:rPr>
          <w:rFonts w:ascii="Palatino Linotype" w:eastAsia="Palatino Linotype" w:hAnsi="Palatino Linotype" w:cs="Palatino Linotype"/>
          <w:i/>
          <w:sz w:val="22"/>
          <w:szCs w:val="22"/>
        </w:rPr>
        <w:t xml:space="preserve"> ampliación del plazo de respuesta, clasificación de la información y </w:t>
      </w:r>
      <w:r>
        <w:rPr>
          <w:rFonts w:ascii="Palatino Linotype" w:eastAsia="Palatino Linotype" w:hAnsi="Palatino Linotype" w:cs="Palatino Linotype"/>
          <w:b/>
          <w:i/>
          <w:sz w:val="22"/>
          <w:szCs w:val="22"/>
        </w:rPr>
        <w:t>declaración de inexistencia</w:t>
      </w:r>
      <w:r>
        <w:rPr>
          <w:rFonts w:ascii="Palatino Linotype" w:eastAsia="Palatino Linotype" w:hAnsi="Palatino Linotype" w:cs="Palatino Linotype"/>
          <w:i/>
          <w:sz w:val="22"/>
          <w:szCs w:val="22"/>
        </w:rPr>
        <w:t xml:space="preserve"> o de incompetencia realicen los titulares de las áreas de los sujetos obligados;</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Dictaminar las declaratorias de inexistencia de la información</w:t>
      </w:r>
      <w:r>
        <w:rPr>
          <w:rFonts w:ascii="Palatino Linotype" w:eastAsia="Palatino Linotype" w:hAnsi="Palatino Linotype" w:cs="Palatino Linotype"/>
          <w:i/>
          <w:sz w:val="22"/>
          <w:szCs w:val="22"/>
        </w:rPr>
        <w:t xml:space="preserve"> que les remitan las unidades administrativas y resolver en consecuencia…”</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Cuando la información no se encuentre en los archivos del sujeto obligado, el Comité de Transparencia</w:t>
      </w:r>
      <w:r>
        <w:rPr>
          <w:rFonts w:ascii="Palatino Linotype" w:eastAsia="Palatino Linotype" w:hAnsi="Palatino Linotype" w:cs="Palatino Linotype"/>
          <w:i/>
          <w:sz w:val="22"/>
          <w:szCs w:val="22"/>
        </w:rPr>
        <w:t xml:space="preserve">: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Analizará el caso y tomará las medidas necesarias para localizar la información;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Expedirá una resolución que confirme la inexistencia del documento</w:t>
      </w:r>
      <w:r>
        <w:rPr>
          <w:rFonts w:ascii="Palatino Linotype" w:eastAsia="Palatino Linotype" w:hAnsi="Palatino Linotype" w:cs="Palatino Linotype"/>
          <w:i/>
          <w:sz w:val="22"/>
          <w:szCs w:val="22"/>
        </w:rPr>
        <w:t xml:space="preserve">;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 </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Este plazo podrá ampliarse hasta por otros siete días hábiles, siempre que existan razones para ello, debiendo notificarse por escrito al solicitante.”</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que permitan al solicitante tener la certeza de que se utilizó un criterio de búsqueda exhaustivo</w:t>
      </w:r>
      <w:r>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rsidR="00FD3B00" w:rsidRDefault="00876CB2">
      <w:pPr>
        <w:spacing w:after="10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en observancia a lo anterior tiene aplicación lo establecido en los </w:t>
      </w:r>
      <w:r>
        <w:rPr>
          <w:rFonts w:ascii="Palatino Linotype" w:eastAsia="Palatino Linotype" w:hAnsi="Palatino Linotype" w:cs="Palatino Linotype"/>
          <w:i/>
        </w:rPr>
        <w:t>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w:t>
      </w:r>
      <w:r>
        <w:rPr>
          <w:rFonts w:ascii="Palatino Linotype" w:eastAsia="Palatino Linotype" w:hAnsi="Palatino Linotype" w:cs="Palatino Linotype"/>
        </w:rPr>
        <w:t>, en sus numerales CUARENTA Y CUATRO, así como CUARENTA Y CINCO, a saber:</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CUARENTA Y CUATRO</w:t>
      </w:r>
      <w:r>
        <w:rPr>
          <w:rFonts w:ascii="Palatino Linotype" w:eastAsia="Palatino Linotype" w:hAnsi="Palatino Linotype" w:cs="Palatino Linotype"/>
          <w:i/>
          <w:sz w:val="22"/>
          <w:szCs w:val="22"/>
        </w:rPr>
        <w:t xml:space="preserve">.- Cuando la información solicitada no exista en los archivos del Sujeto Obligado, el responsable de la Unidad de Información deberá turnar la solicitud al Comité de Información para su análisis y resolución y, en su caso, declaratoria de inexistencia. </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CUARENTA Y CINCO</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declaratoria de inexistencia</w:t>
      </w:r>
      <w:r>
        <w:rPr>
          <w:rFonts w:ascii="Palatino Linotype" w:eastAsia="Palatino Linotype" w:hAnsi="Palatino Linotype" w:cs="Palatino Linotype"/>
          <w:i/>
          <w:sz w:val="22"/>
          <w:szCs w:val="22"/>
        </w:rPr>
        <w:t xml:space="preserve"> que emita el Comité para la determinación de inexistencia en sus archivos de la información solicitada deberá precisar: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Lugar y fecha de la resolución;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xml:space="preserve"> El nombre del solicitante;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w:t>
      </w:r>
      <w:r>
        <w:rPr>
          <w:rFonts w:ascii="Palatino Linotype" w:eastAsia="Palatino Linotype" w:hAnsi="Palatino Linotype" w:cs="Palatino Linotype"/>
          <w:i/>
          <w:sz w:val="22"/>
          <w:szCs w:val="22"/>
        </w:rPr>
        <w:t xml:space="preserve"> La información solicitada;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w:t>
      </w:r>
      <w:r>
        <w:rPr>
          <w:rFonts w:ascii="Palatino Linotype" w:eastAsia="Palatino Linotype" w:hAnsi="Palatino Linotype" w:cs="Palatino Linotype"/>
          <w:i/>
          <w:sz w:val="22"/>
          <w:szCs w:val="22"/>
        </w:rPr>
        <w:t xml:space="preserve"> El fundamento y motivo por el cual se determina que la información solicitada no obra en sus archivos;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w:t>
      </w:r>
      <w:r>
        <w:rPr>
          <w:rFonts w:ascii="Palatino Linotype" w:eastAsia="Palatino Linotype" w:hAnsi="Palatino Linotype" w:cs="Palatino Linotype"/>
          <w:i/>
          <w:sz w:val="22"/>
          <w:szCs w:val="22"/>
        </w:rPr>
        <w:t xml:space="preserve"> El número de acuerdo emitido;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w:t>
      </w:r>
      <w:r>
        <w:rPr>
          <w:rFonts w:ascii="Palatino Linotype" w:eastAsia="Palatino Linotype" w:hAnsi="Palatino Linotype" w:cs="Palatino Linotype"/>
          <w:i/>
          <w:sz w:val="22"/>
          <w:szCs w:val="22"/>
        </w:rPr>
        <w:t xml:space="preserve">) Hacer del conocimiento al solicitante de que tiene el derecho a interponer el recurso de revisión respectivo, en el término de 15 días hábiles contados a </w:t>
      </w:r>
      <w:r>
        <w:rPr>
          <w:rFonts w:ascii="Palatino Linotype" w:eastAsia="Palatino Linotype" w:hAnsi="Palatino Linotype" w:cs="Palatino Linotype"/>
          <w:i/>
          <w:sz w:val="22"/>
          <w:szCs w:val="22"/>
        </w:rPr>
        <w:lastRenderedPageBreak/>
        <w:t>partir del día siguiente de que haya surtido sus efectos la notificación de dicha resolución; y</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g)</w:t>
      </w:r>
      <w:r>
        <w:rPr>
          <w:rFonts w:ascii="Palatino Linotype" w:eastAsia="Palatino Linotype" w:hAnsi="Palatino Linotype" w:cs="Palatino Linotype"/>
          <w:i/>
          <w:sz w:val="22"/>
          <w:szCs w:val="22"/>
        </w:rPr>
        <w:t xml:space="preserve"> Los nombres y firmas autógrafas de los integrantes del Comité de Información.”</w:t>
      </w:r>
    </w:p>
    <w:p w:rsidR="00FD3B00" w:rsidRDefault="00876CB2">
      <w:pPr>
        <w:spacing w:before="240" w:after="240" w:line="360" w:lineRule="auto"/>
        <w:jc w:val="both"/>
        <w:rPr>
          <w:rFonts w:ascii="Palatino Linotype" w:eastAsia="Palatino Linotype" w:hAnsi="Palatino Linotype" w:cs="Palatino Linotype"/>
        </w:rPr>
      </w:pPr>
      <w:bookmarkStart w:id="10" w:name="_heading=h.zha7sb9ohkxi" w:colFirst="0" w:colLast="0"/>
      <w:bookmarkEnd w:id="10"/>
      <w:r>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rsidR="00FD3B00" w:rsidRDefault="00876C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“CRITERIO 0004-11 </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INEXISTENCIA. DECLARATORIA DE LA. ALCANCES Y PROCEDIMIENTOS</w:t>
      </w:r>
      <w:r>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w:t>
      </w:r>
      <w:r>
        <w:rPr>
          <w:rFonts w:ascii="Palatino Linotype" w:eastAsia="Palatino Linotype" w:hAnsi="Palatino Linotype" w:cs="Palatino Linotype"/>
          <w:i/>
          <w:sz w:val="22"/>
          <w:szCs w:val="22"/>
        </w:rPr>
        <w:lastRenderedPageBreak/>
        <w:t xml:space="preserve">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Bajo el entendido de que dicha búsqueda exhaustiva permitirá dos determinaciones: </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1ª)</w:t>
      </w:r>
      <w:r>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2ª)</w:t>
      </w:r>
      <w:r>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FD3B00" w:rsidRDefault="00876CB2">
      <w:pPr>
        <w:spacing w:before="240" w:after="240"/>
        <w:ind w:left="851"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de haber generado, administrado o poseído la información </w:t>
      </w:r>
      <w:r>
        <w:rPr>
          <w:rFonts w:ascii="Palatino Linotype" w:eastAsia="Palatino Linotype" w:hAnsi="Palatino Linotype" w:cs="Palatino Linotype"/>
        </w:rPr>
        <w:lastRenderedPageBreak/>
        <w:t>pero en incumplimiento a la norma no lo llevo a cabo. Tal como se lee del criterio que para mayor referencia se transcribe a continuación:</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INEXISTENCIA, CONCEPTO DE, EN MATERIA DE TRANSPARENCIA</w:t>
      </w:r>
      <w:r>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Pr>
          <w:rFonts w:ascii="Palatino Linotype" w:eastAsia="Palatino Linotype" w:hAnsi="Palatino Linotype" w:cs="Palatino Linotype"/>
          <w:b/>
          <w:i/>
          <w:sz w:val="22"/>
          <w:szCs w:val="22"/>
        </w:rPr>
        <w:t>supuestos:</w:t>
      </w:r>
      <w:r>
        <w:rPr>
          <w:rFonts w:ascii="Palatino Linotype" w:eastAsia="Palatino Linotype" w:hAnsi="Palatino Linotype" w:cs="Palatino Linotype"/>
          <w:i/>
          <w:sz w:val="22"/>
          <w:szCs w:val="22"/>
        </w:rPr>
        <w:t xml:space="preserve"> </w:t>
      </w:r>
    </w:p>
    <w:p w:rsidR="00FD3B00" w:rsidRDefault="00876CB2">
      <w:pPr>
        <w:numPr>
          <w:ilvl w:val="0"/>
          <w:numId w:val="3"/>
        </w:numPr>
        <w:pBdr>
          <w:top w:val="nil"/>
          <w:left w:val="nil"/>
          <w:bottom w:val="nil"/>
          <w:right w:val="nil"/>
          <w:between w:val="nil"/>
        </w:pBdr>
        <w:tabs>
          <w:tab w:val="left" w:pos="1276"/>
        </w:tabs>
        <w:spacing w:before="240"/>
        <w:ind w:left="993" w:right="900" w:firstLine="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FD3B00" w:rsidRDefault="00876CB2">
      <w:pPr>
        <w:numPr>
          <w:ilvl w:val="0"/>
          <w:numId w:val="3"/>
        </w:numPr>
        <w:pBdr>
          <w:top w:val="nil"/>
          <w:left w:val="nil"/>
          <w:bottom w:val="nil"/>
          <w:right w:val="nil"/>
          <w:between w:val="nil"/>
        </w:pBdr>
        <w:tabs>
          <w:tab w:val="left" w:pos="1276"/>
        </w:tabs>
        <w:spacing w:after="240"/>
        <w:ind w:left="993" w:right="900" w:firstLine="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ambos casos, el Sujeto Obligado deberá hacer del conocimiento del solicitante </w:t>
      </w:r>
      <w:r>
        <w:rPr>
          <w:rFonts w:ascii="Palatino Linotype" w:eastAsia="Palatino Linotype" w:hAnsi="Palatino Linotype" w:cs="Palatino Linotype"/>
          <w:b/>
          <w:i/>
          <w:sz w:val="22"/>
          <w:szCs w:val="22"/>
        </w:rPr>
        <w:t>las razones que explican la inexistencia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mediante el dictamen debidamente fundado y motivado</w:t>
      </w:r>
      <w:r>
        <w:rPr>
          <w:rFonts w:ascii="Palatino Linotype" w:eastAsia="Palatino Linotype" w:hAnsi="Palatino Linotype" w:cs="Palatino Linotype"/>
          <w:i/>
          <w:sz w:val="22"/>
          <w:szCs w:val="22"/>
        </w:rPr>
        <w:t xml:space="preserve"> emitido por el Comité de Información y con las formalidades legales exigidas por la Ley de Transparencia.”</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 instruir una búsqueda exhaustiva a todas y cada una de las áreas administrativas de las que se compone, que permitirá:</w:t>
      </w:r>
    </w:p>
    <w:p w:rsidR="00FD3B00" w:rsidRDefault="00876CB2">
      <w:pPr>
        <w:numPr>
          <w:ilvl w:val="0"/>
          <w:numId w:val="5"/>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Que se localice la documentación que contenga la información solicitada. En este caso habrá que señalar que de acuerdo con las disposiciones transcritas, la </w:t>
      </w:r>
      <w:r>
        <w:rPr>
          <w:rFonts w:ascii="Palatino Linotype" w:eastAsia="Palatino Linotype" w:hAnsi="Palatino Linotype" w:cs="Palatino Linotype"/>
        </w:rPr>
        <w:lastRenderedPageBreak/>
        <w:t>información puede obrar en sus archivos ya sea porque la genera, la administra o simplemente la posee.</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actualizarse esta primera hipótesis, la información debe entregarse al </w:t>
      </w:r>
      <w:r>
        <w:rPr>
          <w:rFonts w:ascii="Palatino Linotype" w:eastAsia="Palatino Linotype" w:hAnsi="Palatino Linotype" w:cs="Palatino Linotype"/>
          <w:b/>
          <w:i/>
        </w:rPr>
        <w:t xml:space="preserve">Recurrente </w:t>
      </w:r>
      <w:r>
        <w:rPr>
          <w:rFonts w:ascii="Palatino Linotype" w:eastAsia="Palatino Linotype" w:hAnsi="Palatino Linotype" w:cs="Palatino Linotype"/>
        </w:rPr>
        <w:t>a través del o los documentos fuente.</w:t>
      </w:r>
    </w:p>
    <w:p w:rsidR="00FD3B00" w:rsidRDefault="00876CB2">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y a este Pleno.</w:t>
      </w:r>
    </w:p>
    <w:p w:rsidR="00FD3B00" w:rsidRDefault="00876CB2">
      <w:pPr>
        <w:numPr>
          <w:ilvl w:val="0"/>
          <w:numId w:val="5"/>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rPr>
      </w:pPr>
      <w:r>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rsidR="00FD3B00" w:rsidRDefault="00876CB2">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no obsta mencionar que no pasa desapercibido para este Organismo Garante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en la etapa de manifestaciones el Acta de la Segunda Sesión Extraordinaria del Comité de Transparencia celebrada el once de marzo del año en curso, en la cual se sometió a consideración de los integrantes la propuesta la declaratoria de inexistencia de las actas de instalación del gripo interdisciplinario de los años 2019, 2020 y 2021, las actas del Comité de Transparencia  de los años 2019, 202 y 2021, donde se hubiera aprobado cualquier </w:t>
      </w:r>
      <w:r>
        <w:rPr>
          <w:rFonts w:ascii="Palatino Linotype" w:eastAsia="Palatino Linotype" w:hAnsi="Palatino Linotype" w:cs="Palatino Linotype"/>
        </w:rPr>
        <w:lastRenderedPageBreak/>
        <w:t>política, manual y/o instrumento de control archivístico, el programa de atención a los archivos de trámite de los años 2019, 202 y 2021, el programa de préstamo documental de los años 2019, 202 y 2021, el formato institucional del vale de préstamo de documentación, el programa de difusión de los documentos históricos de los años 2019, 2020, 2021 y 2022, y el programa de seguridad de los archivos de los años 2019, 2020 y 2021.</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Sin embargo, del análisis efectuado en la misma, se concluyó que no cumple con las formalidades precisadas en los párrafos anteriores, tal y como se demuestra a continuación:</w:t>
      </w:r>
    </w:p>
    <w:p w:rsidR="00FD3B00" w:rsidRDefault="00FD3B00">
      <w:pPr>
        <w:spacing w:before="240" w:after="240" w:line="360" w:lineRule="auto"/>
        <w:jc w:val="both"/>
        <w:rPr>
          <w:rFonts w:ascii="Palatino Linotype" w:eastAsia="Palatino Linotype" w:hAnsi="Palatino Linotype" w:cs="Palatino Linotype"/>
        </w:rPr>
      </w:pPr>
    </w:p>
    <w:p w:rsidR="00FD3B00" w:rsidRDefault="00FD3B00">
      <w:pPr>
        <w:spacing w:before="240" w:after="240" w:line="360" w:lineRule="auto"/>
        <w:jc w:val="both"/>
        <w:rPr>
          <w:rFonts w:ascii="Palatino Linotype" w:eastAsia="Palatino Linotype" w:hAnsi="Palatino Linotype" w:cs="Palatino Linotype"/>
        </w:rPr>
      </w:pPr>
    </w:p>
    <w:tbl>
      <w:tblPr>
        <w:tblStyle w:val="aff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5245"/>
        <w:gridCol w:w="1320"/>
      </w:tblGrid>
      <w:tr w:rsidR="00FD3B00">
        <w:tc>
          <w:tcPr>
            <w:tcW w:w="2263" w:type="dxa"/>
            <w:vAlign w:val="center"/>
          </w:tcPr>
          <w:p w:rsidR="00FD3B00" w:rsidRDefault="00876CB2">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REQUISITOS</w:t>
            </w:r>
          </w:p>
        </w:tc>
        <w:tc>
          <w:tcPr>
            <w:tcW w:w="5245" w:type="dxa"/>
            <w:vAlign w:val="center"/>
          </w:tcPr>
          <w:p w:rsidR="00FD3B00" w:rsidRDefault="00876CB2">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ACUERDO</w:t>
            </w:r>
          </w:p>
        </w:tc>
        <w:tc>
          <w:tcPr>
            <w:tcW w:w="1320" w:type="dxa"/>
            <w:vAlign w:val="center"/>
          </w:tcPr>
          <w:p w:rsidR="00FD3B00" w:rsidRDefault="00876CB2">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¿CUMPLE?</w:t>
            </w:r>
          </w:p>
        </w:tc>
      </w:tr>
      <w:tr w:rsidR="00FD3B00">
        <w:trPr>
          <w:trHeight w:val="1794"/>
        </w:trPr>
        <w:tc>
          <w:tcPr>
            <w:tcW w:w="2263" w:type="dxa"/>
            <w:vAlign w:val="center"/>
          </w:tcPr>
          <w:p w:rsidR="00FD3B00" w:rsidRDefault="00876CB2">
            <w:pPr>
              <w:widowControl w:val="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Lugar y fecha de la resolución</w:t>
            </w:r>
          </w:p>
        </w:tc>
        <w:tc>
          <w:tcPr>
            <w:tcW w:w="5245" w:type="dxa"/>
            <w:vAlign w:val="center"/>
          </w:tcPr>
          <w:p w:rsidR="00FD3B00" w:rsidRDefault="00876CB2">
            <w:pPr>
              <w:spacing w:before="240" w:after="240" w:line="360" w:lineRule="auto"/>
              <w:jc w:val="both"/>
              <w:rPr>
                <w:rFonts w:ascii="Palatino Linotype" w:eastAsia="Palatino Linotype" w:hAnsi="Palatino Linotype" w:cs="Palatino Linotype"/>
              </w:rPr>
            </w:pPr>
            <w:r>
              <w:object w:dxaOrig="5025" w:dyaOrig="1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73.5pt" o:ole="">
                  <v:imagedata r:id="rId9" o:title=""/>
                </v:shape>
                <o:OLEObject Type="Embed" ProgID="PBrush" ShapeID="_x0000_i1025" DrawAspect="Content" ObjectID="_1718708911" r:id="rId10"/>
              </w:object>
            </w:r>
          </w:p>
        </w:tc>
        <w:tc>
          <w:tcPr>
            <w:tcW w:w="1320" w:type="dxa"/>
            <w:vAlign w:val="center"/>
          </w:tcPr>
          <w:p w:rsidR="00FD3B00" w:rsidRDefault="00876CB2">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SI</w:t>
            </w:r>
          </w:p>
        </w:tc>
      </w:tr>
      <w:tr w:rsidR="00FD3B00">
        <w:tc>
          <w:tcPr>
            <w:tcW w:w="2263" w:type="dxa"/>
            <w:vAlign w:val="center"/>
          </w:tcPr>
          <w:p w:rsidR="00FD3B00" w:rsidRDefault="00876CB2">
            <w:pPr>
              <w:widowControl w:val="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Nombre del Solicitante</w:t>
            </w:r>
          </w:p>
        </w:tc>
        <w:tc>
          <w:tcPr>
            <w:tcW w:w="5245" w:type="dxa"/>
            <w:vAlign w:val="center"/>
          </w:tcPr>
          <w:p w:rsidR="00FD3B00" w:rsidRDefault="00876CB2">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sz w:val="20"/>
                <w:szCs w:val="20"/>
              </w:rPr>
              <w:t>No se advierte.</w:t>
            </w:r>
          </w:p>
        </w:tc>
        <w:tc>
          <w:tcPr>
            <w:tcW w:w="1320" w:type="dxa"/>
            <w:vAlign w:val="center"/>
          </w:tcPr>
          <w:p w:rsidR="00FD3B00" w:rsidRDefault="00876CB2">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D3B00">
        <w:tc>
          <w:tcPr>
            <w:tcW w:w="2263" w:type="dxa"/>
            <w:vAlign w:val="center"/>
          </w:tcPr>
          <w:p w:rsidR="00FD3B00" w:rsidRDefault="00876CB2">
            <w:pPr>
              <w:widowControl w:val="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Información solicitada</w:t>
            </w:r>
          </w:p>
        </w:tc>
        <w:tc>
          <w:tcPr>
            <w:tcW w:w="5245" w:type="dxa"/>
            <w:vAlign w:val="center"/>
          </w:tcPr>
          <w:p w:rsidR="00FD3B00" w:rsidRDefault="00876CB2">
            <w:pPr>
              <w:spacing w:before="240" w:after="240" w:line="360" w:lineRule="auto"/>
              <w:jc w:val="center"/>
              <w:rPr>
                <w:rFonts w:ascii="Palatino Linotype" w:eastAsia="Palatino Linotype" w:hAnsi="Palatino Linotype" w:cs="Palatino Linotype"/>
              </w:rPr>
            </w:pPr>
            <w:r>
              <w:object w:dxaOrig="5025" w:dyaOrig="2190">
                <v:shape id="_x0000_i1026" type="#_x0000_t75" style="width:251.25pt;height:109.5pt" o:ole="">
                  <v:imagedata r:id="rId11" o:title=""/>
                </v:shape>
                <o:OLEObject Type="Embed" ProgID="PBrush" ShapeID="_x0000_i1026" DrawAspect="Content" ObjectID="_1718708912" r:id="rId12"/>
              </w:object>
            </w:r>
          </w:p>
        </w:tc>
        <w:tc>
          <w:tcPr>
            <w:tcW w:w="1320" w:type="dxa"/>
            <w:vAlign w:val="center"/>
          </w:tcPr>
          <w:p w:rsidR="00FD3B00" w:rsidRDefault="00876CB2">
            <w:pPr>
              <w:spacing w:before="240" w:after="240" w:line="36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NO</w:t>
            </w:r>
          </w:p>
        </w:tc>
      </w:tr>
      <w:tr w:rsidR="00FD3B00">
        <w:tc>
          <w:tcPr>
            <w:tcW w:w="2263" w:type="dxa"/>
            <w:vAlign w:val="center"/>
          </w:tcPr>
          <w:p w:rsidR="00FD3B00" w:rsidRDefault="00876CB2">
            <w:pPr>
              <w:widowControl w:val="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Fundamento y motivo por el cual se determina que la información no obra en los archivos.</w:t>
            </w:r>
          </w:p>
        </w:tc>
        <w:tc>
          <w:tcPr>
            <w:tcW w:w="5245" w:type="dxa"/>
            <w:vAlign w:val="center"/>
          </w:tcPr>
          <w:p w:rsidR="00FD3B00" w:rsidRDefault="00876CB2">
            <w:pPr>
              <w:spacing w:before="240" w:after="240" w:line="360" w:lineRule="auto"/>
              <w:jc w:val="both"/>
            </w:pPr>
            <w:r>
              <w:object w:dxaOrig="5025" w:dyaOrig="975">
                <v:shape id="_x0000_i1027" type="#_x0000_t75" style="width:251.25pt;height:48.75pt" o:ole="">
                  <v:imagedata r:id="rId13" o:title=""/>
                </v:shape>
                <o:OLEObject Type="Embed" ProgID="PBrush" ShapeID="_x0000_i1027" DrawAspect="Content" ObjectID="_1718708913" r:id="rId14"/>
              </w:object>
            </w:r>
          </w:p>
        </w:tc>
        <w:tc>
          <w:tcPr>
            <w:tcW w:w="1320" w:type="dxa"/>
            <w:vAlign w:val="center"/>
          </w:tcPr>
          <w:p w:rsidR="00FD3B00" w:rsidRDefault="00876CB2">
            <w:pPr>
              <w:spacing w:before="240" w:after="240" w:line="36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12"/>
                <w:szCs w:val="12"/>
              </w:rPr>
              <w:t>PARCIALMENTE</w:t>
            </w:r>
          </w:p>
        </w:tc>
      </w:tr>
      <w:tr w:rsidR="00FD3B00">
        <w:tc>
          <w:tcPr>
            <w:tcW w:w="2263" w:type="dxa"/>
            <w:vAlign w:val="center"/>
          </w:tcPr>
          <w:p w:rsidR="00FD3B00" w:rsidRDefault="00876CB2">
            <w:pPr>
              <w:widowControl w:val="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Número de acuerdo emitido</w:t>
            </w:r>
          </w:p>
        </w:tc>
        <w:tc>
          <w:tcPr>
            <w:tcW w:w="5245" w:type="dxa"/>
            <w:vAlign w:val="center"/>
          </w:tcPr>
          <w:p w:rsidR="00FD3B00" w:rsidRDefault="00876CB2">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sz w:val="20"/>
                <w:szCs w:val="20"/>
              </w:rPr>
              <w:t>No se advierte.</w:t>
            </w:r>
          </w:p>
        </w:tc>
        <w:tc>
          <w:tcPr>
            <w:tcW w:w="1320" w:type="dxa"/>
            <w:vAlign w:val="center"/>
          </w:tcPr>
          <w:p w:rsidR="00FD3B00" w:rsidRDefault="00876CB2">
            <w:pPr>
              <w:spacing w:before="240" w:after="240" w:line="36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NO</w:t>
            </w:r>
          </w:p>
        </w:tc>
      </w:tr>
      <w:tr w:rsidR="00FD3B00">
        <w:tc>
          <w:tcPr>
            <w:tcW w:w="2263" w:type="dxa"/>
            <w:vAlign w:val="center"/>
          </w:tcPr>
          <w:p w:rsidR="00FD3B00" w:rsidRDefault="00876CB2">
            <w:pPr>
              <w:widowControl w:val="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Hacer del conocimiento del solicitante que puede interponer el Recurso de Revisión respectivo en un término de 15 días</w:t>
            </w:r>
          </w:p>
        </w:tc>
        <w:tc>
          <w:tcPr>
            <w:tcW w:w="5245" w:type="dxa"/>
            <w:vAlign w:val="center"/>
          </w:tcPr>
          <w:p w:rsidR="00FD3B00" w:rsidRDefault="00876CB2">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sz w:val="20"/>
                <w:szCs w:val="20"/>
              </w:rPr>
              <w:t>No se advierte.</w:t>
            </w:r>
          </w:p>
        </w:tc>
        <w:tc>
          <w:tcPr>
            <w:tcW w:w="1320" w:type="dxa"/>
            <w:vAlign w:val="center"/>
          </w:tcPr>
          <w:p w:rsidR="00FD3B00" w:rsidRDefault="00876CB2">
            <w:pPr>
              <w:spacing w:before="240" w:after="240" w:line="36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NO</w:t>
            </w:r>
          </w:p>
        </w:tc>
      </w:tr>
      <w:tr w:rsidR="00FD3B00">
        <w:tc>
          <w:tcPr>
            <w:tcW w:w="2263" w:type="dxa"/>
            <w:vAlign w:val="center"/>
          </w:tcPr>
          <w:p w:rsidR="00FD3B00" w:rsidRDefault="00876CB2">
            <w:pPr>
              <w:widowControl w:val="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Nombres y firmas de los integrantes del Comité</w:t>
            </w:r>
          </w:p>
        </w:tc>
        <w:tc>
          <w:tcPr>
            <w:tcW w:w="5245" w:type="dxa"/>
            <w:vAlign w:val="center"/>
          </w:tcPr>
          <w:p w:rsidR="00FD3B00" w:rsidRDefault="00876CB2">
            <w:pPr>
              <w:spacing w:before="240" w:after="240" w:line="360" w:lineRule="auto"/>
              <w:jc w:val="center"/>
            </w:pPr>
            <w:r>
              <w:object w:dxaOrig="5025" w:dyaOrig="1800">
                <v:shape id="_x0000_i1028" type="#_x0000_t75" style="width:251.25pt;height:90pt" o:ole="">
                  <v:imagedata r:id="rId15" o:title=""/>
                </v:shape>
                <o:OLEObject Type="Embed" ProgID="PBrush" ShapeID="_x0000_i1028" DrawAspect="Content" ObjectID="_1718708914" r:id="rId16"/>
              </w:object>
            </w:r>
          </w:p>
          <w:p w:rsidR="00FD3B00" w:rsidRDefault="00876CB2">
            <w:pPr>
              <w:spacing w:before="240" w:after="240" w:line="360" w:lineRule="auto"/>
              <w:jc w:val="center"/>
            </w:pPr>
            <w:r>
              <w:object w:dxaOrig="2040" w:dyaOrig="1890">
                <v:shape id="_x0000_i1029" type="#_x0000_t75" style="width:102pt;height:94.5pt" o:ole="">
                  <v:imagedata r:id="rId17" o:title=""/>
                </v:shape>
                <o:OLEObject Type="Embed" ProgID="PBrush" ShapeID="_x0000_i1029" DrawAspect="Content" ObjectID="_1718708915" r:id="rId18"/>
              </w:object>
            </w:r>
          </w:p>
        </w:tc>
        <w:tc>
          <w:tcPr>
            <w:tcW w:w="1320" w:type="dxa"/>
            <w:vAlign w:val="center"/>
          </w:tcPr>
          <w:p w:rsidR="00FD3B00" w:rsidRDefault="00876CB2">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SI</w:t>
            </w:r>
          </w:p>
        </w:tc>
      </w:tr>
      <w:tr w:rsidR="00FD3B00">
        <w:tc>
          <w:tcPr>
            <w:tcW w:w="2263" w:type="dxa"/>
            <w:vAlign w:val="center"/>
          </w:tcPr>
          <w:p w:rsidR="00FD3B00" w:rsidRDefault="00876CB2">
            <w:pPr>
              <w:widowControl w:val="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Notificación al Órgano Interno de Control</w:t>
            </w:r>
          </w:p>
        </w:tc>
        <w:tc>
          <w:tcPr>
            <w:tcW w:w="5245" w:type="dxa"/>
            <w:vAlign w:val="center"/>
          </w:tcPr>
          <w:p w:rsidR="00FD3B00" w:rsidRDefault="00876CB2">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sz w:val="20"/>
                <w:szCs w:val="20"/>
              </w:rPr>
              <w:t>No se advierte.</w:t>
            </w:r>
          </w:p>
        </w:tc>
        <w:tc>
          <w:tcPr>
            <w:tcW w:w="1320" w:type="dxa"/>
            <w:vAlign w:val="center"/>
          </w:tcPr>
          <w:p w:rsidR="00FD3B00" w:rsidRDefault="00876CB2">
            <w:pPr>
              <w:spacing w:before="240" w:after="240" w:line="36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NO</w:t>
            </w:r>
          </w:p>
        </w:tc>
      </w:tr>
    </w:tbl>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advierte, el acuerdo no cumplió con la totalidad de los elementos que establecen los Lineamientos para la Recepción, Trámite y Resolución de las solicitudes de Acceso a la Información Pública, pues si bien, la Encargada de Archivo Municipal como área competente para generar, administrar o poseer la información de mérito, manifestó que se efectuó la búsqueda exhaustiva, debe señalarse que la declaración de inexistencia no se encuentra debidamente fundada y motivada, en virtud de que no se exponen concretamente las razones que explican la referida inexistencia mediante el dictamen correspondiente, pues dicha declaración se hizo de manera general, asimismo, tampoco se notificó al Órgano Interno de Control en términos de lo establecido en el artículo 169, fracción IV de la Ley de Transparencia y Acceso a la Información Pública del Estado de México y Municipios, citado con antelación.</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a consideración de este Organismo Garante, el acta remitida,  mediante la cual se aprobó la declaratoria de inexistencia no es suficiente para tener por atendidos los puntos en los cuales no se proporcionó información, siendo necesario que se emita nuevamente, en los términos referidos.</w:t>
      </w:r>
    </w:p>
    <w:tbl>
      <w:tblPr>
        <w:tblStyle w:val="af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FD3B00">
        <w:tc>
          <w:tcPr>
            <w:tcW w:w="8828" w:type="dxa"/>
            <w:gridSpan w:val="3"/>
            <w:vAlign w:val="center"/>
          </w:tcPr>
          <w:p w:rsidR="00FD3B00" w:rsidRDefault="00876CB2">
            <w:pPr>
              <w:numPr>
                <w:ilvl w:val="0"/>
                <w:numId w:val="1"/>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COMITÉ DE TRANSPARENCIA </w:t>
            </w:r>
          </w:p>
          <w:p w:rsidR="00FD3B00" w:rsidRDefault="00876CB2">
            <w:pPr>
              <w:jc w:val="both"/>
            </w:pPr>
            <w:r>
              <w:rPr>
                <w:rFonts w:ascii="Palatino Linotype" w:eastAsia="Palatino Linotype" w:hAnsi="Palatino Linotype" w:cs="Palatino Linotype"/>
                <w:sz w:val="20"/>
                <w:szCs w:val="20"/>
              </w:rPr>
              <w:t>CONFORME LO ESTABLECIDO EN ARTÍCULO NOVENO FRACCIÓN I INCISO b) DE LOS LINEAMIENTOS PARA LA ORGANIZACIÓN Y CONSERVACIÓN DE ARCHIVOS.</w:t>
            </w:r>
          </w:p>
        </w:tc>
      </w:tr>
      <w:tr w:rsidR="00FD3B00">
        <w:tc>
          <w:tcPr>
            <w:tcW w:w="2942" w:type="dxa"/>
            <w:vAlign w:val="center"/>
          </w:tcPr>
          <w:p w:rsidR="00FD3B00" w:rsidRDefault="00876CB2">
            <w:pPr>
              <w:jc w:val="center"/>
            </w:pPr>
            <w:r>
              <w:rPr>
                <w:rFonts w:ascii="Palatino Linotype" w:eastAsia="Palatino Linotype" w:hAnsi="Palatino Linotype" w:cs="Palatino Linotype"/>
                <w:b/>
                <w:sz w:val="20"/>
                <w:szCs w:val="20"/>
              </w:rPr>
              <w:t>REQUERIMIENTO</w:t>
            </w:r>
          </w:p>
        </w:tc>
        <w:tc>
          <w:tcPr>
            <w:tcW w:w="2943" w:type="dxa"/>
            <w:vAlign w:val="center"/>
          </w:tcPr>
          <w:p w:rsidR="00FD3B00" w:rsidRDefault="00876CB2">
            <w:pPr>
              <w:jc w:val="center"/>
            </w:pPr>
            <w:r>
              <w:rPr>
                <w:rFonts w:ascii="Palatino Linotype" w:eastAsia="Palatino Linotype" w:hAnsi="Palatino Linotype" w:cs="Palatino Linotype"/>
                <w:b/>
                <w:sz w:val="20"/>
                <w:szCs w:val="20"/>
              </w:rPr>
              <w:t>RESPUESTA</w:t>
            </w:r>
          </w:p>
        </w:tc>
        <w:tc>
          <w:tcPr>
            <w:tcW w:w="2943" w:type="dxa"/>
            <w:vAlign w:val="center"/>
          </w:tcPr>
          <w:p w:rsidR="00FD3B00" w:rsidRDefault="00876CB2">
            <w:pPr>
              <w:jc w:val="center"/>
            </w:pPr>
            <w:r>
              <w:rPr>
                <w:rFonts w:ascii="Palatino Linotype" w:eastAsia="Palatino Linotype" w:hAnsi="Palatino Linotype" w:cs="Palatino Linotype"/>
                <w:b/>
                <w:sz w:val="20"/>
                <w:szCs w:val="20"/>
              </w:rPr>
              <w:t>INFORME JUSTIFICADO</w:t>
            </w:r>
          </w:p>
        </w:tc>
      </w:tr>
      <w:tr w:rsidR="00FD3B00">
        <w:tc>
          <w:tcPr>
            <w:tcW w:w="2942" w:type="dxa"/>
            <w:vAlign w:val="center"/>
          </w:tcPr>
          <w:p w:rsidR="00FD3B00" w:rsidRDefault="00876CB2">
            <w:pPr>
              <w:jc w:val="both"/>
            </w:pPr>
            <w:r>
              <w:rPr>
                <w:rFonts w:ascii="Palatino Linotype" w:eastAsia="Palatino Linotype" w:hAnsi="Palatino Linotype" w:cs="Palatino Linotype"/>
                <w:sz w:val="20"/>
                <w:szCs w:val="20"/>
              </w:rPr>
              <w:t xml:space="preserve">5.3 POLÍTICAS, MANUALES E INSTRUMENTOS DE CONTROL ARCHIVÍSTICO APROBADOS POR EL COMITÉ DE </w:t>
            </w:r>
            <w:r>
              <w:rPr>
                <w:rFonts w:ascii="Palatino Linotype" w:eastAsia="Palatino Linotype" w:hAnsi="Palatino Linotype" w:cs="Palatino Linotype"/>
                <w:sz w:val="20"/>
                <w:szCs w:val="20"/>
              </w:rPr>
              <w:lastRenderedPageBreak/>
              <w:t>TRANSPARENCIA EN LOS AÑOS 2019, 2020 Y 2021.</w:t>
            </w:r>
          </w:p>
        </w:tc>
        <w:tc>
          <w:tcPr>
            <w:tcW w:w="2943" w:type="dxa"/>
            <w:vAlign w:val="center"/>
          </w:tcPr>
          <w:p w:rsidR="00FD3B00" w:rsidRDefault="00876CB2">
            <w:pPr>
              <w:jc w:val="center"/>
            </w:pPr>
            <w:r>
              <w:rPr>
                <w:rFonts w:ascii="Palatino Linotype" w:eastAsia="Palatino Linotype" w:hAnsi="Palatino Linotype" w:cs="Palatino Linotype"/>
                <w:sz w:val="20"/>
                <w:szCs w:val="20"/>
              </w:rPr>
              <w:lastRenderedPageBreak/>
              <w:t>OMISO</w:t>
            </w:r>
          </w:p>
        </w:tc>
        <w:tc>
          <w:tcPr>
            <w:tcW w:w="2943" w:type="dxa"/>
            <w:vAlign w:val="center"/>
          </w:tcPr>
          <w:p w:rsidR="00FD3B00" w:rsidRDefault="00876CB2">
            <w:pPr>
              <w:jc w:val="both"/>
              <w:rPr>
                <w:rFonts w:ascii="Palatino Linotype" w:eastAsia="Palatino Linotype" w:hAnsi="Palatino Linotype" w:cs="Palatino Linotype"/>
              </w:rPr>
            </w:pPr>
            <w:r>
              <w:rPr>
                <w:rFonts w:ascii="Palatino Linotype" w:eastAsia="Palatino Linotype" w:hAnsi="Palatino Linotype" w:cs="Palatino Linotype"/>
                <w:sz w:val="20"/>
                <w:szCs w:val="20"/>
              </w:rPr>
              <w:t>Después de una búsqueda exhaustiva no se cuenta con la información antes mencionada de la administración 2019-2021</w:t>
            </w:r>
          </w:p>
        </w:tc>
      </w:tr>
      <w:tr w:rsidR="00FD3B00">
        <w:tc>
          <w:tcPr>
            <w:tcW w:w="2942" w:type="dxa"/>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5.4 ACTAS DEL COMITÉ DE TRANSPARENCIA DE LOS AÑOS 2019, 2020 Y 2021 DONDE SE APROBÓ CUALQUIER POLÍTICA, MANUAL Y/O INSTRUMENTO DE CONTROL ARCHIVÍSTICO. </w:t>
            </w:r>
          </w:p>
        </w:tc>
        <w:tc>
          <w:tcPr>
            <w:tcW w:w="2943" w:type="dxa"/>
            <w:vAlign w:val="center"/>
          </w:tcPr>
          <w:p w:rsidR="00FD3B00" w:rsidRDefault="00876CB2">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OMISO</w:t>
            </w:r>
          </w:p>
        </w:tc>
        <w:tc>
          <w:tcPr>
            <w:tcW w:w="2943" w:type="dxa"/>
            <w:vAlign w:val="center"/>
          </w:tcPr>
          <w:p w:rsidR="00FD3B00" w:rsidRDefault="00876CB2">
            <w:pPr>
              <w:jc w:val="both"/>
              <w:rPr>
                <w:rFonts w:ascii="Palatino Linotype" w:eastAsia="Palatino Linotype" w:hAnsi="Palatino Linotype" w:cs="Palatino Linotype"/>
              </w:rPr>
            </w:pPr>
            <w:r>
              <w:rPr>
                <w:rFonts w:ascii="Palatino Linotype" w:eastAsia="Palatino Linotype" w:hAnsi="Palatino Linotype" w:cs="Palatino Linotype"/>
                <w:sz w:val="20"/>
                <w:szCs w:val="20"/>
              </w:rPr>
              <w:t>Después de una búsqueda exhaustiva en la entrega-recepción de la administración 2019-2021, no se encontraron las actas mencionadas.</w:t>
            </w:r>
          </w:p>
        </w:tc>
      </w:tr>
    </w:tbl>
    <w:p w:rsidR="00FD3B00" w:rsidRDefault="00876CB2">
      <w:pPr>
        <w:spacing w:before="240" w:after="240" w:line="360" w:lineRule="auto"/>
        <w:jc w:val="both"/>
        <w:rPr>
          <w:rFonts w:ascii="Palatino Linotype" w:eastAsia="Palatino Linotype" w:hAnsi="Palatino Linotype" w:cs="Palatino Linotype"/>
          <w:shd w:val="clear" w:color="auto" w:fill="FF9900"/>
        </w:rPr>
      </w:pPr>
      <w:r>
        <w:rPr>
          <w:rFonts w:ascii="Palatino Linotype" w:eastAsia="Palatino Linotype" w:hAnsi="Palatino Linotype" w:cs="Palatino Linotype"/>
        </w:rPr>
        <w:t>Es de señalar que el Lineamiento Noveno, fracción I, inciso b) de los Lineamientos para la Organización y Conservación de los Archivos, establece lo siguiente:</w:t>
      </w:r>
    </w:p>
    <w:p w:rsidR="00FD3B00" w:rsidRDefault="00876CB2">
      <w:pPr>
        <w:spacing w:before="120" w:after="120"/>
        <w:ind w:left="851" w:right="902"/>
        <w:jc w:val="both"/>
        <w:rPr>
          <w:rFonts w:ascii="Palatino Linotype" w:eastAsia="Palatino Linotype" w:hAnsi="Palatino Linotype" w:cs="Palatino Linotype"/>
          <w:i/>
          <w:sz w:val="22"/>
          <w:szCs w:val="22"/>
          <w:shd w:val="clear" w:color="auto" w:fill="FF9900"/>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Sistema Institucional de Archivos</w:t>
      </w:r>
      <w:r>
        <w:rPr>
          <w:rFonts w:ascii="Palatino Linotype" w:eastAsia="Palatino Linotype" w:hAnsi="Palatino Linotype" w:cs="Palatino Linotype"/>
          <w:i/>
          <w:sz w:val="22"/>
          <w:szCs w:val="22"/>
        </w:rPr>
        <w:t xml:space="preserve"> operará a través de las unidades e instancias siguientes:</w:t>
      </w:r>
    </w:p>
    <w:p w:rsidR="00FD3B00" w:rsidRDefault="00876CB2">
      <w:pPr>
        <w:spacing w:before="120" w:after="120"/>
        <w:ind w:left="1134" w:right="902"/>
        <w:jc w:val="both"/>
        <w:rPr>
          <w:rFonts w:ascii="Palatino Linotype" w:eastAsia="Palatino Linotype" w:hAnsi="Palatino Linotype" w:cs="Palatino Linotype"/>
          <w:i/>
          <w:sz w:val="22"/>
          <w:szCs w:val="22"/>
          <w:shd w:val="clear" w:color="auto" w:fill="FF9900"/>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Normativa:</w:t>
      </w:r>
    </w:p>
    <w:p w:rsidR="00FD3B00" w:rsidRDefault="00876CB2">
      <w:pPr>
        <w:spacing w:before="120" w:after="120"/>
        <w:ind w:left="1418" w:right="902"/>
        <w:jc w:val="both"/>
        <w:rPr>
          <w:rFonts w:ascii="Palatino Linotype" w:eastAsia="Palatino Linotype" w:hAnsi="Palatino Linotype" w:cs="Palatino Linotype"/>
          <w:i/>
          <w:sz w:val="22"/>
          <w:szCs w:val="22"/>
          <w:shd w:val="clear" w:color="auto" w:fill="FF9900"/>
        </w:rPr>
      </w:pPr>
      <w:r>
        <w:rPr>
          <w:rFonts w:ascii="Palatino Linotype" w:eastAsia="Palatino Linotype" w:hAnsi="Palatino Linotype" w:cs="Palatino Linotype"/>
          <w:b/>
          <w:i/>
          <w:sz w:val="22"/>
          <w:szCs w:val="22"/>
        </w:rPr>
        <w:t xml:space="preserve">a) </w:t>
      </w:r>
      <w:r>
        <w:rPr>
          <w:rFonts w:ascii="Palatino Linotype" w:eastAsia="Palatino Linotype" w:hAnsi="Palatino Linotype" w:cs="Palatino Linotype"/>
          <w:i/>
          <w:sz w:val="22"/>
          <w:szCs w:val="22"/>
        </w:rPr>
        <w:t>Área coordinadora de archivos, y</w:t>
      </w:r>
    </w:p>
    <w:p w:rsidR="00FD3B00" w:rsidRDefault="00876CB2">
      <w:pPr>
        <w:spacing w:before="120" w:after="120"/>
        <w:ind w:left="1418" w:right="902"/>
        <w:jc w:val="both"/>
        <w:rPr>
          <w:rFonts w:ascii="Palatino Linotype" w:eastAsia="Palatino Linotype" w:hAnsi="Palatino Linotype" w:cs="Palatino Linotype"/>
          <w:i/>
          <w:sz w:val="22"/>
          <w:szCs w:val="22"/>
          <w:shd w:val="clear" w:color="auto" w:fill="FF9900"/>
        </w:rPr>
      </w:pPr>
      <w:r>
        <w:rPr>
          <w:rFonts w:ascii="Palatino Linotype" w:eastAsia="Palatino Linotype" w:hAnsi="Palatino Linotype" w:cs="Palatino Linotype"/>
          <w:b/>
          <w:i/>
          <w:sz w:val="22"/>
          <w:szCs w:val="22"/>
        </w:rPr>
        <w:t xml:space="preserve">b) </w:t>
      </w:r>
      <w:r>
        <w:rPr>
          <w:rFonts w:ascii="Palatino Linotype" w:eastAsia="Palatino Linotype" w:hAnsi="Palatino Linotype" w:cs="Palatino Linotype"/>
          <w:b/>
          <w:i/>
          <w:sz w:val="22"/>
          <w:szCs w:val="22"/>
          <w:u w:val="single"/>
        </w:rPr>
        <w:t>Comité de transparencia</w:t>
      </w:r>
      <w:r>
        <w:rPr>
          <w:rFonts w:ascii="Palatino Linotype" w:eastAsia="Palatino Linotype" w:hAnsi="Palatino Linotype" w:cs="Palatino Linotype"/>
          <w:i/>
          <w:sz w:val="22"/>
          <w:szCs w:val="22"/>
        </w:rPr>
        <w:t>.”</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45, párrafo primero de Ley de Transparencia y Acceso a la Información Pública del Estado de México y Municipios, establece lo siguiente:</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45. Cada sujeto obligado </w:t>
      </w:r>
      <w:r>
        <w:rPr>
          <w:rFonts w:ascii="Palatino Linotype" w:eastAsia="Palatino Linotype" w:hAnsi="Palatino Linotype" w:cs="Palatino Linotype"/>
          <w:b/>
          <w:i/>
          <w:sz w:val="22"/>
          <w:szCs w:val="22"/>
          <w:u w:val="single"/>
        </w:rPr>
        <w:t>establecerá un Comité de Transparencia</w:t>
      </w:r>
      <w:r>
        <w:rPr>
          <w:rFonts w:ascii="Palatino Linotype" w:eastAsia="Palatino Linotype" w:hAnsi="Palatino Linotype" w:cs="Palatino Linotype"/>
          <w:i/>
          <w:sz w:val="22"/>
          <w:szCs w:val="22"/>
          <w:u w:val="single"/>
        </w:rPr>
        <w:t>,</w:t>
      </w:r>
      <w:r>
        <w:rPr>
          <w:rFonts w:ascii="Palatino Linotype" w:eastAsia="Palatino Linotype" w:hAnsi="Palatino Linotype" w:cs="Palatino Linotype"/>
          <w:i/>
          <w:sz w:val="22"/>
          <w:szCs w:val="22"/>
        </w:rPr>
        <w:t xml:space="preserve"> colegiado e integrado por lo menos por tres miembros, debiendo de ser siempre un número impar.”</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citado se desprende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cuenta con el deber de establecer un Comité de Transparencia, mismo que se integrará por el Titular de la Unidad de Transparencia, el Responsable del Área Coordinadora de Archivos o equivalente y el Titular del Órgano de Control Interno o equivalente, de conformidad con el artículo 46 de la Ley de Transparencia Local, que es del tenor literal siguiente:</w:t>
      </w:r>
    </w:p>
    <w:p w:rsidR="00FD3B00" w:rsidRDefault="00876CB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Artículo 46</w:t>
      </w:r>
      <w:r>
        <w:rPr>
          <w:rFonts w:ascii="Palatino Linotype" w:eastAsia="Palatino Linotype" w:hAnsi="Palatino Linotype" w:cs="Palatino Linotype"/>
          <w:i/>
        </w:rPr>
        <w:t xml:space="preserve">. Los sujetos obligados integrarán sus Comités de Transparencia de la siguiente forma: </w:t>
      </w:r>
    </w:p>
    <w:p w:rsidR="00FD3B00" w:rsidRDefault="00876CB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El titular de la unidad de transparencia; </w:t>
      </w:r>
    </w:p>
    <w:p w:rsidR="00FD3B00" w:rsidRDefault="00876CB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responsable del área coordinadora de archivos o equivalente</w:t>
      </w:r>
      <w:r>
        <w:rPr>
          <w:rFonts w:ascii="Palatino Linotype" w:eastAsia="Palatino Linotype" w:hAnsi="Palatino Linotype" w:cs="Palatino Linotype"/>
          <w:i/>
        </w:rPr>
        <w:t xml:space="preserve">; y </w:t>
      </w:r>
    </w:p>
    <w:p w:rsidR="00FD3B00" w:rsidRDefault="00876CB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El titular del órgano de control interno o equivalente.</w:t>
      </w:r>
    </w:p>
    <w:p w:rsidR="00FD3B00" w:rsidRDefault="00876CB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También estará integrado por el servidor público encargado de la protección de los datos personales cuando sesione para cuestiones relacionadas con esta materia.”</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respecto de la información que se solicita en los puntos 5.3 y 5.4, es oportuno referir que ni la Ley General de Archivos, ni la Ley de Archivos y Administración de Documentos del Estado de México y Municipios establecen como atribución del Comité de Transparencia la de aprobar políticas, manuales y/o instrumentos archivísticos formulados por el área coordinadora de archivos, como lo prevé del Lineamiento Décimo, fracción II de los Lineamientos para la Organización y Conservación de los Archivos.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la Ley de Transparencia y Acceso a la Información Pública del Estado de México y Municipios, tampoco contempla dicha atribución como desprende del artículo 49, a saber:</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Los Comités de Transparencia tendrán las siguientes atribuciones:</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Confirmar, modificar o revocar las determinaciones que en materia de ampliación del plazo de respuesta, clasificación de la información y declaración </w:t>
      </w:r>
      <w:r>
        <w:rPr>
          <w:rFonts w:ascii="Palatino Linotype" w:eastAsia="Palatino Linotype" w:hAnsi="Palatino Linotype" w:cs="Palatino Linotype"/>
          <w:i/>
          <w:sz w:val="22"/>
          <w:szCs w:val="22"/>
        </w:rPr>
        <w:lastRenderedPageBreak/>
        <w:t xml:space="preserve">de inexistencia o de incompetencia realicen los titulares de las áreas de los sujetos obligados;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Establecer políticas para facilitar la obtención y entrega de información en las solicitudes que permita el adecuado ejercicio del derecho de acceso a la información;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Promover la capacitación y actualización de los servidores públicos o integrantes adscritos a las unidades de transparencia;</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Establecer programas de capacitación en materia de transparencia, acceso a la información, accesibilidad y protección de datos personales, para todos los servidores públicos o integrantes del sujeto obligado;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xml:space="preserve"> Solicitar y autorizar la ampliación del plazo de reserva de la información a que se refiere esta Ley;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Aprobar, modificar o revocar la clasificación de la información;</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w:t>
      </w:r>
      <w:r>
        <w:rPr>
          <w:rFonts w:ascii="Palatino Linotype" w:eastAsia="Palatino Linotype" w:hAnsi="Palatino Linotype" w:cs="Palatino Linotype"/>
          <w:i/>
          <w:sz w:val="22"/>
          <w:szCs w:val="22"/>
        </w:rPr>
        <w:t xml:space="preserve">. Supervisar la aplicación de los lineamientos en materia de acceso a la información pública para el manejo, mantenimiento y seguridad de los datos personales, así como de los criterios de clasificación expedidos por el Instituto;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w:t>
      </w:r>
      <w:r>
        <w:rPr>
          <w:rFonts w:ascii="Palatino Linotype" w:eastAsia="Palatino Linotype" w:hAnsi="Palatino Linotype" w:cs="Palatino Linotype"/>
          <w:i/>
          <w:sz w:val="22"/>
          <w:szCs w:val="22"/>
        </w:rPr>
        <w:t xml:space="preserve"> Elaborar un programa para facilitar la sistematización y actualización de la información, mismo que deberá remitirse al Instituto dentro de los primeros veinte días de cada año; XI. Recabar y enviar al Instituto, de conformidad con los lineamientos que éste expida, los datos necesarios para la elaboración del informe anual;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w:t>
      </w:r>
      <w:r>
        <w:rPr>
          <w:rFonts w:ascii="Palatino Linotype" w:eastAsia="Palatino Linotype" w:hAnsi="Palatino Linotype" w:cs="Palatino Linotype"/>
          <w:i/>
          <w:sz w:val="22"/>
          <w:szCs w:val="22"/>
        </w:rPr>
        <w:t>. Emitir las resoluciones que correspondan para la atención de las solicitudes de información;</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XIII.</w:t>
      </w:r>
      <w:r>
        <w:rPr>
          <w:rFonts w:ascii="Palatino Linotype" w:eastAsia="Palatino Linotype" w:hAnsi="Palatino Linotype" w:cs="Palatino Linotype"/>
          <w:i/>
          <w:sz w:val="22"/>
          <w:szCs w:val="22"/>
        </w:rPr>
        <w:t xml:space="preserve"> Dictaminar las declaratorias de inexistencia de la información que les remitan las unidades administrativas y resolver en consecuencia;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XIV.</w:t>
      </w:r>
      <w:r>
        <w:rPr>
          <w:rFonts w:ascii="Palatino Linotype" w:eastAsia="Palatino Linotype" w:hAnsi="Palatino Linotype" w:cs="Palatino Linotype"/>
          <w:i/>
          <w:sz w:val="22"/>
          <w:szCs w:val="22"/>
        </w:rPr>
        <w:t xml:space="preserve"> Supervisar el registro y actualización de las solicitudes de acceso a la información, así como sus trámites, costos y resultados;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w:t>
      </w:r>
      <w:r>
        <w:rPr>
          <w:rFonts w:ascii="Palatino Linotype" w:eastAsia="Palatino Linotype" w:hAnsi="Palatino Linotype" w:cs="Palatino Linotype"/>
          <w:i/>
          <w:sz w:val="22"/>
          <w:szCs w:val="22"/>
        </w:rPr>
        <w:t xml:space="preserve">. Fomentar la cultura de transparencia;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w:t>
      </w:r>
      <w:r>
        <w:rPr>
          <w:rFonts w:ascii="Palatino Linotype" w:eastAsia="Palatino Linotype" w:hAnsi="Palatino Linotype" w:cs="Palatino Linotype"/>
          <w:i/>
          <w:sz w:val="22"/>
          <w:szCs w:val="22"/>
        </w:rPr>
        <w:t xml:space="preserve"> Supervisar el cumplimiento de criterios y lineamientos en materia de información clasificada;</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w:t>
      </w:r>
      <w:r>
        <w:rPr>
          <w:rFonts w:ascii="Palatino Linotype" w:eastAsia="Palatino Linotype" w:hAnsi="Palatino Linotype" w:cs="Palatino Linotype"/>
          <w:i/>
          <w:sz w:val="22"/>
          <w:szCs w:val="22"/>
        </w:rPr>
        <w:t xml:space="preserve">. Vigilar el cumplimiento de las resoluciones y recomendaciones que emita el Instituto; y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Las demás que se desprendan de la presente Ley y las disposiciones jurídicas aplicables, que faciliten el acceso a la información.”</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las relatadas circunstancias, toda vez que no se localizó fuente obligacional que constriña al Comité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para aprobar políticas, manuales y/o instrumentos archivísticos formulados por el área coordinadora de archivos, no es procedente la entrega de información alguna para atender los puntos en análisis, bajo la premisa de que los Sujetos Obligados solo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Pr>
          <w:rFonts w:ascii="Palatino Linotype" w:eastAsia="Palatino Linotype" w:hAnsi="Palatino Linotype" w:cs="Palatino Linotype"/>
          <w:i/>
        </w:rPr>
        <w:t xml:space="preserve"> contrario sensu</w:t>
      </w:r>
      <w:r>
        <w:rPr>
          <w:rFonts w:ascii="Palatino Linotype" w:eastAsia="Palatino Linotype" w:hAnsi="Palatino Linotype" w:cs="Palatino Linotype"/>
        </w:rPr>
        <w:t xml:space="preserve"> significa que no se está obligado a proporcionar lo que no obre en sus archivos, en consecuencia,  el pronunciamiento vertido por la Encargada del Archivo Municipal, es suficiente para tener por atendidos los requerimientos de información. </w:t>
      </w:r>
    </w:p>
    <w:tbl>
      <w:tblPr>
        <w:tblStyle w:val="aff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FD3B00">
        <w:tc>
          <w:tcPr>
            <w:tcW w:w="8828" w:type="dxa"/>
            <w:gridSpan w:val="3"/>
            <w:vAlign w:val="center"/>
          </w:tcPr>
          <w:p w:rsidR="00FD3B00" w:rsidRDefault="00876CB2">
            <w:pPr>
              <w:jc w:val="both"/>
            </w:pPr>
            <w:r>
              <w:rPr>
                <w:rFonts w:ascii="Palatino Linotype" w:eastAsia="Palatino Linotype" w:hAnsi="Palatino Linotype" w:cs="Palatino Linotype"/>
                <w:b/>
                <w:sz w:val="20"/>
                <w:szCs w:val="20"/>
              </w:rPr>
              <w:t>11. ARCHIVOS DE TRÁMITE</w:t>
            </w:r>
            <w:r>
              <w:rPr>
                <w:rFonts w:ascii="Palatino Linotype" w:eastAsia="Palatino Linotype" w:hAnsi="Palatino Linotype" w:cs="Palatino Linotype"/>
                <w:sz w:val="20"/>
                <w:szCs w:val="20"/>
              </w:rPr>
              <w:t xml:space="preserve"> </w:t>
            </w:r>
          </w:p>
        </w:tc>
      </w:tr>
      <w:tr w:rsidR="00FD3B00">
        <w:tc>
          <w:tcPr>
            <w:tcW w:w="2702" w:type="dxa"/>
            <w:vAlign w:val="center"/>
          </w:tcPr>
          <w:p w:rsidR="00FD3B00" w:rsidRDefault="00876CB2">
            <w:pPr>
              <w:jc w:val="center"/>
            </w:pPr>
            <w:r>
              <w:rPr>
                <w:rFonts w:ascii="Palatino Linotype" w:eastAsia="Palatino Linotype" w:hAnsi="Palatino Linotype" w:cs="Palatino Linotype"/>
                <w:b/>
                <w:sz w:val="20"/>
                <w:szCs w:val="20"/>
              </w:rPr>
              <w:t>REQUERIMIENTO</w:t>
            </w:r>
          </w:p>
        </w:tc>
        <w:tc>
          <w:tcPr>
            <w:tcW w:w="2571" w:type="dxa"/>
            <w:vAlign w:val="center"/>
          </w:tcPr>
          <w:p w:rsidR="00FD3B00" w:rsidRDefault="00876CB2">
            <w:pPr>
              <w:jc w:val="center"/>
            </w:pPr>
            <w:r>
              <w:rPr>
                <w:rFonts w:ascii="Palatino Linotype" w:eastAsia="Palatino Linotype" w:hAnsi="Palatino Linotype" w:cs="Palatino Linotype"/>
                <w:b/>
                <w:sz w:val="20"/>
                <w:szCs w:val="20"/>
              </w:rPr>
              <w:t>RESPUESTA</w:t>
            </w:r>
          </w:p>
        </w:tc>
        <w:tc>
          <w:tcPr>
            <w:tcW w:w="3555" w:type="dxa"/>
            <w:vAlign w:val="center"/>
          </w:tcPr>
          <w:p w:rsidR="00FD3B00" w:rsidRDefault="00876CB2">
            <w:pPr>
              <w:jc w:val="center"/>
            </w:pPr>
            <w:r>
              <w:rPr>
                <w:rFonts w:ascii="Palatino Linotype" w:eastAsia="Palatino Linotype" w:hAnsi="Palatino Linotype" w:cs="Palatino Linotype"/>
                <w:b/>
                <w:sz w:val="20"/>
                <w:szCs w:val="20"/>
              </w:rPr>
              <w:t>INFORME JUSTIFICADO</w:t>
            </w:r>
          </w:p>
        </w:tc>
      </w:tr>
      <w:tr w:rsidR="00FD3B00">
        <w:tc>
          <w:tcPr>
            <w:tcW w:w="2702" w:type="dxa"/>
            <w:shd w:val="clear" w:color="auto" w:fill="auto"/>
            <w:vAlign w:val="center"/>
          </w:tcPr>
          <w:p w:rsidR="00FD3B00" w:rsidRDefault="00876CB2">
            <w:pPr>
              <w:jc w:val="both"/>
            </w:pPr>
            <w:r>
              <w:rPr>
                <w:rFonts w:ascii="Palatino Linotype" w:eastAsia="Palatino Linotype" w:hAnsi="Palatino Linotype" w:cs="Palatino Linotype"/>
                <w:sz w:val="20"/>
                <w:szCs w:val="20"/>
              </w:rPr>
              <w:t>11.1 ¿CON CUÁNTAS UNIDADES ADMINISTRATIVAS CUENTAN?</w:t>
            </w:r>
          </w:p>
        </w:tc>
        <w:tc>
          <w:tcPr>
            <w:tcW w:w="2571" w:type="dxa"/>
            <w:shd w:val="clear" w:color="auto" w:fill="auto"/>
            <w:vAlign w:val="center"/>
          </w:tcPr>
          <w:p w:rsidR="00FD3B00" w:rsidRDefault="00876CB2">
            <w:pPr>
              <w:jc w:val="center"/>
            </w:pPr>
            <w:r>
              <w:rPr>
                <w:rFonts w:ascii="Palatino Linotype" w:eastAsia="Palatino Linotype" w:hAnsi="Palatino Linotype" w:cs="Palatino Linotype"/>
                <w:sz w:val="20"/>
                <w:szCs w:val="20"/>
              </w:rPr>
              <w:t>OMISO</w:t>
            </w:r>
          </w:p>
        </w:tc>
        <w:tc>
          <w:tcPr>
            <w:tcW w:w="3555" w:type="dxa"/>
            <w:shd w:val="clear" w:color="auto" w:fill="auto"/>
            <w:vAlign w:val="center"/>
          </w:tcPr>
          <w:p w:rsidR="00FD3B00" w:rsidRDefault="00876CB2">
            <w:pPr>
              <w:jc w:val="center"/>
            </w:pPr>
            <w:r>
              <w:rPr>
                <w:rFonts w:ascii="Palatino Linotype" w:eastAsia="Palatino Linotype" w:hAnsi="Palatino Linotype" w:cs="Palatino Linotype"/>
                <w:sz w:val="20"/>
                <w:szCs w:val="20"/>
              </w:rPr>
              <w:t>1</w:t>
            </w:r>
          </w:p>
        </w:tc>
      </w:tr>
      <w:tr w:rsidR="00FD3B00">
        <w:tc>
          <w:tcPr>
            <w:tcW w:w="2702" w:type="dxa"/>
            <w:vAlign w:val="center"/>
          </w:tcPr>
          <w:p w:rsidR="00FD3B00" w:rsidRDefault="00876CB2">
            <w:pPr>
              <w:jc w:val="both"/>
            </w:pPr>
            <w:r>
              <w:rPr>
                <w:rFonts w:ascii="Palatino Linotype" w:eastAsia="Palatino Linotype" w:hAnsi="Palatino Linotype" w:cs="Palatino Linotype"/>
                <w:sz w:val="20"/>
                <w:szCs w:val="20"/>
              </w:rPr>
              <w:lastRenderedPageBreak/>
              <w:t>11.2 NÚMERO ARCHIVOS DE TRÁMITE CON LOS QUE SE CUENTA.</w:t>
            </w:r>
          </w:p>
        </w:tc>
        <w:tc>
          <w:tcPr>
            <w:tcW w:w="2571" w:type="dxa"/>
            <w:vAlign w:val="center"/>
          </w:tcPr>
          <w:p w:rsidR="00FD3B00" w:rsidRDefault="00876CB2">
            <w:pPr>
              <w:jc w:val="center"/>
            </w:pPr>
            <w:r>
              <w:rPr>
                <w:rFonts w:ascii="Palatino Linotype" w:eastAsia="Palatino Linotype" w:hAnsi="Palatino Linotype" w:cs="Palatino Linotype"/>
                <w:sz w:val="20"/>
                <w:szCs w:val="20"/>
              </w:rPr>
              <w:t>OMISO</w:t>
            </w:r>
          </w:p>
        </w:tc>
        <w:tc>
          <w:tcPr>
            <w:tcW w:w="3555" w:type="dxa"/>
            <w:vAlign w:val="center"/>
          </w:tcPr>
          <w:p w:rsidR="00FD3B00" w:rsidRDefault="00876CB2">
            <w:pPr>
              <w:jc w:val="both"/>
            </w:pPr>
            <w:r>
              <w:rPr>
                <w:rFonts w:ascii="Palatino Linotype" w:eastAsia="Palatino Linotype" w:hAnsi="Palatino Linotype" w:cs="Palatino Linotype"/>
                <w:sz w:val="20"/>
                <w:szCs w:val="20"/>
              </w:rPr>
              <w:t>Con 12 Cada Titular de área es responsable del manejo de su archivo, se está trabajando en capacitar a personal para poder establecer lo que marca el artículo 13 de la Ley General de Archivos.</w:t>
            </w:r>
          </w:p>
        </w:tc>
      </w:tr>
      <w:tr w:rsidR="00FD3B00">
        <w:tc>
          <w:tcPr>
            <w:tcW w:w="2702" w:type="dxa"/>
            <w:vAlign w:val="center"/>
          </w:tcPr>
          <w:p w:rsidR="00FD3B00" w:rsidRDefault="00876CB2">
            <w:pPr>
              <w:jc w:val="both"/>
            </w:pPr>
            <w:r>
              <w:rPr>
                <w:rFonts w:ascii="Palatino Linotype" w:eastAsia="Palatino Linotype" w:hAnsi="Palatino Linotype" w:cs="Palatino Linotype"/>
                <w:sz w:val="20"/>
                <w:szCs w:val="20"/>
              </w:rPr>
              <w:t>11.3. ¿CADA ARCHIVO DE TRÁMITE CUENTA CON UN RESPONSABLE COMO LO ESTABLECE EL ARTÍCULO 30 ÚLTIMO PÁRRAFO DE LA LEY GENERAL DE ARCHIVOS?</w:t>
            </w:r>
          </w:p>
        </w:tc>
        <w:tc>
          <w:tcPr>
            <w:tcW w:w="2571" w:type="dxa"/>
            <w:vAlign w:val="center"/>
          </w:tcPr>
          <w:p w:rsidR="00FD3B00" w:rsidRDefault="00876CB2">
            <w:pPr>
              <w:jc w:val="center"/>
            </w:pPr>
            <w:r>
              <w:rPr>
                <w:rFonts w:ascii="Palatino Linotype" w:eastAsia="Palatino Linotype" w:hAnsi="Palatino Linotype" w:cs="Palatino Linotype"/>
                <w:sz w:val="20"/>
                <w:szCs w:val="20"/>
              </w:rPr>
              <w:t>OMISO</w:t>
            </w:r>
          </w:p>
        </w:tc>
        <w:tc>
          <w:tcPr>
            <w:tcW w:w="3555" w:type="dxa"/>
            <w:vAlign w:val="center"/>
          </w:tcPr>
          <w:p w:rsidR="00FD3B00" w:rsidRDefault="00876CB2">
            <w:pPr>
              <w:jc w:val="both"/>
              <w:rPr>
                <w:rFonts w:ascii="Palatino Linotype" w:eastAsia="Palatino Linotype" w:hAnsi="Palatino Linotype" w:cs="Palatino Linotype"/>
              </w:rPr>
            </w:pPr>
            <w:r>
              <w:rPr>
                <w:rFonts w:ascii="Palatino Linotype" w:eastAsia="Palatino Linotype" w:hAnsi="Palatino Linotype" w:cs="Palatino Linotype"/>
                <w:sz w:val="22"/>
                <w:szCs w:val="22"/>
              </w:rPr>
              <w:t>Los titulares de las áreas son los responsables del manejo de su archivo generado.</w:t>
            </w:r>
          </w:p>
        </w:tc>
      </w:tr>
      <w:tr w:rsidR="00FD3B00">
        <w:tc>
          <w:tcPr>
            <w:tcW w:w="2702" w:type="dxa"/>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11.5 ¿QUIÉN COORDINA LA OPERACIÓN DE LOS ARCHIVOS DE TRÁMITE?</w:t>
            </w:r>
          </w:p>
        </w:tc>
        <w:tc>
          <w:tcPr>
            <w:tcW w:w="2571" w:type="dxa"/>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3555" w:type="dxa"/>
            <w:vAlign w:val="center"/>
          </w:tcPr>
          <w:p w:rsidR="00FD3B00" w:rsidRDefault="00876CB2">
            <w:pPr>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Los servidores públicos encargados de área</w:t>
            </w:r>
            <w:r>
              <w:rPr>
                <w:rFonts w:ascii="Palatino Linotype" w:eastAsia="Palatino Linotype" w:hAnsi="Palatino Linotype" w:cs="Palatino Linotype"/>
                <w:b/>
                <w:sz w:val="20"/>
                <w:szCs w:val="20"/>
              </w:rPr>
              <w:t>.</w:t>
            </w:r>
          </w:p>
        </w:tc>
      </w:tr>
      <w:tr w:rsidR="00FD3B00">
        <w:tc>
          <w:tcPr>
            <w:tcW w:w="2702" w:type="dxa"/>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w:t>
            </w:r>
          </w:p>
        </w:tc>
        <w:tc>
          <w:tcPr>
            <w:tcW w:w="2571" w:type="dxa"/>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3555" w:type="dxa"/>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ya que no se cuenta con un encargado del área antes mencionada.</w:t>
            </w:r>
          </w:p>
        </w:tc>
      </w:tr>
      <w:tr w:rsidR="00FD3B00">
        <w:tc>
          <w:tcPr>
            <w:tcW w:w="2702" w:type="dxa"/>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11.7. ¿LOS RESPONSABLES DE ARCHIVOS DE TRÁMITE CUENTAN CON LOS CONOCIMIENTOS, HABILIDADES, COMPETENCIAS Y EXPERIENCIA ARCHIVÍSTICOS ACORDES CON SU </w:t>
            </w:r>
            <w:r>
              <w:rPr>
                <w:rFonts w:ascii="Palatino Linotype" w:eastAsia="Palatino Linotype" w:hAnsi="Palatino Linotype" w:cs="Palatino Linotype"/>
                <w:sz w:val="20"/>
                <w:szCs w:val="20"/>
              </w:rPr>
              <w:lastRenderedPageBreak/>
              <w:t>RESPONSABILIDAD, COMO LO ESTABLECE EL ARTÍCULO 30 ÚLTIMO PÁRRAFO DE LA LEY GENERAL DE ARCHIVOS?</w:t>
            </w:r>
          </w:p>
        </w:tc>
        <w:tc>
          <w:tcPr>
            <w:tcW w:w="2571" w:type="dxa"/>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OMISO</w:t>
            </w:r>
          </w:p>
        </w:tc>
        <w:tc>
          <w:tcPr>
            <w:tcW w:w="3555" w:type="dxa"/>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Los servidores públicos que tienen a su cargo archivo de trámite cuentan con conocimientos para cumplir con dichas responsabilidades, se está trabajando para poder capacitar a personal para estas áreas de las que se hace mención.</w:t>
            </w:r>
          </w:p>
        </w:tc>
      </w:tr>
    </w:tbl>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Al respecto, por cuanto hace al punto 11.1 relativo al número de unidades administrativas,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indicó que contaba con una, no obstante, si bien es cierto que de conformidad con el criterio 31-10 citado con antelación, este Organismo Garante, no está facultado para dudar de la veracidad de lo manifestado por parte de los entes públicos, no pasa desapercibido que, de conformidad con los artículo 74 y 75 del Bando Municipal de Zacualpan, la administración pública municipal se organiza de forma centralizada y descentralizada, auxiliándose la presidente municipal de direcciones, coordinaciones, dependencias y demás órganos administrativos necesarios, por lo que se presume que la estructura orgánica del </w:t>
      </w:r>
      <w:r>
        <w:rPr>
          <w:rFonts w:ascii="Palatino Linotype" w:eastAsia="Palatino Linotype" w:hAnsi="Palatino Linotype" w:cs="Palatino Linotype"/>
          <w:b/>
        </w:rPr>
        <w:t>Sujeto Obligado</w:t>
      </w:r>
      <w:r>
        <w:rPr>
          <w:rFonts w:ascii="Palatino Linotype" w:eastAsia="Palatino Linotype" w:hAnsi="Palatino Linotype" w:cs="Palatino Linotype"/>
        </w:rPr>
        <w:t>, se integra por más de una unidad administrativa.</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se señala que la Ley de Transparencia y Acceso a la Información Pública del Estado de México y Municipios establece como obligación de transparencia de oficio la relativa a la estructura orgánica, como se desprende del artículo 92 fracción II, que reza así:</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92.</w:t>
      </w:r>
      <w:r>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Su </w:t>
      </w:r>
      <w:r>
        <w:rPr>
          <w:rFonts w:ascii="Palatino Linotype" w:eastAsia="Palatino Linotype" w:hAnsi="Palatino Linotype" w:cs="Palatino Linotype"/>
          <w:b/>
          <w:i/>
          <w:sz w:val="22"/>
          <w:szCs w:val="22"/>
        </w:rPr>
        <w:t>estructura orgánica completa</w:t>
      </w:r>
      <w:r>
        <w:rPr>
          <w:rFonts w:ascii="Palatino Linotype" w:eastAsia="Palatino Linotype" w:hAnsi="Palatino Linotype" w:cs="Palatino Linotype"/>
          <w:i/>
          <w:sz w:val="22"/>
          <w:szCs w:val="22"/>
        </w:rPr>
        <w:t xml:space="preserve">, en un formato que permita vincular </w:t>
      </w:r>
      <w:r>
        <w:rPr>
          <w:rFonts w:ascii="Palatino Linotype" w:eastAsia="Palatino Linotype" w:hAnsi="Palatino Linotype" w:cs="Palatino Linotype"/>
          <w:b/>
          <w:i/>
          <w:sz w:val="22"/>
          <w:szCs w:val="22"/>
        </w:rPr>
        <w:t>cada parte de la estructura,</w:t>
      </w:r>
      <w:r>
        <w:rPr>
          <w:rFonts w:ascii="Palatino Linotype" w:eastAsia="Palatino Linotype" w:hAnsi="Palatino Linotype" w:cs="Palatino Linotype"/>
          <w:i/>
          <w:sz w:val="22"/>
          <w:szCs w:val="22"/>
        </w:rPr>
        <w:t xml:space="preserve"> las atribuciones y responsabilidades que le </w:t>
      </w:r>
      <w:r>
        <w:rPr>
          <w:rFonts w:ascii="Palatino Linotype" w:eastAsia="Palatino Linotype" w:hAnsi="Palatino Linotype" w:cs="Palatino Linotype"/>
          <w:i/>
          <w:sz w:val="22"/>
          <w:szCs w:val="22"/>
        </w:rPr>
        <w:lastRenderedPageBreak/>
        <w:t>corresponden a cada servidor público, prestador de servicios profesionales o miembro de los sujetos obligados, de conformidad con las disposiciones jurídicas aplicables;”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el </w:t>
      </w:r>
      <w:r>
        <w:rPr>
          <w:rFonts w:ascii="Palatino Linotype" w:eastAsia="Palatino Linotype" w:hAnsi="Palatino Linotype" w:cs="Palatino Linotype"/>
          <w:b/>
        </w:rPr>
        <w:t>Sujeto Obligado</w:t>
      </w:r>
      <w:r>
        <w:t xml:space="preserve"> </w:t>
      </w:r>
      <w:r>
        <w:rPr>
          <w:rFonts w:ascii="Palatino Linotype" w:eastAsia="Palatino Linotype" w:hAnsi="Palatino Linotype" w:cs="Palatino Linotype"/>
        </w:rPr>
        <w:t xml:space="preserve">cuenta con el deber de poner a disposición del público de manera permanente y actualizada, aquella información relacionada con su estructura orgánica, en la que se advierta cada parte de la misma, por lo que se presume que debe contar con el soporte documental en el que se advierta el número de unidades administrativas que lo integran, siendo procedente su entrega a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para satisfacer su derecho de acceso.</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al numeral 11.2 relacionado con el número de archivos de trámite con los que cuenta el Sujeto Obligado, es oportuno referir que el artículo 21, fracción II, inciso b) de la Ley General de Archivos y la Ley de Archivos y Administración de Documentos del Estado de México y Municipios, establece que el Sistema Institucional de Archivos debe integrarse por el archivo de trámite </w:t>
      </w:r>
      <w:r>
        <w:rPr>
          <w:rFonts w:ascii="Palatino Linotype" w:eastAsia="Palatino Linotype" w:hAnsi="Palatino Linotype" w:cs="Palatino Linotype"/>
          <w:b/>
          <w:u w:val="single"/>
        </w:rPr>
        <w:t>de cada área o unidad administrativa</w:t>
      </w:r>
      <w:r>
        <w:rPr>
          <w:rFonts w:ascii="Palatino Linotype" w:eastAsia="Palatino Linotype" w:hAnsi="Palatino Linotype" w:cs="Palatino Linotype"/>
        </w:rPr>
        <w:t>, como área operativa del dicho sistema.</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al responsable del archivo de trámite, párrafo segundo de la Ley General de Archivos y la Ley Local, así como  el Lineamiento Noveno, fracción II, inciso b) y párrafo segundo de los Lineamientos para la Organización y Conservación de Archivos, dispone lo siguiente:</w:t>
      </w:r>
    </w:p>
    <w:p w:rsidR="00FD3B00" w:rsidRDefault="00876CB2">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21…</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podrán contar, además de las Áreas Operativas citadas, con unidades documentales y auxiliares de la documentación, que por la naturaleza de sus funciones así lo requieran. </w:t>
      </w:r>
      <w:r>
        <w:rPr>
          <w:rFonts w:ascii="Palatino Linotype" w:eastAsia="Palatino Linotype" w:hAnsi="Palatino Linotype" w:cs="Palatino Linotype"/>
          <w:b/>
          <w:i/>
          <w:sz w:val="22"/>
          <w:szCs w:val="22"/>
        </w:rPr>
        <w:t>Las personas responsables de los Archivos de Trámite serán nombradas por la persona titular de cada área o unidad administrativa</w:t>
      </w:r>
      <w:r>
        <w:rPr>
          <w:rFonts w:ascii="Palatino Linotype" w:eastAsia="Palatino Linotype" w:hAnsi="Palatino Linotype" w:cs="Palatino Linotype"/>
          <w:i/>
          <w:sz w:val="22"/>
          <w:szCs w:val="22"/>
        </w:rPr>
        <w:t xml:space="preserve">; las personas responsables del Archivo de </w:t>
      </w:r>
      <w:r>
        <w:rPr>
          <w:rFonts w:ascii="Palatino Linotype" w:eastAsia="Palatino Linotype" w:hAnsi="Palatino Linotype" w:cs="Palatino Linotype"/>
          <w:i/>
          <w:sz w:val="22"/>
          <w:szCs w:val="22"/>
        </w:rPr>
        <w:lastRenderedPageBreak/>
        <w:t>Concentración y del Archivo Histórico serán nombradas por la persona titular del Sujeto Obligado de que se trate.”</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Operativas:</w:t>
      </w:r>
    </w:p>
    <w:p w:rsidR="00FD3B00" w:rsidRDefault="00876CB2">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D3B00" w:rsidRDefault="00876CB2">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b)</w:t>
      </w:r>
      <w:r>
        <w:rPr>
          <w:rFonts w:ascii="Palatino Linotype" w:eastAsia="Palatino Linotype" w:hAnsi="Palatino Linotype" w:cs="Palatino Linotype"/>
          <w:i/>
          <w:sz w:val="22"/>
          <w:szCs w:val="22"/>
        </w:rPr>
        <w:t xml:space="preserve">    Responsable del Archivo de trámite;</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responsables de los archivos referidos en la fracción II, inciso b), </w:t>
      </w:r>
      <w:r>
        <w:rPr>
          <w:rFonts w:ascii="Palatino Linotype" w:eastAsia="Palatino Linotype" w:hAnsi="Palatino Linotype" w:cs="Palatino Linotype"/>
          <w:b/>
          <w:i/>
          <w:sz w:val="22"/>
          <w:szCs w:val="22"/>
        </w:rPr>
        <w:t>serán nombrados por el titular de cada área o unidad</w:t>
      </w:r>
      <w:r>
        <w:rPr>
          <w:rFonts w:ascii="Palatino Linotype" w:eastAsia="Palatino Linotype" w:hAnsi="Palatino Linotype" w:cs="Palatino Linotype"/>
          <w:i/>
          <w:sz w:val="22"/>
          <w:szCs w:val="22"/>
        </w:rPr>
        <w:t>; los demás responsables serán nombrados por el titular del sujeto obligado de que se trate.”</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advierte, los responsables de los archivos de trámite, son nombrados por el titular de cada área o unidad.</w:t>
      </w:r>
    </w:p>
    <w:p w:rsidR="00FD3B00" w:rsidRDefault="00876CB2">
      <w:pPr>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En tal sentido, es dable ordenar el documento que dé cuenta del número de archivos de trámite con los que cuenta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u w:val="single"/>
        </w:rPr>
        <w:t>atendiendo a su estructura orgánica</w:t>
      </w:r>
      <w:r>
        <w:rPr>
          <w:rFonts w:ascii="Palatino Linotype" w:eastAsia="Palatino Linotype" w:hAnsi="Palatino Linotype" w:cs="Palatino Linotype"/>
        </w:rPr>
        <w:t xml:space="preserve">, así como el del servidor público responsable de cada archivo de trámite. </w:t>
      </w:r>
    </w:p>
    <w:p w:rsidR="00FD3B00" w:rsidRDefault="00876CB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punto 11.5, mediante el cual se requiere saber quién coordina la operación de los archivos de trámite, el artículo 28 fracción IX de la  Ley General de Archivos y la Ley de Archivos y Administración de Documentos del Estado de México y Municipios, dispone que el </w:t>
      </w:r>
      <w:r>
        <w:rPr>
          <w:rFonts w:ascii="Palatino Linotype" w:eastAsia="Palatino Linotype" w:hAnsi="Palatino Linotype" w:cs="Palatino Linotype"/>
          <w:i/>
        </w:rPr>
        <w:t>Área Coordinadora de Archivos</w:t>
      </w:r>
      <w:r>
        <w:rPr>
          <w:rFonts w:ascii="Palatino Linotype" w:eastAsia="Palatino Linotype" w:hAnsi="Palatino Linotype" w:cs="Palatino Linotype"/>
        </w:rPr>
        <w:t>, debe coordinar la operación de los archivos de trámite, concentración, y en su caso, histórico,  como parte de sus funciones.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el mismo tenor, el Servidor Público Habilitado manifestó que los servidores públicos encargados de cada área se encargaban de coordinar la operación de los archivos de trámite, no obstante, no entregó el soporte documental en el que se advirtiera dicha información.</w:t>
      </w:r>
    </w:p>
    <w:p w:rsidR="00FD3B00" w:rsidRDefault="00876CB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tal contexto, resulta oportuno ordenar la búsqueda del documento en el que conste el nombre del servidor o los servidores públicos que tienen asignada dicha función, pudiendo ser, de manera enunciativa, más no limitativa oficios, circulares, memorándums, o cualquier documento análogo, de conformidad con el Criterio 16/17 citado con antelación.</w:t>
      </w:r>
    </w:p>
    <w:p w:rsidR="00FD3B00" w:rsidRDefault="00876CB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rsidR="00FD3B00" w:rsidRDefault="00876CB2">
      <w:pPr>
        <w:spacing w:before="240" w:after="240" w:line="360" w:lineRule="auto"/>
        <w:ind w:right="51"/>
        <w:jc w:val="both"/>
        <w:rPr>
          <w:rFonts w:ascii="Palatino Linotype" w:eastAsia="Palatino Linotype" w:hAnsi="Palatino Linotype" w:cs="Palatino Linotype"/>
          <w:shd w:val="clear" w:color="auto" w:fill="FF9900"/>
        </w:rPr>
      </w:pPr>
      <w:r>
        <w:rPr>
          <w:rFonts w:ascii="Palatino Linotype" w:eastAsia="Palatino Linotype" w:hAnsi="Palatino Linotype" w:cs="Palatino Linotype"/>
        </w:rPr>
        <w:t>En el punto 11.6, mediante el cual se requirió la representación del archivo de trámite en el Sistema Institucional de Archivos, conviene mencionar que tanto la de la Ley General de Archivos como la Ley Local, en su artículo 21, párrafo primero  señalan  que el Sistema Institucional de Archivos debe integrarse de la siguiente forma:</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21.</w:t>
      </w:r>
      <w:r>
        <w:rPr>
          <w:rFonts w:ascii="Palatino Linotype" w:eastAsia="Palatino Linotype" w:hAnsi="Palatino Linotype" w:cs="Palatino Linotype"/>
          <w:i/>
          <w:sz w:val="22"/>
          <w:szCs w:val="22"/>
        </w:rPr>
        <w:t xml:space="preserve"> El Sistema Institucional de cada Sujeto Obligado deberá integrarse por: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Un Área Coordinadora de Archivos, y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Las Áreas Operativas siguientes: </w:t>
      </w:r>
    </w:p>
    <w:p w:rsidR="00FD3B00" w:rsidRDefault="00876CB2">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De correspondencia; </w:t>
      </w:r>
    </w:p>
    <w:p w:rsidR="00FD3B00" w:rsidRDefault="00876CB2">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 Archivo de Trámite, por área o unidad administrativa</w:t>
      </w:r>
      <w:r>
        <w:rPr>
          <w:rFonts w:ascii="Palatino Linotype" w:eastAsia="Palatino Linotype" w:hAnsi="Palatino Linotype" w:cs="Palatino Linotype"/>
          <w:i/>
          <w:sz w:val="22"/>
          <w:szCs w:val="22"/>
        </w:rPr>
        <w:t>;</w:t>
      </w:r>
    </w:p>
    <w:p w:rsidR="00FD3B00" w:rsidRDefault="00876CB2">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w:t>
      </w:r>
      <w:r>
        <w:rPr>
          <w:rFonts w:ascii="Palatino Linotype" w:eastAsia="Palatino Linotype" w:hAnsi="Palatino Linotype" w:cs="Palatino Linotype"/>
          <w:i/>
          <w:sz w:val="22"/>
          <w:szCs w:val="22"/>
        </w:rPr>
        <w:t xml:space="preserve"> Archivo de Concentración, y </w:t>
      </w:r>
    </w:p>
    <w:p w:rsidR="00FD3B00" w:rsidRDefault="00876CB2">
      <w:pPr>
        <w:spacing w:before="120" w:after="120"/>
        <w:ind w:left="1418" w:right="902"/>
        <w:jc w:val="both"/>
        <w:rPr>
          <w:rFonts w:ascii="Palatino Linotype" w:eastAsia="Palatino Linotype" w:hAnsi="Palatino Linotype" w:cs="Palatino Linotype"/>
          <w:i/>
          <w:sz w:val="22"/>
          <w:szCs w:val="22"/>
          <w:shd w:val="clear" w:color="auto" w:fill="FF9900"/>
        </w:rPr>
      </w:pPr>
      <w:r>
        <w:rPr>
          <w:rFonts w:ascii="Palatino Linotype" w:eastAsia="Palatino Linotype" w:hAnsi="Palatino Linotype" w:cs="Palatino Linotype"/>
          <w:b/>
          <w:i/>
          <w:sz w:val="22"/>
          <w:szCs w:val="22"/>
        </w:rPr>
        <w:lastRenderedPageBreak/>
        <w:t>d</w:t>
      </w:r>
      <w:r>
        <w:rPr>
          <w:rFonts w:ascii="Palatino Linotype" w:eastAsia="Palatino Linotype" w:hAnsi="Palatino Linotype" w:cs="Palatino Linotype"/>
          <w:i/>
          <w:sz w:val="22"/>
          <w:szCs w:val="22"/>
        </w:rPr>
        <w:t>) Archivo Histórico, en su caso, sujeto a la capacidad presupuestal y técnica del Sujeto Obligado.”</w:t>
      </w:r>
    </w:p>
    <w:p w:rsidR="00FD3B00" w:rsidRDefault="00876CB2">
      <w:pPr>
        <w:spacing w:before="120"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el archivo de trámite de cada área o unidad administrativa, debe formar parte del referido Sistema, por lo que si en el caso concreto,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 en respuesta al punto 2.1 refirió que actualmente no cuenta con el Sistema Institucional de Archivos, se entiende que no puede atender favorablemente el requerimiento en estudio, siendo procedente ordenar la declaratoria formal de inexistencia en los términos ya referidos.</w:t>
      </w:r>
    </w:p>
    <w:p w:rsidR="00FD3B00" w:rsidRDefault="00876CB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otro lado para satisfacer el cuestionamiento del punto 11.7 relativo a si los responsables de archivos de trámite cuentan con los conocimientos, habilidades, competencias y experiencia archivísticos acordes con su responsabilidad, es aplicable el contenido del artículo 30 último párrafo de la Ley General de Archivos,  y la Ley Local, así como el Lineamiento Sexto, fracción X de los Lineamientos para la Organización y Conservación de los Archivos, a saber:</w:t>
      </w:r>
    </w:p>
    <w:p w:rsidR="00FD3B00" w:rsidRDefault="00876CB2">
      <w:pPr>
        <w:spacing w:before="240" w:after="240"/>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30</w:t>
      </w:r>
      <w:r>
        <w:rPr>
          <w:rFonts w:ascii="Palatino Linotype" w:eastAsia="Palatino Linotype" w:hAnsi="Palatino Linotype" w:cs="Palatino Linotype"/>
          <w:sz w:val="22"/>
          <w:szCs w:val="22"/>
        </w:rPr>
        <w:t>…</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Las personas responsables de los Archivos de Trámite deben contar con los conocimientos, habilidades, competencias y experiencia archivístico</w:t>
      </w:r>
      <w:r>
        <w:rPr>
          <w:rFonts w:ascii="Palatino Linotype" w:eastAsia="Palatino Linotype" w:hAnsi="Palatino Linotype" w:cs="Palatino Linotype"/>
          <w:i/>
          <w:sz w:val="22"/>
          <w:szCs w:val="22"/>
        </w:rPr>
        <w:t xml:space="preserve">s acordes a su responsabilidad; </w:t>
      </w:r>
      <w:r>
        <w:rPr>
          <w:rFonts w:ascii="Palatino Linotype" w:eastAsia="Palatino Linotype" w:hAnsi="Palatino Linotype" w:cs="Palatino Linotype"/>
          <w:b/>
          <w:i/>
          <w:sz w:val="22"/>
          <w:szCs w:val="22"/>
        </w:rPr>
        <w:t>de no ser así,</w:t>
      </w:r>
      <w:r>
        <w:rPr>
          <w:rFonts w:ascii="Palatino Linotype" w:eastAsia="Palatino Linotype" w:hAnsi="Palatino Linotype" w:cs="Palatino Linotype"/>
          <w:i/>
          <w:sz w:val="22"/>
          <w:szCs w:val="22"/>
        </w:rPr>
        <w:t xml:space="preserve"> las y </w:t>
      </w:r>
      <w:r>
        <w:rPr>
          <w:rFonts w:ascii="Palatino Linotype" w:eastAsia="Palatino Linotype" w:hAnsi="Palatino Linotype" w:cs="Palatino Linotype"/>
          <w:b/>
          <w:i/>
          <w:sz w:val="22"/>
          <w:szCs w:val="22"/>
        </w:rPr>
        <w:t>los titulares de las unidades administrativas tienen la obligación de establecer las condiciones que permitan la capacitación de los responsables para el buen funcionamiento de sus Archivos</w:t>
      </w:r>
      <w:r>
        <w:rPr>
          <w:rFonts w:ascii="Palatino Linotype" w:eastAsia="Palatino Linotype" w:hAnsi="Palatino Linotype" w:cs="Palatino Linotype"/>
          <w:i/>
          <w:sz w:val="22"/>
          <w:szCs w:val="22"/>
        </w:rPr>
        <w:t>.”</w:t>
      </w:r>
    </w:p>
    <w:p w:rsidR="00FD3B00" w:rsidRDefault="00876CB2">
      <w:pPr>
        <w:spacing w:before="120" w:after="120"/>
        <w:ind w:left="851" w:right="902"/>
        <w:jc w:val="both"/>
        <w:rPr>
          <w:rFonts w:ascii="Palatino Linotype" w:eastAsia="Palatino Linotype" w:hAnsi="Palatino Linotype" w:cs="Palatino Linotype"/>
          <w:i/>
          <w:sz w:val="22"/>
          <w:szCs w:val="22"/>
          <w:highlight w:val="white"/>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highlight w:val="white"/>
        </w:rPr>
        <w:t>Sexto. </w:t>
      </w:r>
      <w:r>
        <w:rPr>
          <w:rFonts w:ascii="Palatino Linotype" w:eastAsia="Palatino Linotype" w:hAnsi="Palatino Linotype" w:cs="Palatino Linotype"/>
          <w:i/>
          <w:sz w:val="22"/>
          <w:szCs w:val="22"/>
          <w:highlight w:val="white"/>
        </w:rPr>
        <w:t>Para la sistematización de los archivos</w:t>
      </w:r>
      <w:r>
        <w:rPr>
          <w:rFonts w:ascii="Palatino Linotype" w:eastAsia="Palatino Linotype" w:hAnsi="Palatino Linotype" w:cs="Palatino Linotype"/>
          <w:b/>
          <w:i/>
          <w:sz w:val="22"/>
          <w:szCs w:val="22"/>
          <w:highlight w:val="white"/>
        </w:rPr>
        <w:t> </w:t>
      </w:r>
      <w:r>
        <w:rPr>
          <w:rFonts w:ascii="Palatino Linotype" w:eastAsia="Palatino Linotype" w:hAnsi="Palatino Linotype" w:cs="Palatino Linotype"/>
          <w:i/>
          <w:sz w:val="22"/>
          <w:szCs w:val="22"/>
          <w:highlight w:val="white"/>
        </w:rPr>
        <w:t>los Sujetos obligados deberán:</w:t>
      </w:r>
    </w:p>
    <w:p w:rsidR="00FD3B00" w:rsidRDefault="00876CB2">
      <w:pPr>
        <w:spacing w:before="120" w:after="120"/>
        <w:ind w:left="1134" w:right="902"/>
        <w:jc w:val="both"/>
        <w:rPr>
          <w:rFonts w:ascii="Palatino Linotype" w:eastAsia="Palatino Linotype" w:hAnsi="Palatino Linotype" w:cs="Palatino Linotype"/>
          <w:i/>
          <w:sz w:val="22"/>
          <w:szCs w:val="22"/>
          <w:highlight w:val="white"/>
        </w:rPr>
      </w:pPr>
      <w:r>
        <w:rPr>
          <w:rFonts w:ascii="Palatino Linotype" w:eastAsia="Palatino Linotype" w:hAnsi="Palatino Linotype" w:cs="Palatino Linotype"/>
          <w:i/>
          <w:sz w:val="22"/>
          <w:szCs w:val="22"/>
          <w:highlight w:val="white"/>
        </w:rPr>
        <w:t>…</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highlight w:val="white"/>
        </w:rPr>
        <w:t>X.</w:t>
      </w:r>
      <w:r>
        <w:rPr>
          <w:rFonts w:ascii="Palatino Linotype" w:eastAsia="Palatino Linotype" w:hAnsi="Palatino Linotype" w:cs="Palatino Linotype"/>
          <w:i/>
          <w:sz w:val="22"/>
          <w:szCs w:val="22"/>
          <w:highlight w:val="white"/>
        </w:rPr>
        <w:t> </w:t>
      </w:r>
      <w:r>
        <w:rPr>
          <w:rFonts w:ascii="Palatino Linotype" w:eastAsia="Palatino Linotype" w:hAnsi="Palatino Linotype" w:cs="Palatino Linotype"/>
          <w:b/>
          <w:i/>
          <w:sz w:val="22"/>
          <w:szCs w:val="22"/>
          <w:highlight w:val="white"/>
        </w:rPr>
        <w:t>Capacitar en materia de administración de archivos y gestión documental, acceso a la información y protección de datos personales a los responsables</w:t>
      </w:r>
      <w:r>
        <w:rPr>
          <w:rFonts w:ascii="Palatino Linotype" w:eastAsia="Palatino Linotype" w:hAnsi="Palatino Linotype" w:cs="Palatino Linotype"/>
          <w:i/>
          <w:sz w:val="22"/>
          <w:szCs w:val="22"/>
          <w:highlight w:val="white"/>
        </w:rPr>
        <w:t xml:space="preserve"> del Área coordinadora de archivos, </w:t>
      </w:r>
      <w:r>
        <w:rPr>
          <w:rFonts w:ascii="Palatino Linotype" w:eastAsia="Palatino Linotype" w:hAnsi="Palatino Linotype" w:cs="Palatino Linotype"/>
          <w:b/>
          <w:i/>
          <w:sz w:val="22"/>
          <w:szCs w:val="22"/>
          <w:highlight w:val="white"/>
        </w:rPr>
        <w:t>Archivos de trámite</w:t>
      </w:r>
      <w:r>
        <w:rPr>
          <w:rFonts w:ascii="Palatino Linotype" w:eastAsia="Palatino Linotype" w:hAnsi="Palatino Linotype" w:cs="Palatino Linotype"/>
          <w:i/>
          <w:sz w:val="22"/>
          <w:szCs w:val="22"/>
          <w:highlight w:val="white"/>
        </w:rPr>
        <w:t>, concentración y, en su caso, histórico, así como al personal que integre las unidades de correspondencia;”</w:t>
      </w:r>
    </w:p>
    <w:p w:rsidR="00FD3B00" w:rsidRDefault="00876CB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en el caso concreto,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reconoció que los servidores públicos que tienen a su cargo archivo de trámite si cuentan con conocimientos para cumplir con dichas responsabilidades, no obstante, no proporcionó el soporte documental correspondiente.</w:t>
      </w:r>
    </w:p>
    <w:p w:rsidR="00FD3B00" w:rsidRDefault="00876CB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tal tesitura, se deberá proporcionar la evidencia de conocimientos, habilidades, competencias y experiencia archivísticos de los responsables de archivo de trámite, en términos del último párrafo del artículo 30 de la Ley General de Archivos y la Ley Local, pudiendo ser, de manera enunciativa, más no limitativa, el  curriculum vitae, en versión pública.</w:t>
      </w:r>
    </w:p>
    <w:p w:rsidR="00FD3B00" w:rsidRDefault="00876CB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 efecto de sustentar lo anterior, se es oportuno señalar que el concepto </w:t>
      </w:r>
      <w:r>
        <w:rPr>
          <w:rFonts w:ascii="Palatino Linotype" w:eastAsia="Palatino Linotype" w:hAnsi="Palatino Linotype" w:cs="Palatino Linotype"/>
          <w:i/>
        </w:rPr>
        <w:t xml:space="preserve">currículum, </w:t>
      </w:r>
      <w:r>
        <w:rPr>
          <w:rFonts w:ascii="Palatino Linotype" w:eastAsia="Palatino Linotype" w:hAnsi="Palatino Linotype" w:cs="Palatino Linotype"/>
        </w:rPr>
        <w:t>es una locución latina que significa “</w:t>
      </w:r>
      <w:r>
        <w:rPr>
          <w:rFonts w:ascii="Palatino Linotype" w:eastAsia="Palatino Linotype" w:hAnsi="Palatino Linotype" w:cs="Palatino Linotype"/>
          <w:i/>
        </w:rPr>
        <w:t>carrera de vida</w:t>
      </w:r>
      <w:r>
        <w:rPr>
          <w:rFonts w:ascii="Palatino Linotype" w:eastAsia="Palatino Linotype" w:hAnsi="Palatino Linotype" w:cs="Palatino Linotype"/>
        </w:rPr>
        <w:t xml:space="preserve">”, por su lado, la Real Academia Española, lo define como a continuación se cita:  </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Relación de los títulos, honores, cargos, trabajos realizados, datos biográficos, etc, que califican a una persona”</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que permite determinar que dicho soporte documenta hacer constar los estudios realizados o bien el nivel académico, así como la experiencia laboral de los servidores públicos.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 que reviste el carácter de público, de conformidad con el criterio 03/2009 emitido por el entonces Instituto Federal de Acceso a la Información y Protección de Datos Personales, ahora Instituto Nacional de Transparencia, Acceso a la Información y Protección de Datos Personales, INAI, que establece que una de las formas en que los ciudadanos pueden evaluar las aptitudes de los servidores públicos para desempeñar el cargo público que les ha sido encomendado, es </w:t>
      </w:r>
      <w:r>
        <w:rPr>
          <w:rFonts w:ascii="Palatino Linotype" w:eastAsia="Palatino Linotype" w:hAnsi="Palatino Linotype" w:cs="Palatino Linotype"/>
        </w:rPr>
        <w:lastRenderedPageBreak/>
        <w:t>mediante la publicidad de ciertos datos contenidos en los currículos, o bien, en las solicitudes de empleo, el cual para mayor ilustración se transcribe a continuación:</w:t>
      </w:r>
    </w:p>
    <w:p w:rsidR="00FD3B00" w:rsidRDefault="00876CB2">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Currículum Vitae de servidores públicos</w:t>
      </w:r>
      <w:r>
        <w:rPr>
          <w:rFonts w:ascii="Palatino Linotype" w:eastAsia="Palatino Linotype" w:hAnsi="Palatino Linotype" w:cs="Palatino Linotype"/>
          <w:i/>
          <w:sz w:val="22"/>
          <w:szCs w:val="22"/>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w:t>
      </w:r>
    </w:p>
    <w:p w:rsidR="00FD3B00" w:rsidRDefault="00876CB2">
      <w:pPr>
        <w:spacing w:after="120"/>
        <w:ind w:left="851" w:right="1043"/>
        <w:jc w:val="both"/>
        <w:rPr>
          <w:rFonts w:ascii="Palatino Linotype" w:eastAsia="Palatino Linotype" w:hAnsi="Palatino Linotype" w:cs="Palatino Linotype"/>
          <w:i/>
          <w:sz w:val="28"/>
          <w:szCs w:val="28"/>
          <w:u w:val="single"/>
        </w:rPr>
      </w:pPr>
      <w:r>
        <w:rPr>
          <w:rFonts w:ascii="Palatino Linotype" w:eastAsia="Palatino Linotype" w:hAnsi="Palatino Linotype" w:cs="Palatino Linotype"/>
          <w:i/>
          <w:sz w:val="22"/>
          <w:szCs w:val="22"/>
        </w:rPr>
        <w:t xml:space="preserve">En esa tesitura, entre los datos personales del currículum vitae de un servidor público susceptibles de hacerse del conocimiento público, ante una solicitud de acceso, </w:t>
      </w:r>
      <w:r>
        <w:rPr>
          <w:rFonts w:ascii="Palatino Linotype" w:eastAsia="Palatino Linotype" w:hAnsi="Palatino Linotype" w:cs="Palatino Linotype"/>
          <w:b/>
          <w:i/>
          <w:sz w:val="22"/>
          <w:szCs w:val="22"/>
        </w:rPr>
        <w:t>se encuentran los relativos a su trayectoria académica, profesional, laboral, así como todos aquellos que acrediten su capacidad, habilidades o pericia para ocupar el cargo público</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w:t>
      </w:r>
    </w:p>
    <w:p w:rsidR="00FD3B00" w:rsidRDefault="00876CB2">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w:t>
      </w:r>
      <w:r>
        <w:rPr>
          <w:rFonts w:ascii="Palatino Linotype" w:eastAsia="Palatino Linotype" w:hAnsi="Palatino Linotype" w:cs="Palatino Linotype"/>
          <w:i/>
        </w:rPr>
        <w:t>contribuye a la evaluación de sus aptitudes de acuerdo a su nivel profesional y laboral</w:t>
      </w:r>
      <w:r>
        <w:rPr>
          <w:rFonts w:ascii="Palatino Linotype" w:eastAsia="Palatino Linotype" w:hAnsi="Palatino Linotype" w:cs="Palatino Linotype"/>
        </w:rPr>
        <w:t>, para el desempeño de sus funciones  en el cargo que ostenten, razón que resulta suficiente para que sean de conocimiento público.</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Desde esta perspectiva, se considera que a través del curriculum vitae, previo análisis que efectúe del mismo, la particular podrá advertir información relacionada con la formación académica y trayectoria profesional, toda vez que su pretensión se centra en saber si los servidores públicos responsables de los archivos de trámite cuentan con conocimientos, habilidades, competencias y experiencia archivísticos.</w:t>
      </w:r>
    </w:p>
    <w:tbl>
      <w:tblPr>
        <w:tblStyle w:val="af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FD3B00">
        <w:tc>
          <w:tcPr>
            <w:tcW w:w="8828" w:type="dxa"/>
            <w:gridSpan w:val="3"/>
            <w:vAlign w:val="center"/>
          </w:tcPr>
          <w:p w:rsidR="00FD3B00" w:rsidRDefault="00876CB2">
            <w:pPr>
              <w:jc w:val="both"/>
            </w:pPr>
            <w:r>
              <w:rPr>
                <w:rFonts w:ascii="Palatino Linotype" w:eastAsia="Palatino Linotype" w:hAnsi="Palatino Linotype" w:cs="Palatino Linotype"/>
                <w:b/>
                <w:sz w:val="20"/>
                <w:szCs w:val="20"/>
              </w:rPr>
              <w:t>12. ARCHIVO DE CONCENTRACIÓN</w:t>
            </w:r>
          </w:p>
        </w:tc>
      </w:tr>
      <w:tr w:rsidR="00FD3B00">
        <w:tc>
          <w:tcPr>
            <w:tcW w:w="2702" w:type="dxa"/>
            <w:vAlign w:val="center"/>
          </w:tcPr>
          <w:p w:rsidR="00FD3B00" w:rsidRDefault="00876CB2">
            <w:pPr>
              <w:jc w:val="center"/>
            </w:pPr>
            <w:r>
              <w:rPr>
                <w:rFonts w:ascii="Palatino Linotype" w:eastAsia="Palatino Linotype" w:hAnsi="Palatino Linotype" w:cs="Palatino Linotype"/>
                <w:b/>
                <w:sz w:val="20"/>
                <w:szCs w:val="20"/>
              </w:rPr>
              <w:t>REQUERIMIENTO</w:t>
            </w:r>
          </w:p>
        </w:tc>
        <w:tc>
          <w:tcPr>
            <w:tcW w:w="2571" w:type="dxa"/>
            <w:vAlign w:val="center"/>
          </w:tcPr>
          <w:p w:rsidR="00FD3B00" w:rsidRDefault="00876CB2">
            <w:pPr>
              <w:jc w:val="center"/>
            </w:pPr>
            <w:r>
              <w:rPr>
                <w:rFonts w:ascii="Palatino Linotype" w:eastAsia="Palatino Linotype" w:hAnsi="Palatino Linotype" w:cs="Palatino Linotype"/>
                <w:b/>
                <w:sz w:val="20"/>
                <w:szCs w:val="20"/>
              </w:rPr>
              <w:t>RESPUESTA</w:t>
            </w:r>
          </w:p>
        </w:tc>
        <w:tc>
          <w:tcPr>
            <w:tcW w:w="3555" w:type="dxa"/>
            <w:vAlign w:val="center"/>
          </w:tcPr>
          <w:p w:rsidR="00FD3B00" w:rsidRDefault="00876CB2">
            <w:pPr>
              <w:jc w:val="center"/>
            </w:pPr>
            <w:r>
              <w:rPr>
                <w:rFonts w:ascii="Palatino Linotype" w:eastAsia="Palatino Linotype" w:hAnsi="Palatino Linotype" w:cs="Palatino Linotype"/>
                <w:b/>
                <w:sz w:val="20"/>
                <w:szCs w:val="20"/>
              </w:rPr>
              <w:t>INFORME JUSTIFICADO</w:t>
            </w:r>
          </w:p>
        </w:tc>
      </w:tr>
      <w:tr w:rsidR="00FD3B00">
        <w:tc>
          <w:tcPr>
            <w:tcW w:w="2702" w:type="dxa"/>
            <w:shd w:val="clear" w:color="auto" w:fill="auto"/>
            <w:vAlign w:val="center"/>
          </w:tcPr>
          <w:p w:rsidR="00FD3B00" w:rsidRDefault="00876CB2">
            <w:pPr>
              <w:jc w:val="both"/>
            </w:pPr>
            <w:r>
              <w:rPr>
                <w:rFonts w:ascii="Palatino Linotype" w:eastAsia="Palatino Linotype" w:hAnsi="Palatino Linotype" w:cs="Palatino Linotype"/>
                <w:sz w:val="20"/>
                <w:szCs w:val="20"/>
              </w:rPr>
              <w:t>12.1 ¿CUENTAN CON ARCHIVO DE CONCENTRACIÓN?</w:t>
            </w:r>
          </w:p>
        </w:tc>
        <w:tc>
          <w:tcPr>
            <w:tcW w:w="2571" w:type="dxa"/>
            <w:shd w:val="clear" w:color="auto" w:fill="auto"/>
            <w:vAlign w:val="center"/>
          </w:tcPr>
          <w:p w:rsidR="00FD3B00" w:rsidRDefault="00876CB2">
            <w:pPr>
              <w:jc w:val="center"/>
            </w:pPr>
            <w:r>
              <w:rPr>
                <w:rFonts w:ascii="Palatino Linotype" w:eastAsia="Palatino Linotype" w:hAnsi="Palatino Linotype" w:cs="Palatino Linotype"/>
                <w:sz w:val="20"/>
                <w:szCs w:val="20"/>
              </w:rPr>
              <w:t>OMISO</w:t>
            </w:r>
          </w:p>
        </w:tc>
        <w:tc>
          <w:tcPr>
            <w:tcW w:w="3555" w:type="dxa"/>
            <w:shd w:val="clear" w:color="auto" w:fill="auto"/>
            <w:vAlign w:val="center"/>
          </w:tcPr>
          <w:p w:rsidR="00FD3B00" w:rsidRDefault="00876CB2">
            <w:pPr>
              <w:jc w:val="center"/>
            </w:pPr>
            <w:r>
              <w:rPr>
                <w:rFonts w:ascii="Palatino Linotype" w:eastAsia="Palatino Linotype" w:hAnsi="Palatino Linotype" w:cs="Palatino Linotype"/>
                <w:sz w:val="20"/>
                <w:szCs w:val="20"/>
              </w:rPr>
              <w:t>SI</w:t>
            </w:r>
          </w:p>
        </w:tc>
      </w:tr>
    </w:tbl>
    <w:p w:rsidR="00FD3B00" w:rsidRDefault="00876CB2">
      <w:pPr>
        <w:spacing w:before="240" w:after="240" w:line="360" w:lineRule="auto"/>
        <w:jc w:val="both"/>
        <w:rPr>
          <w:rFonts w:ascii="Palatino Linotype" w:eastAsia="Palatino Linotype" w:hAnsi="Palatino Linotype" w:cs="Palatino Linotype"/>
          <w:b/>
          <w:sz w:val="20"/>
          <w:szCs w:val="20"/>
        </w:rPr>
      </w:pPr>
      <w:r>
        <w:rPr>
          <w:rFonts w:ascii="Palatino Linotype" w:eastAsia="Palatino Linotype" w:hAnsi="Palatino Linotype" w:cs="Palatino Linotype"/>
        </w:rPr>
        <w:t xml:space="preserve">Sobre este requerimiento, el mismo se tiene por a tendido al haber existido un pronunciamiento del área competente, a fin de dar respuesta al mismo, aunado al hecho de que dicho cuestionamiento no se constituye como materia del derecho de acceso a la información, toda vez que no se pretende acceder a un documento previamente generado, sino que la particular pretende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pronuncie en el sentido de atender lo solicitado, constituyendo un derecho de petición.</w:t>
      </w:r>
    </w:p>
    <w:tbl>
      <w:tblPr>
        <w:tblStyle w:val="af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FD3B00">
        <w:tc>
          <w:tcPr>
            <w:tcW w:w="8828" w:type="dxa"/>
            <w:gridSpan w:val="3"/>
            <w:vAlign w:val="center"/>
          </w:tcPr>
          <w:p w:rsidR="00FD3B00" w:rsidRDefault="00876CB2">
            <w:pPr>
              <w:jc w:val="both"/>
            </w:pPr>
            <w:r>
              <w:rPr>
                <w:rFonts w:ascii="Palatino Linotype" w:eastAsia="Palatino Linotype" w:hAnsi="Palatino Linotype" w:cs="Palatino Linotype"/>
                <w:b/>
                <w:sz w:val="20"/>
                <w:szCs w:val="20"/>
              </w:rPr>
              <w:t>13. ARCHIVO HISTÓRICO</w:t>
            </w:r>
          </w:p>
        </w:tc>
      </w:tr>
      <w:tr w:rsidR="00FD3B00">
        <w:tc>
          <w:tcPr>
            <w:tcW w:w="2702" w:type="dxa"/>
            <w:vAlign w:val="center"/>
          </w:tcPr>
          <w:p w:rsidR="00FD3B00" w:rsidRDefault="00876CB2">
            <w:pPr>
              <w:jc w:val="center"/>
            </w:pPr>
            <w:r>
              <w:rPr>
                <w:rFonts w:ascii="Palatino Linotype" w:eastAsia="Palatino Linotype" w:hAnsi="Palatino Linotype" w:cs="Palatino Linotype"/>
                <w:b/>
                <w:sz w:val="20"/>
                <w:szCs w:val="20"/>
              </w:rPr>
              <w:t>REQUERIMIENTO</w:t>
            </w:r>
          </w:p>
        </w:tc>
        <w:tc>
          <w:tcPr>
            <w:tcW w:w="2571" w:type="dxa"/>
            <w:vAlign w:val="center"/>
          </w:tcPr>
          <w:p w:rsidR="00FD3B00" w:rsidRDefault="00876CB2">
            <w:pPr>
              <w:jc w:val="center"/>
            </w:pPr>
            <w:r>
              <w:rPr>
                <w:rFonts w:ascii="Palatino Linotype" w:eastAsia="Palatino Linotype" w:hAnsi="Palatino Linotype" w:cs="Palatino Linotype"/>
                <w:b/>
                <w:sz w:val="20"/>
                <w:szCs w:val="20"/>
              </w:rPr>
              <w:t>RESPUESTA</w:t>
            </w:r>
          </w:p>
        </w:tc>
        <w:tc>
          <w:tcPr>
            <w:tcW w:w="3555" w:type="dxa"/>
            <w:vAlign w:val="center"/>
          </w:tcPr>
          <w:p w:rsidR="00FD3B00" w:rsidRDefault="00876CB2">
            <w:pPr>
              <w:jc w:val="center"/>
            </w:pPr>
            <w:r>
              <w:rPr>
                <w:rFonts w:ascii="Palatino Linotype" w:eastAsia="Palatino Linotype" w:hAnsi="Palatino Linotype" w:cs="Palatino Linotype"/>
                <w:b/>
                <w:sz w:val="20"/>
                <w:szCs w:val="20"/>
              </w:rPr>
              <w:t>INFORME JUSTIFICADO</w:t>
            </w:r>
          </w:p>
        </w:tc>
      </w:tr>
      <w:tr w:rsidR="00FD3B00">
        <w:tc>
          <w:tcPr>
            <w:tcW w:w="2702" w:type="dxa"/>
            <w:shd w:val="clear" w:color="auto" w:fill="auto"/>
            <w:vAlign w:val="center"/>
          </w:tcPr>
          <w:p w:rsidR="00FD3B00" w:rsidRDefault="00876CB2">
            <w:pPr>
              <w:jc w:val="both"/>
            </w:pPr>
            <w:r>
              <w:rPr>
                <w:rFonts w:ascii="Palatino Linotype" w:eastAsia="Palatino Linotype" w:hAnsi="Palatino Linotype" w:cs="Palatino Linotype"/>
                <w:sz w:val="20"/>
                <w:szCs w:val="20"/>
              </w:rPr>
              <w:t xml:space="preserve">13.3. ¿EL RESPONSABLE DEL ARCHIVO HISTÓRICO HACE LA DIFUSIÓN DEL ACERVO DOCUMENTAL DEL MISMO ARCHIVO COMO LO ESTABLECE EL ARTÍCULO DÉCIMO PRIMERO FRACCIÓN IV INCISO d) DE LOS LINEAMIENTOS PARA LA ORGANIZACIÓN Y </w:t>
            </w:r>
            <w:r>
              <w:rPr>
                <w:rFonts w:ascii="Palatino Linotype" w:eastAsia="Palatino Linotype" w:hAnsi="Palatino Linotype" w:cs="Palatino Linotype"/>
                <w:sz w:val="20"/>
                <w:szCs w:val="20"/>
              </w:rPr>
              <w:lastRenderedPageBreak/>
              <w:t>CONSERVACIÓN DE LOS ARCHIVOS?</w:t>
            </w:r>
          </w:p>
        </w:tc>
        <w:tc>
          <w:tcPr>
            <w:tcW w:w="2571" w:type="dxa"/>
            <w:shd w:val="clear" w:color="auto" w:fill="auto"/>
            <w:vAlign w:val="center"/>
          </w:tcPr>
          <w:p w:rsidR="00FD3B00" w:rsidRDefault="00876CB2">
            <w:pPr>
              <w:jc w:val="center"/>
            </w:pPr>
            <w:r>
              <w:rPr>
                <w:rFonts w:ascii="Palatino Linotype" w:eastAsia="Palatino Linotype" w:hAnsi="Palatino Linotype" w:cs="Palatino Linotype"/>
                <w:sz w:val="20"/>
                <w:szCs w:val="20"/>
              </w:rPr>
              <w:lastRenderedPageBreak/>
              <w:t>OMISO</w:t>
            </w:r>
          </w:p>
        </w:tc>
        <w:tc>
          <w:tcPr>
            <w:tcW w:w="3555" w:type="dxa"/>
            <w:shd w:val="clear" w:color="auto" w:fill="auto"/>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se está trabajando en la elaboración del mismo.</w:t>
            </w:r>
          </w:p>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 da respuesta a punto 13.2)</w:t>
            </w:r>
          </w:p>
        </w:tc>
      </w:tr>
    </w:tbl>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Sobre este punto, toda vez que la Encargada del Archivo Municipal, en atención a la solicitud reconoció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archivo histórico, tal y como se observa a continuación:</w:t>
      </w:r>
    </w:p>
    <w:p w:rsidR="00FD3B00" w:rsidRDefault="00876CB2">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3240000" cy="495981"/>
            <wp:effectExtent l="0" t="0" r="0" b="0"/>
            <wp:docPr id="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3240000" cy="495981"/>
                    </a:xfrm>
                    <a:prstGeom prst="rect">
                      <a:avLst/>
                    </a:prstGeom>
                    <a:ln/>
                  </pic:spPr>
                </pic:pic>
              </a:graphicData>
            </a:graphic>
          </wp:inline>
        </w:drawing>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oportuno traer a colación el contenido de los artículos 32 y 40 de la Ley General de Archivos, 33 y 40 de la Ley de Archivos y Administración de Documentos del Estado de México y Municipios y el Lineamiento Décimo Primero, fracción V de los Lineamientos para la Organización y Conservación de los Archivos, a saber:</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32</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sujetos obligados podrán contar con un archivo histórico</w:t>
      </w:r>
      <w:r>
        <w:rPr>
          <w:rFonts w:ascii="Palatino Linotype" w:eastAsia="Palatino Linotype" w:hAnsi="Palatino Linotype" w:cs="Palatino Linotype"/>
          <w:i/>
          <w:sz w:val="22"/>
          <w:szCs w:val="22"/>
        </w:rPr>
        <w:t xml:space="preserve"> que </w:t>
      </w:r>
      <w:r>
        <w:rPr>
          <w:rFonts w:ascii="Palatino Linotype" w:eastAsia="Palatino Linotype" w:hAnsi="Palatino Linotype" w:cs="Palatino Linotype"/>
          <w:b/>
          <w:i/>
          <w:sz w:val="22"/>
          <w:szCs w:val="22"/>
        </w:rPr>
        <w:t>tendrá las siguientes funciones</w:t>
      </w:r>
      <w:r>
        <w:rPr>
          <w:rFonts w:ascii="Palatino Linotype" w:eastAsia="Palatino Linotype" w:hAnsi="Palatino Linotype" w:cs="Palatino Linotype"/>
          <w:i/>
          <w:sz w:val="22"/>
          <w:szCs w:val="22"/>
        </w:rPr>
        <w:t xml:space="preserve">: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Recibir las transferencias secundarias y organizar y conservar los expedientes bajo su resguardo; </w:t>
      </w:r>
    </w:p>
    <w:p w:rsidR="00FD3B00" w:rsidRDefault="00876CB2">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Brindar servicios de préstamo y consulta al público, así como difundir el patrimonio documental;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Establecer los procedimientos de consulta de los acervos que resguarda;</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Colaborar con el área coordinadora de archivos en la elaboración de los instrumentos de control archivístico previstos en esta Ley, así como en la demás normativa aplicable;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Implementar políticas y estrategias de preservación que permitan conservar los documentos históricos y aplicar los mecanismos y las herramientas que proporcionan las tecnológicas de información para mantenerlos a disposición de los usuarios; y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Las demás que establezcan las disposiciones jurídicas aplicables.</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Los responsables de los archivos históricos deben contar con los conocimientos, habilidades, competencias y experiencia acordes con su responsabilidad</w:t>
      </w:r>
      <w:r>
        <w:rPr>
          <w:rFonts w:ascii="Palatino Linotype" w:eastAsia="Palatino Linotype" w:hAnsi="Palatino Linotype" w:cs="Palatino Linotype"/>
          <w:i/>
          <w:sz w:val="22"/>
          <w:szCs w:val="22"/>
        </w:rPr>
        <w:t>; de no ser así, los titulares del sujeto obligado tienen la obligación de establecer las condiciones que permitan la capacitación de los responsables para el buen funcionamiento de los archivos.</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40.</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responsables de los archivos históricos</w:t>
      </w:r>
      <w:r>
        <w:rPr>
          <w:rFonts w:ascii="Palatino Linotype" w:eastAsia="Palatino Linotype" w:hAnsi="Palatino Linotype" w:cs="Palatino Linotype"/>
          <w:i/>
          <w:sz w:val="22"/>
          <w:szCs w:val="22"/>
        </w:rPr>
        <w:t xml:space="preserve"> de los sujetos obligados, adoptarán medidas para fomentar la preservación y difusión de los documentos con valor histórico que forman parte del patrimonio documental, las que incluirán: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Formular políticas y estrategias archivísticas</w:t>
      </w:r>
      <w:r>
        <w:rPr>
          <w:rFonts w:ascii="Palatino Linotype" w:eastAsia="Palatino Linotype" w:hAnsi="Palatino Linotype" w:cs="Palatino Linotype"/>
          <w:i/>
          <w:sz w:val="22"/>
          <w:szCs w:val="22"/>
        </w:rPr>
        <w:t xml:space="preserve"> que fomenten la preservación y </w:t>
      </w:r>
      <w:r>
        <w:rPr>
          <w:rFonts w:ascii="Palatino Linotype" w:eastAsia="Palatino Linotype" w:hAnsi="Palatino Linotype" w:cs="Palatino Linotype"/>
          <w:b/>
          <w:i/>
          <w:sz w:val="22"/>
          <w:szCs w:val="22"/>
          <w:u w:val="single"/>
        </w:rPr>
        <w:t>difusión de los documentos históricos</w:t>
      </w:r>
      <w:r>
        <w:rPr>
          <w:rFonts w:ascii="Palatino Linotype" w:eastAsia="Palatino Linotype" w:hAnsi="Palatino Linotype" w:cs="Palatino Linotype"/>
          <w:i/>
          <w:sz w:val="22"/>
          <w:szCs w:val="22"/>
        </w:rPr>
        <w:t xml:space="preserve">;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Desarrollar programas de </w:t>
      </w:r>
      <w:r>
        <w:rPr>
          <w:rFonts w:ascii="Palatino Linotype" w:eastAsia="Palatino Linotype" w:hAnsi="Palatino Linotype" w:cs="Palatino Linotype"/>
          <w:b/>
          <w:i/>
          <w:sz w:val="22"/>
          <w:szCs w:val="22"/>
          <w:u w:val="single"/>
        </w:rPr>
        <w:t>difusión de los documentos históricos</w:t>
      </w:r>
      <w:r>
        <w:rPr>
          <w:rFonts w:ascii="Palatino Linotype" w:eastAsia="Palatino Linotype" w:hAnsi="Palatino Linotype" w:cs="Palatino Linotype"/>
          <w:i/>
          <w:sz w:val="22"/>
          <w:szCs w:val="22"/>
        </w:rPr>
        <w:t xml:space="preserve"> a través de medios digitales, con el fin de favorecer el acceso libre y gratuito a los contenidos culturales e informativos;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Elaborar los instrumentos de consulta que permitan la localización de los documentos resguardados en los fondos y colecciones de los archivos históricos;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Implementar programas de exposiciones presenciales y virtuales para </w:t>
      </w:r>
      <w:r>
        <w:rPr>
          <w:rFonts w:ascii="Palatino Linotype" w:eastAsia="Palatino Linotype" w:hAnsi="Palatino Linotype" w:cs="Palatino Linotype"/>
          <w:b/>
          <w:i/>
          <w:sz w:val="22"/>
          <w:szCs w:val="22"/>
          <w:u w:val="single"/>
        </w:rPr>
        <w:t>divulgar el patrimonio documental</w:t>
      </w:r>
      <w:r>
        <w:rPr>
          <w:rFonts w:ascii="Palatino Linotype" w:eastAsia="Palatino Linotype" w:hAnsi="Palatino Linotype" w:cs="Palatino Linotype"/>
          <w:i/>
          <w:sz w:val="22"/>
          <w:szCs w:val="22"/>
        </w:rPr>
        <w:t xml:space="preserve">;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Implementar programas con actividades pedagógicas que acerquen los archivos a los estudiantes de diferentes grados educativos, y </w:t>
      </w:r>
    </w:p>
    <w:p w:rsidR="00FD3B00" w:rsidRDefault="00876CB2">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Divulgar instrumentos de consulta, boletines informativos y cualquier otro tipo de publicación de interés</w:t>
      </w:r>
      <w:r>
        <w:rPr>
          <w:rFonts w:ascii="Palatino Linotype" w:eastAsia="Palatino Linotype" w:hAnsi="Palatino Linotype" w:cs="Palatino Linotype"/>
          <w:i/>
          <w:sz w:val="22"/>
          <w:szCs w:val="22"/>
        </w:rPr>
        <w:t xml:space="preserve">, para </w:t>
      </w:r>
      <w:r>
        <w:rPr>
          <w:rFonts w:ascii="Palatino Linotype" w:eastAsia="Palatino Linotype" w:hAnsi="Palatino Linotype" w:cs="Palatino Linotype"/>
          <w:b/>
          <w:i/>
          <w:sz w:val="22"/>
          <w:szCs w:val="22"/>
          <w:u w:val="single"/>
        </w:rPr>
        <w:t>difundir y brindar acceso a los archivos históricos</w:t>
      </w:r>
      <w:r>
        <w:rPr>
          <w:rFonts w:ascii="Palatino Linotype" w:eastAsia="Palatino Linotype" w:hAnsi="Palatino Linotype" w:cs="Palatino Linotype"/>
          <w:i/>
          <w:sz w:val="22"/>
          <w:szCs w:val="22"/>
        </w:rPr>
        <w:t>.”</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33</w:t>
      </w:r>
      <w:r>
        <w:rPr>
          <w:rFonts w:ascii="Palatino Linotype" w:eastAsia="Palatino Linotype" w:hAnsi="Palatino Linotype" w:cs="Palatino Linotype"/>
          <w:i/>
          <w:sz w:val="22"/>
          <w:szCs w:val="22"/>
        </w:rPr>
        <w:t xml:space="preserve">. Los Sujetos Obligados podrán contar con un Archivo Histórico que tendrá las siguientes funciones: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Recibir las Transferencias Secundarias y organizar y conservar los Expedientes bajo su resguardo; </w:t>
      </w:r>
    </w:p>
    <w:p w:rsidR="00FD3B00" w:rsidRDefault="00876CB2">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Brindar servicios de préstamo y consulta al público, así como difundir el Patrimonio Documental;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Establecer los procedimientos de consulta de los Acervos que resguarda;</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IV.</w:t>
      </w:r>
      <w:r>
        <w:rPr>
          <w:rFonts w:ascii="Palatino Linotype" w:eastAsia="Palatino Linotype" w:hAnsi="Palatino Linotype" w:cs="Palatino Linotype"/>
          <w:i/>
          <w:sz w:val="22"/>
          <w:szCs w:val="22"/>
        </w:rPr>
        <w:t xml:space="preserve"> Colaborar con el Área Coordinadora de Archivos en la elaboración de los Instrumentos de Control Archivístico previstos en esta Ley, así como en la demás normativa aplicable;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Implementar políticas y estrategias de preservación que permitan conservar los Documentos Históricos y aplicar los mecanismos y las herramientas que proporcionan las tecnológicas de información, de conformidad con la Ley de Gobierno Digital del Estado de México y Municipios, y su Reglamento para mantenerlos a disposición de los usuarios; y </w:t>
      </w:r>
    </w:p>
    <w:p w:rsidR="00FD3B00" w:rsidRDefault="00876CB2">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Las demás que establezcan las disposiciones jurídicas aplicables. </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Las personas responsables de los Archivos Históricos deben contar con los conocimientos, habilidades, competencias y experiencia acordes con su responsabilidad;</w:t>
      </w:r>
      <w:r>
        <w:rPr>
          <w:rFonts w:ascii="Palatino Linotype" w:eastAsia="Palatino Linotype" w:hAnsi="Palatino Linotype" w:cs="Palatino Linotype"/>
          <w:i/>
          <w:sz w:val="22"/>
          <w:szCs w:val="22"/>
        </w:rPr>
        <w:t xml:space="preserve"> de no ser así, las personas titulares del Sujeto Obligado tienen la obligación de establecer las condiciones que permitan la capacitación de los responsables para el buen funcionamiento de los Archivos.”</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40.</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responsables de los Archivos Históricos</w:t>
      </w:r>
      <w:r>
        <w:rPr>
          <w:rFonts w:ascii="Palatino Linotype" w:eastAsia="Palatino Linotype" w:hAnsi="Palatino Linotype" w:cs="Palatino Linotype"/>
          <w:i/>
          <w:sz w:val="22"/>
          <w:szCs w:val="22"/>
        </w:rPr>
        <w:t xml:space="preserve"> de los Sujetos Obligados, adoptarán medidas para fomentar la preservación y difusión de los documentos con valor histórico que forman parte del Patrimonio Documental, las que incluirán: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Formular políticas y estrategias archivísticas</w:t>
      </w:r>
      <w:r>
        <w:rPr>
          <w:rFonts w:ascii="Palatino Linotype" w:eastAsia="Palatino Linotype" w:hAnsi="Palatino Linotype" w:cs="Palatino Linotype"/>
          <w:i/>
          <w:sz w:val="22"/>
          <w:szCs w:val="22"/>
        </w:rPr>
        <w:t xml:space="preserve"> que fomenten la preservación y </w:t>
      </w:r>
      <w:r>
        <w:rPr>
          <w:rFonts w:ascii="Palatino Linotype" w:eastAsia="Palatino Linotype" w:hAnsi="Palatino Linotype" w:cs="Palatino Linotype"/>
          <w:b/>
          <w:i/>
          <w:sz w:val="22"/>
          <w:szCs w:val="22"/>
          <w:u w:val="single"/>
        </w:rPr>
        <w:t>difusión de los Documentos Históricos</w:t>
      </w:r>
      <w:r>
        <w:rPr>
          <w:rFonts w:ascii="Palatino Linotype" w:eastAsia="Palatino Linotype" w:hAnsi="Palatino Linotype" w:cs="Palatino Linotype"/>
          <w:i/>
          <w:sz w:val="22"/>
          <w:szCs w:val="22"/>
        </w:rPr>
        <w:t xml:space="preserve">;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Desarrollar programas de </w:t>
      </w:r>
      <w:r>
        <w:rPr>
          <w:rFonts w:ascii="Palatino Linotype" w:eastAsia="Palatino Linotype" w:hAnsi="Palatino Linotype" w:cs="Palatino Linotype"/>
          <w:b/>
          <w:i/>
          <w:sz w:val="22"/>
          <w:szCs w:val="22"/>
          <w:u w:val="single"/>
        </w:rPr>
        <w:t>difusión de los Documentos Históricos</w:t>
      </w:r>
      <w:r>
        <w:rPr>
          <w:rFonts w:ascii="Palatino Linotype" w:eastAsia="Palatino Linotype" w:hAnsi="Palatino Linotype" w:cs="Palatino Linotype"/>
          <w:i/>
          <w:sz w:val="22"/>
          <w:szCs w:val="22"/>
        </w:rPr>
        <w:t xml:space="preserve"> a través de medios digitales, de conformidad con la Ley de Gobierno Digital del Estado de México y Municipios y su Reglamento, con el fin de favorecer el acceso libre y gratuito a los contenidos culturales e informativos de la entidad;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Elaborar los Instrumentos de Consulta Archivística que permitan la localización de los documentos resguardados en los Fondos Documentales y colecciones de los Archivos Históricos;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Implementar programas de exposiciones presenciales y virtuales para </w:t>
      </w:r>
      <w:r>
        <w:rPr>
          <w:rFonts w:ascii="Palatino Linotype" w:eastAsia="Palatino Linotype" w:hAnsi="Palatino Linotype" w:cs="Palatino Linotype"/>
          <w:b/>
          <w:i/>
          <w:sz w:val="22"/>
          <w:szCs w:val="22"/>
          <w:u w:val="single"/>
        </w:rPr>
        <w:t>divulgar el Patrimonio Documental</w:t>
      </w:r>
      <w:r>
        <w:rPr>
          <w:rFonts w:ascii="Palatino Linotype" w:eastAsia="Palatino Linotype" w:hAnsi="Palatino Linotype" w:cs="Palatino Linotype"/>
          <w:i/>
          <w:sz w:val="22"/>
          <w:szCs w:val="22"/>
        </w:rPr>
        <w:t xml:space="preserve">;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Implementar programas con actividades pedagógicas que acerquen los Archivos a los estudiantes de diferentes grados educativos, y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Divulgar instrumentos de consulta, boletines informativos y cualquier otro tipo de publicación de interés</w:t>
      </w:r>
      <w:r>
        <w:rPr>
          <w:rFonts w:ascii="Palatino Linotype" w:eastAsia="Palatino Linotype" w:hAnsi="Palatino Linotype" w:cs="Palatino Linotype"/>
          <w:i/>
          <w:sz w:val="22"/>
          <w:szCs w:val="22"/>
        </w:rPr>
        <w:t xml:space="preserve">, para </w:t>
      </w:r>
      <w:r>
        <w:rPr>
          <w:rFonts w:ascii="Palatino Linotype" w:eastAsia="Palatino Linotype" w:hAnsi="Palatino Linotype" w:cs="Palatino Linotype"/>
          <w:b/>
          <w:i/>
          <w:sz w:val="22"/>
          <w:szCs w:val="22"/>
          <w:u w:val="single"/>
        </w:rPr>
        <w:t>difundir y brindar acceso a los Archivos Históricos</w:t>
      </w:r>
      <w:r>
        <w:rPr>
          <w:rFonts w:ascii="Palatino Linotype" w:eastAsia="Palatino Linotype" w:hAnsi="Palatino Linotype" w:cs="Palatino Linotype"/>
          <w:i/>
          <w:sz w:val="22"/>
          <w:szCs w:val="22"/>
        </w:rPr>
        <w:t>.”</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Las funciones generales de las áreas operativas que componen el sistema institucional de archivos son las siguientes:</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Responsable del Archivo histórico</w:t>
      </w:r>
      <w:r>
        <w:rPr>
          <w:rFonts w:ascii="Palatino Linotype" w:eastAsia="Palatino Linotype" w:hAnsi="Palatino Linotype" w:cs="Palatino Linotype"/>
          <w:i/>
          <w:sz w:val="22"/>
          <w:szCs w:val="22"/>
        </w:rPr>
        <w:t>:</w:t>
      </w:r>
    </w:p>
    <w:p w:rsidR="00FD3B00" w:rsidRDefault="00876CB2">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Recibir, organizar y describir los expedientes con valor histórico;</w:t>
      </w:r>
    </w:p>
    <w:p w:rsidR="00FD3B00" w:rsidRDefault="00876CB2">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xml:space="preserve">    Colaborar con el responsable del Área coordinadora de archivos;</w:t>
      </w:r>
    </w:p>
    <w:p w:rsidR="00FD3B00" w:rsidRDefault="00876CB2">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w:t>
      </w:r>
      <w:r>
        <w:rPr>
          <w:rFonts w:ascii="Palatino Linotype" w:eastAsia="Palatino Linotype" w:hAnsi="Palatino Linotype" w:cs="Palatino Linotype"/>
          <w:i/>
          <w:sz w:val="22"/>
          <w:szCs w:val="22"/>
        </w:rPr>
        <w:t>)    Participar en el Grupo interdisciplinario;</w:t>
      </w:r>
    </w:p>
    <w:p w:rsidR="00FD3B00" w:rsidRDefault="00876CB2">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Propiciar la difusión de los documentos que tiene bajo su resguardo</w:t>
      </w:r>
      <w:r>
        <w:rPr>
          <w:rFonts w:ascii="Palatino Linotype" w:eastAsia="Palatino Linotype" w:hAnsi="Palatino Linotype" w:cs="Palatino Linotype"/>
          <w:i/>
          <w:sz w:val="22"/>
          <w:szCs w:val="22"/>
        </w:rPr>
        <w:t>;</w:t>
      </w:r>
    </w:p>
    <w:p w:rsidR="00FD3B00" w:rsidRDefault="00876CB2">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w:t>
      </w:r>
      <w:r>
        <w:rPr>
          <w:rFonts w:ascii="Palatino Linotype" w:eastAsia="Palatino Linotype" w:hAnsi="Palatino Linotype" w:cs="Palatino Linotype"/>
          <w:i/>
          <w:sz w:val="22"/>
          <w:szCs w:val="22"/>
        </w:rPr>
        <w:t xml:space="preserve">    Coordinar los servicios de consulta, referencia, préstamo o reprografía, y</w:t>
      </w:r>
    </w:p>
    <w:p w:rsidR="00FD3B00" w:rsidRDefault="00876CB2">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w:t>
      </w:r>
      <w:r>
        <w:rPr>
          <w:rFonts w:ascii="Palatino Linotype" w:eastAsia="Palatino Linotype" w:hAnsi="Palatino Linotype" w:cs="Palatino Linotype"/>
          <w:i/>
          <w:sz w:val="22"/>
          <w:szCs w:val="22"/>
        </w:rPr>
        <w:t xml:space="preserve">     Las demás que establezcan las disposiciones jurídicas aplicables.”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la difusión del patrimonio documental del archivo histórico es una obligación que les impone la Ley a los entes públicos, debiendo formular políticas y estrategias archivísticas para fomentar la difusión de los documentos históricos, así como implementar programas de exposiciones presenciales y virtuales para divulgar el patrimonio documental, entre otras actividades, por lo tanto, toda vez que en el presente caso no hubo pronunciamiento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sin que se acreditara la búsqueda de la información en las áreas competentes, se estima dable ordenar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que previa búsqueda exhaustiva y razonable, haga entrega del soporte documental que dé cuenta de los programas o actividades tendentes a realizar la difusión del acervo documental del archivo histórico, para satisfacer el requerimiento de información.</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para el caso de que no llegara a localizar la información, deberá emitir la declaratoria formal de inexistencia, en los términos precisados en líneas anteriores.</w:t>
      </w:r>
    </w:p>
    <w:tbl>
      <w:tblPr>
        <w:tblStyle w:val="af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FD3B00">
        <w:tc>
          <w:tcPr>
            <w:tcW w:w="8828" w:type="dxa"/>
            <w:gridSpan w:val="3"/>
            <w:vAlign w:val="center"/>
          </w:tcPr>
          <w:p w:rsidR="00FD3B00" w:rsidRDefault="00876CB2">
            <w:pPr>
              <w:tabs>
                <w:tab w:val="left" w:pos="8503"/>
              </w:tabs>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17. ARCHIVACIÓN</w:t>
            </w:r>
          </w:p>
          <w:p w:rsidR="00FD3B00" w:rsidRDefault="00876CB2">
            <w:pPr>
              <w:tabs>
                <w:tab w:val="left" w:pos="1860"/>
              </w:tabs>
              <w:jc w:val="both"/>
            </w:pPr>
            <w:r>
              <w:rPr>
                <w:rFonts w:ascii="Palatino Linotype" w:eastAsia="Palatino Linotype" w:hAnsi="Palatino Linotype" w:cs="Palatino Linotype"/>
                <w:sz w:val="20"/>
                <w:szCs w:val="20"/>
              </w:rPr>
              <w:t>CONFORME LO ESTABLECIDO EN EL ARTÍCULO 20 SEGUNDO PÁRRAFO DE LA LEY GENERAL DE ARCHIVOS Y EL ARTÍCULO OCTAVO DE LOS LINEAMIENTOS PARA LA ORGANIZACIÓN Y CONSERVACIÓN DE ARCHIVOS.</w:t>
            </w:r>
          </w:p>
        </w:tc>
      </w:tr>
      <w:tr w:rsidR="00FD3B00">
        <w:tc>
          <w:tcPr>
            <w:tcW w:w="2702" w:type="dxa"/>
            <w:vAlign w:val="center"/>
          </w:tcPr>
          <w:p w:rsidR="00FD3B00" w:rsidRDefault="00876CB2">
            <w:pPr>
              <w:jc w:val="center"/>
            </w:pPr>
            <w:r>
              <w:rPr>
                <w:rFonts w:ascii="Palatino Linotype" w:eastAsia="Palatino Linotype" w:hAnsi="Palatino Linotype" w:cs="Palatino Linotype"/>
                <w:b/>
                <w:sz w:val="20"/>
                <w:szCs w:val="20"/>
              </w:rPr>
              <w:t>REQUERIMIENTO</w:t>
            </w:r>
          </w:p>
        </w:tc>
        <w:tc>
          <w:tcPr>
            <w:tcW w:w="2571" w:type="dxa"/>
            <w:vAlign w:val="center"/>
          </w:tcPr>
          <w:p w:rsidR="00FD3B00" w:rsidRDefault="00876CB2">
            <w:pPr>
              <w:jc w:val="center"/>
            </w:pPr>
            <w:r>
              <w:rPr>
                <w:rFonts w:ascii="Palatino Linotype" w:eastAsia="Palatino Linotype" w:hAnsi="Palatino Linotype" w:cs="Palatino Linotype"/>
                <w:b/>
                <w:sz w:val="20"/>
                <w:szCs w:val="20"/>
              </w:rPr>
              <w:t>RESPUESTA</w:t>
            </w:r>
          </w:p>
        </w:tc>
        <w:tc>
          <w:tcPr>
            <w:tcW w:w="3555" w:type="dxa"/>
            <w:vAlign w:val="center"/>
          </w:tcPr>
          <w:p w:rsidR="00FD3B00" w:rsidRDefault="00876CB2">
            <w:pPr>
              <w:jc w:val="center"/>
            </w:pPr>
            <w:r>
              <w:rPr>
                <w:rFonts w:ascii="Palatino Linotype" w:eastAsia="Palatino Linotype" w:hAnsi="Palatino Linotype" w:cs="Palatino Linotype"/>
                <w:b/>
                <w:sz w:val="20"/>
                <w:szCs w:val="20"/>
              </w:rPr>
              <w:t>INFORME JUSTIFICADO</w:t>
            </w:r>
          </w:p>
        </w:tc>
      </w:tr>
      <w:tr w:rsidR="00FD3B00">
        <w:tc>
          <w:tcPr>
            <w:tcW w:w="2702" w:type="dxa"/>
            <w:shd w:val="clear" w:color="auto" w:fill="auto"/>
            <w:vAlign w:val="center"/>
          </w:tcPr>
          <w:p w:rsidR="00FD3B00" w:rsidRDefault="00876CB2">
            <w:pPr>
              <w:tabs>
                <w:tab w:val="left" w:pos="8503"/>
              </w:tabs>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17.2. ¿DESDE QUE AÑO ARCHIVAN SUS DOCUMENTOS POR ASUNTO? </w:t>
            </w:r>
          </w:p>
        </w:tc>
        <w:tc>
          <w:tcPr>
            <w:tcW w:w="2571" w:type="dxa"/>
            <w:shd w:val="clear" w:color="auto" w:fill="auto"/>
            <w:vAlign w:val="center"/>
          </w:tcPr>
          <w:p w:rsidR="00FD3B00" w:rsidRDefault="00876CB2">
            <w:pPr>
              <w:jc w:val="center"/>
            </w:pPr>
            <w:r>
              <w:rPr>
                <w:rFonts w:ascii="Palatino Linotype" w:eastAsia="Palatino Linotype" w:hAnsi="Palatino Linotype" w:cs="Palatino Linotype"/>
                <w:sz w:val="20"/>
                <w:szCs w:val="20"/>
              </w:rPr>
              <w:t>OMISO</w:t>
            </w:r>
          </w:p>
        </w:tc>
        <w:tc>
          <w:tcPr>
            <w:tcW w:w="3555" w:type="dxa"/>
            <w:shd w:val="clear" w:color="auto" w:fill="auto"/>
            <w:vAlign w:val="center"/>
          </w:tcPr>
          <w:p w:rsidR="00FD3B00" w:rsidRDefault="00876CB2">
            <w:pPr>
              <w:jc w:val="center"/>
            </w:pPr>
            <w:r>
              <w:rPr>
                <w:rFonts w:ascii="Palatino Linotype" w:eastAsia="Palatino Linotype" w:hAnsi="Palatino Linotype" w:cs="Palatino Linotype"/>
                <w:sz w:val="20"/>
                <w:szCs w:val="20"/>
              </w:rPr>
              <w:t>No se cuenta con la organización como lo marca el artículo octavo de los Lineamientos.</w:t>
            </w:r>
          </w:p>
        </w:tc>
      </w:tr>
      <w:tr w:rsidR="00FD3B00">
        <w:tc>
          <w:tcPr>
            <w:tcW w:w="2702" w:type="dxa"/>
            <w:vAlign w:val="center"/>
          </w:tcPr>
          <w:p w:rsidR="00FD3B00" w:rsidRDefault="00876CB2">
            <w:pPr>
              <w:tabs>
                <w:tab w:val="left" w:pos="8503"/>
              </w:tabs>
              <w:spacing w:before="120" w:after="120"/>
              <w:jc w:val="both"/>
            </w:pPr>
            <w:r>
              <w:rPr>
                <w:rFonts w:ascii="Palatino Linotype" w:eastAsia="Palatino Linotype" w:hAnsi="Palatino Linotype" w:cs="Palatino Linotype"/>
                <w:sz w:val="20"/>
                <w:szCs w:val="20"/>
              </w:rPr>
              <w:t>17.3. ¿DE DONDE PROCEDE EL ASUNTO DE CADA DOCUMENTO, ES DECIR, DE CUAL FUE EL CRITERIO PARA DETERMINAR LOS ASUNTOS DE CADA DOCUMENTO?</w:t>
            </w:r>
          </w:p>
        </w:tc>
        <w:tc>
          <w:tcPr>
            <w:tcW w:w="2571" w:type="dxa"/>
            <w:vAlign w:val="center"/>
          </w:tcPr>
          <w:p w:rsidR="00FD3B00" w:rsidRDefault="00876CB2">
            <w:pPr>
              <w:jc w:val="center"/>
            </w:pPr>
            <w:r>
              <w:rPr>
                <w:rFonts w:ascii="Palatino Linotype" w:eastAsia="Palatino Linotype" w:hAnsi="Palatino Linotype" w:cs="Palatino Linotype"/>
                <w:sz w:val="20"/>
                <w:szCs w:val="20"/>
              </w:rPr>
              <w:t>OMISO</w:t>
            </w:r>
          </w:p>
        </w:tc>
        <w:tc>
          <w:tcPr>
            <w:tcW w:w="3555" w:type="dxa"/>
            <w:vAlign w:val="center"/>
          </w:tcPr>
          <w:p w:rsidR="00FD3B00" w:rsidRDefault="00876CB2">
            <w:pPr>
              <w:jc w:val="center"/>
            </w:pPr>
            <w:r>
              <w:rPr>
                <w:rFonts w:ascii="Palatino Linotype" w:eastAsia="Palatino Linotype" w:hAnsi="Palatino Linotype" w:cs="Palatino Linotype"/>
                <w:sz w:val="20"/>
                <w:szCs w:val="20"/>
              </w:rPr>
              <w:t>No se cuenta con la organización como lo marca el artículo octavo de los Lineamientos.</w:t>
            </w:r>
          </w:p>
        </w:tc>
      </w:tr>
    </w:tbl>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Tocante a estos puntos, nos encontramos ante un hecho negativo, toda vez que la Encargada de Archivo Municipal refirió de manera expresa que no se contaba con la organización como marca el Lineamiento Octavo de los Lineamientos para la Organización y Conservación de los Archivos, siendo necesario traer a colación el contenido del mismo:</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Todos los documentos de archivo</w:t>
      </w:r>
      <w:r>
        <w:rPr>
          <w:rFonts w:ascii="Palatino Linotype" w:eastAsia="Palatino Linotype" w:hAnsi="Palatino Linotype" w:cs="Palatino Linotype"/>
          <w:i/>
          <w:sz w:val="22"/>
          <w:szCs w:val="22"/>
        </w:rPr>
        <w:t xml:space="preserve"> en posesión de los Sujetos obligados formarán parte del Sistema Institucional de Archivos; </w:t>
      </w:r>
      <w:r>
        <w:rPr>
          <w:rFonts w:ascii="Palatino Linotype" w:eastAsia="Palatino Linotype" w:hAnsi="Palatino Linotype" w:cs="Palatino Linotype"/>
          <w:b/>
          <w:i/>
          <w:sz w:val="22"/>
          <w:szCs w:val="22"/>
        </w:rPr>
        <w:t xml:space="preserve">deberán agruparse en un expediente </w:t>
      </w:r>
      <w:r>
        <w:rPr>
          <w:rFonts w:ascii="Palatino Linotype" w:eastAsia="Palatino Linotype" w:hAnsi="Palatino Linotype" w:cs="Palatino Linotype"/>
          <w:b/>
          <w:i/>
          <w:sz w:val="22"/>
          <w:szCs w:val="22"/>
          <w:u w:val="single"/>
        </w:rPr>
        <w:t>por cada asunto</w:t>
      </w:r>
      <w:r>
        <w:rPr>
          <w:rFonts w:ascii="Palatino Linotype" w:eastAsia="Palatino Linotype" w:hAnsi="Palatino Linotype" w:cs="Palatino Linotype"/>
          <w:b/>
          <w:i/>
          <w:sz w:val="22"/>
          <w:szCs w:val="22"/>
        </w:rPr>
        <w:t xml:space="preserve"> con un orden lógico, y cronológico</w:t>
      </w:r>
      <w:r>
        <w:rPr>
          <w:rFonts w:ascii="Palatino Linotype" w:eastAsia="Palatino Linotype" w:hAnsi="Palatino Linotype" w:cs="Palatino Linotype"/>
          <w:i/>
          <w:sz w:val="22"/>
          <w:szCs w:val="22"/>
        </w:rPr>
        <w:t>.”</w:t>
      </w:r>
    </w:p>
    <w:p w:rsidR="00FD3B00" w:rsidRDefault="00876CB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es oportuno referir que el artículo 20, párrafo segundo de la Ley General de Archivos y la ley Local, establece lo siguiente:</w:t>
      </w:r>
    </w:p>
    <w:p w:rsidR="00FD3B00" w:rsidRDefault="00876CB2">
      <w:pPr>
        <w:pBdr>
          <w:top w:val="nil"/>
          <w:left w:val="nil"/>
          <w:bottom w:val="nil"/>
          <w:right w:val="nil"/>
          <w:between w:val="nil"/>
        </w:pBd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20</w:t>
      </w:r>
      <w:r>
        <w:rPr>
          <w:rFonts w:ascii="Palatino Linotype" w:eastAsia="Palatino Linotype" w:hAnsi="Palatino Linotype" w:cs="Palatino Linotype"/>
          <w:i/>
          <w:sz w:val="22"/>
          <w:szCs w:val="22"/>
        </w:rPr>
        <w:t>…</w:t>
      </w:r>
    </w:p>
    <w:p w:rsidR="00FD3B00" w:rsidRDefault="00876CB2">
      <w:pPr>
        <w:pBdr>
          <w:top w:val="nil"/>
          <w:left w:val="nil"/>
          <w:bottom w:val="nil"/>
          <w:right w:val="nil"/>
          <w:between w:val="nil"/>
        </w:pBd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Todos </w:t>
      </w:r>
      <w:r>
        <w:rPr>
          <w:rFonts w:ascii="Palatino Linotype" w:eastAsia="Palatino Linotype" w:hAnsi="Palatino Linotype" w:cs="Palatino Linotype"/>
          <w:b/>
          <w:i/>
          <w:sz w:val="22"/>
          <w:szCs w:val="22"/>
        </w:rPr>
        <w:t>los Documentos de Archivo en posesión de los Sujetos Obligados formarán parte del Sistema Institucional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deberán agruparse en </w:t>
      </w:r>
      <w:r>
        <w:rPr>
          <w:rFonts w:ascii="Palatino Linotype" w:eastAsia="Palatino Linotype" w:hAnsi="Palatino Linotype" w:cs="Palatino Linotype"/>
          <w:b/>
          <w:i/>
          <w:sz w:val="22"/>
          <w:szCs w:val="22"/>
        </w:rPr>
        <w:lastRenderedPageBreak/>
        <w:t xml:space="preserve">Expedientes de manera lógica y cronológica, y </w:t>
      </w:r>
      <w:r>
        <w:rPr>
          <w:rFonts w:ascii="Palatino Linotype" w:eastAsia="Palatino Linotype" w:hAnsi="Palatino Linotype" w:cs="Palatino Linotype"/>
          <w:b/>
          <w:i/>
          <w:sz w:val="22"/>
          <w:szCs w:val="22"/>
          <w:u w:val="single"/>
        </w:rPr>
        <w:t>relacionarse con un mismo asunto</w:t>
      </w:r>
      <w:r>
        <w:rPr>
          <w:rFonts w:ascii="Palatino Linotype" w:eastAsia="Palatino Linotype" w:hAnsi="Palatino Linotype" w:cs="Palatino Linotype"/>
          <w:i/>
          <w:sz w:val="22"/>
          <w:szCs w:val="22"/>
        </w:rPr>
        <w:t>, reflejando con exactitud la información contenida en ellos, en los términos que establezca el Consejo Estatal y las disposiciones jurídicas aplicables.”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dicha forma o metodología de agrupación u organización, forma parte del Sistema Institucional de Archivos, por lo que al no contar actualmente con el mismo,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encuentra imposibilitado para atender favorablemente lo solicitado, al no contar con la organización como establece la normatividad.</w:t>
      </w:r>
    </w:p>
    <w:p w:rsidR="00FD3B00" w:rsidRDefault="00876CB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toda vez que no posee, administra, ni generó la información requerida por la persona solicitante, constituye un hecho negativo; entonces, si se considera el hecho negativo, es obvio que éste no puede fácticamente obrar en los archivos de la Dirección de Administración, ya que no puede probarse por ser lógica y materialmente imposible.</w:t>
      </w:r>
    </w:p>
    <w:p w:rsidR="00FD3B00" w:rsidRDefault="00876CB2">
      <w:pPr>
        <w:pBdr>
          <w:top w:val="nil"/>
          <w:left w:val="nil"/>
          <w:bottom w:val="nil"/>
          <w:right w:val="nil"/>
          <w:between w:val="nil"/>
        </w:pBdr>
        <w:spacing w:before="240" w:after="240" w:line="360" w:lineRule="auto"/>
        <w:jc w:val="both"/>
        <w:rPr>
          <w:sz w:val="28"/>
          <w:szCs w:val="28"/>
        </w:rPr>
      </w:pPr>
      <w:r>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 en dicha área, por lo que resulta aplicable la Tesis</w:t>
      </w:r>
      <w:r>
        <w:rPr>
          <w:rFonts w:ascii="Palatino Linotype" w:eastAsia="Palatino Linotype" w:hAnsi="Palatino Linotype" w:cs="Palatino Linotype"/>
          <w:vertAlign w:val="superscript"/>
        </w:rPr>
        <w:footnoteReference w:id="6"/>
      </w:r>
      <w:r>
        <w:rPr>
          <w:rFonts w:ascii="Palatino Linotype" w:eastAsia="Palatino Linotype" w:hAnsi="Palatino Linotype" w:cs="Palatino Linotype"/>
        </w:rPr>
        <w:t xml:space="preserve"> emitida por la Segunda Sala de la Suprema Corte de la Nación, que es del tenor literal siguiente:</w:t>
      </w:r>
    </w:p>
    <w:p w:rsidR="00FD3B00" w:rsidRDefault="00876CB2">
      <w:pPr>
        <w:spacing w:before="240" w:after="240"/>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“HECHOS NEGATIVOS, NO SON SUSCEPTIBLES DE DEMOSTRACIÓN</w:t>
      </w:r>
      <w:r>
        <w:rPr>
          <w:rFonts w:ascii="Palatino Linotype" w:eastAsia="Palatino Linotype" w:hAnsi="Palatino Linotype" w:cs="Palatino Linotype"/>
          <w:i/>
          <w:sz w:val="22"/>
          <w:szCs w:val="22"/>
        </w:rPr>
        <w:t xml:space="preserve">. Tratándose de un hecho negativo, el Juez no tiene por qué invocar prueba alguna de la que se desprenda, ya que es bien sabido que esta clase de hechos no son susceptibles de demostración.” </w:t>
      </w:r>
    </w:p>
    <w:p w:rsidR="00FD3B00" w:rsidRDefault="00876CB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Aunado a lo anterior, este Pleno considera necesario dejar claro que, al haber existido un pronunciamiento por parte del  Servidor Público Habilitado competente, a fin de dar respuesta a la solicitud planteada, éste no está facultado para manifestarse sobre la veracidad de la información proporcionada, pues no existe precepto legal alguno en la Ley de la Materia que permita que, vía recurso de revisión, se pronuncie al respecto. Lo anterior se sustenta con lo plasmado en el criterio 31/10 citado con anterioridad.</w:t>
      </w:r>
    </w:p>
    <w:p w:rsidR="00FD3B00" w:rsidRDefault="00876CB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de conformidad con lo establecido en el artículo 12 de la Ley de Transparencia y Acceso a la Información Pública del Estado de México y Municipios, anteriormente invocado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sólo proporcionará la información que obra en sus archivos, lo que a</w:t>
      </w:r>
      <w:r>
        <w:rPr>
          <w:rFonts w:ascii="Palatino Linotype" w:eastAsia="Palatino Linotype" w:hAnsi="Palatino Linotype" w:cs="Palatino Linotype"/>
          <w:i/>
        </w:rPr>
        <w:t xml:space="preserve"> contrario sensu</w:t>
      </w:r>
      <w:r>
        <w:rPr>
          <w:rFonts w:ascii="Palatino Linotype" w:eastAsia="Palatino Linotype" w:hAnsi="Palatino Linotype" w:cs="Palatino Linotype"/>
        </w:rPr>
        <w:t xml:space="preserve"> significa que no se está obligado a proporcionar lo que no obre en sus archivos, en consecuencia, el pronunciamiento vertido por la Encargada del Archivo Municipal es suficiente para tener por colmado el derecho de acceso de la particular.   </w:t>
      </w:r>
    </w:p>
    <w:p w:rsidR="00FD3B00" w:rsidRDefault="00876CB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se considera dable ordenar la declaratoria formal de inexistencia en los términos señalados anteriormente.</w:t>
      </w:r>
    </w:p>
    <w:tbl>
      <w:tblPr>
        <w:tblStyle w:val="aff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FD3B00">
        <w:tc>
          <w:tcPr>
            <w:tcW w:w="8828" w:type="dxa"/>
            <w:gridSpan w:val="3"/>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19. TRANSFERENCIA SECUNDARIA</w:t>
            </w:r>
          </w:p>
        </w:tc>
      </w:tr>
      <w:tr w:rsidR="00FD3B00">
        <w:tc>
          <w:tcPr>
            <w:tcW w:w="2942" w:type="dxa"/>
            <w:vAlign w:val="center"/>
          </w:tcPr>
          <w:p w:rsidR="00FD3B00" w:rsidRDefault="00876CB2">
            <w:pPr>
              <w:tabs>
                <w:tab w:val="left" w:pos="8503"/>
              </w:tabs>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19.1. ¿SU ARCHIVO DE CONCENTRACIÓN LLEVA A CABO TRANSFERENCIAS SECUNDARIAS COMO LO ESTABLECEN LOS ARTÍCULOS 31 FRACCIÓN X Y 59 DE LA LEY GENERAL DE ARCHIVOS? </w:t>
            </w:r>
          </w:p>
        </w:tc>
        <w:tc>
          <w:tcPr>
            <w:tcW w:w="2943" w:type="dxa"/>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2943" w:type="dxa"/>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se están tomando las capacitaciones pertinentes para cumplir con lo que establece la Ley General de Archivos.</w:t>
            </w:r>
          </w:p>
        </w:tc>
      </w:tr>
      <w:tr w:rsidR="00FD3B00">
        <w:tc>
          <w:tcPr>
            <w:tcW w:w="2942" w:type="dxa"/>
            <w:vAlign w:val="center"/>
          </w:tcPr>
          <w:p w:rsidR="00FD3B00" w:rsidRDefault="00876CB2">
            <w:pPr>
              <w:tabs>
                <w:tab w:val="left" w:pos="8503"/>
              </w:tabs>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19.2. ¿QUIEN LLEVA A CABO LA SELECCIÓN DE </w:t>
            </w:r>
            <w:r>
              <w:rPr>
                <w:rFonts w:ascii="Palatino Linotype" w:eastAsia="Palatino Linotype" w:hAnsi="Palatino Linotype" w:cs="Palatino Linotype"/>
                <w:sz w:val="20"/>
                <w:szCs w:val="20"/>
              </w:rPr>
              <w:lastRenderedPageBreak/>
              <w:t xml:space="preserve">DOCUMENTACIÓN QUE SE DESTINA AL ARCHIVO HISTÓRICO EN TRANSFERENCIA SECUNDARIA? </w:t>
            </w:r>
          </w:p>
        </w:tc>
        <w:tc>
          <w:tcPr>
            <w:tcW w:w="2943" w:type="dxa"/>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OMISO</w:t>
            </w:r>
          </w:p>
        </w:tc>
        <w:tc>
          <w:tcPr>
            <w:tcW w:w="2943" w:type="dxa"/>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Como se menciona anteriormente no se lleva  a </w:t>
            </w:r>
            <w:r>
              <w:rPr>
                <w:rFonts w:ascii="Palatino Linotype" w:eastAsia="Palatino Linotype" w:hAnsi="Palatino Linotype" w:cs="Palatino Linotype"/>
                <w:sz w:val="20"/>
                <w:szCs w:val="20"/>
              </w:rPr>
              <w:lastRenderedPageBreak/>
              <w:t>cabo la transferencia secundaria, se está trabajando y capacitando para cumplir con lo que marca la Ley.</w:t>
            </w:r>
          </w:p>
        </w:tc>
      </w:tr>
      <w:tr w:rsidR="00FD3B00">
        <w:tc>
          <w:tcPr>
            <w:tcW w:w="2942" w:type="dxa"/>
            <w:vAlign w:val="center"/>
          </w:tcPr>
          <w:p w:rsidR="00FD3B00" w:rsidRDefault="00876CB2">
            <w:pPr>
              <w:tabs>
                <w:tab w:val="left" w:pos="8503"/>
              </w:tabs>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19.3. ¿BAJO QUE CRITERIOS SE LLEVA A CABO LA SELECCIÓN DE LA DOCUMENTACIÓN QUE SE DESTINA AL ARCHIVO HISTÓRICO EN TRANSFERENCIA SECUNDARIA? </w:t>
            </w:r>
          </w:p>
        </w:tc>
        <w:tc>
          <w:tcPr>
            <w:tcW w:w="2943" w:type="dxa"/>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2943" w:type="dxa"/>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Como se menciona anteriormente no se lleva  a cabo la transferencia secundaria, se está trabajando y capacitando para cumplir con lo que marca la Ley.</w:t>
            </w:r>
          </w:p>
        </w:tc>
      </w:tr>
      <w:tr w:rsidR="00FD3B00">
        <w:tc>
          <w:tcPr>
            <w:tcW w:w="2942" w:type="dxa"/>
            <w:vAlign w:val="center"/>
          </w:tcPr>
          <w:p w:rsidR="00FD3B00" w:rsidRDefault="00876CB2">
            <w:pPr>
              <w:tabs>
                <w:tab w:val="left" w:pos="8503"/>
              </w:tabs>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19.4. EL FORMATO INSTITUCIONAL DEL INVENTARIO DE TRASFERENCIA SECUNDARIA </w:t>
            </w:r>
          </w:p>
        </w:tc>
        <w:tc>
          <w:tcPr>
            <w:tcW w:w="2943" w:type="dxa"/>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2943" w:type="dxa"/>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Como se menciona anteriormente no se lleva  a cabo la transferencia secundaria, se está trabajando y capacitando para cumplir con lo que marca la Ley.</w:t>
            </w:r>
          </w:p>
        </w:tc>
      </w:tr>
      <w:tr w:rsidR="00FD3B00">
        <w:tc>
          <w:tcPr>
            <w:tcW w:w="2942" w:type="dxa"/>
            <w:vAlign w:val="center"/>
          </w:tcPr>
          <w:p w:rsidR="00FD3B00" w:rsidRDefault="00876CB2">
            <w:pPr>
              <w:tabs>
                <w:tab w:val="left" w:pos="8503"/>
              </w:tabs>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19.5. EL PROCEDIMIENTO PARA LA TRANSFERENCIA SECUNDARIA. </w:t>
            </w:r>
          </w:p>
        </w:tc>
        <w:tc>
          <w:tcPr>
            <w:tcW w:w="2943" w:type="dxa"/>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2943" w:type="dxa"/>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Como se menciona anteriormente no se lleva  a cabo la transferencia secundaria, se está trabajando y capacitando para cumplir con lo que marca la Ley. </w:t>
            </w:r>
          </w:p>
        </w:tc>
      </w:tr>
    </w:tbl>
    <w:p w:rsidR="00FD3B00" w:rsidRDefault="00FD3B00">
      <w:pPr>
        <w:spacing w:line="360" w:lineRule="auto"/>
        <w:jc w:val="both"/>
        <w:rPr>
          <w:rFonts w:ascii="Palatino Linotype" w:eastAsia="Palatino Linotype" w:hAnsi="Palatino Linotype" w:cs="Palatino Linotype"/>
          <w:sz w:val="22"/>
          <w:szCs w:val="22"/>
        </w:rPr>
      </w:pP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Resulta propio mencionar que el numeral 19.2 y 19.3 deriva del numeral 19.1, toda vez que, si el sentido de este último resulta ser “afirmativo”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procedería la atención sobre el punto 19.2 y 19.3, sin embargo, como se advierte, en la tabla anterior, para el punto 19.1 la respuesta fue en </w:t>
      </w:r>
      <w:r>
        <w:rPr>
          <w:rFonts w:ascii="Palatino Linotype" w:eastAsia="Palatino Linotype" w:hAnsi="Palatino Linotype" w:cs="Palatino Linotype"/>
          <w:i/>
        </w:rPr>
        <w:t>sentido “negativo”,</w:t>
      </w:r>
      <w:r>
        <w:rPr>
          <w:rFonts w:ascii="Palatino Linotype" w:eastAsia="Palatino Linotype" w:hAnsi="Palatino Linotype" w:cs="Palatino Linotype"/>
        </w:rPr>
        <w:t xml:space="preserve"> es decir, se constituye en un hecho negativo, motivo por el cual este Organismo Garante tiene por colmados los requerimientos 19.2 y 19.3.</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en los puntos 19.4 y 19.5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solicitó el formato del inventario de transferencia secundaria, por lo que es preciso mencionar que la </w:t>
      </w:r>
      <w:r>
        <w:rPr>
          <w:rFonts w:ascii="Palatino Linotype" w:eastAsia="Palatino Linotype" w:hAnsi="Palatino Linotype" w:cs="Palatino Linotype"/>
        </w:rPr>
        <w:lastRenderedPageBreak/>
        <w:t xml:space="preserve">transferencia documental, de conformidad con el Lineamiento Cuarto, fracción XLVIII de los Lineamientos, es el </w:t>
      </w:r>
      <w:r>
        <w:rPr>
          <w:rFonts w:ascii="Palatino Linotype" w:eastAsia="Palatino Linotype" w:hAnsi="Palatino Linotype" w:cs="Palatino Linotype"/>
          <w:u w:val="single"/>
        </w:rPr>
        <w:t>traslado controlado y sistemático</w:t>
      </w:r>
      <w:r>
        <w:rPr>
          <w:rFonts w:ascii="Palatino Linotype" w:eastAsia="Palatino Linotype" w:hAnsi="Palatino Linotype" w:cs="Palatino Linotype"/>
        </w:rPr>
        <w:t xml:space="preserve"> de expedientes de consulta esporádica de un archivo de trámite al archivo de concentración (transferencia primaria) y </w:t>
      </w:r>
      <w:r>
        <w:rPr>
          <w:rFonts w:ascii="Palatino Linotype" w:eastAsia="Palatino Linotype" w:hAnsi="Palatino Linotype" w:cs="Palatino Linotype"/>
          <w:u w:val="single"/>
        </w:rPr>
        <w:t>de expedientes que deben conservarse de manera permanente, del archivo de concentración al archivo histórico (transferencia secundaria)</w:t>
      </w:r>
      <w:r>
        <w:rPr>
          <w:rFonts w:ascii="Palatino Linotype" w:eastAsia="Palatino Linotype" w:hAnsi="Palatino Linotype" w:cs="Palatino Linotype"/>
        </w:rPr>
        <w:t>, siendo atribución del archivo de concentración realizar la transferencia secundaria al archivo histórico, según se lee en los artículos 31, fracción X y 59 de la Ley General de Archivos y la Ley Local, respectivamente:</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31</w:t>
      </w:r>
      <w:r>
        <w:rPr>
          <w:rFonts w:ascii="Palatino Linotype" w:eastAsia="Palatino Linotype" w:hAnsi="Palatino Linotype" w:cs="Palatino Linotype"/>
          <w:i/>
          <w:sz w:val="22"/>
          <w:szCs w:val="22"/>
        </w:rPr>
        <w:t xml:space="preserve">. Cada </w:t>
      </w:r>
      <w:r>
        <w:rPr>
          <w:rFonts w:ascii="Palatino Linotype" w:eastAsia="Palatino Linotype" w:hAnsi="Palatino Linotype" w:cs="Palatino Linotype"/>
          <w:b/>
          <w:i/>
          <w:sz w:val="22"/>
          <w:szCs w:val="22"/>
        </w:rPr>
        <w:t xml:space="preserve">Sujeto Obligado debe contar con un </w:t>
      </w:r>
      <w:r>
        <w:rPr>
          <w:rFonts w:ascii="Palatino Linotype" w:eastAsia="Palatino Linotype" w:hAnsi="Palatino Linotype" w:cs="Palatino Linotype"/>
          <w:b/>
          <w:i/>
          <w:sz w:val="22"/>
          <w:szCs w:val="22"/>
          <w:u w:val="single"/>
        </w:rPr>
        <w:t>Archivo de Concentración</w:t>
      </w:r>
      <w:r>
        <w:rPr>
          <w:rFonts w:ascii="Palatino Linotype" w:eastAsia="Palatino Linotype" w:hAnsi="Palatino Linotype" w:cs="Palatino Linotype"/>
          <w:i/>
          <w:sz w:val="22"/>
          <w:szCs w:val="22"/>
        </w:rPr>
        <w:t>, que tendrá las siguientes funciones:</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Realizar la Transferencia Secundaria</w:t>
      </w:r>
      <w:r>
        <w:rPr>
          <w:rFonts w:ascii="Palatino Linotype" w:eastAsia="Palatino Linotype" w:hAnsi="Palatino Linotype" w:cs="Palatino Linotype"/>
          <w:i/>
          <w:sz w:val="22"/>
          <w:szCs w:val="22"/>
        </w:rPr>
        <w:t xml:space="preserve"> de las Series documentales que hayan cumplido su Vigencia Documental y posean valores evidenciales, testimoniales e informativos </w:t>
      </w:r>
      <w:r>
        <w:rPr>
          <w:rFonts w:ascii="Palatino Linotype" w:eastAsia="Palatino Linotype" w:hAnsi="Palatino Linotype" w:cs="Palatino Linotype"/>
          <w:b/>
          <w:i/>
          <w:sz w:val="22"/>
          <w:szCs w:val="22"/>
        </w:rPr>
        <w:t>al Archivo Histórico del Sujeto Obligad</w:t>
      </w:r>
      <w:r>
        <w:rPr>
          <w:rFonts w:ascii="Palatino Linotype" w:eastAsia="Palatino Linotype" w:hAnsi="Palatino Linotype" w:cs="Palatino Linotype"/>
          <w:i/>
          <w:sz w:val="22"/>
          <w:szCs w:val="22"/>
        </w:rPr>
        <w:t xml:space="preserve">o, </w:t>
      </w:r>
      <w:r>
        <w:rPr>
          <w:rFonts w:ascii="Palatino Linotype" w:eastAsia="Palatino Linotype" w:hAnsi="Palatino Linotype" w:cs="Palatino Linotype"/>
          <w:b/>
          <w:i/>
          <w:sz w:val="22"/>
          <w:szCs w:val="22"/>
        </w:rPr>
        <w:t xml:space="preserve">o al Archivo General del Estado </w:t>
      </w:r>
      <w:r>
        <w:rPr>
          <w:rFonts w:ascii="Palatino Linotype" w:eastAsia="Palatino Linotype" w:hAnsi="Palatino Linotype" w:cs="Palatino Linotype"/>
          <w:i/>
          <w:sz w:val="22"/>
          <w:szCs w:val="22"/>
        </w:rPr>
        <w:t>según corresponda, y</w:t>
      </w:r>
    </w:p>
    <w:p w:rsidR="00FD3B00" w:rsidRDefault="00876CB2">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que cuenten con un Archivo Histórico deberán transferir los documentos con valor histórico a dicho archivo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debiendo informar al Archivo General del Estado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en un plazo de cuarenta y cinco días naturales posteriores a la Transferencia Secundaria</w:t>
      </w:r>
      <w:r>
        <w:rPr>
          <w:rFonts w:ascii="Palatino Linotype" w:eastAsia="Palatino Linotype" w:hAnsi="Palatino Linotype" w:cs="Palatino Linotype"/>
          <w:i/>
          <w:sz w:val="22"/>
          <w:szCs w:val="22"/>
        </w:rPr>
        <w:t>.”</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del formato para el inventario para la transferencia secundaria, además, es oportuno mencionar de conformidad con los artículos 4, fracción XXXIX de la Ley General de Archivos, y 4, fracción XXXVII de la Ley Local, los inventarios documentales son los instrumentos de consulta que describen las series documentales y expedientes de un archivo y que permiten su localización (inventario general), para las transferencias (inventario de transferencia) o para la baja documental (inventario de baja documental).</w:t>
      </w:r>
    </w:p>
    <w:p w:rsidR="00FD3B00" w:rsidRDefault="00876CB2">
      <w:pPr>
        <w:tabs>
          <w:tab w:val="left" w:pos="8503"/>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su parte, el Lineamiento Décimo tercero, fracción III de los Lineamientos mencionados, establece que los sujetos obligados deben elaborar los inventarios documentales: generales, de transferencia y baja, con la finalidad de llevar el control de los expedientes, en ese sentido, toda vez que los sujetos obligados tienen como obligación el llevar a cabo los instrumentos de consulta y control archivístico, entre los cuales se encuentran los diversos inventarios como los de transferencia primaria y secundaria.</w:t>
      </w:r>
    </w:p>
    <w:p w:rsidR="00FD3B00" w:rsidRDefault="00876CB2">
      <w:pPr>
        <w:tabs>
          <w:tab w:val="left" w:pos="8503"/>
        </w:tabs>
        <w:spacing w:before="240" w:after="240" w:line="360" w:lineRule="auto"/>
        <w:jc w:val="both"/>
        <w:rPr>
          <w:rFonts w:ascii="Palatino Linotype" w:eastAsia="Palatino Linotype" w:hAnsi="Palatino Linotype" w:cs="Palatino Linotype"/>
          <w:sz w:val="32"/>
          <w:szCs w:val="32"/>
        </w:rPr>
      </w:pPr>
      <w:r>
        <w:rPr>
          <w:rFonts w:ascii="Palatino Linotype" w:eastAsia="Palatino Linotype" w:hAnsi="Palatino Linotype" w:cs="Palatino Linotype"/>
        </w:rPr>
        <w:t xml:space="preserve">En esta tesitura, toda vez que la Encargada del Archivo Municipal reconoció que no se lleva  a cabo la transferencia secundaria, advirtiéndose que no cuenta con un formato institucional del inventario de trasferencia secundaria, ni con un procedimiento para la transferencia secundaria, materia de los requerimientos en estudio, y que en concordancia con lo señalado en el análisis efectuado,  es información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generar de forma obligatoria, se estima dable ordenar la entrega de la declaratoria formal de inexistencia en los términos señalados anteriormente.</w:t>
      </w:r>
    </w:p>
    <w:tbl>
      <w:tblPr>
        <w:tblStyle w:val="aff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FD3B00">
        <w:tc>
          <w:tcPr>
            <w:tcW w:w="8828" w:type="dxa"/>
            <w:gridSpan w:val="3"/>
            <w:vAlign w:val="center"/>
          </w:tcPr>
          <w:p w:rsidR="00FD3B00" w:rsidRDefault="00876CB2">
            <w:pPr>
              <w:jc w:val="both"/>
            </w:pPr>
            <w:r>
              <w:rPr>
                <w:rFonts w:ascii="Palatino Linotype" w:eastAsia="Palatino Linotype" w:hAnsi="Palatino Linotype" w:cs="Palatino Linotype"/>
                <w:b/>
                <w:sz w:val="20"/>
                <w:szCs w:val="20"/>
              </w:rPr>
              <w:t>23. ADMINISTRACIÓN DE ARCHIVOS DE TRÁMITE</w:t>
            </w:r>
          </w:p>
        </w:tc>
      </w:tr>
      <w:tr w:rsidR="00FD3B00">
        <w:tc>
          <w:tcPr>
            <w:tcW w:w="2942" w:type="dxa"/>
            <w:vAlign w:val="center"/>
          </w:tcPr>
          <w:p w:rsidR="00FD3B00" w:rsidRDefault="00876CB2">
            <w:pPr>
              <w:jc w:val="center"/>
            </w:pPr>
            <w:r>
              <w:rPr>
                <w:rFonts w:ascii="Palatino Linotype" w:eastAsia="Palatino Linotype" w:hAnsi="Palatino Linotype" w:cs="Palatino Linotype"/>
                <w:b/>
                <w:sz w:val="20"/>
                <w:szCs w:val="20"/>
              </w:rPr>
              <w:t>REQUERIMIENTO</w:t>
            </w:r>
          </w:p>
        </w:tc>
        <w:tc>
          <w:tcPr>
            <w:tcW w:w="2943" w:type="dxa"/>
            <w:vAlign w:val="center"/>
          </w:tcPr>
          <w:p w:rsidR="00FD3B00" w:rsidRDefault="00876CB2">
            <w:pPr>
              <w:jc w:val="center"/>
            </w:pPr>
            <w:r>
              <w:rPr>
                <w:rFonts w:ascii="Palatino Linotype" w:eastAsia="Palatino Linotype" w:hAnsi="Palatino Linotype" w:cs="Palatino Linotype"/>
                <w:b/>
                <w:sz w:val="20"/>
                <w:szCs w:val="20"/>
              </w:rPr>
              <w:t>RESPUESTA</w:t>
            </w:r>
          </w:p>
        </w:tc>
        <w:tc>
          <w:tcPr>
            <w:tcW w:w="2943" w:type="dxa"/>
            <w:vAlign w:val="center"/>
          </w:tcPr>
          <w:p w:rsidR="00FD3B00" w:rsidRDefault="00876CB2">
            <w:pPr>
              <w:jc w:val="center"/>
            </w:pPr>
            <w:r>
              <w:rPr>
                <w:rFonts w:ascii="Palatino Linotype" w:eastAsia="Palatino Linotype" w:hAnsi="Palatino Linotype" w:cs="Palatino Linotype"/>
                <w:b/>
                <w:sz w:val="20"/>
                <w:szCs w:val="20"/>
              </w:rPr>
              <w:t>INFORME JUSTIFICADO</w:t>
            </w:r>
          </w:p>
        </w:tc>
      </w:tr>
      <w:tr w:rsidR="00FD3B00">
        <w:tc>
          <w:tcPr>
            <w:tcW w:w="2942" w:type="dxa"/>
            <w:shd w:val="clear" w:color="auto" w:fill="auto"/>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23.1. ¿LLEVAN A CABO LA COORDINACIÓN DE LAS ACTIVIDADES DE LOS ARCHIVOS DE TRÁMITE COMO LO ESTABLECE EL ARTÍCULO 28 FRACCIÓN IX DE LA LEY GENERAL DE ARCHIVOS?</w:t>
            </w:r>
          </w:p>
        </w:tc>
        <w:tc>
          <w:tcPr>
            <w:tcW w:w="2943" w:type="dxa"/>
            <w:shd w:val="clear" w:color="auto" w:fill="auto"/>
            <w:vAlign w:val="center"/>
          </w:tcPr>
          <w:p w:rsidR="00FD3B00" w:rsidRDefault="00876CB2">
            <w:pPr>
              <w:jc w:val="center"/>
            </w:pPr>
            <w:r>
              <w:rPr>
                <w:rFonts w:ascii="Palatino Linotype" w:eastAsia="Palatino Linotype" w:hAnsi="Palatino Linotype" w:cs="Palatino Linotype"/>
                <w:sz w:val="20"/>
                <w:szCs w:val="20"/>
              </w:rPr>
              <w:t>OMISO</w:t>
            </w:r>
          </w:p>
        </w:tc>
        <w:tc>
          <w:tcPr>
            <w:tcW w:w="2943" w:type="dxa"/>
            <w:shd w:val="clear" w:color="auto" w:fill="auto"/>
            <w:vAlign w:val="center"/>
          </w:tcPr>
          <w:p w:rsidR="00FD3B00" w:rsidRDefault="00876CB2">
            <w:pPr>
              <w:jc w:val="both"/>
            </w:pPr>
            <w:r>
              <w:rPr>
                <w:rFonts w:ascii="Palatino Linotype" w:eastAsia="Palatino Linotype" w:hAnsi="Palatino Linotype" w:cs="Palatino Linotype"/>
                <w:sz w:val="20"/>
                <w:szCs w:val="20"/>
              </w:rPr>
              <w:t>No, se está trabajando en la capacitación para realizar estas actividades.</w:t>
            </w:r>
          </w:p>
        </w:tc>
      </w:tr>
      <w:tr w:rsidR="00FD3B00">
        <w:tc>
          <w:tcPr>
            <w:tcW w:w="2942" w:type="dxa"/>
            <w:shd w:val="clear" w:color="auto" w:fill="auto"/>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23.2. ¿CUANTOS ARCHIVOS DE TRÁMITE TIENEN?</w:t>
            </w:r>
          </w:p>
        </w:tc>
        <w:tc>
          <w:tcPr>
            <w:tcW w:w="2943" w:type="dxa"/>
            <w:shd w:val="clear" w:color="auto" w:fill="auto"/>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2943" w:type="dxa"/>
            <w:shd w:val="clear" w:color="auto" w:fill="auto"/>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 está trabajando en</w:t>
            </w:r>
          </w:p>
        </w:tc>
      </w:tr>
      <w:tr w:rsidR="00FD3B00">
        <w:tc>
          <w:tcPr>
            <w:tcW w:w="2942" w:type="dxa"/>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23.3. ¿LOS RESPONSABLES DE LOS ARCHIVOS DE TRÁMITE CUENTAN CON </w:t>
            </w:r>
            <w:r>
              <w:rPr>
                <w:rFonts w:ascii="Palatino Linotype" w:eastAsia="Palatino Linotype" w:hAnsi="Palatino Linotype" w:cs="Palatino Linotype"/>
                <w:sz w:val="20"/>
                <w:szCs w:val="20"/>
              </w:rPr>
              <w:lastRenderedPageBreak/>
              <w:t>NOMBRAMIENTO POR ESCRITO COMO LO ESTABLECE EL ARTÍCULO 21 FRACCIÓN II INCISO b) Y PENÚLTIMO PÁRRAFO DEL MISMO ARTÍCULO DE LA LEY GENERAL DE ARCHIVOS Y EL ARTÍCULO NOVENO FRACCIÓN II INCISO b) PENÚLTIMO PÁRRAFO DEL MISMO ARTÍCULO DE LOS LINEAMIENTOS PARA LA ORGANIZACIÓN Y CONSERVACIÓN DE ARCHIVOS?</w:t>
            </w:r>
          </w:p>
        </w:tc>
        <w:tc>
          <w:tcPr>
            <w:tcW w:w="2943" w:type="dxa"/>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OMISO</w:t>
            </w:r>
          </w:p>
        </w:tc>
        <w:tc>
          <w:tcPr>
            <w:tcW w:w="2943" w:type="dxa"/>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r>
      <w:tr w:rsidR="00FD3B00">
        <w:tc>
          <w:tcPr>
            <w:tcW w:w="2942" w:type="dxa"/>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23.4. ¿LOS RESPONSABLES DE LOS ARCHIVOS DE TRÁMITE ESTÁN CAPACITADOS EN ARCHIVÍSTICA COMO LO ESTABLECE EL ARTÍCULO EL ARTÍCULO 30 ÚLTIMO PÁRRAFO DE LA LEY GENERAL DE ARCHIVOS Y EL ARTÍCULO SEXTO FRACCIÓN X DE LOS LINEAMIENTOS PARA LA ORGANIZACIÓN Y CONSERVACIÓN DE ARCHIVOS?</w:t>
            </w:r>
          </w:p>
        </w:tc>
        <w:tc>
          <w:tcPr>
            <w:tcW w:w="2943" w:type="dxa"/>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2943" w:type="dxa"/>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r>
      <w:tr w:rsidR="00FD3B00">
        <w:tc>
          <w:tcPr>
            <w:tcW w:w="2942" w:type="dxa"/>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23.5. ¿TIENEN ALGÚN PROGRAMA PARA COORDINAR LAS ACTIVIDADES QUE DEBEN CUMPLIR LOS ARCHIVOS DE TRÁMITE?</w:t>
            </w:r>
          </w:p>
        </w:tc>
        <w:tc>
          <w:tcPr>
            <w:tcW w:w="2943" w:type="dxa"/>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2943" w:type="dxa"/>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 está trabajando en la implementación de estos criterios para cumplir con lo que marca la Ley.</w:t>
            </w:r>
          </w:p>
        </w:tc>
      </w:tr>
      <w:tr w:rsidR="00FD3B00">
        <w:tc>
          <w:tcPr>
            <w:tcW w:w="2942" w:type="dxa"/>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23.6. EL PROGRAMA DE ATENCIÓN A LOS ARCHIVOS DE TRÁMITE DE LOS AÑOS 2019, 2020 Y 2021.</w:t>
            </w:r>
          </w:p>
        </w:tc>
        <w:tc>
          <w:tcPr>
            <w:tcW w:w="2943" w:type="dxa"/>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2943" w:type="dxa"/>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aún no se elabora el acervo documental, se está trabajando en ello. </w:t>
            </w:r>
          </w:p>
        </w:tc>
      </w:tr>
    </w:tbl>
    <w:p w:rsidR="00FD3B00" w:rsidRDefault="00876CB2">
      <w:pPr>
        <w:spacing w:before="240" w:after="240" w:line="360" w:lineRule="auto"/>
        <w:jc w:val="both"/>
        <w:rPr>
          <w:rFonts w:ascii="Palatino Linotype" w:eastAsia="Palatino Linotype" w:hAnsi="Palatino Linotype" w:cs="Palatino Linotype"/>
          <w:b/>
          <w:sz w:val="20"/>
          <w:szCs w:val="20"/>
        </w:rPr>
      </w:pPr>
      <w:r>
        <w:rPr>
          <w:rFonts w:ascii="Palatino Linotype" w:eastAsia="Palatino Linotype" w:hAnsi="Palatino Linotype" w:cs="Palatino Linotype"/>
        </w:rPr>
        <w:lastRenderedPageBreak/>
        <w:t xml:space="preserve">Respecto del punto 23.1, se tiene por atendido al haber existido un pronunciamiento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fin de dar respuesta al mismo, tomando en consideración que dicho cuestionamiento no se constituye como materia del derecho de acceso a la información, pues no se pretende acceder a un documento previamente generado, sino que la particular pretende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pronuncie en el sentido de atender lo solicitado, constituyendo un derecho de petición.</w:t>
      </w:r>
    </w:p>
    <w:p w:rsidR="00FD3B00" w:rsidRDefault="00876CB2">
      <w:pPr>
        <w:spacing w:before="120"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punto 23.2, es de señalar que el mismo quedará satisfecho con la entrega del soporte documental que sea entregado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atender el punto 11.2, a través del cual se solicitó la misma información que en el presente punto, como se demuestra a continuación:</w:t>
      </w:r>
    </w:p>
    <w:p w:rsidR="00FD3B00" w:rsidRDefault="00876CB2">
      <w:pPr>
        <w:spacing w:before="120" w:after="12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3060000" cy="215024"/>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060000" cy="215024"/>
                    </a:xfrm>
                    <a:prstGeom prst="rect">
                      <a:avLst/>
                    </a:prstGeom>
                    <a:ln/>
                  </pic:spPr>
                </pic:pic>
              </a:graphicData>
            </a:graphic>
          </wp:inline>
        </w:drawing>
      </w:r>
    </w:p>
    <w:p w:rsidR="00FD3B00" w:rsidRDefault="00876CB2">
      <w:pPr>
        <w:spacing w:before="120" w:after="12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3060000" cy="186845"/>
            <wp:effectExtent l="0" t="0" r="0" b="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3060000" cy="186845"/>
                    </a:xfrm>
                    <a:prstGeom prst="rect">
                      <a:avLst/>
                    </a:prstGeom>
                    <a:ln/>
                  </pic:spPr>
                </pic:pic>
              </a:graphicData>
            </a:graphic>
          </wp:inline>
        </w:drawing>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el punto 23.3, no hubo pronunciamiento concreto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tal sentido es de señalar que, como se desprende del artículo 21, párrafo segundo de la Ley General de Archivos y la Ley Local, así como  el Lineamiento Noveno, fracción II, inciso b) y párrafo segundo de los Lineamientos para la Organización y Conservación de Archivos, citados en el estudio del punto 11.3, en el que se requirió saber si cada archivo de trámite cuenta con un responsable, la normatividad no establece de manera precisa que el nombramiento de los responsables del archivo de trámite, hecho por el titular de cada área administrativa deba constar por escrito, sin embargo, no debe perderse de vista que de conformidad con los artículos 18 y 24, fracción XXII, de la Ley de Transparencia y Acceso a la </w:t>
      </w:r>
      <w:r>
        <w:rPr>
          <w:rFonts w:ascii="Palatino Linotype" w:eastAsia="Palatino Linotype" w:hAnsi="Palatino Linotype" w:cs="Palatino Linotype"/>
        </w:rPr>
        <w:lastRenderedPageBreak/>
        <w:t>Información Pública del Estado de México y Municipios, los Sujetos Obligados se encuentran constreñidos a documentar todo acto que derive del ejercicio de sus atribuciones, competencias o funciones, considerando la eventual publicidad de dicha información, a saber:</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Los sujetos obligados deberán </w:t>
      </w:r>
      <w:r>
        <w:rPr>
          <w:rFonts w:ascii="Palatino Linotype" w:eastAsia="Palatino Linotype" w:hAnsi="Palatino Linotype" w:cs="Palatino Linotype"/>
          <w:b/>
          <w:i/>
          <w:sz w:val="22"/>
          <w:szCs w:val="22"/>
        </w:rPr>
        <w:t>documentar todo acto que derive del ejercicio de sus facultades, competencias o funciones</w:t>
      </w:r>
      <w:r>
        <w:rPr>
          <w:rFonts w:ascii="Palatino Linotype" w:eastAsia="Palatino Linotype" w:hAnsi="Palatino Linotype" w:cs="Palatino Linotype"/>
          <w:i/>
          <w:sz w:val="22"/>
          <w:szCs w:val="22"/>
        </w:rPr>
        <w:t>, considerando desde su origen la eventual publicidad y reutilización de la información que generen.</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24</w:t>
      </w:r>
      <w:r>
        <w:rPr>
          <w:rFonts w:ascii="Palatino Linotype" w:eastAsia="Palatino Linotype" w:hAnsi="Palatino Linotype" w:cs="Palatino Linotype"/>
          <w:i/>
          <w:sz w:val="22"/>
          <w:szCs w:val="22"/>
        </w:rPr>
        <w:t>. Para el cumplimiento de los objetivos de esta Ley, los sujetos obligados deberán cumplir con las siguientes obligaciones, según corresponda, de acuerdo a su naturaleza:</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Documentar todo acto que derive del ejercicio de sus facultades, competencias o funciones</w:t>
      </w:r>
      <w:r>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esta tesitura, se considera procedente ordenar la búsqueda exhaustiva y razonable del soporte documental que dé cuenta del nombramiento o designación de los responsables del archivo de trámite de cada unidad administrativa, pudiendo ser, de manera enunciativa, más no limitativa, algún oficio o cualquier documento análogo de conformidad con el Criterio 16/17 citado con antelación, procediendo a la entrega del mismo a la particular, para tener por atendidos los requerimientos de información marcados con los numerales 11.3 y 23.3.</w:t>
      </w:r>
    </w:p>
    <w:p w:rsidR="00FD3B00" w:rsidRDefault="00876CB2">
      <w:pPr>
        <w:spacing w:before="120" w:after="120" w:line="360" w:lineRule="auto"/>
        <w:ind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rPr>
        <w:t>No obstante, si derivado de la búsqueda que se ordena, no llegara a localizar información, se deberá emitir declaratoria formal de inexistencia en los términos señalados anteriormente.</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Tocante al punto 23.4, la particular solicita saber si los responsables de los archivos de trámite  están capacitados en materia archivística como lo establece el artículo 30 último párrafo de la Ley General de Archivos y el Lineamiento Sexto, fracción X de los Lineamientos para la Organización y Conservación de los Archivos, sin embargo, es de señalar que en respuesta al punto 11.7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asumió que los servidores públicos que tienen a su cargo el archivo de trámite cuentan con los conocimientos para cumplir sus responsabilidades, asimismo, que se está trabajando para capacitar al personal de dichas áreas, determinando procedente este Organismo Garante ordenar la entrega de la evidencia de conocimientos, habilidades, competencias y experiencia archivísticos de los responsables de archivo de trámite, por lo que el presente punto se tendrá por atendido con la entrega de dicho soporte documental.</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puntos 23.5 y 23.6, es de señalar que del análisis efectuado en la normatividad aplicable no se advirtió fuente obligacional que constriña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contar concretamente con un programa para coordinar las actividades que deben cumplir los archivos de trámite o un programa de  atención a los archivos, en virtud de ni la Ley General de Archivos, ni Ley de Archivos y Administración de Documentos del Estado de México y Municipios, ni los Lineamientos para la Organización y Conservación de los Archivos, establecen que los Sujetos Obligados deban generar dichos programas, tal y como lo refiere la particular.</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no es procedente la entrega de información alguna para atender los puntos en análisis, bajo la premisa de que los Sujetos Obligados sólo deben proporcionar aquella información que hubieran generado en el ejercicio de sus atribuciones y que obre en sus archivos, de conformidad con lo establecido en el </w:t>
      </w:r>
      <w:r>
        <w:rPr>
          <w:rFonts w:ascii="Palatino Linotype" w:eastAsia="Palatino Linotype" w:hAnsi="Palatino Linotype" w:cs="Palatino Linotype"/>
        </w:rPr>
        <w:lastRenderedPageBreak/>
        <w:t>artículo 12 de la Ley de Transparencia y Acceso a la Información Pública del Estado de México y Municipios, lo que a</w:t>
      </w:r>
      <w:r>
        <w:rPr>
          <w:rFonts w:ascii="Palatino Linotype" w:eastAsia="Palatino Linotype" w:hAnsi="Palatino Linotype" w:cs="Palatino Linotype"/>
          <w:i/>
        </w:rPr>
        <w:t xml:space="preserve"> contrario sensu</w:t>
      </w:r>
      <w:r>
        <w:rPr>
          <w:rFonts w:ascii="Palatino Linotype" w:eastAsia="Palatino Linotype" w:hAnsi="Palatino Linotype" w:cs="Palatino Linotype"/>
        </w:rPr>
        <w:t xml:space="preserve"> significa que no se está obligado a proporcionar lo que no obre en sus archivos.</w:t>
      </w:r>
    </w:p>
    <w:tbl>
      <w:tblPr>
        <w:tblStyle w:val="aff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FD3B00">
        <w:tc>
          <w:tcPr>
            <w:tcW w:w="8828" w:type="dxa"/>
            <w:gridSpan w:val="3"/>
            <w:vAlign w:val="center"/>
          </w:tcPr>
          <w:p w:rsidR="00FD3B00" w:rsidRDefault="00876CB2">
            <w:pPr>
              <w:jc w:val="both"/>
            </w:pPr>
            <w:r>
              <w:rPr>
                <w:rFonts w:ascii="Palatino Linotype" w:eastAsia="Palatino Linotype" w:hAnsi="Palatino Linotype" w:cs="Palatino Linotype"/>
                <w:b/>
                <w:sz w:val="20"/>
                <w:szCs w:val="20"/>
              </w:rPr>
              <w:t>25. PRÉSTAMO DE DOCUMENTOS</w:t>
            </w:r>
          </w:p>
        </w:tc>
      </w:tr>
      <w:tr w:rsidR="00FD3B00">
        <w:tc>
          <w:tcPr>
            <w:tcW w:w="2942" w:type="dxa"/>
            <w:vAlign w:val="center"/>
          </w:tcPr>
          <w:p w:rsidR="00FD3B00" w:rsidRDefault="00876CB2">
            <w:pPr>
              <w:jc w:val="center"/>
            </w:pPr>
            <w:r>
              <w:rPr>
                <w:rFonts w:ascii="Palatino Linotype" w:eastAsia="Palatino Linotype" w:hAnsi="Palatino Linotype" w:cs="Palatino Linotype"/>
                <w:b/>
                <w:sz w:val="20"/>
                <w:szCs w:val="20"/>
              </w:rPr>
              <w:t>REQUERIMIENTO</w:t>
            </w:r>
          </w:p>
        </w:tc>
        <w:tc>
          <w:tcPr>
            <w:tcW w:w="2943" w:type="dxa"/>
            <w:vAlign w:val="center"/>
          </w:tcPr>
          <w:p w:rsidR="00FD3B00" w:rsidRDefault="00876CB2">
            <w:pPr>
              <w:jc w:val="center"/>
            </w:pPr>
            <w:r>
              <w:rPr>
                <w:rFonts w:ascii="Palatino Linotype" w:eastAsia="Palatino Linotype" w:hAnsi="Palatino Linotype" w:cs="Palatino Linotype"/>
                <w:b/>
                <w:sz w:val="20"/>
                <w:szCs w:val="20"/>
              </w:rPr>
              <w:t>RESPUESTA</w:t>
            </w:r>
          </w:p>
        </w:tc>
        <w:tc>
          <w:tcPr>
            <w:tcW w:w="2943" w:type="dxa"/>
            <w:vAlign w:val="center"/>
          </w:tcPr>
          <w:p w:rsidR="00FD3B00" w:rsidRDefault="00876CB2">
            <w:pPr>
              <w:jc w:val="center"/>
            </w:pPr>
            <w:r>
              <w:rPr>
                <w:rFonts w:ascii="Palatino Linotype" w:eastAsia="Palatino Linotype" w:hAnsi="Palatino Linotype" w:cs="Palatino Linotype"/>
                <w:b/>
                <w:sz w:val="20"/>
                <w:szCs w:val="20"/>
              </w:rPr>
              <w:t>INFORME JUSTIFICADO</w:t>
            </w:r>
          </w:p>
        </w:tc>
      </w:tr>
      <w:tr w:rsidR="00FD3B00">
        <w:tc>
          <w:tcPr>
            <w:tcW w:w="2942" w:type="dxa"/>
            <w:shd w:val="clear" w:color="auto" w:fill="auto"/>
            <w:vAlign w:val="center"/>
          </w:tcPr>
          <w:p w:rsidR="00FD3B00" w:rsidRDefault="00876CB2">
            <w:pPr>
              <w:tabs>
                <w:tab w:val="left" w:pos="8503"/>
              </w:tabs>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LINEAMIENTOS PARA LA ORGANIZACIÓN Y CONSERVACIÓN DE ARCHIVOS? </w:t>
            </w:r>
          </w:p>
        </w:tc>
        <w:tc>
          <w:tcPr>
            <w:tcW w:w="2943" w:type="dxa"/>
            <w:shd w:val="clear" w:color="auto" w:fill="auto"/>
            <w:vAlign w:val="center"/>
          </w:tcPr>
          <w:p w:rsidR="00FD3B00" w:rsidRDefault="00876CB2">
            <w:pPr>
              <w:jc w:val="center"/>
            </w:pPr>
            <w:r>
              <w:rPr>
                <w:rFonts w:ascii="Palatino Linotype" w:eastAsia="Palatino Linotype" w:hAnsi="Palatino Linotype" w:cs="Palatino Linotype"/>
                <w:sz w:val="20"/>
                <w:szCs w:val="20"/>
              </w:rPr>
              <w:t>OMISO</w:t>
            </w:r>
          </w:p>
        </w:tc>
        <w:tc>
          <w:tcPr>
            <w:tcW w:w="2943" w:type="dxa"/>
            <w:shd w:val="clear" w:color="auto" w:fill="auto"/>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aún no se elabora el acervo documental, se está trabajando en ello.</w:t>
            </w:r>
          </w:p>
        </w:tc>
      </w:tr>
    </w:tbl>
    <w:p w:rsidR="00FD3B00" w:rsidRDefault="00876CB2">
      <w:pPr>
        <w:spacing w:before="120"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este punto se tienen por atendido al haber existido un pronunciamiento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fin de dar respuesta al mismo, tomando en consideración que dicho cuestionamiento no se constituyen como materia del derecho de acceso a la información, pues no se pretende acceder a un documento previamente generado, sino que la particular pretende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pronuncie en el sentido de atender lo solicitado, constituyendo un derecho de petición.</w:t>
      </w:r>
    </w:p>
    <w:tbl>
      <w:tblPr>
        <w:tblStyle w:val="aff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FD3B00">
        <w:tc>
          <w:tcPr>
            <w:tcW w:w="8828" w:type="dxa"/>
            <w:gridSpan w:val="3"/>
            <w:vAlign w:val="center"/>
          </w:tcPr>
          <w:p w:rsidR="00FD3B00" w:rsidRDefault="00876CB2">
            <w:pPr>
              <w:jc w:val="both"/>
            </w:pPr>
            <w:r>
              <w:rPr>
                <w:rFonts w:ascii="Palatino Linotype" w:eastAsia="Palatino Linotype" w:hAnsi="Palatino Linotype" w:cs="Palatino Linotype"/>
                <w:b/>
                <w:sz w:val="20"/>
                <w:szCs w:val="20"/>
              </w:rPr>
              <w:lastRenderedPageBreak/>
              <w:t>26. DIFUSIÓN</w:t>
            </w:r>
          </w:p>
        </w:tc>
      </w:tr>
      <w:tr w:rsidR="00FD3B00">
        <w:tc>
          <w:tcPr>
            <w:tcW w:w="2942" w:type="dxa"/>
            <w:vAlign w:val="center"/>
          </w:tcPr>
          <w:p w:rsidR="00FD3B00" w:rsidRDefault="00876CB2">
            <w:pPr>
              <w:jc w:val="center"/>
            </w:pPr>
            <w:r>
              <w:rPr>
                <w:rFonts w:ascii="Palatino Linotype" w:eastAsia="Palatino Linotype" w:hAnsi="Palatino Linotype" w:cs="Palatino Linotype"/>
                <w:b/>
                <w:sz w:val="20"/>
                <w:szCs w:val="20"/>
              </w:rPr>
              <w:t>REQUERIMIENTO</w:t>
            </w:r>
          </w:p>
        </w:tc>
        <w:tc>
          <w:tcPr>
            <w:tcW w:w="2943" w:type="dxa"/>
            <w:vAlign w:val="center"/>
          </w:tcPr>
          <w:p w:rsidR="00FD3B00" w:rsidRDefault="00876CB2">
            <w:pPr>
              <w:jc w:val="center"/>
            </w:pPr>
            <w:r>
              <w:rPr>
                <w:rFonts w:ascii="Palatino Linotype" w:eastAsia="Palatino Linotype" w:hAnsi="Palatino Linotype" w:cs="Palatino Linotype"/>
                <w:b/>
                <w:sz w:val="20"/>
                <w:szCs w:val="20"/>
              </w:rPr>
              <w:t>RESPUESTA</w:t>
            </w:r>
          </w:p>
        </w:tc>
        <w:tc>
          <w:tcPr>
            <w:tcW w:w="2943" w:type="dxa"/>
            <w:vAlign w:val="center"/>
          </w:tcPr>
          <w:p w:rsidR="00FD3B00" w:rsidRDefault="00876CB2">
            <w:pPr>
              <w:jc w:val="center"/>
            </w:pPr>
            <w:r>
              <w:rPr>
                <w:rFonts w:ascii="Palatino Linotype" w:eastAsia="Palatino Linotype" w:hAnsi="Palatino Linotype" w:cs="Palatino Linotype"/>
                <w:b/>
                <w:sz w:val="20"/>
                <w:szCs w:val="20"/>
              </w:rPr>
              <w:t>INFORME JUSTIFICADO</w:t>
            </w:r>
          </w:p>
        </w:tc>
      </w:tr>
      <w:tr w:rsidR="00FD3B00">
        <w:tc>
          <w:tcPr>
            <w:tcW w:w="2942" w:type="dxa"/>
            <w:shd w:val="clear" w:color="auto" w:fill="auto"/>
            <w:vAlign w:val="center"/>
          </w:tcPr>
          <w:p w:rsidR="00FD3B00" w:rsidRDefault="00876CB2">
            <w:pPr>
              <w:tabs>
                <w:tab w:val="left" w:pos="8503"/>
              </w:tabs>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26.1. ¿LLEVAN A CABO LA DIFUSIÓN DE LOS DOCUMENTOS HISTÓRICOS COMO LO ESTABLECE EL ARTÍCULO 40 Y SUS FRACCIONES I, II Y VI DE LA LEY GENERAL DE ARCHIVOS Y EL ARTÍCULO DÉCIMO PRIMERO FRACCIÓN IV INCISO d) DE LOS LINEAMIENTOS PARA LA ORGANIZACIÓN Y CONSERVACIÓN DE ARCHIVOS? </w:t>
            </w:r>
          </w:p>
        </w:tc>
        <w:tc>
          <w:tcPr>
            <w:tcW w:w="2943" w:type="dxa"/>
            <w:shd w:val="clear" w:color="auto" w:fill="auto"/>
            <w:vAlign w:val="center"/>
          </w:tcPr>
          <w:p w:rsidR="00FD3B00" w:rsidRDefault="00876CB2">
            <w:pPr>
              <w:jc w:val="center"/>
            </w:pPr>
            <w:r>
              <w:rPr>
                <w:rFonts w:ascii="Palatino Linotype" w:eastAsia="Palatino Linotype" w:hAnsi="Palatino Linotype" w:cs="Palatino Linotype"/>
                <w:sz w:val="20"/>
                <w:szCs w:val="20"/>
              </w:rPr>
              <w:t>OMISO</w:t>
            </w:r>
          </w:p>
        </w:tc>
        <w:tc>
          <w:tcPr>
            <w:tcW w:w="2943" w:type="dxa"/>
            <w:shd w:val="clear" w:color="auto" w:fill="auto"/>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se está capacitando para realizar el cumplimiento de estos artículos.</w:t>
            </w:r>
          </w:p>
        </w:tc>
      </w:tr>
    </w:tbl>
    <w:p w:rsidR="00FD3B00" w:rsidRDefault="00876CB2">
      <w:pPr>
        <w:spacing w:before="240" w:after="240" w:line="360" w:lineRule="auto"/>
        <w:ind w:right="51"/>
        <w:rPr>
          <w:rFonts w:ascii="Palatino Linotype" w:eastAsia="Palatino Linotype" w:hAnsi="Palatino Linotype" w:cs="Palatino Linotype"/>
        </w:rPr>
      </w:pPr>
      <w:r>
        <w:rPr>
          <w:rFonts w:ascii="Palatino Linotype" w:eastAsia="Palatino Linotype" w:hAnsi="Palatino Linotype" w:cs="Palatino Linotype"/>
        </w:rPr>
        <w:t xml:space="preserve">Respecto de este punto, es oportuno traer a colación el contenido del contenido del artículo 40, fracciones I, II y IV, de la Ley General de Archivos y la Ley Local, así como el Lineamiento Décimo Primero, fracción V de los Lineamientos para la Organización y Conservación de los Archivos, a saber: </w:t>
      </w:r>
    </w:p>
    <w:p w:rsidR="00FD3B00" w:rsidRDefault="00876CB2">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40.</w:t>
      </w:r>
      <w:r>
        <w:rPr>
          <w:rFonts w:ascii="Palatino Linotype" w:eastAsia="Palatino Linotype" w:hAnsi="Palatino Linotype" w:cs="Palatino Linotype"/>
          <w:i/>
          <w:sz w:val="22"/>
          <w:szCs w:val="22"/>
        </w:rPr>
        <w:t xml:space="preserve"> Los responsables de los Archivos Históricos de los Sujetos Obligados adoptarán medidas para fomentar la preservación y difusión de los documentos con valor histórico que forman parte del Patrimonio Documental, las que incluirán:</w:t>
      </w:r>
    </w:p>
    <w:p w:rsidR="00FD3B00" w:rsidRDefault="00876CB2">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Formular políticas y estrategias archivísticas que fomenten la preservación y difusión de los Documentos Históricos;</w:t>
      </w:r>
    </w:p>
    <w:p w:rsidR="00FD3B00" w:rsidRDefault="00876CB2">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Desarrollar programas de difusión de los Documentos Históricos a través de medios digitales, de conformidad con la Ley de Gobierno Digital del Estado de México y Municipios y su Reglamento, con el fin de favorecer el acceso libre y gratuito a los contenidos culturales e informativos de la entidad;</w:t>
      </w:r>
    </w:p>
    <w:p w:rsidR="00FD3B00" w:rsidRDefault="00876CB2">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D3B00" w:rsidRDefault="00876CB2">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Implementar programas de exposiciones presenciales y virtuales para divulgar el Patrimonio Documental;”</w:t>
      </w:r>
    </w:p>
    <w:p w:rsidR="00FD3B00" w:rsidRDefault="00FD3B00">
      <w:pPr>
        <w:ind w:left="851" w:right="902"/>
        <w:jc w:val="both"/>
        <w:rPr>
          <w:rFonts w:ascii="Palatino Linotype" w:eastAsia="Palatino Linotype" w:hAnsi="Palatino Linotype" w:cs="Palatino Linotype"/>
          <w:i/>
          <w:sz w:val="22"/>
          <w:szCs w:val="22"/>
        </w:rPr>
      </w:pPr>
    </w:p>
    <w:p w:rsidR="00FD3B00" w:rsidRDefault="00876CB2">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Las funciones generales de las áreas operativas que componen el sistema institucional de archivos son las siguientes:</w:t>
      </w:r>
    </w:p>
    <w:p w:rsidR="00FD3B00" w:rsidRDefault="00876CB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FD3B00" w:rsidRDefault="00876CB2">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Responsable del Archivo histórico</w:t>
      </w:r>
      <w:r>
        <w:rPr>
          <w:rFonts w:ascii="Palatino Linotype" w:eastAsia="Palatino Linotype" w:hAnsi="Palatino Linotype" w:cs="Palatino Linotype"/>
          <w:i/>
          <w:sz w:val="22"/>
          <w:szCs w:val="22"/>
        </w:rPr>
        <w:t>:</w:t>
      </w:r>
    </w:p>
    <w:p w:rsidR="00FD3B00" w:rsidRDefault="00876CB2">
      <w:pPr>
        <w:ind w:left="1418"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FD3B00" w:rsidRDefault="00876CB2">
      <w:pPr>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Propiciar la difusión de los documentos que tiene bajo su resguardo</w:t>
      </w:r>
      <w:r>
        <w:rPr>
          <w:rFonts w:ascii="Palatino Linotype" w:eastAsia="Palatino Linotype" w:hAnsi="Palatino Linotype" w:cs="Palatino Linotype"/>
          <w:i/>
          <w:sz w:val="22"/>
          <w:szCs w:val="22"/>
        </w:rPr>
        <w:t>;</w:t>
      </w:r>
    </w:p>
    <w:p w:rsidR="00FD3B00" w:rsidRDefault="00876CB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Como se advierte, la difusión del patrimonio documental del archivo histórico es una obligación que les impone la Ley a los entes públicos, para lo cual deben formular políticas y estrategias archivísticas para fomentar la difusión de los documentos históricos, así como implementar programas de exposiciones presenciales y virtuales para divulgar el patrimonio documental, entre otras actividades, tal y como quedó acreditado en el estudio del punto 13.3.</w:t>
      </w:r>
    </w:p>
    <w:p w:rsidR="00FD3B00" w:rsidRDefault="00876CB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este contexto, el requerimiento en estudio se tendrá por atendido con la entrega de los programas o actividades tendentes a realizar la difusión del acervo documental del archivo histórico.</w:t>
      </w:r>
    </w:p>
    <w:tbl>
      <w:tblPr>
        <w:tblStyle w:val="aff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FD3B00">
        <w:tc>
          <w:tcPr>
            <w:tcW w:w="8828" w:type="dxa"/>
            <w:gridSpan w:val="3"/>
            <w:vAlign w:val="center"/>
          </w:tcPr>
          <w:p w:rsidR="00FD3B00" w:rsidRDefault="00876CB2">
            <w:pPr>
              <w:jc w:val="both"/>
            </w:pPr>
            <w:r>
              <w:rPr>
                <w:rFonts w:ascii="Palatino Linotype" w:eastAsia="Palatino Linotype" w:hAnsi="Palatino Linotype" w:cs="Palatino Linotype"/>
                <w:b/>
                <w:sz w:val="20"/>
                <w:szCs w:val="20"/>
              </w:rPr>
              <w:t>27. SEGURIDAD EN LOS ARCHIVOS</w:t>
            </w:r>
          </w:p>
        </w:tc>
      </w:tr>
      <w:tr w:rsidR="00FD3B00">
        <w:tc>
          <w:tcPr>
            <w:tcW w:w="2942" w:type="dxa"/>
            <w:vAlign w:val="center"/>
          </w:tcPr>
          <w:p w:rsidR="00FD3B00" w:rsidRDefault="00876CB2">
            <w:pPr>
              <w:jc w:val="center"/>
            </w:pPr>
            <w:r>
              <w:rPr>
                <w:rFonts w:ascii="Palatino Linotype" w:eastAsia="Palatino Linotype" w:hAnsi="Palatino Linotype" w:cs="Palatino Linotype"/>
                <w:b/>
                <w:sz w:val="20"/>
                <w:szCs w:val="20"/>
              </w:rPr>
              <w:t>REQUERIMIENTO</w:t>
            </w:r>
          </w:p>
        </w:tc>
        <w:tc>
          <w:tcPr>
            <w:tcW w:w="2943" w:type="dxa"/>
            <w:vAlign w:val="center"/>
          </w:tcPr>
          <w:p w:rsidR="00FD3B00" w:rsidRDefault="00876CB2">
            <w:pPr>
              <w:jc w:val="center"/>
            </w:pPr>
            <w:r>
              <w:rPr>
                <w:rFonts w:ascii="Palatino Linotype" w:eastAsia="Palatino Linotype" w:hAnsi="Palatino Linotype" w:cs="Palatino Linotype"/>
                <w:b/>
                <w:sz w:val="20"/>
                <w:szCs w:val="20"/>
              </w:rPr>
              <w:t>RESPUESTA</w:t>
            </w:r>
          </w:p>
        </w:tc>
        <w:tc>
          <w:tcPr>
            <w:tcW w:w="2943" w:type="dxa"/>
            <w:vAlign w:val="center"/>
          </w:tcPr>
          <w:p w:rsidR="00FD3B00" w:rsidRDefault="00876CB2">
            <w:pPr>
              <w:jc w:val="center"/>
            </w:pPr>
            <w:r>
              <w:rPr>
                <w:rFonts w:ascii="Palatino Linotype" w:eastAsia="Palatino Linotype" w:hAnsi="Palatino Linotype" w:cs="Palatino Linotype"/>
                <w:b/>
                <w:sz w:val="20"/>
                <w:szCs w:val="20"/>
              </w:rPr>
              <w:t>INFORME JUSTIFICADO</w:t>
            </w:r>
          </w:p>
        </w:tc>
      </w:tr>
      <w:tr w:rsidR="00FD3B00">
        <w:tc>
          <w:tcPr>
            <w:tcW w:w="2942" w:type="dxa"/>
            <w:shd w:val="clear" w:color="auto" w:fill="auto"/>
            <w:vAlign w:val="center"/>
          </w:tcPr>
          <w:p w:rsidR="00FD3B00" w:rsidRDefault="00876CB2">
            <w:pPr>
              <w:tabs>
                <w:tab w:val="left" w:pos="8503"/>
              </w:tabs>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 </w:t>
            </w:r>
          </w:p>
        </w:tc>
        <w:tc>
          <w:tcPr>
            <w:tcW w:w="2943" w:type="dxa"/>
            <w:shd w:val="clear" w:color="auto" w:fill="auto"/>
            <w:vAlign w:val="center"/>
          </w:tcPr>
          <w:p w:rsidR="00FD3B00" w:rsidRDefault="00876CB2">
            <w:pPr>
              <w:jc w:val="center"/>
            </w:pPr>
            <w:r>
              <w:rPr>
                <w:rFonts w:ascii="Palatino Linotype" w:eastAsia="Palatino Linotype" w:hAnsi="Palatino Linotype" w:cs="Palatino Linotype"/>
                <w:sz w:val="20"/>
                <w:szCs w:val="20"/>
              </w:rPr>
              <w:t>OMISO</w:t>
            </w:r>
          </w:p>
        </w:tc>
        <w:tc>
          <w:tcPr>
            <w:tcW w:w="2943" w:type="dxa"/>
            <w:shd w:val="clear" w:color="auto" w:fill="auto"/>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en la presente administración se está trabajando para implementar la supervisión de la seguridad.</w:t>
            </w:r>
          </w:p>
        </w:tc>
      </w:tr>
    </w:tbl>
    <w:p w:rsidR="00FD3B00" w:rsidRDefault="00876CB2">
      <w:pPr>
        <w:spacing w:before="240" w:after="240" w:line="360" w:lineRule="auto"/>
        <w:jc w:val="both"/>
        <w:rPr>
          <w:rFonts w:ascii="Palatino Linotype" w:eastAsia="Palatino Linotype" w:hAnsi="Palatino Linotype" w:cs="Palatino Linotype"/>
          <w:b/>
          <w:sz w:val="20"/>
          <w:szCs w:val="20"/>
        </w:rPr>
      </w:pPr>
      <w:r>
        <w:rPr>
          <w:rFonts w:ascii="Palatino Linotype" w:eastAsia="Palatino Linotype" w:hAnsi="Palatino Linotype" w:cs="Palatino Linotype"/>
        </w:rPr>
        <w:lastRenderedPageBreak/>
        <w:t xml:space="preserve">Respecto de este punto se tienen por atendido al haber existido un pronunciamiento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fin de dar respuesta al mismo, tomando en consideración que dicho cuestionamiento no se constituyen como materia del derecho de acceso a la información, pues no se pretende acceder a un documento previamente generado, sino que la particular pretende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pronuncie en el sentido de atender lo solicitado, constituyendo un derecho de petición.</w:t>
      </w:r>
    </w:p>
    <w:tbl>
      <w:tblPr>
        <w:tblStyle w:val="aff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FD3B00">
        <w:tc>
          <w:tcPr>
            <w:tcW w:w="8828" w:type="dxa"/>
            <w:gridSpan w:val="3"/>
            <w:vAlign w:val="center"/>
          </w:tcPr>
          <w:p w:rsidR="00FD3B00" w:rsidRDefault="00876CB2">
            <w:pPr>
              <w:tabs>
                <w:tab w:val="left" w:pos="1860"/>
              </w:tabs>
              <w:jc w:val="both"/>
            </w:pPr>
            <w:r>
              <w:rPr>
                <w:rFonts w:ascii="Palatino Linotype" w:eastAsia="Palatino Linotype" w:hAnsi="Palatino Linotype" w:cs="Palatino Linotype"/>
                <w:b/>
                <w:sz w:val="20"/>
                <w:szCs w:val="20"/>
              </w:rPr>
              <w:t xml:space="preserve">29. REGISTRO ESTATAL DE ARCHIVOS </w:t>
            </w:r>
          </w:p>
        </w:tc>
      </w:tr>
      <w:tr w:rsidR="00FD3B00">
        <w:tc>
          <w:tcPr>
            <w:tcW w:w="2702" w:type="dxa"/>
            <w:vAlign w:val="center"/>
          </w:tcPr>
          <w:p w:rsidR="00FD3B00" w:rsidRDefault="00876CB2">
            <w:pPr>
              <w:jc w:val="center"/>
            </w:pPr>
            <w:r>
              <w:rPr>
                <w:rFonts w:ascii="Palatino Linotype" w:eastAsia="Palatino Linotype" w:hAnsi="Palatino Linotype" w:cs="Palatino Linotype"/>
                <w:b/>
                <w:sz w:val="20"/>
                <w:szCs w:val="20"/>
              </w:rPr>
              <w:t>REQUERIMIENTO</w:t>
            </w:r>
          </w:p>
        </w:tc>
        <w:tc>
          <w:tcPr>
            <w:tcW w:w="2571" w:type="dxa"/>
            <w:vAlign w:val="center"/>
          </w:tcPr>
          <w:p w:rsidR="00FD3B00" w:rsidRDefault="00876CB2">
            <w:pPr>
              <w:jc w:val="center"/>
            </w:pPr>
            <w:r>
              <w:rPr>
                <w:rFonts w:ascii="Palatino Linotype" w:eastAsia="Palatino Linotype" w:hAnsi="Palatino Linotype" w:cs="Palatino Linotype"/>
                <w:b/>
                <w:sz w:val="20"/>
                <w:szCs w:val="20"/>
              </w:rPr>
              <w:t>RESPUESTA</w:t>
            </w:r>
          </w:p>
        </w:tc>
        <w:tc>
          <w:tcPr>
            <w:tcW w:w="3555" w:type="dxa"/>
            <w:vAlign w:val="center"/>
          </w:tcPr>
          <w:p w:rsidR="00FD3B00" w:rsidRDefault="00876CB2">
            <w:pPr>
              <w:jc w:val="center"/>
            </w:pPr>
            <w:r>
              <w:rPr>
                <w:rFonts w:ascii="Palatino Linotype" w:eastAsia="Palatino Linotype" w:hAnsi="Palatino Linotype" w:cs="Palatino Linotype"/>
                <w:b/>
                <w:sz w:val="20"/>
                <w:szCs w:val="20"/>
              </w:rPr>
              <w:t>INFORME JUSTIFICADO</w:t>
            </w:r>
          </w:p>
        </w:tc>
      </w:tr>
      <w:tr w:rsidR="00FD3B00">
        <w:tc>
          <w:tcPr>
            <w:tcW w:w="2702" w:type="dxa"/>
            <w:shd w:val="clear" w:color="auto" w:fill="auto"/>
            <w:vAlign w:val="center"/>
          </w:tcPr>
          <w:p w:rsidR="00FD3B00" w:rsidRDefault="00876CB2">
            <w:pPr>
              <w:jc w:val="both"/>
            </w:pPr>
            <w:r>
              <w:rPr>
                <w:rFonts w:ascii="Palatino Linotype" w:eastAsia="Palatino Linotype" w:hAnsi="Palatino Linotype" w:cs="Palatino Linotype"/>
                <w:sz w:val="20"/>
                <w:szCs w:val="20"/>
              </w:rPr>
              <w:t>29.1. ¿LLEVARON A CABO EL REGISTRO ESTATAL DE ARCHIVOS EN LOS AÑOS 2019, 2020 Y 2021?</w:t>
            </w:r>
          </w:p>
        </w:tc>
        <w:tc>
          <w:tcPr>
            <w:tcW w:w="2571" w:type="dxa"/>
            <w:shd w:val="clear" w:color="auto" w:fill="auto"/>
            <w:vAlign w:val="center"/>
          </w:tcPr>
          <w:p w:rsidR="00FD3B00" w:rsidRDefault="00876CB2">
            <w:pPr>
              <w:jc w:val="center"/>
            </w:pPr>
            <w:r>
              <w:rPr>
                <w:rFonts w:ascii="Palatino Linotype" w:eastAsia="Palatino Linotype" w:hAnsi="Palatino Linotype" w:cs="Palatino Linotype"/>
                <w:sz w:val="20"/>
                <w:szCs w:val="20"/>
              </w:rPr>
              <w:t>OMISO</w:t>
            </w:r>
          </w:p>
        </w:tc>
        <w:tc>
          <w:tcPr>
            <w:tcW w:w="3555" w:type="dxa"/>
            <w:shd w:val="clear" w:color="auto" w:fill="auto"/>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Después de una búsqueda exhaustiva no se cuenta con esa información.</w:t>
            </w:r>
          </w:p>
        </w:tc>
      </w:tr>
      <w:tr w:rsidR="00FD3B00">
        <w:tc>
          <w:tcPr>
            <w:tcW w:w="2702" w:type="dxa"/>
            <w:shd w:val="clear" w:color="auto" w:fill="auto"/>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29.2 ¿CUANTOS ARCHIVOS DE TRÁMITE HICIERON SU REGISTRO ESTATAL EN LOS AÑOS</w:t>
            </w:r>
            <w:r>
              <w:rPr>
                <w:rFonts w:ascii="Palatino Linotype" w:eastAsia="Palatino Linotype" w:hAnsi="Palatino Linotype" w:cs="Palatino Linotype"/>
                <w:sz w:val="20"/>
                <w:szCs w:val="20"/>
                <w:shd w:val="clear" w:color="auto" w:fill="B7B7B7"/>
              </w:rPr>
              <w:t xml:space="preserve"> </w:t>
            </w:r>
            <w:r>
              <w:rPr>
                <w:rFonts w:ascii="Palatino Linotype" w:eastAsia="Palatino Linotype" w:hAnsi="Palatino Linotype" w:cs="Palatino Linotype"/>
                <w:sz w:val="20"/>
                <w:szCs w:val="20"/>
              </w:rPr>
              <w:t>2019, 2020 Y 2021?</w:t>
            </w:r>
          </w:p>
        </w:tc>
        <w:tc>
          <w:tcPr>
            <w:tcW w:w="2571" w:type="dxa"/>
            <w:shd w:val="clear" w:color="auto" w:fill="auto"/>
            <w:vAlign w:val="center"/>
          </w:tcPr>
          <w:p w:rsidR="00FD3B00" w:rsidRDefault="00876CB2">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OMISO</w:t>
            </w:r>
          </w:p>
        </w:tc>
        <w:tc>
          <w:tcPr>
            <w:tcW w:w="3555" w:type="dxa"/>
            <w:shd w:val="clear" w:color="auto" w:fill="auto"/>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se encontró información de esa índole en la documentación entregada en la administración pasada.</w:t>
            </w:r>
          </w:p>
        </w:tc>
      </w:tr>
    </w:tbl>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 señalar que la Encargada de Archivo Municipal, informó en la etapa de manifestaciones, que no cuenta con la información derivado de la búsqueda exhaustiva realizada, pues no se encontró información en la documentación entregada en la administración pasada.</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sentido, es oportuno traer a colación el contenido de los artículos 11, fracción IV, 75, 76, 77 y 78 de la Ley de Archivos y Administración de Documentos del Estado de México y Municipios, que disponen lo siguiente:</w:t>
      </w:r>
    </w:p>
    <w:p w:rsidR="00FD3B00" w:rsidRDefault="00876CB2">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11</w:t>
      </w:r>
      <w:r>
        <w:rPr>
          <w:rFonts w:ascii="Palatino Linotype" w:eastAsia="Palatino Linotype" w:hAnsi="Palatino Linotype" w:cs="Palatino Linotype"/>
          <w:i/>
          <w:sz w:val="22"/>
          <w:szCs w:val="22"/>
        </w:rPr>
        <w:t>. Los Sujetos Obligados deberán:</w:t>
      </w:r>
    </w:p>
    <w:p w:rsidR="00FD3B00" w:rsidRDefault="00876CB2">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D3B00" w:rsidRDefault="00876CB2">
      <w:pPr>
        <w:widowControl w:val="0"/>
        <w:ind w:left="1134"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Inscribir en el Registro Estatal</w:t>
      </w:r>
      <w:r>
        <w:rPr>
          <w:rFonts w:ascii="Palatino Linotype" w:eastAsia="Palatino Linotype" w:hAnsi="Palatino Linotype" w:cs="Palatino Linotype"/>
          <w:i/>
          <w:sz w:val="22"/>
          <w:szCs w:val="22"/>
        </w:rPr>
        <w:t>, la existencia y ubicación de Archivos bajo su resguardo;</w:t>
      </w:r>
    </w:p>
    <w:p w:rsidR="00FD3B00" w:rsidRDefault="00876CB2">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FD3B00" w:rsidRDefault="00FD3B00">
      <w:pPr>
        <w:widowControl w:val="0"/>
        <w:ind w:left="850" w:right="901"/>
        <w:jc w:val="both"/>
        <w:rPr>
          <w:rFonts w:ascii="Palatino Linotype" w:eastAsia="Palatino Linotype" w:hAnsi="Palatino Linotype" w:cs="Palatino Linotype"/>
          <w:i/>
          <w:sz w:val="22"/>
          <w:szCs w:val="22"/>
        </w:rPr>
      </w:pPr>
    </w:p>
    <w:p w:rsidR="00FD3B00" w:rsidRDefault="00876CB2">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75</w:t>
      </w:r>
      <w:r>
        <w:rPr>
          <w:rFonts w:ascii="Palatino Linotype" w:eastAsia="Palatino Linotype" w:hAnsi="Palatino Linotype" w:cs="Palatino Linotype"/>
          <w:i/>
          <w:sz w:val="22"/>
          <w:szCs w:val="22"/>
        </w:rPr>
        <w:t xml:space="preserve">. El Sistema Estatal contará con el Registro Estatal, cuyo objeto es obtener y concentrar información sobre los sistemas institucionales y los Archivos Privados de Interés Público, así como difundir el Patrimonio Documental resguardado en sus Archivos, el cual será administrado por el Archivo General del Estado. </w:t>
      </w:r>
    </w:p>
    <w:p w:rsidR="00FD3B00" w:rsidRDefault="00FD3B00">
      <w:pPr>
        <w:widowControl w:val="0"/>
        <w:ind w:left="850" w:right="901"/>
        <w:jc w:val="both"/>
        <w:rPr>
          <w:rFonts w:ascii="Palatino Linotype" w:eastAsia="Palatino Linotype" w:hAnsi="Palatino Linotype" w:cs="Palatino Linotype"/>
          <w:i/>
          <w:sz w:val="22"/>
          <w:szCs w:val="22"/>
        </w:rPr>
      </w:pPr>
    </w:p>
    <w:p w:rsidR="00FD3B00" w:rsidRDefault="00876CB2">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76. La inscripción al Registro Estatal </w:t>
      </w:r>
      <w:r>
        <w:rPr>
          <w:rFonts w:ascii="Palatino Linotype" w:eastAsia="Palatino Linotype" w:hAnsi="Palatino Linotype" w:cs="Palatino Linotype"/>
          <w:b/>
          <w:i/>
          <w:sz w:val="22"/>
          <w:szCs w:val="22"/>
          <w:u w:val="single"/>
        </w:rPr>
        <w:t>es obligatoria para los Sujetos Obligado</w:t>
      </w:r>
      <w:r>
        <w:rPr>
          <w:rFonts w:ascii="Palatino Linotype" w:eastAsia="Palatino Linotype" w:hAnsi="Palatino Linotype" w:cs="Palatino Linotype"/>
          <w:b/>
          <w:i/>
          <w:sz w:val="22"/>
          <w:szCs w:val="22"/>
        </w:rPr>
        <w:t>s</w:t>
      </w:r>
      <w:r>
        <w:rPr>
          <w:rFonts w:ascii="Palatino Linotype" w:eastAsia="Palatino Linotype" w:hAnsi="Palatino Linotype" w:cs="Palatino Linotype"/>
          <w:i/>
          <w:sz w:val="22"/>
          <w:szCs w:val="22"/>
        </w:rPr>
        <w:t xml:space="preserve"> y para los propietarios o poseedores de Archivos Privados de Interés Público, quienes deberán actualizar anualmente la información requerida en dicho Registro Estatal, de conformidad con las disposiciones que para tal efecto emita el Consejo Estatal. </w:t>
      </w:r>
    </w:p>
    <w:p w:rsidR="00FD3B00" w:rsidRDefault="00FD3B00">
      <w:pPr>
        <w:widowControl w:val="0"/>
        <w:ind w:left="850" w:right="901"/>
        <w:jc w:val="both"/>
        <w:rPr>
          <w:rFonts w:ascii="Palatino Linotype" w:eastAsia="Palatino Linotype" w:hAnsi="Palatino Linotype" w:cs="Palatino Linotype"/>
          <w:i/>
          <w:sz w:val="22"/>
          <w:szCs w:val="22"/>
        </w:rPr>
      </w:pPr>
    </w:p>
    <w:p w:rsidR="00FD3B00" w:rsidRDefault="00876CB2">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77</w:t>
      </w:r>
      <w:r>
        <w:rPr>
          <w:rFonts w:ascii="Palatino Linotype" w:eastAsia="Palatino Linotype" w:hAnsi="Palatino Linotype" w:cs="Palatino Linotype"/>
          <w:i/>
          <w:sz w:val="22"/>
          <w:szCs w:val="22"/>
        </w:rPr>
        <w:t xml:space="preserve">. El Registro Estatal será administrado por el Archivo General del Estado; su organización y funcionamiento serán de acuerdo con las disposiciones que emita el propio Consejo Estatal. </w:t>
      </w:r>
    </w:p>
    <w:p w:rsidR="00FD3B00" w:rsidRDefault="00FD3B00">
      <w:pPr>
        <w:widowControl w:val="0"/>
        <w:ind w:left="850" w:right="901"/>
        <w:jc w:val="both"/>
        <w:rPr>
          <w:rFonts w:ascii="Palatino Linotype" w:eastAsia="Palatino Linotype" w:hAnsi="Palatino Linotype" w:cs="Palatino Linotype"/>
          <w:i/>
          <w:sz w:val="22"/>
          <w:szCs w:val="22"/>
        </w:rPr>
      </w:pPr>
    </w:p>
    <w:p w:rsidR="00FD3B00" w:rsidRDefault="00876CB2">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78</w:t>
      </w:r>
      <w:r>
        <w:rPr>
          <w:rFonts w:ascii="Palatino Linotype" w:eastAsia="Palatino Linotype" w:hAnsi="Palatino Linotype" w:cs="Palatino Linotype"/>
          <w:i/>
          <w:sz w:val="22"/>
          <w:szCs w:val="22"/>
        </w:rPr>
        <w:t xml:space="preserve">. Para la operación del Registro Estatal, el </w:t>
      </w:r>
      <w:r>
        <w:rPr>
          <w:rFonts w:ascii="Palatino Linotype" w:eastAsia="Palatino Linotype" w:hAnsi="Palatino Linotype" w:cs="Palatino Linotype"/>
          <w:b/>
          <w:i/>
          <w:sz w:val="22"/>
          <w:szCs w:val="22"/>
        </w:rPr>
        <w:t xml:space="preserve">Archivo General del Estado </w:t>
      </w:r>
      <w:r>
        <w:rPr>
          <w:rFonts w:ascii="Palatino Linotype" w:eastAsia="Palatino Linotype" w:hAnsi="Palatino Linotype" w:cs="Palatino Linotype"/>
          <w:i/>
          <w:sz w:val="22"/>
          <w:szCs w:val="22"/>
        </w:rPr>
        <w:t xml:space="preserve">pondrá a disposición de los Sujetos Obligados y de los particulares, propietarios o poseedores de Archivos Privados de Interés Público, </w:t>
      </w:r>
      <w:r>
        <w:rPr>
          <w:rFonts w:ascii="Palatino Linotype" w:eastAsia="Palatino Linotype" w:hAnsi="Palatino Linotype" w:cs="Palatino Linotype"/>
          <w:b/>
          <w:i/>
          <w:sz w:val="22"/>
          <w:szCs w:val="22"/>
        </w:rPr>
        <w:t>una aplicación informática, página de Internet o portal electrónico que les permita registrar y mantener actualizada la información</w:t>
      </w:r>
      <w:r>
        <w:rPr>
          <w:rFonts w:ascii="Palatino Linotype" w:eastAsia="Palatino Linotype" w:hAnsi="Palatino Linotype" w:cs="Palatino Linotype"/>
          <w:i/>
          <w:sz w:val="22"/>
          <w:szCs w:val="22"/>
        </w:rPr>
        <w:t>, de conformidad con lo establecido en la presente Ley.</w:t>
      </w:r>
    </w:p>
    <w:p w:rsidR="00FD3B00" w:rsidRDefault="00FD3B00">
      <w:pPr>
        <w:widowControl w:val="0"/>
        <w:ind w:left="850" w:right="901"/>
        <w:jc w:val="both"/>
        <w:rPr>
          <w:rFonts w:ascii="Palatino Linotype" w:eastAsia="Palatino Linotype" w:hAnsi="Palatino Linotype" w:cs="Palatino Linotype"/>
          <w:i/>
          <w:sz w:val="22"/>
          <w:szCs w:val="22"/>
        </w:rPr>
      </w:pPr>
    </w:p>
    <w:p w:rsidR="00FD3B00" w:rsidRDefault="00876CB2">
      <w:pPr>
        <w:widowControl w:val="0"/>
        <w:ind w:left="850" w:right="901"/>
        <w:jc w:val="both"/>
        <w:rPr>
          <w:rFonts w:ascii="Palatino Linotype" w:eastAsia="Palatino Linotype" w:hAnsi="Palatino Linotype" w:cs="Palatino Linotype"/>
        </w:rPr>
      </w:pPr>
      <w:r>
        <w:rPr>
          <w:rFonts w:ascii="Palatino Linotype" w:eastAsia="Palatino Linotype" w:hAnsi="Palatino Linotype" w:cs="Palatino Linotype"/>
          <w:i/>
          <w:sz w:val="22"/>
          <w:szCs w:val="22"/>
        </w:rPr>
        <w:t>La información del Registro Estatal será de acceso público y de consulta gratuita, disponible a través del portal electrónico del Archivo General del Estado.”</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citados se desprende que, al igual que el Registro Nacional de Archivos, es obligatoria la inscripción al Registro Estatal para los Sujetos Obligados, sin embargo, no debe perderse de vista que dicha normatividad entró en vigor el veintiséis de noviembre de dos mil veintiuno, asimismo, que la actualización anual en dicho registro debe efectuarse conforme las disposiciones que emita el Comité Estatal de Archivos y Administración de Documentos; Órgano que debe comenzar a sesionar a más el veintiséis de mayo del presente año, es decir, seis meses </w:t>
      </w:r>
      <w:r>
        <w:rPr>
          <w:rFonts w:ascii="Palatino Linotype" w:eastAsia="Palatino Linotype" w:hAnsi="Palatino Linotype" w:cs="Palatino Linotype"/>
        </w:rPr>
        <w:lastRenderedPageBreak/>
        <w:t>posteriores a la entrada en vigor de la referida Ley, según se lee en el Transitorio SÉPTIMO, a saber:</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El</w:t>
      </w:r>
      <w:r>
        <w:rPr>
          <w:rFonts w:ascii="Palatino Linotype" w:eastAsia="Palatino Linotype" w:hAnsi="Palatino Linotype" w:cs="Palatino Linotype"/>
          <w:b/>
          <w:i/>
          <w:sz w:val="22"/>
          <w:szCs w:val="22"/>
        </w:rPr>
        <w:t xml:space="preserve"> Consejo Estatal</w:t>
      </w:r>
      <w:r>
        <w:rPr>
          <w:rFonts w:ascii="Palatino Linotype" w:eastAsia="Palatino Linotype" w:hAnsi="Palatino Linotype" w:cs="Palatino Linotype"/>
          <w:i/>
          <w:sz w:val="22"/>
          <w:szCs w:val="22"/>
        </w:rPr>
        <w:t xml:space="preserve"> deberá integrarse dentro de los siguientes tres meses a partir de la entrada en vigor de la presente Ley, y elaborar su Reglamento en los seis meses subsecuentes. Asimismo, </w:t>
      </w:r>
      <w:r>
        <w:rPr>
          <w:rFonts w:ascii="Palatino Linotype" w:eastAsia="Palatino Linotype" w:hAnsi="Palatino Linotype" w:cs="Palatino Linotype"/>
          <w:b/>
          <w:i/>
          <w:sz w:val="22"/>
          <w:szCs w:val="22"/>
        </w:rPr>
        <w:t>comenzará a sesionar dentro de los seis meses posteriores a la entrada en vigor</w:t>
      </w:r>
      <w:r>
        <w:rPr>
          <w:rFonts w:ascii="Palatino Linotype" w:eastAsia="Palatino Linotype" w:hAnsi="Palatino Linotype" w:cs="Palatino Linotype"/>
          <w:i/>
          <w:sz w:val="22"/>
          <w:szCs w:val="22"/>
        </w:rPr>
        <w:t xml:space="preserve"> de la presente Ley.”</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es evidente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puede contar con información que satisfaga la solicitud respecto de los ejercicios 2019 y 2020.</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Sin embargo, respecto del ejercicio 2021, de conformidad con el artículo 78 de la Ley Local, el Archivo General del Estado, como Órgano desconcentrado de la Subsecretaria de Administración de la Secretaría de Finanzas, cuenta con una plataforma de internet</w:t>
      </w:r>
      <w:r>
        <w:rPr>
          <w:rFonts w:ascii="Palatino Linotype" w:eastAsia="Palatino Linotype" w:hAnsi="Palatino Linotype" w:cs="Palatino Linotype"/>
          <w:vertAlign w:val="superscript"/>
        </w:rPr>
        <w:footnoteReference w:id="7"/>
      </w:r>
      <w:r>
        <w:rPr>
          <w:rFonts w:ascii="Palatino Linotype" w:eastAsia="Palatino Linotype" w:hAnsi="Palatino Linotype" w:cs="Palatino Linotype"/>
        </w:rPr>
        <w:t xml:space="preserve"> que permite registrar y mantener actualizada la información del Registro Estatal, como se muestra a continuación:</w:t>
      </w:r>
    </w:p>
    <w:p w:rsidR="00FD3B00" w:rsidRDefault="00876CB2">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3240000" cy="2815090"/>
            <wp:effectExtent l="0" t="0" r="0" b="0"/>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240000" cy="2815090"/>
                    </a:xfrm>
                    <a:prstGeom prst="rect">
                      <a:avLst/>
                    </a:prstGeom>
                    <a:ln/>
                  </pic:spPr>
                </pic:pic>
              </a:graphicData>
            </a:graphic>
          </wp:inline>
        </w:drawing>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no obsta mencionar que el registro se efectúa por unidad administrativa, como se ilustra a continuación:</w:t>
      </w:r>
    </w:p>
    <w:p w:rsidR="00FD3B00" w:rsidRDefault="00876CB2">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3240000" cy="2302318"/>
            <wp:effectExtent l="0" t="0" r="0" b="0"/>
            <wp:docPr id="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3240000" cy="2302318"/>
                    </a:xfrm>
                    <a:prstGeom prst="rect">
                      <a:avLst/>
                    </a:prstGeom>
                    <a:ln/>
                  </pic:spPr>
                </pic:pic>
              </a:graphicData>
            </a:graphic>
          </wp:inline>
        </w:drawing>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es importante mencionar que el plazo límite para requisitar el Registro Estatal de archivos en el sistema informático, transcurrió del 16 de noviembre al 22 de diciembre de 2021, como se desprende de la pregunta 5 del apartado de preguntas frecuentes:</w:t>
      </w:r>
    </w:p>
    <w:p w:rsidR="00FD3B00" w:rsidRDefault="00876CB2">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4680000" cy="548259"/>
            <wp:effectExtent l="0" t="0" r="0" b="0"/>
            <wp:docPr id="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4680000" cy="548259"/>
                    </a:xfrm>
                    <a:prstGeom prst="rect">
                      <a:avLst/>
                    </a:prstGeom>
                    <a:ln/>
                  </pic:spPr>
                </pic:pic>
              </a:graphicData>
            </a:graphic>
          </wp:inline>
        </w:drawing>
      </w:r>
    </w:p>
    <w:p w:rsidR="00FD3B00" w:rsidRDefault="00876CB2">
      <w:pPr>
        <w:spacing w:before="120" w:after="120" w:line="360" w:lineRule="auto"/>
        <w:ind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rPr>
        <w:t>En tal sentido, tomando en consideración el pronunciamiento  vertido por la Encargada de Archivo Municipal, se estima procedente ordenar la entrega de la  declaratoria formal de inexistencia en los términos señalados anteriormente.</w:t>
      </w:r>
    </w:p>
    <w:tbl>
      <w:tblPr>
        <w:tblStyle w:val="aff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FD3B00">
        <w:tc>
          <w:tcPr>
            <w:tcW w:w="8828" w:type="dxa"/>
            <w:gridSpan w:val="3"/>
            <w:vAlign w:val="center"/>
          </w:tcPr>
          <w:p w:rsidR="00FD3B00" w:rsidRDefault="00876CB2">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30. ENTREGA-RECEPCIÓN DE ARCHIVOS </w:t>
            </w:r>
          </w:p>
          <w:p w:rsidR="00FD3B00" w:rsidRDefault="00876CB2">
            <w:pPr>
              <w:tabs>
                <w:tab w:val="left" w:pos="8503"/>
              </w:tabs>
              <w:spacing w:before="120" w:after="120"/>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CONFORME LO ESTABLECIDO EN EL ARTÍCULO EL ARTÍCULO 10 PÁRRAFO SEGUNDO Y 17 DE LA LEY GENERAL DE ARCHIVOS</w:t>
            </w:r>
          </w:p>
        </w:tc>
      </w:tr>
      <w:tr w:rsidR="00FD3B00">
        <w:tc>
          <w:tcPr>
            <w:tcW w:w="2702" w:type="dxa"/>
            <w:vAlign w:val="center"/>
          </w:tcPr>
          <w:p w:rsidR="00FD3B00" w:rsidRDefault="00876CB2">
            <w:pPr>
              <w:jc w:val="center"/>
            </w:pPr>
            <w:r>
              <w:rPr>
                <w:rFonts w:ascii="Palatino Linotype" w:eastAsia="Palatino Linotype" w:hAnsi="Palatino Linotype" w:cs="Palatino Linotype"/>
                <w:b/>
                <w:sz w:val="20"/>
                <w:szCs w:val="20"/>
              </w:rPr>
              <w:t>REQUERIMIENTO</w:t>
            </w:r>
          </w:p>
        </w:tc>
        <w:tc>
          <w:tcPr>
            <w:tcW w:w="2571" w:type="dxa"/>
            <w:vAlign w:val="center"/>
          </w:tcPr>
          <w:p w:rsidR="00FD3B00" w:rsidRDefault="00876CB2">
            <w:pPr>
              <w:jc w:val="center"/>
            </w:pPr>
            <w:r>
              <w:rPr>
                <w:rFonts w:ascii="Palatino Linotype" w:eastAsia="Palatino Linotype" w:hAnsi="Palatino Linotype" w:cs="Palatino Linotype"/>
                <w:b/>
                <w:sz w:val="20"/>
                <w:szCs w:val="20"/>
              </w:rPr>
              <w:t>RESPUESTA</w:t>
            </w:r>
          </w:p>
        </w:tc>
        <w:tc>
          <w:tcPr>
            <w:tcW w:w="3555" w:type="dxa"/>
            <w:vAlign w:val="center"/>
          </w:tcPr>
          <w:p w:rsidR="00FD3B00" w:rsidRDefault="00876CB2">
            <w:pPr>
              <w:jc w:val="center"/>
            </w:pPr>
            <w:r>
              <w:rPr>
                <w:rFonts w:ascii="Palatino Linotype" w:eastAsia="Palatino Linotype" w:hAnsi="Palatino Linotype" w:cs="Palatino Linotype"/>
                <w:b/>
                <w:sz w:val="20"/>
                <w:szCs w:val="20"/>
              </w:rPr>
              <w:t>INFORME JUSTIFICADO</w:t>
            </w:r>
          </w:p>
        </w:tc>
      </w:tr>
      <w:tr w:rsidR="00FD3B00">
        <w:tc>
          <w:tcPr>
            <w:tcW w:w="2702" w:type="dxa"/>
            <w:shd w:val="clear" w:color="auto" w:fill="auto"/>
            <w:vAlign w:val="center"/>
          </w:tcPr>
          <w:p w:rsidR="00FD3B00" w:rsidRDefault="00876CB2">
            <w:pPr>
              <w:jc w:val="both"/>
            </w:pPr>
            <w:r>
              <w:rPr>
                <w:rFonts w:ascii="Palatino Linotype" w:eastAsia="Palatino Linotype" w:hAnsi="Palatino Linotype" w:cs="Palatino Linotype"/>
                <w:sz w:val="20"/>
                <w:szCs w:val="20"/>
              </w:rPr>
              <w:lastRenderedPageBreak/>
              <w:t>30.1. ¿LA ULTIMA ENTREGA-RECEPCIÓN DE ARCHIVOS POR CAMBIO DE ADMINISTRACIÓN SE LLEVÓ A CABO COMO LO ESTABLECE EL ARTÍCULO 10 PÁRRAFO SEGUNDO Y 17 DE LA LEY GENERAL DE ARCHIVOS?</w:t>
            </w:r>
          </w:p>
        </w:tc>
        <w:tc>
          <w:tcPr>
            <w:tcW w:w="2571" w:type="dxa"/>
            <w:shd w:val="clear" w:color="auto" w:fill="auto"/>
            <w:vAlign w:val="center"/>
          </w:tcPr>
          <w:p w:rsidR="00FD3B00" w:rsidRDefault="00876CB2">
            <w:pPr>
              <w:jc w:val="center"/>
            </w:pPr>
            <w:r>
              <w:rPr>
                <w:rFonts w:ascii="Palatino Linotype" w:eastAsia="Palatino Linotype" w:hAnsi="Palatino Linotype" w:cs="Palatino Linotype"/>
                <w:sz w:val="20"/>
                <w:szCs w:val="20"/>
              </w:rPr>
              <w:t>OMISO</w:t>
            </w:r>
          </w:p>
        </w:tc>
        <w:tc>
          <w:tcPr>
            <w:tcW w:w="3555" w:type="dxa"/>
            <w:shd w:val="clear" w:color="auto" w:fill="auto"/>
            <w:vAlign w:val="center"/>
          </w:tcPr>
          <w:p w:rsidR="00FD3B00" w:rsidRDefault="00876CB2">
            <w:pPr>
              <w:jc w:val="center"/>
            </w:pPr>
            <w:r>
              <w:rPr>
                <w:rFonts w:ascii="Palatino Linotype" w:eastAsia="Palatino Linotype" w:hAnsi="Palatino Linotype" w:cs="Palatino Linotype"/>
                <w:sz w:val="20"/>
                <w:szCs w:val="20"/>
              </w:rPr>
              <w:t>SI</w:t>
            </w:r>
          </w:p>
        </w:tc>
      </w:tr>
      <w:tr w:rsidR="00FD3B00">
        <w:tc>
          <w:tcPr>
            <w:tcW w:w="2702" w:type="dxa"/>
            <w:shd w:val="clear" w:color="auto" w:fill="auto"/>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30.2 ¿QUÉ INSTRUMENTOS DE CONTROL Y CONSULTA SE ENTREGARON EN EL ACTO DE ENTREGA RECEPCIÓN DE LOS ARCHIVOS DE TRÁMITE, CONCENTRACIÓN E HISTÓRICO?</w:t>
            </w:r>
          </w:p>
        </w:tc>
        <w:tc>
          <w:tcPr>
            <w:tcW w:w="2571" w:type="dxa"/>
            <w:shd w:val="clear" w:color="auto" w:fill="auto"/>
            <w:vAlign w:val="center"/>
          </w:tcPr>
          <w:p w:rsidR="00FD3B00" w:rsidRDefault="00876CB2">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OMISO</w:t>
            </w:r>
          </w:p>
        </w:tc>
        <w:tc>
          <w:tcPr>
            <w:tcW w:w="3555" w:type="dxa"/>
            <w:shd w:val="clear" w:color="auto" w:fill="auto"/>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Ninguno</w:t>
            </w:r>
          </w:p>
        </w:tc>
      </w:tr>
      <w:tr w:rsidR="00FD3B00">
        <w:tc>
          <w:tcPr>
            <w:tcW w:w="2702" w:type="dxa"/>
            <w:shd w:val="clear" w:color="auto" w:fill="auto"/>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30.3. ¿CON CUANTOS INVENTARIOS DE ARCHIVO DE TRÁMITE CONTARON PARA LA ÚLTIMA ENTREGA-RECEPCIÓN DE LA ADMINISTRACIÓN?</w:t>
            </w:r>
          </w:p>
        </w:tc>
        <w:tc>
          <w:tcPr>
            <w:tcW w:w="2571" w:type="dxa"/>
            <w:shd w:val="clear" w:color="auto" w:fill="auto"/>
            <w:vAlign w:val="center"/>
          </w:tcPr>
          <w:p w:rsidR="00FD3B00" w:rsidRDefault="00876CB2">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OMISO</w:t>
            </w:r>
          </w:p>
        </w:tc>
        <w:tc>
          <w:tcPr>
            <w:tcW w:w="3555" w:type="dxa"/>
            <w:shd w:val="clear" w:color="auto" w:fill="auto"/>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 cuenta con un inventario.</w:t>
            </w:r>
          </w:p>
        </w:tc>
      </w:tr>
      <w:tr w:rsidR="00FD3B00">
        <w:tc>
          <w:tcPr>
            <w:tcW w:w="2702" w:type="dxa"/>
            <w:shd w:val="clear" w:color="auto" w:fill="auto"/>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30.4. ¿SE CAPACITÓ A LOS RESPONSABLES DE LOS ARCHIVOS DE TRAMITE PARA LA ENTREGA RECEPCIÓN DE SUS ARCHIVOS DE TRÁMITE?</w:t>
            </w:r>
          </w:p>
        </w:tc>
        <w:tc>
          <w:tcPr>
            <w:tcW w:w="2571" w:type="dxa"/>
            <w:shd w:val="clear" w:color="auto" w:fill="auto"/>
            <w:vAlign w:val="center"/>
          </w:tcPr>
          <w:p w:rsidR="00FD3B00" w:rsidRDefault="00876CB2">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OMISO</w:t>
            </w:r>
          </w:p>
        </w:tc>
        <w:tc>
          <w:tcPr>
            <w:tcW w:w="3555" w:type="dxa"/>
            <w:shd w:val="clear" w:color="auto" w:fill="auto"/>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w:t>
            </w:r>
          </w:p>
        </w:tc>
      </w:tr>
      <w:tr w:rsidR="00FD3B00">
        <w:tc>
          <w:tcPr>
            <w:tcW w:w="2702" w:type="dxa"/>
            <w:shd w:val="clear" w:color="auto" w:fill="auto"/>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30.5. ¿QUIEN CAPACITÓ A LOS RESPONSABLES DE ARCHIVO DE TRÁMITE?</w:t>
            </w:r>
          </w:p>
        </w:tc>
        <w:tc>
          <w:tcPr>
            <w:tcW w:w="2571" w:type="dxa"/>
            <w:shd w:val="clear" w:color="auto" w:fill="auto"/>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3555" w:type="dxa"/>
            <w:shd w:val="clear" w:color="auto" w:fill="auto"/>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Nadie</w:t>
            </w:r>
          </w:p>
        </w:tc>
      </w:tr>
      <w:tr w:rsidR="00FD3B00">
        <w:tc>
          <w:tcPr>
            <w:tcW w:w="2702" w:type="dxa"/>
            <w:shd w:val="clear" w:color="auto" w:fill="auto"/>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30.6. ¿EL ARCHIVO MUNICIPAL Y/O EL ÁREA COORDINADORA DE ARCHIVOS CUENTA CON LA INFORMACIÓN SOBRE LA CANTIDAD DE EXPEDIENTES QUE ENTREGÓ CADA </w:t>
            </w:r>
            <w:r>
              <w:rPr>
                <w:rFonts w:ascii="Palatino Linotype" w:eastAsia="Palatino Linotype" w:hAnsi="Palatino Linotype" w:cs="Palatino Linotype"/>
                <w:sz w:val="20"/>
                <w:szCs w:val="20"/>
              </w:rPr>
              <w:lastRenderedPageBreak/>
              <w:t>UNIDAD ADMINISTRATIVA EN SU ÚLTIMA ENTREGA-RECEPCIÓN?</w:t>
            </w:r>
          </w:p>
        </w:tc>
        <w:tc>
          <w:tcPr>
            <w:tcW w:w="2571" w:type="dxa"/>
            <w:shd w:val="clear" w:color="auto" w:fill="auto"/>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OMISO</w:t>
            </w:r>
          </w:p>
        </w:tc>
        <w:tc>
          <w:tcPr>
            <w:tcW w:w="3555" w:type="dxa"/>
            <w:shd w:val="clear" w:color="auto" w:fill="auto"/>
            <w:vAlign w:val="center"/>
          </w:tcPr>
          <w:p w:rsidR="00FD3B00" w:rsidRDefault="00876CB2">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No</w:t>
            </w:r>
          </w:p>
        </w:tc>
      </w:tr>
    </w:tbl>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cuanto hace al requerimiento marcado con el numeral 30.1, se tiene por atendido, toda vez que no se pretende acceder a algún documento previamente generado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ejercicio de sus atribuciones, sino que la particular pretende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pronuncie en el sentido de atender lo solicitado, constituyendo un derecho de petición.</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Tocante a los puntos 30.2 y 30.3 y 30.6, es oportuno referir  de acuerdo con el artículo 19</w:t>
      </w:r>
      <w:r>
        <w:rPr>
          <w:rFonts w:ascii="Palatino Linotype" w:eastAsia="Palatino Linotype" w:hAnsi="Palatino Linotype" w:cs="Palatino Linotype"/>
          <w:vertAlign w:val="superscript"/>
        </w:rPr>
        <w:footnoteReference w:id="8"/>
      </w:r>
      <w:r>
        <w:rPr>
          <w:rFonts w:ascii="Palatino Linotype" w:eastAsia="Palatino Linotype" w:hAnsi="Palatino Linotype" w:cs="Palatino Linotype"/>
        </w:rPr>
        <w:t>, de la Ley Orgánica Municipal del Estado de México, para la entrega-recepción de los entes Municipales el primero de enero del año inmediato siguiente a aquel en que se hayan efectuado las elecciones municipales, se procede a la suscripción de las actas y demás documentos relativos a la entrega-recepción de la administración municipal, con la participación de los miembros de los</w:t>
      </w:r>
      <w:r>
        <w:t xml:space="preserve"> </w:t>
      </w:r>
      <w:r>
        <w:rPr>
          <w:rFonts w:ascii="Palatino Linotype" w:eastAsia="Palatino Linotype" w:hAnsi="Palatino Linotype" w:cs="Palatino Linotype"/>
        </w:rPr>
        <w:t xml:space="preserve">ayuntamientos y los titulares de sus dependencias administrativas salientes y entrantes y la documentación que se señala anteriormente deberá ser conocida en la primera sesión de Cabildo por los integrantes del Ayuntamiento a los cuales se les entregará copia de la misma, </w:t>
      </w:r>
      <w:r>
        <w:rPr>
          <w:rFonts w:ascii="Palatino Linotype" w:eastAsia="Palatino Linotype" w:hAnsi="Palatino Linotype" w:cs="Palatino Linotype"/>
        </w:rPr>
        <w:lastRenderedPageBreak/>
        <w:t>entonces, para la entrega-recepción en materia de archivos se deben contemplar todos los instrumentos de archivísticos, como se desprende de los artículos 10, segundo párrafo, y 17 de la Ley General de Archivos y de la Ley Local que a la letra señalan lo siguiente:</w:t>
      </w:r>
    </w:p>
    <w:p w:rsidR="00FD3B00" w:rsidRDefault="00876CB2">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10...</w:t>
      </w:r>
    </w:p>
    <w:p w:rsidR="00FD3B00" w:rsidRDefault="00876CB2">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servidor público que concluya su empleo, cargo o comisión</w:t>
      </w:r>
      <w:r>
        <w:rPr>
          <w:rFonts w:ascii="Palatino Linotype" w:eastAsia="Palatino Linotype" w:hAnsi="Palatino Linotype" w:cs="Palatino Linotype"/>
          <w:b/>
          <w:i/>
          <w:sz w:val="22"/>
          <w:szCs w:val="22"/>
        </w:rPr>
        <w:t>, deberá garantizar la entrega de los archivos a quien lo sustituya,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debiendo estar organizados y descritos de conformidad con los </w:t>
      </w:r>
      <w:r>
        <w:rPr>
          <w:rFonts w:ascii="Palatino Linotype" w:eastAsia="Palatino Linotype" w:hAnsi="Palatino Linotype" w:cs="Palatino Linotype"/>
          <w:b/>
          <w:i/>
          <w:sz w:val="22"/>
          <w:szCs w:val="22"/>
          <w:u w:val="single"/>
        </w:rPr>
        <w:t>instrumentos de control y consulta archivísticos</w:t>
      </w:r>
      <w:r>
        <w:rPr>
          <w:rFonts w:ascii="Palatino Linotype" w:eastAsia="Palatino Linotype" w:hAnsi="Palatino Linotype" w:cs="Palatino Linotype"/>
          <w:i/>
          <w:sz w:val="22"/>
          <w:szCs w:val="22"/>
        </w:rPr>
        <w:t xml:space="preserve"> que identifiquen la función que les dio origen en los términos de esta Ley.</w:t>
      </w:r>
    </w:p>
    <w:p w:rsidR="00FD3B00" w:rsidRDefault="00FD3B00">
      <w:pPr>
        <w:widowControl w:val="0"/>
        <w:ind w:left="850" w:right="901"/>
        <w:jc w:val="both"/>
        <w:rPr>
          <w:rFonts w:ascii="Palatino Linotype" w:eastAsia="Palatino Linotype" w:hAnsi="Palatino Linotype" w:cs="Palatino Linotype"/>
          <w:i/>
          <w:sz w:val="22"/>
          <w:szCs w:val="22"/>
        </w:rPr>
      </w:pPr>
    </w:p>
    <w:p w:rsidR="00FD3B00" w:rsidRDefault="00876CB2">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w:t>
      </w:r>
      <w:r>
        <w:rPr>
          <w:rFonts w:ascii="Palatino Linotype" w:eastAsia="Palatino Linotype" w:hAnsi="Palatino Linotype" w:cs="Palatino Linotype"/>
          <w:i/>
          <w:sz w:val="22"/>
          <w:szCs w:val="22"/>
        </w:rPr>
        <w:t xml:space="preserve">. Los servidores públicos que deban elaborar un acta de entrega-recepción al separarse de su empleo, cargo o comisión, en los términos de las disposiciones jurídicas aplicables, </w:t>
      </w:r>
      <w:r>
        <w:rPr>
          <w:rFonts w:ascii="Palatino Linotype" w:eastAsia="Palatino Linotype" w:hAnsi="Palatino Linotype" w:cs="Palatino Linotype"/>
          <w:b/>
          <w:i/>
          <w:sz w:val="22"/>
          <w:szCs w:val="22"/>
        </w:rPr>
        <w:t>deberán entregar los archivos que se encuentren bajo su  custodia, así como los instrumentos de control y consulta archivísticos actualizados</w:t>
      </w:r>
      <w:r>
        <w:rPr>
          <w:rFonts w:ascii="Palatino Linotype" w:eastAsia="Palatino Linotype" w:hAnsi="Palatino Linotype" w:cs="Palatino Linotype"/>
          <w:i/>
          <w:sz w:val="22"/>
          <w:szCs w:val="22"/>
        </w:rPr>
        <w:t>, señalando los documentos con posible valor histórico de acuerdo con el catálogo de disposición documental.”</w:t>
      </w:r>
    </w:p>
    <w:p w:rsidR="00FD3B00" w:rsidRDefault="00876CB2">
      <w:pPr>
        <w:spacing w:before="240" w:after="240" w:line="360" w:lineRule="auto"/>
        <w:jc w:val="both"/>
        <w:rPr>
          <w:rFonts w:ascii="Palatino Linotype" w:eastAsia="Palatino Linotype" w:hAnsi="Palatino Linotype" w:cs="Palatino Linotype"/>
        </w:rPr>
      </w:pPr>
      <w:bookmarkStart w:id="11" w:name="_heading=h.lnxbz9" w:colFirst="0" w:colLast="0"/>
      <w:bookmarkEnd w:id="11"/>
      <w:r>
        <w:rPr>
          <w:rFonts w:ascii="Palatino Linotype" w:eastAsia="Palatino Linotype" w:hAnsi="Palatino Linotype" w:cs="Palatino Linotype"/>
        </w:rPr>
        <w:t xml:space="preserve">Así, es oportuno mencionar que los </w:t>
      </w:r>
      <w:r>
        <w:rPr>
          <w:rFonts w:ascii="Palatino Linotype" w:eastAsia="Palatino Linotype" w:hAnsi="Palatino Linotype" w:cs="Palatino Linotype"/>
          <w:i/>
        </w:rPr>
        <w:t>instrumentos de control archivístico</w:t>
      </w:r>
      <w:r>
        <w:rPr>
          <w:rFonts w:ascii="Palatino Linotype" w:eastAsia="Palatino Linotype" w:hAnsi="Palatino Linotype" w:cs="Palatino Linotype"/>
        </w:rPr>
        <w:t xml:space="preserve"> son los instrumentos técnicos que propician la organización, control y conservación de los documentos de archivo a lo largo de su ciclo vital que son el cuadro general de clasificación archivística y el catálogo de disposición documental; mientas que los </w:t>
      </w:r>
      <w:r>
        <w:rPr>
          <w:rFonts w:ascii="Palatino Linotype" w:eastAsia="Palatino Linotype" w:hAnsi="Palatino Linotype" w:cs="Palatino Linotype"/>
          <w:i/>
        </w:rPr>
        <w:t xml:space="preserve">instrumentos de consulta </w:t>
      </w:r>
      <w:r>
        <w:rPr>
          <w:rFonts w:ascii="Palatino Linotype" w:eastAsia="Palatino Linotype" w:hAnsi="Palatino Linotype" w:cs="Palatino Linotype"/>
        </w:rPr>
        <w:t xml:space="preserve"> son los os instrumentos que describen las series, expedientes o documentos de archivo y que permiten la localización, transferencia o baja documental.</w:t>
      </w:r>
    </w:p>
    <w:p w:rsidR="00FD3B00" w:rsidRDefault="00876CB2">
      <w:pPr>
        <w:spacing w:before="240" w:after="240" w:line="360" w:lineRule="auto"/>
        <w:jc w:val="both"/>
      </w:pPr>
      <w:r>
        <w:rPr>
          <w:rFonts w:ascii="Palatino Linotype" w:eastAsia="Palatino Linotype" w:hAnsi="Palatino Linotype" w:cs="Palatino Linotype"/>
        </w:rPr>
        <w:t xml:space="preserve">Asimismo, la Ley General de Archivos y la Ley Local, en el artículo 13, párrafo primero disponen que los Sujetos Obligados deben contar con instrumentos de control y consulta archivísticos, como el Cuadro General de Clasificación </w:t>
      </w:r>
      <w:r>
        <w:rPr>
          <w:rFonts w:ascii="Palatino Linotype" w:eastAsia="Palatino Linotype" w:hAnsi="Palatino Linotype" w:cs="Palatino Linotype"/>
        </w:rPr>
        <w:lastRenderedPageBreak/>
        <w:t>Archivística, el Catálogo de Disposición Documental y los Inventarios Documentales, a saber</w:t>
      </w:r>
      <w:r>
        <w:t>:</w:t>
      </w:r>
    </w:p>
    <w:p w:rsidR="00FD3B00" w:rsidRDefault="00876CB2">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13</w:t>
      </w:r>
      <w:r>
        <w:rPr>
          <w:rFonts w:ascii="Palatino Linotype" w:eastAsia="Palatino Linotype" w:hAnsi="Palatino Linotype" w:cs="Palatino Linotype"/>
          <w:i/>
          <w:sz w:val="22"/>
          <w:szCs w:val="22"/>
        </w:rPr>
        <w:t xml:space="preserve">. Los Sujetos Obligados deberán contar con los Instrumentos de Control y Consulta Archivísticos conforme a sus atribuciones y funciones, manteniéndolos actualizados y disponibles; y contarán al menos con los siguientes: </w:t>
      </w:r>
    </w:p>
    <w:p w:rsidR="00FD3B00" w:rsidRDefault="00876CB2">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Cuadro General de Clasificación Archivística; </w:t>
      </w:r>
    </w:p>
    <w:p w:rsidR="00FD3B00" w:rsidRDefault="00876CB2">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Catálogo de Disposición Documental, y </w:t>
      </w:r>
    </w:p>
    <w:p w:rsidR="00FD3B00" w:rsidRDefault="00876CB2">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Inventarios Documentales.”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lo anterior se advierte que la particular pretende conocer si en la entrega recepción de los archivos de trámite, de concentración e histórico, derivado del cambio de administración, los servidores públicos salientes entregaron los instrumentos de control y consulta archivísticos, cuáles de ellos se entregaron, es decir, si se entregaron cuadros de clasificación archivística, catálogos de disposición documental e inventarios documentales y cuantos inventarios de archivo de trámite fueron entregados.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en el caso concreto, no escapa de la óptica de este Organismo Garante que la Encargada del Archivo Municipal manifestó, en respuesta al punto 30.1 que la entrega recepción de archivos se realizó como lo establece el artículo 10 párrafo segundo y 17 de la Ley General de Archivos, citados con antelación, sin embargo, no hizo referencia a los instrumentos de control y de consulta que se entregaron, el número de inventarios de archivo de trámite con los cuales se contó, y la cantidad de expedientes que entregó cada unidad administrativa.</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esta tesitura, se estima procedente ordenar, derivado del cambio de administración 2019-2021 – 2022-2024, la entrega del soporte documental que dé cuenta de los instrumentos de control y consulta archivística que se entregaron con motivo de la entrega recepción de los archivos de trámite, concentración e histórico, permitiendo a la particular deducir la respuesta a los requerimientos 30.3, 30.6 previo análisis que efectué en el mismo.</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para el caso de que no llegara a localizar la información, deberá emitir la declaratoria formal de inexistencia, en los términos precisados en líneas anteriores.</w:t>
      </w:r>
    </w:p>
    <w:p w:rsidR="00FD3B00" w:rsidRDefault="00876CB2">
      <w:pPr>
        <w:spacing w:before="120" w:after="120" w:line="360" w:lineRule="auto"/>
        <w:ind w:right="49"/>
        <w:jc w:val="both"/>
        <w:rPr>
          <w:rFonts w:ascii="Palatino Linotype" w:eastAsia="Palatino Linotype" w:hAnsi="Palatino Linotype" w:cs="Palatino Linotype"/>
        </w:rPr>
      </w:pPr>
      <w:bookmarkStart w:id="12" w:name="_heading=h.c8f9g56lp1qu" w:colFirst="0" w:colLast="0"/>
      <w:bookmarkEnd w:id="12"/>
      <w:r>
        <w:rPr>
          <w:rFonts w:ascii="Palatino Linotype" w:eastAsia="Palatino Linotype" w:hAnsi="Palatino Linotype" w:cs="Palatino Linotype"/>
        </w:rPr>
        <w:t>Respecto de los puntos 30.4 y 30.5, se menciona que los Lineamientos que norman la entrega-recepción de los ayuntamientos, sus dependencias y organismos descentralizados municipales del Estado de México, emitidos por el Órgano Superior de Fiscalización del Estado de México, OSFEM, a través del  Artículo 38, fracción V, facultan al Titular del Órgano Interno de Control y la Síndico para capacitar y asesorar a los a los servidores públicos en el procedimiento jurídico-administrativo que conlleva el acto de entrega-recepción, a saber:</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38</w:t>
      </w:r>
      <w:r>
        <w:rPr>
          <w:rFonts w:ascii="Palatino Linotype" w:eastAsia="Palatino Linotype" w:hAnsi="Palatino Linotype" w:cs="Palatino Linotype"/>
          <w:i/>
          <w:sz w:val="22"/>
          <w:szCs w:val="22"/>
        </w:rPr>
        <w:t>. La persona titular del Órgano Interno de Control o Síndico deben:</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Capacitar y asesorar a los servidores públicos en el procedimiento jurídico-administrativo que conlleva el acto de entrega-recepción</w:t>
      </w:r>
      <w:r>
        <w:rPr>
          <w:rFonts w:ascii="Palatino Linotype" w:eastAsia="Palatino Linotype" w:hAnsi="Palatino Linotype" w:cs="Palatino Linotype"/>
          <w:i/>
          <w:sz w:val="22"/>
          <w:szCs w:val="22"/>
        </w:rPr>
        <w:t>, así como en el uso y manejo del Sistema de Entrega-Recepción;</w:t>
      </w:r>
    </w:p>
    <w:p w:rsidR="00FD3B00" w:rsidRDefault="00876CB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Consecuentemente, dado que en el expediente electrónico no obra constancia de que la solicitud se hubiera turnado a todas las áreas competentes, como la Contraloría Municipal o la Sindicatura, se estima procedente ordenar, previa </w:t>
      </w:r>
      <w:r>
        <w:rPr>
          <w:rFonts w:ascii="Palatino Linotype" w:eastAsia="Palatino Linotype" w:hAnsi="Palatino Linotype" w:cs="Palatino Linotype"/>
        </w:rPr>
        <w:lastRenderedPageBreak/>
        <w:t>búsqueda exhaustiva y razonable,  la entrega del soporte documental que dé cuenta de la capacitación impartida a los responsables del archivo de trámite para la entrega recepción de los archivos, derivado del cambio de administración 2019-2021 – 2022-2024, así como quien llevó a cabo la referida capacitación, pudiendo ser, de manera enunciativa, algún oficio, circular, memorándum, o cualquier documento análogo, de conformidad con el Criterio 16/17 citado con antelación.</w:t>
      </w:r>
    </w:p>
    <w:p w:rsidR="00FD3B00" w:rsidRDefault="00876CB2">
      <w:pPr>
        <w:tabs>
          <w:tab w:val="left" w:pos="8503"/>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para el caso de que no llegara a localizar el soporte documental correspondiente, bastará con que así se haga del conocimiento de la particular para tener por atendido el requerimiento de información.</w:t>
      </w:r>
    </w:p>
    <w:tbl>
      <w:tblPr>
        <w:tblStyle w:val="aff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FD3B00">
        <w:tc>
          <w:tcPr>
            <w:tcW w:w="8828" w:type="dxa"/>
            <w:gridSpan w:val="3"/>
            <w:shd w:val="clear" w:color="auto" w:fill="auto"/>
            <w:vAlign w:val="center"/>
          </w:tcPr>
          <w:p w:rsidR="00FD3B00" w:rsidRDefault="00876CB2">
            <w:pPr>
              <w:tabs>
                <w:tab w:val="left" w:pos="1328"/>
              </w:tabs>
              <w:jc w:val="both"/>
            </w:pPr>
            <w:r>
              <w:rPr>
                <w:rFonts w:ascii="Palatino Linotype" w:eastAsia="Palatino Linotype" w:hAnsi="Palatino Linotype" w:cs="Palatino Linotype"/>
                <w:b/>
                <w:sz w:val="20"/>
                <w:szCs w:val="20"/>
              </w:rPr>
              <w:t>31. CONTRALORÍA</w:t>
            </w:r>
          </w:p>
        </w:tc>
      </w:tr>
      <w:tr w:rsidR="00FD3B00">
        <w:tc>
          <w:tcPr>
            <w:tcW w:w="2942" w:type="dxa"/>
            <w:shd w:val="clear" w:color="auto" w:fill="auto"/>
            <w:vAlign w:val="center"/>
          </w:tcPr>
          <w:p w:rsidR="00FD3B00" w:rsidRDefault="00876CB2">
            <w:pPr>
              <w:tabs>
                <w:tab w:val="left" w:pos="1328"/>
              </w:tabs>
              <w:jc w:val="center"/>
            </w:pPr>
            <w:r>
              <w:rPr>
                <w:rFonts w:ascii="Palatino Linotype" w:eastAsia="Palatino Linotype" w:hAnsi="Palatino Linotype" w:cs="Palatino Linotype"/>
                <w:b/>
                <w:sz w:val="20"/>
                <w:szCs w:val="20"/>
              </w:rPr>
              <w:t>REQUERIMIENTO</w:t>
            </w:r>
          </w:p>
        </w:tc>
        <w:tc>
          <w:tcPr>
            <w:tcW w:w="2943" w:type="dxa"/>
            <w:shd w:val="clear" w:color="auto" w:fill="auto"/>
            <w:vAlign w:val="center"/>
          </w:tcPr>
          <w:p w:rsidR="00FD3B00" w:rsidRDefault="00876CB2">
            <w:pPr>
              <w:tabs>
                <w:tab w:val="left" w:pos="1328"/>
              </w:tabs>
              <w:jc w:val="center"/>
            </w:pPr>
            <w:r>
              <w:rPr>
                <w:rFonts w:ascii="Palatino Linotype" w:eastAsia="Palatino Linotype" w:hAnsi="Palatino Linotype" w:cs="Palatino Linotype"/>
                <w:b/>
                <w:sz w:val="20"/>
                <w:szCs w:val="20"/>
              </w:rPr>
              <w:t>RESPUESTA</w:t>
            </w:r>
          </w:p>
        </w:tc>
        <w:tc>
          <w:tcPr>
            <w:tcW w:w="2943" w:type="dxa"/>
            <w:shd w:val="clear" w:color="auto" w:fill="auto"/>
            <w:vAlign w:val="center"/>
          </w:tcPr>
          <w:p w:rsidR="00FD3B00" w:rsidRDefault="00876CB2">
            <w:pPr>
              <w:tabs>
                <w:tab w:val="left" w:pos="1328"/>
              </w:tabs>
              <w:jc w:val="center"/>
            </w:pPr>
            <w:r>
              <w:rPr>
                <w:rFonts w:ascii="Palatino Linotype" w:eastAsia="Palatino Linotype" w:hAnsi="Palatino Linotype" w:cs="Palatino Linotype"/>
                <w:b/>
                <w:sz w:val="20"/>
                <w:szCs w:val="20"/>
              </w:rPr>
              <w:t>INFORME JUSTIFICADO</w:t>
            </w:r>
          </w:p>
        </w:tc>
      </w:tr>
      <w:tr w:rsidR="00FD3B00">
        <w:tc>
          <w:tcPr>
            <w:tcW w:w="2942" w:type="dxa"/>
            <w:shd w:val="clear" w:color="auto" w:fill="auto"/>
            <w:vAlign w:val="center"/>
          </w:tcPr>
          <w:p w:rsidR="00FD3B00" w:rsidRDefault="00876CB2">
            <w:pPr>
              <w:tabs>
                <w:tab w:val="left" w:pos="1328"/>
              </w:tabs>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31.1. ¿EL ÓRGANO INTERNO DE CONTROL LLEVA A CABO AUDITORÍAS ADMINISTRATIVAS A LOS ARCHIVOS COMO LO ESTABLECE EL ARTÍCULO 12 PÁRRAFO SEGUNDO DE LA LEY GENERAL DE ARCHIVOS?</w:t>
            </w:r>
          </w:p>
        </w:tc>
        <w:tc>
          <w:tcPr>
            <w:tcW w:w="2943" w:type="dxa"/>
            <w:shd w:val="clear" w:color="auto" w:fill="auto"/>
            <w:vAlign w:val="center"/>
          </w:tcPr>
          <w:p w:rsidR="00FD3B00" w:rsidRDefault="00876CB2">
            <w:pPr>
              <w:tabs>
                <w:tab w:val="left" w:pos="1328"/>
              </w:tabs>
              <w:jc w:val="center"/>
            </w:pPr>
            <w:r>
              <w:rPr>
                <w:rFonts w:ascii="Palatino Linotype" w:eastAsia="Palatino Linotype" w:hAnsi="Palatino Linotype" w:cs="Palatino Linotype"/>
                <w:sz w:val="20"/>
                <w:szCs w:val="20"/>
              </w:rPr>
              <w:t>OMISO</w:t>
            </w:r>
          </w:p>
        </w:tc>
        <w:tc>
          <w:tcPr>
            <w:tcW w:w="2943" w:type="dxa"/>
            <w:shd w:val="clear" w:color="auto" w:fill="auto"/>
            <w:vAlign w:val="center"/>
          </w:tcPr>
          <w:p w:rsidR="00FD3B00" w:rsidRDefault="00876CB2">
            <w:pPr>
              <w:tabs>
                <w:tab w:val="left" w:pos="1328"/>
              </w:tabs>
              <w:jc w:val="center"/>
              <w:rPr>
                <w:rFonts w:ascii="Palatino Linotype" w:eastAsia="Palatino Linotype" w:hAnsi="Palatino Linotype" w:cs="Palatino Linotype"/>
              </w:rPr>
            </w:pPr>
            <w:r>
              <w:rPr>
                <w:rFonts w:ascii="Palatino Linotype" w:eastAsia="Palatino Linotype" w:hAnsi="Palatino Linotype" w:cs="Palatino Linotype"/>
                <w:sz w:val="22"/>
                <w:szCs w:val="22"/>
              </w:rPr>
              <w:t>No</w:t>
            </w:r>
          </w:p>
        </w:tc>
      </w:tr>
      <w:tr w:rsidR="00FD3B00">
        <w:tc>
          <w:tcPr>
            <w:tcW w:w="2942" w:type="dxa"/>
            <w:shd w:val="clear" w:color="auto" w:fill="auto"/>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31.2. ¿CUANTAS AUDITORÍAS ADMINISTRATIVAS A LOS ARCHIVOS SE HICIERON EN LOS AÑOS 2019, 2020 Y 2021? </w:t>
            </w:r>
          </w:p>
        </w:tc>
        <w:tc>
          <w:tcPr>
            <w:tcW w:w="2943" w:type="dxa"/>
            <w:shd w:val="clear" w:color="auto" w:fill="auto"/>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2943" w:type="dxa"/>
            <w:shd w:val="clear" w:color="auto" w:fill="auto"/>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r>
      <w:tr w:rsidR="00FD3B00">
        <w:tc>
          <w:tcPr>
            <w:tcW w:w="2942" w:type="dxa"/>
            <w:shd w:val="clear" w:color="auto" w:fill="auto"/>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31.3. ¿SE HICIERON INSPECCIONES Y/O REVISIONES A LOS ARCHIVOS DE TRÁMITE PARA REVISIÓN DEL CUMPLIMIENTO DE LA NORMATIVIDAD APLICABLE VIGENTE EN </w:t>
            </w:r>
            <w:r>
              <w:rPr>
                <w:rFonts w:ascii="Palatino Linotype" w:eastAsia="Palatino Linotype" w:hAnsi="Palatino Linotype" w:cs="Palatino Linotype"/>
                <w:sz w:val="20"/>
                <w:szCs w:val="20"/>
              </w:rPr>
              <w:lastRenderedPageBreak/>
              <w:t xml:space="preserve">MATERIA DE ARCHIVÍSTICA? </w:t>
            </w:r>
          </w:p>
        </w:tc>
        <w:tc>
          <w:tcPr>
            <w:tcW w:w="2943" w:type="dxa"/>
            <w:shd w:val="clear" w:color="auto" w:fill="auto"/>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OMISO</w:t>
            </w:r>
          </w:p>
        </w:tc>
        <w:tc>
          <w:tcPr>
            <w:tcW w:w="2943" w:type="dxa"/>
            <w:shd w:val="clear" w:color="auto" w:fill="auto"/>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r>
      <w:tr w:rsidR="00FD3B00">
        <w:tc>
          <w:tcPr>
            <w:tcW w:w="2942" w:type="dxa"/>
            <w:shd w:val="clear" w:color="auto" w:fill="auto"/>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31.4. ¿CUANTAS INSPECCIONES Y/O REVISIONES A LOS ARCHIVOS DE TRÁMITE PARA REVISIÓN DEL CUMPLIMIENTO DE LA NORMATIVIDAD APLICABLE VIGENTE EN MATERIA DE ARCHIVÍSTICA SE LLEVARON A CABO EN LOS AÑOS 2019, 2020 Y 2021? </w:t>
            </w:r>
          </w:p>
        </w:tc>
        <w:tc>
          <w:tcPr>
            <w:tcW w:w="2943" w:type="dxa"/>
            <w:shd w:val="clear" w:color="auto" w:fill="auto"/>
            <w:vAlign w:val="center"/>
          </w:tcPr>
          <w:p w:rsidR="00FD3B00" w:rsidRDefault="00876CB2">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2943" w:type="dxa"/>
            <w:shd w:val="clear" w:color="auto" w:fill="auto"/>
            <w:vAlign w:val="center"/>
          </w:tcPr>
          <w:p w:rsidR="00FD3B00" w:rsidRDefault="00876CB2">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se cuenta con esa información para la administración pasada.</w:t>
            </w:r>
          </w:p>
        </w:tc>
      </w:tr>
    </w:tbl>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artículo 12, párrafo segundo de la Ley General de Archivos y la Ley Local, confiere a los órganos internos de control la facultad de vigilar el cumplimiento de las disposiciones establecidas en los referidos ordenamientos, de acuerdo con sus competencias, debiendo integrar auditorías archivísticas en sus programas anuales de trabajo, como se lee a continuación:</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w:t>
      </w:r>
    </w:p>
    <w:p w:rsidR="00FD3B00" w:rsidRDefault="00876CB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w:t>
      </w:r>
      <w:r>
        <w:rPr>
          <w:rFonts w:ascii="Palatino Linotype" w:eastAsia="Palatino Linotype" w:hAnsi="Palatino Linotype" w:cs="Palatino Linotype"/>
          <w:b/>
          <w:i/>
          <w:sz w:val="22"/>
          <w:szCs w:val="22"/>
        </w:rPr>
        <w:t>órganos internos de control</w:t>
      </w:r>
      <w:r>
        <w:rPr>
          <w:rFonts w:ascii="Palatino Linotype" w:eastAsia="Palatino Linotype" w:hAnsi="Palatino Linotype" w:cs="Palatino Linotype"/>
          <w:i/>
          <w:sz w:val="22"/>
          <w:szCs w:val="22"/>
        </w:rPr>
        <w:t xml:space="preserve"> o sus equivalentes en cada Sujeto Obligado, </w:t>
      </w:r>
      <w:r>
        <w:rPr>
          <w:rFonts w:ascii="Palatino Linotype" w:eastAsia="Palatino Linotype" w:hAnsi="Palatino Linotype" w:cs="Palatino Linotype"/>
          <w:b/>
          <w:i/>
          <w:sz w:val="22"/>
          <w:szCs w:val="22"/>
        </w:rPr>
        <w:t>vigilarán el estricto cumplimiento</w:t>
      </w:r>
      <w:r>
        <w:rPr>
          <w:rFonts w:ascii="Palatino Linotype" w:eastAsia="Palatino Linotype" w:hAnsi="Palatino Linotype" w:cs="Palatino Linotype"/>
          <w:i/>
          <w:sz w:val="22"/>
          <w:szCs w:val="22"/>
        </w:rPr>
        <w:t xml:space="preserve"> de la presente Ley, de acuerdo con sus competencias e </w:t>
      </w:r>
      <w:r>
        <w:rPr>
          <w:rFonts w:ascii="Palatino Linotype" w:eastAsia="Palatino Linotype" w:hAnsi="Palatino Linotype" w:cs="Palatino Linotype"/>
          <w:b/>
          <w:i/>
          <w:sz w:val="22"/>
          <w:szCs w:val="22"/>
          <w:u w:val="single"/>
        </w:rPr>
        <w:t>integrarán auditorías archivísticas</w:t>
      </w:r>
      <w:r>
        <w:rPr>
          <w:rFonts w:ascii="Palatino Linotype" w:eastAsia="Palatino Linotype" w:hAnsi="Palatino Linotype" w:cs="Palatino Linotype"/>
          <w:i/>
          <w:sz w:val="22"/>
          <w:szCs w:val="22"/>
          <w:u w:val="single"/>
        </w:rPr>
        <w:t xml:space="preserve"> </w:t>
      </w:r>
      <w:r>
        <w:rPr>
          <w:rFonts w:ascii="Palatino Linotype" w:eastAsia="Palatino Linotype" w:hAnsi="Palatino Linotype" w:cs="Palatino Linotype"/>
          <w:b/>
          <w:i/>
          <w:sz w:val="22"/>
          <w:szCs w:val="22"/>
          <w:u w:val="single"/>
        </w:rPr>
        <w:t>en sus programas anuales de trabajo</w:t>
      </w:r>
      <w:r>
        <w:rPr>
          <w:rFonts w:ascii="Palatino Linotype" w:eastAsia="Palatino Linotype" w:hAnsi="Palatino Linotype" w:cs="Palatino Linotype"/>
          <w:i/>
          <w:sz w:val="22"/>
          <w:szCs w:val="22"/>
        </w:rPr>
        <w:t>.”</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en atención a estos puntos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 refirió en informe justificado que el Órgano Interno de Control no ha llevado a cabo auditorías administrativas a los archivos, toda vez que  no se cuenta con la información de la administración pasada, sin embargo, es de señalar que de las constancias que obran en el expediente electrónico, no obra constancia de que se hubiera efectuado la búsqueda exhaustiva y razonable de la información, toda vez que no obra registro de que la solicitud se </w:t>
      </w:r>
      <w:r>
        <w:rPr>
          <w:rFonts w:ascii="Palatino Linotype" w:eastAsia="Palatino Linotype" w:hAnsi="Palatino Linotype" w:cs="Palatino Linotype"/>
        </w:rPr>
        <w:lastRenderedPageBreak/>
        <w:t xml:space="preserve">hubiera turnado concretamente a la Contraloría Municipal a efecto de que atendiera la misma en el ámbito de sus atribuciones. </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sentido, es de mencionar que, de acuerdo con las disposiciones previstas en los artículos 53 fracciones II, IV, V y VI</w:t>
      </w:r>
      <w:r>
        <w:rPr>
          <w:rFonts w:ascii="Palatino Linotype" w:eastAsia="Palatino Linotype" w:hAnsi="Palatino Linotype" w:cs="Palatino Linotype"/>
          <w:vertAlign w:val="superscript"/>
        </w:rPr>
        <w:footnoteReference w:id="9"/>
      </w:r>
      <w:r>
        <w:rPr>
          <w:rFonts w:ascii="Palatino Linotype" w:eastAsia="Palatino Linotype" w:hAnsi="Palatino Linotype" w:cs="Palatino Linotype"/>
        </w:rPr>
        <w:t xml:space="preserve"> y 162</w:t>
      </w:r>
      <w:r>
        <w:rPr>
          <w:rFonts w:ascii="Palatino Linotype" w:eastAsia="Palatino Linotype" w:hAnsi="Palatino Linotype" w:cs="Palatino Linotype"/>
          <w:vertAlign w:val="superscript"/>
        </w:rPr>
        <w:footnoteReference w:id="10"/>
      </w:r>
      <w:r>
        <w:rPr>
          <w:rFonts w:ascii="Palatino Linotype" w:eastAsia="Palatino Linotype" w:hAnsi="Palatino Linotype" w:cs="Palatino Linotype"/>
        </w:rPr>
        <w:t xml:space="preserve"> de la Ley de Transparencia y Acceso a la Información Pública del Estado de México, las Unidades de Transparencia, para la debida atención de las solicitudes de información, deben garantizar que estas sean turnadas a todas aquellas áreas que pudieran contar con la información que les es requerida a los Sujetos Obligados, de conformidad con sus facultades, atribuciones o funciones, situación que no se observó en el caso que nos ocupa como ya se apuntó.</w:t>
      </w:r>
    </w:p>
    <w:p w:rsidR="00FD3B00" w:rsidRDefault="00876CB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Derivado de lo anterior, se estima necesario ordenar, previa búsqueda exhaustiva y razonable, la entrega del soporte documental, de conformidad con el Criterio 16/17 citado con antelación, que dé cuenta del número de auditorías archivísticas e inspecciones y/o revisiones realizó la Contraloría Municipal en los ejercicios 2019, 2020 y 2021 a los archivos de trámite del Sujeto Obligado, para tener por colmados los requerimientos de información.</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toda vez que la normatividad aplicable contempla el deber de integrar dichas auditorías al programa anual de trabajo de los Órganos Internos de Control, </w:t>
      </w:r>
      <w:r>
        <w:rPr>
          <w:rFonts w:ascii="Palatino Linotype" w:eastAsia="Palatino Linotype" w:hAnsi="Palatino Linotype" w:cs="Palatino Linotype"/>
        </w:rPr>
        <w:lastRenderedPageBreak/>
        <w:t>para el caso de no localizar información, deberá emitir la declaratoria formal de inexistencia, en los términos precisados en líneas anteriores.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último, se reitera que la entrega de la información que se ordena deberá hacerse, de ser el caso, en términos del considerando siguiente, y de conformidad con lo previsto en el artículo 12, párrafo segundo de la Ley de la Materia, toda vez que la obligación de transparencia implica únicamente que los Sujetos Obligados proporcionen aquella información que les sea requerida, y que hubieran generado en el ejercicio de sus atribuciones, en el estado en el que esta se encuentre, más no implica que deban generar información, procesarla, resumirla o practicar investigaciones para presentarla conforme al interés de los solicitantes.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no escapa de la óptica de este Organismo Garante que la particular, además de pretender se le conteste un cuestionario, solicitó la entrega de documentos en formato PDF, sin embargo, conforme a lo expuesto en el párrafo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hará entrega</w:t>
      </w:r>
      <w:r>
        <w:rPr>
          <w:rFonts w:ascii="Palatino Linotype" w:eastAsia="Palatino Linotype" w:hAnsi="Palatino Linotype" w:cs="Palatino Linotype"/>
          <w:b/>
        </w:rPr>
        <w:t xml:space="preserve"> </w:t>
      </w:r>
      <w:r>
        <w:rPr>
          <w:rFonts w:ascii="Palatino Linotype" w:eastAsia="Palatino Linotype" w:hAnsi="Palatino Linotype" w:cs="Palatino Linotype"/>
        </w:rPr>
        <w:t>del soporte documental como obre en sus archivos, pudiendo ser el formato solicitado, o en cualquier otro en el que se hubiera generado.</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de conformidad con lo establecido en los artículos 159</w:t>
      </w:r>
      <w:r>
        <w:rPr>
          <w:rFonts w:ascii="Palatino Linotype" w:eastAsia="Palatino Linotype" w:hAnsi="Palatino Linotype" w:cs="Palatino Linotype"/>
          <w:vertAlign w:val="superscript"/>
        </w:rPr>
        <w:footnoteReference w:id="11"/>
      </w:r>
      <w:r>
        <w:rPr>
          <w:rFonts w:ascii="Palatino Linotype" w:eastAsia="Palatino Linotype" w:hAnsi="Palatino Linotype" w:cs="Palatino Linotype"/>
        </w:rPr>
        <w:t xml:space="preserve"> y 160</w:t>
      </w:r>
      <w:r>
        <w:rPr>
          <w:rFonts w:ascii="Palatino Linotype" w:eastAsia="Palatino Linotype" w:hAnsi="Palatino Linotype" w:cs="Palatino Linotype"/>
          <w:vertAlign w:val="superscript"/>
        </w:rPr>
        <w:footnoteReference w:id="12"/>
      </w:r>
      <w:r>
        <w:rPr>
          <w:rFonts w:ascii="Palatino Linotype" w:eastAsia="Palatino Linotype" w:hAnsi="Palatino Linotype" w:cs="Palatino Linotype"/>
        </w:rPr>
        <w:t xml:space="preserve"> fracción II de la Ley General de Transparencia y Acceso a la Información Pública, se puntualiza que al particular le asiste el derecho de acudir e interponer recurso de inconformidad ante el Instituto Nacional de Transparencia, Acceso a la Información </w:t>
      </w:r>
      <w:r>
        <w:rPr>
          <w:rFonts w:ascii="Palatino Linotype" w:eastAsia="Palatino Linotype" w:hAnsi="Palatino Linotype" w:cs="Palatino Linotype"/>
        </w:rPr>
        <w:lastRenderedPageBreak/>
        <w:t xml:space="preserve">y Protección de Datos Personales, en contra de la resolución emitida por este Organismo Garante, toda vez que en el presente recurso de revisión se determina confirmar la inexistencia de información solicitada al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 Versión Pública.</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Finalmente, debe señalarse que de ser el caso en que los documentos que vayan a ser entregados por el</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sujeto obligado, para dar cumplimiento a la presente resolución, contengan datos que deban ser clasificados,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XXI. Información confidencial: </w:t>
      </w:r>
      <w:r>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w:t>
      </w:r>
      <w:r>
        <w:rPr>
          <w:rFonts w:ascii="Palatino Linotype" w:eastAsia="Palatino Linotype" w:hAnsi="Palatino Linotype" w:cs="Palatino Linotype"/>
        </w:rPr>
        <w:lastRenderedPageBreak/>
        <w:t>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FD3B00" w:rsidRDefault="00876CB2">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FD3B00" w:rsidRDefault="00876CB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w:t>
      </w:r>
      <w:r>
        <w:rPr>
          <w:rFonts w:ascii="Palatino Linotype" w:eastAsia="Palatino Linotype" w:hAnsi="Palatino Linotype" w:cs="Palatino Linotype"/>
        </w:rPr>
        <w:lastRenderedPageBreak/>
        <w:t xml:space="preserve">debe estar debidamente fundado y motivado,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ff1"/>
        <w:tblW w:w="8828" w:type="dxa"/>
        <w:tblInd w:w="0" w:type="dxa"/>
        <w:tblLayout w:type="fixed"/>
        <w:tblLook w:val="04A0" w:firstRow="1" w:lastRow="0" w:firstColumn="1" w:lastColumn="0" w:noHBand="0" w:noVBand="1"/>
      </w:tblPr>
      <w:tblGrid>
        <w:gridCol w:w="993"/>
        <w:gridCol w:w="3421"/>
        <w:gridCol w:w="968"/>
        <w:gridCol w:w="3446"/>
      </w:tblGrid>
      <w:tr w:rsidR="00FD3B00" w:rsidTr="00FD3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FD3B00" w:rsidRDefault="00876CB2">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rsidR="00FD3B00" w:rsidRDefault="00876CB2">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FD3B00" w:rsidTr="00FD3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D3B00" w:rsidRDefault="00876CB2">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421" w:type="dxa"/>
          </w:tcPr>
          <w:p w:rsidR="00FD3B00" w:rsidRDefault="00876CB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rsidR="00FD3B00" w:rsidRDefault="00876CB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FD3B00" w:rsidRDefault="00876CB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FD3B00" w:rsidTr="00FD3B00">
        <w:tc>
          <w:tcPr>
            <w:cnfStyle w:val="001000000000" w:firstRow="0" w:lastRow="0" w:firstColumn="1" w:lastColumn="0" w:oddVBand="0" w:evenVBand="0" w:oddHBand="0" w:evenHBand="0" w:firstRowFirstColumn="0" w:firstRowLastColumn="0" w:lastRowFirstColumn="0" w:lastRowLastColumn="0"/>
            <w:tcW w:w="8828" w:type="dxa"/>
            <w:gridSpan w:val="4"/>
          </w:tcPr>
          <w:p w:rsidR="00FD3B00" w:rsidRDefault="00876CB2">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FD3B00" w:rsidTr="00FD3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D3B00" w:rsidRDefault="00876CB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421" w:type="dxa"/>
          </w:tcPr>
          <w:p w:rsidR="00FD3B00" w:rsidRDefault="00876C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FD3B00" w:rsidRDefault="00876C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FD3B00" w:rsidRDefault="00876C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FD3B00" w:rsidTr="00FD3B00">
        <w:tc>
          <w:tcPr>
            <w:cnfStyle w:val="001000000000" w:firstRow="0" w:lastRow="0" w:firstColumn="1" w:lastColumn="0" w:oddVBand="0" w:evenVBand="0" w:oddHBand="0" w:evenHBand="0" w:firstRowFirstColumn="0" w:firstRowLastColumn="0" w:lastRowFirstColumn="0" w:lastRowLastColumn="0"/>
            <w:tcW w:w="993" w:type="dxa"/>
          </w:tcPr>
          <w:p w:rsidR="00FD3B00" w:rsidRDefault="00876CB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421" w:type="dxa"/>
          </w:tcPr>
          <w:p w:rsidR="00FD3B00" w:rsidRDefault="00876C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rsidR="00FD3B00" w:rsidRDefault="00876C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FD3B00" w:rsidRDefault="00876C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FD3B00" w:rsidTr="00FD3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D3B00" w:rsidRDefault="00876CB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421" w:type="dxa"/>
          </w:tcPr>
          <w:p w:rsidR="00FD3B00" w:rsidRDefault="00876C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FD3B00" w:rsidRDefault="00876C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FD3B00" w:rsidRDefault="00876C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FD3B00" w:rsidTr="00FD3B00">
        <w:tc>
          <w:tcPr>
            <w:cnfStyle w:val="001000000000" w:firstRow="0" w:lastRow="0" w:firstColumn="1" w:lastColumn="0" w:oddVBand="0" w:evenVBand="0" w:oddHBand="0" w:evenHBand="0" w:firstRowFirstColumn="0" w:firstRowLastColumn="0" w:lastRowFirstColumn="0" w:lastRowLastColumn="0"/>
            <w:tcW w:w="993" w:type="dxa"/>
          </w:tcPr>
          <w:p w:rsidR="00FD3B00" w:rsidRDefault="00876CB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rsidR="00FD3B00" w:rsidRDefault="00876C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FD3B00" w:rsidRDefault="00876C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FD3B00" w:rsidRDefault="00876C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FD3B00" w:rsidTr="00FD3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D3B00" w:rsidRDefault="00876CB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421" w:type="dxa"/>
          </w:tcPr>
          <w:p w:rsidR="00FD3B00" w:rsidRDefault="00876C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FD3B00" w:rsidRDefault="00876C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FD3B00" w:rsidRDefault="00876C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FD3B00" w:rsidTr="00FD3B00">
        <w:tc>
          <w:tcPr>
            <w:cnfStyle w:val="001000000000" w:firstRow="0" w:lastRow="0" w:firstColumn="1" w:lastColumn="0" w:oddVBand="0" w:evenVBand="0" w:oddHBand="0" w:evenHBand="0" w:firstRowFirstColumn="0" w:firstRowLastColumn="0" w:lastRowFirstColumn="0" w:lastRowLastColumn="0"/>
            <w:tcW w:w="993" w:type="dxa"/>
          </w:tcPr>
          <w:p w:rsidR="00FD3B00" w:rsidRDefault="00876CB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421" w:type="dxa"/>
          </w:tcPr>
          <w:p w:rsidR="00FD3B00" w:rsidRDefault="00876C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FD3B00" w:rsidRDefault="00876C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FD3B00" w:rsidRDefault="00876C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FD3B00" w:rsidTr="00FD3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D3B00" w:rsidRDefault="00876CB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rsidR="00FD3B00" w:rsidRDefault="00876C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FD3B00" w:rsidRDefault="00876C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FD3B00" w:rsidRDefault="00876C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FD3B00" w:rsidTr="00FD3B00">
        <w:tc>
          <w:tcPr>
            <w:cnfStyle w:val="001000000000" w:firstRow="0" w:lastRow="0" w:firstColumn="1" w:lastColumn="0" w:oddVBand="0" w:evenVBand="0" w:oddHBand="0" w:evenHBand="0" w:firstRowFirstColumn="0" w:firstRowLastColumn="0" w:lastRowFirstColumn="0" w:lastRowLastColumn="0"/>
            <w:tcW w:w="993" w:type="dxa"/>
          </w:tcPr>
          <w:p w:rsidR="00FD3B00" w:rsidRDefault="00876CB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421" w:type="dxa"/>
          </w:tcPr>
          <w:p w:rsidR="00FD3B00" w:rsidRDefault="00876C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rsidR="00FD3B00" w:rsidRDefault="00876C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FD3B00" w:rsidRDefault="00876C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FD3B00" w:rsidTr="00FD3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D3B00" w:rsidRDefault="00876CB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421" w:type="dxa"/>
          </w:tcPr>
          <w:p w:rsidR="00FD3B00" w:rsidRDefault="00876C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rsidR="00FD3B00" w:rsidRDefault="00876C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FD3B00" w:rsidRDefault="00876C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FD3B00" w:rsidTr="00FD3B00">
        <w:tc>
          <w:tcPr>
            <w:cnfStyle w:val="001000000000" w:firstRow="0" w:lastRow="0" w:firstColumn="1" w:lastColumn="0" w:oddVBand="0" w:evenVBand="0" w:oddHBand="0" w:evenHBand="0" w:firstRowFirstColumn="0" w:firstRowLastColumn="0" w:lastRowFirstColumn="0" w:lastRowLastColumn="0"/>
            <w:tcW w:w="993" w:type="dxa"/>
          </w:tcPr>
          <w:p w:rsidR="00FD3B00" w:rsidRDefault="00876CB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421" w:type="dxa"/>
          </w:tcPr>
          <w:p w:rsidR="00FD3B00" w:rsidRDefault="00876C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rsidR="00FD3B00" w:rsidRDefault="00876C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FD3B00" w:rsidRDefault="00876C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FD3B00" w:rsidTr="00FD3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D3B00" w:rsidRDefault="00FD3B00">
            <w:pPr>
              <w:jc w:val="both"/>
              <w:rPr>
                <w:rFonts w:ascii="Palatino Linotype" w:eastAsia="Palatino Linotype" w:hAnsi="Palatino Linotype" w:cs="Palatino Linotype"/>
                <w:sz w:val="12"/>
                <w:szCs w:val="12"/>
              </w:rPr>
            </w:pPr>
          </w:p>
        </w:tc>
        <w:tc>
          <w:tcPr>
            <w:tcW w:w="3421" w:type="dxa"/>
          </w:tcPr>
          <w:p w:rsidR="00FD3B00" w:rsidRDefault="00FD3B0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FD3B00" w:rsidRDefault="00876C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 xml:space="preserve">Partes o secciones reservadas o </w:t>
            </w:r>
            <w:r>
              <w:rPr>
                <w:rFonts w:ascii="Palatino Linotype" w:eastAsia="Palatino Linotype" w:hAnsi="Palatino Linotype" w:cs="Palatino Linotype"/>
                <w:b/>
                <w:sz w:val="12"/>
                <w:szCs w:val="12"/>
              </w:rPr>
              <w:lastRenderedPageBreak/>
              <w:t>confidenciales</w:t>
            </w:r>
          </w:p>
        </w:tc>
        <w:tc>
          <w:tcPr>
            <w:tcW w:w="3446" w:type="dxa"/>
          </w:tcPr>
          <w:p w:rsidR="00FD3B00" w:rsidRDefault="00876CB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lastRenderedPageBreak/>
              <w:t>En caso que una vez desclasificado el expediente, subsistanpartes o secciones del mismo reservadas o confidenciales, se señalará este hecho.</w:t>
            </w:r>
          </w:p>
        </w:tc>
      </w:tr>
      <w:tr w:rsidR="00FD3B00" w:rsidTr="00FD3B00">
        <w:tc>
          <w:tcPr>
            <w:cnfStyle w:val="001000000000" w:firstRow="0" w:lastRow="0" w:firstColumn="1" w:lastColumn="0" w:oddVBand="0" w:evenVBand="0" w:oddHBand="0" w:evenHBand="0" w:firstRowFirstColumn="0" w:firstRowLastColumn="0" w:lastRowFirstColumn="0" w:lastRowLastColumn="0"/>
            <w:tcW w:w="993" w:type="dxa"/>
          </w:tcPr>
          <w:p w:rsidR="00FD3B00" w:rsidRDefault="00FD3B00">
            <w:pPr>
              <w:jc w:val="both"/>
              <w:rPr>
                <w:rFonts w:ascii="Palatino Linotype" w:eastAsia="Palatino Linotype" w:hAnsi="Palatino Linotype" w:cs="Palatino Linotype"/>
                <w:sz w:val="12"/>
                <w:szCs w:val="12"/>
              </w:rPr>
            </w:pPr>
          </w:p>
        </w:tc>
        <w:tc>
          <w:tcPr>
            <w:tcW w:w="3421" w:type="dxa"/>
          </w:tcPr>
          <w:p w:rsidR="00FD3B00" w:rsidRDefault="00FD3B0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FD3B00" w:rsidRDefault="00876C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FD3B00" w:rsidRDefault="00876CB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FD3B00" w:rsidRDefault="00FD3B00"/>
    <w:p w:rsidR="00FD3B00" w:rsidRDefault="00876CB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FD3B00" w:rsidRDefault="00876CB2">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rsidR="00FD3B00" w:rsidRDefault="00876CB2">
      <w:pPr>
        <w:spacing w:before="240" w:after="240" w:line="360" w:lineRule="auto"/>
        <w:jc w:val="both"/>
        <w:rPr>
          <w:rFonts w:ascii="Palatino Linotype" w:eastAsia="Palatino Linotype" w:hAnsi="Palatino Linotype" w:cs="Palatino Linotype"/>
          <w:b/>
        </w:rPr>
      </w:pPr>
      <w:bookmarkStart w:id="13" w:name="_heading=h.3dy6vkm" w:colFirst="0" w:colLast="0"/>
      <w:bookmarkEnd w:id="13"/>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fundados</w:t>
      </w:r>
      <w:r>
        <w:rPr>
          <w:rFonts w:ascii="Palatino Linotype" w:eastAsia="Palatino Linotype" w:hAnsi="Palatino Linotype" w:cs="Palatino Linotype"/>
        </w:rPr>
        <w:t xml:space="preserve"> los motivos de inconformidad hechos valer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01939/INFOEM/IP/RR/2022,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 se</w:t>
      </w:r>
      <w:r>
        <w:rPr>
          <w:rFonts w:ascii="Palatino Linotype" w:eastAsia="Palatino Linotype" w:hAnsi="Palatino Linotype" w:cs="Palatino Linotype"/>
          <w:b/>
        </w:rPr>
        <w:t xml:space="preserve"> Modifica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rsidR="00FD3B00" w:rsidRDefault="00876CB2">
      <w:pPr>
        <w:spacing w:before="240" w:after="240" w:line="360" w:lineRule="auto"/>
        <w:jc w:val="both"/>
        <w:rPr>
          <w:rFonts w:ascii="Palatino Linotype" w:eastAsia="Palatino Linotype" w:hAnsi="Palatino Linotype" w:cs="Palatino Linotype"/>
        </w:rPr>
      </w:pPr>
      <w:bookmarkStart w:id="14" w:name="_heading=h.49x2ik5" w:colFirst="0" w:colLast="0"/>
      <w:bookmarkEnd w:id="14"/>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de esta resolución, haga entrega, vía SAIMEX, previa búsqueda exhaustiva y razonable, en versión pública de ser procedente, de lo siguiente en formato PDF o en el formato en que se hubiera generado:</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1. Estructura orgánica actualizada al 03 de febrero de 2022.</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2. Documento que dé cuenta del número de archivos de trámite con los que se cuenta al 03 de febrero de 2022.</w:t>
      </w:r>
    </w:p>
    <w:p w:rsidR="00FD3B00" w:rsidRDefault="00876CB2">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3. Documento dé cuenta del nombramiento o designación de los responsables del archivo de trámite.</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4. Documento en el que conste el nombre del servidor o los servidores públicos que tienen asignada la coordinación de la operación de los archivos de trámite. </w:t>
      </w:r>
    </w:p>
    <w:p w:rsidR="00FD3B00" w:rsidRDefault="00876CB2">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5. Evidencia de conocimientos, habilidades, competencias y experiencia archivística de los responsables de archivo de trámite.</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6. Soporte documental que dé cuenta de los programas o actividades tendentes a realizar la difusión del acervo documental del archivo histórico.</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7. Soporte documental que dé cuenta de los instrumentos de control y consulta archivística que se entregaron con motivo de la entrega recepción de los archivos de trámite, concentración e histórico, por el cambio de administración 2019-2021 – 2022-2024.</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8. Soporte documental dé cuenta de la capacitación impartida a los responsables del archivo de trámite para la entrega recepción de los archivos, derivado del cambio de administración 2019-2021 – 2022-2024, así como quien llevó a cabo la misma.</w:t>
      </w:r>
    </w:p>
    <w:p w:rsidR="00FD3B00" w:rsidRDefault="00876CB2">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9. Documento dé cuenta del número de auditorías archivísticas e inspecciones y/o revisiones que realizó la Contraloría Municipal a los archivos de trámite en los ejercicios 2019, 2020 y 2021.</w:t>
      </w:r>
    </w:p>
    <w:p w:rsidR="00FD3B00" w:rsidRDefault="00876CB2">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10. Acuerdo de Inexistencia del Comité de Transparencia, en términos de los artículos 19, último párrafo, 49 fracciones II y XIII, 169 y 170 de Ley de Transparencia y Acceso a la Información Pública del Estado de México y Municipios, en el que se </w:t>
      </w:r>
      <w:r>
        <w:rPr>
          <w:rFonts w:ascii="Palatino Linotype" w:eastAsia="Palatino Linotype" w:hAnsi="Palatino Linotype" w:cs="Palatino Linotype"/>
        </w:rPr>
        <w:lastRenderedPageBreak/>
        <w:t>funden y motiven las razones por las cuales no se generaron, poseen y/o administran los siguientes documentos:</w:t>
      </w:r>
    </w:p>
    <w:p w:rsidR="00FD3B00" w:rsidRDefault="00876CB2">
      <w:pPr>
        <w:spacing w:before="120" w:after="12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Acta o documento análogo mediante el cual se conformó el Grupo Interdisciplinario para los ejercicios 2019, 2020 y 2021.</w:t>
      </w:r>
    </w:p>
    <w:p w:rsidR="00FD3B00" w:rsidRDefault="00876CB2">
      <w:pPr>
        <w:spacing w:before="120" w:after="12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Documento que dé cuenta de los Servidores Públicos representantes del archivo de trámite en el Sistema Institucional de Archivos.</w:t>
      </w:r>
    </w:p>
    <w:p w:rsidR="00FD3B00" w:rsidRDefault="00876CB2">
      <w:pPr>
        <w:spacing w:before="120" w:after="12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Documento que dé cuenta del criterio para determinar los asuntos de cada documento.</w:t>
      </w:r>
    </w:p>
    <w:p w:rsidR="00FD3B00" w:rsidRDefault="00876CB2">
      <w:pPr>
        <w:spacing w:before="120" w:after="12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Formato institucional del inventario de transferencia secundaria.</w:t>
      </w:r>
    </w:p>
    <w:p w:rsidR="00FD3B00" w:rsidRDefault="00876CB2">
      <w:pPr>
        <w:spacing w:before="120" w:after="12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Procedimiento o criterios para la transferencia secundaria.</w:t>
      </w:r>
    </w:p>
    <w:p w:rsidR="00FD3B00" w:rsidRDefault="00876CB2">
      <w:pPr>
        <w:pBdr>
          <w:top w:val="nil"/>
          <w:left w:val="nil"/>
          <w:bottom w:val="nil"/>
          <w:right w:val="nil"/>
          <w:between w:val="nil"/>
        </w:pBdr>
        <w:spacing w:before="120" w:after="12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 Inscripción del Ayuntamiento en el Registro Estatal de Archivos, correspondiente al ejercicio 2021. </w:t>
      </w:r>
    </w:p>
    <w:p w:rsidR="00FD3B00" w:rsidRDefault="00876CB2">
      <w:pPr>
        <w:spacing w:before="280" w:after="280"/>
        <w:ind w:left="360"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FD3B00" w:rsidRDefault="00876CB2">
      <w:pPr>
        <w:spacing w:before="280" w:after="280"/>
        <w:ind w:left="360"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Para el caso de que el </w:t>
      </w:r>
      <w:r>
        <w:rPr>
          <w:rFonts w:ascii="Palatino Linotype" w:eastAsia="Palatino Linotype" w:hAnsi="Palatino Linotype" w:cs="Palatino Linotype"/>
          <w:b/>
          <w:i/>
          <w:sz w:val="20"/>
          <w:szCs w:val="20"/>
        </w:rPr>
        <w:t>Sujeto Obligado</w:t>
      </w:r>
      <w:r>
        <w:rPr>
          <w:rFonts w:ascii="Palatino Linotype" w:eastAsia="Palatino Linotype" w:hAnsi="Palatino Linotype" w:cs="Palatino Linotype"/>
          <w:i/>
          <w:sz w:val="20"/>
          <w:szCs w:val="20"/>
        </w:rPr>
        <w:t xml:space="preserve"> no cuente con la información que se ordena en los puntos 2, 3, 4, 6, 7 y 9, deberá emitir el Acuerdo de Inexistencia, en términos de los artículos 169 y 170 de la Ley de Transparencia y Acceso a la Información Pública del Estado de México y Municipios.</w:t>
      </w:r>
    </w:p>
    <w:p w:rsidR="00FD3B00" w:rsidRDefault="00876CB2">
      <w:pPr>
        <w:spacing w:before="280" w:after="280"/>
        <w:ind w:left="360"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En el supuesto que la información ordenada en el punto 8 no obre en los archivos del </w:t>
      </w:r>
      <w:r>
        <w:rPr>
          <w:rFonts w:ascii="Palatino Linotype" w:eastAsia="Palatino Linotype" w:hAnsi="Palatino Linotype" w:cs="Palatino Linotype"/>
          <w:b/>
          <w:i/>
          <w:sz w:val="20"/>
          <w:szCs w:val="20"/>
        </w:rPr>
        <w:t>Sujeto Obligado</w:t>
      </w:r>
      <w:r>
        <w:rPr>
          <w:rFonts w:ascii="Palatino Linotype" w:eastAsia="Palatino Linotype" w:hAnsi="Palatino Linotype" w:cs="Palatino Linotype"/>
          <w:i/>
          <w:sz w:val="20"/>
          <w:szCs w:val="20"/>
        </w:rPr>
        <w:t xml:space="preserve"> bastará con que así lo haga del conocimiento de la parte </w:t>
      </w:r>
      <w:r>
        <w:rPr>
          <w:rFonts w:ascii="Palatino Linotype" w:eastAsia="Palatino Linotype" w:hAnsi="Palatino Linotype" w:cs="Palatino Linotype"/>
          <w:b/>
          <w:i/>
          <w:sz w:val="20"/>
          <w:szCs w:val="20"/>
        </w:rPr>
        <w:t>Recurrente</w:t>
      </w:r>
      <w:r>
        <w:rPr>
          <w:rFonts w:ascii="Palatino Linotype" w:eastAsia="Palatino Linotype" w:hAnsi="Palatino Linotype" w:cs="Palatino Linotype"/>
          <w:i/>
          <w:sz w:val="20"/>
          <w:szCs w:val="20"/>
        </w:rPr>
        <w:t>, para tener por colmados los requerimientos de información.</w:t>
      </w:r>
    </w:p>
    <w:p w:rsidR="00FD3B00" w:rsidRDefault="00876CB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vía</w:t>
      </w:r>
      <w:r>
        <w:rPr>
          <w:rFonts w:ascii="Palatino Linotype" w:eastAsia="Palatino Linotype" w:hAnsi="Palatino Linotype" w:cs="Palatino Linotype"/>
          <w:b/>
        </w:rPr>
        <w:t xml:space="preserve"> SAIMEX, </w:t>
      </w:r>
      <w:r>
        <w:rPr>
          <w:rFonts w:ascii="Palatino Linotype" w:eastAsia="Palatino Linotype" w:hAnsi="Palatino Linotype" w:cs="Palatino Linotype"/>
        </w:rPr>
        <w:t xml:space="preserve">al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 los artículo 186, último párrafo y 189, párrafo segundo de la Ley de Transparencia y Acceso a la </w:t>
      </w:r>
      <w:r>
        <w:rPr>
          <w:rFonts w:ascii="Palatino Linotype" w:eastAsia="Palatino Linotype" w:hAnsi="Palatino Linotype" w:cs="Palatino Linotype"/>
        </w:rPr>
        <w:lastRenderedPageBreak/>
        <w:t>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rsidR="00FD3B00" w:rsidRDefault="00876C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FD3B00" w:rsidRDefault="00876CB2">
      <w:pPr>
        <w:spacing w:before="240" w:after="240" w:line="360" w:lineRule="auto"/>
        <w:jc w:val="both"/>
        <w:rPr>
          <w:rFonts w:ascii="Palatino Linotype" w:eastAsia="Palatino Linotype" w:hAnsi="Palatino Linotype" w:cs="Palatino Linotype"/>
        </w:rPr>
      </w:pPr>
      <w:bookmarkStart w:id="15" w:name="_heading=h.4d34og8" w:colFirst="0" w:colLast="0"/>
      <w:bookmarkEnd w:id="15"/>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rsidR="00FD3B00" w:rsidRDefault="00876C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UNO DE JUNIO DE DOS MIL VEINTIDÓS, ANTE EL SECRETARIO TÉCNICO DEL PLENO ALEXIS TAPIA RAMÍREZ.</w:t>
      </w:r>
    </w:p>
    <w:p w:rsidR="00FD3B00" w:rsidRDefault="00FD3B00">
      <w:pPr>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p w:rsidR="00FD3B00" w:rsidRDefault="00FD3B00">
      <w:pPr>
        <w:spacing w:line="360" w:lineRule="auto"/>
        <w:jc w:val="both"/>
        <w:rPr>
          <w:rFonts w:ascii="Palatino Linotype" w:eastAsia="Palatino Linotype" w:hAnsi="Palatino Linotype" w:cs="Palatino Linotype"/>
        </w:rPr>
      </w:pPr>
    </w:p>
    <w:sectPr w:rsidR="00FD3B00">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858" w:rsidRDefault="00876CB2">
      <w:r>
        <w:separator/>
      </w:r>
    </w:p>
  </w:endnote>
  <w:endnote w:type="continuationSeparator" w:id="0">
    <w:p w:rsidR="00F35858" w:rsidRDefault="00876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altName w:val="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B00" w:rsidRDefault="00876CB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13CC8">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13CC8">
      <w:rPr>
        <w:rFonts w:ascii="Palatino Linotype" w:eastAsia="Palatino Linotype" w:hAnsi="Palatino Linotype" w:cs="Palatino Linotype"/>
        <w:b/>
        <w:noProof/>
        <w:color w:val="000000"/>
        <w:sz w:val="20"/>
        <w:szCs w:val="20"/>
      </w:rPr>
      <w:t>102</w:t>
    </w:r>
    <w:r>
      <w:rPr>
        <w:rFonts w:ascii="Palatino Linotype" w:eastAsia="Palatino Linotype" w:hAnsi="Palatino Linotype" w:cs="Palatino Linotype"/>
        <w:b/>
        <w:color w:val="000000"/>
        <w:sz w:val="20"/>
        <w:szCs w:val="20"/>
      </w:rPr>
      <w:fldChar w:fldCharType="end"/>
    </w:r>
  </w:p>
  <w:p w:rsidR="00FD3B00" w:rsidRDefault="00FD3B0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B00" w:rsidRDefault="00876CB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13CC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13CC8">
      <w:rPr>
        <w:rFonts w:ascii="Palatino Linotype" w:eastAsia="Palatino Linotype" w:hAnsi="Palatino Linotype" w:cs="Palatino Linotype"/>
        <w:b/>
        <w:noProof/>
        <w:color w:val="000000"/>
        <w:sz w:val="20"/>
        <w:szCs w:val="20"/>
      </w:rPr>
      <w:t>102</w:t>
    </w:r>
    <w:r>
      <w:rPr>
        <w:rFonts w:ascii="Palatino Linotype" w:eastAsia="Palatino Linotype" w:hAnsi="Palatino Linotype" w:cs="Palatino Linotype"/>
        <w:b/>
        <w:color w:val="000000"/>
        <w:sz w:val="20"/>
        <w:szCs w:val="20"/>
      </w:rPr>
      <w:fldChar w:fldCharType="end"/>
    </w:r>
  </w:p>
  <w:p w:rsidR="00FD3B00" w:rsidRDefault="00FD3B0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858" w:rsidRDefault="00876CB2">
      <w:r>
        <w:separator/>
      </w:r>
    </w:p>
  </w:footnote>
  <w:footnote w:type="continuationSeparator" w:id="0">
    <w:p w:rsidR="00F35858" w:rsidRDefault="00876CB2">
      <w:r>
        <w:continuationSeparator/>
      </w:r>
    </w:p>
  </w:footnote>
  <w:footnote w:id="1">
    <w:p w:rsidR="00FD3B00" w:rsidRDefault="00876CB2">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w:t>
      </w:r>
      <w:r>
        <w:rPr>
          <w:rFonts w:ascii="Palatino Linotype" w:eastAsia="Palatino Linotype" w:hAnsi="Palatino Linotype" w:cs="Palatino Linotype"/>
          <w:i/>
          <w:sz w:val="16"/>
          <w:szCs w:val="16"/>
        </w:rPr>
        <w:t>Diccionario De Derecho Constitucional, Garantías y Amparo</w:t>
      </w:r>
      <w:r>
        <w:rPr>
          <w:rFonts w:ascii="Palatino Linotype" w:eastAsia="Palatino Linotype" w:hAnsi="Palatino Linotype" w:cs="Palatino Linotype"/>
          <w:sz w:val="16"/>
          <w:szCs w:val="16"/>
        </w:rPr>
        <w:t>. Ed. Porrúa, S.A., México. 1992. p. 115.</w:t>
      </w:r>
    </w:p>
  </w:footnote>
  <w:footnote w:id="2">
    <w:p w:rsidR="00FD3B00" w:rsidRDefault="00876CB2">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3">
    <w:p w:rsidR="00FD3B00" w:rsidRDefault="00876CB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4">
    <w:p w:rsidR="00FD3B00" w:rsidRDefault="00876CB2">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VILLANUEVA Ernesto. Derecho de la Información, Ed. Porrúa. S.A., México. 2006. p. 270.</w:t>
      </w:r>
    </w:p>
  </w:footnote>
  <w:footnote w:id="5">
    <w:p w:rsidR="00FD3B00" w:rsidRDefault="00876CB2">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FD3B00" w:rsidRDefault="00876CB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6">
    <w:p w:rsidR="00FD3B00" w:rsidRDefault="00876CB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 w:id="7">
    <w:p w:rsidR="00FD3B00" w:rsidRDefault="00876CB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https://dasd-registroarchivos.edomex.gob.mx/</w:t>
      </w:r>
    </w:p>
  </w:footnote>
  <w:footnote w:id="8">
    <w:p w:rsidR="00FD3B00" w:rsidRDefault="00876CB2">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19.- 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rsidR="00FD3B00" w:rsidRDefault="00876CB2">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rsidR="00FD3B00" w:rsidRDefault="00876CB2">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rsidR="00FD3B00" w:rsidRDefault="00876CB2">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footnote>
  <w:footnote w:id="9">
    <w:p w:rsidR="00FD3B00" w:rsidRDefault="00876CB2">
      <w:pPr>
        <w:ind w:right="49"/>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sz w:val="16"/>
          <w:szCs w:val="16"/>
        </w:rPr>
        <w:t>Artículo 53.</w:t>
      </w:r>
      <w:r>
        <w:rPr>
          <w:rFonts w:ascii="Palatino Linotype" w:eastAsia="Palatino Linotype" w:hAnsi="Palatino Linotype" w:cs="Palatino Linotype"/>
          <w:sz w:val="16"/>
          <w:szCs w:val="16"/>
        </w:rPr>
        <w:t xml:space="preserve"> Las </w:t>
      </w:r>
      <w:r>
        <w:rPr>
          <w:rFonts w:ascii="Palatino Linotype" w:eastAsia="Palatino Linotype" w:hAnsi="Palatino Linotype" w:cs="Palatino Linotype"/>
          <w:b/>
          <w:sz w:val="16"/>
          <w:szCs w:val="16"/>
        </w:rPr>
        <w:t>Unidades de Transparencia</w:t>
      </w:r>
      <w:r>
        <w:rPr>
          <w:rFonts w:ascii="Palatino Linotype" w:eastAsia="Palatino Linotype" w:hAnsi="Palatino Linotype" w:cs="Palatino Linotype"/>
          <w:sz w:val="16"/>
          <w:szCs w:val="16"/>
        </w:rPr>
        <w:t xml:space="preserve"> tendrán las siguientes funciones:</w:t>
      </w:r>
      <w:r>
        <w:rPr>
          <w:rFonts w:ascii="Palatino Linotype" w:eastAsia="Palatino Linotype" w:hAnsi="Palatino Linotype" w:cs="Palatino Linotype"/>
          <w:color w:val="000000"/>
          <w:sz w:val="16"/>
          <w:szCs w:val="16"/>
        </w:rPr>
        <w:t>…</w:t>
      </w:r>
    </w:p>
    <w:p w:rsidR="00FD3B00" w:rsidRDefault="00876CB2">
      <w:pPr>
        <w:ind w:right="49"/>
        <w:jc w:val="both"/>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t>II.</w:t>
      </w:r>
      <w:r>
        <w:rPr>
          <w:rFonts w:ascii="Palatino Linotype" w:eastAsia="Palatino Linotype" w:hAnsi="Palatino Linotype" w:cs="Palatino Linotype"/>
          <w:sz w:val="16"/>
          <w:szCs w:val="16"/>
        </w:rPr>
        <w:t xml:space="preserve"> Recibir, tramitar y dar respuesta a las solicitudes de acceso a la información;</w:t>
      </w:r>
    </w:p>
    <w:p w:rsidR="00FD3B00" w:rsidRDefault="00876CB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IV.</w:t>
      </w:r>
      <w:r>
        <w:rPr>
          <w:rFonts w:ascii="Palatino Linotype" w:eastAsia="Palatino Linotype" w:hAnsi="Palatino Linotype" w:cs="Palatino Linotype"/>
          <w:color w:val="000000"/>
          <w:sz w:val="16"/>
          <w:szCs w:val="16"/>
        </w:rPr>
        <w:t xml:space="preserve"> Realizar, con efectividad, los trámites internos necesarios para la atención de las solicitudes de acceso a la información;</w:t>
      </w:r>
    </w:p>
    <w:p w:rsidR="00FD3B00" w:rsidRDefault="00876CB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V.</w:t>
      </w:r>
      <w:r>
        <w:rPr>
          <w:rFonts w:ascii="Palatino Linotype" w:eastAsia="Palatino Linotype" w:hAnsi="Palatino Linotype" w:cs="Palatino Linotype"/>
          <w:color w:val="000000"/>
          <w:sz w:val="16"/>
          <w:szCs w:val="16"/>
        </w:rPr>
        <w:t xml:space="preserve"> Entregar, en su caso, a los particulares la información solicitada; </w:t>
      </w:r>
    </w:p>
    <w:p w:rsidR="00FD3B00" w:rsidRDefault="00876CB2">
      <w:pPr>
        <w:ind w:right="49"/>
        <w:jc w:val="both"/>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t>VI.</w:t>
      </w:r>
      <w:r>
        <w:rPr>
          <w:rFonts w:ascii="Palatino Linotype" w:eastAsia="Palatino Linotype" w:hAnsi="Palatino Linotype" w:cs="Palatino Linotype"/>
          <w:sz w:val="16"/>
          <w:szCs w:val="16"/>
        </w:rPr>
        <w:t xml:space="preserve"> Efectuar las notificaciones a los solicitantes;</w:t>
      </w:r>
    </w:p>
  </w:footnote>
  <w:footnote w:id="10">
    <w:p w:rsidR="00FD3B00" w:rsidRDefault="00876CB2">
      <w:pPr>
        <w:pBdr>
          <w:top w:val="nil"/>
          <w:left w:val="nil"/>
          <w:bottom w:val="nil"/>
          <w:right w:val="nil"/>
          <w:between w:val="nil"/>
        </w:pBdr>
        <w:ind w:right="49"/>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162.</w:t>
      </w:r>
      <w:r>
        <w:rPr>
          <w:rFonts w:ascii="Palatino Linotype" w:eastAsia="Palatino Linotype" w:hAnsi="Palatino Linotype" w:cs="Palatino Linotype"/>
          <w:color w:val="000000"/>
          <w:sz w:val="16"/>
          <w:szCs w:val="16"/>
        </w:rPr>
        <w:t xml:space="preserve"> Las </w:t>
      </w:r>
      <w:r>
        <w:rPr>
          <w:rFonts w:ascii="Palatino Linotype" w:eastAsia="Palatino Linotype" w:hAnsi="Palatino Linotype" w:cs="Palatino Linotype"/>
          <w:b/>
          <w:color w:val="000000"/>
          <w:sz w:val="16"/>
          <w:szCs w:val="16"/>
        </w:rPr>
        <w:t>unidades de transparencia</w:t>
      </w:r>
      <w:r>
        <w:rPr>
          <w:rFonts w:ascii="Palatino Linotype" w:eastAsia="Palatino Linotype" w:hAnsi="Palatino Linotype" w:cs="Palatino Linotype"/>
          <w:color w:val="000000"/>
          <w:sz w:val="16"/>
          <w:szCs w:val="16"/>
        </w:rPr>
        <w:t xml:space="preserve"> deberán </w:t>
      </w:r>
      <w:r>
        <w:rPr>
          <w:rFonts w:ascii="Palatino Linotype" w:eastAsia="Palatino Linotype" w:hAnsi="Palatino Linotype" w:cs="Palatino Linotype"/>
          <w:b/>
          <w:color w:val="000000"/>
          <w:sz w:val="16"/>
          <w:szCs w:val="16"/>
        </w:rPr>
        <w:t>garantizar que las solicitudes se turnen a todas las Áreas competentes</w:t>
      </w:r>
      <w:r>
        <w:rPr>
          <w:rFonts w:ascii="Palatino Linotype" w:eastAsia="Palatino Linotype" w:hAnsi="Palatino Linotype" w:cs="Palatino Linotype"/>
          <w:color w:val="000000"/>
          <w:sz w:val="16"/>
          <w:szCs w:val="16"/>
        </w:rPr>
        <w:t xml:space="preserve"> que </w:t>
      </w:r>
      <w:r>
        <w:rPr>
          <w:rFonts w:ascii="Palatino Linotype" w:eastAsia="Palatino Linotype" w:hAnsi="Palatino Linotype" w:cs="Palatino Linotype"/>
          <w:b/>
          <w:color w:val="000000"/>
          <w:sz w:val="16"/>
          <w:szCs w:val="16"/>
        </w:rPr>
        <w:t>cuenten con la información o deban tenerla de acuerdo a sus facultades, competencias y funciones,</w:t>
      </w:r>
      <w:r>
        <w:rPr>
          <w:rFonts w:ascii="Palatino Linotype" w:eastAsia="Palatino Linotype" w:hAnsi="Palatino Linotype" w:cs="Palatino Linotype"/>
          <w:color w:val="000000"/>
          <w:sz w:val="16"/>
          <w:szCs w:val="16"/>
        </w:rPr>
        <w:t xml:space="preserve"> con el objeto de que realicen una </w:t>
      </w:r>
      <w:r>
        <w:rPr>
          <w:rFonts w:ascii="Palatino Linotype" w:eastAsia="Palatino Linotype" w:hAnsi="Palatino Linotype" w:cs="Palatino Linotype"/>
          <w:b/>
          <w:color w:val="000000"/>
          <w:sz w:val="16"/>
          <w:szCs w:val="16"/>
        </w:rPr>
        <w:t>búsqueda exhaustiva y razonable</w:t>
      </w:r>
      <w:r>
        <w:rPr>
          <w:rFonts w:ascii="Palatino Linotype" w:eastAsia="Palatino Linotype" w:hAnsi="Palatino Linotype" w:cs="Palatino Linotype"/>
          <w:color w:val="000000"/>
          <w:sz w:val="16"/>
          <w:szCs w:val="16"/>
        </w:rPr>
        <w:t xml:space="preserve"> de la información solicitada.</w:t>
      </w:r>
    </w:p>
  </w:footnote>
  <w:footnote w:id="11">
    <w:p w:rsidR="00FD3B00" w:rsidRDefault="00876CB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 xml:space="preserve">Artículo 159. </w:t>
      </w:r>
      <w:r>
        <w:rPr>
          <w:rFonts w:ascii="Palatino Linotype" w:eastAsia="Palatino Linotype" w:hAnsi="Palatino Linotype" w:cs="Palatino Linotype"/>
          <w:color w:val="000000"/>
          <w:sz w:val="16"/>
          <w:szCs w:val="16"/>
        </w:rPr>
        <w:t>Tratándose de las resoluciones a los recursos de revisión de los Organismos garantes de las Entidades Federativas, los particulares podrán optar por acudir ante el Instituto o ante el Poder Judicial de la Federación.</w:t>
      </w:r>
    </w:p>
  </w:footnote>
  <w:footnote w:id="12">
    <w:p w:rsidR="00FD3B00" w:rsidRDefault="00876CB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160.</w:t>
      </w:r>
      <w:r>
        <w:rPr>
          <w:rFonts w:ascii="Palatino Linotype" w:eastAsia="Palatino Linotype" w:hAnsi="Palatino Linotype" w:cs="Palatino Linotype"/>
          <w:color w:val="000000"/>
          <w:sz w:val="16"/>
          <w:szCs w:val="16"/>
        </w:rPr>
        <w:t xml:space="preserve"> El recurso de inconformidad procede contra las resoluciones emitidas por los Organismos garantes de las Entidades Federativas que:</w:t>
      </w:r>
    </w:p>
    <w:p w:rsidR="00FD3B00" w:rsidRDefault="00876CB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Confirmen la inexistencia de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B00" w:rsidRDefault="00876CB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-1080131</wp:posOffset>
          </wp:positionH>
          <wp:positionV relativeFrom="paragraph">
            <wp:posOffset>-488311</wp:posOffset>
          </wp:positionV>
          <wp:extent cx="7809865" cy="10165715"/>
          <wp:effectExtent l="0" t="0" r="0" b="0"/>
          <wp:wrapNone/>
          <wp:docPr id="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3"/>
      <w:tblW w:w="5953" w:type="dxa"/>
      <w:tblInd w:w="3261" w:type="dxa"/>
      <w:tblLayout w:type="fixed"/>
      <w:tblLook w:val="0400" w:firstRow="0" w:lastRow="0" w:firstColumn="0" w:lastColumn="0" w:noHBand="0" w:noVBand="1"/>
    </w:tblPr>
    <w:tblGrid>
      <w:gridCol w:w="2489"/>
      <w:gridCol w:w="3464"/>
    </w:tblGrid>
    <w:tr w:rsidR="00FD3B00">
      <w:tc>
        <w:tcPr>
          <w:tcW w:w="2489" w:type="dxa"/>
          <w:shd w:val="clear" w:color="auto" w:fill="auto"/>
        </w:tcPr>
        <w:p w:rsidR="00FD3B00" w:rsidRDefault="00876C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FD3B00" w:rsidRDefault="00876CB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01939/INFOEM/IP/RR/2022</w:t>
          </w:r>
        </w:p>
      </w:tc>
    </w:tr>
    <w:tr w:rsidR="00FD3B00">
      <w:trPr>
        <w:trHeight w:val="228"/>
      </w:trPr>
      <w:tc>
        <w:tcPr>
          <w:tcW w:w="2489" w:type="dxa"/>
          <w:shd w:val="clear" w:color="auto" w:fill="auto"/>
          <w:vAlign w:val="center"/>
        </w:tcPr>
        <w:p w:rsidR="00FD3B00" w:rsidRDefault="00876C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FD3B00" w:rsidRDefault="00876CB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Zacualpan</w:t>
          </w:r>
        </w:p>
      </w:tc>
    </w:tr>
    <w:tr w:rsidR="00FD3B00">
      <w:tc>
        <w:tcPr>
          <w:tcW w:w="2489" w:type="dxa"/>
          <w:shd w:val="clear" w:color="auto" w:fill="auto"/>
          <w:vAlign w:val="center"/>
        </w:tcPr>
        <w:p w:rsidR="00FD3B00" w:rsidRDefault="00876CB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FD3B00" w:rsidRDefault="00876CB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D3B00" w:rsidRDefault="00876CB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B00" w:rsidRDefault="00FD3B0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ff2"/>
      <w:tblW w:w="5670" w:type="dxa"/>
      <w:tblInd w:w="3261" w:type="dxa"/>
      <w:tblLayout w:type="fixed"/>
      <w:tblLook w:val="0400" w:firstRow="0" w:lastRow="0" w:firstColumn="0" w:lastColumn="0" w:noHBand="0" w:noVBand="1"/>
    </w:tblPr>
    <w:tblGrid>
      <w:gridCol w:w="2551"/>
      <w:gridCol w:w="3119"/>
    </w:tblGrid>
    <w:tr w:rsidR="00FD3B00">
      <w:tc>
        <w:tcPr>
          <w:tcW w:w="2551" w:type="dxa"/>
          <w:shd w:val="clear" w:color="auto" w:fill="auto"/>
          <w:vAlign w:val="center"/>
        </w:tcPr>
        <w:p w:rsidR="00FD3B00" w:rsidRDefault="00876C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FD3B00" w:rsidRDefault="00876CB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01939/INFOEM/IP/RR/2022</w:t>
          </w:r>
        </w:p>
      </w:tc>
    </w:tr>
    <w:tr w:rsidR="00FD3B00">
      <w:trPr>
        <w:trHeight w:val="130"/>
      </w:trPr>
      <w:tc>
        <w:tcPr>
          <w:tcW w:w="2551" w:type="dxa"/>
          <w:shd w:val="clear" w:color="auto" w:fill="auto"/>
          <w:vAlign w:val="center"/>
        </w:tcPr>
        <w:p w:rsidR="00FD3B00" w:rsidRDefault="00876C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FD3B00" w:rsidRDefault="00213CC8" w:rsidP="00213CC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w:t>
          </w:r>
          <w:r w:rsidR="00876CB2">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w:t>
          </w:r>
          <w:r w:rsidR="00876CB2">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XXXXXXX</w:t>
          </w:r>
        </w:p>
      </w:tc>
    </w:tr>
    <w:tr w:rsidR="00FD3B00">
      <w:trPr>
        <w:trHeight w:val="228"/>
      </w:trPr>
      <w:tc>
        <w:tcPr>
          <w:tcW w:w="2551" w:type="dxa"/>
          <w:shd w:val="clear" w:color="auto" w:fill="auto"/>
          <w:vAlign w:val="center"/>
        </w:tcPr>
        <w:p w:rsidR="00FD3B00" w:rsidRDefault="00876C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FD3B00" w:rsidRDefault="00876CB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Zacualpan</w:t>
          </w:r>
        </w:p>
      </w:tc>
    </w:tr>
    <w:tr w:rsidR="00FD3B00">
      <w:tc>
        <w:tcPr>
          <w:tcW w:w="2551" w:type="dxa"/>
          <w:shd w:val="clear" w:color="auto" w:fill="auto"/>
          <w:vAlign w:val="center"/>
        </w:tcPr>
        <w:p w:rsidR="00FD3B00" w:rsidRDefault="00876C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FD3B00" w:rsidRDefault="00876CB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D3B00" w:rsidRDefault="00876CB2">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simplePos x="0" y="0"/>
          <wp:positionH relativeFrom="column">
            <wp:posOffset>-1089656</wp:posOffset>
          </wp:positionH>
          <wp:positionV relativeFrom="paragraph">
            <wp:posOffset>-1169666</wp:posOffset>
          </wp:positionV>
          <wp:extent cx="7809865" cy="10165715"/>
          <wp:effectExtent l="0" t="0" r="0" b="0"/>
          <wp:wrapNone/>
          <wp:docPr id="5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6559E"/>
    <w:multiLevelType w:val="multilevel"/>
    <w:tmpl w:val="B8BEEA06"/>
    <w:lvl w:ilvl="0">
      <w:start w:val="3"/>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5F453E3"/>
    <w:multiLevelType w:val="multilevel"/>
    <w:tmpl w:val="F0929AC6"/>
    <w:lvl w:ilvl="0">
      <w:start w:val="1"/>
      <w:numFmt w:val="decimal"/>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1A32EB9"/>
    <w:multiLevelType w:val="multilevel"/>
    <w:tmpl w:val="3EBC1294"/>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54AF07F8"/>
    <w:multiLevelType w:val="multilevel"/>
    <w:tmpl w:val="E09A38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DAE73DC"/>
    <w:multiLevelType w:val="multilevel"/>
    <w:tmpl w:val="38384E6E"/>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B00"/>
    <w:rsid w:val="00213CC8"/>
    <w:rsid w:val="00876CB2"/>
    <w:rsid w:val="00F35858"/>
    <w:rsid w:val="00FD3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E27A293A-BF16-4A43-A21B-C4360A414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51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rsid w:val="003B73CD"/>
    <w:rPr>
      <w:b/>
      <w:bCs/>
      <w:i/>
      <w:iCs/>
      <w:sz w:val="26"/>
      <w:szCs w:val="26"/>
      <w:lang w:val="en-US" w:eastAsia="en-US"/>
    </w:rPr>
  </w:style>
  <w:style w:type="character" w:customStyle="1" w:styleId="Ttulo6Car">
    <w:name w:val="Título 6 Car"/>
    <w:basedOn w:val="Fuentedeprrafopredeter"/>
    <w:link w:val="Ttulo6"/>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rsid w:val="003B73CD"/>
    <w:rPr>
      <w:lang w:val="en-US" w:eastAsia="en-US"/>
    </w:rPr>
  </w:style>
  <w:style w:type="character" w:customStyle="1" w:styleId="Ttulo8Car">
    <w:name w:val="Título 8 Car"/>
    <w:basedOn w:val="Fuentedeprrafopredeter"/>
    <w:link w:val="Ttulo8"/>
    <w:uiPriority w:val="9"/>
    <w:rsid w:val="003B73CD"/>
    <w:rPr>
      <w:i/>
      <w:iCs/>
      <w:lang w:val="en-US" w:eastAsia="en-US"/>
    </w:rPr>
  </w:style>
  <w:style w:type="character" w:customStyle="1" w:styleId="Ttulo9Car">
    <w:name w:val="Título 9 Car"/>
    <w:basedOn w:val="Fuentedeprrafopredeter"/>
    <w:link w:val="Ttulo9"/>
    <w:uiPriority w:val="9"/>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paragraph" w:customStyle="1" w:styleId="Citas">
    <w:name w:val="Citas"/>
    <w:basedOn w:val="Normal"/>
    <w:qFormat/>
    <w:rsid w:val="003B5C34"/>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3">
    <w:basedOn w:val="TableNormal2"/>
    <w:tblPr>
      <w:tblStyleRowBandSize w:val="1"/>
      <w:tblStyleColBandSize w:val="1"/>
      <w:tblCellMar>
        <w:top w:w="0" w:type="dxa"/>
        <w:left w:w="108" w:type="dxa"/>
        <w:bottom w:w="0" w:type="dxa"/>
        <w:right w:w="108"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108" w:type="dxa"/>
        <w:bottom w:w="0" w:type="dxa"/>
        <w:right w:w="108"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 w:type="table" w:customStyle="1" w:styleId="af0">
    <w:basedOn w:val="TableNormal1"/>
    <w:tblPr>
      <w:tblStyleRowBandSize w:val="1"/>
      <w:tblStyleColBandSize w:val="1"/>
      <w:tblCellMar>
        <w:top w:w="0" w:type="dxa"/>
        <w:left w:w="108" w:type="dxa"/>
        <w:bottom w:w="0" w:type="dxa"/>
        <w:right w:w="108" w:type="dxa"/>
      </w:tblCellMar>
    </w:tblPr>
  </w:style>
  <w:style w:type="table" w:customStyle="1" w:styleId="af1">
    <w:basedOn w:val="TableNormal1"/>
    <w:tblPr>
      <w:tblStyleRowBandSize w:val="1"/>
      <w:tblStyleColBandSize w:val="1"/>
      <w:tblCellMar>
        <w:top w:w="0" w:type="dxa"/>
        <w:left w:w="108" w:type="dxa"/>
        <w:bottom w:w="0" w:type="dxa"/>
        <w:right w:w="108" w:type="dxa"/>
      </w:tblCellMar>
    </w:tblPr>
  </w:style>
  <w:style w:type="table" w:customStyle="1" w:styleId="af2">
    <w:basedOn w:val="TableNormal1"/>
    <w:tblPr>
      <w:tblStyleRowBandSize w:val="1"/>
      <w:tblStyleColBandSize w:val="1"/>
      <w:tblCellMar>
        <w:top w:w="0" w:type="dxa"/>
        <w:left w:w="108" w:type="dxa"/>
        <w:bottom w:w="0" w:type="dxa"/>
        <w:right w:w="108" w:type="dxa"/>
      </w:tblCellMar>
    </w:tblPr>
  </w:style>
  <w:style w:type="table" w:customStyle="1" w:styleId="af3">
    <w:basedOn w:val="TableNormal1"/>
    <w:tblPr>
      <w:tblStyleRowBandSize w:val="1"/>
      <w:tblStyleColBandSize w:val="1"/>
      <w:tblCellMar>
        <w:top w:w="0" w:type="dxa"/>
        <w:left w:w="108" w:type="dxa"/>
        <w:bottom w:w="0" w:type="dxa"/>
        <w:right w:w="108" w:type="dxa"/>
      </w:tblCellMar>
    </w:tblPr>
  </w:style>
  <w:style w:type="table" w:customStyle="1" w:styleId="af4">
    <w:basedOn w:val="TableNormal1"/>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CellMar>
        <w:top w:w="0" w:type="dxa"/>
        <w:left w:w="108" w:type="dxa"/>
        <w:bottom w:w="0" w:type="dxa"/>
        <w:right w:w="108" w:type="dxa"/>
      </w:tblCellMar>
    </w:tblPr>
  </w:style>
  <w:style w:type="table" w:customStyle="1" w:styleId="af6">
    <w:basedOn w:val="TableNormal1"/>
    <w:tblPr>
      <w:tblStyleRowBandSize w:val="1"/>
      <w:tblStyleColBandSize w:val="1"/>
      <w:tblCellMar>
        <w:top w:w="0" w:type="dxa"/>
        <w:left w:w="108" w:type="dxa"/>
        <w:bottom w:w="0" w:type="dxa"/>
        <w:right w:w="108" w:type="dxa"/>
      </w:tblCellMar>
    </w:tblPr>
  </w:style>
  <w:style w:type="table" w:customStyle="1" w:styleId="af7">
    <w:basedOn w:val="TableNormal1"/>
    <w:tblPr>
      <w:tblStyleRowBandSize w:val="1"/>
      <w:tblStyleColBandSize w:val="1"/>
      <w:tblCellMar>
        <w:top w:w="0" w:type="dxa"/>
        <w:left w:w="108" w:type="dxa"/>
        <w:bottom w:w="0" w:type="dxa"/>
        <w:right w:w="108" w:type="dxa"/>
      </w:tblCellMar>
    </w:tblPr>
  </w:style>
  <w:style w:type="table" w:customStyle="1" w:styleId="af8">
    <w:basedOn w:val="TableNormal1"/>
    <w:tblPr>
      <w:tblStyleRowBandSize w:val="1"/>
      <w:tblStyleColBandSize w:val="1"/>
      <w:tblCellMar>
        <w:top w:w="0" w:type="dxa"/>
        <w:left w:w="108" w:type="dxa"/>
        <w:bottom w:w="0" w:type="dxa"/>
        <w:right w:w="108" w:type="dxa"/>
      </w:tblCellMar>
    </w:tblPr>
  </w:style>
  <w:style w:type="table" w:customStyle="1" w:styleId="af9">
    <w:basedOn w:val="TableNormal1"/>
    <w:tblPr>
      <w:tblStyleRowBandSize w:val="1"/>
      <w:tblStyleColBandSize w:val="1"/>
      <w:tblCellMar>
        <w:top w:w="0" w:type="dxa"/>
        <w:left w:w="108" w:type="dxa"/>
        <w:bottom w:w="0" w:type="dxa"/>
        <w:right w:w="108" w:type="dxa"/>
      </w:tblCellMar>
    </w:tblPr>
  </w:style>
  <w:style w:type="table" w:customStyle="1" w:styleId="afa">
    <w:basedOn w:val="TableNormal1"/>
    <w:tblPr>
      <w:tblStyleRowBandSize w:val="1"/>
      <w:tblStyleColBandSize w:val="1"/>
      <w:tblCellMar>
        <w:top w:w="0" w:type="dxa"/>
        <w:left w:w="108" w:type="dxa"/>
        <w:bottom w:w="0" w:type="dxa"/>
        <w:right w:w="108" w:type="dxa"/>
      </w:tblCellMar>
    </w:tblPr>
  </w:style>
  <w:style w:type="table" w:customStyle="1" w:styleId="afb">
    <w:basedOn w:val="TableNormal1"/>
    <w:tblPr>
      <w:tblStyleRowBandSize w:val="1"/>
      <w:tblStyleColBandSize w:val="1"/>
      <w:tblCellMar>
        <w:top w:w="0" w:type="dxa"/>
        <w:left w:w="108" w:type="dxa"/>
        <w:bottom w:w="0" w:type="dxa"/>
        <w:right w:w="108" w:type="dxa"/>
      </w:tblCellMar>
    </w:tblPr>
  </w:style>
  <w:style w:type="table" w:customStyle="1" w:styleId="afc">
    <w:basedOn w:val="TableNormal1"/>
    <w:tblPr>
      <w:tblStyleRowBandSize w:val="1"/>
      <w:tblStyleColBandSize w:val="1"/>
      <w:tblCellMar>
        <w:top w:w="0" w:type="dxa"/>
        <w:left w:w="108" w:type="dxa"/>
        <w:bottom w:w="0" w:type="dxa"/>
        <w:right w:w="108" w:type="dxa"/>
      </w:tblCellMar>
    </w:tblPr>
  </w:style>
  <w:style w:type="table" w:customStyle="1" w:styleId="afd">
    <w:basedOn w:val="TableNormal1"/>
    <w:tblPr>
      <w:tblStyleRowBandSize w:val="1"/>
      <w:tblStyleColBandSize w:val="1"/>
      <w:tblCellMar>
        <w:top w:w="0" w:type="dxa"/>
        <w:left w:w="108" w:type="dxa"/>
        <w:bottom w:w="0" w:type="dxa"/>
        <w:right w:w="108" w:type="dxa"/>
      </w:tblCellMar>
    </w:tblPr>
  </w:style>
  <w:style w:type="table" w:customStyle="1" w:styleId="afe">
    <w:basedOn w:val="TableNormal1"/>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
    <w:basedOn w:val="TableNormal1"/>
    <w:tblPr>
      <w:tblStyleRowBandSize w:val="1"/>
      <w:tblStyleColBandSize w:val="1"/>
      <w:tblCellMar>
        <w:top w:w="0" w:type="dxa"/>
        <w:left w:w="115" w:type="dxa"/>
        <w:bottom w:w="0" w:type="dxa"/>
        <w:right w:w="115" w:type="dxa"/>
      </w:tblCellMar>
    </w:tblPr>
  </w:style>
  <w:style w:type="table" w:customStyle="1" w:styleId="aff0">
    <w:basedOn w:val="TableNormal1"/>
    <w:tblPr>
      <w:tblStyleRowBandSize w:val="1"/>
      <w:tblStyleColBandSize w:val="1"/>
      <w:tblCellMar>
        <w:top w:w="0" w:type="dxa"/>
        <w:left w:w="115" w:type="dxa"/>
        <w:bottom w:w="0" w:type="dxa"/>
        <w:right w:w="115" w:type="dxa"/>
      </w:tblCellMar>
    </w:tblPr>
  </w:style>
  <w:style w:type="paragraph" w:styleId="Lista4">
    <w:name w:val="List 4"/>
    <w:basedOn w:val="Normal"/>
    <w:uiPriority w:val="99"/>
    <w:unhideWhenUsed/>
    <w:rsid w:val="00CA4564"/>
    <w:pPr>
      <w:ind w:left="1132" w:hanging="283"/>
      <w:contextualSpacing/>
    </w:pPr>
  </w:style>
  <w:style w:type="paragraph" w:styleId="Lista5">
    <w:name w:val="List 5"/>
    <w:basedOn w:val="Normal"/>
    <w:uiPriority w:val="99"/>
    <w:unhideWhenUsed/>
    <w:rsid w:val="00CA4564"/>
    <w:pPr>
      <w:ind w:left="1415" w:hanging="283"/>
      <w:contextualSpacing/>
    </w:p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08" w:type="dxa"/>
        <w:bottom w:w="0" w:type="dxa"/>
        <w:right w:w="108"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15" w:type="dxa"/>
        <w:bottom w:w="0" w:type="dxa"/>
        <w:right w:w="115"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a7Oja8euFqGo/7Lda338z+Nh+A==">AMUW2mWv294XcN+pnNLeM+qjeUy+V+uSCPtSN5Ti4nAsAKjwYd1nEwcmHgApFxf26BJWntUkSasiOrWu0PDGSJyaufA2pqhKbYfc42vr6ZV/yWJzP+FVfRXeF42Tb/ZyzXlfWZG3IXuCvEn5TWGAR42yPFMD8UNNAjIYbAj4UknWFxkJAiZbjwzCeIPePakZpbthdS4CE2kYoPhIHX0otXE5ZE6/MAxE5QAP0foeiffZrL05iRgYZ93FWot2FVTQpDEvc/dWVZgWHMQOFoG5v+Tud5FnCsIbu8GePEy4zWC5iD313ki5mRCDXpi8EbMjS8e72KhDojdgFhHKkn0pscwJXIKJRZlP4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2E4FCCD-CDC7-43E1-A2C9-4C1128772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25306</Words>
  <Characters>139183</Characters>
  <Application>Microsoft Office Word</Application>
  <DocSecurity>0</DocSecurity>
  <Lines>1159</Lines>
  <Paragraphs>328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2022-07-07T19:22:00Z</dcterms:created>
  <dcterms:modified xsi:type="dcterms:W3CDTF">2022-07-07T19:22:00Z</dcterms:modified>
</cp:coreProperties>
</file>