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FBF1D" w14:textId="77777777" w:rsidR="008E1208" w:rsidRDefault="00A17D19">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sidR="008F28AE">
        <w:rPr>
          <w:rFonts w:ascii="Palatino Linotype" w:eastAsia="Palatino Linotype" w:hAnsi="Palatino Linotype" w:cs="Palatino Linotype"/>
          <w:b/>
        </w:rPr>
        <w:t>diecisiete</w:t>
      </w:r>
      <w:r w:rsidR="00C01B9C">
        <w:rPr>
          <w:rFonts w:ascii="Palatino Linotype" w:eastAsia="Palatino Linotype" w:hAnsi="Palatino Linotype" w:cs="Palatino Linotype"/>
          <w:b/>
        </w:rPr>
        <w:t xml:space="preserve"> de agost</w:t>
      </w:r>
      <w:r>
        <w:rPr>
          <w:rFonts w:ascii="Palatino Linotype" w:eastAsia="Palatino Linotype" w:hAnsi="Palatino Linotype" w:cs="Palatino Linotype"/>
          <w:b/>
        </w:rPr>
        <w:t>o del dos mil veintidós</w:t>
      </w:r>
      <w:r>
        <w:rPr>
          <w:rFonts w:ascii="Palatino Linotype" w:eastAsia="Palatino Linotype" w:hAnsi="Palatino Linotype" w:cs="Palatino Linotype"/>
        </w:rPr>
        <w:t>.</w:t>
      </w:r>
    </w:p>
    <w:p w14:paraId="05A396E0" w14:textId="77777777" w:rsidR="008E1208" w:rsidRDefault="00A17D19">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8F28AE">
        <w:rPr>
          <w:rFonts w:ascii="Palatino Linotype" w:eastAsia="Palatino Linotype" w:hAnsi="Palatino Linotype" w:cs="Palatino Linotype"/>
          <w:b/>
        </w:rPr>
        <w:t>1127</w:t>
      </w:r>
      <w:r w:rsidR="00942662">
        <w:rPr>
          <w:rFonts w:ascii="Palatino Linotype" w:eastAsia="Palatino Linotype" w:hAnsi="Palatino Linotype" w:cs="Palatino Linotype"/>
          <w:b/>
        </w:rPr>
        <w:t>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8F28AE">
        <w:rPr>
          <w:rFonts w:ascii="Palatino Linotype" w:eastAsia="Palatino Linotype" w:hAnsi="Palatino Linotype" w:cs="Palatino Linotype"/>
          <w:b/>
        </w:rPr>
        <w:t>un particular de manera anónima</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w:t>
      </w:r>
      <w:r w:rsidR="008F28AE">
        <w:rPr>
          <w:rFonts w:ascii="Palatino Linotype" w:eastAsia="Palatino Linotype" w:hAnsi="Palatino Linotype" w:cs="Palatino Linotype"/>
          <w:b/>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w:t>
      </w:r>
      <w:r w:rsidR="008F28AE" w:rsidRPr="008F28AE">
        <w:rPr>
          <w:rFonts w:ascii="Palatino Linotype" w:eastAsia="Palatino Linotype" w:hAnsi="Palatino Linotype" w:cs="Palatino Linotype"/>
          <w:b/>
          <w:bCs/>
        </w:rPr>
        <w:t>03354/METEPEC/IP/2022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w:t>
      </w:r>
      <w:r w:rsidR="00C01B9C">
        <w:rPr>
          <w:rFonts w:ascii="Palatino Linotype" w:eastAsia="Palatino Linotype" w:hAnsi="Palatino Linotype" w:cs="Palatino Linotype"/>
          <w:b/>
        </w:rPr>
        <w:t>Metepe</w:t>
      </w:r>
      <w:r w:rsidR="00942662" w:rsidRPr="00942662">
        <w:rPr>
          <w:rFonts w:ascii="Palatino Linotype" w:eastAsia="Palatino Linotype" w:hAnsi="Palatino Linotype" w:cs="Palatino Linotype"/>
          <w:b/>
        </w:rPr>
        <w:t>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6FDFD2F5" w14:textId="77777777" w:rsidR="008E1208" w:rsidRDefault="00A17D19">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78ACFB0F"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008F28AE">
        <w:rPr>
          <w:rFonts w:ascii="Palatino Linotype" w:eastAsia="Palatino Linotype" w:hAnsi="Palatino Linotype" w:cs="Palatino Linotype"/>
          <w:b/>
        </w:rPr>
        <w:t>dos de mayo</w:t>
      </w:r>
      <w:r w:rsidRPr="000A3A39">
        <w:rPr>
          <w:rFonts w:ascii="Palatino Linotype" w:eastAsia="Palatino Linotype" w:hAnsi="Palatino Linotype" w:cs="Palatino Linotype"/>
          <w:b/>
        </w:rPr>
        <w:t xml:space="preserve"> de dos mil vein</w:t>
      </w:r>
      <w:r w:rsidR="00774E51" w:rsidRPr="000A3A39">
        <w:rPr>
          <w:rFonts w:ascii="Palatino Linotype" w:eastAsia="Palatino Linotype" w:hAnsi="Palatino Linotype" w:cs="Palatino Linotype"/>
          <w:b/>
        </w:rPr>
        <w:t>tidós</w:t>
      </w:r>
      <w:r w:rsidRPr="000A3A39">
        <w:rPr>
          <w:rFonts w:ascii="Palatino Linotype" w:eastAsia="Palatino Linotype" w:hAnsi="Palatino Linotype" w:cs="Palatino Linotype"/>
        </w:rPr>
        <w:t xml:space="preserve">, </w:t>
      </w:r>
      <w:r w:rsidR="008F28AE">
        <w:rPr>
          <w:rFonts w:ascii="Palatino Linotype" w:eastAsia="Palatino Linotype" w:hAnsi="Palatino Linotype" w:cs="Palatino Linotype"/>
          <w:b/>
        </w:rPr>
        <w:t>la parte</w:t>
      </w:r>
      <w:r w:rsidRPr="000A3A39">
        <w:rPr>
          <w:rFonts w:ascii="Palatino Linotype" w:eastAsia="Palatino Linotype" w:hAnsi="Palatino Linotype" w:cs="Palatino Linotype"/>
          <w:b/>
        </w:rPr>
        <w:t xml:space="preserve"> Recurrente</w:t>
      </w:r>
      <w:r w:rsidRPr="000A3A39">
        <w:rPr>
          <w:rFonts w:ascii="Palatino Linotype" w:eastAsia="Palatino Linotype" w:hAnsi="Palatino Linotype" w:cs="Palatino Linotype"/>
        </w:rPr>
        <w:t xml:space="preserve"> formuló s</w:t>
      </w:r>
      <w:r>
        <w:rPr>
          <w:rFonts w:ascii="Palatino Linotype" w:eastAsia="Palatino Linotype" w:hAnsi="Palatino Linotype" w:cs="Palatino Linotype"/>
        </w:rPr>
        <w:t xml:space="preserve">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1F286A9C" w14:textId="77777777" w:rsidR="008E1208" w:rsidRDefault="00A17D19">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8F28AE" w:rsidRPr="008F28AE">
        <w:rPr>
          <w:rFonts w:ascii="Palatino Linotype" w:eastAsia="Palatino Linotype" w:hAnsi="Palatino Linotype" w:cs="Palatino Linotype"/>
          <w:i/>
          <w:color w:val="000000"/>
          <w:sz w:val="22"/>
          <w:szCs w:val="22"/>
        </w:rPr>
        <w:t xml:space="preserve">se solicita el </w:t>
      </w:r>
      <w:proofErr w:type="spellStart"/>
      <w:r w:rsidR="008F28AE" w:rsidRPr="008F28AE">
        <w:rPr>
          <w:rFonts w:ascii="Palatino Linotype" w:eastAsia="Palatino Linotype" w:hAnsi="Palatino Linotype" w:cs="Palatino Linotype"/>
          <w:i/>
          <w:color w:val="000000"/>
          <w:sz w:val="22"/>
          <w:szCs w:val="22"/>
        </w:rPr>
        <w:t>padron</w:t>
      </w:r>
      <w:proofErr w:type="spellEnd"/>
      <w:r w:rsidR="008F28AE" w:rsidRPr="008F28AE">
        <w:rPr>
          <w:rFonts w:ascii="Palatino Linotype" w:eastAsia="Palatino Linotype" w:hAnsi="Palatino Linotype" w:cs="Palatino Linotype"/>
          <w:i/>
          <w:color w:val="000000"/>
          <w:sz w:val="22"/>
          <w:szCs w:val="22"/>
        </w:rPr>
        <w:t xml:space="preserve"> catastral</w:t>
      </w:r>
      <w:r>
        <w:rPr>
          <w:rFonts w:ascii="Palatino Linotype" w:eastAsia="Palatino Linotype" w:hAnsi="Palatino Linotype" w:cs="Palatino Linotype"/>
          <w:i/>
          <w:color w:val="000000"/>
          <w:sz w:val="22"/>
          <w:szCs w:val="22"/>
        </w:rPr>
        <w:t>” (Sic)</w:t>
      </w:r>
    </w:p>
    <w:p w14:paraId="6C8E9565"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350642C5" w14:textId="77777777" w:rsidR="00C01B9C"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w:t>
      </w:r>
      <w:r w:rsidR="00C01B9C">
        <w:rPr>
          <w:rFonts w:ascii="Palatino Linotype" w:eastAsia="Palatino Linotype" w:hAnsi="Palatino Linotype" w:cs="Palatino Linotype"/>
          <w:b/>
        </w:rPr>
        <w:t xml:space="preserve">Prórroga. </w:t>
      </w:r>
      <w:r w:rsidR="00C01B9C" w:rsidRPr="00C01B9C">
        <w:rPr>
          <w:rFonts w:ascii="Palatino Linotype" w:eastAsia="Palatino Linotype" w:hAnsi="Palatino Linotype" w:cs="Palatino Linotype"/>
        </w:rPr>
        <w:t xml:space="preserve">El </w:t>
      </w:r>
      <w:r w:rsidR="008F28AE">
        <w:rPr>
          <w:rFonts w:ascii="Palatino Linotype" w:eastAsia="Palatino Linotype" w:hAnsi="Palatino Linotype" w:cs="Palatino Linotype"/>
          <w:b/>
        </w:rPr>
        <w:t>veinticuatro</w:t>
      </w:r>
      <w:r w:rsidR="00C01B9C" w:rsidRPr="00C01B9C">
        <w:rPr>
          <w:rFonts w:ascii="Palatino Linotype" w:eastAsia="Palatino Linotype" w:hAnsi="Palatino Linotype" w:cs="Palatino Linotype"/>
          <w:b/>
        </w:rPr>
        <w:t xml:space="preserve"> de mayo de dos mil veintidós</w:t>
      </w:r>
      <w:r w:rsidR="00C01B9C">
        <w:rPr>
          <w:rFonts w:ascii="Palatino Linotype" w:eastAsia="Palatino Linotype" w:hAnsi="Palatino Linotype" w:cs="Palatino Linotype"/>
        </w:rPr>
        <w:t xml:space="preserve">, el </w:t>
      </w:r>
      <w:r w:rsidR="00C01B9C" w:rsidRPr="00C01B9C">
        <w:rPr>
          <w:rFonts w:ascii="Palatino Linotype" w:eastAsia="Palatino Linotype" w:hAnsi="Palatino Linotype" w:cs="Palatino Linotype"/>
          <w:b/>
        </w:rPr>
        <w:t>Sujeto Obligado</w:t>
      </w:r>
      <w:r w:rsidR="00C01B9C">
        <w:rPr>
          <w:rFonts w:ascii="Palatino Linotype" w:eastAsia="Palatino Linotype" w:hAnsi="Palatino Linotype" w:cs="Palatino Linotype"/>
        </w:rPr>
        <w:t xml:space="preserve"> notificó al particular la prórroga para atender su solicitud de información, en los siguientes términos: </w:t>
      </w:r>
    </w:p>
    <w:p w14:paraId="4C3C5BCD" w14:textId="77777777" w:rsidR="008F28AE" w:rsidRPr="008F28AE" w:rsidRDefault="00C01B9C" w:rsidP="008F28AE">
      <w:pPr>
        <w:spacing w:before="240" w:after="240" w:line="276" w:lineRule="auto"/>
        <w:ind w:left="567" w:right="900"/>
        <w:jc w:val="both"/>
        <w:rPr>
          <w:rFonts w:ascii="Palatino Linotype" w:eastAsia="Palatino Linotype" w:hAnsi="Palatino Linotype" w:cs="Palatino Linotype"/>
          <w:i/>
          <w:sz w:val="22"/>
        </w:rPr>
      </w:pPr>
      <w:r w:rsidRPr="00C01B9C">
        <w:rPr>
          <w:rFonts w:ascii="Palatino Linotype" w:eastAsia="Palatino Linotype" w:hAnsi="Palatino Linotype" w:cs="Palatino Linotype"/>
          <w:i/>
          <w:sz w:val="22"/>
        </w:rPr>
        <w:t>“</w:t>
      </w:r>
      <w:r w:rsidR="008F28AE" w:rsidRPr="008F28AE">
        <w:rPr>
          <w:rFonts w:ascii="Palatino Linotype" w:eastAsia="Palatino Linotype" w:hAnsi="Palatino Linotype" w:cs="Palatino Linotype"/>
          <w:i/>
          <w:sz w:val="22"/>
        </w:rPr>
        <w:t xml:space="preserve">Con fundamento en el artículo 163 de la Ley de Transparencia y Acceso a la Información Pública del Estado de México y Municipios, se le hace de su </w:t>
      </w:r>
      <w:r w:rsidR="008F28AE" w:rsidRPr="008F28AE">
        <w:rPr>
          <w:rFonts w:ascii="Palatino Linotype" w:eastAsia="Palatino Linotype" w:hAnsi="Palatino Linotype" w:cs="Palatino Linotype"/>
          <w:i/>
          <w:sz w:val="22"/>
        </w:rPr>
        <w:lastRenderedPageBreak/>
        <w:t>conocimiento que el plazo de 15 días hábiles para atender su solicitud de información ha sido prorrogado por 7 días en virtud de las siguientes razones:</w:t>
      </w:r>
    </w:p>
    <w:p w14:paraId="429AB851" w14:textId="77777777" w:rsidR="008F28AE" w:rsidRPr="008F28AE" w:rsidRDefault="008F28AE" w:rsidP="008F28AE">
      <w:pPr>
        <w:spacing w:before="240" w:after="240" w:line="276" w:lineRule="auto"/>
        <w:ind w:left="567" w:right="900"/>
        <w:jc w:val="both"/>
        <w:rPr>
          <w:rFonts w:ascii="Palatino Linotype" w:eastAsia="Palatino Linotype" w:hAnsi="Palatino Linotype" w:cs="Palatino Linotype"/>
          <w:i/>
          <w:sz w:val="22"/>
        </w:rPr>
      </w:pPr>
      <w:r w:rsidRPr="008F28AE">
        <w:rPr>
          <w:rFonts w:ascii="Palatino Linotype" w:eastAsia="Palatino Linotype" w:hAnsi="Palatino Linotype" w:cs="Palatino Linotype"/>
          <w:i/>
          <w:sz w:val="22"/>
        </w:rPr>
        <w:t>METEPEC, ESTADO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12 de mayo de 2022 Por lo anterior, se adjunta el acta del comité No CT/MET/EXT-04//2022. Sin más por el momento quedo a sus órdenes. ATENTAMENTE L.F.B. GERARDO ARTURO OZUNA MARTÍNEZ TITULAR DE LA UNIDAD DE TRANSPARENCIA</w:t>
      </w:r>
    </w:p>
    <w:p w14:paraId="449DC408" w14:textId="77777777" w:rsidR="008F28AE" w:rsidRPr="008F28AE" w:rsidRDefault="008F28AE" w:rsidP="008F28AE">
      <w:pPr>
        <w:spacing w:before="240" w:after="240" w:line="276" w:lineRule="auto"/>
        <w:ind w:left="567" w:right="900"/>
        <w:jc w:val="both"/>
        <w:rPr>
          <w:rFonts w:ascii="Palatino Linotype" w:eastAsia="Palatino Linotype" w:hAnsi="Palatino Linotype" w:cs="Palatino Linotype"/>
          <w:i/>
          <w:sz w:val="22"/>
        </w:rPr>
      </w:pPr>
      <w:r w:rsidRPr="008F28AE">
        <w:rPr>
          <w:rFonts w:ascii="Palatino Linotype" w:eastAsia="Palatino Linotype" w:hAnsi="Palatino Linotype" w:cs="Palatino Linotype"/>
          <w:i/>
          <w:sz w:val="22"/>
        </w:rPr>
        <w:t>Lic. Gerardo Arturo Ozuna Martínez</w:t>
      </w:r>
    </w:p>
    <w:p w14:paraId="7376411E" w14:textId="77777777" w:rsidR="008F28AE" w:rsidRDefault="008F28AE" w:rsidP="008F28AE">
      <w:pPr>
        <w:spacing w:before="240" w:after="240" w:line="276" w:lineRule="auto"/>
        <w:ind w:left="567" w:right="900"/>
        <w:jc w:val="both"/>
        <w:rPr>
          <w:rFonts w:ascii="Palatino Linotype" w:eastAsia="Palatino Linotype" w:hAnsi="Palatino Linotype" w:cs="Palatino Linotype"/>
          <w:i/>
          <w:sz w:val="22"/>
        </w:rPr>
      </w:pPr>
      <w:r w:rsidRPr="008F28AE">
        <w:rPr>
          <w:rFonts w:ascii="Palatino Linotype" w:eastAsia="Palatino Linotype" w:hAnsi="Palatino Linotype" w:cs="Palatino Linotype"/>
          <w:i/>
          <w:sz w:val="22"/>
        </w:rPr>
        <w:t>Responsable de la Unidad de Transparencia</w:t>
      </w:r>
      <w:r>
        <w:rPr>
          <w:rFonts w:ascii="Palatino Linotype" w:eastAsia="Palatino Linotype" w:hAnsi="Palatino Linotype" w:cs="Palatino Linotype"/>
          <w:i/>
          <w:sz w:val="22"/>
        </w:rPr>
        <w:t>”</w:t>
      </w:r>
    </w:p>
    <w:p w14:paraId="1AAD106A" w14:textId="77777777" w:rsidR="00C01B9C" w:rsidRDefault="00C01B9C" w:rsidP="008F28AE">
      <w:pPr>
        <w:spacing w:before="240" w:after="240" w:line="276" w:lineRule="auto"/>
        <w:ind w:left="567" w:right="900"/>
        <w:jc w:val="both"/>
        <w:rPr>
          <w:rFonts w:ascii="Palatino Linotype" w:eastAsia="Palatino Linotype" w:hAnsi="Palatino Linotype" w:cs="Palatino Linotype"/>
          <w:b/>
        </w:rPr>
      </w:pPr>
      <w:r>
        <w:rPr>
          <w:rFonts w:ascii="Palatino Linotype" w:eastAsia="Palatino Linotype" w:hAnsi="Palatino Linotype" w:cs="Palatino Linotype"/>
          <w:b/>
        </w:rPr>
        <w:t xml:space="preserve">Archivo adjunto: </w:t>
      </w:r>
    </w:p>
    <w:p w14:paraId="7C5B775D" w14:textId="77777777" w:rsidR="00C01B9C" w:rsidRDefault="00C01B9C" w:rsidP="008F28AE">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rPr>
        <w:t>“</w:t>
      </w:r>
      <w:r w:rsidR="008F28AE" w:rsidRPr="008F28AE">
        <w:rPr>
          <w:rFonts w:ascii="Palatino Linotype" w:eastAsia="Palatino Linotype" w:hAnsi="Palatino Linotype" w:cs="Palatino Linotype"/>
          <w:b/>
          <w:i/>
        </w:rPr>
        <w:t>Acta04-EXT.2022.PDF</w:t>
      </w:r>
      <w:r>
        <w:rPr>
          <w:rFonts w:ascii="Palatino Linotype" w:eastAsia="Palatino Linotype" w:hAnsi="Palatino Linotype" w:cs="Palatino Linotype"/>
          <w:b/>
          <w:i/>
        </w:rPr>
        <w:t xml:space="preserve">”: </w:t>
      </w:r>
      <w:r w:rsidR="008F28AE">
        <w:rPr>
          <w:rFonts w:ascii="Palatino Linotype" w:eastAsia="Palatino Linotype" w:hAnsi="Palatino Linotype" w:cs="Palatino Linotype"/>
        </w:rPr>
        <w:t>Acta de la Cuart</w:t>
      </w:r>
      <w:r>
        <w:rPr>
          <w:rFonts w:ascii="Palatino Linotype" w:eastAsia="Palatino Linotype" w:hAnsi="Palatino Linotype" w:cs="Palatino Linotype"/>
        </w:rPr>
        <w:t xml:space="preserve">a Sesión Ordinaria del Comité de Transparencia, en la que se aprobó la prórroga por siete días hábiles para atender la solicitud de información: </w:t>
      </w:r>
    </w:p>
    <w:p w14:paraId="5BFF2837" w14:textId="77777777" w:rsidR="00C01B9C" w:rsidRDefault="008F28A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2219CD18" wp14:editId="52DDD96D">
            <wp:extent cx="5095875" cy="693943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7585" cy="6941762"/>
                    </a:xfrm>
                    <a:prstGeom prst="rect">
                      <a:avLst/>
                    </a:prstGeom>
                    <a:noFill/>
                    <a:ln>
                      <a:noFill/>
                    </a:ln>
                  </pic:spPr>
                </pic:pic>
              </a:graphicData>
            </a:graphic>
          </wp:inline>
        </w:drawing>
      </w:r>
    </w:p>
    <w:p w14:paraId="66B6A284" w14:textId="77777777" w:rsidR="008F28AE" w:rsidRPr="00C01B9C" w:rsidRDefault="008F28A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23EAFDEC" wp14:editId="091BF99D">
            <wp:extent cx="5276850" cy="25241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2524125"/>
                    </a:xfrm>
                    <a:prstGeom prst="rect">
                      <a:avLst/>
                    </a:prstGeom>
                    <a:noFill/>
                    <a:ln>
                      <a:noFill/>
                    </a:ln>
                  </pic:spPr>
                </pic:pic>
              </a:graphicData>
            </a:graphic>
          </wp:inline>
        </w:drawing>
      </w:r>
    </w:p>
    <w:p w14:paraId="0785884F" w14:textId="77777777" w:rsidR="008E1208" w:rsidRDefault="00C01B9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w:t>
      </w:r>
      <w:r w:rsidR="00A17D19">
        <w:rPr>
          <w:rFonts w:ascii="Palatino Linotype" w:eastAsia="Palatino Linotype" w:hAnsi="Palatino Linotype" w:cs="Palatino Linotype"/>
          <w:b/>
        </w:rPr>
        <w:t xml:space="preserve">Respuesta. </w:t>
      </w:r>
      <w:r w:rsidR="00A17D19">
        <w:rPr>
          <w:rFonts w:ascii="Palatino Linotype" w:eastAsia="Palatino Linotype" w:hAnsi="Palatino Linotype" w:cs="Palatino Linotype"/>
        </w:rPr>
        <w:t xml:space="preserve">De las constancias que obran en SAIMEX, se observa que el </w:t>
      </w:r>
      <w:r w:rsidR="00A17D19">
        <w:rPr>
          <w:rFonts w:ascii="Palatino Linotype" w:eastAsia="Palatino Linotype" w:hAnsi="Palatino Linotype" w:cs="Palatino Linotype"/>
          <w:b/>
        </w:rPr>
        <w:t>Sujeto Obligado</w:t>
      </w:r>
      <w:r w:rsidR="00A17D19">
        <w:rPr>
          <w:rFonts w:ascii="Palatino Linotype" w:eastAsia="Palatino Linotype" w:hAnsi="Palatino Linotype" w:cs="Palatino Linotype"/>
        </w:rPr>
        <w:t xml:space="preserve"> no emitió respuesta a la solicitud de información formulada por la parte </w:t>
      </w:r>
      <w:r w:rsidR="00A17D19">
        <w:rPr>
          <w:rFonts w:ascii="Palatino Linotype" w:eastAsia="Palatino Linotype" w:hAnsi="Palatino Linotype" w:cs="Palatino Linotype"/>
          <w:b/>
        </w:rPr>
        <w:t>Recurrente.</w:t>
      </w:r>
    </w:p>
    <w:p w14:paraId="28CAF6D2" w14:textId="77777777" w:rsidR="008E1208" w:rsidRDefault="00C01B9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4</w:t>
      </w:r>
      <w:r w:rsidR="00A17D19">
        <w:rPr>
          <w:rFonts w:ascii="Palatino Linotype" w:eastAsia="Palatino Linotype" w:hAnsi="Palatino Linotype" w:cs="Palatino Linotype"/>
          <w:b/>
        </w:rPr>
        <w:t xml:space="preserve">. Interposición del recurso de revisión. </w:t>
      </w:r>
      <w:r w:rsidR="00A17D19">
        <w:rPr>
          <w:rFonts w:ascii="Palatino Linotype" w:eastAsia="Palatino Linotype" w:hAnsi="Palatino Linotype" w:cs="Palatino Linotype"/>
        </w:rPr>
        <w:t xml:space="preserve">Inconforme la parte solicitante con la falta de respuesta del </w:t>
      </w:r>
      <w:r w:rsidR="00A17D19">
        <w:rPr>
          <w:rFonts w:ascii="Palatino Linotype" w:eastAsia="Palatino Linotype" w:hAnsi="Palatino Linotype" w:cs="Palatino Linotype"/>
          <w:b/>
        </w:rPr>
        <w:t>Sujeto Obligado</w:t>
      </w:r>
      <w:r w:rsidR="00A17D19">
        <w:rPr>
          <w:rFonts w:ascii="Palatino Linotype" w:eastAsia="Palatino Linotype" w:hAnsi="Palatino Linotype" w:cs="Palatino Linotype"/>
        </w:rPr>
        <w:t>, interpuso recurso de revis</w:t>
      </w:r>
      <w:r>
        <w:rPr>
          <w:rFonts w:ascii="Palatino Linotype" w:eastAsia="Palatino Linotype" w:hAnsi="Palatino Linotype" w:cs="Palatino Linotype"/>
        </w:rPr>
        <w:t xml:space="preserve">ión a través de SAIMEX en fecha </w:t>
      </w:r>
      <w:r w:rsidR="00D73A30">
        <w:rPr>
          <w:rFonts w:ascii="Palatino Linotype" w:eastAsia="Palatino Linotype" w:hAnsi="Palatino Linotype" w:cs="Palatino Linotype"/>
          <w:b/>
        </w:rPr>
        <w:t>trece</w:t>
      </w:r>
      <w:r>
        <w:rPr>
          <w:rFonts w:ascii="Palatino Linotype" w:eastAsia="Palatino Linotype" w:hAnsi="Palatino Linotype" w:cs="Palatino Linotype"/>
          <w:b/>
        </w:rPr>
        <w:t xml:space="preserve"> </w:t>
      </w:r>
      <w:r w:rsidR="00942662">
        <w:rPr>
          <w:rFonts w:ascii="Palatino Linotype" w:eastAsia="Palatino Linotype" w:hAnsi="Palatino Linotype" w:cs="Palatino Linotype"/>
          <w:b/>
        </w:rPr>
        <w:t>de juni</w:t>
      </w:r>
      <w:r w:rsidR="00A17D19">
        <w:rPr>
          <w:rFonts w:ascii="Palatino Linotype" w:eastAsia="Palatino Linotype" w:hAnsi="Palatino Linotype" w:cs="Palatino Linotype"/>
          <w:b/>
        </w:rPr>
        <w:t>o de dos mil veintidós</w:t>
      </w:r>
      <w:r w:rsidR="00A17D19">
        <w:rPr>
          <w:rFonts w:ascii="Palatino Linotype" w:eastAsia="Palatino Linotype" w:hAnsi="Palatino Linotype" w:cs="Palatino Linotype"/>
        </w:rPr>
        <w:t>, expresando lo siguiente:</w:t>
      </w:r>
    </w:p>
    <w:p w14:paraId="0D6BB201" w14:textId="77777777" w:rsidR="008E1208" w:rsidRDefault="00A17D19">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7798906D" w14:textId="77777777" w:rsidR="008E1208" w:rsidRDefault="00A17D19" w:rsidP="00C01B9C">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D73A30" w:rsidRPr="00D73A30">
        <w:rPr>
          <w:rFonts w:ascii="Palatino Linotype" w:eastAsia="Palatino Linotype" w:hAnsi="Palatino Linotype" w:cs="Palatino Linotype"/>
          <w:i/>
          <w:color w:val="000000"/>
          <w:sz w:val="22"/>
          <w:szCs w:val="22"/>
        </w:rPr>
        <w:t>Falta de respuesta</w:t>
      </w:r>
      <w:r>
        <w:rPr>
          <w:rFonts w:ascii="Palatino Linotype" w:eastAsia="Palatino Linotype" w:hAnsi="Palatino Linotype" w:cs="Palatino Linotype"/>
          <w:i/>
          <w:color w:val="000000"/>
          <w:sz w:val="22"/>
          <w:szCs w:val="22"/>
        </w:rPr>
        <w:t>” (Sic)</w:t>
      </w:r>
    </w:p>
    <w:p w14:paraId="32E98B0D" w14:textId="77777777" w:rsidR="008E1208" w:rsidRDefault="00A17D1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44884977" w14:textId="77777777" w:rsidR="008E1208" w:rsidRDefault="00A17D19" w:rsidP="00942662">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D73A30" w:rsidRPr="00D73A30">
        <w:rPr>
          <w:rFonts w:ascii="Palatino Linotype" w:eastAsia="Palatino Linotype" w:hAnsi="Palatino Linotype" w:cs="Palatino Linotype"/>
          <w:i/>
          <w:color w:val="000000"/>
          <w:sz w:val="22"/>
          <w:szCs w:val="22"/>
        </w:rPr>
        <w:t>Falta de respuesta</w:t>
      </w:r>
      <w:r>
        <w:rPr>
          <w:rFonts w:ascii="Palatino Linotype" w:eastAsia="Palatino Linotype" w:hAnsi="Palatino Linotype" w:cs="Palatino Linotype"/>
          <w:i/>
          <w:color w:val="000000"/>
          <w:sz w:val="22"/>
          <w:szCs w:val="22"/>
        </w:rPr>
        <w:t>” (Sic)</w:t>
      </w:r>
    </w:p>
    <w:p w14:paraId="3B77289B" w14:textId="77777777" w:rsidR="008E1208" w:rsidRDefault="00C01B9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sidR="00A17D19">
        <w:rPr>
          <w:rFonts w:ascii="Palatino Linotype" w:eastAsia="Palatino Linotype" w:hAnsi="Palatino Linotype" w:cs="Palatino Linotype"/>
          <w:b/>
        </w:rPr>
        <w:t xml:space="preserve">. Turno. </w:t>
      </w:r>
      <w:r w:rsidR="00A17D19">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D73A30">
        <w:rPr>
          <w:rFonts w:ascii="Palatino Linotype" w:eastAsia="Palatino Linotype" w:hAnsi="Palatino Linotype" w:cs="Palatino Linotype"/>
          <w:b/>
        </w:rPr>
        <w:t>1127</w:t>
      </w:r>
      <w:r w:rsidR="00942662">
        <w:rPr>
          <w:rFonts w:ascii="Palatino Linotype" w:eastAsia="Palatino Linotype" w:hAnsi="Palatino Linotype" w:cs="Palatino Linotype"/>
          <w:b/>
        </w:rPr>
        <w:t>4</w:t>
      </w:r>
      <w:r w:rsidR="00A17D19">
        <w:rPr>
          <w:rFonts w:ascii="Palatino Linotype" w:eastAsia="Palatino Linotype" w:hAnsi="Palatino Linotype" w:cs="Palatino Linotype"/>
          <w:b/>
        </w:rPr>
        <w:t>/INFOEM/IP/RR/2022</w:t>
      </w:r>
      <w:r w:rsidR="00A17D19">
        <w:rPr>
          <w:rFonts w:ascii="Palatino Linotype" w:eastAsia="Palatino Linotype" w:hAnsi="Palatino Linotype" w:cs="Palatino Linotype"/>
        </w:rPr>
        <w:t xml:space="preserve"> fue turnado a la </w:t>
      </w:r>
      <w:r w:rsidR="00A17D19">
        <w:rPr>
          <w:rFonts w:ascii="Palatino Linotype" w:eastAsia="Palatino Linotype" w:hAnsi="Palatino Linotype" w:cs="Palatino Linotype"/>
          <w:b/>
        </w:rPr>
        <w:t>Comisionada Ponente</w:t>
      </w:r>
      <w:r w:rsidR="00A17D19">
        <w:rPr>
          <w:rFonts w:ascii="Palatino Linotype" w:eastAsia="Palatino Linotype" w:hAnsi="Palatino Linotype" w:cs="Palatino Linotype"/>
        </w:rPr>
        <w:t xml:space="preserve"> </w:t>
      </w:r>
      <w:r w:rsidR="00A17D19">
        <w:rPr>
          <w:rFonts w:ascii="Palatino Linotype" w:eastAsia="Palatino Linotype" w:hAnsi="Palatino Linotype" w:cs="Palatino Linotype"/>
          <w:b/>
        </w:rPr>
        <w:t xml:space="preserve">Guadalupe </w:t>
      </w:r>
      <w:r w:rsidR="00A17D19">
        <w:rPr>
          <w:rFonts w:ascii="Palatino Linotype" w:eastAsia="Palatino Linotype" w:hAnsi="Palatino Linotype" w:cs="Palatino Linotype"/>
          <w:b/>
        </w:rPr>
        <w:lastRenderedPageBreak/>
        <w:t>Ramírez Peña</w:t>
      </w:r>
      <w:r w:rsidR="00A17D19">
        <w:rPr>
          <w:rFonts w:ascii="Palatino Linotype" w:eastAsia="Palatino Linotype" w:hAnsi="Palatino Linotype" w:cs="Palatino Linotype"/>
        </w:rPr>
        <w:t>; a efecto de presentar al Pleno el proyecto de resolución correspondiente.</w:t>
      </w:r>
    </w:p>
    <w:p w14:paraId="655D9BFF" w14:textId="77777777" w:rsidR="008E1208" w:rsidRDefault="00C01B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A17D19">
        <w:rPr>
          <w:rFonts w:ascii="Palatino Linotype" w:eastAsia="Palatino Linotype" w:hAnsi="Palatino Linotype" w:cs="Palatino Linotype"/>
          <w:b/>
        </w:rPr>
        <w:t xml:space="preserve">. Admisión. </w:t>
      </w:r>
      <w:r w:rsidR="00A17D19">
        <w:rPr>
          <w:rFonts w:ascii="Palatino Linotype" w:eastAsia="Palatino Linotype" w:hAnsi="Palatino Linotype" w:cs="Palatino Linotype"/>
        </w:rPr>
        <w:t xml:space="preserve">En fecha </w:t>
      </w:r>
      <w:r w:rsidR="00D73A30">
        <w:rPr>
          <w:rFonts w:ascii="Palatino Linotype" w:eastAsia="Palatino Linotype" w:hAnsi="Palatino Linotype" w:cs="Palatino Linotype"/>
          <w:b/>
        </w:rPr>
        <w:t>dieciséis</w:t>
      </w:r>
      <w:r w:rsidR="006401DE">
        <w:rPr>
          <w:rFonts w:ascii="Palatino Linotype" w:eastAsia="Palatino Linotype" w:hAnsi="Palatino Linotype" w:cs="Palatino Linotype"/>
          <w:b/>
        </w:rPr>
        <w:t xml:space="preserve"> </w:t>
      </w:r>
      <w:r w:rsidR="00942662">
        <w:rPr>
          <w:rFonts w:ascii="Palatino Linotype" w:eastAsia="Palatino Linotype" w:hAnsi="Palatino Linotype" w:cs="Palatino Linotype"/>
          <w:b/>
        </w:rPr>
        <w:t>de juni</w:t>
      </w:r>
      <w:r w:rsidR="00A17D19">
        <w:rPr>
          <w:rFonts w:ascii="Palatino Linotype" w:eastAsia="Palatino Linotype" w:hAnsi="Palatino Linotype" w:cs="Palatino Linotype"/>
          <w:b/>
        </w:rPr>
        <w:t>o de dos mil veintidós</w:t>
      </w:r>
      <w:r w:rsidR="00A17D19">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w:t>
      </w:r>
      <w:r w:rsidR="006401DE">
        <w:rPr>
          <w:rFonts w:ascii="Palatino Linotype" w:eastAsia="Palatino Linotype" w:hAnsi="Palatino Linotype" w:cs="Palatino Linotype"/>
        </w:rPr>
        <w:t>notificó la admisión</w:t>
      </w:r>
      <w:r w:rsidR="00A17D19">
        <w:rPr>
          <w:rFonts w:ascii="Palatino Linotype" w:eastAsia="Palatino Linotype" w:hAnsi="Palatino Linotype" w:cs="Palatino Linotype"/>
        </w:rPr>
        <w:t xml:space="preserve"> a trámite el recurso de revisión al rubro indicado.</w:t>
      </w:r>
    </w:p>
    <w:p w14:paraId="53366FBC" w14:textId="77777777" w:rsidR="008E1208" w:rsidRDefault="00C01B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A17D19">
        <w:rPr>
          <w:rFonts w:ascii="Palatino Linotype" w:eastAsia="Palatino Linotype" w:hAnsi="Palatino Linotype" w:cs="Palatino Linotype"/>
          <w:b/>
        </w:rPr>
        <w:t xml:space="preserve">. Manifestaciones. </w:t>
      </w:r>
      <w:r w:rsidR="00A17D19">
        <w:rPr>
          <w:rFonts w:ascii="Palatino Linotype" w:eastAsia="Palatino Linotype" w:hAnsi="Palatino Linotype" w:cs="Palatino Linotype"/>
        </w:rPr>
        <w:t xml:space="preserve">De las constancias que obran en el expediente electrónico del SAIMEX se desprende que el </w:t>
      </w:r>
      <w:r w:rsidR="00A17D19">
        <w:rPr>
          <w:rFonts w:ascii="Palatino Linotype" w:eastAsia="Palatino Linotype" w:hAnsi="Palatino Linotype" w:cs="Palatino Linotype"/>
          <w:b/>
        </w:rPr>
        <w:t>Sujeto Obligado</w:t>
      </w:r>
      <w:r w:rsidR="00A17D19">
        <w:rPr>
          <w:rFonts w:ascii="Palatino Linotype" w:eastAsia="Palatino Linotype" w:hAnsi="Palatino Linotype" w:cs="Palatino Linotype"/>
        </w:rPr>
        <w:t xml:space="preserve"> no rindió su informe justificado, del mismo modo el ahora </w:t>
      </w:r>
      <w:r w:rsidR="00A17D19">
        <w:rPr>
          <w:rFonts w:ascii="Palatino Linotype" w:eastAsia="Palatino Linotype" w:hAnsi="Palatino Linotype" w:cs="Palatino Linotype"/>
          <w:b/>
        </w:rPr>
        <w:t>Recurrente</w:t>
      </w:r>
      <w:r w:rsidR="00A17D19">
        <w:rPr>
          <w:rFonts w:ascii="Palatino Linotype" w:eastAsia="Palatino Linotype" w:hAnsi="Palatino Linotype" w:cs="Palatino Linotype"/>
        </w:rPr>
        <w:t xml:space="preserve"> o</w:t>
      </w:r>
      <w:r w:rsidR="0022184E">
        <w:rPr>
          <w:rFonts w:ascii="Palatino Linotype" w:eastAsia="Palatino Linotype" w:hAnsi="Palatino Linotype" w:cs="Palatino Linotype"/>
        </w:rPr>
        <w:t>mitió realizar manifestaciones.</w:t>
      </w:r>
    </w:p>
    <w:p w14:paraId="6A6960ED" w14:textId="77777777" w:rsidR="008E1208" w:rsidRPr="00D73A30" w:rsidRDefault="00C01B9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8</w:t>
      </w:r>
      <w:r w:rsidR="00A17D19">
        <w:rPr>
          <w:rFonts w:ascii="Palatino Linotype" w:eastAsia="Palatino Linotype" w:hAnsi="Palatino Linotype" w:cs="Palatino Linotype"/>
          <w:b/>
        </w:rPr>
        <w:t xml:space="preserve">. Cierre de Instrucción. </w:t>
      </w:r>
      <w:r w:rsidR="00A17D19">
        <w:rPr>
          <w:rFonts w:ascii="Palatino Linotype" w:eastAsia="Palatino Linotype" w:hAnsi="Palatino Linotype" w:cs="Palatino Linotype"/>
        </w:rPr>
        <w:t xml:space="preserve">En fecha </w:t>
      </w:r>
      <w:r w:rsidR="00D73A30">
        <w:rPr>
          <w:rFonts w:ascii="Palatino Linotype" w:eastAsia="Palatino Linotype" w:hAnsi="Palatino Linotype" w:cs="Palatino Linotype"/>
          <w:b/>
        </w:rPr>
        <w:t>diez de agost</w:t>
      </w:r>
      <w:r w:rsidR="00A17D19">
        <w:rPr>
          <w:rFonts w:ascii="Palatino Linotype" w:eastAsia="Palatino Linotype" w:hAnsi="Palatino Linotype" w:cs="Palatino Linotype"/>
          <w:b/>
        </w:rPr>
        <w:t>o de dos mil veintidós</w:t>
      </w:r>
      <w:r w:rsidR="00A17D19">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67B857EF" w14:textId="77777777" w:rsidR="00D73A30" w:rsidRPr="00D73A30" w:rsidRDefault="00D73A30" w:rsidP="00D73A30">
      <w:pPr>
        <w:spacing w:before="240" w:after="240" w:line="360" w:lineRule="auto"/>
        <w:jc w:val="both"/>
        <w:rPr>
          <w:rFonts w:ascii="Palatino Linotype" w:eastAsia="Palatino Linotype" w:hAnsi="Palatino Linotype" w:cs="Palatino Linotype"/>
          <w:lang w:eastAsia="es-MX"/>
        </w:rPr>
      </w:pPr>
      <w:r>
        <w:rPr>
          <w:rFonts w:ascii="Palatino Linotype" w:eastAsia="Palatino Linotype" w:hAnsi="Palatino Linotype" w:cs="Palatino Linotype"/>
          <w:b/>
          <w:lang w:eastAsia="es-MX"/>
        </w:rPr>
        <w:t>9</w:t>
      </w:r>
      <w:r w:rsidRPr="00D73A30">
        <w:rPr>
          <w:rFonts w:ascii="Palatino Linotype" w:eastAsia="Palatino Linotype" w:hAnsi="Palatino Linotype" w:cs="Palatino Linotype"/>
          <w:b/>
          <w:lang w:eastAsia="es-MX"/>
        </w:rPr>
        <w:t>.- Ampliación del plazo para emitir resolución.</w:t>
      </w:r>
      <w:r w:rsidRPr="00D73A30">
        <w:rPr>
          <w:rFonts w:ascii="Palatino Linotype" w:eastAsia="Palatino Linotype" w:hAnsi="Palatino Linotype" w:cs="Palatino Linotype"/>
          <w:lang w:eastAsia="es-MX"/>
        </w:rPr>
        <w:t xml:space="preserve"> El </w:t>
      </w:r>
      <w:r>
        <w:rPr>
          <w:rFonts w:ascii="Palatino Linotype" w:eastAsia="Palatino Linotype" w:hAnsi="Palatino Linotype" w:cs="Palatino Linotype"/>
          <w:b/>
          <w:lang w:eastAsia="es-MX"/>
        </w:rPr>
        <w:t>once</w:t>
      </w:r>
      <w:r w:rsidRPr="00D73A30">
        <w:rPr>
          <w:rFonts w:ascii="Palatino Linotype" w:eastAsia="Palatino Linotype" w:hAnsi="Palatino Linotype" w:cs="Palatino Linotype"/>
          <w:b/>
          <w:lang w:eastAsia="es-MX"/>
        </w:rPr>
        <w:t xml:space="preserve"> de agosto de dos mil veintidós</w:t>
      </w:r>
      <w:r w:rsidRPr="00D73A30">
        <w:rPr>
          <w:rFonts w:ascii="Palatino Linotype" w:eastAsia="Palatino Linotype" w:hAnsi="Palatino Linotype" w:cs="Palatino Linotype"/>
          <w:lang w:eastAsia="es-MX"/>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61264FC" w14:textId="77777777" w:rsidR="006401DE"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2AB8E660" w14:textId="77777777" w:rsidR="008E1208" w:rsidRDefault="00A17D1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2" w:name="_heading=h.3dy6vkm" w:colFirst="0" w:colLast="0"/>
      <w:bookmarkEnd w:id="2"/>
      <w:r>
        <w:rPr>
          <w:rFonts w:ascii="Palatino Linotype" w:eastAsia="Palatino Linotype" w:hAnsi="Palatino Linotype" w:cs="Palatino Linotype"/>
          <w:b/>
          <w:color w:val="000000"/>
        </w:rPr>
        <w:t>C O N S I D E R A N D O S:</w:t>
      </w:r>
    </w:p>
    <w:p w14:paraId="126AA7A7"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0AE5CAE"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C263CBA"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1F48A48"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5D69B669"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3B87B435"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60193BD4"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43192768"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7099022" w14:textId="77777777" w:rsidR="008E1208" w:rsidRDefault="00A17D1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04EB298B"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4CA56E05"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da respuesta a la solicitud de información; sin embargo, tratándose de negativa ficta no existe resolución que se haga del conocimiento del particular a partir de la cual </w:t>
      </w:r>
      <w:r>
        <w:rPr>
          <w:rFonts w:ascii="Palatino Linotype" w:eastAsia="Palatino Linotype" w:hAnsi="Palatino Linotype" w:cs="Palatino Linotype"/>
        </w:rPr>
        <w:lastRenderedPageBreak/>
        <w:t>pueda computarse dicho plazo, por lo que se concluye que la interposición del recurso de revisión puede ser en cualquier momento.</w:t>
      </w:r>
    </w:p>
    <w:p w14:paraId="017A9C53"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7CBBBD9"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3DF2474E" w14:textId="77777777" w:rsidR="008E1208" w:rsidRDefault="00A17D1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w:t>
      </w:r>
      <w:r>
        <w:rPr>
          <w:rFonts w:ascii="Palatino Linotype" w:eastAsia="Palatino Linotype" w:hAnsi="Palatino Linotype" w:cs="Palatino Linotype"/>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2A6479E"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1016286E" w14:textId="77777777" w:rsidR="00502DD5" w:rsidRPr="00502DD5" w:rsidRDefault="00502DD5" w:rsidP="00502DD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lang w:eastAsia="es-MX"/>
        </w:rPr>
      </w:pPr>
      <w:r w:rsidRPr="00502DD5">
        <w:rPr>
          <w:rFonts w:ascii="Palatino Linotype" w:eastAsia="Palatino Linotype" w:hAnsi="Palatino Linotype" w:cs="Palatino Linotype"/>
          <w:color w:val="000000"/>
          <w:lang w:eastAsia="es-MX"/>
        </w:rPr>
        <w:t>Asimismo, por cuanto hace a la procedibilidad de</w:t>
      </w:r>
      <w:r w:rsidRPr="00502DD5">
        <w:rPr>
          <w:rFonts w:ascii="Palatino Linotype" w:eastAsia="Palatino Linotype" w:hAnsi="Palatino Linotype" w:cs="Palatino Linotype"/>
          <w:lang w:eastAsia="es-MX"/>
        </w:rPr>
        <w:t xml:space="preserve">l </w:t>
      </w:r>
      <w:r w:rsidRPr="00502DD5">
        <w:rPr>
          <w:rFonts w:ascii="Palatino Linotype" w:eastAsia="Palatino Linotype" w:hAnsi="Palatino Linotype" w:cs="Palatino Linotype"/>
          <w:color w:val="000000"/>
          <w:lang w:eastAsia="es-MX"/>
        </w:rPr>
        <w:t xml:space="preserve"> recurso de </w:t>
      </w:r>
      <w:r w:rsidRPr="00502DD5">
        <w:rPr>
          <w:rFonts w:ascii="Palatino Linotype" w:eastAsia="Palatino Linotype" w:hAnsi="Palatino Linotype" w:cs="Palatino Linotype"/>
          <w:lang w:eastAsia="es-MX"/>
        </w:rPr>
        <w:t>revisión</w:t>
      </w:r>
      <w:r w:rsidRPr="00502DD5">
        <w:rPr>
          <w:rFonts w:ascii="Palatino Linotype" w:eastAsia="Palatino Linotype" w:hAnsi="Palatino Linotype" w:cs="Palatino Linotype"/>
          <w:color w:val="000000"/>
          <w:lang w:eastAsia="es-MX"/>
        </w:rPr>
        <w:t xml:space="preserve">, es de suma importancia señalar que </w:t>
      </w:r>
      <w:r w:rsidRPr="00502DD5">
        <w:rPr>
          <w:rFonts w:ascii="Palatino Linotype" w:eastAsia="Palatino Linotype" w:hAnsi="Palatino Linotype" w:cs="Palatino Linotype"/>
          <w:b/>
          <w:color w:val="000000"/>
          <w:lang w:eastAsia="es-MX"/>
        </w:rPr>
        <w:t>la parte Recurrente</w:t>
      </w:r>
      <w:r w:rsidRPr="00502DD5">
        <w:rPr>
          <w:rFonts w:ascii="Palatino Linotype" w:eastAsia="Palatino Linotype" w:hAnsi="Palatino Linotype" w:cs="Palatino Linotype"/>
          <w:color w:val="000000"/>
          <w:lang w:eastAsia="es-MX"/>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D19C7FF" w14:textId="77777777" w:rsidR="00502DD5" w:rsidRDefault="00502DD5">
      <w:pPr>
        <w:spacing w:before="240" w:after="240" w:line="360" w:lineRule="auto"/>
        <w:jc w:val="both"/>
        <w:rPr>
          <w:rFonts w:ascii="Palatino Linotype" w:eastAsia="Palatino Linotype" w:hAnsi="Palatino Linotype" w:cs="Palatino Linotype"/>
        </w:rPr>
      </w:pPr>
      <w:r w:rsidRPr="00502DD5">
        <w:rPr>
          <w:rFonts w:ascii="Palatino Linotype" w:eastAsia="Palatino Linotype" w:hAnsi="Palatino Linotype" w:cs="Palatino Linotype"/>
          <w:i/>
          <w:color w:val="000000"/>
          <w:sz w:val="22"/>
          <w:szCs w:val="22"/>
          <w:lang w:eastAsia="es-MX"/>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211A58C8"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ACCADA7"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692E8D99"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9FB0DAF" w14:textId="77777777" w:rsidR="008E1208" w:rsidRDefault="00A17D19">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6F48CA03" w14:textId="77777777" w:rsidR="008E1208" w:rsidRDefault="00A17D1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567AD451" w14:textId="77777777" w:rsidR="008E1208" w:rsidRDefault="00A17D19">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14:paraId="413011C0"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w:t>
      </w:r>
      <w:r w:rsidR="00CC1CF3">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w:t>
      </w:r>
      <w:r w:rsidR="00CC1CF3">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6C25C2EC" w14:textId="77777777" w:rsidR="008E1208" w:rsidRDefault="00A17D19">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w:t>
      </w:r>
      <w:r w:rsidRPr="00CD7764">
        <w:rPr>
          <w:rFonts w:ascii="Palatino Linotype" w:eastAsia="Palatino Linotype" w:hAnsi="Palatino Linotype" w:cs="Palatino Linotype"/>
        </w:rPr>
        <w:t>Instituto se pronunciará será: verificar si son procedentes los agravios hechos valer p</w:t>
      </w:r>
      <w:r w:rsidR="00CC1CF3">
        <w:rPr>
          <w:rFonts w:ascii="Palatino Linotype" w:eastAsia="Palatino Linotype" w:hAnsi="Palatino Linotype" w:cs="Palatino Linotype"/>
        </w:rPr>
        <w:t>or el</w:t>
      </w:r>
      <w:r w:rsidRPr="00CD7764">
        <w:rPr>
          <w:rFonts w:ascii="Palatino Linotype" w:eastAsia="Palatino Linotype" w:hAnsi="Palatino Linotype" w:cs="Palatino Linotype"/>
        </w:rPr>
        <w:t xml:space="preserve"> </w:t>
      </w:r>
      <w:r w:rsidRPr="00CD7764">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w:t>
      </w:r>
      <w:r w:rsidR="0022184E">
        <w:rPr>
          <w:rFonts w:ascii="Palatino Linotype" w:eastAsia="Palatino Linotype" w:hAnsi="Palatino Linotype" w:cs="Palatino Linotype"/>
        </w:rPr>
        <w:t>si se violenta en perjuicio de e</w:t>
      </w:r>
      <w:r>
        <w:rPr>
          <w:rFonts w:ascii="Palatino Linotype" w:eastAsia="Palatino Linotype" w:hAnsi="Palatino Linotype" w:cs="Palatino Linotype"/>
        </w:rPr>
        <w:t>ste, el derecho de acceso a la información previsto en la Constitución Política de los Estados Unidos Mexicanos y en la Constitución Política del Estado Libre y Soberano de México.</w:t>
      </w:r>
    </w:p>
    <w:p w14:paraId="7FB3BF35" w14:textId="77777777" w:rsidR="008E1208" w:rsidRDefault="00A17D19">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w:t>
      </w:r>
      <w:r w:rsidR="00D73A30" w:rsidRPr="00D73A30">
        <w:rPr>
          <w:rFonts w:ascii="Palatino Linotype" w:eastAsia="Palatino Linotype" w:hAnsi="Palatino Linotype" w:cs="Palatino Linotype"/>
          <w:b/>
          <w:bCs/>
        </w:rPr>
        <w:t>03354/METEPEC/IP/2022</w:t>
      </w:r>
      <w:r>
        <w:rPr>
          <w:rFonts w:ascii="Palatino Linotype" w:eastAsia="Palatino Linotype" w:hAnsi="Palatino Linotype" w:cs="Palatino Linotype"/>
          <w:b/>
        </w:rPr>
        <w:t>,</w:t>
      </w:r>
      <w:r>
        <w:rPr>
          <w:rFonts w:ascii="Palatino Linotype" w:eastAsia="Palatino Linotype" w:hAnsi="Palatino Linotype" w:cs="Palatino Linotype"/>
        </w:rPr>
        <w:t xml:space="preserve"> dentro del plazo legal previsto para ello.</w:t>
      </w:r>
    </w:p>
    <w:p w14:paraId="2DBB4E9D"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05C3A858" w14:textId="77777777" w:rsidR="00D73A30" w:rsidRDefault="00D73A30" w:rsidP="00D73A30">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8F28AE">
        <w:rPr>
          <w:rFonts w:ascii="Palatino Linotype" w:eastAsia="Palatino Linotype" w:hAnsi="Palatino Linotype" w:cs="Palatino Linotype"/>
          <w:i/>
          <w:color w:val="000000"/>
          <w:sz w:val="22"/>
          <w:szCs w:val="22"/>
        </w:rPr>
        <w:t xml:space="preserve">se solicita el </w:t>
      </w:r>
      <w:proofErr w:type="spellStart"/>
      <w:r w:rsidRPr="008F28AE">
        <w:rPr>
          <w:rFonts w:ascii="Palatino Linotype" w:eastAsia="Palatino Linotype" w:hAnsi="Palatino Linotype" w:cs="Palatino Linotype"/>
          <w:i/>
          <w:color w:val="000000"/>
          <w:sz w:val="22"/>
          <w:szCs w:val="22"/>
        </w:rPr>
        <w:t>padron</w:t>
      </w:r>
      <w:proofErr w:type="spellEnd"/>
      <w:r w:rsidRPr="008F28AE">
        <w:rPr>
          <w:rFonts w:ascii="Palatino Linotype" w:eastAsia="Palatino Linotype" w:hAnsi="Palatino Linotype" w:cs="Palatino Linotype"/>
          <w:i/>
          <w:color w:val="000000"/>
          <w:sz w:val="22"/>
          <w:szCs w:val="22"/>
        </w:rPr>
        <w:t xml:space="preserve"> catastral</w:t>
      </w:r>
      <w:r>
        <w:rPr>
          <w:rFonts w:ascii="Palatino Linotype" w:eastAsia="Palatino Linotype" w:hAnsi="Palatino Linotype" w:cs="Palatino Linotype"/>
          <w:i/>
          <w:color w:val="000000"/>
          <w:sz w:val="22"/>
          <w:szCs w:val="22"/>
        </w:rPr>
        <w:t>” (Sic)</w:t>
      </w:r>
    </w:p>
    <w:p w14:paraId="3E1DDA23"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w:t>
      </w:r>
      <w:r>
        <w:rPr>
          <w:rFonts w:ascii="Palatino Linotype" w:eastAsia="Palatino Linotype" w:hAnsi="Palatino Linotype" w:cs="Palatino Linotype"/>
        </w:rPr>
        <w:lastRenderedPageBreak/>
        <w:t>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A4643F6" w14:textId="77777777" w:rsidR="008E1208" w:rsidRDefault="00A17D19">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4AA06A4" w14:textId="77777777" w:rsidR="008E1208" w:rsidRDefault="008E1208">
      <w:pPr>
        <w:tabs>
          <w:tab w:val="left" w:pos="709"/>
        </w:tabs>
        <w:ind w:left="851" w:right="850"/>
        <w:jc w:val="both"/>
        <w:rPr>
          <w:rFonts w:ascii="Palatino Linotype" w:eastAsia="Palatino Linotype" w:hAnsi="Palatino Linotype" w:cs="Palatino Linotype"/>
        </w:rPr>
      </w:pPr>
    </w:p>
    <w:p w14:paraId="59CD85FD" w14:textId="77777777"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C9A0E88" w14:textId="77777777" w:rsidR="008E1208" w:rsidRDefault="00A17D19">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D2C4627" w14:textId="77777777"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68C42B3" w14:textId="77777777"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DE7A2AB"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6A586B8F"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D234D73"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2E5F2253" w14:textId="77777777" w:rsidR="008E1208" w:rsidRDefault="00A17D1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w:t>
      </w:r>
    </w:p>
    <w:p w14:paraId="12B49310"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47A762D"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9145A03" w14:textId="77777777" w:rsidR="008E1208" w:rsidRDefault="00A17D19">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CCE11BC"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88B41AD" w14:textId="77777777"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61633E5F" w14:textId="77777777"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75CA904" w14:textId="77777777"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8CCC482" w14:textId="77777777" w:rsidR="008E1208" w:rsidRDefault="008E1208" w:rsidP="00D73A30">
      <w:pPr>
        <w:ind w:left="567" w:right="851"/>
        <w:jc w:val="both"/>
        <w:rPr>
          <w:rFonts w:ascii="Palatino Linotype" w:eastAsia="Palatino Linotype" w:hAnsi="Palatino Linotype" w:cs="Palatino Linotype"/>
          <w:i/>
          <w:sz w:val="22"/>
          <w:szCs w:val="22"/>
        </w:rPr>
      </w:pPr>
    </w:p>
    <w:p w14:paraId="629BA90F" w14:textId="77777777"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8B18BC7" w14:textId="77777777"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E4C1747" w14:textId="77777777"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825CB4B"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CF4E78C"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A639D88" w14:textId="77777777" w:rsidR="008E1208" w:rsidRDefault="00A17D1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w:t>
      </w:r>
      <w:r>
        <w:rPr>
          <w:rFonts w:ascii="Palatino Linotype" w:eastAsia="Palatino Linotype" w:hAnsi="Palatino Linotype" w:cs="Palatino Linotype"/>
        </w:rPr>
        <w:lastRenderedPageBreak/>
        <w:t>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9F42AC" w14:textId="77777777" w:rsidR="008E1208" w:rsidRDefault="00A17D19">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5ACD9946"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1C7DF5A3" w14:textId="77777777" w:rsidR="008E1208" w:rsidRDefault="00A17D19">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27453493"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24FEB462"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5A5AEA4B" w14:textId="77777777" w:rsidR="008E1208" w:rsidRDefault="00A17D19">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6CDB1F27"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2D470831"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1911FE5E"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62582953"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6B363270"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1939D200"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5A39FF46"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7E02FFE3"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lastRenderedPageBreak/>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541F910A"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5A0C03EC"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FF6607"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5F9E698" w14:textId="77777777"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F103D13" w14:textId="77777777"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w:t>
      </w:r>
      <w:r>
        <w:rPr>
          <w:rFonts w:ascii="Palatino Linotype" w:eastAsia="Palatino Linotype" w:hAnsi="Palatino Linotype" w:cs="Palatino Linotype"/>
        </w:rPr>
        <w:lastRenderedPageBreak/>
        <w:t>solicitada.</w:t>
      </w:r>
    </w:p>
    <w:p w14:paraId="7D03AC15"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0EDABF3" w14:textId="77777777"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8EA48BF"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EF57518" w14:textId="77777777" w:rsidR="008E1208" w:rsidRDefault="00A17D1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w:t>
      </w:r>
      <w:r>
        <w:rPr>
          <w:rFonts w:ascii="Palatino Linotype" w:eastAsia="Palatino Linotype" w:hAnsi="Palatino Linotype" w:cs="Palatino Linotype"/>
          <w:b/>
          <w:i/>
          <w:sz w:val="22"/>
          <w:szCs w:val="22"/>
        </w:rPr>
        <w:lastRenderedPageBreak/>
        <w:t>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4999EBEA" w14:textId="77777777" w:rsidR="008E1208" w:rsidRDefault="00A17D1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FC53D0"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5B282A4D"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2EEBC0B6"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w:t>
      </w:r>
      <w:r>
        <w:rPr>
          <w:rFonts w:ascii="Palatino Linotype" w:eastAsia="Palatino Linotype" w:hAnsi="Palatino Linotype" w:cs="Palatino Linotype"/>
        </w:rPr>
        <w:lastRenderedPageBreak/>
        <w:t xml:space="preserve">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254CDFCF" w14:textId="77777777" w:rsidR="008E1208" w:rsidRDefault="00A17D19">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132CBF0" w14:textId="77777777" w:rsidR="008E1208" w:rsidRDefault="00A17D1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 xml:space="preserve">El acceso a la información pública será </w:t>
      </w:r>
      <w:r w:rsidR="00A45936">
        <w:rPr>
          <w:rFonts w:ascii="Palatino Linotype" w:eastAsia="Palatino Linotype" w:hAnsi="Palatino Linotype" w:cs="Palatino Linotype"/>
          <w:i/>
          <w:sz w:val="22"/>
          <w:szCs w:val="22"/>
        </w:rPr>
        <w:t>restringido excepcionalmente</w:t>
      </w:r>
      <w:r>
        <w:rPr>
          <w:rFonts w:ascii="Palatino Linotype" w:eastAsia="Palatino Linotype" w:hAnsi="Palatino Linotype" w:cs="Palatino Linotype"/>
          <w:i/>
          <w:sz w:val="22"/>
          <w:szCs w:val="22"/>
        </w:rPr>
        <w:t>, cuando ésta sea clasificada como reservada o confidencial.”</w:t>
      </w:r>
    </w:p>
    <w:p w14:paraId="64C67174"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2BFB62FB"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661109FA"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6B8B102"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666B76DC"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43BBCDA8"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6CD89EA"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66308E5A"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6FD2034F"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6D5EE20"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381D285A"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1A1DFA8"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A0E1D80"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1A8E9FCE"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C954F51"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710BA15"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7BF8196"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8DB15AF"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7DBAB45"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14667F5"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Se refiera a la información privada y los datos personales concernientes a una persona física o </w:t>
      </w:r>
      <w:r w:rsidR="00A45936">
        <w:rPr>
          <w:rFonts w:ascii="Palatino Linotype" w:eastAsia="Palatino Linotype" w:hAnsi="Palatino Linotype" w:cs="Palatino Linotype"/>
          <w:i/>
          <w:sz w:val="22"/>
          <w:szCs w:val="22"/>
        </w:rPr>
        <w:t>jurídica</w:t>
      </w:r>
      <w:r>
        <w:rPr>
          <w:rFonts w:ascii="Palatino Linotype" w:eastAsia="Palatino Linotype" w:hAnsi="Palatino Linotype" w:cs="Palatino Linotype"/>
          <w:i/>
          <w:sz w:val="22"/>
          <w:szCs w:val="22"/>
        </w:rPr>
        <w:t xml:space="preserve"> colectiva identificada o identificable;</w:t>
      </w:r>
    </w:p>
    <w:p w14:paraId="450EFF71"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B6A58EE"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9E29C38"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58FF0A1" w14:textId="77777777" w:rsidR="008E1208" w:rsidRDefault="00A17D19">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E0F139F"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Pr>
          <w:rFonts w:ascii="Palatino Linotype" w:eastAsia="Palatino Linotype" w:hAnsi="Palatino Linotype" w:cs="Palatino Linotype"/>
        </w:rPr>
        <w:lastRenderedPageBreak/>
        <w:t>podrán invocarlas cuando acrediten su procedencia, debiendo clasificar la información en el momento en que:</w:t>
      </w:r>
    </w:p>
    <w:p w14:paraId="5370B15F" w14:textId="77777777" w:rsidR="008E1208" w:rsidRDefault="00A17D1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25517808" w14:textId="77777777" w:rsidR="008E1208" w:rsidRDefault="00A17D19">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4176A1AC" w14:textId="77777777" w:rsidR="008E1208" w:rsidRDefault="00A17D1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7F252A5B" w14:textId="77777777"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4FD6F452"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0467D305"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E172981" w14:textId="77777777"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w:t>
      </w:r>
      <w:r>
        <w:rPr>
          <w:rFonts w:ascii="Palatino Linotype" w:eastAsia="Palatino Linotype" w:hAnsi="Palatino Linotype" w:cs="Palatino Linotype"/>
        </w:rPr>
        <w:lastRenderedPageBreak/>
        <w:t>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9A006A9"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0B2C8892" w14:textId="77777777" w:rsidR="008E1208" w:rsidRDefault="00A17D19">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467FF03A" w14:textId="77777777" w:rsidR="008E1208" w:rsidRDefault="00A17D19">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352FBAD6" w14:textId="77777777" w:rsidR="008E1208" w:rsidRDefault="00A17D19">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031F6E73" w14:textId="77777777" w:rsidR="008E1208" w:rsidRDefault="00A17D1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es necesario hacer hincapié que en el caso de que existan causas presentes que impiden la publicidad de la información durante cierto periodo de tiempo, las razones objetivas por las que la apertura de la información generaría </w:t>
      </w:r>
      <w:r>
        <w:rPr>
          <w:rFonts w:ascii="Palatino Linotype" w:eastAsia="Palatino Linotype" w:hAnsi="Palatino Linotype" w:cs="Palatino Linotype"/>
          <w:color w:val="000000"/>
        </w:rPr>
        <w:lastRenderedPageBreak/>
        <w:t>una afectación, deben aplicar de manera restrictiva y limitada las hipótesis de clasificación y no hacerlas valer de manera general.</w:t>
      </w:r>
    </w:p>
    <w:p w14:paraId="67DCE8EC"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20E099F4"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637EE58D" w14:textId="77777777" w:rsidR="008E1208" w:rsidRDefault="00A17D1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w:t>
      </w:r>
      <w:r>
        <w:rPr>
          <w:rFonts w:ascii="Palatino Linotype" w:eastAsia="Palatino Linotype" w:hAnsi="Palatino Linotype" w:cs="Palatino Linotype"/>
          <w:i/>
          <w:sz w:val="22"/>
          <w:szCs w:val="22"/>
        </w:rPr>
        <w:lastRenderedPageBreak/>
        <w:t xml:space="preserve">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14:paraId="1639501B" w14:textId="77777777" w:rsidR="008E1208" w:rsidRDefault="00A17D1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FC2D548" w14:textId="77777777"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igual forma </w:t>
      </w:r>
      <w:r>
        <w:rPr>
          <w:rFonts w:ascii="Palatino Linotype" w:eastAsia="Palatino Linotype" w:hAnsi="Palatino Linotype" w:cs="Palatino Linotype"/>
        </w:rPr>
        <w:lastRenderedPageBreak/>
        <w:t>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07CEAD8"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334A4972"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3F0603F"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7A935D0"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3182601A" w14:textId="77777777" w:rsidR="008E1208" w:rsidRDefault="00A17D1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ADA2E1"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2D4E7EFC" w14:textId="77777777" w:rsidR="008E1208" w:rsidRDefault="00A17D19">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w:t>
      </w:r>
      <w:r>
        <w:rPr>
          <w:rFonts w:ascii="Palatino Linotype" w:eastAsia="Palatino Linotype" w:hAnsi="Palatino Linotype" w:cs="Palatino Linotype"/>
        </w:rPr>
        <w:lastRenderedPageBreak/>
        <w:t xml:space="preserve">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376A5D18" w14:textId="77777777" w:rsidR="008E1208" w:rsidRDefault="00A17D19">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6822981" w14:textId="77777777" w:rsidR="008E1208" w:rsidRDefault="00A17D1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4A7EEDCA" w14:textId="77777777" w:rsidR="008E1208" w:rsidRDefault="00A17D19">
      <w:pPr>
        <w:spacing w:before="240" w:after="240" w:line="360" w:lineRule="auto"/>
        <w:ind w:right="49"/>
        <w:jc w:val="both"/>
        <w:rPr>
          <w:rFonts w:ascii="Palatino Linotype" w:eastAsia="Palatino Linotype" w:hAnsi="Palatino Linotype" w:cs="Palatino Linotype"/>
        </w:rPr>
      </w:pPr>
      <w:r w:rsidRPr="00CD7764">
        <w:rPr>
          <w:rFonts w:ascii="Palatino Linotype" w:eastAsia="Palatino Linotype" w:hAnsi="Palatino Linotype" w:cs="Palatino Linotype"/>
          <w:b/>
        </w:rPr>
        <w:t xml:space="preserve">Primero. </w:t>
      </w:r>
      <w:r w:rsidRPr="00CD7764">
        <w:rPr>
          <w:rFonts w:ascii="Palatino Linotype" w:eastAsia="Palatino Linotype" w:hAnsi="Palatino Linotype" w:cs="Palatino Linotype"/>
        </w:rPr>
        <w:t>Resultan fundados los motivos de inconformid</w:t>
      </w:r>
      <w:r w:rsidR="00CD7764" w:rsidRPr="00CD7764">
        <w:rPr>
          <w:rFonts w:ascii="Palatino Linotype" w:eastAsia="Palatino Linotype" w:hAnsi="Palatino Linotype" w:cs="Palatino Linotype"/>
        </w:rPr>
        <w:t xml:space="preserve">ad de </w:t>
      </w:r>
      <w:r w:rsidR="00CD7764" w:rsidRPr="00FD1833">
        <w:rPr>
          <w:rFonts w:ascii="Palatino Linotype" w:eastAsia="Palatino Linotype" w:hAnsi="Palatino Linotype" w:cs="Palatino Linotype"/>
          <w:b/>
        </w:rPr>
        <w:t xml:space="preserve">la </w:t>
      </w:r>
      <w:r w:rsidR="00FD1833" w:rsidRPr="00FD1833">
        <w:rPr>
          <w:rFonts w:ascii="Palatino Linotype" w:eastAsia="Palatino Linotype" w:hAnsi="Palatino Linotype" w:cs="Palatino Linotype"/>
          <w:b/>
        </w:rPr>
        <w:t xml:space="preserve">parte </w:t>
      </w:r>
      <w:r w:rsidRPr="00FD1833">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sidR="00D73A30" w:rsidRPr="00D73A30">
        <w:rPr>
          <w:rFonts w:ascii="Palatino Linotype" w:eastAsia="Palatino Linotype" w:hAnsi="Palatino Linotype" w:cs="Palatino Linotype"/>
          <w:b/>
        </w:rPr>
        <w:t>11274/INFOEM/IP/RR/2022</w:t>
      </w:r>
      <w:r>
        <w:rPr>
          <w:rFonts w:ascii="Palatino Linotype" w:eastAsia="Palatino Linotype" w:hAnsi="Palatino Linotype" w:cs="Palatino Linotype"/>
          <w:b/>
        </w:rPr>
        <w:t>,</w:t>
      </w:r>
      <w:r>
        <w:rPr>
          <w:rFonts w:ascii="Palatino Linotype" w:eastAsia="Palatino Linotype" w:hAnsi="Palatino Linotype" w:cs="Palatino Linotype"/>
        </w:rPr>
        <w:t xml:space="preserve"> en términos del </w:t>
      </w:r>
      <w:r w:rsidRPr="00502DD5">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w:t>
      </w:r>
    </w:p>
    <w:p w14:paraId="02753381"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 xml:space="preserve">a la solicitud de acceso a la información pública </w:t>
      </w:r>
      <w:r w:rsidR="00D73A30" w:rsidRPr="00D73A30">
        <w:rPr>
          <w:rFonts w:ascii="Palatino Linotype" w:eastAsia="Palatino Linotype" w:hAnsi="Palatino Linotype" w:cs="Palatino Linotype"/>
          <w:b/>
        </w:rPr>
        <w:t>03354/METEPEC/IP/2022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dio origen al recurso de revisión </w:t>
      </w:r>
      <w:r w:rsidR="00D73A30" w:rsidRPr="00D73A30">
        <w:rPr>
          <w:rFonts w:ascii="Palatino Linotype" w:eastAsia="Palatino Linotype" w:hAnsi="Palatino Linotype" w:cs="Palatino Linotype"/>
          <w:b/>
        </w:rPr>
        <w:t>11274/INFOEM/IP/RR/2022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w:t>
      </w:r>
      <w:r w:rsidRPr="00502DD5">
        <w:rPr>
          <w:rFonts w:ascii="Palatino Linotype" w:eastAsia="Palatino Linotype" w:hAnsi="Palatino Linotype" w:cs="Palatino Linotype"/>
          <w:b/>
        </w:rPr>
        <w:t>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5459C86" w14:textId="77777777" w:rsidR="008E1208" w:rsidRDefault="00A17D19">
      <w:pPr>
        <w:spacing w:before="240" w:after="240"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b/>
        </w:rPr>
        <w:lastRenderedPageBreak/>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A92B785"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99736F2" w14:textId="77777777" w:rsidR="008E1208" w:rsidRDefault="00A17D19">
      <w:pPr>
        <w:spacing w:before="240" w:after="240" w:line="360" w:lineRule="auto"/>
        <w:jc w:val="both"/>
        <w:rPr>
          <w:rFonts w:ascii="Palatino Linotype" w:eastAsia="Palatino Linotype" w:hAnsi="Palatino Linotype" w:cs="Palatino Linotype"/>
          <w:b/>
        </w:rPr>
      </w:pPr>
      <w:bookmarkStart w:id="5" w:name="_heading=h.tyjcwt" w:colFirst="0" w:colLast="0"/>
      <w:bookmarkEnd w:id="5"/>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9239C49" w14:textId="77777777"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562F631A" w14:textId="77777777"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bookmarkStart w:id="6" w:name="_heading=h.2et92p0" w:colFirst="0" w:colLast="0"/>
    <w:bookmarkEnd w:id="6"/>
    <w:p w14:paraId="72F9BA54" w14:textId="77777777" w:rsidR="008E1208" w:rsidRDefault="0026069C">
      <w:pPr>
        <w:spacing w:line="360" w:lineRule="auto"/>
        <w:ind w:right="49"/>
        <w:jc w:val="both"/>
        <w:rPr>
          <w:rFonts w:ascii="Palatino Linotype" w:eastAsia="Palatino Linotype" w:hAnsi="Palatino Linotype" w:cs="Palatino Linotype"/>
        </w:rPr>
        <w:sectPr w:rsidR="008E120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1143BC54" wp14:editId="6E9C9025">
                <wp:simplePos x="0" y="0"/>
                <wp:positionH relativeFrom="column">
                  <wp:posOffset>53340</wp:posOffset>
                </wp:positionH>
                <wp:positionV relativeFrom="paragraph">
                  <wp:posOffset>2690494</wp:posOffset>
                </wp:positionV>
                <wp:extent cx="5257800" cy="32480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257800" cy="3248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9CD0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211.85pt" to="418.2pt,4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" strokecolor="black [3200]" strokeweight=".5pt">
                <v:stroke joinstyle="miter"/>
              </v:line>
            </w:pict>
          </mc:Fallback>
        </mc:AlternateContent>
      </w:r>
      <w:r w:rsidR="00A17D1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w:t>
      </w:r>
      <w:r w:rsidR="00502DD5">
        <w:rPr>
          <w:rFonts w:ascii="Palatino Linotype" w:eastAsia="Palatino Linotype" w:hAnsi="Palatino Linotype" w:cs="Palatino Linotype"/>
        </w:rPr>
        <w:t>ÍREZ PEÑA; EN LA VIGÉSIMA NOVEN</w:t>
      </w:r>
      <w:r w:rsidR="00A17D19">
        <w:rPr>
          <w:rFonts w:ascii="Palatino Linotype" w:eastAsia="Palatino Linotype" w:hAnsi="Palatino Linotype" w:cs="Palatino Linotype"/>
        </w:rPr>
        <w:t>A SESI</w:t>
      </w:r>
      <w:r w:rsidR="00502DD5">
        <w:rPr>
          <w:rFonts w:ascii="Palatino Linotype" w:eastAsia="Palatino Linotype" w:hAnsi="Palatino Linotype" w:cs="Palatino Linotype"/>
        </w:rPr>
        <w:t>ÓN ORDINARIA CELEBRADA EL DIECISIETE</w:t>
      </w:r>
      <w:r w:rsidR="00CC1CF3">
        <w:rPr>
          <w:rFonts w:ascii="Palatino Linotype" w:eastAsia="Palatino Linotype" w:hAnsi="Palatino Linotype" w:cs="Palatino Linotype"/>
        </w:rPr>
        <w:t xml:space="preserve"> DE AGOST</w:t>
      </w:r>
      <w:r w:rsidR="00A17D19">
        <w:rPr>
          <w:rFonts w:ascii="Palatino Linotype" w:eastAsia="Palatino Linotype" w:hAnsi="Palatino Linotype" w:cs="Palatino Linotype"/>
        </w:rPr>
        <w:t>O DE DOS MIL VEINTIDÓS, ANTE EL SECRETARIO TÉCNICO DEL PLENO ALEXIS TAPIA RAMÍREZ.</w:t>
      </w:r>
    </w:p>
    <w:p w14:paraId="716E1935" w14:textId="77777777" w:rsidR="008E1208" w:rsidRDefault="008E1208">
      <w:pPr>
        <w:tabs>
          <w:tab w:val="left" w:pos="709"/>
        </w:tabs>
        <w:spacing w:before="240" w:after="240" w:line="360" w:lineRule="auto"/>
        <w:jc w:val="both"/>
        <w:rPr>
          <w:rFonts w:ascii="Palatino Linotype" w:eastAsia="Palatino Linotype" w:hAnsi="Palatino Linotype" w:cs="Palatino Linotype"/>
        </w:rPr>
      </w:pPr>
    </w:p>
    <w:p w14:paraId="27C9E74A" w14:textId="77777777" w:rsidR="008E1208" w:rsidRDefault="008E1208"/>
    <w:p w14:paraId="07BABE0E" w14:textId="77777777" w:rsidR="008E1208" w:rsidRDefault="008E1208"/>
    <w:sectPr w:rsidR="008E120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5478" w14:textId="77777777" w:rsidR="00EC64F4" w:rsidRDefault="00EC64F4">
      <w:r>
        <w:separator/>
      </w:r>
    </w:p>
  </w:endnote>
  <w:endnote w:type="continuationSeparator" w:id="0">
    <w:p w14:paraId="09834C90" w14:textId="77777777" w:rsidR="00EC64F4" w:rsidRDefault="00EC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9955" w14:textId="77777777"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6069C">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6069C">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5F1DF88A" w14:textId="77777777" w:rsidR="008E1208" w:rsidRDefault="008E1208">
    <w:pPr>
      <w:pBdr>
        <w:top w:val="nil"/>
        <w:left w:val="nil"/>
        <w:bottom w:val="nil"/>
        <w:right w:val="nil"/>
        <w:between w:val="nil"/>
      </w:pBdr>
      <w:tabs>
        <w:tab w:val="center" w:pos="4252"/>
        <w:tab w:val="right" w:pos="8504"/>
      </w:tabs>
      <w:rPr>
        <w:color w:val="000000"/>
      </w:rPr>
    </w:pPr>
  </w:p>
  <w:p w14:paraId="1BD4BBDA" w14:textId="77777777" w:rsidR="008E1208" w:rsidRDefault="008E120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E159" w14:textId="77777777"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6069C">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6069C">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2712F4BE"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B98D" w14:textId="77777777" w:rsidR="00EC64F4" w:rsidRDefault="00EC64F4">
      <w:r>
        <w:separator/>
      </w:r>
    </w:p>
  </w:footnote>
  <w:footnote w:type="continuationSeparator" w:id="0">
    <w:p w14:paraId="77A2367C" w14:textId="77777777" w:rsidR="00EC64F4" w:rsidRDefault="00EC64F4">
      <w:r>
        <w:continuationSeparator/>
      </w:r>
    </w:p>
  </w:footnote>
  <w:footnote w:id="1">
    <w:p w14:paraId="17E97382"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200F3C1"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994266E"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393126B"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C365F26"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3CED0B33"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CD3678F"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538D675"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70880391"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149E" w14:textId="77777777" w:rsidR="008E1208" w:rsidRDefault="00A17D1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346BC125" wp14:editId="24DD6F40">
          <wp:simplePos x="0" y="0"/>
          <wp:positionH relativeFrom="column">
            <wp:posOffset>-1080127</wp:posOffset>
          </wp:positionH>
          <wp:positionV relativeFrom="paragraph">
            <wp:posOffset>-450840</wp:posOffset>
          </wp:positionV>
          <wp:extent cx="7635163" cy="99441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0"/>
      <w:tblW w:w="5670" w:type="dxa"/>
      <w:tblInd w:w="3261" w:type="dxa"/>
      <w:tblLayout w:type="fixed"/>
      <w:tblLook w:val="0400" w:firstRow="0" w:lastRow="0" w:firstColumn="0" w:lastColumn="0" w:noHBand="0" w:noVBand="1"/>
    </w:tblPr>
    <w:tblGrid>
      <w:gridCol w:w="2552"/>
      <w:gridCol w:w="3118"/>
    </w:tblGrid>
    <w:tr w:rsidR="008E1208" w14:paraId="40FBD055" w14:textId="77777777">
      <w:tc>
        <w:tcPr>
          <w:tcW w:w="2552" w:type="dxa"/>
          <w:vAlign w:val="center"/>
        </w:tcPr>
        <w:p w14:paraId="0C67CB8A"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04F83452" w14:textId="77777777" w:rsidR="008E1208" w:rsidRDefault="008F28A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1127</w:t>
          </w:r>
          <w:r w:rsidR="00942662">
            <w:rPr>
              <w:rFonts w:ascii="Palatino Linotype" w:eastAsia="Palatino Linotype" w:hAnsi="Palatino Linotype" w:cs="Palatino Linotype"/>
              <w:b/>
              <w:sz w:val="22"/>
              <w:szCs w:val="22"/>
            </w:rPr>
            <w:t>4</w:t>
          </w:r>
          <w:r w:rsidR="00A17D19">
            <w:rPr>
              <w:rFonts w:ascii="Palatino Linotype" w:eastAsia="Palatino Linotype" w:hAnsi="Palatino Linotype" w:cs="Palatino Linotype"/>
              <w:b/>
              <w:sz w:val="22"/>
              <w:szCs w:val="22"/>
            </w:rPr>
            <w:t xml:space="preserve">/INFOEM/IP/RR/2022 </w:t>
          </w:r>
        </w:p>
      </w:tc>
    </w:tr>
    <w:tr w:rsidR="008E1208" w14:paraId="54C2F41A" w14:textId="77777777">
      <w:trPr>
        <w:trHeight w:val="228"/>
      </w:trPr>
      <w:tc>
        <w:tcPr>
          <w:tcW w:w="2552" w:type="dxa"/>
          <w:vAlign w:val="center"/>
        </w:tcPr>
        <w:p w14:paraId="17741C9B"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5C7A23F9" w14:textId="77777777" w:rsidR="008E1208" w:rsidRDefault="00C01B9C" w:rsidP="00C01B9C">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8E1208" w14:paraId="3B75A4FB" w14:textId="77777777">
      <w:tc>
        <w:tcPr>
          <w:tcW w:w="2552" w:type="dxa"/>
          <w:vAlign w:val="center"/>
        </w:tcPr>
        <w:p w14:paraId="561B71D2"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75EA6019" w14:textId="77777777"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B46FB70" w14:textId="77777777" w:rsidR="008E1208" w:rsidRDefault="00A17D1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5401" w14:textId="77777777"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5E01B6AD" wp14:editId="02C9EF2E">
          <wp:simplePos x="0" y="0"/>
          <wp:positionH relativeFrom="column">
            <wp:posOffset>-1013450</wp:posOffset>
          </wp:positionH>
          <wp:positionV relativeFrom="paragraph">
            <wp:posOffset>-372101</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
      <w:tblW w:w="6238" w:type="dxa"/>
      <w:tblInd w:w="3119" w:type="dxa"/>
      <w:tblLayout w:type="fixed"/>
      <w:tblLook w:val="0400" w:firstRow="0" w:lastRow="0" w:firstColumn="0" w:lastColumn="0" w:noHBand="0" w:noVBand="1"/>
    </w:tblPr>
    <w:tblGrid>
      <w:gridCol w:w="2551"/>
      <w:gridCol w:w="3687"/>
    </w:tblGrid>
    <w:tr w:rsidR="008E1208" w14:paraId="62686A00" w14:textId="77777777">
      <w:tc>
        <w:tcPr>
          <w:tcW w:w="2551" w:type="dxa"/>
          <w:vAlign w:val="center"/>
        </w:tcPr>
        <w:p w14:paraId="0DDF6B54"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4F253B80" w14:textId="77777777" w:rsidR="008E1208" w:rsidRDefault="008F28A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1127</w:t>
          </w:r>
          <w:r w:rsidR="00942662">
            <w:rPr>
              <w:rFonts w:ascii="Palatino Linotype" w:eastAsia="Palatino Linotype" w:hAnsi="Palatino Linotype" w:cs="Palatino Linotype"/>
              <w:b/>
              <w:sz w:val="22"/>
              <w:szCs w:val="22"/>
            </w:rPr>
            <w:t>4</w:t>
          </w:r>
          <w:r w:rsidR="00A17D19">
            <w:rPr>
              <w:rFonts w:ascii="Palatino Linotype" w:eastAsia="Palatino Linotype" w:hAnsi="Palatino Linotype" w:cs="Palatino Linotype"/>
              <w:b/>
              <w:sz w:val="22"/>
              <w:szCs w:val="22"/>
            </w:rPr>
            <w:t>/INFOEM/IP/RR/2022</w:t>
          </w:r>
        </w:p>
      </w:tc>
    </w:tr>
    <w:tr w:rsidR="008E1208" w14:paraId="0518C436" w14:textId="77777777">
      <w:tc>
        <w:tcPr>
          <w:tcW w:w="2551" w:type="dxa"/>
          <w:vAlign w:val="center"/>
        </w:tcPr>
        <w:p w14:paraId="5AB76D4C" w14:textId="77777777" w:rsidR="008E1208" w:rsidRDefault="00A17D1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49E8DAA5" w14:textId="77777777" w:rsidR="008E1208" w:rsidRDefault="008E1208" w:rsidP="00942662">
          <w:pPr>
            <w:ind w:right="1020"/>
            <w:jc w:val="both"/>
            <w:rPr>
              <w:rFonts w:ascii="Palatino Linotype" w:eastAsia="Palatino Linotype" w:hAnsi="Palatino Linotype" w:cs="Palatino Linotype"/>
              <w:b/>
              <w:sz w:val="22"/>
              <w:szCs w:val="22"/>
            </w:rPr>
          </w:pPr>
        </w:p>
      </w:tc>
    </w:tr>
    <w:tr w:rsidR="008E1208" w14:paraId="68C2C43F" w14:textId="77777777">
      <w:trPr>
        <w:trHeight w:val="228"/>
      </w:trPr>
      <w:tc>
        <w:tcPr>
          <w:tcW w:w="2551" w:type="dxa"/>
          <w:vAlign w:val="center"/>
        </w:tcPr>
        <w:p w14:paraId="222BFE0C"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0CBDCF34" w14:textId="77777777" w:rsidR="008E1208" w:rsidRDefault="00C01B9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8E1208" w14:paraId="54251588" w14:textId="77777777">
      <w:tc>
        <w:tcPr>
          <w:tcW w:w="2551" w:type="dxa"/>
          <w:vAlign w:val="center"/>
        </w:tcPr>
        <w:p w14:paraId="12EF943C"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0C167221" w14:textId="77777777"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DB7EF6E"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0761" w14:textId="77777777"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3B35E1F1"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2935BFD"/>
    <w:multiLevelType w:val="multilevel"/>
    <w:tmpl w:val="DBD076B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48521A0"/>
    <w:multiLevelType w:val="hybridMultilevel"/>
    <w:tmpl w:val="BAC226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7CE4293"/>
    <w:multiLevelType w:val="multilevel"/>
    <w:tmpl w:val="A0383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08"/>
    <w:rsid w:val="000A3A39"/>
    <w:rsid w:val="000A72DA"/>
    <w:rsid w:val="000E3E03"/>
    <w:rsid w:val="00165206"/>
    <w:rsid w:val="0022184E"/>
    <w:rsid w:val="0026069C"/>
    <w:rsid w:val="0036792E"/>
    <w:rsid w:val="003E545E"/>
    <w:rsid w:val="00502DD5"/>
    <w:rsid w:val="00577B0C"/>
    <w:rsid w:val="006401DE"/>
    <w:rsid w:val="0077483C"/>
    <w:rsid w:val="00774E51"/>
    <w:rsid w:val="008200E8"/>
    <w:rsid w:val="008743F2"/>
    <w:rsid w:val="008A4A54"/>
    <w:rsid w:val="008E1208"/>
    <w:rsid w:val="008F28AE"/>
    <w:rsid w:val="008F7CDE"/>
    <w:rsid w:val="00942662"/>
    <w:rsid w:val="009A2E96"/>
    <w:rsid w:val="00A17D19"/>
    <w:rsid w:val="00A45936"/>
    <w:rsid w:val="00AC0FF6"/>
    <w:rsid w:val="00C01B9C"/>
    <w:rsid w:val="00C92972"/>
    <w:rsid w:val="00CC1CF3"/>
    <w:rsid w:val="00CD7764"/>
    <w:rsid w:val="00D5719F"/>
    <w:rsid w:val="00D73A30"/>
    <w:rsid w:val="00E20BAF"/>
    <w:rsid w:val="00EC64F4"/>
    <w:rsid w:val="00F86CA8"/>
    <w:rsid w:val="00FD18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0F33"/>
  <w15:docId w15:val="{857E5B28-D05A-409B-AA93-895074B9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dLK8knYhlVxQJ/74y8VqavDOgA==">AMUW2mUAyuORYzp4IxZOcwGnoIcdwohUti4RPu3DwhM1QCm95eJNy1JVYZDl4+rBSy/d7tndlYPkYz2iuhmoaLqVwAnckTad6SDG/tiKo88tt6SiTPtw4D58alViTiLnxRVrnfSgt71THYaY/97Epz/383jbOVpsqCvPVYZgQz6oZ0PjmNetbQtK6Pgsz/u5/h1emMjWgts8WZs/7KaVbTKezCnj3wMwDw==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7607</Words>
  <Characters>41839</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User 425</cp:lastModifiedBy>
  <cp:revision>4</cp:revision>
  <cp:lastPrinted>2022-08-19T15:43:00Z</cp:lastPrinted>
  <dcterms:created xsi:type="dcterms:W3CDTF">2022-08-18T01:13:00Z</dcterms:created>
  <dcterms:modified xsi:type="dcterms:W3CDTF">2022-08-19T15:43:00Z</dcterms:modified>
</cp:coreProperties>
</file>