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C69" w:rsidRPr="00D0299D" w:rsidRDefault="009B11D6" w:rsidP="00C1682A">
      <w:pPr>
        <w:tabs>
          <w:tab w:val="left" w:pos="0"/>
          <w:tab w:val="left" w:pos="3465"/>
        </w:tabs>
        <w:spacing w:line="360" w:lineRule="auto"/>
        <w:jc w:val="both"/>
        <w:rPr>
          <w:rFonts w:ascii="Palatino Linotype" w:hAnsi="Palatino Linotype"/>
        </w:rPr>
      </w:pPr>
      <w:r w:rsidRPr="00D0299D">
        <w:rPr>
          <w:rFonts w:ascii="Palatino Linotype" w:hAnsi="Palatino Linotype"/>
        </w:rPr>
        <w:t>R</w:t>
      </w:r>
      <w:r w:rsidR="00662C69" w:rsidRPr="00D0299D">
        <w:rPr>
          <w:rFonts w:ascii="Palatino Linotype" w:hAnsi="Palatino Linotype"/>
        </w:rPr>
        <w:t>esolución del Pleno del Instituto de Transparencia, Acceso a la Información Pública y Protección de Datos Personales del Estado de México y Mun</w:t>
      </w:r>
      <w:r w:rsidR="000D5A1D" w:rsidRPr="00D0299D">
        <w:rPr>
          <w:rFonts w:ascii="Palatino Linotype" w:hAnsi="Palatino Linotype"/>
        </w:rPr>
        <w:t>icipios, con</w:t>
      </w:r>
      <w:r w:rsidR="00662C69" w:rsidRPr="00D0299D">
        <w:rPr>
          <w:rFonts w:ascii="Palatino Linotype" w:hAnsi="Palatino Linotype"/>
        </w:rPr>
        <w:t xml:space="preserve"> </w:t>
      </w:r>
      <w:r w:rsidR="00485DB6" w:rsidRPr="00D0299D">
        <w:rPr>
          <w:rFonts w:ascii="Palatino Linotype" w:hAnsi="Palatino Linotype"/>
        </w:rPr>
        <w:t xml:space="preserve">domicilio </w:t>
      </w:r>
      <w:r w:rsidR="00662C69" w:rsidRPr="00D0299D">
        <w:rPr>
          <w:rFonts w:ascii="Palatino Linotype" w:hAnsi="Palatino Linotype"/>
        </w:rPr>
        <w:t xml:space="preserve">en Metepec, Estado de México; </w:t>
      </w:r>
      <w:r w:rsidR="00F91466" w:rsidRPr="00D0299D">
        <w:rPr>
          <w:rFonts w:ascii="Palatino Linotype" w:hAnsi="Palatino Linotype"/>
        </w:rPr>
        <w:t>de fecha cuatro (04) de noviembre de dos mil veintidós.</w:t>
      </w:r>
    </w:p>
    <w:p w:rsidR="008A5A73" w:rsidRPr="00D0299D" w:rsidRDefault="008A5A73" w:rsidP="00C1682A">
      <w:pPr>
        <w:tabs>
          <w:tab w:val="left" w:pos="0"/>
          <w:tab w:val="left" w:pos="3465"/>
        </w:tabs>
        <w:spacing w:line="360" w:lineRule="auto"/>
        <w:jc w:val="both"/>
        <w:rPr>
          <w:rFonts w:ascii="Palatino Linotype" w:hAnsi="Palatino Linotype"/>
        </w:rPr>
      </w:pPr>
    </w:p>
    <w:p w:rsidR="00112BFF" w:rsidRPr="00D0299D" w:rsidRDefault="00112BFF" w:rsidP="00112BFF">
      <w:pPr>
        <w:pStyle w:val="Encabezado"/>
        <w:spacing w:line="360" w:lineRule="auto"/>
        <w:jc w:val="both"/>
        <w:rPr>
          <w:rFonts w:ascii="Palatino Linotype" w:eastAsia="Times New Roman" w:hAnsi="Palatino Linotype" w:cs="Times New Roman"/>
          <w:b/>
          <w:color w:val="000000" w:themeColor="text1"/>
        </w:rPr>
      </w:pPr>
      <w:r w:rsidRPr="00D0299D">
        <w:rPr>
          <w:rFonts w:ascii="Palatino Linotype" w:eastAsia="Times New Roman" w:hAnsi="Palatino Linotype" w:cs="Times New Roman"/>
          <w:b/>
          <w:color w:val="000000" w:themeColor="text1"/>
        </w:rPr>
        <w:t>VISTO</w:t>
      </w:r>
      <w:r w:rsidRPr="00D0299D">
        <w:rPr>
          <w:rFonts w:ascii="Palatino Linotype" w:eastAsia="Times New Roman" w:hAnsi="Palatino Linotype" w:cs="Times New Roman"/>
          <w:color w:val="000000" w:themeColor="text1"/>
        </w:rPr>
        <w:t xml:space="preserve"> </w:t>
      </w:r>
      <w:r w:rsidR="00883F62" w:rsidRPr="00D0299D">
        <w:rPr>
          <w:rFonts w:ascii="Palatino Linotype" w:hAnsi="Palatino Linotype"/>
        </w:rPr>
        <w:t>el</w:t>
      </w:r>
      <w:r w:rsidR="00F91466" w:rsidRPr="00D0299D">
        <w:rPr>
          <w:rFonts w:ascii="Palatino Linotype" w:eastAsia="Times New Roman" w:hAnsi="Palatino Linotype" w:cs="Times New Roman"/>
          <w:color w:val="000000" w:themeColor="text1"/>
        </w:rPr>
        <w:t xml:space="preserve"> expediente electrónico formado con motivo del recurso de revisión número </w:t>
      </w:r>
      <w:r w:rsidR="00F91466" w:rsidRPr="00D0299D">
        <w:rPr>
          <w:rFonts w:ascii="Palatino Linotype" w:hAnsi="Palatino Linotype" w:cs="Arial"/>
          <w:b/>
          <w:bCs/>
          <w:color w:val="000000" w:themeColor="text1"/>
          <w:lang w:eastAsia="es-MX"/>
        </w:rPr>
        <w:t>06908/INFOEM/IP/RR/2022</w:t>
      </w:r>
      <w:r w:rsidR="00F91466" w:rsidRPr="00D0299D">
        <w:rPr>
          <w:rFonts w:ascii="Palatino Linotype" w:eastAsia="Times New Roman" w:hAnsi="Palatino Linotype" w:cs="Arial"/>
          <w:bCs/>
          <w:color w:val="000000" w:themeColor="text1"/>
        </w:rPr>
        <w:t xml:space="preserve">, </w:t>
      </w:r>
      <w:r w:rsidR="00F91466" w:rsidRPr="00D0299D">
        <w:rPr>
          <w:rFonts w:ascii="Palatino Linotype" w:eastAsia="Times New Roman" w:hAnsi="Palatino Linotype" w:cs="Times New Roman"/>
          <w:color w:val="000000" w:themeColor="text1"/>
        </w:rPr>
        <w:t xml:space="preserve">promovido por </w:t>
      </w:r>
      <w:r w:rsidR="00D0299D" w:rsidRPr="00D0299D">
        <w:rPr>
          <w:rFonts w:ascii="Palatino Linotype" w:eastAsia="Times New Roman" w:hAnsi="Palatino Linotype" w:cs="Times New Roman"/>
          <w:b/>
          <w:bCs/>
          <w:color w:val="000000" w:themeColor="text1"/>
        </w:rPr>
        <w:t>XXXX XXXX XXXXX</w:t>
      </w:r>
      <w:r w:rsidR="00F91466" w:rsidRPr="00D0299D">
        <w:rPr>
          <w:rFonts w:ascii="Palatino Linotype" w:eastAsia="Times New Roman" w:hAnsi="Palatino Linotype" w:cs="Times New Roman"/>
          <w:color w:val="000000" w:themeColor="text1"/>
        </w:rPr>
        <w:t xml:space="preserve"> </w:t>
      </w:r>
      <w:r w:rsidR="00F91466" w:rsidRPr="00D0299D">
        <w:rPr>
          <w:rFonts w:ascii="Palatino Linotype" w:hAnsi="Palatino Linotype"/>
        </w:rPr>
        <w:t xml:space="preserve">quien se identificará como </w:t>
      </w:r>
      <w:r w:rsidR="00F91466" w:rsidRPr="00D0299D">
        <w:rPr>
          <w:rFonts w:ascii="Palatino Linotype" w:hAnsi="Palatino Linotype"/>
          <w:b/>
        </w:rPr>
        <w:t>Recurrente</w:t>
      </w:r>
      <w:r w:rsidR="00F91466" w:rsidRPr="00D0299D">
        <w:rPr>
          <w:rFonts w:ascii="Palatino Linotype" w:eastAsia="Times New Roman" w:hAnsi="Palatino Linotype" w:cs="Arial"/>
          <w:color w:val="000000" w:themeColor="text1"/>
        </w:rPr>
        <w:t xml:space="preserve">, en contra de la respuesta de la </w:t>
      </w:r>
      <w:r w:rsidR="00F91466" w:rsidRPr="00D0299D">
        <w:rPr>
          <w:rFonts w:ascii="Palatino Linotype" w:eastAsia="Times New Roman" w:hAnsi="Palatino Linotype" w:cs="Arial"/>
          <w:b/>
          <w:bCs/>
          <w:color w:val="000000" w:themeColor="text1"/>
        </w:rPr>
        <w:t>Secretaría de Justicia y Derechos Humanos</w:t>
      </w:r>
      <w:r w:rsidR="00F91466" w:rsidRPr="00D0299D">
        <w:rPr>
          <w:rFonts w:ascii="Palatino Linotype" w:eastAsia="Calibri" w:hAnsi="Palatino Linotype" w:cs="Arial"/>
          <w:color w:val="000000" w:themeColor="text1"/>
          <w:lang w:val="es-ES"/>
        </w:rPr>
        <w:t xml:space="preserve">, </w:t>
      </w:r>
      <w:r w:rsidR="00F91466" w:rsidRPr="00D0299D">
        <w:rPr>
          <w:rFonts w:ascii="Palatino Linotype" w:eastAsia="Times New Roman" w:hAnsi="Palatino Linotype" w:cs="Times New Roman"/>
          <w:color w:val="000000" w:themeColor="text1"/>
        </w:rPr>
        <w:t>en lo sucesivo el</w:t>
      </w:r>
      <w:r w:rsidR="00F91466" w:rsidRPr="00D0299D">
        <w:rPr>
          <w:rFonts w:ascii="Palatino Linotype" w:eastAsia="Times New Roman" w:hAnsi="Palatino Linotype" w:cs="Times New Roman"/>
          <w:b/>
          <w:color w:val="000000" w:themeColor="text1"/>
        </w:rPr>
        <w:t xml:space="preserve"> SUJETO OBLIGADO, </w:t>
      </w:r>
      <w:r w:rsidR="00F91466" w:rsidRPr="00D0299D">
        <w:rPr>
          <w:rFonts w:ascii="Palatino Linotype" w:eastAsia="Times New Roman" w:hAnsi="Palatino Linotype" w:cs="Times New Roman"/>
          <w:color w:val="000000" w:themeColor="text1"/>
        </w:rPr>
        <w:t>se procede a dictar la presente resolución, con base en los siguientes:</w:t>
      </w:r>
    </w:p>
    <w:p w:rsidR="00933948" w:rsidRPr="00D0299D" w:rsidRDefault="00933948" w:rsidP="00C1682A">
      <w:pPr>
        <w:tabs>
          <w:tab w:val="left" w:pos="0"/>
        </w:tabs>
        <w:spacing w:line="360" w:lineRule="auto"/>
        <w:jc w:val="both"/>
        <w:rPr>
          <w:rFonts w:ascii="Palatino Linotype" w:hAnsi="Palatino Linotype"/>
        </w:rPr>
      </w:pPr>
    </w:p>
    <w:p w:rsidR="008A5A73" w:rsidRPr="00D0299D"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D0299D">
        <w:rPr>
          <w:rFonts w:ascii="Palatino Linotype" w:hAnsi="Palatino Linotype"/>
          <w:b/>
          <w:color w:val="000000" w:themeColor="text1"/>
          <w:sz w:val="24"/>
        </w:rPr>
        <w:t>ANTECEDENTES</w:t>
      </w:r>
      <w:bookmarkEnd w:id="0"/>
      <w:bookmarkEnd w:id="1"/>
      <w:bookmarkEnd w:id="2"/>
      <w:bookmarkEnd w:id="3"/>
    </w:p>
    <w:p w:rsidR="00C1682A" w:rsidRPr="00D0299D" w:rsidRDefault="00C1682A" w:rsidP="00C1682A">
      <w:pPr>
        <w:rPr>
          <w:lang w:eastAsia="en-US"/>
        </w:rPr>
      </w:pPr>
    </w:p>
    <w:p w:rsidR="00F91466" w:rsidRPr="00D0299D"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El </w:t>
      </w:r>
      <w:r w:rsidR="00F91466" w:rsidRPr="00D0299D">
        <w:rPr>
          <w:rFonts w:ascii="Palatino Linotype" w:eastAsia="Calibri" w:hAnsi="Palatino Linotype" w:cs="Arial"/>
          <w:bCs/>
          <w:color w:val="000000" w:themeColor="text1"/>
          <w:lang w:val="es-ES"/>
        </w:rPr>
        <w:t xml:space="preserve">dieciocho (18) de abril de dos </w:t>
      </w:r>
      <w:r w:rsidR="00F91466" w:rsidRPr="00D0299D">
        <w:rPr>
          <w:rFonts w:ascii="Palatino Linotype" w:eastAsia="Calibri" w:hAnsi="Palatino Linotype" w:cs="Arial"/>
          <w:color w:val="000000" w:themeColor="text1"/>
          <w:lang w:val="es-ES"/>
        </w:rPr>
        <w:t>mil veintidós,</w:t>
      </w:r>
      <w:r w:rsidR="00F91466" w:rsidRPr="00D0299D">
        <w:rPr>
          <w:rFonts w:ascii="Palatino Linotype" w:eastAsia="Calibri" w:hAnsi="Palatino Linotype" w:cs="Times New Roman"/>
          <w:color w:val="000000" w:themeColor="text1"/>
          <w:lang w:val="es-ES"/>
        </w:rPr>
        <w:t xml:space="preserve"> </w:t>
      </w:r>
      <w:r w:rsidR="00F91466" w:rsidRPr="00D0299D">
        <w:rPr>
          <w:rFonts w:ascii="Palatino Linotype" w:eastAsia="Calibri" w:hAnsi="Palatino Linotype" w:cs="Arial"/>
          <w:color w:val="000000" w:themeColor="text1"/>
          <w:lang w:val="es-ES"/>
        </w:rPr>
        <w:t>se</w:t>
      </w:r>
      <w:r w:rsidR="00F91466" w:rsidRPr="00D0299D">
        <w:rPr>
          <w:rFonts w:ascii="Palatino Linotype" w:eastAsia="Calibri" w:hAnsi="Palatino Linotype" w:cs="Arial"/>
          <w:b/>
          <w:color w:val="000000" w:themeColor="text1"/>
          <w:lang w:val="es-ES"/>
        </w:rPr>
        <w:t xml:space="preserve"> </w:t>
      </w:r>
      <w:r w:rsidR="00F91466" w:rsidRPr="00D0299D">
        <w:rPr>
          <w:rFonts w:ascii="Palatino Linotype" w:hAnsi="Palatino Linotype"/>
          <w:color w:val="000000" w:themeColor="text1"/>
        </w:rPr>
        <w:t>presentaron</w:t>
      </w:r>
      <w:r w:rsidR="00F91466" w:rsidRPr="00D0299D">
        <w:rPr>
          <w:rFonts w:ascii="Palatino Linotype" w:hAnsi="Palatino Linotype"/>
          <w:b/>
          <w:color w:val="000000" w:themeColor="text1"/>
        </w:rPr>
        <w:t xml:space="preserve"> </w:t>
      </w:r>
      <w:r w:rsidR="00F91466" w:rsidRPr="00D0299D">
        <w:rPr>
          <w:rFonts w:ascii="Palatino Linotype" w:eastAsia="Calibri" w:hAnsi="Palatino Linotype" w:cs="Arial"/>
          <w:color w:val="000000" w:themeColor="text1"/>
        </w:rPr>
        <w:t xml:space="preserve">vía Sistema de Acceso a la Información Mexiquense </w:t>
      </w:r>
      <w:r w:rsidR="00F91466" w:rsidRPr="00D0299D">
        <w:rPr>
          <w:rFonts w:ascii="Palatino Linotype" w:eastAsia="Calibri" w:hAnsi="Palatino Linotype" w:cs="Arial"/>
          <w:b/>
          <w:color w:val="000000" w:themeColor="text1"/>
        </w:rPr>
        <w:t>(SAIMEX)</w:t>
      </w:r>
      <w:r w:rsidR="00F91466" w:rsidRPr="00D0299D">
        <w:rPr>
          <w:rFonts w:ascii="Palatino Linotype" w:eastAsia="Calibri" w:hAnsi="Palatino Linotype" w:cs="Arial"/>
          <w:b/>
          <w:color w:val="000000" w:themeColor="text1"/>
          <w:lang w:val="es-ES"/>
        </w:rPr>
        <w:t>,</w:t>
      </w:r>
      <w:r w:rsidR="00F91466" w:rsidRPr="00D0299D">
        <w:rPr>
          <w:rFonts w:ascii="Palatino Linotype" w:eastAsia="Calibri" w:hAnsi="Palatino Linotype" w:cs="Arial"/>
          <w:color w:val="000000" w:themeColor="text1"/>
          <w:lang w:val="es-ES"/>
        </w:rPr>
        <w:t xml:space="preserve"> la solicitud de información pública registrada con el número </w:t>
      </w:r>
      <w:r w:rsidR="00F91466" w:rsidRPr="00D0299D">
        <w:rPr>
          <w:rFonts w:ascii="Palatino Linotype" w:hAnsi="Palatino Linotype"/>
          <w:b/>
        </w:rPr>
        <w:t>00077/SJDH/IP/2022</w:t>
      </w:r>
      <w:r w:rsidR="00F91466" w:rsidRPr="00D0299D">
        <w:rPr>
          <w:rFonts w:ascii="Palatino Linotype" w:hAnsi="Palatino Linotype"/>
          <w:b/>
          <w:bCs/>
          <w:color w:val="000000" w:themeColor="text1"/>
        </w:rPr>
        <w:t>,</w:t>
      </w:r>
      <w:r w:rsidR="00F91466" w:rsidRPr="00D0299D">
        <w:rPr>
          <w:rFonts w:ascii="Palatino Linotype" w:eastAsia="Calibri" w:hAnsi="Palatino Linotype" w:cs="Arial"/>
          <w:color w:val="000000" w:themeColor="text1"/>
          <w:lang w:val="es-ES"/>
        </w:rPr>
        <w:t xml:space="preserve"> mediante la cual se requirió lo siguiente:</w:t>
      </w:r>
    </w:p>
    <w:p w:rsidR="00F91466" w:rsidRPr="00D0299D"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rsidR="00F91466" w:rsidRPr="00D0299D" w:rsidRDefault="00F91466" w:rsidP="00F91466">
      <w:pPr>
        <w:ind w:left="567" w:right="565"/>
        <w:jc w:val="both"/>
        <w:rPr>
          <w:rFonts w:ascii="Palatino Linotype" w:hAnsi="Palatino Linotype"/>
          <w:i/>
          <w:iCs/>
          <w:sz w:val="22"/>
          <w:szCs w:val="22"/>
        </w:rPr>
      </w:pPr>
      <w:r w:rsidRPr="00D0299D">
        <w:rPr>
          <w:rFonts w:ascii="Palatino Linotype" w:hAnsi="Palatino Linotype"/>
          <w:i/>
          <w:iCs/>
          <w:color w:val="000000"/>
          <w:sz w:val="22"/>
          <w:szCs w:val="22"/>
        </w:rPr>
        <w:t xml:space="preserve">“Solicito el listado de las órdenes de inhumación y cremación que se han emitido dirigidas a </w:t>
      </w:r>
      <w:r w:rsidR="00EA5E14" w:rsidRPr="00D0299D">
        <w:rPr>
          <w:rFonts w:ascii="Palatino Linotype" w:hAnsi="Palatino Linotype"/>
          <w:i/>
          <w:iCs/>
          <w:color w:val="000000"/>
          <w:sz w:val="22"/>
          <w:szCs w:val="22"/>
        </w:rPr>
        <w:t xml:space="preserve">Elysium </w:t>
      </w:r>
      <w:r w:rsidRPr="00D0299D">
        <w:rPr>
          <w:rFonts w:ascii="Palatino Linotype" w:hAnsi="Palatino Linotype"/>
          <w:i/>
          <w:iCs/>
          <w:color w:val="000000"/>
          <w:sz w:val="22"/>
          <w:szCs w:val="22"/>
        </w:rPr>
        <w:t xml:space="preserve"> Servicios Funerarios desde enero de 2021 a la fecha, así como el nombre de la persona que realizó el tramite respectivo.</w:t>
      </w:r>
      <w:r w:rsidRPr="00D0299D">
        <w:rPr>
          <w:rFonts w:ascii="Palatino Linotype" w:hAnsi="Palatino Linotype"/>
          <w:i/>
          <w:iCs/>
          <w:sz w:val="22"/>
          <w:szCs w:val="22"/>
        </w:rPr>
        <w:t>” (Sic)</w:t>
      </w:r>
    </w:p>
    <w:p w:rsidR="00883F62" w:rsidRPr="00D0299D"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rsidR="00B80DDA" w:rsidRPr="00D0299D"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Se </w:t>
      </w:r>
      <w:r w:rsidR="00F91466" w:rsidRPr="00D0299D">
        <w:rPr>
          <w:rFonts w:ascii="Palatino Linotype" w:eastAsia="Times New Roman" w:hAnsi="Palatino Linotype" w:cs="Arial"/>
          <w:lang w:val="es-ES"/>
        </w:rPr>
        <w:t xml:space="preserve">señaló como modalidad de entrega de la información: </w:t>
      </w:r>
      <w:r w:rsidR="00F91466" w:rsidRPr="00D0299D">
        <w:rPr>
          <w:rFonts w:ascii="Palatino Linotype" w:eastAsia="Times New Roman" w:hAnsi="Palatino Linotype" w:cs="Arial"/>
          <w:b/>
          <w:bCs/>
          <w:lang w:val="es-ES"/>
        </w:rPr>
        <w:t>Consulta Directa (sin costo).</w:t>
      </w:r>
    </w:p>
    <w:p w:rsidR="00883F62" w:rsidRPr="00D0299D"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lastRenderedPageBreak/>
        <w:t xml:space="preserve">El </w:t>
      </w:r>
      <w:r w:rsidR="00F91466" w:rsidRPr="00D0299D">
        <w:rPr>
          <w:rFonts w:ascii="Palatino Linotype" w:eastAsia="Calibri" w:hAnsi="Palatino Linotype" w:cs="Arial"/>
          <w:color w:val="000000" w:themeColor="text1"/>
          <w:lang w:val="es-AR"/>
        </w:rPr>
        <w:t xml:space="preserve">diecinueve (19) de abril de dos mil veintidós, el </w:t>
      </w:r>
      <w:r w:rsidR="00F91466" w:rsidRPr="00D0299D">
        <w:rPr>
          <w:rFonts w:ascii="Palatino Linotype" w:eastAsia="Calibri" w:hAnsi="Palatino Linotype" w:cs="Arial"/>
          <w:b/>
          <w:bCs/>
          <w:color w:val="000000" w:themeColor="text1"/>
          <w:lang w:val="es-AR"/>
        </w:rPr>
        <w:t>SUJETO OBLIGADO</w:t>
      </w:r>
      <w:r w:rsidR="00F91466" w:rsidRPr="00D0299D">
        <w:rPr>
          <w:rFonts w:ascii="Palatino Linotype" w:eastAsia="Calibri" w:hAnsi="Palatino Linotype" w:cs="Arial"/>
          <w:color w:val="000000" w:themeColor="text1"/>
          <w:lang w:val="es-AR"/>
        </w:rPr>
        <w:t xml:space="preserve"> realizó un requerimiento al Servidor Público Habilitado, como se observa:</w:t>
      </w:r>
    </w:p>
    <w:p w:rsidR="00883F62" w:rsidRPr="00D0299D"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83F62" w:rsidRPr="00D0299D" w:rsidRDefault="00F91466"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D0299D">
        <w:rPr>
          <w:rFonts w:ascii="Palatino Linotype" w:hAnsi="Palatino Linotype"/>
          <w:noProof/>
          <w:color w:val="000000" w:themeColor="text1"/>
          <w:sz w:val="22"/>
          <w:szCs w:val="22"/>
          <w:lang w:val="es-MX" w:eastAsia="es-MX"/>
        </w:rPr>
        <w:drawing>
          <wp:inline distT="0" distB="0" distL="0" distR="0" wp14:anchorId="2C58C264" wp14:editId="0147959E">
            <wp:extent cx="5579745" cy="516255"/>
            <wp:effectExtent l="12700" t="12700" r="8255"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579745" cy="516255"/>
                    </a:xfrm>
                    <a:prstGeom prst="rect">
                      <a:avLst/>
                    </a:prstGeom>
                    <a:ln>
                      <a:solidFill>
                        <a:schemeClr val="tx1"/>
                      </a:solidFill>
                    </a:ln>
                  </pic:spPr>
                </pic:pic>
              </a:graphicData>
            </a:graphic>
          </wp:inline>
        </w:drawing>
      </w:r>
    </w:p>
    <w:p w:rsidR="00B80DDA" w:rsidRPr="00D0299D" w:rsidRDefault="00B80DDA"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E41C80" w:rsidRPr="00D0299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AR"/>
        </w:rPr>
        <w:t xml:space="preserve">El </w:t>
      </w:r>
      <w:r w:rsidR="00F91466" w:rsidRPr="00D0299D">
        <w:rPr>
          <w:rFonts w:ascii="Palatino Linotype" w:eastAsia="Calibri" w:hAnsi="Palatino Linotype" w:cs="Arial"/>
          <w:color w:val="000000" w:themeColor="text1"/>
        </w:rPr>
        <w:t xml:space="preserve">dos (02) de mayo de dos mil veintidós, el </w:t>
      </w:r>
      <w:r w:rsidR="00F91466" w:rsidRPr="00D0299D">
        <w:rPr>
          <w:rFonts w:ascii="Palatino Linotype" w:eastAsia="Times New Roman" w:hAnsi="Palatino Linotype" w:cs="Arial"/>
          <w:b/>
          <w:color w:val="000000" w:themeColor="text1"/>
          <w:lang w:val="es-ES"/>
        </w:rPr>
        <w:t xml:space="preserve">SUJETO </w:t>
      </w:r>
      <w:r w:rsidR="00F91466" w:rsidRPr="00D0299D">
        <w:rPr>
          <w:rFonts w:ascii="Palatino Linotype" w:hAnsi="Palatino Linotype" w:cs="Arial"/>
          <w:b/>
        </w:rPr>
        <w:t>OBLIGADO</w:t>
      </w:r>
      <w:r w:rsidR="00F91466" w:rsidRPr="00D0299D">
        <w:rPr>
          <w:rFonts w:ascii="Palatino Linotype" w:hAnsi="Palatino Linotype" w:cs="Arial"/>
        </w:rPr>
        <w:t xml:space="preserve"> emitió respuesta a la solicitud de información, en los siguientes términos:</w:t>
      </w:r>
    </w:p>
    <w:p w:rsidR="000A5E8D" w:rsidRPr="00D0299D"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rsidR="00F91466" w:rsidRPr="00D0299D" w:rsidRDefault="00F91466" w:rsidP="00F91466">
      <w:pPr>
        <w:ind w:left="567" w:right="565"/>
        <w:jc w:val="both"/>
        <w:rPr>
          <w:rFonts w:ascii="Palatino Linotype" w:hAnsi="Palatino Linotype"/>
          <w:i/>
          <w:iCs/>
          <w:sz w:val="22"/>
          <w:szCs w:val="22"/>
        </w:rPr>
      </w:pPr>
      <w:r w:rsidRPr="00D0299D">
        <w:rPr>
          <w:rFonts w:ascii="Palatino Linotype" w:hAnsi="Palatino Linotype" w:cs="Arial"/>
          <w:i/>
          <w:iCs/>
          <w:sz w:val="22"/>
          <w:szCs w:val="22"/>
        </w:rPr>
        <w:t xml:space="preserve">“… En </w:t>
      </w:r>
      <w:r w:rsidRPr="00D0299D">
        <w:rPr>
          <w:rFonts w:ascii="Palatino Linotype" w:hAnsi="Palatino Linotype"/>
          <w:i/>
          <w:iCs/>
          <w:color w:val="000000"/>
          <w:sz w:val="22"/>
          <w:szCs w:val="22"/>
        </w:rPr>
        <w:t>respuesta a la solicitud recibida, nos permitimos hacer de su conocimiento que con fundamento en el artículo 53, Fracciones: II, V y VI de la Ley de Transparencia y Acceso a la Información Pública del Estado de México y Municipios, le contestamos que:</w:t>
      </w:r>
    </w:p>
    <w:p w:rsidR="00F91466" w:rsidRPr="00D0299D" w:rsidRDefault="00F91466" w:rsidP="00F91466">
      <w:pPr>
        <w:ind w:left="567" w:right="565"/>
        <w:jc w:val="both"/>
        <w:rPr>
          <w:rFonts w:ascii="Palatino Linotype" w:hAnsi="Palatino Linotype"/>
          <w:i/>
          <w:iCs/>
          <w:color w:val="000000"/>
          <w:sz w:val="22"/>
          <w:szCs w:val="22"/>
        </w:rPr>
      </w:pPr>
      <w:r w:rsidRPr="00D0299D">
        <w:rPr>
          <w:rFonts w:ascii="Palatino Linotype" w:hAnsi="Palatino Linotype" w:cs="Arial"/>
          <w:i/>
          <w:iCs/>
          <w:sz w:val="22"/>
          <w:szCs w:val="22"/>
        </w:rPr>
        <w:t xml:space="preserve">En </w:t>
      </w:r>
      <w:r w:rsidRPr="00D0299D">
        <w:rPr>
          <w:rFonts w:ascii="Palatino Linotype" w:hAnsi="Palatino Linotype"/>
          <w:i/>
          <w:iCs/>
          <w:color w:val="000000"/>
          <w:sz w:val="22"/>
          <w:szCs w:val="22"/>
        </w:rPr>
        <w:t>caso de que la respuesta no sea legible, favor de comunicarse al teléfono (722) 238.36.93, ext. 106…” (Sic)</w:t>
      </w:r>
    </w:p>
    <w:p w:rsidR="00F91466" w:rsidRPr="00D0299D" w:rsidRDefault="00F91466" w:rsidP="00F91466">
      <w:pPr>
        <w:ind w:right="565"/>
        <w:jc w:val="both"/>
        <w:rPr>
          <w:rFonts w:ascii="Palatino Linotype" w:hAnsi="Palatino Linotype" w:cs="Arial"/>
          <w:i/>
          <w:iCs/>
          <w:sz w:val="22"/>
          <w:szCs w:val="22"/>
        </w:rPr>
      </w:pPr>
    </w:p>
    <w:p w:rsidR="00F91466" w:rsidRPr="00D0299D" w:rsidRDefault="00F91466" w:rsidP="00F91466">
      <w:pPr>
        <w:spacing w:line="360" w:lineRule="auto"/>
        <w:ind w:right="-2"/>
        <w:jc w:val="both"/>
        <w:rPr>
          <w:rFonts w:ascii="Palatino Linotype" w:hAnsi="Palatino Linotype"/>
          <w:sz w:val="22"/>
          <w:szCs w:val="22"/>
          <w:lang w:eastAsia="es-ES_tradnl"/>
        </w:rPr>
      </w:pPr>
      <w:r w:rsidRPr="00D0299D">
        <w:rPr>
          <w:rFonts w:ascii="Palatino Linotype" w:hAnsi="Palatino Linotype"/>
          <w:sz w:val="22"/>
          <w:szCs w:val="22"/>
          <w:lang w:eastAsia="es-ES_tradnl"/>
        </w:rPr>
        <w:t xml:space="preserve">Se adjuntó el archivo electrónico denominado </w:t>
      </w:r>
      <w:r w:rsidRPr="00D0299D">
        <w:rPr>
          <w:rFonts w:ascii="Palatino Linotype" w:hAnsi="Palatino Linotype"/>
          <w:b/>
          <w:bCs/>
          <w:sz w:val="22"/>
          <w:szCs w:val="22"/>
          <w:lang w:eastAsia="es-ES_tradnl"/>
        </w:rPr>
        <w:t>Respuesta77.2022.pdf</w:t>
      </w:r>
      <w:r w:rsidRPr="00D0299D">
        <w:rPr>
          <w:rFonts w:ascii="Palatino Linotype" w:hAnsi="Palatino Linotype"/>
          <w:sz w:val="22"/>
          <w:szCs w:val="22"/>
          <w:lang w:eastAsia="es-ES_tradnl"/>
        </w:rPr>
        <w:t>, el cual consta de los siguientes documentos:</w:t>
      </w:r>
    </w:p>
    <w:p w:rsidR="00F91466" w:rsidRPr="00D0299D" w:rsidRDefault="00F91466" w:rsidP="00F91466">
      <w:pPr>
        <w:spacing w:line="276" w:lineRule="auto"/>
        <w:ind w:right="565"/>
        <w:jc w:val="both"/>
        <w:rPr>
          <w:rFonts w:ascii="Palatino Linotype" w:hAnsi="Palatino Linotype"/>
          <w:sz w:val="22"/>
          <w:szCs w:val="22"/>
          <w:lang w:eastAsia="es-ES_tradnl"/>
        </w:rPr>
      </w:pPr>
    </w:p>
    <w:p w:rsidR="00F91466" w:rsidRPr="00D0299D" w:rsidRDefault="00F91466" w:rsidP="00F91466">
      <w:pPr>
        <w:pStyle w:val="Prrafodelista"/>
        <w:numPr>
          <w:ilvl w:val="0"/>
          <w:numId w:val="14"/>
        </w:numPr>
        <w:spacing w:line="276" w:lineRule="auto"/>
        <w:ind w:right="565"/>
        <w:jc w:val="both"/>
        <w:rPr>
          <w:rFonts w:ascii="Palatino Linotype" w:hAnsi="Palatino Linotype"/>
          <w:sz w:val="22"/>
          <w:szCs w:val="22"/>
          <w:lang w:eastAsia="es-ES_tradnl"/>
        </w:rPr>
      </w:pPr>
      <w:r w:rsidRPr="00D0299D">
        <w:rPr>
          <w:rFonts w:ascii="Palatino Linotype" w:hAnsi="Palatino Linotype"/>
          <w:b/>
          <w:bCs/>
          <w:sz w:val="22"/>
          <w:szCs w:val="22"/>
          <w:lang w:eastAsia="es-ES_tradnl"/>
        </w:rPr>
        <w:t>Oficio número SJDH/UIPPE/0699/2022</w:t>
      </w:r>
      <w:r w:rsidRPr="00D0299D">
        <w:rPr>
          <w:rFonts w:ascii="Palatino Linotype" w:hAnsi="Palatino Linotype"/>
          <w:sz w:val="22"/>
          <w:szCs w:val="22"/>
          <w:lang w:eastAsia="es-ES_tradnl"/>
        </w:rPr>
        <w:t xml:space="preserve"> del 29 de abril de 2022, suscrito y signado por la Titular de la Unidad de Transparencia, dirigido la Recurrente, por medio del cual informó lo siguiente:</w:t>
      </w:r>
    </w:p>
    <w:p w:rsidR="00F91466" w:rsidRPr="00D0299D" w:rsidRDefault="00F91466" w:rsidP="00F91466">
      <w:pPr>
        <w:pStyle w:val="Prrafodelista"/>
        <w:spacing w:line="276" w:lineRule="auto"/>
        <w:ind w:right="565"/>
        <w:jc w:val="both"/>
        <w:rPr>
          <w:rFonts w:ascii="Palatino Linotype" w:hAnsi="Palatino Linotype"/>
          <w:sz w:val="22"/>
          <w:szCs w:val="22"/>
          <w:lang w:eastAsia="es-ES_tradnl"/>
        </w:rPr>
      </w:pPr>
    </w:p>
    <w:p w:rsidR="00F91466" w:rsidRPr="00D0299D" w:rsidRDefault="00F91466" w:rsidP="00F91466">
      <w:pPr>
        <w:pStyle w:val="Prrafodelista"/>
        <w:ind w:left="567" w:right="565"/>
        <w:jc w:val="both"/>
        <w:rPr>
          <w:rFonts w:ascii="Palatino Linotype" w:hAnsi="Palatino Linotype"/>
          <w:i/>
          <w:iCs/>
          <w:sz w:val="22"/>
          <w:szCs w:val="22"/>
          <w:lang w:eastAsia="es-ES_tradnl"/>
        </w:rPr>
      </w:pPr>
      <w:r w:rsidRPr="00D0299D">
        <w:rPr>
          <w:rFonts w:ascii="Palatino Linotype" w:hAnsi="Palatino Linotype"/>
          <w:i/>
          <w:iCs/>
          <w:sz w:val="22"/>
          <w:szCs w:val="22"/>
          <w:lang w:eastAsia="es-ES_tradnl"/>
        </w:rPr>
        <w:t xml:space="preserve">“…Su solicitud de información fue turnada mediante oficio SJDH/UIPPE/0628/2022 al Servidor Público Habilitado de la Dirección General del Registro Civil, el cual </w:t>
      </w:r>
      <w:r w:rsidRPr="00D0299D">
        <w:rPr>
          <w:rFonts w:ascii="Palatino Linotype" w:hAnsi="Palatino Linotype"/>
          <w:b/>
          <w:bCs/>
          <w:i/>
          <w:iCs/>
          <w:sz w:val="22"/>
          <w:szCs w:val="22"/>
          <w:lang w:eastAsia="es-ES_tradnl"/>
        </w:rPr>
        <w:t>remitió la respuesta a la solicitud de información a través del oficio 22201001A/1034/2022, mismo que se adjunta al presente</w:t>
      </w:r>
      <w:r w:rsidRPr="00D0299D">
        <w:rPr>
          <w:rFonts w:ascii="Palatino Linotype" w:hAnsi="Palatino Linotype"/>
          <w:i/>
          <w:iCs/>
          <w:sz w:val="22"/>
          <w:szCs w:val="22"/>
          <w:lang w:eastAsia="es-ES_tradnl"/>
        </w:rPr>
        <w:t>…” (Sic)</w:t>
      </w:r>
    </w:p>
    <w:p w:rsidR="00F91466" w:rsidRPr="00D0299D" w:rsidRDefault="00F91466" w:rsidP="00F91466">
      <w:pPr>
        <w:pStyle w:val="Prrafodelista"/>
        <w:spacing w:line="276" w:lineRule="auto"/>
        <w:ind w:right="565"/>
        <w:jc w:val="both"/>
        <w:rPr>
          <w:rFonts w:ascii="Palatino Linotype" w:hAnsi="Palatino Linotype"/>
          <w:sz w:val="22"/>
          <w:szCs w:val="22"/>
          <w:lang w:eastAsia="es-ES_tradnl"/>
        </w:rPr>
      </w:pPr>
    </w:p>
    <w:p w:rsidR="00F91466" w:rsidRPr="00D0299D" w:rsidRDefault="00F91466" w:rsidP="00F91466">
      <w:pPr>
        <w:pStyle w:val="Prrafodelista"/>
        <w:numPr>
          <w:ilvl w:val="0"/>
          <w:numId w:val="14"/>
        </w:numPr>
        <w:spacing w:line="276" w:lineRule="auto"/>
        <w:ind w:right="565"/>
        <w:jc w:val="both"/>
        <w:rPr>
          <w:rFonts w:ascii="Palatino Linotype" w:hAnsi="Palatino Linotype"/>
          <w:sz w:val="22"/>
          <w:szCs w:val="22"/>
          <w:lang w:eastAsia="es-ES_tradnl"/>
        </w:rPr>
      </w:pPr>
      <w:r w:rsidRPr="00D0299D">
        <w:rPr>
          <w:rFonts w:ascii="Palatino Linotype" w:hAnsi="Palatino Linotype"/>
          <w:b/>
          <w:bCs/>
          <w:sz w:val="22"/>
          <w:szCs w:val="22"/>
          <w:lang w:eastAsia="es-ES_tradnl"/>
        </w:rPr>
        <w:lastRenderedPageBreak/>
        <w:t>Oficio número 22201001A/1034/2022</w:t>
      </w:r>
      <w:r w:rsidRPr="00D0299D">
        <w:rPr>
          <w:rFonts w:ascii="Palatino Linotype" w:hAnsi="Palatino Linotype"/>
          <w:sz w:val="22"/>
          <w:szCs w:val="22"/>
          <w:lang w:eastAsia="es-ES_tradnl"/>
        </w:rPr>
        <w:t xml:space="preserve"> del 25 de abril de 2022, suscrito y signado por el Director General del Registro Civil, dirigido a la Titular de la Unidad de Transparencia, por medio del cual informó lo siguiente:</w:t>
      </w:r>
    </w:p>
    <w:p w:rsidR="00F91466" w:rsidRPr="00D0299D" w:rsidRDefault="00F91466" w:rsidP="00F91466">
      <w:pPr>
        <w:pStyle w:val="Prrafodelista"/>
        <w:spacing w:line="276" w:lineRule="auto"/>
        <w:ind w:right="565"/>
        <w:jc w:val="both"/>
        <w:rPr>
          <w:rFonts w:ascii="Palatino Linotype" w:hAnsi="Palatino Linotype"/>
          <w:sz w:val="22"/>
          <w:szCs w:val="22"/>
          <w:lang w:eastAsia="es-ES_tradnl"/>
        </w:rPr>
      </w:pPr>
    </w:p>
    <w:p w:rsidR="00883F62" w:rsidRPr="00D0299D" w:rsidRDefault="00F91466" w:rsidP="00F91466">
      <w:pPr>
        <w:ind w:left="567" w:right="565"/>
        <w:jc w:val="both"/>
        <w:rPr>
          <w:rFonts w:ascii="Palatino Linotype" w:hAnsi="Palatino Linotype" w:cs="Arial"/>
          <w:sz w:val="22"/>
          <w:szCs w:val="22"/>
          <w:lang w:val="es-ES"/>
        </w:rPr>
      </w:pPr>
      <w:r w:rsidRPr="00D0299D">
        <w:rPr>
          <w:rFonts w:ascii="Palatino Linotype" w:hAnsi="Palatino Linotype"/>
          <w:i/>
          <w:iCs/>
          <w:sz w:val="22"/>
          <w:szCs w:val="22"/>
          <w:lang w:eastAsia="es-ES_tradnl"/>
        </w:rPr>
        <w:t>“…</w:t>
      </w:r>
      <w:r w:rsidRPr="00D0299D">
        <w:rPr>
          <w:rFonts w:ascii="Palatino Linotype" w:hAnsi="Palatino Linotype"/>
          <w:b/>
          <w:bCs/>
          <w:i/>
          <w:iCs/>
          <w:sz w:val="22"/>
          <w:szCs w:val="22"/>
          <w:lang w:eastAsia="es-ES_tradnl"/>
        </w:rPr>
        <w:t>Informo que esta Dirección General no genera un listado o concentrado, con los nombres de aquellas personas o empresas que solicitan la orden de inhumación y cremación.</w:t>
      </w:r>
      <w:r w:rsidRPr="00D0299D">
        <w:rPr>
          <w:rFonts w:ascii="Palatino Linotype" w:hAnsi="Palatino Linotype"/>
          <w:i/>
          <w:iCs/>
          <w:sz w:val="22"/>
          <w:szCs w:val="22"/>
          <w:lang w:eastAsia="es-ES_tradnl"/>
        </w:rPr>
        <w:t xml:space="preserve"> Al respecto, me permito hacer de su conocimiento, que por el principio de máxima publicidad se establece en el artículo 19, fracción XIII del Reglamento Interior del Registro Civil, que una de las atribuciones del oficial está el expedir órdenes de inhumación o cremación, así como lo establecido en el artículo 87, fracción III, del mencionado reglamento, es requisito relacionado con el registro de defunciones, presentar identificación oficial y vigente y comparecencia del declarante…” (Sic)</w:t>
      </w:r>
    </w:p>
    <w:p w:rsidR="00883F62" w:rsidRPr="00D0299D"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rsidR="00D9301B" w:rsidRPr="00D0299D"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D0299D">
        <w:rPr>
          <w:rFonts w:ascii="Palatino Linotype" w:eastAsia="Times New Roman" w:hAnsi="Palatino Linotype" w:cs="Arial"/>
          <w:color w:val="000000" w:themeColor="text1"/>
          <w:lang w:val="es-ES"/>
        </w:rPr>
        <w:t>l</w:t>
      </w:r>
      <w:r w:rsidR="00883F62" w:rsidRPr="00D0299D">
        <w:rPr>
          <w:rFonts w:ascii="Palatino Linotype" w:eastAsia="Times New Roman" w:hAnsi="Palatino Linotype" w:cs="Arial"/>
          <w:color w:val="000000" w:themeColor="text1"/>
          <w:lang w:val="es-ES"/>
        </w:rPr>
        <w:t xml:space="preserve"> </w:t>
      </w:r>
      <w:r w:rsidR="00F91466" w:rsidRPr="00D0299D">
        <w:rPr>
          <w:rFonts w:ascii="Palatino Linotype" w:eastAsia="Times New Roman" w:hAnsi="Palatino Linotype" w:cs="Arial"/>
          <w:bCs/>
          <w:color w:val="000000" w:themeColor="text1"/>
          <w:lang w:val="es-ES"/>
        </w:rPr>
        <w:t>tres (03) de mayo de dos</w:t>
      </w:r>
      <w:r w:rsidR="00F91466" w:rsidRPr="00D0299D">
        <w:rPr>
          <w:rFonts w:ascii="Palatino Linotype" w:eastAsia="Times New Roman" w:hAnsi="Palatino Linotype" w:cs="Arial"/>
          <w:color w:val="000000" w:themeColor="text1"/>
          <w:lang w:val="es-ES"/>
        </w:rPr>
        <w:t xml:space="preserve"> mil veintidós, </w:t>
      </w:r>
      <w:r w:rsidR="00F91466" w:rsidRPr="00D0299D">
        <w:rPr>
          <w:rFonts w:ascii="Palatino Linotype" w:hAnsi="Palatino Linotype"/>
          <w:color w:val="000000" w:themeColor="text1"/>
        </w:rPr>
        <w:t xml:space="preserve">se </w:t>
      </w:r>
      <w:r w:rsidR="00F91466" w:rsidRPr="00D0299D">
        <w:rPr>
          <w:rFonts w:ascii="Palatino Linotype" w:eastAsia="Times New Roman" w:hAnsi="Palatino Linotype" w:cs="Arial"/>
          <w:color w:val="000000" w:themeColor="text1"/>
          <w:lang w:val="es-ES"/>
        </w:rPr>
        <w:t>interpuso el recurso de revisión, en contra de la respuesta, señalando como:</w:t>
      </w:r>
    </w:p>
    <w:p w:rsidR="00883F62" w:rsidRPr="00D0299D"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F91466" w:rsidRPr="00D0299D" w:rsidRDefault="00F91466" w:rsidP="00F91466">
      <w:pPr>
        <w:ind w:left="567" w:right="565"/>
        <w:jc w:val="both"/>
        <w:rPr>
          <w:rFonts w:ascii="Palatino Linotype" w:hAnsi="Palatino Linotype"/>
          <w:sz w:val="22"/>
          <w:szCs w:val="22"/>
        </w:rPr>
      </w:pPr>
      <w:r w:rsidRPr="00D0299D">
        <w:rPr>
          <w:rFonts w:ascii="Palatino Linotype" w:eastAsia="Calibri" w:hAnsi="Palatino Linotype" w:cs="Arial"/>
          <w:b/>
          <w:sz w:val="22"/>
          <w:szCs w:val="22"/>
        </w:rPr>
        <w:t>Acto impugnado</w:t>
      </w:r>
      <w:r w:rsidRPr="00D0299D">
        <w:rPr>
          <w:rFonts w:ascii="Palatino Linotype" w:eastAsia="Calibri" w:hAnsi="Palatino Linotype" w:cs="Arial"/>
          <w:sz w:val="22"/>
          <w:szCs w:val="22"/>
        </w:rPr>
        <w:t>:</w:t>
      </w:r>
      <w:r w:rsidRPr="00D0299D">
        <w:rPr>
          <w:rFonts w:ascii="Palatino Linotype" w:eastAsia="Calibri" w:hAnsi="Palatino Linotype" w:cs="Arial"/>
          <w:i/>
          <w:iCs/>
          <w:sz w:val="22"/>
          <w:szCs w:val="22"/>
        </w:rPr>
        <w:t xml:space="preserve"> “</w:t>
      </w:r>
      <w:r w:rsidRPr="00D0299D">
        <w:rPr>
          <w:rFonts w:ascii="Palatino Linotype" w:hAnsi="Palatino Linotype"/>
          <w:i/>
          <w:iCs/>
          <w:color w:val="000000"/>
          <w:sz w:val="22"/>
          <w:szCs w:val="22"/>
        </w:rPr>
        <w:t>Resolución 77/2022, en la que el Director General del Registro Civil indica que la Dirección General no genera un listado delas personas que solicitan la orden de inhumación y cremación, y señala que son las oficialías del Registro civil quienes realizan esos trámites.” (Sic)</w:t>
      </w:r>
    </w:p>
    <w:p w:rsidR="00F91466" w:rsidRPr="00D0299D" w:rsidRDefault="00F91466" w:rsidP="00F91466">
      <w:pPr>
        <w:ind w:left="567" w:right="565"/>
        <w:jc w:val="both"/>
        <w:rPr>
          <w:rFonts w:ascii="Palatino Linotype" w:hAnsi="Palatino Linotype"/>
          <w:i/>
          <w:iCs/>
          <w:sz w:val="22"/>
          <w:szCs w:val="22"/>
        </w:rPr>
      </w:pPr>
    </w:p>
    <w:p w:rsidR="00F91466" w:rsidRPr="00D0299D" w:rsidRDefault="00F91466" w:rsidP="00F91466">
      <w:pPr>
        <w:ind w:left="567" w:right="565"/>
        <w:jc w:val="both"/>
        <w:rPr>
          <w:rFonts w:ascii="Palatino Linotype" w:hAnsi="Palatino Linotype"/>
          <w:sz w:val="22"/>
          <w:szCs w:val="22"/>
        </w:rPr>
      </w:pPr>
      <w:r w:rsidRPr="00D0299D">
        <w:rPr>
          <w:rFonts w:ascii="Palatino Linotype" w:eastAsia="Calibri" w:hAnsi="Palatino Linotype" w:cs="Arial"/>
          <w:b/>
          <w:sz w:val="22"/>
          <w:szCs w:val="22"/>
        </w:rPr>
        <w:t>Razones o Motivos de inconformidad</w:t>
      </w:r>
      <w:r w:rsidRPr="00D0299D">
        <w:rPr>
          <w:rFonts w:ascii="Palatino Linotype" w:eastAsia="Calibri" w:hAnsi="Palatino Linotype" w:cs="Arial"/>
          <w:sz w:val="22"/>
          <w:szCs w:val="22"/>
        </w:rPr>
        <w:t>:</w:t>
      </w:r>
      <w:r w:rsidRPr="00D0299D">
        <w:rPr>
          <w:rFonts w:ascii="Palatino Linotype" w:eastAsia="Calibri" w:hAnsi="Palatino Linotype" w:cs="Arial"/>
          <w:i/>
          <w:iCs/>
          <w:sz w:val="22"/>
          <w:szCs w:val="22"/>
        </w:rPr>
        <w:t xml:space="preserve"> “</w:t>
      </w:r>
      <w:r w:rsidRPr="00D0299D">
        <w:rPr>
          <w:rFonts w:ascii="Palatino Linotype" w:hAnsi="Palatino Linotype"/>
          <w:i/>
          <w:iCs/>
          <w:color w:val="000000"/>
          <w:sz w:val="22"/>
          <w:szCs w:val="22"/>
        </w:rPr>
        <w:t>Las Oficialías del Registro Civil están adscritas a las subdirecciones y éstas a su vez a la Dirección General del Registro Civil del Estado de México. Como ni las oficialías ni la propia dirección general tienen página para solicitar acceso a la información pública, se solicitó la información a través de la Secretaría. La dirección general responde que no llevan registro de la información solicitada, y remiten que la autoridad competente de llevarlo son las oficialías adscritas a dicha dirección general, por lo que solicito que la dirección general solicite a sus oficialías que le presenten la información solicitada para que se garantice mi derecho de acceso a la información pública.</w:t>
      </w:r>
      <w:r w:rsidRPr="00D0299D">
        <w:rPr>
          <w:rFonts w:ascii="Palatino Linotype" w:hAnsi="Palatino Linotype"/>
          <w:i/>
          <w:iCs/>
          <w:sz w:val="22"/>
          <w:szCs w:val="22"/>
        </w:rPr>
        <w:t>” (Sic)</w:t>
      </w:r>
    </w:p>
    <w:p w:rsidR="00883F62" w:rsidRPr="00D0299D" w:rsidRDefault="00883F62" w:rsidP="00883F62">
      <w:pPr>
        <w:ind w:right="565"/>
        <w:jc w:val="both"/>
        <w:rPr>
          <w:rFonts w:ascii="Palatino Linotype" w:hAnsi="Palatino Linotype"/>
          <w:i/>
          <w:sz w:val="22"/>
          <w:szCs w:val="22"/>
        </w:rPr>
      </w:pPr>
    </w:p>
    <w:p w:rsidR="00F91466" w:rsidRPr="00D0299D" w:rsidRDefault="00F91466" w:rsidP="00F91466">
      <w:pPr>
        <w:spacing w:before="100" w:beforeAutospacing="1" w:after="100" w:afterAutospacing="1" w:line="360" w:lineRule="auto"/>
        <w:jc w:val="both"/>
        <w:rPr>
          <w:rFonts w:ascii="Palatino Linotype" w:hAnsi="Palatino Linotype" w:cs="Arial"/>
          <w:color w:val="333333"/>
          <w:sz w:val="22"/>
          <w:szCs w:val="22"/>
        </w:rPr>
      </w:pPr>
      <w:r w:rsidRPr="00D0299D">
        <w:rPr>
          <w:rFonts w:ascii="Palatino Linotype" w:eastAsia="Calibri" w:hAnsi="Palatino Linotype" w:cs="Arial"/>
          <w:color w:val="000000" w:themeColor="text1"/>
          <w:sz w:val="22"/>
          <w:szCs w:val="22"/>
          <w:lang w:val="es-ES"/>
        </w:rPr>
        <w:lastRenderedPageBreak/>
        <w:t xml:space="preserve">Se adjuntó el archivo electrónico denominado </w:t>
      </w:r>
      <w:hyperlink r:id="rId9" w:tgtFrame="_blank" w:history="1">
        <w:r w:rsidRPr="00D0299D">
          <w:rPr>
            <w:rStyle w:val="Hipervnculo"/>
            <w:rFonts w:ascii="Palatino Linotype" w:hAnsi="Palatino Linotype" w:cs="Arial"/>
            <w:b/>
            <w:bCs/>
            <w:color w:val="000000" w:themeColor="text1"/>
            <w:sz w:val="22"/>
            <w:szCs w:val="22"/>
            <w:u w:val="none"/>
          </w:rPr>
          <w:t>Respuesta77.2022.pdf</w:t>
        </w:r>
      </w:hyperlink>
      <w:r w:rsidRPr="00D0299D">
        <w:rPr>
          <w:rFonts w:ascii="Palatino Linotype" w:hAnsi="Palatino Linotype" w:cs="Arial"/>
          <w:b/>
          <w:bCs/>
          <w:color w:val="000000" w:themeColor="text1"/>
          <w:sz w:val="22"/>
          <w:szCs w:val="22"/>
        </w:rPr>
        <w:t xml:space="preserve">, </w:t>
      </w:r>
      <w:r w:rsidR="003F4920" w:rsidRPr="00D0299D">
        <w:rPr>
          <w:rFonts w:ascii="Palatino Linotype" w:hAnsi="Palatino Linotype" w:cs="Arial"/>
          <w:color w:val="000000" w:themeColor="text1"/>
          <w:sz w:val="22"/>
          <w:szCs w:val="22"/>
        </w:rPr>
        <w:t>remitido</w:t>
      </w:r>
      <w:r w:rsidRPr="00D0299D">
        <w:rPr>
          <w:rFonts w:ascii="Palatino Linotype" w:hAnsi="Palatino Linotype" w:cs="Arial"/>
          <w:color w:val="000000" w:themeColor="text1"/>
          <w:sz w:val="22"/>
          <w:szCs w:val="22"/>
        </w:rPr>
        <w:t xml:space="preserve"> por el </w:t>
      </w:r>
      <w:r w:rsidRPr="00D0299D">
        <w:rPr>
          <w:rFonts w:ascii="Palatino Linotype" w:hAnsi="Palatino Linotype" w:cs="Arial"/>
          <w:b/>
          <w:bCs/>
          <w:color w:val="000000" w:themeColor="text1"/>
          <w:sz w:val="22"/>
          <w:szCs w:val="22"/>
        </w:rPr>
        <w:t>SUJETO OBLIGADO</w:t>
      </w:r>
      <w:r w:rsidR="003F4920" w:rsidRPr="00D0299D">
        <w:rPr>
          <w:rFonts w:ascii="Palatino Linotype" w:hAnsi="Palatino Linotype" w:cs="Arial"/>
          <w:b/>
          <w:bCs/>
          <w:color w:val="000000" w:themeColor="text1"/>
          <w:sz w:val="22"/>
          <w:szCs w:val="22"/>
        </w:rPr>
        <w:t xml:space="preserve"> </w:t>
      </w:r>
      <w:r w:rsidR="003F4920" w:rsidRPr="00D0299D">
        <w:rPr>
          <w:rFonts w:ascii="Palatino Linotype" w:hAnsi="Palatino Linotype" w:cs="Arial"/>
          <w:color w:val="000000" w:themeColor="text1"/>
          <w:sz w:val="22"/>
          <w:szCs w:val="22"/>
        </w:rPr>
        <w:t>en respuesta.</w:t>
      </w:r>
    </w:p>
    <w:p w:rsidR="00F91466" w:rsidRPr="00D0299D" w:rsidRDefault="00F91466" w:rsidP="00883F62">
      <w:pPr>
        <w:ind w:right="565"/>
        <w:jc w:val="both"/>
        <w:rPr>
          <w:rFonts w:ascii="Palatino Linotype" w:hAnsi="Palatino Linotype"/>
          <w:i/>
          <w:sz w:val="22"/>
          <w:szCs w:val="22"/>
        </w:rPr>
      </w:pPr>
    </w:p>
    <w:p w:rsidR="00946C27" w:rsidRPr="00D0299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Times New Roman" w:hAnsi="Palatino Linotype" w:cs="Arial"/>
          <w:color w:val="000000" w:themeColor="text1"/>
          <w:lang w:val="es-ES"/>
        </w:rPr>
        <w:t xml:space="preserve">Se </w:t>
      </w:r>
      <w:r w:rsidR="00883F62" w:rsidRPr="00D0299D">
        <w:rPr>
          <w:rFonts w:ascii="Palatino Linotype" w:hAnsi="Palatino Linotype" w:cs="Arial"/>
          <w:lang w:val="es-ES"/>
        </w:rPr>
        <w:t xml:space="preserve">registró el recurso de revisión bajo el número de expediente </w:t>
      </w:r>
      <w:r w:rsidR="00883F62" w:rsidRPr="00D0299D">
        <w:rPr>
          <w:rFonts w:ascii="Palatino Linotype" w:eastAsia="MS Mincho" w:hAnsi="Palatino Linotype" w:cs="Arial"/>
          <w:bCs/>
        </w:rPr>
        <w:t xml:space="preserve">al rubro indicado, asimismo con fundamento en lo dispuesto por el </w:t>
      </w:r>
      <w:r w:rsidR="00883F62" w:rsidRPr="00D0299D">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D0299D">
        <w:rPr>
          <w:rFonts w:ascii="Palatino Linotype" w:hAnsi="Palatino Linotype" w:cs="Arial"/>
          <w:lang w:val="es-ES"/>
        </w:rPr>
        <w:t xml:space="preserve">se turnó a la </w:t>
      </w:r>
      <w:r w:rsidR="00883F62" w:rsidRPr="00D0299D">
        <w:rPr>
          <w:rFonts w:ascii="Palatino Linotype" w:hAnsi="Palatino Linotype" w:cs="Arial"/>
          <w:b/>
          <w:lang w:val="es-ES"/>
        </w:rPr>
        <w:t>Comisionada María del Rosario Mejía Ayala</w:t>
      </w:r>
      <w:r w:rsidR="00883F62" w:rsidRPr="00D0299D">
        <w:rPr>
          <w:rFonts w:ascii="Palatino Linotype" w:hAnsi="Palatino Linotype" w:cs="Arial"/>
          <w:lang w:val="es-ES"/>
        </w:rPr>
        <w:t xml:space="preserve"> con el objeto de </w:t>
      </w:r>
      <w:r w:rsidR="00883F62" w:rsidRPr="00D0299D">
        <w:rPr>
          <w:rFonts w:ascii="Palatino Linotype" w:hAnsi="Palatino Linotype" w:cs="Arial"/>
        </w:rPr>
        <w:t>su análisis.</w:t>
      </w:r>
    </w:p>
    <w:p w:rsidR="00946C27" w:rsidRPr="00D0299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rsidR="007F7802" w:rsidRPr="00D0299D"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D0299D">
        <w:rPr>
          <w:rFonts w:ascii="Palatino Linotype" w:eastAsia="Calibri" w:hAnsi="Palatino Linotype" w:cs="Arial"/>
          <w:lang w:val="es-ES"/>
        </w:rPr>
        <w:t>l</w:t>
      </w:r>
      <w:r w:rsidRPr="00D0299D">
        <w:rPr>
          <w:rFonts w:ascii="Palatino Linotype" w:eastAsia="Calibri" w:hAnsi="Palatino Linotype" w:cs="Arial"/>
          <w:lang w:val="es-ES"/>
        </w:rPr>
        <w:t xml:space="preserve"> </w:t>
      </w:r>
      <w:r w:rsidR="00F91466" w:rsidRPr="00D0299D">
        <w:rPr>
          <w:rFonts w:ascii="Palatino Linotype" w:eastAsia="Calibri" w:hAnsi="Palatino Linotype" w:cs="Arial"/>
        </w:rPr>
        <w:t xml:space="preserve">nueve (09) </w:t>
      </w:r>
      <w:r w:rsidR="00F91466" w:rsidRPr="00D0299D">
        <w:rPr>
          <w:rFonts w:ascii="Palatino Linotype" w:eastAsia="Calibri" w:hAnsi="Palatino Linotype" w:cs="Arial"/>
          <w:color w:val="000000" w:themeColor="text1"/>
          <w:lang w:val="es-ES"/>
        </w:rPr>
        <w:t>de mayo de dos mil veintidós</w:t>
      </w:r>
      <w:r w:rsidRPr="00D0299D">
        <w:rPr>
          <w:rFonts w:ascii="Palatino Linotype" w:eastAsia="Calibri" w:hAnsi="Palatino Linotype" w:cs="Arial"/>
          <w:lang w:val="es-ES"/>
        </w:rPr>
        <w:t xml:space="preserve">, puso a disposición de las partes el expediente electrónico </w:t>
      </w:r>
      <w:r w:rsidRPr="00D0299D">
        <w:rPr>
          <w:rFonts w:ascii="Palatino Linotype" w:eastAsia="Calibri" w:hAnsi="Palatino Linotype" w:cs="Arial"/>
        </w:rPr>
        <w:t xml:space="preserve">vía </w:t>
      </w:r>
      <w:r w:rsidRPr="00D0299D">
        <w:rPr>
          <w:rFonts w:ascii="Palatino Linotype" w:eastAsia="Calibri" w:hAnsi="Palatino Linotype" w:cs="Arial"/>
          <w:lang w:val="es-ES"/>
        </w:rPr>
        <w:t xml:space="preserve">Sistema de Acceso a la Información Mexiquense </w:t>
      </w:r>
      <w:r w:rsidRPr="00D0299D">
        <w:rPr>
          <w:rFonts w:ascii="Palatino Linotype" w:eastAsia="Calibri" w:hAnsi="Palatino Linotype" w:cs="Arial"/>
          <w:b/>
          <w:lang w:val="es-ES"/>
        </w:rPr>
        <w:t xml:space="preserve">(SAIMEX) </w:t>
      </w:r>
      <w:r w:rsidRPr="00D0299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0299D">
        <w:rPr>
          <w:rFonts w:ascii="Palatino Linotype" w:eastAsia="Calibri" w:hAnsi="Palatino Linotype" w:cs="Arial"/>
          <w:b/>
          <w:lang w:val="es-ES"/>
        </w:rPr>
        <w:t>SUJETO OBLIGADO</w:t>
      </w:r>
      <w:r w:rsidRPr="00D0299D">
        <w:rPr>
          <w:rFonts w:ascii="Palatino Linotype" w:eastAsia="Calibri" w:hAnsi="Palatino Linotype" w:cs="Arial"/>
          <w:lang w:val="es-ES"/>
        </w:rPr>
        <w:t xml:space="preserve"> presentara el Informe Justificado procedente.</w:t>
      </w:r>
    </w:p>
    <w:p w:rsidR="00F91466" w:rsidRPr="00D0299D" w:rsidRDefault="00F91466" w:rsidP="00F91466">
      <w:pPr>
        <w:rPr>
          <w:rFonts w:ascii="Palatino Linotype" w:eastAsia="Calibri" w:hAnsi="Palatino Linotype" w:cs="Arial"/>
          <w:color w:val="000000" w:themeColor="text1"/>
          <w:lang w:val="es-ES"/>
        </w:rPr>
      </w:pPr>
    </w:p>
    <w:p w:rsidR="007F7802" w:rsidRPr="00D0299D"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bCs/>
          <w:color w:val="000000" w:themeColor="text1"/>
          <w:lang w:val="es-ES"/>
        </w:rPr>
        <w:t>El doce (12) de mayo de dos</w:t>
      </w:r>
      <w:r w:rsidRPr="00D0299D">
        <w:rPr>
          <w:rFonts w:ascii="Palatino Linotype" w:eastAsia="Calibri" w:hAnsi="Palatino Linotype" w:cs="Arial"/>
          <w:color w:val="000000" w:themeColor="text1"/>
          <w:lang w:val="es-ES"/>
        </w:rPr>
        <w:t xml:space="preserve"> mil veintidós, el </w:t>
      </w:r>
      <w:r w:rsidRPr="00D0299D">
        <w:rPr>
          <w:rFonts w:ascii="Palatino Linotype" w:eastAsia="Calibri" w:hAnsi="Palatino Linotype" w:cs="Arial"/>
          <w:b/>
          <w:color w:val="000000" w:themeColor="text1"/>
          <w:lang w:val="es-ES"/>
        </w:rPr>
        <w:t>SUJETO OBLIGADO</w:t>
      </w:r>
      <w:r w:rsidRPr="00D0299D">
        <w:rPr>
          <w:rFonts w:ascii="Palatino Linotype" w:eastAsia="Calibri" w:hAnsi="Palatino Linotype" w:cs="Arial"/>
          <w:color w:val="000000" w:themeColor="text1"/>
          <w:lang w:val="es-ES"/>
        </w:rPr>
        <w:t xml:space="preserve"> rindió su </w:t>
      </w:r>
      <w:r w:rsidRPr="00D0299D">
        <w:rPr>
          <w:rFonts w:ascii="Palatino Linotype" w:eastAsia="Calibri" w:hAnsi="Palatino Linotype" w:cs="Arial"/>
          <w:lang w:val="es-ES"/>
        </w:rPr>
        <w:t>informe justificado a través del siguiente archivo electrónico</w:t>
      </w:r>
      <w:r w:rsidR="00FB0A5A" w:rsidRPr="00D0299D">
        <w:rPr>
          <w:rFonts w:ascii="Palatino Linotype" w:eastAsia="Calibri" w:hAnsi="Palatino Linotype" w:cs="Arial"/>
          <w:lang w:val="es-ES"/>
        </w:rPr>
        <w:t>:</w:t>
      </w:r>
    </w:p>
    <w:p w:rsidR="00FB0A5A" w:rsidRPr="00D0299D" w:rsidRDefault="00FB0A5A" w:rsidP="00FB0A5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3F4920" w:rsidRPr="00D0299D" w:rsidRDefault="00F91466" w:rsidP="00FB0A5A">
      <w:pPr>
        <w:pStyle w:val="Prrafodelista"/>
        <w:numPr>
          <w:ilvl w:val="0"/>
          <w:numId w:val="15"/>
        </w:numPr>
        <w:ind w:right="565"/>
        <w:jc w:val="both"/>
        <w:rPr>
          <w:rFonts w:ascii="Palatino Linotype" w:hAnsi="Palatino Linotype" w:cs="Arial"/>
          <w:color w:val="000000" w:themeColor="text1"/>
          <w:sz w:val="22"/>
          <w:szCs w:val="22"/>
        </w:rPr>
      </w:pPr>
      <w:r w:rsidRPr="00D0299D">
        <w:rPr>
          <w:rFonts w:ascii="Palatino Linotype" w:hAnsi="Palatino Linotype" w:cs="Arial"/>
          <w:b/>
          <w:bCs/>
          <w:color w:val="000000" w:themeColor="text1"/>
          <w:sz w:val="22"/>
          <w:szCs w:val="22"/>
        </w:rPr>
        <w:t>Informe justificado RR 06908 Reg Civ.pdf:</w:t>
      </w:r>
      <w:r w:rsidRPr="00D0299D">
        <w:rPr>
          <w:rFonts w:ascii="Palatino Linotype" w:hAnsi="Palatino Linotype" w:cs="Arial"/>
          <w:color w:val="000000" w:themeColor="text1"/>
          <w:sz w:val="22"/>
          <w:szCs w:val="22"/>
        </w:rPr>
        <w:t xml:space="preserve"> Oficio del 12 de mayo de 2022, suscrito y signado por la Titular de la Unidad de Transparencia, por medio del cual, reiteró y justificó su respuesta inicial en los siguientes términos:</w:t>
      </w:r>
    </w:p>
    <w:p w:rsidR="00F91466" w:rsidRPr="00D0299D" w:rsidRDefault="00F91466" w:rsidP="00F91466">
      <w:pPr>
        <w:pStyle w:val="Prrafodelista"/>
        <w:ind w:left="567" w:right="565"/>
        <w:jc w:val="both"/>
        <w:rPr>
          <w:rFonts w:ascii="Palatino Linotype" w:hAnsi="Palatino Linotype" w:cs="Arial"/>
          <w:i/>
          <w:iCs/>
          <w:color w:val="000000" w:themeColor="text1"/>
          <w:sz w:val="22"/>
          <w:szCs w:val="22"/>
        </w:rPr>
      </w:pPr>
      <w:r w:rsidRPr="00D0299D">
        <w:rPr>
          <w:rFonts w:ascii="Palatino Linotype" w:hAnsi="Palatino Linotype" w:cs="Arial"/>
          <w:i/>
          <w:iCs/>
          <w:color w:val="000000" w:themeColor="text1"/>
          <w:sz w:val="22"/>
          <w:szCs w:val="22"/>
        </w:rPr>
        <w:lastRenderedPageBreak/>
        <w:t xml:space="preserve">“… </w:t>
      </w:r>
      <w:r w:rsidRPr="00D0299D">
        <w:rPr>
          <w:rFonts w:ascii="Palatino Linotype" w:hAnsi="Palatino Linotype" w:cs="Arial"/>
          <w:b/>
          <w:bCs/>
          <w:i/>
          <w:iCs/>
          <w:color w:val="000000" w:themeColor="text1"/>
          <w:sz w:val="22"/>
          <w:szCs w:val="22"/>
        </w:rPr>
        <w:t>la Dirección General del Registro Civil no genera un listado o concentrado con los nombres de aquellas personas físicas o jurídico colectivas que solicitan órdenes de inhumación y cremación, esto, ya que en la base de datos de la Dirección General del Registro Civil se registran solo las defunciones, sin hacer una clasificación por orden de inhumación y cremación</w:t>
      </w:r>
      <w:r w:rsidRPr="00D0299D">
        <w:rPr>
          <w:rFonts w:ascii="Palatino Linotype" w:hAnsi="Palatino Linotype" w:cs="Arial"/>
          <w:i/>
          <w:iCs/>
          <w:color w:val="000000" w:themeColor="text1"/>
          <w:sz w:val="22"/>
          <w:szCs w:val="22"/>
        </w:rPr>
        <w:t xml:space="preserve"> como lo requirió el Solicitante en su momento.</w:t>
      </w:r>
    </w:p>
    <w:p w:rsidR="00F91466" w:rsidRPr="00D0299D" w:rsidRDefault="00F91466" w:rsidP="00F91466">
      <w:pPr>
        <w:pStyle w:val="Prrafodelista"/>
        <w:ind w:left="567" w:right="565"/>
        <w:jc w:val="both"/>
        <w:rPr>
          <w:rFonts w:ascii="Palatino Linotype" w:hAnsi="Palatino Linotype" w:cs="Arial"/>
          <w:i/>
          <w:iCs/>
          <w:color w:val="000000" w:themeColor="text1"/>
          <w:sz w:val="22"/>
          <w:szCs w:val="22"/>
        </w:rPr>
      </w:pPr>
    </w:p>
    <w:p w:rsidR="00F91466" w:rsidRPr="00D0299D" w:rsidRDefault="00F91466" w:rsidP="00F91466">
      <w:pPr>
        <w:pStyle w:val="Prrafodelista"/>
        <w:ind w:left="567" w:right="565"/>
        <w:jc w:val="both"/>
        <w:rPr>
          <w:rFonts w:ascii="Palatino Linotype" w:hAnsi="Palatino Linotype" w:cs="Arial"/>
          <w:i/>
          <w:iCs/>
          <w:color w:val="000000" w:themeColor="text1"/>
          <w:sz w:val="22"/>
          <w:szCs w:val="22"/>
        </w:rPr>
      </w:pPr>
      <w:r w:rsidRPr="00D0299D">
        <w:rPr>
          <w:rFonts w:ascii="Palatino Linotype" w:hAnsi="Palatino Linotype" w:cs="Arial"/>
          <w:i/>
          <w:iCs/>
          <w:color w:val="000000" w:themeColor="text1"/>
          <w:sz w:val="22"/>
          <w:szCs w:val="22"/>
        </w:rPr>
        <w:t>…</w:t>
      </w:r>
      <w:r w:rsidRPr="00D0299D">
        <w:rPr>
          <w:rFonts w:ascii="Palatino Linotype" w:hAnsi="Palatino Linotype" w:cs="Arial"/>
          <w:b/>
          <w:bCs/>
          <w:i/>
          <w:iCs/>
          <w:color w:val="000000" w:themeColor="text1"/>
          <w:sz w:val="22"/>
          <w:szCs w:val="22"/>
        </w:rPr>
        <w:t xml:space="preserve"> el Recurrente realiza una interpretación errónea de la información brindada por este Sujeto Obligado</w:t>
      </w:r>
      <w:r w:rsidRPr="00D0299D">
        <w:rPr>
          <w:rFonts w:ascii="Palatino Linotype" w:hAnsi="Palatino Linotype" w:cs="Arial"/>
          <w:i/>
          <w:iCs/>
          <w:color w:val="000000" w:themeColor="text1"/>
          <w:sz w:val="22"/>
          <w:szCs w:val="22"/>
        </w:rPr>
        <w:t xml:space="preserve">, al señalar equivocadamente que se le remitió ante la autoridad competente de expedir las órdenes de inhumación o cremación (Oficiales del Registro Civil) a solicitarlo, resultando a todas luces evidente que si fuera el caso, la Dirección General hubiese solicitado en su momento la información requerida, caso contrario, este Sujeto Obligado atendió el principio de máxima publicidad, señalándole que una de </w:t>
      </w:r>
      <w:r w:rsidRPr="00D0299D">
        <w:rPr>
          <w:rFonts w:ascii="Palatino Linotype" w:hAnsi="Palatino Linotype" w:cs="Arial"/>
          <w:b/>
          <w:bCs/>
          <w:i/>
          <w:iCs/>
          <w:color w:val="000000" w:themeColor="text1"/>
          <w:sz w:val="22"/>
          <w:szCs w:val="22"/>
        </w:rPr>
        <w:t>las atribuciones de los Oficiales es expedir las órdenes de inhumación o cremación y los requisitos para llevar a cabo el registro de defunción.</w:t>
      </w:r>
    </w:p>
    <w:p w:rsidR="00F91466" w:rsidRPr="00D0299D" w:rsidRDefault="00F91466" w:rsidP="00F91466">
      <w:pPr>
        <w:pStyle w:val="Prrafodelista"/>
        <w:ind w:left="567" w:right="565"/>
        <w:jc w:val="both"/>
        <w:rPr>
          <w:rFonts w:ascii="Palatino Linotype" w:hAnsi="Palatino Linotype" w:cs="Arial"/>
          <w:i/>
          <w:iCs/>
          <w:color w:val="000000" w:themeColor="text1"/>
          <w:sz w:val="22"/>
          <w:szCs w:val="22"/>
        </w:rPr>
      </w:pPr>
    </w:p>
    <w:p w:rsidR="00576533" w:rsidRPr="00D0299D" w:rsidRDefault="00F91466" w:rsidP="00F91466">
      <w:pPr>
        <w:pStyle w:val="Prrafodelista"/>
        <w:ind w:left="567" w:right="565"/>
        <w:jc w:val="both"/>
        <w:rPr>
          <w:rFonts w:ascii="Palatino Linotype" w:hAnsi="Palatino Linotype" w:cs="Arial"/>
          <w:i/>
          <w:iCs/>
          <w:color w:val="000000" w:themeColor="text1"/>
          <w:sz w:val="22"/>
          <w:szCs w:val="22"/>
        </w:rPr>
      </w:pPr>
      <w:r w:rsidRPr="00D0299D">
        <w:rPr>
          <w:rFonts w:ascii="Palatino Linotype" w:hAnsi="Palatino Linotype" w:cs="Arial"/>
          <w:i/>
          <w:iCs/>
          <w:color w:val="000000" w:themeColor="text1"/>
          <w:sz w:val="22"/>
          <w:szCs w:val="22"/>
        </w:rPr>
        <w:t xml:space="preserve">Es ese orden de ideas, no se debe perder de vista que en todo momento, se le hizo del conocimiento al Recurrente </w:t>
      </w:r>
      <w:r w:rsidRPr="00D0299D">
        <w:rPr>
          <w:rFonts w:ascii="Palatino Linotype" w:hAnsi="Palatino Linotype" w:cs="Arial"/>
          <w:b/>
          <w:bCs/>
          <w:i/>
          <w:iCs/>
          <w:color w:val="000000" w:themeColor="text1"/>
          <w:sz w:val="22"/>
          <w:szCs w:val="22"/>
        </w:rPr>
        <w:t>que no se contaba con la información requerida, toda vez que como se reitera la Dirección General no genera un listado o concentrado con la información requerida por el Recurrente de órdenes de inhumación y cremación</w:t>
      </w:r>
      <w:r w:rsidRPr="00D0299D">
        <w:rPr>
          <w:rFonts w:ascii="Palatino Linotype" w:hAnsi="Palatino Linotype" w:cs="Arial"/>
          <w:i/>
          <w:iCs/>
          <w:color w:val="000000" w:themeColor="text1"/>
          <w:sz w:val="22"/>
          <w:szCs w:val="22"/>
        </w:rPr>
        <w:t>…</w:t>
      </w:r>
    </w:p>
    <w:p w:rsidR="00576533" w:rsidRPr="00D0299D" w:rsidRDefault="00576533" w:rsidP="00F91466">
      <w:pPr>
        <w:pStyle w:val="Prrafodelista"/>
        <w:ind w:left="567" w:right="565"/>
        <w:jc w:val="both"/>
        <w:rPr>
          <w:rFonts w:ascii="Palatino Linotype" w:hAnsi="Palatino Linotype" w:cs="Arial"/>
          <w:i/>
          <w:iCs/>
          <w:color w:val="000000" w:themeColor="text1"/>
          <w:sz w:val="22"/>
          <w:szCs w:val="22"/>
        </w:rPr>
      </w:pPr>
    </w:p>
    <w:p w:rsidR="00576533" w:rsidRPr="00D0299D" w:rsidRDefault="00576533" w:rsidP="00F91466">
      <w:pPr>
        <w:pStyle w:val="Prrafodelista"/>
        <w:ind w:left="567" w:right="565"/>
        <w:jc w:val="both"/>
        <w:rPr>
          <w:rFonts w:ascii="Palatino Linotype" w:hAnsi="Palatino Linotype" w:cs="Arial"/>
          <w:i/>
          <w:iCs/>
          <w:color w:val="000000" w:themeColor="text1"/>
          <w:sz w:val="22"/>
          <w:szCs w:val="22"/>
        </w:rPr>
      </w:pPr>
      <w:r w:rsidRPr="00D0299D">
        <w:rPr>
          <w:rFonts w:ascii="Palatino Linotype" w:hAnsi="Palatino Linotype" w:cs="Arial"/>
          <w:i/>
          <w:iCs/>
          <w:color w:val="000000" w:themeColor="text1"/>
          <w:sz w:val="22"/>
          <w:szCs w:val="22"/>
        </w:rPr>
        <w:t xml:space="preserve">… </w:t>
      </w:r>
      <w:r w:rsidRPr="00D0299D">
        <w:rPr>
          <w:rFonts w:ascii="Palatino Linotype" w:hAnsi="Palatino Linotype" w:cs="Arial"/>
          <w:b/>
          <w:bCs/>
          <w:i/>
          <w:iCs/>
          <w:color w:val="000000" w:themeColor="text1"/>
          <w:sz w:val="22"/>
          <w:szCs w:val="22"/>
        </w:rPr>
        <w:t>este Sujeto Obligado hizo del conocimiento al ahora Recurrente que uno de los requisitos para el registro de defunción es presentar la identificación oficial vigente y</w:t>
      </w:r>
      <w:r w:rsidR="00396ACA" w:rsidRPr="00D0299D">
        <w:rPr>
          <w:rFonts w:ascii="Palatino Linotype" w:hAnsi="Palatino Linotype" w:cs="Arial"/>
          <w:b/>
          <w:bCs/>
          <w:i/>
          <w:iCs/>
          <w:color w:val="000000" w:themeColor="text1"/>
          <w:sz w:val="22"/>
          <w:szCs w:val="22"/>
        </w:rPr>
        <w:t xml:space="preserve"> </w:t>
      </w:r>
      <w:r w:rsidRPr="00D0299D">
        <w:rPr>
          <w:rFonts w:ascii="Palatino Linotype" w:hAnsi="Palatino Linotype" w:cs="Arial"/>
          <w:b/>
          <w:bCs/>
          <w:i/>
          <w:iCs/>
          <w:color w:val="000000" w:themeColor="text1"/>
          <w:sz w:val="22"/>
          <w:szCs w:val="22"/>
        </w:rPr>
        <w:t>la comparecencia del declarante, sin que ello quiera decir que se cuente con un listado de las personas o empresas que soliciten órdenes de inhumación o cremación, toda vez que en diversas ocasiones es personal de las funerarias quienes se presentan a realizar el trámite para las órdenes de inhumación o cremación, quedando registrados dichos trámites como persona física, sin tener conocimiento si pertenecen a alguna empresa como lo requirió en su momento el Recurrente, reiterando que en la Dirección General del Registro Civil, únicamente se registran las defunciones (de forma general), sin hacer clasificación por orden de inhumación y cremación.</w:t>
      </w:r>
    </w:p>
    <w:p w:rsidR="00576533" w:rsidRPr="00D0299D" w:rsidRDefault="00576533" w:rsidP="00F91466">
      <w:pPr>
        <w:pStyle w:val="Prrafodelista"/>
        <w:ind w:left="567" w:right="565"/>
        <w:jc w:val="both"/>
        <w:rPr>
          <w:rFonts w:ascii="Palatino Linotype" w:hAnsi="Palatino Linotype" w:cs="Arial"/>
          <w:i/>
          <w:iCs/>
          <w:color w:val="000000" w:themeColor="text1"/>
          <w:sz w:val="22"/>
          <w:szCs w:val="22"/>
        </w:rPr>
      </w:pPr>
    </w:p>
    <w:p w:rsidR="00F91466" w:rsidRPr="00D0299D" w:rsidRDefault="00576533" w:rsidP="00F91466">
      <w:pPr>
        <w:pStyle w:val="Prrafodelista"/>
        <w:ind w:left="567" w:right="565"/>
        <w:jc w:val="both"/>
        <w:rPr>
          <w:rFonts w:ascii="Palatino Linotype" w:hAnsi="Palatino Linotype" w:cs="Arial"/>
          <w:i/>
          <w:iCs/>
          <w:color w:val="000000" w:themeColor="text1"/>
          <w:sz w:val="22"/>
          <w:szCs w:val="22"/>
        </w:rPr>
      </w:pPr>
      <w:r w:rsidRPr="00D0299D">
        <w:rPr>
          <w:rFonts w:ascii="Palatino Linotype" w:hAnsi="Palatino Linotype" w:cs="Arial"/>
          <w:i/>
          <w:iCs/>
          <w:color w:val="000000" w:themeColor="text1"/>
          <w:sz w:val="22"/>
          <w:szCs w:val="22"/>
        </w:rPr>
        <w:t xml:space="preserve">Aunado a lo anterior, es importante señalar que este Sujeto Obligado no se encuentra obligado a generar, resumir, efectuar cálculos o practicar investigaciones, a fin de </w:t>
      </w:r>
      <w:r w:rsidRPr="00D0299D">
        <w:rPr>
          <w:rFonts w:ascii="Palatino Linotype" w:hAnsi="Palatino Linotype" w:cs="Arial"/>
          <w:i/>
          <w:iCs/>
          <w:color w:val="000000" w:themeColor="text1"/>
          <w:sz w:val="22"/>
          <w:szCs w:val="22"/>
        </w:rPr>
        <w:lastRenderedPageBreak/>
        <w:t xml:space="preserve">proporcionar la información solicitada, toda vez que la misma no obra en los archivos de la Dirección General del Registro Civil </w:t>
      </w:r>
      <w:r w:rsidR="00396ACA" w:rsidRPr="00D0299D">
        <w:rPr>
          <w:rFonts w:ascii="Palatino Linotype" w:hAnsi="Palatino Linotype" w:cs="Arial"/>
          <w:i/>
          <w:iCs/>
          <w:color w:val="000000" w:themeColor="text1"/>
          <w:sz w:val="22"/>
          <w:szCs w:val="22"/>
        </w:rPr>
        <w:t>como la requiere el Recurrente…</w:t>
      </w:r>
      <w:r w:rsidR="00F91466" w:rsidRPr="00D0299D">
        <w:rPr>
          <w:rFonts w:ascii="Palatino Linotype" w:hAnsi="Palatino Linotype" w:cs="Arial"/>
          <w:i/>
          <w:iCs/>
          <w:color w:val="000000" w:themeColor="text1"/>
          <w:sz w:val="22"/>
          <w:szCs w:val="22"/>
        </w:rPr>
        <w:t>” (Sic)</w:t>
      </w:r>
    </w:p>
    <w:p w:rsidR="007F7802" w:rsidRPr="00D0299D" w:rsidRDefault="007F7802" w:rsidP="007F7802">
      <w:pPr>
        <w:pStyle w:val="Prrafodelista"/>
        <w:tabs>
          <w:tab w:val="left" w:pos="426"/>
          <w:tab w:val="left" w:pos="567"/>
        </w:tabs>
        <w:spacing w:line="360" w:lineRule="auto"/>
        <w:ind w:left="0"/>
        <w:jc w:val="both"/>
        <w:rPr>
          <w:rFonts w:ascii="Palatino Linotype" w:hAnsi="Palatino Linotype"/>
        </w:rPr>
      </w:pPr>
    </w:p>
    <w:p w:rsidR="00883F62" w:rsidRPr="00D0299D" w:rsidRDefault="00FF3501" w:rsidP="00883F6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eastAsia="Calibri" w:hAnsi="Palatino Linotype" w:cs="Arial"/>
          <w:color w:val="000000" w:themeColor="text1"/>
          <w:lang w:val="es-ES"/>
        </w:rPr>
        <w:t xml:space="preserve">Por su parte </w:t>
      </w:r>
      <w:r w:rsidR="00C21DCC" w:rsidRPr="00D0299D">
        <w:rPr>
          <w:rFonts w:ascii="Palatino Linotype" w:eastAsia="Calibri" w:hAnsi="Palatino Linotype" w:cs="Arial"/>
          <w:lang w:val="es-ES"/>
        </w:rPr>
        <w:t>l</w:t>
      </w:r>
      <w:r w:rsidR="00B76C39" w:rsidRPr="00D0299D">
        <w:rPr>
          <w:rFonts w:ascii="Palatino Linotype" w:eastAsia="Calibri" w:hAnsi="Palatino Linotype" w:cs="Arial"/>
          <w:lang w:val="es-ES"/>
        </w:rPr>
        <w:t>a</w:t>
      </w:r>
      <w:r w:rsidR="00C21DCC" w:rsidRPr="00D0299D">
        <w:rPr>
          <w:rFonts w:ascii="Palatino Linotype" w:eastAsia="Calibri" w:hAnsi="Palatino Linotype" w:cs="Arial"/>
          <w:lang w:val="es-ES"/>
        </w:rPr>
        <w:t xml:space="preserve"> Recurrente no realizó manifestaciones, ni ofreció pruebas o alegatos que a su derecho conviniera</w:t>
      </w:r>
      <w:r w:rsidR="001D3B96" w:rsidRPr="00D0299D">
        <w:rPr>
          <w:rFonts w:ascii="Palatino Linotype" w:eastAsia="Calibri" w:hAnsi="Palatino Linotype" w:cs="Arial"/>
          <w:lang w:val="es-ES"/>
        </w:rPr>
        <w:t>n.</w:t>
      </w:r>
    </w:p>
    <w:p w:rsidR="001D3B96" w:rsidRPr="00D0299D" w:rsidRDefault="001D3B96" w:rsidP="001D3B96">
      <w:pPr>
        <w:pStyle w:val="Prrafodelista"/>
        <w:tabs>
          <w:tab w:val="left" w:pos="426"/>
          <w:tab w:val="left" w:pos="567"/>
        </w:tabs>
        <w:spacing w:line="360" w:lineRule="auto"/>
        <w:ind w:left="0"/>
        <w:jc w:val="both"/>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El </w:t>
      </w:r>
      <w:r w:rsidR="00F91466" w:rsidRPr="00D0299D">
        <w:rPr>
          <w:rFonts w:ascii="Palatino Linotype" w:hAnsi="Palatino Linotype"/>
        </w:rPr>
        <w:t xml:space="preserve">diecinueve </w:t>
      </w:r>
      <w:r w:rsidRPr="00D0299D">
        <w:rPr>
          <w:rFonts w:ascii="Palatino Linotype" w:hAnsi="Palatino Linotype"/>
        </w:rPr>
        <w:t>(</w:t>
      </w:r>
      <w:r w:rsidR="00F91466" w:rsidRPr="00D0299D">
        <w:rPr>
          <w:rFonts w:ascii="Palatino Linotype" w:hAnsi="Palatino Linotype"/>
        </w:rPr>
        <w:t>19</w:t>
      </w:r>
      <w:r w:rsidRPr="00D0299D">
        <w:rPr>
          <w:rFonts w:ascii="Palatino Linotype" w:hAnsi="Palatino Linotype"/>
        </w:rPr>
        <w:t xml:space="preserve">) de </w:t>
      </w:r>
      <w:r w:rsidR="00F91466" w:rsidRPr="00D0299D">
        <w:rPr>
          <w:rFonts w:ascii="Palatino Linotype" w:hAnsi="Palatino Linotype"/>
        </w:rPr>
        <w:t>agosto</w:t>
      </w:r>
      <w:r w:rsidRPr="00D0299D">
        <w:rPr>
          <w:rFonts w:ascii="Palatino Linotype" w:hAnsi="Palatino Linotype"/>
        </w:rPr>
        <w:t xml:space="preserve"> de dos mil veintidós, </w:t>
      </w:r>
      <w:r w:rsidRPr="00D0299D">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D0299D">
        <w:rPr>
          <w:rFonts w:ascii="Palatino Linotype" w:hAnsi="Palatino Linotype" w:cs="Arial"/>
          <w:bCs/>
          <w:color w:val="000000" w:themeColor="text1"/>
          <w:lang w:val="es-ES"/>
        </w:rPr>
        <w:t xml:space="preserve"> </w:t>
      </w:r>
      <w:r w:rsidRPr="00D0299D">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p>
    <w:p w:rsidR="003F4920" w:rsidRPr="00D0299D" w:rsidRDefault="003F4920" w:rsidP="003F4920">
      <w:pPr>
        <w:pStyle w:val="Prrafodelista"/>
        <w:tabs>
          <w:tab w:val="left" w:pos="426"/>
          <w:tab w:val="left" w:pos="567"/>
        </w:tabs>
        <w:spacing w:line="360" w:lineRule="auto"/>
        <w:ind w:left="0"/>
        <w:jc w:val="both"/>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color w:val="000000" w:themeColor="text1"/>
        </w:rPr>
        <w:t xml:space="preserve">Este </w:t>
      </w:r>
      <w:r w:rsidRPr="00D0299D">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Por ello, es menester precisar que, si bien se ha excedido el plazo para resolver el presente medio de impugnación, de conformidad con la ley de la materia, dicha </w:t>
      </w:r>
      <w:r w:rsidRPr="00D0299D">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Por ello, excepcionalmente, si un asunto es resuelto con posterioridad a los plazos señalados por la norma debe analizarse la razonabilidad de dicha dilación atendiendo a los siguientes criterios:</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12"/>
        </w:numPr>
        <w:ind w:left="851" w:right="616" w:hanging="284"/>
        <w:jc w:val="both"/>
        <w:rPr>
          <w:rFonts w:ascii="Palatino Linotype" w:hAnsi="Palatino Linotype"/>
          <w:sz w:val="22"/>
          <w:szCs w:val="22"/>
        </w:rPr>
      </w:pPr>
      <w:r w:rsidRPr="00D0299D">
        <w:rPr>
          <w:rFonts w:ascii="Palatino Linotype" w:hAnsi="Palatino Linotype"/>
          <w:sz w:val="22"/>
          <w:szCs w:val="22"/>
        </w:rPr>
        <w:t xml:space="preserve">Complejidad del Asunto: La complejidad de la prueba, la pluralidad de sujetos procesales, el tiempo transcurrido, las características y contexto del recurso. </w:t>
      </w:r>
    </w:p>
    <w:p w:rsidR="00C21DCC" w:rsidRPr="00D0299D" w:rsidRDefault="00C21DCC" w:rsidP="00C21DCC">
      <w:pPr>
        <w:pStyle w:val="Prrafodelista"/>
        <w:ind w:left="851" w:right="616" w:hanging="284"/>
        <w:jc w:val="both"/>
        <w:rPr>
          <w:rFonts w:ascii="Palatino Linotype" w:hAnsi="Palatino Linotype"/>
          <w:sz w:val="22"/>
          <w:szCs w:val="22"/>
        </w:rPr>
      </w:pPr>
    </w:p>
    <w:p w:rsidR="00C21DCC" w:rsidRPr="00D0299D" w:rsidRDefault="00C21DCC" w:rsidP="00C21DCC">
      <w:pPr>
        <w:pStyle w:val="Prrafodelista"/>
        <w:numPr>
          <w:ilvl w:val="0"/>
          <w:numId w:val="12"/>
        </w:numPr>
        <w:ind w:left="851" w:right="616" w:hanging="284"/>
        <w:jc w:val="both"/>
        <w:rPr>
          <w:rFonts w:ascii="Palatino Linotype" w:hAnsi="Palatino Linotype"/>
          <w:sz w:val="22"/>
          <w:szCs w:val="22"/>
        </w:rPr>
      </w:pPr>
      <w:r w:rsidRPr="00D0299D">
        <w:rPr>
          <w:rFonts w:ascii="Palatino Linotype" w:hAnsi="Palatino Linotype"/>
          <w:sz w:val="22"/>
          <w:szCs w:val="22"/>
        </w:rPr>
        <w:t>Actividad Procesal del interesado. Acciones u omisiones del interesado.</w:t>
      </w:r>
    </w:p>
    <w:p w:rsidR="00C21DCC" w:rsidRPr="00D0299D" w:rsidRDefault="00C21DCC" w:rsidP="00C21DCC">
      <w:pPr>
        <w:ind w:left="851" w:right="616" w:hanging="284"/>
        <w:jc w:val="both"/>
        <w:rPr>
          <w:rFonts w:ascii="Palatino Linotype" w:hAnsi="Palatino Linotype"/>
          <w:sz w:val="22"/>
          <w:szCs w:val="22"/>
        </w:rPr>
      </w:pPr>
    </w:p>
    <w:p w:rsidR="00C21DCC" w:rsidRPr="00D0299D" w:rsidRDefault="00C21DCC" w:rsidP="00C21DCC">
      <w:pPr>
        <w:pStyle w:val="Prrafodelista"/>
        <w:numPr>
          <w:ilvl w:val="0"/>
          <w:numId w:val="12"/>
        </w:numPr>
        <w:ind w:left="851" w:right="616" w:hanging="284"/>
        <w:jc w:val="both"/>
        <w:rPr>
          <w:rFonts w:ascii="Palatino Linotype" w:hAnsi="Palatino Linotype"/>
          <w:sz w:val="22"/>
          <w:szCs w:val="22"/>
        </w:rPr>
      </w:pPr>
      <w:r w:rsidRPr="00D0299D">
        <w:rPr>
          <w:rFonts w:ascii="Palatino Linotype" w:hAnsi="Palatino Linotype"/>
          <w:sz w:val="22"/>
          <w:szCs w:val="22"/>
        </w:rPr>
        <w:lastRenderedPageBreak/>
        <w:t>Conducta de la Autoridad: Las Acciones u omisiones realizadas en el procedimiento. Así como si la autoridad actuó con la debida diligencia.</w:t>
      </w:r>
    </w:p>
    <w:p w:rsidR="00C21DCC" w:rsidRPr="00D0299D" w:rsidRDefault="00C21DCC" w:rsidP="00C21DCC">
      <w:pPr>
        <w:pStyle w:val="Prrafodelista"/>
        <w:ind w:left="851" w:right="616" w:hanging="284"/>
        <w:rPr>
          <w:rFonts w:ascii="Palatino Linotype" w:hAnsi="Palatino Linotype"/>
          <w:sz w:val="22"/>
          <w:szCs w:val="22"/>
        </w:rPr>
      </w:pPr>
    </w:p>
    <w:p w:rsidR="00C21DCC" w:rsidRPr="00D0299D" w:rsidRDefault="00C21DCC" w:rsidP="00C21DCC">
      <w:pPr>
        <w:ind w:left="851" w:right="616" w:hanging="284"/>
        <w:jc w:val="both"/>
        <w:rPr>
          <w:rFonts w:ascii="Palatino Linotype" w:hAnsi="Palatino Linotype"/>
          <w:sz w:val="22"/>
          <w:szCs w:val="22"/>
        </w:rPr>
      </w:pPr>
      <w:r w:rsidRPr="00D0299D">
        <w:rPr>
          <w:rFonts w:ascii="Palatino Linotype" w:hAnsi="Palatino Linotype"/>
          <w:sz w:val="22"/>
          <w:szCs w:val="22"/>
        </w:rPr>
        <w:t>d) La afectación generada en la situación jurídica de la persona involucrada en el proceso: Violación a sus derechos humanos.</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21DCC" w:rsidRPr="00D0299D" w:rsidRDefault="00C21DCC" w:rsidP="00C21DCC">
      <w:pPr>
        <w:pStyle w:val="Prrafodelista"/>
        <w:tabs>
          <w:tab w:val="left" w:pos="426"/>
          <w:tab w:val="left" w:pos="567"/>
        </w:tabs>
        <w:spacing w:line="360" w:lineRule="auto"/>
        <w:ind w:left="0"/>
        <w:jc w:val="both"/>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Argumento que encuentra sustento en la jurisprudencia P./J. 32/92 emitida por el Pleno de la Suprema Corte de Justicia de la Nación de rubro </w:t>
      </w:r>
      <w:r w:rsidRPr="00D0299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0299D">
        <w:rPr>
          <w:rFonts w:ascii="Palatino Linotype" w:hAnsi="Palatino Linotype"/>
        </w:rPr>
        <w:t>, visible en la Gaceta del Seminario Judicial de la Federación con el registro digital 205635.</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D0299D">
        <w:rPr>
          <w:rFonts w:ascii="Palatino Linotype"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C21DCC" w:rsidRPr="00D0299D" w:rsidRDefault="00C21DCC" w:rsidP="00C21DCC">
      <w:pPr>
        <w:pStyle w:val="Prrafodelista"/>
        <w:tabs>
          <w:tab w:val="left" w:pos="426"/>
        </w:tabs>
        <w:spacing w:line="360" w:lineRule="auto"/>
        <w:ind w:left="0" w:right="49"/>
        <w:jc w:val="both"/>
        <w:rPr>
          <w:rFonts w:ascii="Palatino Linotype" w:hAnsi="Palatino Linotype" w:cs="Arial"/>
          <w:color w:val="000000" w:themeColor="text1"/>
        </w:rPr>
      </w:pPr>
    </w:p>
    <w:p w:rsidR="00C21DCC" w:rsidRPr="00D0299D" w:rsidRDefault="00C21DCC" w:rsidP="00C21DCC">
      <w:pPr>
        <w:ind w:left="567" w:right="616"/>
        <w:jc w:val="both"/>
        <w:rPr>
          <w:rFonts w:ascii="Palatino Linotype" w:hAnsi="Palatino Linotype"/>
          <w:sz w:val="22"/>
        </w:rPr>
      </w:pPr>
      <w:r w:rsidRPr="00D0299D">
        <w:rPr>
          <w:rFonts w:ascii="Palatino Linotype" w:hAnsi="Palatino Linotype"/>
          <w:i/>
          <w:sz w:val="22"/>
        </w:rPr>
        <w:t>“PLAZO RAZONABLE PARA RESOLVER. DIMENSIÓN Y EFECTOS DE ESTE CONCEPTO CUANDO SE ADUCE EXCESIVA CARGA DE TRABAJO.”</w:t>
      </w:r>
      <w:r w:rsidRPr="00D0299D">
        <w:rPr>
          <w:rFonts w:ascii="Palatino Linotype" w:hAnsi="Palatino Linotype"/>
          <w:sz w:val="22"/>
        </w:rPr>
        <w:t xml:space="preserve"> consultable en el Seminario Judicial de la Federación y su gaceta, con el registro digital 2002351.</w:t>
      </w:r>
    </w:p>
    <w:p w:rsidR="00C21DCC" w:rsidRPr="00D0299D" w:rsidRDefault="00C21DCC" w:rsidP="00C21DCC">
      <w:pPr>
        <w:tabs>
          <w:tab w:val="left" w:pos="2070"/>
        </w:tabs>
        <w:ind w:left="567" w:right="616"/>
        <w:jc w:val="both"/>
        <w:rPr>
          <w:rFonts w:ascii="Palatino Linotype" w:hAnsi="Palatino Linotype"/>
          <w:b/>
          <w:sz w:val="22"/>
        </w:rPr>
      </w:pPr>
      <w:r w:rsidRPr="00D0299D">
        <w:rPr>
          <w:rFonts w:ascii="Palatino Linotype" w:hAnsi="Palatino Linotype"/>
          <w:b/>
          <w:sz w:val="22"/>
        </w:rPr>
        <w:tab/>
      </w:r>
    </w:p>
    <w:p w:rsidR="00C21DCC" w:rsidRPr="00D0299D" w:rsidRDefault="00C21DCC" w:rsidP="00C21DCC">
      <w:pPr>
        <w:ind w:left="567" w:right="616"/>
        <w:jc w:val="both"/>
        <w:rPr>
          <w:rFonts w:ascii="Palatino Linotype" w:hAnsi="Palatino Linotype"/>
          <w:sz w:val="22"/>
        </w:rPr>
      </w:pPr>
      <w:r w:rsidRPr="00D0299D">
        <w:rPr>
          <w:rFonts w:ascii="Palatino Linotype" w:hAnsi="Palatino Linotype"/>
          <w:i/>
          <w:sz w:val="22"/>
        </w:rPr>
        <w:t>“PLAZO RAZONABLE PARA RESOLVER. CONCEPTO Y ELEMENTOS QUE LO INTEGRAN A LA LUZ DEL DERECHO INTERNACIONAL DE LOS DERECHOS HUMANOS.”</w:t>
      </w:r>
      <w:r w:rsidRPr="00D0299D">
        <w:rPr>
          <w:rFonts w:ascii="Palatino Linotype" w:hAnsi="Palatino Linotype"/>
          <w:sz w:val="22"/>
        </w:rPr>
        <w:t>, visible en el Seminario Judicial de la Federación y su gaceta, con el registro digital 2002350.</w:t>
      </w:r>
    </w:p>
    <w:p w:rsidR="00C21DCC" w:rsidRPr="00D0299D" w:rsidRDefault="00C21DCC" w:rsidP="00C21DCC">
      <w:pPr>
        <w:rPr>
          <w:rFonts w:ascii="Palatino Linotype" w:hAnsi="Palatino Linotype"/>
        </w:rPr>
      </w:pPr>
    </w:p>
    <w:p w:rsidR="00C21DCC" w:rsidRPr="00D0299D"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rsidR="00C21DCC" w:rsidRPr="00D0299D" w:rsidRDefault="00C21DCC" w:rsidP="00C21DCC">
      <w:pPr>
        <w:pStyle w:val="Prrafodelista"/>
        <w:tabs>
          <w:tab w:val="left" w:pos="426"/>
          <w:tab w:val="left" w:pos="567"/>
        </w:tabs>
        <w:spacing w:line="360" w:lineRule="auto"/>
        <w:ind w:left="0"/>
        <w:jc w:val="both"/>
        <w:rPr>
          <w:rFonts w:ascii="Palatino Linotype" w:hAnsi="Palatino Linotype"/>
        </w:rPr>
      </w:pPr>
    </w:p>
    <w:p w:rsidR="002149E5" w:rsidRPr="00D0299D"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D0299D">
        <w:rPr>
          <w:rFonts w:ascii="Palatino Linotype" w:hAnsi="Palatino Linotype"/>
        </w:rPr>
        <w:t xml:space="preserve">La </w:t>
      </w:r>
      <w:r w:rsidR="00C21DCC" w:rsidRPr="00D0299D">
        <w:rPr>
          <w:rFonts w:ascii="Palatino Linotype" w:eastAsia="MS Mincho" w:hAnsi="Palatino Linotype"/>
        </w:rPr>
        <w:t>Comisionada Ponente decretó el cierre de instrucción</w:t>
      </w:r>
      <w:r w:rsidR="00C21DCC" w:rsidRPr="00D0299D">
        <w:rPr>
          <w:rFonts w:ascii="Palatino Linotype" w:eastAsia="MS Mincho" w:hAnsi="Palatino Linotype" w:cs="Arial"/>
        </w:rPr>
        <w:t xml:space="preserve"> </w:t>
      </w:r>
      <w:r w:rsidR="00C21DCC" w:rsidRPr="00D0299D">
        <w:rPr>
          <w:rFonts w:ascii="Palatino Linotype" w:eastAsia="MS Mincho" w:hAnsi="Palatino Linotype"/>
        </w:rPr>
        <w:t xml:space="preserve">mediante acuerdo del </w:t>
      </w:r>
      <w:r w:rsidR="00F91466" w:rsidRPr="00D0299D">
        <w:rPr>
          <w:rFonts w:ascii="Palatino Linotype" w:eastAsia="MS Mincho" w:hAnsi="Palatino Linotype"/>
        </w:rPr>
        <w:t>veinticinco</w:t>
      </w:r>
      <w:r w:rsidR="00C21DCC" w:rsidRPr="00D0299D">
        <w:rPr>
          <w:rFonts w:ascii="Palatino Linotype" w:eastAsia="MS Mincho" w:hAnsi="Palatino Linotype"/>
        </w:rPr>
        <w:t xml:space="preserve"> (</w:t>
      </w:r>
      <w:r w:rsidR="00F91466" w:rsidRPr="00D0299D">
        <w:rPr>
          <w:rFonts w:ascii="Palatino Linotype" w:eastAsia="MS Mincho" w:hAnsi="Palatino Linotype"/>
        </w:rPr>
        <w:t>25</w:t>
      </w:r>
      <w:r w:rsidR="00C21DCC" w:rsidRPr="00D0299D">
        <w:rPr>
          <w:rFonts w:ascii="Palatino Linotype" w:eastAsia="MS Mincho" w:hAnsi="Palatino Linotype"/>
        </w:rPr>
        <w:t xml:space="preserve">) de </w:t>
      </w:r>
      <w:r w:rsidR="00F91466" w:rsidRPr="00D0299D">
        <w:rPr>
          <w:rFonts w:ascii="Palatino Linotype" w:eastAsia="MS Mincho" w:hAnsi="Palatino Linotype"/>
        </w:rPr>
        <w:t>octubre</w:t>
      </w:r>
      <w:r w:rsidR="00C21DCC" w:rsidRPr="00D0299D">
        <w:rPr>
          <w:rFonts w:ascii="Palatino Linotype" w:eastAsia="MS Mincho" w:hAnsi="Palatino Linotype"/>
        </w:rPr>
        <w:t xml:space="preserve"> de dos mil veintidós</w:t>
      </w:r>
      <w:r w:rsidR="00D43582" w:rsidRPr="00D0299D">
        <w:rPr>
          <w:rFonts w:ascii="Palatino Linotype" w:eastAsia="MS Mincho" w:hAnsi="Palatino Linotype"/>
        </w:rPr>
        <w:t>.</w:t>
      </w:r>
    </w:p>
    <w:p w:rsidR="00867347" w:rsidRPr="00D0299D" w:rsidRDefault="00867347" w:rsidP="00867347">
      <w:pPr>
        <w:pStyle w:val="Prrafodelista"/>
        <w:tabs>
          <w:tab w:val="left" w:pos="426"/>
          <w:tab w:val="left" w:pos="567"/>
        </w:tabs>
        <w:spacing w:line="360" w:lineRule="auto"/>
        <w:ind w:left="0"/>
        <w:jc w:val="both"/>
        <w:rPr>
          <w:rFonts w:ascii="Palatino Linotype" w:hAnsi="Palatino Linotype"/>
        </w:rPr>
      </w:pPr>
    </w:p>
    <w:p w:rsidR="00836ADD" w:rsidRPr="00D0299D"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D0299D">
        <w:rPr>
          <w:rFonts w:ascii="Palatino Linotype" w:hAnsi="Palatino Linotype"/>
        </w:rPr>
        <w:t>Debido a</w:t>
      </w:r>
      <w:r w:rsidR="00867347" w:rsidRPr="00D0299D">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D0299D">
        <w:rPr>
          <w:rFonts w:ascii="Palatino Linotype" w:hAnsi="Palatino Linotype"/>
        </w:rPr>
        <w:t xml:space="preserve"> </w:t>
      </w:r>
      <w:r w:rsidR="00BE2314" w:rsidRPr="00D0299D">
        <w:rPr>
          <w:rFonts w:ascii="Palatino Linotype" w:hAnsi="Palatino Linotype"/>
        </w:rPr>
        <w:t xml:space="preserve">y - - - - - - </w:t>
      </w:r>
      <w:r w:rsidR="00C21DCC" w:rsidRPr="00D0299D">
        <w:rPr>
          <w:rFonts w:ascii="Palatino Linotype" w:hAnsi="Palatino Linotype"/>
        </w:rPr>
        <w:t xml:space="preserve">- - - - - - - - - - - - - - - - </w:t>
      </w:r>
      <w:r w:rsidR="002149E5" w:rsidRPr="00D0299D">
        <w:rPr>
          <w:rFonts w:ascii="Palatino Linotype" w:hAnsi="Palatino Linotype"/>
        </w:rPr>
        <w:t xml:space="preserve">- - - - - - - - - - - - - - - - - </w:t>
      </w:r>
      <w:r w:rsidR="00867347" w:rsidRPr="00D0299D">
        <w:rPr>
          <w:rFonts w:ascii="Palatino Linotype" w:hAnsi="Palatino Linotype"/>
        </w:rPr>
        <w:t xml:space="preserve">- - - - - - - - </w:t>
      </w:r>
    </w:p>
    <w:p w:rsidR="00F91466" w:rsidRPr="00D0299D" w:rsidRDefault="00F91466" w:rsidP="005D4F86">
      <w:pPr>
        <w:pStyle w:val="Ttulo2"/>
        <w:jc w:val="center"/>
        <w:rPr>
          <w:rFonts w:ascii="Palatino Linotype" w:hAnsi="Palatino Linotype"/>
          <w:b/>
          <w:color w:val="000000" w:themeColor="text1"/>
          <w:sz w:val="24"/>
          <w:szCs w:val="24"/>
        </w:rPr>
      </w:pPr>
      <w:bookmarkStart w:id="18" w:name="_Toc88173806"/>
    </w:p>
    <w:p w:rsidR="00946C27" w:rsidRPr="00D0299D" w:rsidRDefault="00946C27" w:rsidP="005D4F86">
      <w:pPr>
        <w:pStyle w:val="Ttulo2"/>
        <w:jc w:val="center"/>
        <w:rPr>
          <w:rFonts w:ascii="Palatino Linotype" w:hAnsi="Palatino Linotype"/>
          <w:b/>
          <w:color w:val="000000" w:themeColor="text1"/>
          <w:sz w:val="24"/>
          <w:szCs w:val="24"/>
        </w:rPr>
      </w:pPr>
      <w:r w:rsidRPr="00D0299D">
        <w:rPr>
          <w:rFonts w:ascii="Palatino Linotype" w:hAnsi="Palatino Linotype"/>
          <w:b/>
          <w:color w:val="000000" w:themeColor="text1"/>
          <w:sz w:val="24"/>
          <w:szCs w:val="24"/>
        </w:rPr>
        <w:t>CONSIDERANDO</w:t>
      </w:r>
      <w:bookmarkEnd w:id="18"/>
    </w:p>
    <w:p w:rsidR="00946C27" w:rsidRPr="00D0299D" w:rsidRDefault="00946C27" w:rsidP="00946C27">
      <w:pPr>
        <w:rPr>
          <w:lang w:eastAsia="en-US"/>
        </w:rPr>
      </w:pPr>
    </w:p>
    <w:p w:rsidR="00946C27" w:rsidRPr="00D0299D"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D0299D">
        <w:rPr>
          <w:rFonts w:ascii="Palatino Linotype" w:hAnsi="Palatino Linotype"/>
          <w:b/>
          <w:color w:val="auto"/>
          <w:sz w:val="24"/>
          <w:szCs w:val="24"/>
        </w:rPr>
        <w:t>PRIMERO. De la competencia</w:t>
      </w:r>
      <w:bookmarkEnd w:id="19"/>
      <w:bookmarkEnd w:id="20"/>
      <w:bookmarkEnd w:id="21"/>
      <w:bookmarkEnd w:id="22"/>
    </w:p>
    <w:p w:rsidR="00946C27" w:rsidRPr="00D0299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E7BCF" w:rsidRPr="00D0299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Times New Roman"/>
        </w:rPr>
        <w:t xml:space="preserve">Este </w:t>
      </w:r>
      <w:r w:rsidR="0079454A" w:rsidRPr="00D0299D">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0079454A" w:rsidRPr="00D0299D">
        <w:rPr>
          <w:rFonts w:ascii="Palatino Linotype" w:eastAsia="Calibri" w:hAnsi="Palatino Linotype"/>
          <w:bCs/>
          <w:color w:val="000000" w:themeColor="text1"/>
        </w:rPr>
        <w:lastRenderedPageBreak/>
        <w:t>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D0299D">
        <w:rPr>
          <w:rFonts w:ascii="Palatino Linotype" w:hAnsi="Palatino Linotype"/>
        </w:rPr>
        <w:t>.</w:t>
      </w:r>
    </w:p>
    <w:p w:rsidR="0079454A" w:rsidRPr="00D0299D"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946C27" w:rsidRPr="00D0299D"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D0299D">
        <w:rPr>
          <w:rFonts w:ascii="Palatino Linotype" w:hAnsi="Palatino Linotype"/>
          <w:b/>
          <w:color w:val="auto"/>
          <w:sz w:val="24"/>
          <w:szCs w:val="24"/>
        </w:rPr>
        <w:t>SEGUNDO. De la oportunidad y procedencia.</w:t>
      </w:r>
      <w:bookmarkEnd w:id="23"/>
      <w:bookmarkEnd w:id="24"/>
      <w:bookmarkEnd w:id="25"/>
      <w:bookmarkEnd w:id="26"/>
    </w:p>
    <w:p w:rsidR="00946C27" w:rsidRPr="00D0299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E95684" w:rsidRPr="00D0299D"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D0299D">
        <w:rPr>
          <w:rFonts w:ascii="Palatino Linotype" w:eastAsia="Calibri" w:hAnsi="Palatino Linotype" w:cs="Arial"/>
          <w:color w:val="000000" w:themeColor="text1"/>
          <w:lang w:val="es-ES"/>
        </w:rPr>
        <w:t xml:space="preserve"> </w:t>
      </w:r>
      <w:r w:rsidR="00E95684" w:rsidRPr="00D0299D">
        <w:rPr>
          <w:rFonts w:ascii="Palatino Linotype" w:eastAsia="Calibri" w:hAnsi="Palatino Linotype" w:cs="Arial"/>
          <w:color w:val="000000" w:themeColor="text1"/>
        </w:rPr>
        <w:t xml:space="preserve">El </w:t>
      </w:r>
      <w:r w:rsidR="00C21DCC" w:rsidRPr="00D0299D">
        <w:rPr>
          <w:rFonts w:ascii="Palatino Linotype" w:eastAsia="Calibri" w:hAnsi="Palatino Linotype" w:cs="Arial"/>
        </w:rPr>
        <w:t xml:space="preserve">medio de impugnación fue presentado a través del </w:t>
      </w:r>
      <w:r w:rsidR="00C21DCC" w:rsidRPr="00D0299D">
        <w:rPr>
          <w:rFonts w:ascii="Palatino Linotype" w:eastAsia="Calibri" w:hAnsi="Palatino Linotype" w:cs="Arial"/>
          <w:b/>
        </w:rPr>
        <w:t>SAIMEX,</w:t>
      </w:r>
      <w:r w:rsidR="00C21DCC" w:rsidRPr="00D0299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D0299D">
        <w:rPr>
          <w:rFonts w:ascii="Palatino Linotype" w:eastAsia="Calibri" w:hAnsi="Palatino Linotype" w:cs="Arial"/>
          <w:b/>
        </w:rPr>
        <w:t>SUJETO OBLIGADO</w:t>
      </w:r>
      <w:r w:rsidR="00C21DCC" w:rsidRPr="00D0299D">
        <w:rPr>
          <w:rFonts w:ascii="Palatino Linotype" w:eastAsia="Calibri" w:hAnsi="Palatino Linotype" w:cs="Arial"/>
        </w:rPr>
        <w:t xml:space="preserve"> entregó respuesta el </w:t>
      </w:r>
      <w:r w:rsidR="00F91466" w:rsidRPr="00D0299D">
        <w:rPr>
          <w:rFonts w:ascii="Palatino Linotype" w:eastAsia="Calibri" w:hAnsi="Palatino Linotype" w:cs="Arial"/>
        </w:rPr>
        <w:t>dos</w:t>
      </w:r>
      <w:r w:rsidR="00C21DCC" w:rsidRPr="00D0299D">
        <w:rPr>
          <w:rFonts w:ascii="Palatino Linotype" w:eastAsia="Calibri" w:hAnsi="Palatino Linotype" w:cs="Arial"/>
        </w:rPr>
        <w:t xml:space="preserve"> (</w:t>
      </w:r>
      <w:r w:rsidR="00F91466" w:rsidRPr="00D0299D">
        <w:rPr>
          <w:rFonts w:ascii="Palatino Linotype" w:eastAsia="Calibri" w:hAnsi="Palatino Linotype" w:cs="Arial"/>
        </w:rPr>
        <w:t>02</w:t>
      </w:r>
      <w:r w:rsidR="00C21DCC" w:rsidRPr="00D0299D">
        <w:rPr>
          <w:rFonts w:ascii="Palatino Linotype" w:eastAsia="Calibri" w:hAnsi="Palatino Linotype" w:cs="Arial"/>
        </w:rPr>
        <w:t xml:space="preserve">) de mayo de dos mil veintidós, </w:t>
      </w:r>
      <w:r w:rsidR="00C21DCC" w:rsidRPr="00D0299D">
        <w:rPr>
          <w:rFonts w:ascii="Palatino Linotype" w:hAnsi="Palatino Linotype" w:cs="Arial"/>
        </w:rPr>
        <w:t xml:space="preserve">de tal forma que el plazo para interponer el recurso transcurrió del </w:t>
      </w:r>
      <w:r w:rsidR="00F91466" w:rsidRPr="00D0299D">
        <w:rPr>
          <w:rFonts w:ascii="Palatino Linotype" w:hAnsi="Palatino Linotype" w:cs="Arial"/>
        </w:rPr>
        <w:t xml:space="preserve">tres </w:t>
      </w:r>
      <w:r w:rsidR="00C21DCC" w:rsidRPr="00D0299D">
        <w:rPr>
          <w:rFonts w:ascii="Palatino Linotype" w:hAnsi="Palatino Linotype" w:cs="Arial"/>
        </w:rPr>
        <w:t>(</w:t>
      </w:r>
      <w:r w:rsidR="00F91466" w:rsidRPr="00D0299D">
        <w:rPr>
          <w:rFonts w:ascii="Palatino Linotype" w:hAnsi="Palatino Linotype" w:cs="Arial"/>
        </w:rPr>
        <w:t>03</w:t>
      </w:r>
      <w:r w:rsidR="00C21DCC" w:rsidRPr="00D0299D">
        <w:rPr>
          <w:rFonts w:ascii="Palatino Linotype" w:hAnsi="Palatino Linotype" w:cs="Arial"/>
        </w:rPr>
        <w:t>)</w:t>
      </w:r>
      <w:r w:rsidR="00F91466" w:rsidRPr="00D0299D">
        <w:rPr>
          <w:rFonts w:ascii="Palatino Linotype" w:hAnsi="Palatino Linotype" w:cs="Arial"/>
        </w:rPr>
        <w:t xml:space="preserve"> </w:t>
      </w:r>
      <w:r w:rsidR="00C21DCC" w:rsidRPr="00D0299D">
        <w:rPr>
          <w:rFonts w:ascii="Palatino Linotype" w:hAnsi="Palatino Linotype" w:cs="Arial"/>
        </w:rPr>
        <w:t xml:space="preserve">al </w:t>
      </w:r>
      <w:r w:rsidR="00F91466" w:rsidRPr="00D0299D">
        <w:rPr>
          <w:rFonts w:ascii="Palatino Linotype" w:hAnsi="Palatino Linotype" w:cs="Arial"/>
        </w:rPr>
        <w:t>veinticuatro</w:t>
      </w:r>
      <w:r w:rsidR="00C21DCC" w:rsidRPr="00D0299D">
        <w:rPr>
          <w:rFonts w:ascii="Palatino Linotype" w:hAnsi="Palatino Linotype" w:cs="Arial"/>
        </w:rPr>
        <w:t xml:space="preserve"> (</w:t>
      </w:r>
      <w:r w:rsidR="00F91466" w:rsidRPr="00D0299D">
        <w:rPr>
          <w:rFonts w:ascii="Palatino Linotype" w:hAnsi="Palatino Linotype" w:cs="Arial"/>
        </w:rPr>
        <w:t>24</w:t>
      </w:r>
      <w:r w:rsidR="00C21DCC" w:rsidRPr="00D0299D">
        <w:rPr>
          <w:rFonts w:ascii="Palatino Linotype" w:hAnsi="Palatino Linotype" w:cs="Arial"/>
        </w:rPr>
        <w:t xml:space="preserve">) de </w:t>
      </w:r>
      <w:r w:rsidR="00F91466" w:rsidRPr="00D0299D">
        <w:rPr>
          <w:rFonts w:ascii="Palatino Linotype" w:hAnsi="Palatino Linotype" w:cs="Arial"/>
        </w:rPr>
        <w:t>mayo</w:t>
      </w:r>
      <w:r w:rsidR="00C21DCC" w:rsidRPr="00D0299D">
        <w:rPr>
          <w:rFonts w:ascii="Palatino Linotype" w:hAnsi="Palatino Linotype" w:cs="Arial"/>
        </w:rPr>
        <w:t xml:space="preserve"> de dos mil veintidós; en consecuencia, si </w:t>
      </w:r>
      <w:r w:rsidR="00B76C39" w:rsidRPr="00D0299D">
        <w:rPr>
          <w:rFonts w:ascii="Palatino Linotype" w:hAnsi="Palatino Linotype" w:cs="Arial"/>
        </w:rPr>
        <w:t>la P</w:t>
      </w:r>
      <w:r w:rsidR="00C21DCC" w:rsidRPr="00D0299D">
        <w:rPr>
          <w:rFonts w:ascii="Palatino Linotype" w:hAnsi="Palatino Linotype" w:cs="Arial"/>
        </w:rPr>
        <w:t xml:space="preserve">articular presentó su inconformidad el </w:t>
      </w:r>
      <w:r w:rsidR="00F91466" w:rsidRPr="00D0299D">
        <w:rPr>
          <w:rFonts w:ascii="Palatino Linotype" w:hAnsi="Palatino Linotype" w:cs="Arial"/>
        </w:rPr>
        <w:t>tres</w:t>
      </w:r>
      <w:r w:rsidR="00C21DCC" w:rsidRPr="00D0299D">
        <w:rPr>
          <w:rFonts w:ascii="Palatino Linotype" w:hAnsi="Palatino Linotype" w:cs="Arial"/>
        </w:rPr>
        <w:t xml:space="preserve"> (</w:t>
      </w:r>
      <w:r w:rsidR="00F91466" w:rsidRPr="00D0299D">
        <w:rPr>
          <w:rFonts w:ascii="Palatino Linotype" w:hAnsi="Palatino Linotype" w:cs="Arial"/>
        </w:rPr>
        <w:t>03</w:t>
      </w:r>
      <w:r w:rsidR="00C21DCC" w:rsidRPr="00D0299D">
        <w:rPr>
          <w:rFonts w:ascii="Palatino Linotype" w:hAnsi="Palatino Linotype" w:cs="Arial"/>
        </w:rPr>
        <w:t xml:space="preserve">) de mayo del presente año, se encuentra dentro de los márgenes temporales previstos en el artículo 178 de la </w:t>
      </w:r>
      <w:r w:rsidR="00C21DCC" w:rsidRPr="00D0299D">
        <w:rPr>
          <w:rFonts w:ascii="Palatino Linotype" w:hAnsi="Palatino Linotype" w:cs="Arial"/>
          <w:b/>
        </w:rPr>
        <w:t xml:space="preserve">Ley de Transparencia y Acceso a la Información Pública del Estado de México y Municipios </w:t>
      </w:r>
      <w:r w:rsidR="00C21DCC" w:rsidRPr="00D0299D">
        <w:rPr>
          <w:rFonts w:ascii="Palatino Linotype" w:hAnsi="Palatino Linotype" w:cs="Arial"/>
        </w:rPr>
        <w:t>vigente.</w:t>
      </w:r>
    </w:p>
    <w:p w:rsidR="00946C27" w:rsidRPr="00D0299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950D2" w:rsidRPr="00D0299D"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hAnsi="Palatino Linotype"/>
        </w:rPr>
        <w:t>Por</w:t>
      </w:r>
      <w:r w:rsidRPr="00D0299D">
        <w:rPr>
          <w:rFonts w:ascii="Palatino Linotype" w:eastAsia="Calibri" w:hAnsi="Palatino Linotype" w:cs="Arial"/>
        </w:rPr>
        <w:t xml:space="preserve"> otro lado, los</w:t>
      </w:r>
      <w:r w:rsidR="0032581C" w:rsidRPr="00D0299D">
        <w:rPr>
          <w:rFonts w:ascii="Palatino Linotype" w:eastAsia="Calibri" w:hAnsi="Palatino Linotype" w:cs="Arial"/>
        </w:rPr>
        <w:t xml:space="preserve"> escrito</w:t>
      </w:r>
      <w:r w:rsidRPr="00D0299D">
        <w:rPr>
          <w:rFonts w:ascii="Palatino Linotype" w:eastAsia="Calibri" w:hAnsi="Palatino Linotype" w:cs="Arial"/>
        </w:rPr>
        <w:t>s</w:t>
      </w:r>
      <w:r w:rsidR="0032581C" w:rsidRPr="00D0299D">
        <w:rPr>
          <w:rFonts w:ascii="Palatino Linotype" w:eastAsia="Calibri" w:hAnsi="Palatino Linotype" w:cs="Arial"/>
        </w:rPr>
        <w:t xml:space="preserve"> contiene</w:t>
      </w:r>
      <w:r w:rsidRPr="00D0299D">
        <w:rPr>
          <w:rFonts w:ascii="Palatino Linotype" w:eastAsia="Calibri" w:hAnsi="Palatino Linotype" w:cs="Arial"/>
        </w:rPr>
        <w:t>n</w:t>
      </w:r>
      <w:r w:rsidR="0032581C" w:rsidRPr="00D0299D">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w:t>
      </w:r>
      <w:r w:rsidR="0032581C" w:rsidRPr="00D0299D">
        <w:rPr>
          <w:rFonts w:ascii="Palatino Linotype" w:eastAsia="Calibri" w:hAnsi="Palatino Linotype" w:cs="Arial"/>
        </w:rPr>
        <w:lastRenderedPageBreak/>
        <w:t>Personales del Estado de México y Municipios, conozca y resuelva el presente recurso.</w:t>
      </w:r>
    </w:p>
    <w:p w:rsidR="0079454A" w:rsidRPr="00D0299D" w:rsidRDefault="0079454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946C27" w:rsidRPr="00D0299D"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D0299D">
        <w:rPr>
          <w:rFonts w:ascii="Palatino Linotype" w:hAnsi="Palatino Linotype"/>
          <w:b/>
          <w:color w:val="auto"/>
          <w:sz w:val="24"/>
          <w:szCs w:val="24"/>
        </w:rPr>
        <w:t xml:space="preserve">TERCERO. </w:t>
      </w:r>
      <w:bookmarkEnd w:id="30"/>
      <w:bookmarkEnd w:id="31"/>
      <w:r w:rsidR="0079454A" w:rsidRPr="00D0299D">
        <w:rPr>
          <w:rFonts w:ascii="Palatino Linotype" w:hAnsi="Palatino Linotype"/>
          <w:b/>
          <w:color w:val="auto"/>
          <w:sz w:val="24"/>
          <w:szCs w:val="24"/>
        </w:rPr>
        <w:t>De las causales de sobreseimiento.</w:t>
      </w:r>
      <w:bookmarkEnd w:id="32"/>
    </w:p>
    <w:p w:rsidR="00946C27" w:rsidRPr="00D0299D" w:rsidRDefault="00946C27" w:rsidP="00946C27">
      <w:pPr>
        <w:rPr>
          <w:lang w:eastAsia="en-US"/>
        </w:rPr>
      </w:pPr>
    </w:p>
    <w:p w:rsidR="00C80885" w:rsidRPr="00D0299D"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D0299D">
        <w:rPr>
          <w:rFonts w:ascii="Palatino Linotype" w:eastAsia="Calibri" w:hAnsi="Palatino Linotype" w:cs="Arial"/>
          <w:color w:val="000000" w:themeColor="text1"/>
        </w:rPr>
        <w:t xml:space="preserve">El recurso de revisión </w:t>
      </w:r>
      <w:r w:rsidRPr="00D0299D">
        <w:rPr>
          <w:rFonts w:ascii="Palatino Linotype" w:hAnsi="Palatino Linotype" w:cs="Arial"/>
        </w:rPr>
        <w:t xml:space="preserve">tiene como finalidad reparar cualquier posible afectación al derecho de acceso a la información pública en términos del Título Octavo de la Ley de </w:t>
      </w:r>
      <w:r w:rsidRPr="00D0299D">
        <w:rPr>
          <w:rFonts w:ascii="Palatino Linotype" w:eastAsia="Calibri" w:hAnsi="Palatino Linotype" w:cs="Arial"/>
        </w:rPr>
        <w:t>Transparencia, Acceso a la Información Pública del Estado de México y Municipios</w:t>
      </w:r>
      <w:r w:rsidRPr="00D0299D">
        <w:rPr>
          <w:rFonts w:ascii="Palatino Linotype" w:hAnsi="Palatino Linotype" w:cs="Arial"/>
        </w:rPr>
        <w:t xml:space="preserve">, y determinar la confirmación; revocación o modificación; desechamiento o </w:t>
      </w:r>
      <w:r w:rsidRPr="00D0299D">
        <w:rPr>
          <w:rFonts w:ascii="Palatino Linotype" w:hAnsi="Palatino Linotype" w:cs="Arial"/>
          <w:b/>
          <w:u w:val="single"/>
        </w:rPr>
        <w:t>sobreseimiento</w:t>
      </w:r>
      <w:r w:rsidRPr="00D0299D">
        <w:rPr>
          <w:rFonts w:ascii="Palatino Linotype" w:hAnsi="Palatino Linotype" w:cs="Arial"/>
        </w:rPr>
        <w:t xml:space="preserve">; y en su caso ordenar la entrega de la información con respecto a la respuesta emitida por el </w:t>
      </w:r>
      <w:r w:rsidRPr="00D0299D">
        <w:rPr>
          <w:rFonts w:ascii="Palatino Linotype" w:hAnsi="Palatino Linotype" w:cs="Arial"/>
          <w:b/>
        </w:rPr>
        <w:t>SUJETO</w:t>
      </w:r>
      <w:r w:rsidRPr="00D0299D">
        <w:rPr>
          <w:rFonts w:ascii="Palatino Linotype" w:hAnsi="Palatino Linotype" w:cs="Arial"/>
        </w:rPr>
        <w:t xml:space="preserve"> </w:t>
      </w:r>
      <w:r w:rsidRPr="00D0299D">
        <w:rPr>
          <w:rFonts w:ascii="Palatino Linotype" w:hAnsi="Palatino Linotype" w:cs="Arial"/>
          <w:b/>
        </w:rPr>
        <w:t>OBLIGADO</w:t>
      </w:r>
      <w:r w:rsidRPr="00D0299D">
        <w:rPr>
          <w:rFonts w:ascii="Palatino Linotype" w:hAnsi="Palatino Linotype" w:cs="Arial"/>
        </w:rPr>
        <w:t>.</w:t>
      </w:r>
    </w:p>
    <w:p w:rsidR="003F4920" w:rsidRPr="00D0299D"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79454A" w:rsidRPr="00D0299D"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rPr>
        <w:t xml:space="preserve">De </w:t>
      </w:r>
      <w:r w:rsidRPr="00D0299D">
        <w:rPr>
          <w:rFonts w:ascii="Palatino Linotype" w:eastAsia="Calibri" w:hAnsi="Palatino Linotype" w:cs="Times New Roman"/>
          <w:lang w:val="es-MX"/>
        </w:rPr>
        <w:t>acuerdo al precepto legal contenido</w:t>
      </w:r>
      <w:r w:rsidRPr="00D0299D">
        <w:rPr>
          <w:rFonts w:ascii="Palatino Linotype" w:eastAsia="Calibri" w:hAnsi="Palatino Linotype" w:cs="Times New Roman"/>
        </w:rPr>
        <w:t xml:space="preserve"> en la fracción III del artículo 192 de la </w:t>
      </w:r>
      <w:r w:rsidRPr="00D0299D">
        <w:rPr>
          <w:rFonts w:ascii="Palatino Linotype" w:eastAsia="Calibri" w:hAnsi="Palatino Linotype" w:cs="Times New Roman"/>
          <w:b/>
        </w:rPr>
        <w:t>Ley de Transparencia y Acceso a la Información Pública del Estado de México y Municipios</w:t>
      </w:r>
      <w:r w:rsidRPr="00D0299D">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79454A" w:rsidRPr="00D0299D" w:rsidRDefault="0079454A" w:rsidP="0079454A">
      <w:pPr>
        <w:pStyle w:val="Prrafodelista"/>
        <w:rPr>
          <w:rFonts w:ascii="Palatino Linotype" w:eastAsia="Calibri" w:hAnsi="Palatino Linotype" w:cs="Arial"/>
          <w:color w:val="000000" w:themeColor="text1"/>
          <w:lang w:val="es-ES"/>
        </w:rPr>
      </w:pPr>
    </w:p>
    <w:p w:rsidR="0079454A" w:rsidRPr="00D0299D"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Para </w:t>
      </w:r>
      <w:r w:rsidRPr="00D0299D">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D0299D">
        <w:rPr>
          <w:rFonts w:ascii="Palatino Linotype" w:eastAsia="Calibri" w:hAnsi="Palatino Linotype" w:cs="Times New Roman"/>
          <w:b/>
        </w:rPr>
        <w:t>SUJETO OBLIGADO</w:t>
      </w:r>
      <w:r w:rsidRPr="00D0299D">
        <w:rPr>
          <w:rFonts w:ascii="Palatino Linotype" w:eastAsia="Calibri" w:hAnsi="Palatino Linotype" w:cs="Times New Roman"/>
        </w:rPr>
        <w:t>:</w:t>
      </w:r>
    </w:p>
    <w:p w:rsidR="0079454A" w:rsidRPr="00D0299D" w:rsidRDefault="0079454A" w:rsidP="003F4920">
      <w:pPr>
        <w:rPr>
          <w:rFonts w:ascii="Palatino Linotype" w:eastAsia="Calibri" w:hAnsi="Palatino Linotype" w:cs="Arial"/>
          <w:color w:val="000000" w:themeColor="text1"/>
          <w:lang w:val="es-ES"/>
        </w:rPr>
      </w:pPr>
    </w:p>
    <w:p w:rsidR="0079454A" w:rsidRPr="00D0299D" w:rsidRDefault="0079454A" w:rsidP="0079454A">
      <w:pPr>
        <w:numPr>
          <w:ilvl w:val="0"/>
          <w:numId w:val="6"/>
        </w:numPr>
        <w:spacing w:line="360" w:lineRule="auto"/>
        <w:ind w:left="567" w:right="616" w:firstLine="0"/>
        <w:contextualSpacing/>
        <w:jc w:val="both"/>
        <w:rPr>
          <w:rFonts w:ascii="Palatino Linotype" w:hAnsi="Palatino Linotype" w:cs="Arial"/>
        </w:rPr>
      </w:pPr>
      <w:r w:rsidRPr="00D0299D">
        <w:rPr>
          <w:rFonts w:ascii="Palatino Linotype" w:hAnsi="Palatino Linotype" w:cs="Arial"/>
          <w:b/>
        </w:rPr>
        <w:t>Modifique el acto impugnado:</w:t>
      </w:r>
      <w:r w:rsidRPr="00D0299D">
        <w:rPr>
          <w:rFonts w:ascii="Palatino Linotype" w:hAnsi="Palatino Linotype" w:cs="Arial"/>
        </w:rPr>
        <w:t xml:space="preserve"> Se actualiza cuando el </w:t>
      </w:r>
      <w:r w:rsidRPr="00D0299D">
        <w:rPr>
          <w:rFonts w:ascii="Palatino Linotype" w:hAnsi="Palatino Linotype" w:cs="Arial"/>
          <w:b/>
        </w:rPr>
        <w:t>SUJETO OBLIGADO</w:t>
      </w:r>
      <w:r w:rsidRPr="00D0299D">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79454A" w:rsidRPr="00D0299D" w:rsidRDefault="0079454A" w:rsidP="0079454A">
      <w:pPr>
        <w:spacing w:line="360" w:lineRule="auto"/>
        <w:ind w:left="567" w:right="616"/>
        <w:contextualSpacing/>
        <w:jc w:val="both"/>
        <w:rPr>
          <w:rFonts w:ascii="Palatino Linotype" w:hAnsi="Palatino Linotype" w:cs="Arial"/>
        </w:rPr>
      </w:pPr>
    </w:p>
    <w:p w:rsidR="0079454A" w:rsidRPr="00D0299D" w:rsidRDefault="0079454A" w:rsidP="00C0159D">
      <w:pPr>
        <w:numPr>
          <w:ilvl w:val="0"/>
          <w:numId w:val="6"/>
        </w:numPr>
        <w:spacing w:line="360" w:lineRule="auto"/>
        <w:ind w:left="567" w:right="616" w:firstLine="0"/>
        <w:contextualSpacing/>
        <w:jc w:val="both"/>
        <w:rPr>
          <w:rFonts w:ascii="Palatino Linotype" w:hAnsi="Palatino Linotype" w:cs="Arial"/>
        </w:rPr>
      </w:pPr>
      <w:r w:rsidRPr="00D0299D">
        <w:rPr>
          <w:rFonts w:ascii="Palatino Linotype" w:hAnsi="Palatino Linotype" w:cs="Arial"/>
          <w:b/>
        </w:rPr>
        <w:t>Revoque el acto impugnado:</w:t>
      </w:r>
      <w:r w:rsidRPr="00D0299D">
        <w:rPr>
          <w:rFonts w:ascii="Palatino Linotype" w:hAnsi="Palatino Linotype" w:cs="Arial"/>
        </w:rPr>
        <w:t xml:space="preserve"> En este supuesto, el </w:t>
      </w:r>
      <w:r w:rsidRPr="00D0299D">
        <w:rPr>
          <w:rFonts w:ascii="Palatino Linotype" w:hAnsi="Palatino Linotype" w:cs="Arial"/>
          <w:b/>
        </w:rPr>
        <w:t>SUJETO OBLIGADO</w:t>
      </w:r>
      <w:r w:rsidRPr="00D0299D">
        <w:rPr>
          <w:rFonts w:ascii="Palatino Linotype" w:hAnsi="Palatino Linotype" w:cs="Arial"/>
        </w:rPr>
        <w:t xml:space="preserve"> deja sin efectos la primera respuesta y en su lugar emite otra que satisfaga lo solicitado por </w:t>
      </w:r>
      <w:r w:rsidR="00B76C39" w:rsidRPr="00D0299D">
        <w:rPr>
          <w:rFonts w:ascii="Palatino Linotype" w:hAnsi="Palatino Linotype" w:cs="Arial"/>
        </w:rPr>
        <w:t>la P</w:t>
      </w:r>
      <w:r w:rsidRPr="00D0299D">
        <w:rPr>
          <w:rFonts w:ascii="Palatino Linotype" w:hAnsi="Palatino Linotype" w:cs="Arial"/>
        </w:rPr>
        <w:t>articular en un primer momento.</w:t>
      </w:r>
    </w:p>
    <w:p w:rsidR="00C0159D" w:rsidRPr="00D0299D" w:rsidRDefault="00C0159D" w:rsidP="00C0159D">
      <w:pPr>
        <w:spacing w:line="360" w:lineRule="auto"/>
        <w:ind w:right="616"/>
        <w:contextualSpacing/>
        <w:jc w:val="both"/>
        <w:rPr>
          <w:rFonts w:ascii="Palatino Linotype" w:hAnsi="Palatino Linotype" w:cs="Arial"/>
        </w:rPr>
      </w:pPr>
    </w:p>
    <w:p w:rsidR="00D570D1" w:rsidRPr="00D0299D"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Las </w:t>
      </w:r>
      <w:r w:rsidRPr="00D0299D">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B76C39" w:rsidRPr="00D0299D">
        <w:rPr>
          <w:rFonts w:ascii="Palatino Linotype" w:eastAsia="Calibri" w:hAnsi="Palatino Linotype" w:cs="Times New Roman"/>
        </w:rPr>
        <w:t xml:space="preserve"> la P</w:t>
      </w:r>
      <w:r w:rsidRPr="00D0299D">
        <w:rPr>
          <w:rFonts w:ascii="Palatino Linotype" w:eastAsia="Calibri" w:hAnsi="Palatino Linotype" w:cs="Times New Roman"/>
        </w:rPr>
        <w:t>articular, ya sea porque se hizo la entrega de la información solicitada o porque se completó la misma.</w:t>
      </w:r>
    </w:p>
    <w:p w:rsidR="00A324B2" w:rsidRPr="00D0299D"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FE3C06" w:rsidRPr="00D0299D" w:rsidRDefault="00D570D1" w:rsidP="00EA5E14">
      <w:pPr>
        <w:pStyle w:val="Prrafodelista"/>
        <w:numPr>
          <w:ilvl w:val="0"/>
          <w:numId w:val="3"/>
        </w:numPr>
        <w:tabs>
          <w:tab w:val="left" w:pos="426"/>
          <w:tab w:val="left" w:pos="567"/>
        </w:tabs>
        <w:spacing w:line="360" w:lineRule="auto"/>
        <w:jc w:val="both"/>
        <w:rPr>
          <w:rFonts w:ascii="Palatino Linotype" w:eastAsia="Calibri" w:hAnsi="Palatino Linotype" w:cs="Arial"/>
          <w:lang w:val="es-ES"/>
        </w:rPr>
      </w:pPr>
      <w:r w:rsidRPr="00D0299D">
        <w:rPr>
          <w:rFonts w:ascii="Palatino Linotype" w:eastAsia="Calibri" w:hAnsi="Palatino Linotype" w:cs="Arial"/>
          <w:color w:val="000000" w:themeColor="text1"/>
          <w:lang w:val="es-ES"/>
        </w:rPr>
        <w:t xml:space="preserve">En el presente caso, </w:t>
      </w:r>
      <w:r w:rsidR="001A16C3" w:rsidRPr="00D0299D">
        <w:rPr>
          <w:rFonts w:ascii="Palatino Linotype" w:eastAsia="Times New Roman" w:hAnsi="Palatino Linotype" w:cs="Arial"/>
          <w:color w:val="000000"/>
          <w:lang w:val="es-ES"/>
        </w:rPr>
        <w:t>la Recurrente</w:t>
      </w:r>
      <w:r w:rsidRPr="00D0299D">
        <w:rPr>
          <w:rFonts w:ascii="Palatino Linotype" w:eastAsia="Times New Roman" w:hAnsi="Palatino Linotype" w:cs="Arial"/>
          <w:color w:val="000000"/>
          <w:lang w:val="es-ES"/>
        </w:rPr>
        <w:t xml:space="preserve"> solicitó</w:t>
      </w:r>
      <w:r w:rsidR="00FE3C06" w:rsidRPr="00D0299D">
        <w:rPr>
          <w:rFonts w:ascii="Palatino Linotype" w:eastAsia="Times New Roman" w:hAnsi="Palatino Linotype" w:cs="Arial"/>
          <w:color w:val="000000"/>
          <w:lang w:val="es-ES"/>
        </w:rPr>
        <w:t>:</w:t>
      </w:r>
      <w:r w:rsidR="00681811" w:rsidRPr="00D0299D">
        <w:rPr>
          <w:rFonts w:ascii="Palatino Linotype" w:eastAsia="Calibri" w:hAnsi="Palatino Linotype" w:cs="Arial"/>
          <w:color w:val="000000" w:themeColor="text1"/>
          <w:lang w:val="es-ES"/>
        </w:rPr>
        <w:t xml:space="preserve"> </w:t>
      </w:r>
      <w:r w:rsidR="001A16C3" w:rsidRPr="00D0299D">
        <w:rPr>
          <w:rFonts w:ascii="Palatino Linotype" w:eastAsia="Calibri" w:hAnsi="Palatino Linotype" w:cs="Arial"/>
          <w:i/>
          <w:iCs/>
          <w:color w:val="000000" w:themeColor="text1"/>
          <w:lang w:val="es-ES"/>
        </w:rPr>
        <w:t>“</w:t>
      </w:r>
      <w:r w:rsidR="001A16C3" w:rsidRPr="00D0299D">
        <w:rPr>
          <w:rFonts w:ascii="Palatino Linotype" w:eastAsia="Times New Roman" w:hAnsi="Palatino Linotype" w:cs="Times New Roman"/>
          <w:i/>
          <w:iCs/>
          <w:lang w:val="es-MX" w:eastAsia="es-MX"/>
        </w:rPr>
        <w:t xml:space="preserve">Solicito </w:t>
      </w:r>
      <w:r w:rsidR="001A16C3" w:rsidRPr="00D0299D">
        <w:rPr>
          <w:rFonts w:ascii="Palatino Linotype" w:eastAsia="Times New Roman" w:hAnsi="Palatino Linotype" w:cs="Times New Roman"/>
          <w:i/>
          <w:iCs/>
          <w:color w:val="000000"/>
          <w:lang w:val="es-MX" w:eastAsia="es-MX"/>
        </w:rPr>
        <w:t xml:space="preserve">el listado de las órdenes de inhumación y cremación que se han emitido dirigidas a </w:t>
      </w:r>
      <w:r w:rsidR="00EA5E14" w:rsidRPr="00D0299D">
        <w:rPr>
          <w:rFonts w:ascii="Palatino Linotype" w:eastAsia="Times New Roman" w:hAnsi="Palatino Linotype" w:cs="Times New Roman"/>
          <w:i/>
          <w:iCs/>
          <w:color w:val="000000"/>
          <w:lang w:val="es-MX" w:eastAsia="es-MX"/>
        </w:rPr>
        <w:t xml:space="preserve">Elysium </w:t>
      </w:r>
      <w:r w:rsidR="001A16C3" w:rsidRPr="00D0299D">
        <w:rPr>
          <w:rFonts w:ascii="Palatino Linotype" w:eastAsia="Times New Roman" w:hAnsi="Palatino Linotype" w:cs="Times New Roman"/>
          <w:i/>
          <w:iCs/>
          <w:color w:val="000000"/>
          <w:lang w:val="es-MX" w:eastAsia="es-MX"/>
        </w:rPr>
        <w:t>Servicios Funerarios desde enero de 2021 a la fecha, así como el nombre de la persona que realizó el tramite respectivo.</w:t>
      </w:r>
      <w:r w:rsidR="00A324B2" w:rsidRPr="00D0299D">
        <w:rPr>
          <w:rFonts w:ascii="Palatino Linotype" w:eastAsia="Calibri" w:hAnsi="Palatino Linotype" w:cs="Arial"/>
          <w:i/>
          <w:iCs/>
          <w:lang w:val="es-ES"/>
        </w:rPr>
        <w:t>” (Sic)</w:t>
      </w:r>
    </w:p>
    <w:p w:rsidR="00681811" w:rsidRPr="00D0299D"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3F4920" w:rsidRPr="00D0299D" w:rsidRDefault="00FE3C06" w:rsidP="003F492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Times New Roman" w:hAnsi="Palatino Linotype" w:cs="Arial"/>
          <w:color w:val="000000"/>
          <w:lang w:val="es-ES"/>
        </w:rPr>
        <w:lastRenderedPageBreak/>
        <w:t>E</w:t>
      </w:r>
      <w:r w:rsidR="00D570D1" w:rsidRPr="00D0299D">
        <w:rPr>
          <w:rFonts w:ascii="Palatino Linotype" w:eastAsia="Times New Roman" w:hAnsi="Palatino Linotype" w:cs="Arial"/>
          <w:color w:val="000000"/>
          <w:lang w:val="es-ES"/>
        </w:rPr>
        <w:t>n respuesta, el</w:t>
      </w:r>
      <w:r w:rsidR="00785D88" w:rsidRPr="00D0299D">
        <w:rPr>
          <w:rFonts w:ascii="Palatino Linotype" w:hAnsi="Palatino Linotype"/>
          <w:iCs/>
          <w:color w:val="000000"/>
        </w:rPr>
        <w:t xml:space="preserve"> </w:t>
      </w:r>
      <w:r w:rsidR="00785D88" w:rsidRPr="00D0299D">
        <w:rPr>
          <w:rFonts w:ascii="Palatino Linotype" w:hAnsi="Palatino Linotype"/>
          <w:b/>
          <w:iCs/>
          <w:color w:val="000000"/>
        </w:rPr>
        <w:t>SUJETO OBLIGADO</w:t>
      </w:r>
      <w:r w:rsidR="00785D88" w:rsidRPr="00D0299D">
        <w:rPr>
          <w:rFonts w:ascii="Palatino Linotype" w:hAnsi="Palatino Linotype"/>
          <w:iCs/>
          <w:color w:val="000000"/>
        </w:rPr>
        <w:t xml:space="preserve"> </w:t>
      </w:r>
      <w:r w:rsidR="00396ACA" w:rsidRPr="00D0299D">
        <w:rPr>
          <w:rFonts w:ascii="Palatino Linotype" w:hAnsi="Palatino Linotype"/>
          <w:iCs/>
          <w:color w:val="000000"/>
        </w:rPr>
        <w:t xml:space="preserve">a través </w:t>
      </w:r>
      <w:r w:rsidR="002755DE" w:rsidRPr="00D0299D">
        <w:rPr>
          <w:rFonts w:ascii="Palatino Linotype" w:hAnsi="Palatino Linotype"/>
          <w:iCs/>
          <w:color w:val="000000"/>
        </w:rPr>
        <w:t xml:space="preserve">del oficio número </w:t>
      </w:r>
      <w:r w:rsidR="002755DE" w:rsidRPr="00D0299D">
        <w:rPr>
          <w:rFonts w:ascii="Palatino Linotype" w:hAnsi="Palatino Linotype"/>
          <w:b/>
          <w:bCs/>
          <w:lang w:eastAsia="es-ES_tradnl"/>
        </w:rPr>
        <w:t>22201001A/1034/2022</w:t>
      </w:r>
      <w:r w:rsidR="002755DE" w:rsidRPr="00D0299D">
        <w:rPr>
          <w:rFonts w:ascii="Palatino Linotype" w:hAnsi="Palatino Linotype"/>
          <w:lang w:eastAsia="es-ES_tradnl"/>
        </w:rPr>
        <w:t xml:space="preserve"> , suscrito y signado por </w:t>
      </w:r>
      <w:r w:rsidR="00396ACA" w:rsidRPr="00D0299D">
        <w:rPr>
          <w:rFonts w:ascii="Palatino Linotype" w:hAnsi="Palatino Linotype"/>
          <w:iCs/>
          <w:color w:val="000000"/>
        </w:rPr>
        <w:t>el Director General del Registro Civil</w:t>
      </w:r>
      <w:r w:rsidR="002755DE" w:rsidRPr="00D0299D">
        <w:rPr>
          <w:rFonts w:ascii="Palatino Linotype" w:hAnsi="Palatino Linotype"/>
          <w:iCs/>
          <w:color w:val="000000"/>
        </w:rPr>
        <w:t xml:space="preserve">, </w:t>
      </w:r>
      <w:r w:rsidR="00396ACA" w:rsidRPr="00D0299D">
        <w:rPr>
          <w:rFonts w:ascii="Palatino Linotype" w:hAnsi="Palatino Linotype"/>
          <w:iCs/>
          <w:color w:val="000000"/>
        </w:rPr>
        <w:t xml:space="preserve">informó </w:t>
      </w:r>
      <w:r w:rsidR="002755DE" w:rsidRPr="00D0299D">
        <w:rPr>
          <w:rFonts w:ascii="Palatino Linotype" w:hAnsi="Palatino Linotype"/>
          <w:iCs/>
          <w:color w:val="000000"/>
        </w:rPr>
        <w:t xml:space="preserve">que </w:t>
      </w:r>
      <w:r w:rsidR="00396ACA" w:rsidRPr="00D0299D">
        <w:rPr>
          <w:rFonts w:ascii="Palatino Linotype" w:hAnsi="Palatino Linotype"/>
          <w:iCs/>
          <w:color w:val="000000"/>
        </w:rPr>
        <w:t xml:space="preserve">no genera un listado con los nombres de las personas o empresas que una orden de inhumación y cremación; asimismo, señaló que conforme al artículo 19, fracción XIII del Reglamento Interior del Registro Civil, una de las atribuciones del Oficial es expedir órdenes de inhumación o cremación; así como, lo establecido en el artículo 87, fracción III del mismo </w:t>
      </w:r>
      <w:r w:rsidR="002755DE" w:rsidRPr="00D0299D">
        <w:rPr>
          <w:rFonts w:ascii="Palatino Linotype" w:hAnsi="Palatino Linotype"/>
          <w:iCs/>
          <w:color w:val="000000"/>
        </w:rPr>
        <w:t>R</w:t>
      </w:r>
      <w:r w:rsidR="00396ACA" w:rsidRPr="00D0299D">
        <w:rPr>
          <w:rFonts w:ascii="Palatino Linotype" w:hAnsi="Palatino Linotype"/>
          <w:iCs/>
          <w:color w:val="000000"/>
        </w:rPr>
        <w:t>eglamento</w:t>
      </w:r>
      <w:r w:rsidR="002755DE" w:rsidRPr="00D0299D">
        <w:rPr>
          <w:rFonts w:ascii="Palatino Linotype" w:hAnsi="Palatino Linotype"/>
          <w:iCs/>
          <w:color w:val="000000"/>
        </w:rPr>
        <w:t>, donde se menciona que es requisito relacionado con el registro de defunciones, presentar identificación oficial y vigente y comparecencia del declarante, como a continuación se observa:</w:t>
      </w:r>
    </w:p>
    <w:p w:rsidR="00D50147" w:rsidRPr="00D0299D" w:rsidRDefault="00BB3406"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0299D">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2BA08C8E" wp14:editId="31FECA2F">
                <wp:simplePos x="0" y="0"/>
                <wp:positionH relativeFrom="margin">
                  <wp:align>right</wp:align>
                </wp:positionH>
                <wp:positionV relativeFrom="paragraph">
                  <wp:posOffset>33019</wp:posOffset>
                </wp:positionV>
                <wp:extent cx="5476875" cy="473392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476875" cy="473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C00C3" id="Conector recto 1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2.6pt" to="811.3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" strokecolor="#4f81bd [3204]" strokeweight="2pt">
                <v:shadow on="t" color="black" opacity="24903f" origin=",.5" offset="0,.55556mm"/>
                <w10:wrap anchorx="margin"/>
              </v:line>
            </w:pict>
          </mc:Fallback>
        </mc:AlternateContent>
      </w: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D50147" w:rsidRPr="00D0299D" w:rsidRDefault="00D50147"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rsidR="002755DE" w:rsidRPr="00D0299D" w:rsidRDefault="002755DE" w:rsidP="002755D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0299D">
        <w:rPr>
          <w:rFonts w:ascii="Palatino Linotype" w:eastAsia="Calibri" w:hAnsi="Palatino Linotype" w:cs="Arial"/>
          <w:b/>
          <w:bCs/>
          <w:color w:val="000000" w:themeColor="text1"/>
          <w:lang w:val="es-ES"/>
        </w:rPr>
        <w:lastRenderedPageBreak/>
        <w:t>(…)</w:t>
      </w:r>
    </w:p>
    <w:p w:rsidR="00785D88" w:rsidRPr="00D0299D" w:rsidRDefault="002755DE" w:rsidP="002755DE">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D0299D">
        <w:rPr>
          <w:rFonts w:ascii="Palatino Linotype" w:eastAsia="Calibri" w:hAnsi="Palatino Linotype" w:cs="Arial"/>
          <w:noProof/>
          <w:color w:val="000000" w:themeColor="text1"/>
          <w:lang w:val="es-MX" w:eastAsia="es-MX"/>
        </w:rPr>
        <w:drawing>
          <wp:inline distT="0" distB="0" distL="0" distR="0" wp14:anchorId="5271444A" wp14:editId="6F9765E5">
            <wp:extent cx="5130800" cy="4204694"/>
            <wp:effectExtent l="12700" t="12700" r="1270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 t="1656" r="2716" b="4038"/>
                    <a:stretch/>
                  </pic:blipFill>
                  <pic:spPr bwMode="auto">
                    <a:xfrm>
                      <a:off x="0" y="0"/>
                      <a:ext cx="5201642" cy="42627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F4920" w:rsidRPr="00D0299D" w:rsidRDefault="003F4920" w:rsidP="002755DE">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p>
    <w:p w:rsidR="0077696C" w:rsidRPr="00D0299D"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0299D">
        <w:rPr>
          <w:rFonts w:ascii="Palatino Linotype" w:eastAsia="Calibri" w:hAnsi="Palatino Linotype" w:cs="Arial"/>
          <w:color w:val="000000" w:themeColor="text1"/>
          <w:lang w:val="es-ES"/>
        </w:rPr>
        <w:t xml:space="preserve">Inconforme </w:t>
      </w:r>
      <w:r w:rsidRPr="00D0299D">
        <w:rPr>
          <w:rFonts w:ascii="Palatino Linotype" w:hAnsi="Palatino Linotype"/>
        </w:rPr>
        <w:t xml:space="preserve">con la respuesta, </w:t>
      </w:r>
      <w:r w:rsidR="002755DE" w:rsidRPr="00D0299D">
        <w:rPr>
          <w:rFonts w:ascii="Palatino Linotype" w:hAnsi="Palatino Linotype"/>
        </w:rPr>
        <w:t>la Particular</w:t>
      </w:r>
      <w:r w:rsidRPr="00D0299D">
        <w:rPr>
          <w:rFonts w:ascii="Palatino Linotype" w:hAnsi="Palatino Linotype"/>
        </w:rPr>
        <w:t xml:space="preserve"> interpuso </w:t>
      </w:r>
      <w:r w:rsidR="002755DE" w:rsidRPr="00D0299D">
        <w:rPr>
          <w:rFonts w:ascii="Palatino Linotype" w:hAnsi="Palatino Linotype"/>
        </w:rPr>
        <w:t xml:space="preserve">el </w:t>
      </w:r>
      <w:r w:rsidRPr="00D0299D">
        <w:rPr>
          <w:rFonts w:ascii="Palatino Linotype" w:hAnsi="Palatino Linotype"/>
        </w:rPr>
        <w:t xml:space="preserve">recurso de revisión, </w:t>
      </w:r>
      <w:r w:rsidR="003F4920" w:rsidRPr="00D0299D">
        <w:rPr>
          <w:rFonts w:ascii="Palatino Linotype" w:hAnsi="Palatino Linotype"/>
        </w:rPr>
        <w:t>donde manifestó</w:t>
      </w:r>
      <w:r w:rsidRPr="00D0299D">
        <w:rPr>
          <w:rFonts w:ascii="Palatino Linotype" w:hAnsi="Palatino Linotype"/>
        </w:rPr>
        <w:t xml:space="preserve"> de forma medular</w:t>
      </w:r>
      <w:r w:rsidR="003F4920" w:rsidRPr="00D0299D">
        <w:rPr>
          <w:rFonts w:ascii="Palatino Linotype" w:hAnsi="Palatino Linotype"/>
        </w:rPr>
        <w:t>,</w:t>
      </w:r>
      <w:r w:rsidRPr="00D0299D">
        <w:rPr>
          <w:rFonts w:ascii="Palatino Linotype" w:hAnsi="Palatino Linotype"/>
        </w:rPr>
        <w:t xml:space="preserve"> como motivo de inconformidad</w:t>
      </w:r>
      <w:r w:rsidR="002755DE" w:rsidRPr="00D0299D">
        <w:rPr>
          <w:rFonts w:ascii="Palatino Linotype" w:hAnsi="Palatino Linotype"/>
        </w:rPr>
        <w:t xml:space="preserve">, </w:t>
      </w:r>
      <w:r w:rsidR="002755DE" w:rsidRPr="00D0299D">
        <w:rPr>
          <w:rFonts w:ascii="Palatino Linotype" w:hAnsi="Palatino Linotype"/>
          <w:b/>
          <w:bCs/>
        </w:rPr>
        <w:t>la negativa de la información solicitada.</w:t>
      </w:r>
    </w:p>
    <w:p w:rsidR="0077696C" w:rsidRPr="00D0299D" w:rsidRDefault="0077696C" w:rsidP="0077696C">
      <w:pPr>
        <w:rPr>
          <w:rFonts w:ascii="Palatino Linotype" w:eastAsia="Calibri" w:hAnsi="Palatino Linotype" w:cs="Arial"/>
          <w:color w:val="000000" w:themeColor="text1"/>
          <w:lang w:val="es-ES"/>
        </w:rPr>
      </w:pPr>
    </w:p>
    <w:p w:rsidR="00D50147" w:rsidRPr="00D0299D" w:rsidRDefault="003F4920" w:rsidP="00BB340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En consecuencia</w:t>
      </w:r>
      <w:r w:rsidR="000E1D82" w:rsidRPr="00D0299D">
        <w:rPr>
          <w:rFonts w:ascii="Palatino Linotype" w:eastAsia="Calibri" w:hAnsi="Palatino Linotype" w:cs="Arial"/>
          <w:color w:val="000000" w:themeColor="text1"/>
          <w:lang w:val="es-ES"/>
        </w:rPr>
        <w:t xml:space="preserve">, el </w:t>
      </w:r>
      <w:r w:rsidR="000E1D82" w:rsidRPr="00D0299D">
        <w:rPr>
          <w:rFonts w:ascii="Palatino Linotype" w:eastAsia="Calibri" w:hAnsi="Palatino Linotype" w:cs="Arial"/>
          <w:b/>
          <w:bCs/>
          <w:color w:val="000000" w:themeColor="text1"/>
          <w:lang w:val="es-ES"/>
        </w:rPr>
        <w:t>SUJETO OBLIGADO</w:t>
      </w:r>
      <w:r w:rsidR="000E1D82" w:rsidRPr="00D0299D">
        <w:rPr>
          <w:rFonts w:ascii="Palatino Linotype" w:eastAsia="Calibri" w:hAnsi="Palatino Linotype" w:cs="Arial"/>
          <w:color w:val="000000" w:themeColor="text1"/>
          <w:lang w:val="es-ES"/>
        </w:rPr>
        <w:t xml:space="preserve"> </w:t>
      </w:r>
      <w:r w:rsidRPr="00D0299D">
        <w:rPr>
          <w:rFonts w:ascii="Palatino Linotype" w:eastAsia="Calibri" w:hAnsi="Palatino Linotype" w:cs="Arial"/>
          <w:color w:val="000000" w:themeColor="text1"/>
          <w:lang w:val="es-ES"/>
        </w:rPr>
        <w:t>rindió</w:t>
      </w:r>
      <w:r w:rsidR="002755DE" w:rsidRPr="00D0299D">
        <w:rPr>
          <w:rFonts w:ascii="Palatino Linotype" w:eastAsia="Calibri" w:hAnsi="Palatino Linotype" w:cs="Arial"/>
          <w:color w:val="000000" w:themeColor="text1"/>
          <w:lang w:val="es-ES"/>
        </w:rPr>
        <w:t xml:space="preserve"> el informe justificado</w:t>
      </w:r>
      <w:r w:rsidRPr="00D0299D">
        <w:rPr>
          <w:rFonts w:ascii="Palatino Linotype" w:eastAsia="Calibri" w:hAnsi="Palatino Linotype" w:cs="Arial"/>
          <w:color w:val="000000" w:themeColor="text1"/>
          <w:lang w:val="es-ES"/>
        </w:rPr>
        <w:t xml:space="preserve"> correspondiente</w:t>
      </w:r>
      <w:r w:rsidR="002755DE" w:rsidRPr="00D0299D">
        <w:rPr>
          <w:rFonts w:ascii="Palatino Linotype" w:eastAsia="Calibri" w:hAnsi="Palatino Linotype" w:cs="Arial"/>
          <w:color w:val="000000" w:themeColor="text1"/>
          <w:lang w:val="es-ES"/>
        </w:rPr>
        <w:t>,</w:t>
      </w:r>
      <w:r w:rsidRPr="00D0299D">
        <w:rPr>
          <w:rFonts w:ascii="Palatino Linotype" w:eastAsia="Calibri" w:hAnsi="Palatino Linotype" w:cs="Arial"/>
          <w:color w:val="000000" w:themeColor="text1"/>
          <w:lang w:val="es-ES"/>
        </w:rPr>
        <w:t xml:space="preserve"> donde</w:t>
      </w:r>
      <w:r w:rsidR="002755DE" w:rsidRPr="00D0299D">
        <w:rPr>
          <w:rFonts w:ascii="Palatino Linotype" w:eastAsia="Calibri" w:hAnsi="Palatino Linotype" w:cs="Arial"/>
          <w:color w:val="000000" w:themeColor="text1"/>
          <w:lang w:val="es-ES"/>
        </w:rPr>
        <w:t xml:space="preserve"> reiteró y complementó su respuesta inicial, </w:t>
      </w:r>
      <w:r w:rsidR="00FA5360" w:rsidRPr="00D0299D">
        <w:rPr>
          <w:rFonts w:ascii="Palatino Linotype" w:eastAsia="Calibri" w:hAnsi="Palatino Linotype" w:cs="Arial"/>
          <w:color w:val="000000" w:themeColor="text1"/>
          <w:lang w:val="es-ES"/>
        </w:rPr>
        <w:t xml:space="preserve">refiriendo que </w:t>
      </w:r>
      <w:r w:rsidR="00FA5360" w:rsidRPr="00D0299D">
        <w:rPr>
          <w:rFonts w:ascii="Palatino Linotype" w:eastAsia="Calibri" w:hAnsi="Palatino Linotype" w:cs="Arial"/>
          <w:color w:val="000000" w:themeColor="text1"/>
          <w:lang w:val="es-ES"/>
        </w:rPr>
        <w:lastRenderedPageBreak/>
        <w:t xml:space="preserve">la Dirección del Registro Civil no genera un listado o concentrado con los </w:t>
      </w:r>
      <w:r w:rsidR="00FA5360" w:rsidRPr="00D0299D">
        <w:rPr>
          <w:rFonts w:ascii="Palatino Linotype" w:hAnsi="Palatino Linotype" w:cs="Arial"/>
          <w:color w:val="000000" w:themeColor="text1"/>
        </w:rPr>
        <w:t xml:space="preserve">nombres de las personas físicas o jurídico colectivas que solicitan órdenes de inhumación </w:t>
      </w:r>
      <w:r w:rsidRPr="00D0299D">
        <w:rPr>
          <w:rFonts w:ascii="Palatino Linotype" w:hAnsi="Palatino Linotype" w:cs="Arial"/>
          <w:color w:val="000000" w:themeColor="text1"/>
        </w:rPr>
        <w:t>o</w:t>
      </w:r>
      <w:r w:rsidR="00FA5360" w:rsidRPr="00D0299D">
        <w:rPr>
          <w:rFonts w:ascii="Palatino Linotype" w:hAnsi="Palatino Linotype" w:cs="Arial"/>
          <w:color w:val="000000" w:themeColor="text1"/>
        </w:rPr>
        <w:t xml:space="preserve"> cremación, ya que en la base de dat</w:t>
      </w:r>
      <w:r w:rsidRPr="00D0299D">
        <w:rPr>
          <w:rFonts w:ascii="Palatino Linotype" w:hAnsi="Palatino Linotype" w:cs="Arial"/>
          <w:color w:val="000000" w:themeColor="text1"/>
        </w:rPr>
        <w:t xml:space="preserve">os </w:t>
      </w:r>
      <w:r w:rsidR="00FA5360" w:rsidRPr="00D0299D">
        <w:rPr>
          <w:rFonts w:ascii="Palatino Linotype" w:hAnsi="Palatino Linotype" w:cs="Arial"/>
          <w:color w:val="000000" w:themeColor="text1"/>
        </w:rPr>
        <w:t>se registran las defunciones sin hacer una clasificación por orden de inhumación o cremación; aunado a ello</w:t>
      </w:r>
      <w:r w:rsidRPr="00D0299D">
        <w:rPr>
          <w:rFonts w:ascii="Palatino Linotype" w:hAnsi="Palatino Linotype" w:cs="Arial"/>
          <w:color w:val="000000" w:themeColor="text1"/>
        </w:rPr>
        <w:t xml:space="preserve">, </w:t>
      </w:r>
      <w:r w:rsidR="00FA5360" w:rsidRPr="00D0299D">
        <w:rPr>
          <w:rFonts w:ascii="Palatino Linotype" w:hAnsi="Palatino Linotype" w:cs="Arial"/>
          <w:color w:val="000000" w:themeColor="text1"/>
        </w:rPr>
        <w:t>señaló que</w:t>
      </w:r>
      <w:r w:rsidRPr="00D0299D">
        <w:rPr>
          <w:rFonts w:ascii="Palatino Linotype" w:hAnsi="Palatino Linotype" w:cs="Arial"/>
          <w:color w:val="000000" w:themeColor="text1"/>
        </w:rPr>
        <w:t>,</w:t>
      </w:r>
      <w:r w:rsidR="00FA5360" w:rsidRPr="00D0299D">
        <w:rPr>
          <w:rFonts w:ascii="Palatino Linotype" w:hAnsi="Palatino Linotype" w:cs="Arial"/>
          <w:color w:val="000000" w:themeColor="text1"/>
        </w:rPr>
        <w:t xml:space="preserve"> </w:t>
      </w:r>
      <w:r w:rsidRPr="00D0299D">
        <w:rPr>
          <w:rFonts w:ascii="Palatino Linotype" w:hAnsi="Palatino Linotype" w:cs="Arial"/>
          <w:color w:val="000000" w:themeColor="text1"/>
        </w:rPr>
        <w:t>si bien</w:t>
      </w:r>
      <w:r w:rsidR="00FA5360" w:rsidRPr="00D0299D">
        <w:rPr>
          <w:rFonts w:ascii="Palatino Linotype" w:hAnsi="Palatino Linotype" w:cs="Arial"/>
          <w:color w:val="000000" w:themeColor="text1"/>
        </w:rPr>
        <w:t xml:space="preserve"> </w:t>
      </w:r>
      <w:r w:rsidRPr="00D0299D">
        <w:rPr>
          <w:rFonts w:ascii="Palatino Linotype" w:hAnsi="Palatino Linotype" w:cs="Arial"/>
          <w:color w:val="000000" w:themeColor="text1"/>
        </w:rPr>
        <w:t xml:space="preserve">es cierto </w:t>
      </w:r>
      <w:r w:rsidR="00FA5360" w:rsidRPr="00D0299D">
        <w:rPr>
          <w:rFonts w:ascii="Palatino Linotype" w:hAnsi="Palatino Linotype" w:cs="Arial"/>
          <w:color w:val="000000" w:themeColor="text1"/>
        </w:rPr>
        <w:t xml:space="preserve">uno de los requisitos para el registro de defunción es presentar una identificación oficial vigente y la comparecencia del declarante, </w:t>
      </w:r>
      <w:r w:rsidRPr="00D0299D">
        <w:rPr>
          <w:rFonts w:ascii="Palatino Linotype" w:hAnsi="Palatino Linotype" w:cs="Arial"/>
          <w:color w:val="000000" w:themeColor="text1"/>
        </w:rPr>
        <w:t>ello no quiere decir que se cuente con un listado de las personas o empresas que solicitan órdenes de inhumación o cremación, toda vez que, en diversas ocasiones es personal de las funerarias quienes realizan el trámite, en este sentido, quedan registrados dichos trámites como persona física, sin tener conocimiento si pertenecen a alguna empresa; como a continuación se observa:</w:t>
      </w:r>
    </w:p>
    <w:p w:rsidR="00D50147" w:rsidRPr="00D0299D" w:rsidRDefault="00BB3406" w:rsidP="003F4920">
      <w:pPr>
        <w:jc w:val="center"/>
        <w:rPr>
          <w:rFonts w:ascii="Palatino Linotype" w:eastAsia="Calibri" w:hAnsi="Palatino Linotype" w:cs="Arial"/>
          <w:b/>
          <w:bCs/>
          <w:color w:val="000000" w:themeColor="text1"/>
          <w:lang w:val="es-ES"/>
        </w:rPr>
      </w:pPr>
      <w:r w:rsidRPr="00D0299D">
        <w:rPr>
          <w:noProof/>
          <w:lang w:val="es-MX" w:eastAsia="es-MX"/>
        </w:rPr>
        <mc:AlternateContent>
          <mc:Choice Requires="wps">
            <w:drawing>
              <wp:anchor distT="0" distB="0" distL="114300" distR="114300" simplePos="0" relativeHeight="251659264" behindDoc="0" locked="0" layoutInCell="1" allowOverlap="1" wp14:anchorId="2EA85DAD" wp14:editId="72EB2732">
                <wp:simplePos x="0" y="0"/>
                <wp:positionH relativeFrom="margin">
                  <wp:align>left</wp:align>
                </wp:positionH>
                <wp:positionV relativeFrom="paragraph">
                  <wp:posOffset>25399</wp:posOffset>
                </wp:positionV>
                <wp:extent cx="5457825" cy="416242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457825" cy="4162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2F993" id="Conector recto 10"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29.75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" strokecolor="#4f81bd [3204]" strokeweight="2pt">
                <v:shadow on="t" color="black" opacity="24903f" origin=",.5" offset="0,.55556mm"/>
                <w10:wrap anchorx="margin"/>
              </v:line>
            </w:pict>
          </mc:Fallback>
        </mc:AlternateContent>
      </w: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BB3406" w:rsidRPr="00D0299D" w:rsidRDefault="00BB3406" w:rsidP="003F4920">
      <w:pPr>
        <w:jc w:val="center"/>
        <w:rPr>
          <w:rFonts w:ascii="Palatino Linotype" w:eastAsia="Calibri" w:hAnsi="Palatino Linotype" w:cs="Arial"/>
          <w:b/>
          <w:bCs/>
          <w:color w:val="000000" w:themeColor="text1"/>
          <w:lang w:val="es-ES"/>
        </w:rPr>
      </w:pPr>
    </w:p>
    <w:p w:rsidR="00BB3406" w:rsidRPr="00D0299D" w:rsidRDefault="00BB3406" w:rsidP="003F4920">
      <w:pPr>
        <w:jc w:val="center"/>
        <w:rPr>
          <w:rFonts w:ascii="Palatino Linotype" w:eastAsia="Calibri" w:hAnsi="Palatino Linotype" w:cs="Arial"/>
          <w:b/>
          <w:bCs/>
          <w:color w:val="000000" w:themeColor="text1"/>
          <w:lang w:val="es-ES"/>
        </w:rPr>
      </w:pPr>
    </w:p>
    <w:p w:rsidR="00BB3406" w:rsidRPr="00D0299D" w:rsidRDefault="00BB3406" w:rsidP="003F4920">
      <w:pPr>
        <w:jc w:val="center"/>
        <w:rPr>
          <w:rFonts w:ascii="Palatino Linotype" w:eastAsia="Calibri" w:hAnsi="Palatino Linotype" w:cs="Arial"/>
          <w:b/>
          <w:bCs/>
          <w:color w:val="000000" w:themeColor="text1"/>
          <w:lang w:val="es-ES"/>
        </w:rPr>
      </w:pPr>
    </w:p>
    <w:p w:rsidR="00BB3406" w:rsidRPr="00D0299D" w:rsidRDefault="00BB3406" w:rsidP="003F4920">
      <w:pPr>
        <w:jc w:val="center"/>
        <w:rPr>
          <w:rFonts w:ascii="Palatino Linotype" w:eastAsia="Calibri" w:hAnsi="Palatino Linotype" w:cs="Arial"/>
          <w:b/>
          <w:bCs/>
          <w:color w:val="000000" w:themeColor="text1"/>
          <w:lang w:val="es-ES"/>
        </w:rPr>
      </w:pPr>
    </w:p>
    <w:p w:rsidR="00D50147" w:rsidRPr="00D0299D" w:rsidRDefault="00D50147" w:rsidP="003F4920">
      <w:pPr>
        <w:jc w:val="center"/>
        <w:rPr>
          <w:rFonts w:ascii="Palatino Linotype" w:eastAsia="Calibri" w:hAnsi="Palatino Linotype" w:cs="Arial"/>
          <w:b/>
          <w:bCs/>
          <w:color w:val="000000" w:themeColor="text1"/>
          <w:lang w:val="es-ES"/>
        </w:rPr>
      </w:pPr>
    </w:p>
    <w:p w:rsidR="00CE5FA1" w:rsidRPr="00D0299D" w:rsidRDefault="003F4920" w:rsidP="003F4920">
      <w:pPr>
        <w:jc w:val="center"/>
        <w:rPr>
          <w:rFonts w:ascii="Palatino Linotype" w:eastAsia="Calibri" w:hAnsi="Palatino Linotype" w:cs="Arial"/>
          <w:b/>
          <w:bCs/>
          <w:color w:val="000000" w:themeColor="text1"/>
          <w:lang w:val="es-ES"/>
        </w:rPr>
      </w:pPr>
      <w:r w:rsidRPr="00D0299D">
        <w:rPr>
          <w:rFonts w:ascii="Palatino Linotype" w:eastAsia="Calibri" w:hAnsi="Palatino Linotype" w:cs="Arial"/>
          <w:b/>
          <w:bCs/>
          <w:color w:val="000000" w:themeColor="text1"/>
          <w:lang w:val="es-ES"/>
        </w:rPr>
        <w:lastRenderedPageBreak/>
        <w:t>(…)</w:t>
      </w:r>
    </w:p>
    <w:p w:rsidR="003F4920" w:rsidRPr="00D0299D" w:rsidRDefault="003F4920" w:rsidP="00CE5FA1">
      <w:pPr>
        <w:rPr>
          <w:rFonts w:ascii="Palatino Linotype" w:eastAsia="Calibri" w:hAnsi="Palatino Linotype" w:cs="Arial"/>
          <w:color w:val="000000" w:themeColor="text1"/>
          <w:lang w:val="es-ES"/>
        </w:rPr>
      </w:pPr>
    </w:p>
    <w:p w:rsidR="00C80885" w:rsidRPr="00D0299D" w:rsidRDefault="00D50147" w:rsidP="003F4920">
      <w:pPr>
        <w:jc w:val="center"/>
        <w:rPr>
          <w:rFonts w:ascii="Palatino Linotype" w:hAnsi="Palatino Linotype"/>
        </w:rPr>
      </w:pPr>
      <w:r w:rsidRPr="00D0299D">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6E505E36" wp14:editId="1041724F">
                <wp:simplePos x="0" y="0"/>
                <wp:positionH relativeFrom="column">
                  <wp:posOffset>518867</wp:posOffset>
                </wp:positionH>
                <wp:positionV relativeFrom="paragraph">
                  <wp:posOffset>1830477</wp:posOffset>
                </wp:positionV>
                <wp:extent cx="4428226" cy="974066"/>
                <wp:effectExtent l="63500" t="38100" r="67945" b="80645"/>
                <wp:wrapNone/>
                <wp:docPr id="15" name="Rectángulo 15"/>
                <wp:cNvGraphicFramePr/>
                <a:graphic xmlns:a="http://schemas.openxmlformats.org/drawingml/2006/main">
                  <a:graphicData uri="http://schemas.microsoft.com/office/word/2010/wordprocessingShape">
                    <wps:wsp>
                      <wps:cNvSpPr/>
                      <wps:spPr>
                        <a:xfrm>
                          <a:off x="0" y="0"/>
                          <a:ext cx="4428226" cy="9740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A7289" id="Rectángulo 15" o:spid="_x0000_s1026" style="position:absolute;margin-left:40.85pt;margin-top:144.15pt;width:348.7pt;height:76.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" filled="f" strokecolor="red" strokeweight="2.25pt">
                <v:shadow on="t" color="black" opacity="22937f" origin=",.5" offset="0,.63889mm"/>
              </v:rect>
            </w:pict>
          </mc:Fallback>
        </mc:AlternateContent>
      </w:r>
      <w:r w:rsidR="003F4920" w:rsidRPr="00D0299D">
        <w:rPr>
          <w:rFonts w:ascii="Palatino Linotype" w:hAnsi="Palatino Linotype"/>
          <w:noProof/>
          <w:lang w:val="es-MX" w:eastAsia="es-MX"/>
        </w:rPr>
        <w:drawing>
          <wp:inline distT="0" distB="0" distL="0" distR="0" wp14:anchorId="37D80D7F" wp14:editId="7BED5DA9">
            <wp:extent cx="4943813" cy="6311900"/>
            <wp:effectExtent l="12700" t="1270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stretch>
                      <a:fillRect/>
                    </a:stretch>
                  </pic:blipFill>
                  <pic:spPr>
                    <a:xfrm>
                      <a:off x="0" y="0"/>
                      <a:ext cx="4949969" cy="6319760"/>
                    </a:xfrm>
                    <a:prstGeom prst="rect">
                      <a:avLst/>
                    </a:prstGeom>
                    <a:ln>
                      <a:solidFill>
                        <a:schemeClr val="tx1"/>
                      </a:solidFill>
                    </a:ln>
                  </pic:spPr>
                </pic:pic>
              </a:graphicData>
            </a:graphic>
          </wp:inline>
        </w:drawing>
      </w:r>
    </w:p>
    <w:p w:rsidR="003F4920" w:rsidRPr="00D0299D" w:rsidRDefault="00D50147" w:rsidP="003F4920">
      <w:pPr>
        <w:rPr>
          <w:rFonts w:ascii="Palatino Linotype" w:hAnsi="Palatino Linotype"/>
        </w:rPr>
      </w:pPr>
      <w:r w:rsidRPr="00D0299D">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0EA73F3F" wp14:editId="797E5CA1">
                <wp:simplePos x="0" y="0"/>
                <wp:positionH relativeFrom="column">
                  <wp:posOffset>440376</wp:posOffset>
                </wp:positionH>
                <wp:positionV relativeFrom="paragraph">
                  <wp:posOffset>3210644</wp:posOffset>
                </wp:positionV>
                <wp:extent cx="4428226" cy="1489249"/>
                <wp:effectExtent l="63500" t="38100" r="67945" b="73025"/>
                <wp:wrapNone/>
                <wp:docPr id="13" name="Rectángulo 13"/>
                <wp:cNvGraphicFramePr/>
                <a:graphic xmlns:a="http://schemas.openxmlformats.org/drawingml/2006/main">
                  <a:graphicData uri="http://schemas.microsoft.com/office/word/2010/wordprocessingShape">
                    <wps:wsp>
                      <wps:cNvSpPr/>
                      <wps:spPr>
                        <a:xfrm>
                          <a:off x="0" y="0"/>
                          <a:ext cx="4428226" cy="14892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AFF0C" id="Rectángulo 13" o:spid="_x0000_s1026" style="position:absolute;margin-left:34.7pt;margin-top:252.8pt;width:348.7pt;height:11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" filled="f" strokecolor="red" strokeweight="2.25pt">
                <v:shadow on="t" color="black" opacity="22937f" origin=",.5" offset="0,.63889mm"/>
              </v:rect>
            </w:pict>
          </mc:Fallback>
        </mc:AlternateContent>
      </w:r>
      <w:r w:rsidR="003F4920" w:rsidRPr="00D0299D">
        <w:rPr>
          <w:rFonts w:ascii="Palatino Linotype" w:hAnsi="Palatino Linotype"/>
          <w:noProof/>
          <w:lang w:val="es-MX" w:eastAsia="es-MX"/>
        </w:rPr>
        <w:drawing>
          <wp:inline distT="0" distB="0" distL="0" distR="0" wp14:anchorId="75C12B76" wp14:editId="39E886C9">
            <wp:extent cx="5285105" cy="6817360"/>
            <wp:effectExtent l="12700" t="1270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stretch>
                      <a:fillRect/>
                    </a:stretch>
                  </pic:blipFill>
                  <pic:spPr>
                    <a:xfrm>
                      <a:off x="0" y="0"/>
                      <a:ext cx="5285105" cy="6817360"/>
                    </a:xfrm>
                    <a:prstGeom prst="rect">
                      <a:avLst/>
                    </a:prstGeom>
                    <a:ln>
                      <a:solidFill>
                        <a:schemeClr val="tx1"/>
                      </a:solidFill>
                    </a:ln>
                  </pic:spPr>
                </pic:pic>
              </a:graphicData>
            </a:graphic>
          </wp:inline>
        </w:drawing>
      </w:r>
    </w:p>
    <w:p w:rsidR="003F4920" w:rsidRPr="00D0299D"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D0299D">
        <w:rPr>
          <w:rFonts w:ascii="Palatino Linotype" w:hAnsi="Palatino Linotype"/>
          <w:noProof/>
          <w:lang w:val="es-MX" w:eastAsia="es-MX"/>
        </w:rPr>
        <w:lastRenderedPageBreak/>
        <w:drawing>
          <wp:inline distT="0" distB="0" distL="0" distR="0" wp14:anchorId="02A1E0FB" wp14:editId="784820B6">
            <wp:extent cx="5579745" cy="4370705"/>
            <wp:effectExtent l="12700" t="1270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stretch>
                      <a:fillRect/>
                    </a:stretch>
                  </pic:blipFill>
                  <pic:spPr>
                    <a:xfrm>
                      <a:off x="0" y="0"/>
                      <a:ext cx="5579745" cy="4370705"/>
                    </a:xfrm>
                    <a:prstGeom prst="rect">
                      <a:avLst/>
                    </a:prstGeom>
                    <a:ln>
                      <a:solidFill>
                        <a:schemeClr val="tx1"/>
                      </a:solidFill>
                    </a:ln>
                  </pic:spPr>
                </pic:pic>
              </a:graphicData>
            </a:graphic>
          </wp:inline>
        </w:drawing>
      </w:r>
    </w:p>
    <w:p w:rsidR="003F4920" w:rsidRPr="00D0299D"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9041E1" w:rsidRPr="00D0299D" w:rsidRDefault="007B74D9" w:rsidP="00FC511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hAnsi="Palatino Linotype"/>
        </w:rPr>
        <w:t>Aunado a lo anterior</w:t>
      </w:r>
      <w:r w:rsidR="004B252F" w:rsidRPr="00D0299D">
        <w:rPr>
          <w:rFonts w:ascii="Palatino Linotype" w:hAnsi="Palatino Linotype"/>
        </w:rPr>
        <w:t xml:space="preserve">, se advierte </w:t>
      </w:r>
      <w:r w:rsidR="00D50147" w:rsidRPr="00D0299D">
        <w:rPr>
          <w:rFonts w:ascii="Palatino Linotype" w:hAnsi="Palatino Linotype"/>
        </w:rPr>
        <w:t>que este Organismo Garante accedió a la Ventanilla Electrónica Única</w:t>
      </w:r>
      <w:r w:rsidR="00EC27A5" w:rsidRPr="00D0299D">
        <w:rPr>
          <w:rFonts w:ascii="Palatino Linotype" w:hAnsi="Palatino Linotype"/>
        </w:rPr>
        <w:t xml:space="preserve"> </w:t>
      </w:r>
      <w:r w:rsidR="009041E1" w:rsidRPr="00D0299D">
        <w:rPr>
          <w:rFonts w:ascii="Palatino Linotype" w:hAnsi="Palatino Linotype"/>
        </w:rPr>
        <w:t>del Portal de Trámites y Servicios</w:t>
      </w:r>
      <w:r w:rsidR="00D50147" w:rsidRPr="00D0299D">
        <w:rPr>
          <w:rFonts w:ascii="Palatino Linotype" w:hAnsi="Palatino Linotype"/>
        </w:rPr>
        <w:t xml:space="preserve"> del </w:t>
      </w:r>
      <w:r w:rsidR="009041E1" w:rsidRPr="00D0299D">
        <w:rPr>
          <w:rFonts w:ascii="Palatino Linotype" w:hAnsi="Palatino Linotype"/>
        </w:rPr>
        <w:t>Gobierno del Estado de México</w:t>
      </w:r>
      <w:r w:rsidR="00EC27A5" w:rsidRPr="00D0299D">
        <w:rPr>
          <w:rFonts w:ascii="Palatino Linotype" w:hAnsi="Palatino Linotype"/>
        </w:rPr>
        <w:t xml:space="preserve">, a través de la liga electrónica: </w:t>
      </w:r>
      <w:hyperlink r:id="rId14" w:history="1">
        <w:r w:rsidR="005B5FB3" w:rsidRPr="00D0299D">
          <w:rPr>
            <w:rStyle w:val="Hipervnculo"/>
            <w:rFonts w:ascii="Palatino Linotype" w:hAnsi="Palatino Linotype"/>
          </w:rPr>
          <w:t>http://sistemas2.edomex.gob.mx/TramitesyServicios/Tramite?tram=6280&amp;cont=0</w:t>
        </w:r>
      </w:hyperlink>
      <w:r w:rsidR="005B5FB3" w:rsidRPr="00D0299D">
        <w:rPr>
          <w:rFonts w:ascii="Palatino Linotype" w:hAnsi="Palatino Linotype"/>
        </w:rPr>
        <w:t>,</w:t>
      </w:r>
      <w:r w:rsidR="009041E1" w:rsidRPr="00D0299D">
        <w:rPr>
          <w:rFonts w:ascii="Palatino Linotype" w:hAnsi="Palatino Linotype"/>
        </w:rPr>
        <w:t xml:space="preserve"> </w:t>
      </w:r>
      <w:r w:rsidR="00EC27A5" w:rsidRPr="00D0299D">
        <w:rPr>
          <w:rFonts w:ascii="Palatino Linotype" w:hAnsi="Palatino Linotype"/>
        </w:rPr>
        <w:t>donde se informa que</w:t>
      </w:r>
      <w:r w:rsidR="006C55B9" w:rsidRPr="00D0299D">
        <w:rPr>
          <w:rFonts w:ascii="Palatino Linotype" w:hAnsi="Palatino Linotype"/>
        </w:rPr>
        <w:t>,</w:t>
      </w:r>
      <w:r w:rsidR="00EC27A5" w:rsidRPr="00D0299D">
        <w:rPr>
          <w:rFonts w:ascii="Palatino Linotype" w:hAnsi="Palatino Linotype"/>
        </w:rPr>
        <w:t xml:space="preserve"> </w:t>
      </w:r>
      <w:r w:rsidRPr="00D0299D">
        <w:rPr>
          <w:rFonts w:ascii="Palatino Linotype" w:hAnsi="Palatino Linotype"/>
        </w:rPr>
        <w:t xml:space="preserve">en efecto </w:t>
      </w:r>
      <w:r w:rsidR="00EC27A5" w:rsidRPr="00D0299D">
        <w:rPr>
          <w:rFonts w:ascii="Palatino Linotype" w:hAnsi="Palatino Linotype"/>
        </w:rPr>
        <w:t>la expedición de una orden de inhumación es un</w:t>
      </w:r>
      <w:r w:rsidR="009041E1" w:rsidRPr="00D0299D">
        <w:rPr>
          <w:rFonts w:ascii="Palatino Linotype" w:hAnsi="Palatino Linotype"/>
        </w:rPr>
        <w:t xml:space="preserve"> </w:t>
      </w:r>
      <w:r w:rsidR="009041E1" w:rsidRPr="00D0299D">
        <w:rPr>
          <w:rFonts w:ascii="Palatino Linotype" w:hAnsi="Palatino Linotype"/>
        </w:rPr>
        <w:lastRenderedPageBreak/>
        <w:t xml:space="preserve">trámite </w:t>
      </w:r>
      <w:r w:rsidR="00EC27A5" w:rsidRPr="00D0299D">
        <w:rPr>
          <w:rFonts w:ascii="Palatino Linotype" w:hAnsi="Palatino Linotype"/>
        </w:rPr>
        <w:t xml:space="preserve">que debe realizarse de manera </w:t>
      </w:r>
      <w:r w:rsidR="009041E1" w:rsidRPr="00D0299D">
        <w:rPr>
          <w:rFonts w:ascii="Palatino Linotype" w:hAnsi="Palatino Linotype"/>
        </w:rPr>
        <w:t>presencial</w:t>
      </w:r>
      <w:r w:rsidR="00CC27F8" w:rsidRPr="00D0299D">
        <w:rPr>
          <w:rFonts w:ascii="Palatino Linotype" w:hAnsi="Palatino Linotype"/>
        </w:rPr>
        <w:t xml:space="preserve"> </w:t>
      </w:r>
      <w:r w:rsidR="00883158" w:rsidRPr="00D0299D">
        <w:rPr>
          <w:rFonts w:ascii="Palatino Linotype" w:hAnsi="Palatino Linotype"/>
        </w:rPr>
        <w:t xml:space="preserve">por una persona física </w:t>
      </w:r>
      <w:r w:rsidR="00CC27F8" w:rsidRPr="00D0299D">
        <w:rPr>
          <w:rFonts w:ascii="Palatino Linotype" w:hAnsi="Palatino Linotype"/>
        </w:rPr>
        <w:t xml:space="preserve">en la </w:t>
      </w:r>
      <w:r w:rsidR="005B5FB3" w:rsidRPr="00D0299D">
        <w:rPr>
          <w:rFonts w:ascii="Palatino Linotype" w:hAnsi="Palatino Linotype"/>
        </w:rPr>
        <w:t>O</w:t>
      </w:r>
      <w:r w:rsidR="00CC27F8" w:rsidRPr="00D0299D">
        <w:rPr>
          <w:rFonts w:ascii="Palatino Linotype" w:hAnsi="Palatino Linotype"/>
        </w:rPr>
        <w:t xml:space="preserve">ficialía del </w:t>
      </w:r>
      <w:r w:rsidR="005B5FB3" w:rsidRPr="00D0299D">
        <w:rPr>
          <w:rFonts w:ascii="Palatino Linotype" w:hAnsi="Palatino Linotype"/>
        </w:rPr>
        <w:t>R</w:t>
      </w:r>
      <w:r w:rsidR="00CC27F8" w:rsidRPr="00D0299D">
        <w:rPr>
          <w:rFonts w:ascii="Palatino Linotype" w:hAnsi="Palatino Linotype"/>
        </w:rPr>
        <w:t xml:space="preserve">egistro </w:t>
      </w:r>
      <w:r w:rsidR="005B5FB3" w:rsidRPr="00D0299D">
        <w:rPr>
          <w:rFonts w:ascii="Palatino Linotype" w:hAnsi="Palatino Linotype"/>
        </w:rPr>
        <w:t>C</w:t>
      </w:r>
      <w:r w:rsidR="00CC27F8" w:rsidRPr="00D0299D">
        <w:rPr>
          <w:rFonts w:ascii="Palatino Linotype" w:hAnsi="Palatino Linotype"/>
        </w:rPr>
        <w:t>ivil correspondiente, como se observa:</w:t>
      </w:r>
    </w:p>
    <w:p w:rsidR="00EC27A5" w:rsidRPr="00D0299D" w:rsidRDefault="00EC27A5" w:rsidP="00883158">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rsidR="00D50147" w:rsidRPr="00D0299D" w:rsidRDefault="00883158" w:rsidP="00D5014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D0299D">
        <w:rPr>
          <w:rFonts w:ascii="Palatino Linotype" w:eastAsia="Calibri" w:hAnsi="Palatino Linotype" w:cs="Arial"/>
          <w:noProof/>
          <w:color w:val="000000" w:themeColor="text1"/>
          <w:lang w:val="es-MX" w:eastAsia="es-MX"/>
        </w:rPr>
        <w:drawing>
          <wp:inline distT="0" distB="0" distL="0" distR="0" wp14:anchorId="4BBA7E58" wp14:editId="48C971B5">
            <wp:extent cx="5579745" cy="3790315"/>
            <wp:effectExtent l="12700" t="1270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5"/>
                    <a:stretch>
                      <a:fillRect/>
                    </a:stretch>
                  </pic:blipFill>
                  <pic:spPr>
                    <a:xfrm>
                      <a:off x="0" y="0"/>
                      <a:ext cx="5579745" cy="3790315"/>
                    </a:xfrm>
                    <a:prstGeom prst="rect">
                      <a:avLst/>
                    </a:prstGeom>
                    <a:ln>
                      <a:solidFill>
                        <a:schemeClr val="tx1"/>
                      </a:solidFill>
                    </a:ln>
                  </pic:spPr>
                </pic:pic>
              </a:graphicData>
            </a:graphic>
          </wp:inline>
        </w:drawing>
      </w:r>
    </w:p>
    <w:p w:rsidR="00CC27F8" w:rsidRPr="00D0299D" w:rsidRDefault="00CC27F8" w:rsidP="0088315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7B74D9" w:rsidRPr="00D0299D" w:rsidRDefault="00F503E1"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Por lo tanto</w:t>
      </w:r>
      <w:r w:rsidR="000010B4" w:rsidRPr="00D0299D">
        <w:rPr>
          <w:rFonts w:ascii="Palatino Linotype" w:eastAsia="Calibri" w:hAnsi="Palatino Linotype" w:cs="Arial"/>
          <w:color w:val="000000" w:themeColor="text1"/>
          <w:lang w:val="es-ES"/>
        </w:rPr>
        <w:t xml:space="preserve">, se </w:t>
      </w:r>
      <w:r w:rsidR="00CC27F8" w:rsidRPr="00D0299D">
        <w:rPr>
          <w:rFonts w:ascii="Palatino Linotype" w:eastAsia="Calibri" w:hAnsi="Palatino Linotype" w:cs="Arial"/>
          <w:color w:val="000000" w:themeColor="text1"/>
          <w:lang w:val="es-ES"/>
        </w:rPr>
        <w:t xml:space="preserve">tiene </w:t>
      </w:r>
      <w:r w:rsidR="000010B4" w:rsidRPr="00D0299D">
        <w:rPr>
          <w:rFonts w:ascii="Palatino Linotype" w:eastAsia="Calibri" w:hAnsi="Palatino Linotype" w:cs="Arial"/>
          <w:color w:val="000000" w:themeColor="text1"/>
          <w:lang w:val="es-ES"/>
        </w:rPr>
        <w:t xml:space="preserve">que </w:t>
      </w:r>
      <w:r w:rsidR="00FC511E" w:rsidRPr="00D0299D">
        <w:rPr>
          <w:rFonts w:ascii="Palatino Linotype" w:eastAsia="Calibri" w:hAnsi="Palatino Linotype" w:cs="Arial"/>
          <w:color w:val="000000" w:themeColor="text1"/>
          <w:lang w:val="es-ES"/>
        </w:rPr>
        <w:t xml:space="preserve">por medio de un acto jurídico posterior como lo es el informe justificado, el </w:t>
      </w:r>
      <w:r w:rsidR="00FC511E" w:rsidRPr="00D0299D">
        <w:rPr>
          <w:rFonts w:ascii="Palatino Linotype" w:eastAsia="Calibri" w:hAnsi="Palatino Linotype" w:cs="Arial"/>
          <w:b/>
          <w:bCs/>
          <w:color w:val="000000" w:themeColor="text1"/>
          <w:lang w:val="es-ES"/>
        </w:rPr>
        <w:t>SUJETO OBLIGADO</w:t>
      </w:r>
      <w:r w:rsidR="00FC511E" w:rsidRPr="00D0299D">
        <w:rPr>
          <w:rFonts w:ascii="Palatino Linotype" w:eastAsia="Calibri" w:hAnsi="Palatino Linotype" w:cs="Arial"/>
          <w:color w:val="000000" w:themeColor="text1"/>
          <w:lang w:val="es-ES"/>
        </w:rPr>
        <w:t xml:space="preserve"> aportó información novedosa</w:t>
      </w:r>
      <w:r w:rsidR="005B5FB3" w:rsidRPr="00D0299D">
        <w:rPr>
          <w:rFonts w:ascii="Palatino Linotype" w:eastAsia="Calibri" w:hAnsi="Palatino Linotype" w:cs="Arial"/>
          <w:color w:val="000000" w:themeColor="text1"/>
          <w:lang w:val="es-ES"/>
        </w:rPr>
        <w:t xml:space="preserve">, donde </w:t>
      </w:r>
      <w:r w:rsidR="007B74D9" w:rsidRPr="00D0299D">
        <w:rPr>
          <w:rFonts w:ascii="Palatino Linotype" w:eastAsia="Calibri" w:hAnsi="Palatino Linotype" w:cs="Arial"/>
          <w:color w:val="000000" w:themeColor="text1"/>
          <w:lang w:val="es-ES"/>
        </w:rPr>
        <w:t xml:space="preserve">hizo del conocimiento de la Recurrente </w:t>
      </w:r>
      <w:r w:rsidR="005B5FB3" w:rsidRPr="00D0299D">
        <w:rPr>
          <w:rFonts w:ascii="Palatino Linotype" w:eastAsia="Calibri" w:hAnsi="Palatino Linotype" w:cs="Arial"/>
          <w:color w:val="000000" w:themeColor="text1"/>
          <w:lang w:val="es-ES"/>
        </w:rPr>
        <w:t xml:space="preserve">las razones por las cuales no </w:t>
      </w:r>
      <w:r w:rsidR="00B76C39" w:rsidRPr="00D0299D">
        <w:rPr>
          <w:rFonts w:ascii="Palatino Linotype" w:eastAsia="Calibri" w:hAnsi="Palatino Linotype" w:cs="Arial"/>
          <w:color w:val="000000" w:themeColor="text1"/>
          <w:lang w:val="es-ES"/>
        </w:rPr>
        <w:t xml:space="preserve">obra en sus archivos </w:t>
      </w:r>
      <w:r w:rsidRPr="00D0299D">
        <w:rPr>
          <w:rFonts w:ascii="Palatino Linotype" w:hAnsi="Palatino Linotype"/>
          <w:color w:val="000000"/>
        </w:rPr>
        <w:t>un</w:t>
      </w:r>
      <w:r w:rsidR="007B74D9" w:rsidRPr="00D0299D">
        <w:rPr>
          <w:rFonts w:ascii="Palatino Linotype" w:hAnsi="Palatino Linotype"/>
          <w:color w:val="000000"/>
        </w:rPr>
        <w:t xml:space="preserve"> listado de órdenes de inhumación y cremación </w:t>
      </w:r>
      <w:r w:rsidRPr="00D0299D">
        <w:rPr>
          <w:rFonts w:ascii="Palatino Linotype" w:hAnsi="Palatino Linotype"/>
          <w:color w:val="000000"/>
        </w:rPr>
        <w:t>a nombre</w:t>
      </w:r>
      <w:r w:rsidR="007B74D9" w:rsidRPr="00D0299D">
        <w:rPr>
          <w:rFonts w:ascii="Palatino Linotype" w:hAnsi="Palatino Linotype"/>
          <w:color w:val="000000"/>
        </w:rPr>
        <w:t xml:space="preserve"> funeraria referida en la solicitud de información</w:t>
      </w:r>
      <w:r w:rsidRPr="00D0299D">
        <w:rPr>
          <w:rFonts w:ascii="Palatino Linotype" w:hAnsi="Palatino Linotype"/>
          <w:color w:val="000000"/>
        </w:rPr>
        <w:t>.</w:t>
      </w:r>
    </w:p>
    <w:p w:rsidR="006C55B9" w:rsidRPr="00D0299D" w:rsidRDefault="006C55B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hAnsi="Palatino Linotype"/>
          <w:color w:val="000000"/>
        </w:rPr>
        <w:lastRenderedPageBreak/>
        <w:t xml:space="preserve">Atentos a lo anterior, se advierte que </w:t>
      </w:r>
      <w:r w:rsidRPr="00D0299D">
        <w:rPr>
          <w:rFonts w:ascii="Palatino Linotype" w:eastAsia="Palatino Linotype" w:hAnsi="Palatino Linotype" w:cs="Palatino Linotype"/>
          <w:lang w:eastAsia="es-MX"/>
        </w:rPr>
        <w:t xml:space="preserve">el </w:t>
      </w:r>
      <w:r w:rsidRPr="00D0299D">
        <w:rPr>
          <w:rFonts w:ascii="Palatino Linotype" w:eastAsia="MS Mincho" w:hAnsi="Palatino Linotype" w:cs="Arial"/>
          <w:b/>
        </w:rPr>
        <w:t xml:space="preserve">SUJETO OBLIGADO </w:t>
      </w:r>
      <w:r w:rsidRPr="00D0299D">
        <w:rPr>
          <w:rFonts w:ascii="Palatino Linotype" w:eastAsia="MS Mincho" w:hAnsi="Palatino Linotype" w:cs="Arial"/>
        </w:rPr>
        <w:t>se pronunció para otorgar acceso a la información al ciudadano; por lo que, se garantizó en todo momento el derecho de acceso a la información, dando trámite y atención a la solicitud de mérito, sirve de sustento a la analogía anterior el Criterio 02/17 emitido por el Instituto de Transparencia, Acceso a la Información y Protección de Datos Personales, que de la literalidad señala lo siguiente:</w:t>
      </w:r>
    </w:p>
    <w:p w:rsidR="006C55B9" w:rsidRPr="00D0299D"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6C55B9" w:rsidRPr="00D0299D" w:rsidRDefault="006C55B9" w:rsidP="006C55B9">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D0299D">
        <w:rPr>
          <w:rFonts w:ascii="Palatino Linotype" w:eastAsia="MS Mincho" w:hAnsi="Palatino Linotype" w:cs="Arial"/>
          <w:b/>
          <w:i/>
          <w:sz w:val="22"/>
          <w:szCs w:val="20"/>
        </w:rPr>
        <w:t>Congruencia y exhaustividad. Sus alcances para garantizar el derecho de acceso a la información.</w:t>
      </w:r>
      <w:r w:rsidRPr="00D0299D">
        <w:rPr>
          <w:rFonts w:ascii="Palatino Linotype" w:eastAsia="MS Mincho" w:hAnsi="Palatino Linotype" w:cs="Arial"/>
          <w:i/>
          <w:sz w:val="22"/>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r w:rsidRPr="00D0299D">
        <w:rPr>
          <w:rFonts w:ascii="Palatino Linotype" w:eastAsia="MS Mincho" w:hAnsi="Palatino Linotype" w:cs="Arial"/>
          <w:i/>
          <w:szCs w:val="20"/>
        </w:rPr>
        <w:t>.</w:t>
      </w:r>
    </w:p>
    <w:p w:rsidR="006C55B9" w:rsidRPr="00D0299D"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6C55B9" w:rsidRPr="00D0299D" w:rsidRDefault="006C55B9"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Así, </w:t>
      </w:r>
      <w:r w:rsidR="002704B6" w:rsidRPr="00D0299D">
        <w:rPr>
          <w:rFonts w:ascii="Palatino Linotype" w:eastAsia="Calibri" w:hAnsi="Palatino Linotype" w:cs="Arial"/>
          <w:color w:val="000000" w:themeColor="text1"/>
          <w:lang w:val="es-ES"/>
        </w:rPr>
        <w:t>al haber</w:t>
      </w:r>
      <w:r w:rsidRPr="00D0299D">
        <w:rPr>
          <w:rFonts w:ascii="Palatino Linotype" w:hAnsi="Palatino Linotype"/>
        </w:rPr>
        <w:t xml:space="preserve"> existido un pronunciamiento </w:t>
      </w:r>
      <w:r w:rsidR="002704B6" w:rsidRPr="00D0299D">
        <w:rPr>
          <w:rFonts w:ascii="Palatino Linotype" w:hAnsi="Palatino Linotype"/>
        </w:rPr>
        <w:t xml:space="preserve">por parte </w:t>
      </w:r>
      <w:r w:rsidRPr="00D0299D">
        <w:rPr>
          <w:rFonts w:ascii="Palatino Linotype" w:hAnsi="Palatino Linotype"/>
        </w:rPr>
        <w:t xml:space="preserve">del </w:t>
      </w:r>
      <w:r w:rsidRPr="00D0299D">
        <w:rPr>
          <w:rFonts w:ascii="Palatino Linotype" w:hAnsi="Palatino Linotype"/>
          <w:b/>
        </w:rPr>
        <w:t xml:space="preserve">SUJETO OBLIGADO, </w:t>
      </w:r>
      <w:r w:rsidRPr="00D0299D">
        <w:rPr>
          <w:rFonts w:ascii="Palatino Linotype" w:hAnsi="Palatino Linotype"/>
        </w:rPr>
        <w:t xml:space="preserve">aún más del servidor público habilitado, es decir, el Director General del Registro Civil, a quien le fue requerida la información por la Titular de la Unidad de Transparencia; </w:t>
      </w:r>
      <w:r w:rsidR="002704B6" w:rsidRPr="00D0299D">
        <w:rPr>
          <w:rFonts w:ascii="Palatino Linotype" w:hAnsi="Palatino Linotype"/>
        </w:rPr>
        <w:t>y señalar</w:t>
      </w:r>
      <w:r w:rsidRPr="00D0299D">
        <w:rPr>
          <w:rFonts w:ascii="Palatino Linotype" w:hAnsi="Palatino Linotype"/>
        </w:rPr>
        <w:t xml:space="preserve"> qu</w:t>
      </w:r>
      <w:r w:rsidR="002704B6" w:rsidRPr="00D0299D">
        <w:rPr>
          <w:rFonts w:ascii="Palatino Linotype" w:hAnsi="Palatino Linotype"/>
        </w:rPr>
        <w:t xml:space="preserve">e en sus archivos no se encontró la información solicitada, se trata de un hecho negativo; en este sentido, </w:t>
      </w:r>
      <w:r w:rsidRPr="00D0299D">
        <w:rPr>
          <w:rFonts w:ascii="Palatino Linotype" w:hAnsi="Palatino Linotype"/>
        </w:rPr>
        <w:t xml:space="preserve">se </w:t>
      </w:r>
      <w:r w:rsidRPr="00D0299D">
        <w:rPr>
          <w:rFonts w:ascii="Palatino Linotype" w:hAnsi="Palatino Linotype" w:cs="Arial"/>
        </w:rPr>
        <w:t xml:space="preserve">obvia que no puede fácticamente obrar en los archivos del </w:t>
      </w:r>
      <w:r w:rsidRPr="00D0299D">
        <w:rPr>
          <w:rFonts w:ascii="Palatino Linotype" w:hAnsi="Palatino Linotype" w:cs="Arial"/>
          <w:b/>
        </w:rPr>
        <w:t>SUJETO OBLIGADO</w:t>
      </w:r>
      <w:r w:rsidRPr="00D0299D">
        <w:rPr>
          <w:rFonts w:ascii="Palatino Linotype" w:hAnsi="Palatino Linotype" w:cs="Arial"/>
        </w:rPr>
        <w:t xml:space="preserve">, ya que no puede </w:t>
      </w:r>
      <w:r w:rsidRPr="00D0299D">
        <w:rPr>
          <w:rFonts w:ascii="Palatino Linotype" w:hAnsi="Palatino Linotype" w:cs="Arial"/>
        </w:rPr>
        <w:lastRenderedPageBreak/>
        <w:t>probarse por ser lógica y materialmente imposible, en razón de que, al no haber generado dicha información, no la posee, no la administra, ni cuenta con la misma.</w:t>
      </w:r>
    </w:p>
    <w:p w:rsidR="002704B6" w:rsidRPr="00D0299D" w:rsidRDefault="002704B6" w:rsidP="002704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704B6" w:rsidRPr="00D0299D" w:rsidRDefault="002704B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2704B6" w:rsidRPr="00D0299D" w:rsidRDefault="002704B6" w:rsidP="002704B6">
      <w:pPr>
        <w:rPr>
          <w:rFonts w:ascii="Palatino Linotype" w:eastAsia="Calibri" w:hAnsi="Palatino Linotype" w:cs="Arial"/>
          <w:color w:val="000000" w:themeColor="text1"/>
          <w:lang w:val="es-ES"/>
        </w:rPr>
      </w:pPr>
    </w:p>
    <w:p w:rsidR="002704B6" w:rsidRPr="00D0299D" w:rsidRDefault="002704B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Por ello, </w:t>
      </w:r>
      <w:r w:rsidRPr="00D0299D">
        <w:rPr>
          <w:rFonts w:ascii="Palatino Linotype" w:hAnsi="Palatino Linotype" w:cs="Arial"/>
        </w:rPr>
        <w:t xml:space="preserve">de conformidad con lo establecido en el artículo 12 de la Ley de Transparencia y Acceso a la Información Pública del Estado de México y Municipios </w:t>
      </w:r>
      <w:r w:rsidRPr="00D0299D">
        <w:rPr>
          <w:rFonts w:ascii="Palatino Linotype" w:hAnsi="Palatino Linotype" w:cs="Arial"/>
          <w:b/>
        </w:rPr>
        <w:t>EL SUJETO OBLIGADO</w:t>
      </w:r>
      <w:r w:rsidRPr="00D0299D">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rsidR="002704B6" w:rsidRPr="00D0299D" w:rsidRDefault="002704B6" w:rsidP="002704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704B6" w:rsidRPr="00D0299D" w:rsidRDefault="002704B6" w:rsidP="002704B6">
      <w:pPr>
        <w:widowControl w:val="0"/>
        <w:tabs>
          <w:tab w:val="left" w:pos="1276"/>
        </w:tabs>
        <w:autoSpaceDE w:val="0"/>
        <w:autoSpaceDN w:val="0"/>
        <w:adjustRightInd w:val="0"/>
        <w:ind w:left="567" w:right="565"/>
        <w:jc w:val="both"/>
        <w:rPr>
          <w:rFonts w:ascii="Palatino Linotype" w:hAnsi="Palatino Linotype"/>
          <w:b/>
          <w:i/>
          <w:sz w:val="22"/>
          <w:szCs w:val="22"/>
        </w:rPr>
      </w:pPr>
      <w:r w:rsidRPr="00D0299D">
        <w:rPr>
          <w:rFonts w:ascii="Palatino Linotype" w:hAnsi="Palatino Linotype"/>
          <w:b/>
          <w:i/>
          <w:sz w:val="22"/>
          <w:szCs w:val="22"/>
        </w:rPr>
        <w:t>“HECHOS NEGATIVOS, NO SON SUSCEPTIBLES DE DEMOSTRACIÓN.</w:t>
      </w:r>
    </w:p>
    <w:p w:rsidR="002704B6" w:rsidRPr="00D0299D" w:rsidRDefault="002704B6" w:rsidP="002704B6">
      <w:pPr>
        <w:widowControl w:val="0"/>
        <w:tabs>
          <w:tab w:val="left" w:pos="1276"/>
        </w:tabs>
        <w:autoSpaceDE w:val="0"/>
        <w:autoSpaceDN w:val="0"/>
        <w:adjustRightInd w:val="0"/>
        <w:ind w:left="567" w:right="565"/>
        <w:jc w:val="both"/>
        <w:rPr>
          <w:rFonts w:ascii="Palatino Linotype" w:hAnsi="Palatino Linotype"/>
          <w:i/>
          <w:sz w:val="22"/>
          <w:szCs w:val="22"/>
        </w:rPr>
      </w:pPr>
      <w:r w:rsidRPr="00D0299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2704B6" w:rsidRPr="00D0299D" w:rsidRDefault="002704B6" w:rsidP="002704B6">
      <w:pPr>
        <w:widowControl w:val="0"/>
        <w:tabs>
          <w:tab w:val="left" w:pos="1276"/>
        </w:tabs>
        <w:autoSpaceDE w:val="0"/>
        <w:autoSpaceDN w:val="0"/>
        <w:adjustRightInd w:val="0"/>
        <w:ind w:left="567" w:right="565"/>
        <w:jc w:val="both"/>
        <w:rPr>
          <w:rFonts w:ascii="Palatino Linotype" w:hAnsi="Palatino Linotype"/>
          <w:i/>
          <w:sz w:val="22"/>
          <w:szCs w:val="22"/>
        </w:rPr>
      </w:pPr>
      <w:r w:rsidRPr="00D0299D">
        <w:rPr>
          <w:rFonts w:ascii="Palatino Linotype" w:hAnsi="Palatino Linotype"/>
          <w:i/>
          <w:sz w:val="22"/>
          <w:szCs w:val="22"/>
        </w:rPr>
        <w:t>Amparo en revisión 2022/61. José García Florín (Menor). 9 de octubre de 1961. Cinco votos. Ponente: José Rivera Pérez Campos.”</w:t>
      </w:r>
    </w:p>
    <w:p w:rsidR="006C55B9" w:rsidRPr="00D0299D"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B3406" w:rsidRPr="00D0299D"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lastRenderedPageBreak/>
        <w:t xml:space="preserve">De </w:t>
      </w:r>
      <w:r w:rsidRPr="00D0299D">
        <w:rPr>
          <w:rFonts w:ascii="Palatino Linotype" w:hAnsi="Palatino Linotype" w:cs="Arial"/>
        </w:rPr>
        <w:t>igual forma, es aplicable el criterio 7/2017, emitido en la Segunda Época por el Instituto Nacional de Transparencia, Acceso a la Información y Protección de Datos Personales (INAI), el cual señala lo siguiente:</w:t>
      </w:r>
    </w:p>
    <w:p w:rsidR="00BB3406" w:rsidRPr="00D0299D"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B3406" w:rsidRPr="00D0299D" w:rsidRDefault="00BB3406" w:rsidP="00BB3406">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D0299D">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BB3406" w:rsidRPr="00D0299D"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B3406" w:rsidRPr="00D0299D"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Asimismo, </w:t>
      </w:r>
      <w:r w:rsidRPr="00D0299D">
        <w:rPr>
          <w:rFonts w:ascii="Palatino Linotype" w:hAnsi="Palatino Linotype" w:cs="Arial"/>
        </w:rPr>
        <w:t xml:space="preserve">no se omite comentar que al haber existido un pronunciamiento por parte del </w:t>
      </w:r>
      <w:r w:rsidRPr="00D0299D">
        <w:rPr>
          <w:rFonts w:ascii="Palatino Linotype" w:hAnsi="Palatino Linotype" w:cs="Arial"/>
          <w:b/>
        </w:rPr>
        <w:t>SUJETO OBLIGADO</w:t>
      </w:r>
      <w:r w:rsidRPr="00D0299D">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BB3406" w:rsidRPr="00D0299D"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B3406" w:rsidRPr="00D0299D"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Sirve </w:t>
      </w:r>
      <w:r w:rsidRPr="00D0299D">
        <w:rPr>
          <w:rFonts w:ascii="Palatino Linotype" w:hAnsi="Palatino Linotype" w:cs="Arial"/>
        </w:rPr>
        <w:t>de sustento a lo anterior, el criterio 31/10 emitido por el entonces Instituto Federal de Acceso a la Información y Protección de Datos, ahora Instituto Nacional de Acceso a la Información y Protección de Datos,  el cual refiere:</w:t>
      </w:r>
    </w:p>
    <w:p w:rsidR="00BB3406" w:rsidRPr="00D0299D"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BB3406" w:rsidRPr="00D0299D" w:rsidRDefault="00BB3406" w:rsidP="00BB3406">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D0299D">
        <w:rPr>
          <w:rFonts w:ascii="Palatino Linotype" w:hAnsi="Palatino Linotype" w:cs="Arial"/>
          <w:b/>
          <w:i/>
          <w:sz w:val="22"/>
          <w:szCs w:val="20"/>
        </w:rPr>
        <w:t>“El Instituto Federal de Acceso a la Información y Protección de Datos no cuenta con facultades para pronunciarse respecto de la veracidad de los documentos proporcionados por los sujetos obligados</w:t>
      </w:r>
      <w:r w:rsidRPr="00D0299D">
        <w:rPr>
          <w:rFonts w:ascii="Palatino Linotype" w:hAnsi="Palatino Linotype" w:cs="Arial"/>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0299D">
        <w:rPr>
          <w:rFonts w:ascii="Palatino Linotype" w:hAnsi="Palatino Linotype" w:cs="Arial"/>
          <w:b/>
          <w:i/>
          <w:sz w:val="22"/>
          <w:szCs w:val="20"/>
        </w:rPr>
        <w:t>”</w:t>
      </w:r>
    </w:p>
    <w:p w:rsidR="00CE5FA1" w:rsidRPr="00D0299D" w:rsidRDefault="00CE5FA1" w:rsidP="00A77234">
      <w:pPr>
        <w:tabs>
          <w:tab w:val="left" w:pos="709"/>
        </w:tabs>
        <w:ind w:right="565"/>
        <w:jc w:val="both"/>
        <w:rPr>
          <w:rFonts w:ascii="Palatino Linotype" w:hAnsi="Palatino Linotype" w:cs="Arial"/>
          <w:b/>
          <w:bCs/>
          <w:i/>
          <w:sz w:val="22"/>
          <w:szCs w:val="22"/>
        </w:rPr>
      </w:pPr>
    </w:p>
    <w:p w:rsidR="008E0416" w:rsidRPr="00D0299D"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Así, </w:t>
      </w:r>
      <w:r w:rsidRPr="00D0299D">
        <w:rPr>
          <w:rFonts w:ascii="Palatino Linotype" w:eastAsia="Calibri" w:hAnsi="Palatino Linotype" w:cs="Times New Roman"/>
        </w:rPr>
        <w:t xml:space="preserve">este Pleno advierte que el </w:t>
      </w:r>
      <w:r w:rsidRPr="00D0299D">
        <w:rPr>
          <w:rFonts w:ascii="Palatino Linotype" w:eastAsia="Calibri" w:hAnsi="Palatino Linotype" w:cs="Times New Roman"/>
          <w:b/>
        </w:rPr>
        <w:t>SUJETO OBLIGADO</w:t>
      </w:r>
      <w:r w:rsidRPr="00D0299D">
        <w:rPr>
          <w:rFonts w:ascii="Palatino Linotype" w:eastAsia="Calibri" w:hAnsi="Palatino Linotype" w:cs="Times New Roman"/>
        </w:rPr>
        <w:t xml:space="preserve"> con la información enviada a través del</w:t>
      </w:r>
      <w:r w:rsidR="00913117" w:rsidRPr="00D0299D">
        <w:rPr>
          <w:rFonts w:ascii="Palatino Linotype" w:eastAsia="Calibri" w:hAnsi="Palatino Linotype" w:cs="Times New Roman"/>
        </w:rPr>
        <w:t xml:space="preserve"> </w:t>
      </w:r>
      <w:r w:rsidR="00BB3406" w:rsidRPr="00D0299D">
        <w:rPr>
          <w:rFonts w:ascii="Palatino Linotype" w:eastAsia="Calibri" w:hAnsi="Palatino Linotype" w:cs="Times New Roman"/>
        </w:rPr>
        <w:t>informe justificado</w:t>
      </w:r>
      <w:r w:rsidRPr="00D0299D">
        <w:rPr>
          <w:rFonts w:ascii="Palatino Linotype" w:eastAsia="Calibri" w:hAnsi="Palatino Linotype" w:cs="Times New Roman"/>
        </w:rPr>
        <w:t xml:space="preserve">, </w:t>
      </w:r>
      <w:r w:rsidRPr="00D0299D">
        <w:rPr>
          <w:rFonts w:ascii="Palatino Linotype" w:eastAsia="Calibri" w:hAnsi="Palatino Linotype" w:cs="Times New Roman"/>
          <w:b/>
        </w:rPr>
        <w:t>modifica</w:t>
      </w:r>
      <w:r w:rsidRPr="00D0299D">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artículo</w:t>
      </w:r>
      <w:r w:rsidR="00913117" w:rsidRPr="00D0299D">
        <w:rPr>
          <w:rFonts w:ascii="Palatino Linotype" w:eastAsia="Calibri" w:hAnsi="Palatino Linotype" w:cs="Times New Roman"/>
        </w:rPr>
        <w:t xml:space="preserve"> 192 de la Ley de Transparencia Local</w:t>
      </w:r>
      <w:r w:rsidRPr="00D0299D">
        <w:rPr>
          <w:rFonts w:ascii="Palatino Linotype" w:eastAsia="Calibri" w:hAnsi="Palatino Linotype" w:cs="Times New Roman"/>
        </w:rPr>
        <w:t>.</w:t>
      </w:r>
    </w:p>
    <w:p w:rsidR="008E0416" w:rsidRPr="00D0299D"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E0416" w:rsidRPr="00D0299D" w:rsidRDefault="008E0416" w:rsidP="0091311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Ahora bien, </w:t>
      </w:r>
      <w:r w:rsidRPr="00D0299D">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0299D">
        <w:rPr>
          <w:rFonts w:ascii="Palatino Linotype" w:eastAsia="Calibri" w:hAnsi="Palatino Linotype" w:cs="Times New Roman"/>
          <w:b/>
        </w:rPr>
        <w:t>SUJETOS OBLIGADOS</w:t>
      </w:r>
      <w:r w:rsidRPr="00D0299D">
        <w:rPr>
          <w:rFonts w:ascii="Palatino Linotype" w:eastAsia="Calibri" w:hAnsi="Palatino Linotype" w:cs="Times New Roman"/>
        </w:rPr>
        <w:t xml:space="preserve"> o la negativa de entrega de la misma, derivada de la solicitud de información pública.</w:t>
      </w:r>
    </w:p>
    <w:p w:rsidR="008E0416" w:rsidRPr="00D0299D"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lastRenderedPageBreak/>
        <w:t xml:space="preserve">De </w:t>
      </w:r>
      <w:r w:rsidRPr="00D0299D">
        <w:rPr>
          <w:rFonts w:ascii="Palatino Linotype" w:eastAsia="Calibri" w:hAnsi="Palatino Linotype" w:cs="Times New Roman"/>
        </w:rPr>
        <w:t xml:space="preserve">este modo, cuando el </w:t>
      </w:r>
      <w:r w:rsidRPr="00D0299D">
        <w:rPr>
          <w:rFonts w:ascii="Palatino Linotype" w:eastAsia="Calibri" w:hAnsi="Palatino Linotype" w:cs="Times New Roman"/>
          <w:b/>
        </w:rPr>
        <w:t xml:space="preserve">SUJETO OBLIGADO, </w:t>
      </w:r>
      <w:r w:rsidRPr="00D0299D">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D0299D">
        <w:rPr>
          <w:rFonts w:ascii="Palatino Linotype" w:eastAsia="Calibri" w:hAnsi="Palatino Linotype" w:cs="Times New Roman"/>
          <w:i/>
        </w:rPr>
        <w:t>litis</w:t>
      </w:r>
      <w:r w:rsidRPr="00D0299D">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rsidR="00F503E1" w:rsidRPr="00D0299D"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8E0416" w:rsidRPr="00D0299D"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Sirve </w:t>
      </w:r>
      <w:r w:rsidRPr="00D0299D">
        <w:rPr>
          <w:rFonts w:ascii="Palatino Linotype" w:eastAsia="Calibri" w:hAnsi="Palatino Linotype" w:cs="Times New Roman"/>
        </w:rPr>
        <w:t>de sustento a lo anterior la siguiente jurisprudencia por contradicción, cuyo rubro, texto y datos de identificación son los siguientes:</w:t>
      </w:r>
    </w:p>
    <w:p w:rsidR="008E0416" w:rsidRPr="00D0299D" w:rsidRDefault="008E0416" w:rsidP="008E0416">
      <w:pPr>
        <w:pStyle w:val="Prrafodelista"/>
        <w:rPr>
          <w:rFonts w:ascii="Palatino Linotype" w:eastAsia="Calibri" w:hAnsi="Palatino Linotype" w:cs="Arial"/>
          <w:color w:val="000000" w:themeColor="text1"/>
          <w:lang w:val="es-ES"/>
        </w:rPr>
      </w:pPr>
    </w:p>
    <w:p w:rsidR="008E0416" w:rsidRPr="00D0299D"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D0299D">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0299D">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w:t>
      </w:r>
      <w:r w:rsidRPr="00D0299D">
        <w:rPr>
          <w:rFonts w:ascii="Palatino Linotype" w:eastAsia="Calibri" w:hAnsi="Palatino Linotype" w:cs="Times New Roman"/>
          <w:i/>
          <w:sz w:val="22"/>
        </w:rPr>
        <w:lastRenderedPageBreak/>
        <w:t>por otra, que respecto del contenido de dicha contestación, el quejoso puede ampliar su demanda inicial, promover otro juicio de amparo o el medio ordinario de defensa que proceda, toda vez que se trata de un nuevo acto.</w:t>
      </w:r>
    </w:p>
    <w:p w:rsidR="008E0416" w:rsidRPr="00D0299D" w:rsidRDefault="008E0416" w:rsidP="00F503E1">
      <w:pPr>
        <w:rPr>
          <w:rFonts w:ascii="Palatino Linotype" w:eastAsia="Calibri" w:hAnsi="Palatino Linotype" w:cs="Arial"/>
          <w:color w:val="000000" w:themeColor="text1"/>
          <w:lang w:val="es-ES"/>
        </w:rPr>
      </w:pPr>
    </w:p>
    <w:p w:rsidR="008E0416" w:rsidRPr="00D0299D"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La </w:t>
      </w:r>
      <w:r w:rsidRPr="00D0299D">
        <w:rPr>
          <w:rFonts w:ascii="Palatino Linotype" w:eastAsia="Calibri" w:hAnsi="Palatino Linotype" w:cs="Times New Roman"/>
        </w:rPr>
        <w:t xml:space="preserve">anterior jurisprudencia resulta aplicable al presente asunto, en dos aspectos: </w:t>
      </w:r>
    </w:p>
    <w:p w:rsidR="008E0416" w:rsidRPr="00D0299D"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rsidR="008E0416" w:rsidRPr="00D0299D"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D0299D">
        <w:rPr>
          <w:rFonts w:ascii="Palatino Linotype" w:eastAsia="Calibri" w:hAnsi="Palatino Linotype" w:cs="Times New Roman"/>
          <w:b/>
        </w:rPr>
        <w:t>La cesación de los efectos perniciosos del acto de autoridad:</w:t>
      </w:r>
      <w:r w:rsidRPr="00D0299D">
        <w:rPr>
          <w:rFonts w:ascii="Palatino Linotype" w:eastAsia="Calibri" w:hAnsi="Palatino Linotype" w:cs="Times New Roman"/>
        </w:rPr>
        <w:t xml:space="preserve"> Al respecto, la Ley de Transparencia contempla la figura jurídica del sobreseimiento cuando el </w:t>
      </w:r>
      <w:r w:rsidRPr="00D0299D">
        <w:rPr>
          <w:rFonts w:ascii="Palatino Linotype" w:eastAsia="Calibri" w:hAnsi="Palatino Linotype" w:cs="Times New Roman"/>
          <w:b/>
        </w:rPr>
        <w:t>SUJETO OBLIGADO</w:t>
      </w:r>
      <w:r w:rsidRPr="00D0299D">
        <w:rPr>
          <w:rFonts w:ascii="Palatino Linotype" w:eastAsia="Calibri" w:hAnsi="Palatino Linotype" w:cs="Times New Roman"/>
        </w:rPr>
        <w:t xml:space="preserve"> de </w:t>
      </w:r>
      <w:r w:rsidRPr="00D0299D">
        <w:rPr>
          <w:rFonts w:ascii="Palatino Linotype" w:eastAsia="Calibri" w:hAnsi="Palatino Linotype" w:cs="Times New Roman"/>
          <w:i/>
        </w:rPr>
        <w:t>motu proprio</w:t>
      </w:r>
      <w:r w:rsidRPr="00D0299D">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rsidR="008E0416" w:rsidRPr="00D0299D" w:rsidRDefault="008E0416" w:rsidP="008E0416">
      <w:pPr>
        <w:spacing w:line="360" w:lineRule="auto"/>
        <w:ind w:left="567" w:right="616"/>
        <w:contextualSpacing/>
        <w:rPr>
          <w:rFonts w:ascii="Palatino Linotype" w:eastAsia="Calibri" w:hAnsi="Palatino Linotype" w:cs="Times New Roman"/>
        </w:rPr>
      </w:pPr>
    </w:p>
    <w:p w:rsidR="008E0416" w:rsidRPr="00D0299D"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D0299D">
        <w:rPr>
          <w:rFonts w:ascii="Palatino Linotype" w:eastAsia="Calibri" w:hAnsi="Palatino Linotype" w:cs="Times New Roman"/>
          <w:b/>
        </w:rPr>
        <w:t>El momento procesal para modificar el acto impugnado:</w:t>
      </w:r>
      <w:r w:rsidRPr="00D0299D">
        <w:rPr>
          <w:rFonts w:ascii="Palatino Linotype" w:eastAsia="Calibri" w:hAnsi="Palatino Linotype" w:cs="Times New Roman"/>
        </w:rPr>
        <w:t xml:space="preserve"> Para que se actualice el sobreseimiento de un recurso de revisión, el </w:t>
      </w:r>
      <w:r w:rsidRPr="00D0299D">
        <w:rPr>
          <w:rFonts w:ascii="Palatino Linotype" w:eastAsia="Calibri" w:hAnsi="Palatino Linotype" w:cs="Times New Roman"/>
          <w:b/>
        </w:rPr>
        <w:t>SUJETO OBLIGADO</w:t>
      </w:r>
      <w:r w:rsidRPr="00D0299D">
        <w:rPr>
          <w:rFonts w:ascii="Palatino Linotype" w:eastAsia="Calibri" w:hAnsi="Palatino Linotype" w:cs="Times New Roman"/>
        </w:rPr>
        <w:t xml:space="preserve"> puede entregar o completar la información al momento de rendir su informe de justificación o </w:t>
      </w:r>
      <w:r w:rsidRPr="00D0299D">
        <w:rPr>
          <w:rFonts w:ascii="Palatino Linotype" w:eastAsia="Calibri" w:hAnsi="Palatino Linotype" w:cs="Times New Roman"/>
          <w:b/>
          <w:u w:val="single"/>
        </w:rPr>
        <w:t>posteriormente</w:t>
      </w:r>
      <w:r w:rsidRPr="00D0299D">
        <w:rPr>
          <w:rFonts w:ascii="Palatino Linotype" w:eastAsia="Calibri" w:hAnsi="Palatino Linotype" w:cs="Times New Roman"/>
        </w:rPr>
        <w:t xml:space="preserve"> a éste, siempre y cuando el Pleno del Instituto no haya dictado resolución definitiva.</w:t>
      </w:r>
    </w:p>
    <w:p w:rsidR="008E0416" w:rsidRPr="00D0299D"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C26FE" w:rsidRPr="00D0299D"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Eduardo Pallares, </w:t>
      </w:r>
      <w:r w:rsidRPr="00D0299D">
        <w:rPr>
          <w:rFonts w:ascii="Palatino Linotype" w:eastAsia="Calibri" w:hAnsi="Palatino Linotype" w:cs="Times New Roman"/>
        </w:rPr>
        <w:t xml:space="preserve">en su artículo </w:t>
      </w:r>
      <w:r w:rsidRPr="00D0299D">
        <w:rPr>
          <w:rFonts w:ascii="Palatino Linotype" w:eastAsia="Calibri" w:hAnsi="Palatino Linotype" w:cs="Times New Roman"/>
          <w:i/>
        </w:rPr>
        <w:t>“La caducidad y el sobreseimiento en el amparo”</w:t>
      </w:r>
      <w:r w:rsidRPr="00D0299D">
        <w:rPr>
          <w:rFonts w:ascii="Palatino Linotype" w:eastAsia="Calibri" w:hAnsi="Palatino Linotype" w:cs="Times New Roman"/>
        </w:rPr>
        <w:t xml:space="preserve">, cita la definición de Aguilera Paz, aduciendo que se </w:t>
      </w:r>
      <w:r w:rsidRPr="00D0299D">
        <w:rPr>
          <w:rFonts w:ascii="Palatino Linotype" w:eastAsia="Calibri" w:hAnsi="Palatino Linotype" w:cs="Times New Roman"/>
          <w:i/>
        </w:rPr>
        <w:t xml:space="preserve">“...entiende por sobreseimiento en el tecnicismo forense, el hecho de cesar en el procedimiento o curso de la causa, por no existir méritos bastantes para entrar en un juicio o para entablar la contienda judicial que debe ser </w:t>
      </w:r>
      <w:r w:rsidRPr="00D0299D">
        <w:rPr>
          <w:rFonts w:ascii="Palatino Linotype" w:eastAsia="Calibri" w:hAnsi="Palatino Linotype" w:cs="Times New Roman"/>
          <w:i/>
        </w:rPr>
        <w:lastRenderedPageBreak/>
        <w:t>objeto del mismo...”</w:t>
      </w:r>
      <w:r w:rsidRPr="00D0299D">
        <w:rPr>
          <w:rFonts w:ascii="Palatino Linotype" w:eastAsia="Calibri" w:hAnsi="Palatino Linotype" w:cs="Times New Roman"/>
        </w:rPr>
        <w:t xml:space="preserve">. </w:t>
      </w:r>
      <w:r w:rsidR="00836ADD" w:rsidRPr="00D0299D">
        <w:rPr>
          <w:rFonts w:ascii="Palatino Linotype" w:eastAsia="Calibri" w:hAnsi="Palatino Linotype" w:cs="Times New Roman"/>
        </w:rPr>
        <w:t>Asimismo,</w:t>
      </w:r>
      <w:r w:rsidRPr="00D0299D">
        <w:rPr>
          <w:rFonts w:ascii="Palatino Linotype" w:eastAsia="Calibri" w:hAnsi="Palatino Linotype" w:cs="Times New Roman"/>
        </w:rPr>
        <w:t xml:space="preserve"> señala que existe el sobreseimiento provisional y el definitivo</w:t>
      </w:r>
      <w:r w:rsidRPr="00D0299D">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rsidR="00CE5FA1" w:rsidRPr="00D0299D"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C26FE" w:rsidRPr="00D0299D"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Así, </w:t>
      </w:r>
      <w:r w:rsidRPr="00D0299D">
        <w:rPr>
          <w:rFonts w:ascii="Palatino Linotype" w:eastAsia="Calibri" w:hAnsi="Palatino Linotype" w:cs="Times New Roman"/>
        </w:rPr>
        <w:t xml:space="preserve">para la doctrina el sobreseimiento provoca que un procedimiento se suspenda o se resuelva en definitiva </w:t>
      </w:r>
      <w:r w:rsidRPr="00D0299D">
        <w:rPr>
          <w:rFonts w:ascii="Palatino Linotype" w:eastAsia="Calibri" w:hAnsi="Palatino Linotype" w:cs="Times New Roman"/>
          <w:b/>
          <w:u w:val="single"/>
        </w:rPr>
        <w:t xml:space="preserve">sin que se entre al estudio de los agravios o motivos de inconformidad. </w:t>
      </w:r>
      <w:r w:rsidRPr="00D0299D">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rsidR="002C26FE" w:rsidRPr="00D0299D" w:rsidRDefault="002C26FE" w:rsidP="00CE5FA1">
      <w:pPr>
        <w:rPr>
          <w:rFonts w:ascii="Palatino Linotype" w:eastAsia="Calibri" w:hAnsi="Palatino Linotype" w:cs="Arial"/>
          <w:color w:val="000000" w:themeColor="text1"/>
          <w:lang w:val="es-ES"/>
        </w:rPr>
      </w:pPr>
    </w:p>
    <w:p w:rsidR="002C26FE" w:rsidRPr="00D0299D"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D0299D">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D0299D">
        <w:rPr>
          <w:rFonts w:ascii="Palatino Linotype" w:eastAsia="Calibri" w:hAnsi="Palatino Linotype" w:cs="Times New Roman"/>
          <w:i/>
          <w:sz w:val="22"/>
          <w:lang w:val="es-AR"/>
        </w:rPr>
        <w:t xml:space="preserve"> en el juicio de amparo directo </w:t>
      </w:r>
      <w:r w:rsidRPr="00D0299D">
        <w:rPr>
          <w:rFonts w:ascii="Palatino Linotype" w:eastAsia="Calibri" w:hAnsi="Palatino Linotype" w:cs="Times New Roman"/>
          <w:b/>
          <w:i/>
          <w:sz w:val="22"/>
          <w:lang w:val="es-AR"/>
        </w:rPr>
        <w:t>provoca la terminación de la controversia planteada</w:t>
      </w:r>
      <w:r w:rsidRPr="00D0299D">
        <w:rPr>
          <w:rFonts w:ascii="Palatino Linotype" w:eastAsia="Calibri" w:hAnsi="Palatino Linotype" w:cs="Times New Roman"/>
          <w:i/>
          <w:sz w:val="22"/>
          <w:lang w:val="es-AR"/>
        </w:rPr>
        <w:t xml:space="preserve"> por el quejoso en la demanda de amparo</w:t>
      </w:r>
      <w:r w:rsidRPr="00D0299D">
        <w:rPr>
          <w:rFonts w:ascii="Palatino Linotype" w:eastAsia="Calibri" w:hAnsi="Palatino Linotype" w:cs="Times New Roman"/>
          <w:b/>
          <w:i/>
          <w:sz w:val="22"/>
          <w:lang w:val="es-AR"/>
        </w:rPr>
        <w:t>, sin hacer un pronunciamiento de fondo sobre la legalidad o ilegalidad de la sentencia reclamada</w:t>
      </w:r>
      <w:r w:rsidRPr="00D0299D">
        <w:rPr>
          <w:rFonts w:ascii="Palatino Linotype" w:eastAsia="Calibri" w:hAnsi="Palatino Linotype" w:cs="Times New Roman"/>
          <w:i/>
          <w:sz w:val="22"/>
          <w:lang w:val="es-AR"/>
        </w:rPr>
        <w:t xml:space="preserve">. </w:t>
      </w:r>
      <w:r w:rsidRPr="00D0299D">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0299D">
        <w:rPr>
          <w:rFonts w:ascii="Palatino Linotype" w:eastAsia="Calibri" w:hAnsi="Palatino Linotype" w:cs="Times New Roman"/>
          <w:i/>
          <w:sz w:val="22"/>
          <w:lang w:val="es-AR"/>
        </w:rPr>
        <w:t>.</w:t>
      </w:r>
    </w:p>
    <w:p w:rsidR="002C26FE" w:rsidRPr="00D0299D"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D0299D">
        <w:rPr>
          <w:rFonts w:ascii="Palatino Linotype" w:eastAsia="Calibri" w:hAnsi="Palatino Linotype" w:cs="Times New Roman"/>
          <w:i/>
          <w:sz w:val="22"/>
          <w:lang w:val="es-AR"/>
        </w:rPr>
        <w:lastRenderedPageBreak/>
        <w:t>SÉPTIMO TRIBUNAL COLEGIADO EN MATERIA CIVIL DEL PRIMER CIRCUITO.</w:t>
      </w:r>
    </w:p>
    <w:p w:rsidR="002C26FE" w:rsidRPr="00D0299D" w:rsidRDefault="002C26FE" w:rsidP="002C26FE">
      <w:pPr>
        <w:spacing w:line="360" w:lineRule="auto"/>
        <w:ind w:left="567" w:right="565"/>
        <w:contextualSpacing/>
        <w:jc w:val="both"/>
        <w:rPr>
          <w:rFonts w:ascii="Palatino Linotype" w:eastAsia="Calibri" w:hAnsi="Palatino Linotype" w:cs="Times New Roman"/>
          <w:b/>
          <w:i/>
          <w:sz w:val="22"/>
          <w:lang w:val="es-AR"/>
        </w:rPr>
      </w:pPr>
      <w:r w:rsidRPr="00D0299D">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rsidR="002C26FE" w:rsidRPr="00D0299D"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D0299D">
        <w:rPr>
          <w:rFonts w:ascii="Palatino Linotype" w:eastAsia="Calibri" w:hAnsi="Palatino Linotype" w:cs="Times New Roman"/>
          <w:i/>
          <w:sz w:val="22"/>
          <w:lang w:val="es-AR"/>
        </w:rPr>
        <w:t>(Énfasis añadido)</w:t>
      </w:r>
    </w:p>
    <w:p w:rsidR="002C26FE" w:rsidRPr="00D0299D" w:rsidRDefault="002C26FE" w:rsidP="00CE5FA1">
      <w:pPr>
        <w:rPr>
          <w:rFonts w:ascii="Palatino Linotype" w:eastAsia="Calibri" w:hAnsi="Palatino Linotype" w:cs="Arial"/>
          <w:color w:val="000000" w:themeColor="text1"/>
          <w:lang w:val="es-ES"/>
        </w:rPr>
      </w:pPr>
    </w:p>
    <w:p w:rsidR="002C26FE" w:rsidRPr="00D0299D"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Consecuentemente, </w:t>
      </w:r>
      <w:r w:rsidRPr="00D0299D">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rsidR="002C26FE" w:rsidRPr="00D0299D"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99101B" w:rsidRPr="00D0299D"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Times New Roman"/>
        </w:rPr>
        <w:t xml:space="preserve">Bajo </w:t>
      </w:r>
      <w:r w:rsidRPr="00D0299D">
        <w:rPr>
          <w:rFonts w:ascii="Palatino Linotype" w:eastAsia="Calibri" w:hAnsi="Palatino Linotype" w:cs="Times New Roman"/>
          <w:lang w:val="es-CO"/>
        </w:rPr>
        <w:t xml:space="preserve">ese tenor y en términos del artículo 186 fracción I este Pleno determina el </w:t>
      </w:r>
      <w:r w:rsidRPr="00D0299D">
        <w:rPr>
          <w:rFonts w:ascii="Palatino Linotype" w:eastAsia="Calibri" w:hAnsi="Palatino Linotype" w:cs="Times New Roman"/>
          <w:b/>
          <w:lang w:val="es-CO"/>
        </w:rPr>
        <w:t xml:space="preserve">SOBRESEIMIENTO </w:t>
      </w:r>
      <w:r w:rsidRPr="00D0299D">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sidR="00B76C39" w:rsidRPr="00D0299D">
        <w:rPr>
          <w:rFonts w:ascii="Palatino Linotype" w:eastAsia="Calibri" w:hAnsi="Palatino Linotype" w:cs="Times New Roman"/>
          <w:lang w:val="es-CO"/>
        </w:rPr>
        <w:t xml:space="preserve"> la </w:t>
      </w:r>
      <w:r w:rsidR="00F503E1" w:rsidRPr="00D0299D">
        <w:rPr>
          <w:rFonts w:ascii="Palatino Linotype" w:eastAsia="Calibri" w:hAnsi="Palatino Linotype" w:cs="Times New Roman"/>
          <w:lang w:val="es-CO"/>
        </w:rPr>
        <w:t>Particular</w:t>
      </w:r>
      <w:r w:rsidRPr="00D0299D">
        <w:rPr>
          <w:rFonts w:ascii="Palatino Linotype" w:eastAsia="Calibri" w:hAnsi="Palatino Linotype" w:cs="Times New Roman"/>
          <w:lang w:val="es-CO"/>
        </w:rPr>
        <w:t xml:space="preserve"> ha sido resarcida.</w:t>
      </w:r>
      <w:bookmarkEnd w:id="33"/>
      <w:bookmarkEnd w:id="34"/>
      <w:bookmarkEnd w:id="35"/>
      <w:bookmarkEnd w:id="36"/>
    </w:p>
    <w:p w:rsidR="0099101B" w:rsidRPr="00D0299D"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2C26FE" w:rsidRPr="00D0299D"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0299D">
        <w:rPr>
          <w:rFonts w:ascii="Palatino Linotype" w:eastAsia="Calibri" w:hAnsi="Palatino Linotype" w:cs="Arial"/>
          <w:color w:val="000000" w:themeColor="text1"/>
          <w:lang w:val="es-ES"/>
        </w:rPr>
        <w:t xml:space="preserve">Por lo anteriormente expuesto y fundado, este </w:t>
      </w:r>
      <w:r w:rsidRPr="00D0299D">
        <w:rPr>
          <w:rFonts w:ascii="Palatino Linotype" w:eastAsia="Calibri" w:hAnsi="Palatino Linotype" w:cs="Arial"/>
          <w:b/>
          <w:color w:val="000000" w:themeColor="text1"/>
          <w:lang w:val="es-ES"/>
        </w:rPr>
        <w:t>ÓRGANO GARANTE</w:t>
      </w:r>
      <w:r w:rsidRPr="00D0299D">
        <w:rPr>
          <w:rFonts w:ascii="Palatino Linotype" w:eastAsia="Calibri" w:hAnsi="Palatino Linotype" w:cs="Arial"/>
          <w:color w:val="000000" w:themeColor="text1"/>
          <w:lang w:val="es-ES"/>
        </w:rPr>
        <w:t xml:space="preserve"> emite los siguientes:</w:t>
      </w:r>
    </w:p>
    <w:p w:rsidR="002C26FE" w:rsidRPr="00D0299D" w:rsidRDefault="00BB3406" w:rsidP="0099101B">
      <w:pPr>
        <w:spacing w:line="360" w:lineRule="auto"/>
        <w:jc w:val="both"/>
        <w:rPr>
          <w:rFonts w:ascii="Palatino Linotype" w:hAnsi="Palatino Linotype"/>
          <w:lang w:val="es-ES"/>
        </w:rPr>
      </w:pPr>
      <w:r w:rsidRPr="00D0299D">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44449</wp:posOffset>
                </wp:positionV>
                <wp:extent cx="5495925" cy="1914525"/>
                <wp:effectExtent l="38100" t="38100" r="66675" b="85725"/>
                <wp:wrapNone/>
                <wp:docPr id="1" name="Conector recto 1"/>
                <wp:cNvGraphicFramePr/>
                <a:graphic xmlns:a="http://schemas.openxmlformats.org/drawingml/2006/main">
                  <a:graphicData uri="http://schemas.microsoft.com/office/word/2010/wordprocessingShape">
                    <wps:wsp>
                      <wps:cNvCnPr/>
                      <wps:spPr>
                        <a:xfrm>
                          <a:off x="0" y="0"/>
                          <a:ext cx="5495925" cy="1914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303FF" id="Conector recto 1"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3.5pt" to="814.3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" strokecolor="#4f81bd [3204]" strokeweight="2pt">
                <v:shadow on="t" color="black" opacity="24903f" origin=",.5" offset="0,.55556mm"/>
                <w10:wrap anchorx="margin"/>
              </v:line>
            </w:pict>
          </mc:Fallback>
        </mc:AlternateContent>
      </w:r>
    </w:p>
    <w:p w:rsidR="00BB3406" w:rsidRPr="00D0299D" w:rsidRDefault="00BB3406" w:rsidP="0099101B">
      <w:pPr>
        <w:spacing w:line="360" w:lineRule="auto"/>
        <w:jc w:val="both"/>
        <w:rPr>
          <w:rFonts w:ascii="Palatino Linotype" w:hAnsi="Palatino Linotype"/>
          <w:lang w:val="es-ES"/>
        </w:rPr>
      </w:pPr>
    </w:p>
    <w:p w:rsidR="00BB3406" w:rsidRPr="00D0299D" w:rsidRDefault="00BB3406" w:rsidP="0099101B">
      <w:pPr>
        <w:spacing w:line="360" w:lineRule="auto"/>
        <w:jc w:val="both"/>
        <w:rPr>
          <w:rFonts w:ascii="Palatino Linotype" w:hAnsi="Palatino Linotype"/>
          <w:lang w:val="es-ES"/>
        </w:rPr>
      </w:pPr>
    </w:p>
    <w:p w:rsidR="00BB3406" w:rsidRPr="00D0299D" w:rsidRDefault="00BB3406" w:rsidP="0099101B">
      <w:pPr>
        <w:spacing w:line="360" w:lineRule="auto"/>
        <w:jc w:val="both"/>
        <w:rPr>
          <w:rFonts w:ascii="Palatino Linotype" w:hAnsi="Palatino Linotype"/>
          <w:lang w:val="es-ES"/>
        </w:rPr>
      </w:pPr>
    </w:p>
    <w:p w:rsidR="002C26FE" w:rsidRPr="00D0299D" w:rsidRDefault="002C26FE" w:rsidP="002C26FE">
      <w:pPr>
        <w:spacing w:line="360" w:lineRule="auto"/>
        <w:jc w:val="center"/>
        <w:rPr>
          <w:rFonts w:ascii="Palatino Linotype" w:hAnsi="Palatino Linotype"/>
          <w:b/>
          <w:lang w:val="es-ES"/>
        </w:rPr>
      </w:pPr>
      <w:r w:rsidRPr="00D0299D">
        <w:rPr>
          <w:rFonts w:ascii="Palatino Linotype" w:hAnsi="Palatino Linotype"/>
          <w:b/>
          <w:lang w:val="es-ES"/>
        </w:rPr>
        <w:lastRenderedPageBreak/>
        <w:t>R E S O L U T I V O S</w:t>
      </w:r>
    </w:p>
    <w:p w:rsidR="002C26FE" w:rsidRPr="00D0299D" w:rsidRDefault="002C26FE" w:rsidP="0099101B">
      <w:pPr>
        <w:spacing w:line="360" w:lineRule="auto"/>
        <w:jc w:val="both"/>
        <w:rPr>
          <w:rFonts w:ascii="Palatino Linotype" w:hAnsi="Palatino Linotype"/>
          <w:lang w:val="es-ES"/>
        </w:rPr>
      </w:pPr>
    </w:p>
    <w:p w:rsidR="002C26FE" w:rsidRPr="00D0299D" w:rsidRDefault="002C26FE" w:rsidP="009A4A08">
      <w:pPr>
        <w:pStyle w:val="Sinespaciado"/>
        <w:spacing w:line="360" w:lineRule="auto"/>
        <w:ind w:right="-2"/>
        <w:jc w:val="both"/>
        <w:rPr>
          <w:rFonts w:ascii="Palatino Linotype" w:hAnsi="Palatino Linotype"/>
          <w:bCs/>
          <w:szCs w:val="20"/>
        </w:rPr>
      </w:pPr>
      <w:r w:rsidRPr="00D0299D">
        <w:rPr>
          <w:rFonts w:ascii="Palatino Linotype" w:hAnsi="Palatino Linotype"/>
          <w:b/>
          <w:szCs w:val="20"/>
        </w:rPr>
        <w:t xml:space="preserve">PRIMERO. </w:t>
      </w:r>
      <w:r w:rsidRPr="00D0299D">
        <w:rPr>
          <w:rFonts w:ascii="Palatino Linotype" w:hAnsi="Palatino Linotype"/>
          <w:szCs w:val="20"/>
        </w:rPr>
        <w:t xml:space="preserve">Se </w:t>
      </w:r>
      <w:r w:rsidRPr="00D0299D">
        <w:rPr>
          <w:rFonts w:ascii="Palatino Linotype" w:hAnsi="Palatino Linotype"/>
          <w:b/>
          <w:szCs w:val="20"/>
        </w:rPr>
        <w:t>SOBRESEE</w:t>
      </w:r>
      <w:r w:rsidRPr="00D0299D">
        <w:rPr>
          <w:rFonts w:ascii="Palatino Linotype" w:hAnsi="Palatino Linotype"/>
          <w:szCs w:val="20"/>
        </w:rPr>
        <w:t xml:space="preserve"> el recurso de revisión número </w:t>
      </w:r>
      <w:r w:rsidR="00F503E1" w:rsidRPr="00D0299D">
        <w:rPr>
          <w:rFonts w:ascii="Palatino Linotype" w:hAnsi="Palatino Linotype"/>
          <w:b/>
          <w:szCs w:val="20"/>
        </w:rPr>
        <w:t>06908</w:t>
      </w:r>
      <w:r w:rsidRPr="00D0299D">
        <w:rPr>
          <w:rFonts w:ascii="Palatino Linotype" w:hAnsi="Palatino Linotype"/>
          <w:b/>
          <w:szCs w:val="20"/>
        </w:rPr>
        <w:t>/INFOEM/IP/RR/202</w:t>
      </w:r>
      <w:r w:rsidR="009A4A08" w:rsidRPr="00D0299D">
        <w:rPr>
          <w:rFonts w:ascii="Palatino Linotype" w:hAnsi="Palatino Linotype"/>
          <w:b/>
          <w:szCs w:val="20"/>
        </w:rPr>
        <w:t xml:space="preserve">2 </w:t>
      </w:r>
      <w:r w:rsidR="009A4A08" w:rsidRPr="00D0299D">
        <w:rPr>
          <w:rFonts w:ascii="Palatino Linotype" w:hAnsi="Palatino Linotype"/>
          <w:bCs/>
          <w:szCs w:val="20"/>
        </w:rPr>
        <w:t xml:space="preserve">conforme al artículo 192 fracción </w:t>
      </w:r>
      <w:r w:rsidR="00913117" w:rsidRPr="00D0299D">
        <w:rPr>
          <w:rFonts w:ascii="Palatino Linotype" w:hAnsi="Palatino Linotype"/>
          <w:bCs/>
          <w:szCs w:val="20"/>
        </w:rPr>
        <w:t>III</w:t>
      </w:r>
      <w:r w:rsidR="009A4A08" w:rsidRPr="00D0299D">
        <w:rPr>
          <w:rFonts w:ascii="Palatino Linotype" w:hAnsi="Palatino Linotype"/>
          <w:bCs/>
          <w:szCs w:val="20"/>
        </w:rPr>
        <w:t xml:space="preserve"> de la Ley de Transparencia y Acceso a la Información Pública del Estado de México y Municipios</w:t>
      </w:r>
      <w:r w:rsidRPr="00D0299D">
        <w:rPr>
          <w:rFonts w:ascii="Palatino Linotype" w:hAnsi="Palatino Linotype"/>
          <w:bCs/>
          <w:szCs w:val="20"/>
        </w:rPr>
        <w:t>,</w:t>
      </w:r>
      <w:r w:rsidRPr="00D0299D">
        <w:rPr>
          <w:rFonts w:ascii="Palatino Linotype" w:hAnsi="Palatino Linotype"/>
          <w:szCs w:val="20"/>
        </w:rPr>
        <w:t xml:space="preserve"> porque </w:t>
      </w:r>
      <w:r w:rsidR="00913117" w:rsidRPr="00D0299D">
        <w:rPr>
          <w:rFonts w:ascii="Palatino Linotype" w:hAnsi="Palatino Linotype"/>
          <w:szCs w:val="20"/>
        </w:rPr>
        <w:t xml:space="preserve">al </w:t>
      </w:r>
      <w:r w:rsidR="00913117" w:rsidRPr="00D0299D">
        <w:rPr>
          <w:rFonts w:ascii="Palatino Linotype" w:hAnsi="Palatino Linotype"/>
          <w:b/>
          <w:bCs/>
          <w:szCs w:val="20"/>
        </w:rPr>
        <w:t>modificar la respuesta a través de</w:t>
      </w:r>
      <w:r w:rsidR="00354DA4" w:rsidRPr="00D0299D">
        <w:rPr>
          <w:rFonts w:ascii="Palatino Linotype" w:hAnsi="Palatino Linotype"/>
          <w:b/>
          <w:bCs/>
          <w:szCs w:val="20"/>
        </w:rPr>
        <w:t xml:space="preserve">l informe justificado </w:t>
      </w:r>
      <w:r w:rsidR="00CE6C3D" w:rsidRPr="00D0299D">
        <w:rPr>
          <w:rFonts w:ascii="Palatino Linotype" w:hAnsi="Palatino Linotype"/>
          <w:b/>
          <w:bCs/>
          <w:szCs w:val="20"/>
        </w:rPr>
        <w:t>y atender lo solicitado</w:t>
      </w:r>
      <w:r w:rsidR="00913117" w:rsidRPr="00D0299D">
        <w:rPr>
          <w:rFonts w:ascii="Palatino Linotype" w:hAnsi="Palatino Linotype"/>
          <w:szCs w:val="20"/>
        </w:rPr>
        <w:t xml:space="preserve">, </w:t>
      </w:r>
      <w:r w:rsidRPr="00D0299D">
        <w:rPr>
          <w:rFonts w:ascii="Palatino Linotype" w:hAnsi="Palatino Linotype"/>
          <w:szCs w:val="20"/>
        </w:rPr>
        <w:t xml:space="preserve">el recurso de revisión quedó sin materia en términos del Considerando </w:t>
      </w:r>
      <w:r w:rsidRPr="00D0299D">
        <w:rPr>
          <w:rFonts w:ascii="Palatino Linotype" w:hAnsi="Palatino Linotype"/>
          <w:b/>
          <w:szCs w:val="20"/>
        </w:rPr>
        <w:t>TERCERO</w:t>
      </w:r>
      <w:r w:rsidRPr="00D0299D">
        <w:rPr>
          <w:rFonts w:ascii="Palatino Linotype" w:hAnsi="Palatino Linotype"/>
          <w:szCs w:val="20"/>
        </w:rPr>
        <w:t xml:space="preserve"> de la presente resolución.</w:t>
      </w:r>
    </w:p>
    <w:p w:rsidR="002C26FE" w:rsidRPr="00D0299D" w:rsidRDefault="002C26FE" w:rsidP="00836ADD">
      <w:pPr>
        <w:pStyle w:val="Sinespaciado"/>
        <w:spacing w:line="360" w:lineRule="auto"/>
        <w:jc w:val="both"/>
        <w:rPr>
          <w:rFonts w:ascii="Palatino Linotype" w:hAnsi="Palatino Linotype"/>
          <w:szCs w:val="20"/>
        </w:rPr>
      </w:pPr>
    </w:p>
    <w:p w:rsidR="002C26FE" w:rsidRPr="00D0299D" w:rsidRDefault="002C26FE" w:rsidP="00836ADD">
      <w:pPr>
        <w:pStyle w:val="Sinespaciado"/>
        <w:spacing w:line="360" w:lineRule="auto"/>
        <w:jc w:val="both"/>
        <w:rPr>
          <w:rFonts w:ascii="Palatino Linotype" w:eastAsia="Calibri" w:hAnsi="Palatino Linotype" w:cs="Arial"/>
          <w:b/>
          <w:bCs/>
          <w:lang w:val="es-ES"/>
        </w:rPr>
      </w:pPr>
      <w:r w:rsidRPr="00D0299D">
        <w:rPr>
          <w:rFonts w:ascii="Palatino Linotype" w:eastAsia="Calibri" w:hAnsi="Palatino Linotype" w:cs="Arial"/>
          <w:b/>
          <w:bCs/>
          <w:lang w:val="es-ES"/>
        </w:rPr>
        <w:t xml:space="preserve">SEGUNDO. REMÍTASE </w:t>
      </w:r>
      <w:r w:rsidRPr="00D0299D">
        <w:rPr>
          <w:rFonts w:ascii="Palatino Linotype" w:eastAsia="Calibri" w:hAnsi="Palatino Linotype" w:cs="Arial"/>
          <w:bCs/>
          <w:lang w:val="es-ES"/>
        </w:rPr>
        <w:t xml:space="preserve">a través del Sistema de Acceso a la Información Mexiquense </w:t>
      </w:r>
      <w:r w:rsidRPr="00D0299D">
        <w:rPr>
          <w:rFonts w:ascii="Palatino Linotype" w:eastAsia="Calibri" w:hAnsi="Palatino Linotype" w:cs="Arial"/>
          <w:b/>
          <w:bCs/>
          <w:lang w:val="es-ES"/>
        </w:rPr>
        <w:t xml:space="preserve">(SAIMEX) </w:t>
      </w:r>
      <w:r w:rsidRPr="00D0299D">
        <w:rPr>
          <w:rFonts w:ascii="Palatino Linotype" w:eastAsia="Calibri" w:hAnsi="Palatino Linotype" w:cs="Arial"/>
          <w:bCs/>
          <w:lang w:val="es-ES"/>
        </w:rPr>
        <w:t>la presente resolución al Titular de la Unidad de Transparencia del</w:t>
      </w:r>
      <w:r w:rsidRPr="00D0299D">
        <w:rPr>
          <w:rFonts w:ascii="Palatino Linotype" w:eastAsia="Calibri" w:hAnsi="Palatino Linotype" w:cs="Arial"/>
          <w:b/>
          <w:bCs/>
          <w:lang w:val="es-ES"/>
        </w:rPr>
        <w:t xml:space="preserve"> SUJETO OBLIGADO. </w:t>
      </w:r>
    </w:p>
    <w:p w:rsidR="002C26FE" w:rsidRPr="00D0299D" w:rsidRDefault="002C26FE" w:rsidP="00836ADD">
      <w:pPr>
        <w:pStyle w:val="Sinespaciado"/>
        <w:spacing w:line="360" w:lineRule="auto"/>
        <w:jc w:val="both"/>
        <w:rPr>
          <w:rFonts w:ascii="Palatino Linotype" w:eastAsia="Palatino Linotype" w:hAnsi="Palatino Linotype" w:cs="Palatino Linotype"/>
          <w:b/>
        </w:rPr>
      </w:pPr>
    </w:p>
    <w:p w:rsidR="002C26FE" w:rsidRPr="00D0299D" w:rsidRDefault="002C26FE" w:rsidP="00836ADD">
      <w:pPr>
        <w:pStyle w:val="Sinespaciado"/>
        <w:spacing w:line="360" w:lineRule="auto"/>
        <w:jc w:val="both"/>
        <w:rPr>
          <w:rFonts w:ascii="Palatino Linotype" w:eastAsia="Calibri" w:hAnsi="Palatino Linotype" w:cs="Arial"/>
          <w:b/>
          <w:bCs/>
          <w:lang w:val="es-ES"/>
        </w:rPr>
      </w:pPr>
      <w:r w:rsidRPr="00D0299D">
        <w:rPr>
          <w:rFonts w:ascii="Palatino Linotype" w:eastAsia="Times New Roman" w:hAnsi="Palatino Linotype" w:cs="Arial"/>
          <w:b/>
        </w:rPr>
        <w:t xml:space="preserve">TERCERO. </w:t>
      </w:r>
      <w:r w:rsidRPr="00D0299D">
        <w:rPr>
          <w:rFonts w:ascii="Palatino Linotype" w:eastAsia="Times New Roman" w:hAnsi="Palatino Linotype" w:cs="Times New Roman"/>
          <w:b/>
          <w:bCs/>
          <w:lang w:val="es-ES"/>
        </w:rPr>
        <w:t xml:space="preserve">Notifíquese </w:t>
      </w:r>
      <w:r w:rsidR="00B76C39" w:rsidRPr="00D0299D">
        <w:rPr>
          <w:rFonts w:ascii="Palatino Linotype" w:eastAsia="Times New Roman" w:hAnsi="Palatino Linotype" w:cs="Times New Roman"/>
          <w:bCs/>
          <w:lang w:val="es-ES"/>
        </w:rPr>
        <w:t>a la</w:t>
      </w:r>
      <w:r w:rsidRPr="00D0299D">
        <w:rPr>
          <w:rFonts w:ascii="Palatino Linotype" w:eastAsia="Times New Roman" w:hAnsi="Palatino Linotype" w:cs="Times New Roman"/>
          <w:bCs/>
          <w:lang w:val="es-ES"/>
        </w:rPr>
        <w:t xml:space="preserve"> </w:t>
      </w:r>
      <w:r w:rsidRPr="00D0299D">
        <w:rPr>
          <w:rFonts w:ascii="Palatino Linotype" w:eastAsia="Times New Roman" w:hAnsi="Palatino Linotype" w:cs="Times New Roman"/>
          <w:b/>
          <w:bCs/>
          <w:lang w:val="es-ES"/>
        </w:rPr>
        <w:t>RECURRENTE</w:t>
      </w:r>
      <w:r w:rsidRPr="00D0299D">
        <w:rPr>
          <w:rFonts w:ascii="Palatino Linotype" w:hAnsi="Palatino Linotype"/>
        </w:rPr>
        <w:t xml:space="preserve"> </w:t>
      </w:r>
      <w:r w:rsidRPr="00D0299D">
        <w:rPr>
          <w:rFonts w:ascii="Palatino Linotype" w:eastAsia="Times New Roman" w:hAnsi="Palatino Linotype" w:cs="Times New Roman"/>
          <w:lang w:val="es-ES" w:eastAsia="es-MX"/>
        </w:rPr>
        <w:t>la presente resolución</w:t>
      </w:r>
      <w:r w:rsidR="006C050A" w:rsidRPr="00D0299D">
        <w:rPr>
          <w:rFonts w:ascii="Palatino Linotype" w:eastAsia="Times New Roman" w:hAnsi="Palatino Linotype" w:cs="Times New Roman"/>
          <w:lang w:val="es-ES" w:eastAsia="es-MX"/>
        </w:rPr>
        <w:t xml:space="preserve"> </w:t>
      </w:r>
      <w:r w:rsidRPr="00D0299D">
        <w:rPr>
          <w:rFonts w:ascii="Palatino Linotype" w:eastAsia="Calibri" w:hAnsi="Palatino Linotype" w:cs="Arial"/>
          <w:bCs/>
          <w:lang w:val="es-ES"/>
        </w:rPr>
        <w:t xml:space="preserve">a través del Sistema de Acceso a la Información Mexiquense </w:t>
      </w:r>
      <w:r w:rsidRPr="00D0299D">
        <w:rPr>
          <w:rFonts w:ascii="Palatino Linotype" w:eastAsia="Calibri" w:hAnsi="Palatino Linotype" w:cs="Arial"/>
          <w:b/>
          <w:bCs/>
          <w:lang w:val="es-ES"/>
        </w:rPr>
        <w:t>(SAIMEX)</w:t>
      </w:r>
      <w:r w:rsidR="00836ADD" w:rsidRPr="00D0299D">
        <w:rPr>
          <w:rFonts w:ascii="Palatino Linotype" w:eastAsia="Calibri" w:hAnsi="Palatino Linotype" w:cs="Arial"/>
          <w:b/>
          <w:bCs/>
          <w:lang w:val="es-ES"/>
        </w:rPr>
        <w:t>.</w:t>
      </w:r>
    </w:p>
    <w:p w:rsidR="006C050A" w:rsidRPr="00D0299D"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rsidR="007D13C0" w:rsidRPr="00D0299D" w:rsidRDefault="002C26FE" w:rsidP="00836ADD">
      <w:pPr>
        <w:spacing w:line="360" w:lineRule="auto"/>
        <w:jc w:val="both"/>
        <w:rPr>
          <w:rFonts w:ascii="Palatino Linotype" w:eastAsia="MS Mincho" w:hAnsi="Palatino Linotype" w:cs="Times New Roman"/>
          <w:lang w:val="es-ES"/>
        </w:rPr>
      </w:pPr>
      <w:r w:rsidRPr="00D0299D">
        <w:rPr>
          <w:rFonts w:ascii="Palatino Linotype" w:eastAsia="MS Mincho" w:hAnsi="Palatino Linotype" w:cs="Times New Roman"/>
          <w:b/>
          <w:lang w:val="es-MX"/>
        </w:rPr>
        <w:t>CUARTO.</w:t>
      </w:r>
      <w:r w:rsidRPr="00D0299D">
        <w:rPr>
          <w:rFonts w:ascii="Palatino Linotype" w:eastAsia="MS Mincho" w:hAnsi="Palatino Linotype" w:cs="Times New Roman"/>
          <w:lang w:val="es-MX"/>
        </w:rPr>
        <w:t xml:space="preserve"> </w:t>
      </w:r>
      <w:r w:rsidRPr="00D0299D">
        <w:rPr>
          <w:rFonts w:ascii="Palatino Linotype" w:eastAsia="MS Mincho" w:hAnsi="Palatino Linotype" w:cs="Times New Roman"/>
          <w:lang w:val="es-ES"/>
        </w:rPr>
        <w:t>Se hace del conocimiento de</w:t>
      </w:r>
      <w:r w:rsidR="00B76C39" w:rsidRPr="00D0299D">
        <w:rPr>
          <w:rFonts w:ascii="Palatino Linotype" w:eastAsia="MS Mincho" w:hAnsi="Palatino Linotype" w:cs="Times New Roman"/>
          <w:lang w:val="es-ES"/>
        </w:rPr>
        <w:t xml:space="preserve"> </w:t>
      </w:r>
      <w:r w:rsidRPr="00D0299D">
        <w:rPr>
          <w:rFonts w:ascii="Palatino Linotype" w:eastAsia="MS Mincho" w:hAnsi="Palatino Linotype" w:cs="Times New Roman"/>
          <w:lang w:val="es-ES"/>
        </w:rPr>
        <w:t>l</w:t>
      </w:r>
      <w:r w:rsidR="00B76C39" w:rsidRPr="00D0299D">
        <w:rPr>
          <w:rFonts w:ascii="Palatino Linotype" w:eastAsia="MS Mincho" w:hAnsi="Palatino Linotype" w:cs="Times New Roman"/>
          <w:lang w:val="es-ES"/>
        </w:rPr>
        <w:t>a</w:t>
      </w:r>
      <w:r w:rsidRPr="00D0299D">
        <w:rPr>
          <w:rFonts w:ascii="Palatino Linotype" w:eastAsia="MS Mincho" w:hAnsi="Palatino Linotype" w:cs="Times New Roman"/>
          <w:lang w:val="es-ES"/>
        </w:rPr>
        <w:t xml:space="preserve"> </w:t>
      </w:r>
      <w:r w:rsidRPr="00D0299D">
        <w:rPr>
          <w:rFonts w:ascii="Palatino Linotype" w:eastAsia="Times New Roman" w:hAnsi="Palatino Linotype" w:cs="Times New Roman"/>
          <w:b/>
          <w:bCs/>
          <w:lang w:val="es-ES"/>
        </w:rPr>
        <w:t>RECURRENTE</w:t>
      </w:r>
      <w:r w:rsidRPr="00D0299D">
        <w:rPr>
          <w:rFonts w:ascii="Palatino Linotype" w:hAnsi="Palatino Linotype"/>
        </w:rPr>
        <w:t xml:space="preserve"> </w:t>
      </w:r>
      <w:r w:rsidRPr="00D0299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0299D">
        <w:rPr>
          <w:rFonts w:ascii="Palatino Linotype" w:eastAsia="MS Mincho" w:hAnsi="Palatino Linotype" w:cs="Times New Roman"/>
          <w:bCs/>
          <w:lang w:val="es-ES"/>
        </w:rPr>
        <w:t>vía juicio de amparo</w:t>
      </w:r>
      <w:r w:rsidRPr="00D0299D">
        <w:rPr>
          <w:rFonts w:ascii="Palatino Linotype" w:eastAsia="MS Mincho" w:hAnsi="Palatino Linotype" w:cs="Times New Roman"/>
          <w:lang w:val="es-ES"/>
        </w:rPr>
        <w:t> en los términos de las leyes aplicables.</w:t>
      </w:r>
    </w:p>
    <w:p w:rsidR="00A77234" w:rsidRPr="00D0299D" w:rsidRDefault="00A77234" w:rsidP="00836ADD">
      <w:pPr>
        <w:spacing w:line="360" w:lineRule="auto"/>
        <w:jc w:val="both"/>
        <w:rPr>
          <w:rFonts w:ascii="Palatino Linotype" w:eastAsia="MS Mincho" w:hAnsi="Palatino Linotype" w:cs="Times New Roman"/>
          <w:lang w:val="es-ES"/>
        </w:rPr>
      </w:pPr>
    </w:p>
    <w:bookmarkEnd w:id="27"/>
    <w:bookmarkEnd w:id="28"/>
    <w:bookmarkEnd w:id="29"/>
    <w:p w:rsidR="00FC6DBF" w:rsidRDefault="00FC6DBF" w:rsidP="00FC6DBF">
      <w:pPr>
        <w:spacing w:before="240" w:after="240" w:line="360" w:lineRule="auto"/>
        <w:jc w:val="both"/>
        <w:rPr>
          <w:rFonts w:ascii="Palatino Linotype" w:hAnsi="Palatino Linotype"/>
        </w:rPr>
      </w:pPr>
      <w:r w:rsidRPr="00D0299D">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37" w:name="_GoBack"/>
      <w:bookmarkEnd w:id="37"/>
      <w:r w:rsidRPr="00624AAD">
        <w:rPr>
          <w:rFonts w:ascii="Palatino Linotype" w:hAnsi="Palatino Linotype"/>
        </w:rPr>
        <w:t xml:space="preserve"> </w:t>
      </w: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Default="00836ADD" w:rsidP="00836ADD">
      <w:pPr>
        <w:spacing w:line="360" w:lineRule="auto"/>
        <w:jc w:val="both"/>
        <w:rPr>
          <w:rFonts w:ascii="Palatino Linotype" w:hAnsi="Palatino Linotype" w:cs="Tahoma"/>
        </w:rPr>
      </w:pPr>
    </w:p>
    <w:p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215" w:rsidRDefault="00382215" w:rsidP="00587366">
      <w:r>
        <w:separator/>
      </w:r>
    </w:p>
  </w:endnote>
  <w:endnote w:type="continuationSeparator" w:id="0">
    <w:p w:rsidR="00382215" w:rsidRDefault="0038221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299D">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299D">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299D" w:rsidRPr="00D029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299D" w:rsidRPr="00D0299D">
      <w:rPr>
        <w:rFonts w:ascii="Palatino Linotype" w:hAnsi="Palatino Linotype"/>
        <w:noProof/>
        <w:sz w:val="22"/>
        <w:szCs w:val="22"/>
        <w:lang w:val="es-ES"/>
      </w:rPr>
      <w:t>31</w:t>
    </w:r>
    <w:r w:rsidRPr="00883450">
      <w:rPr>
        <w:rFonts w:ascii="Palatino Linotype" w:hAnsi="Palatino Linotype"/>
        <w:sz w:val="22"/>
        <w:szCs w:val="22"/>
      </w:rPr>
      <w:fldChar w:fldCharType="end"/>
    </w:r>
  </w:p>
  <w:p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215" w:rsidRDefault="00382215" w:rsidP="00587366">
      <w:r>
        <w:separator/>
      </w:r>
    </w:p>
  </w:footnote>
  <w:footnote w:type="continuationSeparator" w:id="0">
    <w:p w:rsidR="00382215" w:rsidRDefault="00382215"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A47E296">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rsidTr="00F3586F">
      <w:trPr>
        <w:trHeight w:val="138"/>
      </w:trPr>
      <w:tc>
        <w:tcPr>
          <w:tcW w:w="3544" w:type="dxa"/>
          <w:vAlign w:val="center"/>
        </w:tcPr>
        <w:p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rsidR="00AA5FE2" w:rsidRPr="00F91466" w:rsidRDefault="00F91466" w:rsidP="00986821">
          <w:pPr>
            <w:pStyle w:val="Encabezado"/>
            <w:jc w:val="both"/>
            <w:rPr>
              <w:rFonts w:ascii="Palatino Linotype" w:hAnsi="Palatino Linotype" w:cs="Arial"/>
              <w:b/>
              <w:bCs/>
              <w:sz w:val="20"/>
              <w:szCs w:val="20"/>
              <w:lang w:eastAsia="es-MX"/>
            </w:rPr>
          </w:pPr>
          <w:r w:rsidRPr="00F91466">
            <w:rPr>
              <w:rFonts w:ascii="Palatino Linotype" w:hAnsi="Palatino Linotype" w:cs="Arial"/>
              <w:b/>
              <w:bCs/>
              <w:sz w:val="20"/>
              <w:szCs w:val="20"/>
              <w:lang w:eastAsia="es-MX"/>
            </w:rPr>
            <w:t>06908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rsidTr="00F3586F">
      <w:trPr>
        <w:trHeight w:val="233"/>
      </w:trPr>
      <w:tc>
        <w:tcPr>
          <w:tcW w:w="3544" w:type="dxa"/>
          <w:vAlign w:val="center"/>
        </w:tcPr>
        <w:p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rsidR="00AA5FE2" w:rsidRPr="00F91466" w:rsidRDefault="00F91466" w:rsidP="00462780">
          <w:pPr>
            <w:pStyle w:val="Encabezado"/>
            <w:jc w:val="both"/>
            <w:rPr>
              <w:rFonts w:ascii="Palatino Linotype" w:hAnsi="Palatino Linotype"/>
              <w:b/>
              <w:sz w:val="20"/>
              <w:szCs w:val="20"/>
            </w:rPr>
          </w:pPr>
          <w:r w:rsidRPr="00F91466">
            <w:rPr>
              <w:rFonts w:ascii="Palatino Linotype" w:eastAsia="Times New Roman" w:hAnsi="Palatino Linotype"/>
              <w:b/>
              <w:sz w:val="20"/>
              <w:szCs w:val="20"/>
            </w:rPr>
            <w:t>Secretaría de Justicia y Derechos Humanos</w:t>
          </w:r>
        </w:p>
      </w:tc>
    </w:tr>
    <w:tr w:rsidR="00AA5FE2" w:rsidRPr="00674A46" w:rsidTr="00F3586F">
      <w:trPr>
        <w:trHeight w:val="321"/>
      </w:trPr>
      <w:tc>
        <w:tcPr>
          <w:tcW w:w="3544" w:type="dxa"/>
          <w:vAlign w:val="center"/>
        </w:tcPr>
        <w:p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FE2" w:rsidRDefault="00382215" w:rsidP="00472C41">
    <w:pPr>
      <w:pStyle w:val="Encabezado"/>
      <w:tabs>
        <w:tab w:val="clear" w:pos="4252"/>
        <w:tab w:val="clear" w:pos="8504"/>
        <w:tab w:val="left" w:pos="3103"/>
      </w:tabs>
    </w:pPr>
    <w:r>
      <w:rPr>
        <w:noProof/>
        <w:lang w:val="es-MX" w:eastAsia="es-MX"/>
      </w:rPr>
      <w:pict w14:anchorId="32CC9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rsidTr="00F3586F">
      <w:trPr>
        <w:trHeight w:val="138"/>
      </w:trPr>
      <w:tc>
        <w:tcPr>
          <w:tcW w:w="3261" w:type="dxa"/>
          <w:vAlign w:val="center"/>
        </w:tcPr>
        <w:p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rsidR="00AA5FE2" w:rsidRPr="00F91466" w:rsidRDefault="00F91466" w:rsidP="00184C8E">
          <w:pPr>
            <w:pStyle w:val="Encabezado"/>
            <w:rPr>
              <w:rFonts w:ascii="Palatino Linotype" w:hAnsi="Palatino Linotype"/>
              <w:b/>
              <w:sz w:val="20"/>
              <w:szCs w:val="20"/>
            </w:rPr>
          </w:pPr>
          <w:r w:rsidRPr="00F91466">
            <w:rPr>
              <w:rFonts w:ascii="Palatino Linotype" w:hAnsi="Palatino Linotype" w:cs="Arial"/>
              <w:b/>
              <w:bCs/>
              <w:sz w:val="20"/>
              <w:szCs w:val="20"/>
              <w:lang w:eastAsia="es-MX"/>
            </w:rPr>
            <w:t>06908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rsidTr="00F3586F">
      <w:trPr>
        <w:trHeight w:val="233"/>
      </w:trPr>
      <w:tc>
        <w:tcPr>
          <w:tcW w:w="3261" w:type="dxa"/>
          <w:vAlign w:val="center"/>
        </w:tcPr>
        <w:p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rsidR="00AA5FE2" w:rsidRPr="00F91466" w:rsidRDefault="00D0299D" w:rsidP="00F0190C">
          <w:pPr>
            <w:pStyle w:val="Encabezado"/>
            <w:ind w:right="234"/>
            <w:rPr>
              <w:rFonts w:ascii="Palatino Linotype" w:hAnsi="Palatino Linotype"/>
              <w:b/>
              <w:sz w:val="20"/>
              <w:szCs w:val="20"/>
            </w:rPr>
          </w:pPr>
          <w:r>
            <w:rPr>
              <w:rFonts w:ascii="Palatino Linotype" w:hAnsi="Palatino Linotype"/>
              <w:b/>
              <w:sz w:val="20"/>
              <w:szCs w:val="20"/>
            </w:rPr>
            <w:t>XXXX XXXX XXXX</w:t>
          </w:r>
        </w:p>
      </w:tc>
    </w:tr>
    <w:tr w:rsidR="00AA5FE2" w:rsidRPr="00674A46" w:rsidTr="00F3586F">
      <w:trPr>
        <w:trHeight w:val="321"/>
      </w:trPr>
      <w:tc>
        <w:tcPr>
          <w:tcW w:w="3261" w:type="dxa"/>
          <w:vAlign w:val="center"/>
        </w:tcPr>
        <w:p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rsidR="00AA5FE2" w:rsidRPr="00F91466" w:rsidRDefault="00F91466" w:rsidP="00462780">
          <w:pPr>
            <w:pStyle w:val="Encabezado"/>
            <w:jc w:val="both"/>
            <w:rPr>
              <w:rFonts w:ascii="Palatino Linotype" w:hAnsi="Palatino Linotype"/>
              <w:b/>
              <w:sz w:val="20"/>
              <w:szCs w:val="20"/>
            </w:rPr>
          </w:pPr>
          <w:r w:rsidRPr="00F91466">
            <w:rPr>
              <w:rFonts w:ascii="Palatino Linotype" w:eastAsia="Times New Roman" w:hAnsi="Palatino Linotype"/>
              <w:b/>
              <w:sz w:val="20"/>
              <w:szCs w:val="20"/>
            </w:rPr>
            <w:t>Secretaría de Justicia y Derechos Humanos</w:t>
          </w:r>
        </w:p>
      </w:tc>
    </w:tr>
    <w:tr w:rsidR="00AA5FE2" w:rsidRPr="00674A46" w:rsidTr="00F3586F">
      <w:trPr>
        <w:trHeight w:val="321"/>
      </w:trPr>
      <w:tc>
        <w:tcPr>
          <w:tcW w:w="3261" w:type="dxa"/>
          <w:vAlign w:val="center"/>
        </w:tcPr>
        <w:p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3">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11"/>
  </w:num>
  <w:num w:numId="4">
    <w:abstractNumId w:val="1"/>
  </w:num>
  <w:num w:numId="5">
    <w:abstractNumId w:val="13"/>
  </w:num>
  <w:num w:numId="6">
    <w:abstractNumId w:val="12"/>
  </w:num>
  <w:num w:numId="7">
    <w:abstractNumId w:val="5"/>
  </w:num>
  <w:num w:numId="8">
    <w:abstractNumId w:val="8"/>
  </w:num>
  <w:num w:numId="9">
    <w:abstractNumId w:val="9"/>
  </w:num>
  <w:num w:numId="10">
    <w:abstractNumId w:val="6"/>
  </w:num>
  <w:num w:numId="11">
    <w:abstractNumId w:val="4"/>
  </w:num>
  <w:num w:numId="12">
    <w:abstractNumId w:val="14"/>
  </w:num>
  <w:num w:numId="13">
    <w:abstractNumId w:val="7"/>
  </w:num>
  <w:num w:numId="14">
    <w:abstractNumId w:val="2"/>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3B96"/>
    <w:rsid w:val="001D47C8"/>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6F39"/>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4B6"/>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215"/>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6A04"/>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47F"/>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5B9"/>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DFD"/>
    <w:rsid w:val="007752C7"/>
    <w:rsid w:val="007753FA"/>
    <w:rsid w:val="0077544D"/>
    <w:rsid w:val="007764C8"/>
    <w:rsid w:val="0077696C"/>
    <w:rsid w:val="00776F99"/>
    <w:rsid w:val="00777B16"/>
    <w:rsid w:val="007802A1"/>
    <w:rsid w:val="0078079A"/>
    <w:rsid w:val="00780E72"/>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40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99D"/>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5E14"/>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57F0"/>
    <w:rsid w:val="00FC6DBF"/>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424235.page" TargetMode="External"/><Relationship Id="rId14" Type="http://schemas.openxmlformats.org/officeDocument/2006/relationships/hyperlink" Target="http://sistemas2.edomex.gob.mx/TramitesyServicios/Tramite?tram=6280&amp;cont=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2C0CA-24BC-4D93-89C9-EBAD2A01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31</Pages>
  <Words>5575</Words>
  <Characters>30663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2022-10-24T22:33:00Z</dcterms:created>
  <dcterms:modified xsi:type="dcterms:W3CDTF">2022-11-24T21:40:00Z</dcterms:modified>
</cp:coreProperties>
</file>