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6AC" w:rsidRPr="00954CFD" w:rsidRDefault="008306AC" w:rsidP="008306AC">
      <w:pPr>
        <w:shd w:val="clear" w:color="auto" w:fill="FFFFFF"/>
        <w:spacing w:after="0" w:line="360" w:lineRule="auto"/>
        <w:jc w:val="both"/>
        <w:rPr>
          <w:rFonts w:ascii="Palatino Linotype" w:eastAsia="Times New Roman" w:hAnsi="Palatino Linotype" w:cs="Arial"/>
          <w:color w:val="000000"/>
          <w:sz w:val="24"/>
          <w:szCs w:val="24"/>
          <w:lang w:eastAsia="es-MX"/>
        </w:rPr>
      </w:pPr>
      <w:r w:rsidRPr="00954CF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84DCE" w:rsidRPr="00954CFD">
        <w:rPr>
          <w:rFonts w:ascii="Palatino Linotype" w:eastAsia="Times New Roman" w:hAnsi="Palatino Linotype" w:cs="Arial"/>
          <w:color w:val="000000"/>
          <w:sz w:val="24"/>
          <w:szCs w:val="24"/>
          <w:lang w:eastAsia="es-MX"/>
        </w:rPr>
        <w:t>diecinueve</w:t>
      </w:r>
      <w:r w:rsidRPr="00954CFD">
        <w:rPr>
          <w:rFonts w:ascii="Palatino Linotype" w:eastAsia="Times New Roman" w:hAnsi="Palatino Linotype" w:cs="Arial"/>
          <w:color w:val="000000"/>
          <w:sz w:val="24"/>
          <w:szCs w:val="24"/>
          <w:lang w:eastAsia="es-MX"/>
        </w:rPr>
        <w:t xml:space="preserve"> de octubre de dos mil veintidós.</w:t>
      </w:r>
    </w:p>
    <w:p w:rsidR="008306AC" w:rsidRPr="00954CFD" w:rsidRDefault="008306AC" w:rsidP="008306AC">
      <w:pPr>
        <w:shd w:val="clear" w:color="auto" w:fill="FFFFFF"/>
        <w:spacing w:after="0" w:line="360" w:lineRule="auto"/>
        <w:jc w:val="both"/>
        <w:rPr>
          <w:rFonts w:ascii="Palatino Linotype" w:eastAsia="Times New Roman" w:hAnsi="Palatino Linotype" w:cs="Arial"/>
          <w:color w:val="000000"/>
          <w:sz w:val="24"/>
          <w:szCs w:val="24"/>
          <w:lang w:eastAsia="es-MX"/>
        </w:rPr>
      </w:pPr>
    </w:p>
    <w:p w:rsidR="008306AC" w:rsidRPr="00954CFD" w:rsidRDefault="008306AC" w:rsidP="008306AC">
      <w:pPr>
        <w:tabs>
          <w:tab w:val="left" w:pos="1701"/>
        </w:tabs>
        <w:spacing w:after="0" w:line="360" w:lineRule="auto"/>
        <w:jc w:val="both"/>
        <w:rPr>
          <w:rFonts w:ascii="Palatino Linotype" w:hAnsi="Palatino Linotype" w:cs="Arial"/>
          <w:b/>
          <w:sz w:val="24"/>
          <w:szCs w:val="24"/>
        </w:rPr>
      </w:pPr>
      <w:r w:rsidRPr="00954CFD">
        <w:rPr>
          <w:rFonts w:ascii="Palatino Linotype" w:hAnsi="Palatino Linotype" w:cs="Arial"/>
          <w:b/>
          <w:sz w:val="24"/>
          <w:szCs w:val="24"/>
        </w:rPr>
        <w:t>VISTOS</w:t>
      </w:r>
      <w:r w:rsidRPr="00954CFD">
        <w:rPr>
          <w:rFonts w:ascii="Palatino Linotype" w:hAnsi="Palatino Linotype" w:cs="Arial"/>
          <w:sz w:val="24"/>
          <w:szCs w:val="24"/>
        </w:rPr>
        <w:t xml:space="preserve"> los expedientes electrónicos formados con motivo de los recursos de revisión con números </w:t>
      </w:r>
      <w:r w:rsidRPr="00954CFD">
        <w:rPr>
          <w:rFonts w:ascii="Palatino Linotype" w:hAnsi="Palatino Linotype" w:cs="Arial"/>
          <w:b/>
          <w:bCs/>
          <w:sz w:val="24"/>
          <w:szCs w:val="24"/>
          <w:lang w:eastAsia="es-MX"/>
        </w:rPr>
        <w:t>013120/INFOEM/IP/RR/2022 y 013121/INFOEM/IP/RR/2022</w:t>
      </w:r>
      <w:r w:rsidRPr="00954CFD">
        <w:rPr>
          <w:rFonts w:ascii="Palatino Linotype" w:hAnsi="Palatino Linotype" w:cs="Arial"/>
          <w:sz w:val="24"/>
          <w:szCs w:val="24"/>
        </w:rPr>
        <w:t xml:space="preserve">, promovidos </w:t>
      </w:r>
      <w:r w:rsidRPr="00954CFD">
        <w:rPr>
          <w:rFonts w:ascii="Palatino Linotype" w:hAnsi="Palatino Linotype"/>
          <w:sz w:val="24"/>
          <w:szCs w:val="24"/>
        </w:rPr>
        <w:t>por un particular que tanto al momento de ingresar las solicitudes de información como de interponer los recursos de revisión, señalo como nombre o seudónimo con el cual desee ser identificado el de “</w:t>
      </w:r>
      <w:r w:rsidR="00DA38F9">
        <w:rPr>
          <w:rFonts w:ascii="Palatino Linotype" w:hAnsi="Palatino Linotype"/>
          <w:b/>
          <w:sz w:val="24"/>
          <w:szCs w:val="24"/>
        </w:rPr>
        <w:t>XXXXXXXXXXXXXXXX</w:t>
      </w:r>
      <w:r w:rsidRPr="00954CFD">
        <w:rPr>
          <w:rFonts w:ascii="Palatino Linotype" w:hAnsi="Palatino Linotype"/>
          <w:b/>
          <w:sz w:val="24"/>
          <w:szCs w:val="24"/>
        </w:rPr>
        <w:t xml:space="preserve"> </w:t>
      </w:r>
      <w:r w:rsidR="00DA38F9">
        <w:rPr>
          <w:rFonts w:ascii="Palatino Linotype" w:hAnsi="Palatino Linotype"/>
          <w:b/>
          <w:sz w:val="24"/>
          <w:szCs w:val="24"/>
        </w:rPr>
        <w:t>XXXXXXXX</w:t>
      </w:r>
      <w:r w:rsidRPr="00954CFD">
        <w:rPr>
          <w:rFonts w:ascii="Palatino Linotype" w:hAnsi="Palatino Linotype"/>
          <w:sz w:val="24"/>
          <w:szCs w:val="24"/>
        </w:rPr>
        <w:t xml:space="preserve">”, quien en lo sucesivo se le denominara como </w:t>
      </w:r>
      <w:r w:rsidRPr="00954CFD">
        <w:rPr>
          <w:rFonts w:ascii="Palatino Linotype" w:hAnsi="Palatino Linotype"/>
          <w:b/>
          <w:sz w:val="24"/>
          <w:szCs w:val="24"/>
        </w:rPr>
        <w:t>el Recurrente</w:t>
      </w:r>
      <w:r w:rsidRPr="00954CFD">
        <w:rPr>
          <w:rFonts w:ascii="Palatino Linotype" w:hAnsi="Palatino Linotype" w:cs="Arial"/>
          <w:sz w:val="24"/>
          <w:szCs w:val="24"/>
        </w:rPr>
        <w:t xml:space="preserve">, en contra de las respuestas del </w:t>
      </w:r>
      <w:r w:rsidRPr="00954CFD">
        <w:rPr>
          <w:rFonts w:ascii="Palatino Linotype" w:hAnsi="Palatino Linotype" w:cs="Arial"/>
          <w:b/>
          <w:sz w:val="24"/>
          <w:szCs w:val="24"/>
        </w:rPr>
        <w:t xml:space="preserve">Instituto de Transparencia, Acceso a la Información Pública y Protección de Datos Personales del Estado de México y Municipios, </w:t>
      </w:r>
      <w:r w:rsidRPr="00954CFD">
        <w:rPr>
          <w:rFonts w:ascii="Palatino Linotype" w:hAnsi="Palatino Linotype" w:cs="Arial"/>
          <w:sz w:val="24"/>
          <w:szCs w:val="24"/>
        </w:rPr>
        <w:t>en lo subsecuente</w:t>
      </w:r>
      <w:r w:rsidRPr="00954CFD">
        <w:rPr>
          <w:rFonts w:ascii="Palatino Linotype" w:hAnsi="Palatino Linotype" w:cs="Arial"/>
          <w:b/>
          <w:sz w:val="24"/>
          <w:szCs w:val="24"/>
        </w:rPr>
        <w:t xml:space="preserve"> el Sujeto Obligado, </w:t>
      </w:r>
      <w:r w:rsidRPr="00954CFD">
        <w:rPr>
          <w:rFonts w:ascii="Palatino Linotype" w:hAnsi="Palatino Linotype" w:cs="Arial"/>
          <w:sz w:val="24"/>
          <w:szCs w:val="24"/>
        </w:rPr>
        <w:t>se procede a dictar la presente resolución.</w:t>
      </w:r>
    </w:p>
    <w:p w:rsidR="008306AC" w:rsidRPr="00954CFD" w:rsidRDefault="008306AC" w:rsidP="008306AC">
      <w:pPr>
        <w:tabs>
          <w:tab w:val="left" w:pos="6960"/>
        </w:tabs>
        <w:spacing w:after="0" w:line="360" w:lineRule="auto"/>
        <w:jc w:val="both"/>
        <w:rPr>
          <w:rFonts w:ascii="Palatino Linotype" w:hAnsi="Palatino Linotype" w:cs="Arial"/>
          <w:sz w:val="24"/>
          <w:szCs w:val="24"/>
        </w:rPr>
      </w:pPr>
    </w:p>
    <w:p w:rsidR="008306AC" w:rsidRPr="00954CFD" w:rsidRDefault="008306AC" w:rsidP="008306AC">
      <w:pPr>
        <w:spacing w:after="0" w:line="360" w:lineRule="auto"/>
        <w:jc w:val="center"/>
        <w:rPr>
          <w:rFonts w:ascii="Palatino Linotype" w:hAnsi="Palatino Linotype" w:cs="Arial"/>
          <w:b/>
          <w:sz w:val="28"/>
          <w:szCs w:val="24"/>
        </w:rPr>
      </w:pPr>
      <w:r w:rsidRPr="00954CFD">
        <w:rPr>
          <w:rFonts w:ascii="Palatino Linotype" w:hAnsi="Palatino Linotype" w:cs="Arial"/>
          <w:b/>
          <w:sz w:val="28"/>
          <w:szCs w:val="24"/>
        </w:rPr>
        <w:t>A N T E C E D E N T E S</w:t>
      </w:r>
    </w:p>
    <w:p w:rsidR="008306AC" w:rsidRPr="00954CFD" w:rsidRDefault="008306AC" w:rsidP="008306AC">
      <w:pPr>
        <w:spacing w:after="0" w:line="360" w:lineRule="auto"/>
        <w:rPr>
          <w:rFonts w:ascii="Palatino Linotype" w:hAnsi="Palatino Linotype" w:cs="Arial"/>
          <w:b/>
          <w:sz w:val="24"/>
          <w:szCs w:val="24"/>
        </w:rPr>
      </w:pPr>
    </w:p>
    <w:p w:rsidR="008306AC" w:rsidRPr="00954CFD" w:rsidRDefault="008306AC" w:rsidP="008306AC">
      <w:pPr>
        <w:spacing w:after="0" w:line="360" w:lineRule="auto"/>
        <w:jc w:val="both"/>
        <w:rPr>
          <w:rFonts w:ascii="Palatino Linotype" w:hAnsi="Palatino Linotype" w:cs="Arial"/>
          <w:sz w:val="24"/>
          <w:szCs w:val="24"/>
        </w:rPr>
      </w:pPr>
      <w:r w:rsidRPr="00954CFD">
        <w:rPr>
          <w:rFonts w:ascii="Palatino Linotype" w:hAnsi="Palatino Linotype" w:cs="Arial"/>
          <w:b/>
          <w:sz w:val="28"/>
          <w:szCs w:val="28"/>
        </w:rPr>
        <w:t xml:space="preserve">PRIMERO. </w:t>
      </w:r>
      <w:r w:rsidRPr="00954CFD">
        <w:rPr>
          <w:rFonts w:ascii="Palatino Linotype" w:hAnsi="Palatino Linotype" w:cs="Arial"/>
          <w:sz w:val="24"/>
          <w:szCs w:val="24"/>
        </w:rPr>
        <w:t>Con fecha 14 (catorce) de junio de 2022 (dos mil veintidós), el</w:t>
      </w:r>
      <w:r w:rsidRPr="00954CFD">
        <w:rPr>
          <w:rFonts w:ascii="Palatino Linotype" w:hAnsi="Palatino Linotype" w:cs="Arial"/>
          <w:b/>
          <w:sz w:val="24"/>
          <w:szCs w:val="24"/>
        </w:rPr>
        <w:t xml:space="preserve"> Recurrente</w:t>
      </w:r>
      <w:r w:rsidRPr="00954CFD">
        <w:rPr>
          <w:rFonts w:ascii="Palatino Linotype" w:hAnsi="Palatino Linotype" w:cs="Arial"/>
          <w:sz w:val="24"/>
          <w:szCs w:val="24"/>
        </w:rPr>
        <w:t xml:space="preserve"> presentó a través del Sistema de Acceso a la Información Mexiquense, en lo posterior el </w:t>
      </w:r>
      <w:r w:rsidRPr="00954CFD">
        <w:rPr>
          <w:rFonts w:ascii="Palatino Linotype" w:hAnsi="Palatino Linotype" w:cs="Arial"/>
          <w:b/>
          <w:sz w:val="24"/>
          <w:szCs w:val="24"/>
        </w:rPr>
        <w:t>SAIMEX</w:t>
      </w:r>
      <w:r w:rsidRPr="00954CFD">
        <w:rPr>
          <w:rFonts w:ascii="Palatino Linotype" w:hAnsi="Palatino Linotype" w:cs="Arial"/>
          <w:sz w:val="24"/>
          <w:szCs w:val="24"/>
        </w:rPr>
        <w:t xml:space="preserve">, ante </w:t>
      </w:r>
      <w:r w:rsidRPr="00954CFD">
        <w:rPr>
          <w:rFonts w:ascii="Palatino Linotype" w:hAnsi="Palatino Linotype" w:cs="Arial"/>
          <w:b/>
          <w:sz w:val="24"/>
          <w:szCs w:val="24"/>
        </w:rPr>
        <w:t>el Sujeto Obligado</w:t>
      </w:r>
      <w:r w:rsidRPr="00954CFD">
        <w:rPr>
          <w:rFonts w:ascii="Palatino Linotype" w:hAnsi="Palatino Linotype" w:cs="Arial"/>
          <w:sz w:val="24"/>
          <w:szCs w:val="24"/>
        </w:rPr>
        <w:t>, solicitudes de acceso a la información pública, registradas bajo los números de expedientes</w:t>
      </w:r>
      <w:r w:rsidRPr="00954CFD">
        <w:rPr>
          <w:rFonts w:ascii="Palatino Linotype" w:hAnsi="Palatino Linotype" w:cs="Arial"/>
          <w:b/>
          <w:sz w:val="24"/>
          <w:szCs w:val="24"/>
        </w:rPr>
        <w:t xml:space="preserve"> 00744/INFOEM/IP/2022 y 00745/INFOEM/IP/2022</w:t>
      </w:r>
      <w:r w:rsidRPr="00954CFD">
        <w:rPr>
          <w:rFonts w:ascii="Palatino Linotype" w:hAnsi="Palatino Linotype" w:cs="Arial"/>
          <w:sz w:val="24"/>
          <w:szCs w:val="24"/>
          <w:lang w:eastAsia="es-MX"/>
        </w:rPr>
        <w:t>,</w:t>
      </w:r>
      <w:r w:rsidRPr="00954CFD">
        <w:rPr>
          <w:rFonts w:ascii="Palatino Linotype" w:hAnsi="Palatino Linotype" w:cs="Arial"/>
          <w:b/>
          <w:sz w:val="24"/>
          <w:szCs w:val="24"/>
          <w:lang w:eastAsia="es-MX"/>
        </w:rPr>
        <w:t xml:space="preserve"> </w:t>
      </w:r>
      <w:r w:rsidRPr="00954CFD">
        <w:rPr>
          <w:rFonts w:ascii="Palatino Linotype" w:hAnsi="Palatino Linotype" w:cs="Arial"/>
          <w:sz w:val="24"/>
          <w:szCs w:val="24"/>
        </w:rPr>
        <w:t>mediante las cuales solicitó información en el tenor siguiente:</w:t>
      </w:r>
    </w:p>
    <w:p w:rsidR="008306AC" w:rsidRPr="00954CFD" w:rsidRDefault="008306AC" w:rsidP="008306AC">
      <w:pPr>
        <w:spacing w:after="0" w:line="360" w:lineRule="auto"/>
        <w:jc w:val="both"/>
        <w:rPr>
          <w:rFonts w:ascii="Palatino Linotype" w:hAnsi="Palatino Linotype" w:cs="Arial"/>
          <w:sz w:val="24"/>
          <w:szCs w:val="24"/>
        </w:rPr>
      </w:pPr>
    </w:p>
    <w:p w:rsidR="008306AC" w:rsidRPr="00954CFD" w:rsidRDefault="008306AC" w:rsidP="008306AC">
      <w:pPr>
        <w:numPr>
          <w:ilvl w:val="0"/>
          <w:numId w:val="1"/>
        </w:numPr>
        <w:spacing w:after="0" w:line="360" w:lineRule="auto"/>
        <w:jc w:val="both"/>
        <w:rPr>
          <w:rFonts w:ascii="Palatino Linotype" w:eastAsia="Times New Roman" w:hAnsi="Palatino Linotype" w:cs="Arial"/>
          <w:sz w:val="24"/>
          <w:szCs w:val="24"/>
          <w:lang w:val="es-ES" w:eastAsia="es-ES"/>
        </w:rPr>
      </w:pPr>
      <w:r w:rsidRPr="00954CFD">
        <w:rPr>
          <w:rFonts w:ascii="Palatino Linotype" w:hAnsi="Palatino Linotype" w:cs="Arial"/>
          <w:b/>
          <w:sz w:val="24"/>
          <w:szCs w:val="24"/>
        </w:rPr>
        <w:lastRenderedPageBreak/>
        <w:t>00744/INFOEM/IP/2022</w:t>
      </w:r>
      <w:r w:rsidRPr="00954CFD">
        <w:rPr>
          <w:rFonts w:ascii="Palatino Linotype" w:eastAsia="Times New Roman" w:hAnsi="Palatino Linotype" w:cs="Arial"/>
          <w:b/>
          <w:sz w:val="24"/>
          <w:szCs w:val="24"/>
          <w:lang w:val="es-ES" w:eastAsia="es-ES"/>
        </w:rPr>
        <w:t>:</w:t>
      </w:r>
    </w:p>
    <w:p w:rsidR="008306AC" w:rsidRPr="00954CFD" w:rsidRDefault="008306AC" w:rsidP="008306AC">
      <w:pPr>
        <w:spacing w:after="0" w:line="360" w:lineRule="auto"/>
        <w:jc w:val="both"/>
        <w:rPr>
          <w:rFonts w:ascii="Palatino Linotype" w:hAnsi="Palatino Linotype" w:cs="Arial"/>
          <w:sz w:val="24"/>
          <w:szCs w:val="24"/>
        </w:rPr>
      </w:pPr>
    </w:p>
    <w:p w:rsidR="008306AC" w:rsidRPr="00954CFD" w:rsidRDefault="008306AC" w:rsidP="008306AC">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954CFD">
        <w:rPr>
          <w:rFonts w:ascii="Palatino Linotype" w:eastAsia="Times New Roman" w:hAnsi="Palatino Linotype" w:cs="Times New Roman"/>
          <w:i/>
          <w:szCs w:val="24"/>
          <w:lang w:val="es-ES_tradnl" w:eastAsia="es-ES"/>
        </w:rPr>
        <w:t>"</w:t>
      </w:r>
      <w:r w:rsidRPr="00954CFD">
        <w:t xml:space="preserve"> </w:t>
      </w:r>
      <w:r w:rsidRPr="00954CFD">
        <w:rPr>
          <w:rFonts w:ascii="Palatino Linotype" w:eastAsia="Times New Roman" w:hAnsi="Palatino Linotype" w:cs="Times New Roman"/>
          <w:i/>
          <w:szCs w:val="24"/>
          <w:lang w:eastAsia="es-ES"/>
        </w:rPr>
        <w:t>De acuerdo con el. Derecho a saber solicito los informes de actividades y los proyectos, iniciativas y estudios realizados por cada Comisionado y el informe general y cuenta pública del Instituto de Transparencia por año 2017, 2018, 2019,2020, 2021 y 2022 en versión editable y con datos abiertos.</w:t>
      </w:r>
      <w:r w:rsidRPr="00954CFD">
        <w:rPr>
          <w:rFonts w:ascii="Palatino Linotype" w:eastAsia="Times New Roman" w:hAnsi="Palatino Linotype" w:cs="Times New Roman"/>
          <w:i/>
          <w:szCs w:val="24"/>
          <w:lang w:val="es-ES_tradnl" w:eastAsia="es-ES"/>
        </w:rPr>
        <w:t>"</w:t>
      </w:r>
    </w:p>
    <w:p w:rsidR="008306AC" w:rsidRPr="00954CFD" w:rsidRDefault="008306AC" w:rsidP="008306AC">
      <w:pPr>
        <w:tabs>
          <w:tab w:val="left" w:pos="5647"/>
        </w:tabs>
        <w:spacing w:after="0" w:line="360" w:lineRule="auto"/>
        <w:jc w:val="both"/>
        <w:rPr>
          <w:rFonts w:ascii="Palatino Linotype" w:eastAsia="Times New Roman" w:hAnsi="Palatino Linotype" w:cs="Times New Roman"/>
          <w:sz w:val="24"/>
          <w:szCs w:val="24"/>
          <w:lang w:val="es-ES_tradnl" w:eastAsia="es-ES"/>
        </w:rPr>
      </w:pPr>
    </w:p>
    <w:p w:rsidR="008306AC" w:rsidRPr="00954CFD" w:rsidRDefault="008306AC" w:rsidP="008306AC">
      <w:pPr>
        <w:numPr>
          <w:ilvl w:val="0"/>
          <w:numId w:val="1"/>
        </w:numPr>
        <w:spacing w:after="0" w:line="360" w:lineRule="auto"/>
        <w:jc w:val="both"/>
        <w:rPr>
          <w:rFonts w:ascii="Palatino Linotype" w:eastAsia="Times New Roman" w:hAnsi="Palatino Linotype" w:cs="Arial"/>
          <w:sz w:val="24"/>
          <w:szCs w:val="24"/>
          <w:lang w:val="es-ES" w:eastAsia="es-ES"/>
        </w:rPr>
      </w:pPr>
      <w:r w:rsidRPr="00954CFD">
        <w:rPr>
          <w:rFonts w:ascii="Palatino Linotype" w:hAnsi="Palatino Linotype" w:cs="Arial"/>
          <w:b/>
          <w:sz w:val="24"/>
          <w:szCs w:val="24"/>
        </w:rPr>
        <w:t>00745/INFOEM/IP/2022</w:t>
      </w:r>
      <w:r w:rsidRPr="00954CFD">
        <w:rPr>
          <w:rFonts w:ascii="Palatino Linotype" w:eastAsia="Times New Roman" w:hAnsi="Palatino Linotype" w:cs="Arial"/>
          <w:b/>
          <w:sz w:val="24"/>
          <w:szCs w:val="24"/>
          <w:lang w:val="es-ES" w:eastAsia="es-ES"/>
        </w:rPr>
        <w:t>:</w:t>
      </w:r>
    </w:p>
    <w:p w:rsidR="008306AC" w:rsidRPr="00954CFD" w:rsidRDefault="008306AC" w:rsidP="008306AC">
      <w:pPr>
        <w:spacing w:after="0" w:line="360" w:lineRule="auto"/>
        <w:jc w:val="both"/>
        <w:rPr>
          <w:rFonts w:ascii="Palatino Linotype" w:hAnsi="Palatino Linotype" w:cs="Arial"/>
          <w:sz w:val="24"/>
          <w:szCs w:val="24"/>
        </w:rPr>
      </w:pPr>
    </w:p>
    <w:p w:rsidR="008306AC" w:rsidRPr="00954CFD" w:rsidRDefault="008306AC" w:rsidP="008306AC">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954CFD">
        <w:rPr>
          <w:rFonts w:ascii="Palatino Linotype" w:eastAsia="Times New Roman" w:hAnsi="Palatino Linotype" w:cs="Times New Roman"/>
          <w:i/>
          <w:szCs w:val="24"/>
          <w:lang w:val="es-ES_tradnl" w:eastAsia="es-ES"/>
        </w:rPr>
        <w:t>"</w:t>
      </w:r>
      <w:r w:rsidRPr="00954CFD">
        <w:rPr>
          <w:rFonts w:ascii="Palatino Linotype" w:eastAsia="Times New Roman" w:hAnsi="Palatino Linotype" w:cs="Times New Roman"/>
          <w:i/>
          <w:szCs w:val="24"/>
          <w:lang w:eastAsia="es-ES"/>
        </w:rPr>
        <w:t>De acuerdo con el. Derecho a saber solicito los informes de actividades y los proyectos, iniciativas y estudios realizados por cada Comisionado y el informe general y cuenta pública del Instituto de Transparencia por año 2017, 2018, 2019,2020, 2021 y 2022 en versión editable y con datos abiertos.</w:t>
      </w:r>
      <w:r w:rsidRPr="00954CFD">
        <w:rPr>
          <w:rFonts w:ascii="Palatino Linotype" w:eastAsia="Times New Roman" w:hAnsi="Palatino Linotype" w:cs="Times New Roman"/>
          <w:i/>
          <w:szCs w:val="24"/>
          <w:lang w:val="es-ES_tradnl" w:eastAsia="es-ES"/>
        </w:rPr>
        <w:t>"</w:t>
      </w:r>
    </w:p>
    <w:p w:rsidR="008306AC" w:rsidRPr="00954CFD" w:rsidRDefault="008306AC" w:rsidP="008306AC">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8306AC" w:rsidRPr="00954CFD" w:rsidRDefault="008306AC" w:rsidP="008306AC">
      <w:pPr>
        <w:tabs>
          <w:tab w:val="left" w:pos="5647"/>
        </w:tabs>
        <w:spacing w:after="0" w:line="360" w:lineRule="auto"/>
        <w:ind w:right="850"/>
        <w:jc w:val="both"/>
        <w:rPr>
          <w:rFonts w:ascii="Palatino Linotype" w:hAnsi="Palatino Linotype"/>
          <w:b/>
          <w:i/>
          <w:color w:val="000000"/>
          <w:sz w:val="24"/>
          <w:szCs w:val="24"/>
        </w:rPr>
      </w:pPr>
      <w:r w:rsidRPr="00954CFD">
        <w:rPr>
          <w:rFonts w:ascii="Palatino Linotype" w:eastAsia="Times New Roman" w:hAnsi="Palatino Linotype" w:cs="Times New Roman"/>
          <w:sz w:val="24"/>
          <w:szCs w:val="24"/>
          <w:lang w:val="es-ES_tradnl" w:eastAsia="es-ES"/>
        </w:rPr>
        <w:t xml:space="preserve">Modalidad de entrega para ambas solicitudes: </w:t>
      </w:r>
      <w:r w:rsidRPr="00954CFD">
        <w:rPr>
          <w:rFonts w:ascii="Palatino Linotype" w:hAnsi="Palatino Linotype"/>
          <w:b/>
          <w:i/>
          <w:color w:val="000000"/>
          <w:sz w:val="24"/>
          <w:szCs w:val="24"/>
        </w:rPr>
        <w:t>A través del SAIMEX</w:t>
      </w:r>
    </w:p>
    <w:p w:rsidR="008306AC" w:rsidRPr="00954CFD" w:rsidRDefault="008306AC" w:rsidP="008306AC">
      <w:pPr>
        <w:tabs>
          <w:tab w:val="left" w:pos="5647"/>
        </w:tabs>
        <w:spacing w:after="0" w:line="360" w:lineRule="auto"/>
        <w:ind w:right="850"/>
        <w:jc w:val="both"/>
        <w:rPr>
          <w:rFonts w:ascii="Palatino Linotype" w:hAnsi="Palatino Linotype"/>
          <w:color w:val="000000"/>
          <w:sz w:val="24"/>
          <w:szCs w:val="24"/>
        </w:rPr>
      </w:pPr>
    </w:p>
    <w:p w:rsidR="008306AC" w:rsidRPr="00954CFD" w:rsidRDefault="008306AC" w:rsidP="008306AC">
      <w:pPr>
        <w:spacing w:after="0" w:line="360" w:lineRule="auto"/>
        <w:jc w:val="both"/>
        <w:rPr>
          <w:rFonts w:ascii="Palatino Linotype" w:eastAsia="Times New Roman" w:hAnsi="Palatino Linotype" w:cs="Times New Roman"/>
          <w:sz w:val="24"/>
          <w:szCs w:val="24"/>
          <w:lang w:val="es-ES" w:eastAsia="es-ES"/>
        </w:rPr>
      </w:pPr>
      <w:r w:rsidRPr="00954CFD">
        <w:rPr>
          <w:rFonts w:ascii="Palatino Linotype" w:hAnsi="Palatino Linotype" w:cs="Arial"/>
          <w:b/>
          <w:sz w:val="28"/>
          <w:szCs w:val="24"/>
        </w:rPr>
        <w:t>SEGUNDO</w:t>
      </w:r>
      <w:r w:rsidRPr="00954CFD">
        <w:rPr>
          <w:rFonts w:ascii="Palatino Linotype" w:hAnsi="Palatino Linotype" w:cs="Arial"/>
          <w:b/>
          <w:sz w:val="24"/>
          <w:szCs w:val="24"/>
        </w:rPr>
        <w:t xml:space="preserve">. </w:t>
      </w:r>
      <w:r w:rsidRPr="00954CFD">
        <w:rPr>
          <w:rFonts w:ascii="Palatino Linotype" w:eastAsia="Times New Roman" w:hAnsi="Palatino Linotype" w:cs="Times New Roman"/>
          <w:sz w:val="24"/>
          <w:szCs w:val="24"/>
          <w:lang w:val="es-ES" w:eastAsia="es-ES"/>
        </w:rPr>
        <w:t>De las constancias que obran en los expedientes electrónicos, aperturados con motivo del ingreso de las solicitudes de información, se advierte que el</w:t>
      </w:r>
      <w:r w:rsidRPr="00954CFD">
        <w:rPr>
          <w:rFonts w:ascii="Palatino Linotype" w:eastAsia="Times New Roman" w:hAnsi="Palatino Linotype" w:cs="Times New Roman"/>
          <w:b/>
          <w:sz w:val="24"/>
          <w:szCs w:val="24"/>
          <w:lang w:val="es-ES" w:eastAsia="es-ES"/>
        </w:rPr>
        <w:t xml:space="preserve"> Sujeto Obligado </w:t>
      </w:r>
      <w:r w:rsidRPr="00954CFD">
        <w:rPr>
          <w:rFonts w:ascii="Palatino Linotype" w:eastAsia="Times New Roman" w:hAnsi="Palatino Linotype" w:cs="Times New Roman"/>
          <w:sz w:val="24"/>
          <w:szCs w:val="24"/>
          <w:lang w:val="es-ES" w:eastAsia="es-ES"/>
        </w:rPr>
        <w:t>emitió respuestas el día 05 (cinco) de julio de 2022 (dos mil veintidós), en los términos siguientes:</w:t>
      </w:r>
    </w:p>
    <w:p w:rsidR="008306AC" w:rsidRPr="00954CFD" w:rsidRDefault="008306AC" w:rsidP="008306AC">
      <w:pPr>
        <w:spacing w:after="0" w:line="360" w:lineRule="auto"/>
        <w:jc w:val="both"/>
        <w:rPr>
          <w:rFonts w:ascii="Palatino Linotype" w:eastAsia="Times New Roman" w:hAnsi="Palatino Linotype" w:cs="Times New Roman"/>
          <w:sz w:val="24"/>
          <w:szCs w:val="24"/>
          <w:lang w:val="es-ES" w:eastAsia="es-ES"/>
        </w:rPr>
      </w:pPr>
    </w:p>
    <w:p w:rsidR="008306AC" w:rsidRPr="00954CFD" w:rsidRDefault="008306AC" w:rsidP="008306AC">
      <w:pPr>
        <w:numPr>
          <w:ilvl w:val="0"/>
          <w:numId w:val="1"/>
        </w:numPr>
        <w:spacing w:after="0" w:line="360" w:lineRule="auto"/>
        <w:jc w:val="both"/>
        <w:rPr>
          <w:rFonts w:ascii="Palatino Linotype" w:eastAsia="Times New Roman" w:hAnsi="Palatino Linotype" w:cs="Arial"/>
          <w:sz w:val="24"/>
          <w:szCs w:val="24"/>
          <w:lang w:val="es-ES" w:eastAsia="es-ES"/>
        </w:rPr>
      </w:pPr>
      <w:r w:rsidRPr="00954CFD">
        <w:rPr>
          <w:rFonts w:ascii="Palatino Linotype" w:hAnsi="Palatino Linotype" w:cs="Arial"/>
          <w:b/>
          <w:sz w:val="24"/>
          <w:szCs w:val="24"/>
        </w:rPr>
        <w:t>00744/INFOEM/IP/2022</w:t>
      </w:r>
      <w:r w:rsidRPr="00954CFD">
        <w:rPr>
          <w:rFonts w:ascii="Palatino Linotype" w:eastAsia="Times New Roman" w:hAnsi="Palatino Linotype" w:cs="Arial"/>
          <w:b/>
          <w:sz w:val="24"/>
          <w:szCs w:val="24"/>
          <w:lang w:val="es-ES" w:eastAsia="es-ES"/>
        </w:rPr>
        <w:t>:</w:t>
      </w:r>
    </w:p>
    <w:p w:rsidR="008306AC" w:rsidRPr="00954CFD" w:rsidRDefault="008306AC" w:rsidP="008306AC">
      <w:pPr>
        <w:spacing w:after="0" w:line="360" w:lineRule="auto"/>
        <w:jc w:val="both"/>
        <w:rPr>
          <w:rFonts w:ascii="Palatino Linotype" w:hAnsi="Palatino Linotype" w:cs="Arial"/>
          <w:sz w:val="24"/>
          <w:szCs w:val="24"/>
        </w:rPr>
      </w:pPr>
    </w:p>
    <w:p w:rsidR="008306AC" w:rsidRPr="00954CFD" w:rsidRDefault="008306AC" w:rsidP="008306AC">
      <w:pPr>
        <w:tabs>
          <w:tab w:val="left" w:pos="5647"/>
        </w:tabs>
        <w:spacing w:after="0" w:line="240" w:lineRule="auto"/>
        <w:ind w:left="567" w:right="567"/>
        <w:jc w:val="both"/>
        <w:rPr>
          <w:rFonts w:ascii="Palatino Linotype" w:hAnsi="Palatino Linotype"/>
          <w:i/>
        </w:rPr>
      </w:pPr>
      <w:r w:rsidRPr="00954CFD">
        <w:rPr>
          <w:rFonts w:ascii="Palatino Linotype" w:eastAsia="Times New Roman" w:hAnsi="Palatino Linotype" w:cs="Times New Roman"/>
          <w:i/>
          <w:szCs w:val="24"/>
          <w:lang w:val="es-ES_tradnl" w:eastAsia="es-ES"/>
        </w:rPr>
        <w:t>"</w:t>
      </w:r>
      <w:r w:rsidRPr="00954CFD">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306AC" w:rsidRPr="00954CFD" w:rsidRDefault="008306AC" w:rsidP="008306AC">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954CFD">
        <w:rPr>
          <w:rFonts w:ascii="Palatino Linotype" w:hAnsi="Palatino Linotype"/>
          <w:i/>
        </w:rPr>
        <w:lastRenderedPageBreak/>
        <w:t>Con fundamento en el artículo 53 fracción II de la Ley de Transparencia y Acceso a la Información Pública del Estado de México y Municipios, se adjunta la respuesta a su solicitud de información pública.</w:t>
      </w:r>
      <w:r w:rsidRPr="00954CFD">
        <w:rPr>
          <w:rFonts w:ascii="Palatino Linotype" w:eastAsia="Times New Roman" w:hAnsi="Palatino Linotype" w:cs="Times New Roman"/>
          <w:i/>
          <w:szCs w:val="24"/>
          <w:lang w:val="es-ES_tradnl" w:eastAsia="es-ES"/>
        </w:rPr>
        <w:t>"</w:t>
      </w:r>
    </w:p>
    <w:p w:rsidR="008306AC" w:rsidRPr="00954CFD" w:rsidRDefault="008306AC" w:rsidP="008306AC">
      <w:pPr>
        <w:tabs>
          <w:tab w:val="left" w:pos="5647"/>
        </w:tabs>
        <w:spacing w:after="0" w:line="360" w:lineRule="auto"/>
        <w:jc w:val="both"/>
        <w:rPr>
          <w:rFonts w:ascii="Palatino Linotype" w:eastAsia="Times New Roman" w:hAnsi="Palatino Linotype" w:cs="Times New Roman"/>
          <w:sz w:val="24"/>
          <w:szCs w:val="24"/>
          <w:lang w:val="es-ES_tradnl" w:eastAsia="es-ES"/>
        </w:rPr>
      </w:pPr>
    </w:p>
    <w:p w:rsidR="008306AC" w:rsidRPr="00954CFD" w:rsidRDefault="008306AC" w:rsidP="008306AC">
      <w:pPr>
        <w:tabs>
          <w:tab w:val="left" w:pos="5647"/>
        </w:tabs>
        <w:spacing w:after="0" w:line="360" w:lineRule="auto"/>
        <w:jc w:val="both"/>
        <w:rPr>
          <w:rFonts w:ascii="Palatino Linotype" w:eastAsia="Times New Roman" w:hAnsi="Palatino Linotype" w:cs="Times New Roman"/>
          <w:sz w:val="24"/>
          <w:szCs w:val="24"/>
          <w:lang w:val="es-ES_tradnl" w:eastAsia="es-ES"/>
        </w:rPr>
      </w:pPr>
      <w:r w:rsidRPr="00954CFD">
        <w:rPr>
          <w:rFonts w:ascii="Palatino Linotype" w:eastAsia="Times New Roman" w:hAnsi="Palatino Linotype" w:cs="Times New Roman"/>
          <w:sz w:val="24"/>
          <w:szCs w:val="24"/>
          <w:lang w:val="es-ES_tradnl" w:eastAsia="es-ES"/>
        </w:rPr>
        <w:t xml:space="preserve">Se hace constar que el </w:t>
      </w:r>
      <w:r w:rsidRPr="00954CFD">
        <w:rPr>
          <w:rFonts w:ascii="Palatino Linotype" w:eastAsia="Times New Roman" w:hAnsi="Palatino Linotype" w:cs="Times New Roman"/>
          <w:b/>
          <w:sz w:val="24"/>
          <w:szCs w:val="24"/>
          <w:lang w:val="es-ES_tradnl" w:eastAsia="es-ES"/>
        </w:rPr>
        <w:t>Sujeto Obligado</w:t>
      </w:r>
      <w:r w:rsidRPr="00954CFD">
        <w:rPr>
          <w:rFonts w:ascii="Palatino Linotype" w:eastAsia="Times New Roman" w:hAnsi="Palatino Linotype" w:cs="Times New Roman"/>
          <w:sz w:val="24"/>
          <w:szCs w:val="24"/>
          <w:lang w:val="es-ES_tradnl" w:eastAsia="es-ES"/>
        </w:rPr>
        <w:t xml:space="preserve"> adjunto el archivo “</w:t>
      </w:r>
      <w:r w:rsidRPr="00954CFD">
        <w:rPr>
          <w:rFonts w:ascii="Palatino Linotype" w:eastAsia="Times New Roman" w:hAnsi="Palatino Linotype" w:cs="Times New Roman"/>
          <w:b/>
          <w:i/>
          <w:sz w:val="24"/>
          <w:szCs w:val="24"/>
          <w:lang w:val="es-ES_tradnl" w:eastAsia="es-ES"/>
        </w:rPr>
        <w:t>RespuestaSolicitud00744.zip</w:t>
      </w:r>
      <w:r w:rsidRPr="00954CFD">
        <w:rPr>
          <w:rFonts w:ascii="Palatino Linotype" w:eastAsia="Times New Roman" w:hAnsi="Palatino Linotype" w:cs="Times New Roman"/>
          <w:sz w:val="24"/>
          <w:szCs w:val="24"/>
          <w:lang w:val="es-ES_tradnl" w:eastAsia="es-ES"/>
        </w:rPr>
        <w:t>”, que al ser del conocimiento de las partes, se omite su inserción en este apartado, máxime que será objeto de estudio en párrafos posteriores.</w:t>
      </w:r>
    </w:p>
    <w:p w:rsidR="008306AC" w:rsidRPr="00954CFD" w:rsidRDefault="008306AC" w:rsidP="008306AC">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8306AC" w:rsidRPr="00954CFD" w:rsidRDefault="008306AC" w:rsidP="008306AC">
      <w:pPr>
        <w:numPr>
          <w:ilvl w:val="0"/>
          <w:numId w:val="1"/>
        </w:numPr>
        <w:spacing w:after="0" w:line="360" w:lineRule="auto"/>
        <w:jc w:val="both"/>
        <w:rPr>
          <w:rFonts w:ascii="Palatino Linotype" w:eastAsia="Times New Roman" w:hAnsi="Palatino Linotype" w:cs="Arial"/>
          <w:sz w:val="24"/>
          <w:szCs w:val="24"/>
          <w:lang w:val="es-ES" w:eastAsia="es-ES"/>
        </w:rPr>
      </w:pPr>
      <w:r w:rsidRPr="00954CFD">
        <w:rPr>
          <w:rFonts w:ascii="Palatino Linotype" w:eastAsia="Times New Roman" w:hAnsi="Palatino Linotype" w:cs="Arial"/>
          <w:b/>
          <w:sz w:val="24"/>
          <w:szCs w:val="24"/>
          <w:lang w:val="es-ES" w:eastAsia="es-ES"/>
        </w:rPr>
        <w:t>00745/INFOEM/IP/2022:</w:t>
      </w:r>
    </w:p>
    <w:p w:rsidR="008306AC" w:rsidRPr="00954CFD" w:rsidRDefault="008306AC" w:rsidP="008306AC">
      <w:pPr>
        <w:spacing w:after="0" w:line="360" w:lineRule="auto"/>
        <w:jc w:val="both"/>
        <w:rPr>
          <w:rFonts w:ascii="Palatino Linotype" w:eastAsia="Times New Roman" w:hAnsi="Palatino Linotype" w:cs="Arial"/>
          <w:sz w:val="24"/>
          <w:szCs w:val="24"/>
          <w:lang w:val="es-ES" w:eastAsia="es-ES"/>
        </w:rPr>
      </w:pPr>
    </w:p>
    <w:p w:rsidR="008306AC" w:rsidRPr="00954CFD" w:rsidRDefault="008306AC" w:rsidP="008306AC">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954CFD">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306AC" w:rsidRPr="00954CFD" w:rsidRDefault="008306AC" w:rsidP="008306AC">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8306AC" w:rsidRPr="00954CFD" w:rsidRDefault="008306AC" w:rsidP="008306AC">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954CFD">
        <w:rPr>
          <w:rFonts w:ascii="Palatino Linotype" w:eastAsia="Times New Roman" w:hAnsi="Palatino Linotype" w:cs="Times New Roman"/>
          <w:i/>
          <w:szCs w:val="24"/>
          <w:lang w:val="es-ES_tradnl" w:eastAsia="es-ES"/>
        </w:rPr>
        <w:t>Con fundamento en el artículo 53 fracción II de la Ley de Transparencia y Acceso a la Información Pública del Estado de México y Municipios, se adjunta la respuesta a su solicitud de información pública."</w:t>
      </w:r>
    </w:p>
    <w:p w:rsidR="008306AC" w:rsidRPr="00954CFD" w:rsidRDefault="008306AC" w:rsidP="008306AC">
      <w:pPr>
        <w:spacing w:after="0" w:line="360" w:lineRule="auto"/>
        <w:jc w:val="both"/>
        <w:rPr>
          <w:rFonts w:ascii="Palatino Linotype" w:hAnsi="Palatino Linotype" w:cs="Arial"/>
          <w:sz w:val="24"/>
          <w:szCs w:val="24"/>
        </w:rPr>
      </w:pPr>
    </w:p>
    <w:p w:rsidR="008306AC" w:rsidRPr="00954CFD" w:rsidRDefault="008306AC" w:rsidP="008306AC">
      <w:pPr>
        <w:spacing w:after="0" w:line="360" w:lineRule="auto"/>
        <w:jc w:val="both"/>
        <w:rPr>
          <w:rFonts w:ascii="Palatino Linotype" w:hAnsi="Palatino Linotype" w:cs="Arial"/>
          <w:sz w:val="24"/>
          <w:szCs w:val="24"/>
        </w:rPr>
      </w:pPr>
      <w:r w:rsidRPr="00954CFD">
        <w:rPr>
          <w:rFonts w:ascii="Palatino Linotype" w:hAnsi="Palatino Linotype" w:cs="Arial"/>
          <w:sz w:val="24"/>
          <w:szCs w:val="24"/>
        </w:rPr>
        <w:t xml:space="preserve">Se hace constar que el </w:t>
      </w:r>
      <w:r w:rsidRPr="00954CFD">
        <w:rPr>
          <w:rFonts w:ascii="Palatino Linotype" w:hAnsi="Palatino Linotype" w:cs="Arial"/>
          <w:b/>
          <w:sz w:val="24"/>
          <w:szCs w:val="24"/>
        </w:rPr>
        <w:t>Sujeto Obligado</w:t>
      </w:r>
      <w:r w:rsidRPr="00954CFD">
        <w:rPr>
          <w:rFonts w:ascii="Palatino Linotype" w:hAnsi="Palatino Linotype" w:cs="Arial"/>
          <w:sz w:val="24"/>
          <w:szCs w:val="24"/>
        </w:rPr>
        <w:t xml:space="preserve"> adjunto el archivo “</w:t>
      </w:r>
      <w:r w:rsidRPr="00954CFD">
        <w:rPr>
          <w:rFonts w:ascii="Palatino Linotype" w:hAnsi="Palatino Linotype" w:cs="Arial"/>
          <w:b/>
          <w:i/>
          <w:sz w:val="24"/>
          <w:szCs w:val="24"/>
        </w:rPr>
        <w:t>RespuestaSolicitud00745.zip</w:t>
      </w:r>
      <w:r w:rsidRPr="00954CFD">
        <w:rPr>
          <w:rFonts w:ascii="Palatino Linotype" w:hAnsi="Palatino Linotype" w:cs="Arial"/>
          <w:sz w:val="24"/>
          <w:szCs w:val="24"/>
        </w:rPr>
        <w:t>”, los cuales, al ser del conocimiento de las partes, se omite su inserción en este apartado, máxime que serán objeto de estudio en párrafos posteriores.</w:t>
      </w:r>
    </w:p>
    <w:p w:rsidR="008306AC" w:rsidRPr="00954CFD" w:rsidRDefault="008306AC" w:rsidP="008306AC">
      <w:pPr>
        <w:spacing w:after="0" w:line="360" w:lineRule="auto"/>
        <w:jc w:val="both"/>
        <w:rPr>
          <w:rFonts w:ascii="Palatino Linotype" w:hAnsi="Palatino Linotype" w:cs="Arial"/>
          <w:sz w:val="24"/>
          <w:szCs w:val="24"/>
        </w:rPr>
      </w:pPr>
    </w:p>
    <w:p w:rsidR="008306AC" w:rsidRPr="00954CFD" w:rsidRDefault="008306AC" w:rsidP="008306AC">
      <w:pPr>
        <w:spacing w:after="0" w:line="360" w:lineRule="auto"/>
        <w:jc w:val="both"/>
        <w:rPr>
          <w:rFonts w:ascii="Palatino Linotype" w:eastAsia="Times New Roman" w:hAnsi="Palatino Linotype" w:cs="Arial"/>
          <w:sz w:val="24"/>
          <w:szCs w:val="24"/>
          <w:lang w:val="es-ES" w:eastAsia="es-ES"/>
        </w:rPr>
      </w:pPr>
      <w:r w:rsidRPr="00954CFD">
        <w:rPr>
          <w:rFonts w:ascii="Palatino Linotype" w:hAnsi="Palatino Linotype" w:cs="Arial"/>
          <w:b/>
          <w:sz w:val="28"/>
          <w:szCs w:val="24"/>
        </w:rPr>
        <w:t>TERCERO</w:t>
      </w:r>
      <w:r w:rsidRPr="00954CFD">
        <w:rPr>
          <w:rFonts w:ascii="Palatino Linotype" w:hAnsi="Palatino Linotype" w:cs="Arial"/>
          <w:b/>
          <w:sz w:val="24"/>
          <w:szCs w:val="24"/>
        </w:rPr>
        <w:t>.</w:t>
      </w:r>
      <w:r w:rsidRPr="00954CFD">
        <w:rPr>
          <w:rFonts w:ascii="Palatino Linotype" w:hAnsi="Palatino Linotype" w:cs="Arial"/>
          <w:sz w:val="24"/>
          <w:szCs w:val="24"/>
        </w:rPr>
        <w:t xml:space="preserve"> </w:t>
      </w:r>
      <w:r w:rsidRPr="00954CFD">
        <w:rPr>
          <w:rFonts w:ascii="Palatino Linotype" w:eastAsia="Times New Roman" w:hAnsi="Palatino Linotype" w:cs="Arial"/>
          <w:sz w:val="24"/>
          <w:szCs w:val="24"/>
          <w:lang w:val="es-ES" w:eastAsia="es-ES"/>
        </w:rPr>
        <w:t xml:space="preserve">Inconforme con las respuestas proporcionadas, el día 03 (tres) de </w:t>
      </w:r>
      <w:r w:rsidR="00B50825" w:rsidRPr="00954CFD">
        <w:rPr>
          <w:rFonts w:ascii="Palatino Linotype" w:eastAsia="Times New Roman" w:hAnsi="Palatino Linotype" w:cs="Arial"/>
          <w:sz w:val="24"/>
          <w:szCs w:val="24"/>
          <w:lang w:val="es-ES" w:eastAsia="es-ES"/>
        </w:rPr>
        <w:t>agosto</w:t>
      </w:r>
      <w:r w:rsidRPr="00954CFD">
        <w:rPr>
          <w:rFonts w:ascii="Palatino Linotype" w:eastAsia="Times New Roman" w:hAnsi="Palatino Linotype" w:cs="Arial"/>
          <w:sz w:val="24"/>
          <w:szCs w:val="24"/>
          <w:lang w:val="es-ES" w:eastAsia="es-ES"/>
        </w:rPr>
        <w:t xml:space="preserve"> de 2022 (dos mil veintidós), el</w:t>
      </w:r>
      <w:r w:rsidRPr="00954CFD">
        <w:rPr>
          <w:rFonts w:ascii="Palatino Linotype" w:eastAsia="Times New Roman" w:hAnsi="Palatino Linotype" w:cs="Arial"/>
          <w:b/>
          <w:color w:val="000000"/>
          <w:sz w:val="24"/>
          <w:szCs w:val="24"/>
          <w:lang w:val="es-ES" w:eastAsia="es-ES"/>
        </w:rPr>
        <w:t xml:space="preserve"> Recurrente</w:t>
      </w:r>
      <w:r w:rsidRPr="00954CFD">
        <w:rPr>
          <w:rFonts w:ascii="Palatino Linotype" w:eastAsia="Times New Roman" w:hAnsi="Palatino Linotype" w:cs="Arial"/>
          <w:color w:val="000000"/>
          <w:sz w:val="24"/>
          <w:szCs w:val="24"/>
          <w:lang w:val="es-ES" w:eastAsia="es-ES"/>
        </w:rPr>
        <w:t xml:space="preserve"> </w:t>
      </w:r>
      <w:r w:rsidRPr="00954CFD">
        <w:rPr>
          <w:rFonts w:ascii="Palatino Linotype" w:eastAsia="Times New Roman" w:hAnsi="Palatino Linotype" w:cs="Arial"/>
          <w:sz w:val="24"/>
          <w:szCs w:val="24"/>
          <w:lang w:val="es-ES" w:eastAsia="es-ES"/>
        </w:rPr>
        <w:t>interpuso los presentes recursos de revisión, quedando registrados en el</w:t>
      </w:r>
      <w:r w:rsidRPr="00954CFD">
        <w:rPr>
          <w:rFonts w:ascii="Palatino Linotype" w:eastAsia="Arial Unicode MS" w:hAnsi="Palatino Linotype" w:cs="Arial"/>
          <w:b/>
          <w:sz w:val="24"/>
          <w:szCs w:val="24"/>
          <w:lang w:val="es-ES" w:eastAsia="es-ES"/>
        </w:rPr>
        <w:t xml:space="preserve"> SAIMEX</w:t>
      </w:r>
      <w:r w:rsidRPr="00954CFD">
        <w:rPr>
          <w:rFonts w:ascii="Palatino Linotype" w:eastAsia="Arial Unicode MS" w:hAnsi="Palatino Linotype" w:cs="Arial"/>
          <w:sz w:val="24"/>
          <w:szCs w:val="24"/>
          <w:lang w:val="es-ES" w:eastAsia="es-ES"/>
        </w:rPr>
        <w:t xml:space="preserve"> con los números de recurso </w:t>
      </w:r>
      <w:r w:rsidRPr="00954CFD">
        <w:rPr>
          <w:rFonts w:ascii="Palatino Linotype" w:eastAsia="Times New Roman" w:hAnsi="Palatino Linotype" w:cs="Times New Roman"/>
          <w:b/>
          <w:sz w:val="24"/>
          <w:szCs w:val="24"/>
          <w:lang w:val="es-ES" w:eastAsia="es-ES"/>
        </w:rPr>
        <w:lastRenderedPageBreak/>
        <w:t xml:space="preserve">013120/INFOEM/IP/RR/2022 y 013121/INFOEM/IP/RR/2022, </w:t>
      </w:r>
      <w:r w:rsidRPr="00954CFD">
        <w:rPr>
          <w:rFonts w:ascii="Palatino Linotype" w:eastAsia="Times New Roman" w:hAnsi="Palatino Linotype" w:cs="Arial"/>
          <w:sz w:val="24"/>
          <w:szCs w:val="24"/>
          <w:lang w:val="es-ES" w:eastAsia="es-ES"/>
        </w:rPr>
        <w:t>en los que expresó como acto impugnado y razones o motivos de inconformidad los siguientes:</w:t>
      </w:r>
    </w:p>
    <w:p w:rsidR="008306AC" w:rsidRPr="00954CFD" w:rsidRDefault="008306AC" w:rsidP="008306AC">
      <w:pPr>
        <w:spacing w:after="0" w:line="360" w:lineRule="auto"/>
        <w:ind w:right="51"/>
        <w:jc w:val="both"/>
        <w:rPr>
          <w:rFonts w:ascii="Palatino Linotype" w:eastAsia="Times New Roman" w:hAnsi="Palatino Linotype" w:cs="Arial"/>
          <w:sz w:val="24"/>
          <w:szCs w:val="24"/>
          <w:lang w:val="es-ES" w:eastAsia="es-ES"/>
        </w:rPr>
      </w:pPr>
    </w:p>
    <w:p w:rsidR="008306AC" w:rsidRPr="00954CFD" w:rsidRDefault="008306AC" w:rsidP="008306AC">
      <w:pPr>
        <w:numPr>
          <w:ilvl w:val="0"/>
          <w:numId w:val="1"/>
        </w:numPr>
        <w:spacing w:after="0" w:line="360" w:lineRule="auto"/>
        <w:jc w:val="both"/>
        <w:rPr>
          <w:rFonts w:ascii="Palatino Linotype" w:eastAsia="Times New Roman" w:hAnsi="Palatino Linotype" w:cs="Arial"/>
          <w:sz w:val="24"/>
          <w:szCs w:val="24"/>
          <w:lang w:val="es-ES" w:eastAsia="es-ES"/>
        </w:rPr>
      </w:pPr>
      <w:r w:rsidRPr="00954CFD">
        <w:rPr>
          <w:rFonts w:ascii="Palatino Linotype" w:hAnsi="Palatino Linotype" w:cs="Arial"/>
          <w:b/>
          <w:sz w:val="24"/>
          <w:szCs w:val="24"/>
        </w:rPr>
        <w:t>00745/INFOEM/IP/2022</w:t>
      </w:r>
      <w:r w:rsidRPr="00954CFD">
        <w:rPr>
          <w:rFonts w:ascii="Palatino Linotype" w:eastAsia="Times New Roman" w:hAnsi="Palatino Linotype" w:cs="Arial"/>
          <w:b/>
          <w:sz w:val="24"/>
          <w:szCs w:val="24"/>
          <w:lang w:val="es-ES" w:eastAsia="es-ES"/>
        </w:rPr>
        <w:tab/>
        <w:t xml:space="preserve">recurso de revisión </w:t>
      </w:r>
      <w:r w:rsidRPr="00954CFD">
        <w:rPr>
          <w:rFonts w:ascii="Palatino Linotype" w:eastAsia="Times New Roman" w:hAnsi="Palatino Linotype" w:cs="Times New Roman"/>
          <w:b/>
          <w:sz w:val="24"/>
          <w:szCs w:val="24"/>
          <w:lang w:val="es-ES" w:eastAsia="es-ES"/>
        </w:rPr>
        <w:t>013120/INFOEM/IP/RR/2022:</w:t>
      </w:r>
    </w:p>
    <w:p w:rsidR="008306AC" w:rsidRPr="00954CFD" w:rsidRDefault="008306AC" w:rsidP="008306AC">
      <w:pPr>
        <w:spacing w:after="0" w:line="360" w:lineRule="auto"/>
        <w:ind w:right="51"/>
        <w:jc w:val="both"/>
        <w:rPr>
          <w:rFonts w:ascii="Palatino Linotype" w:eastAsia="Times New Roman" w:hAnsi="Palatino Linotype" w:cs="Arial"/>
          <w:sz w:val="24"/>
          <w:szCs w:val="24"/>
          <w:lang w:val="es-ES" w:eastAsia="es-ES"/>
        </w:rPr>
      </w:pPr>
    </w:p>
    <w:p w:rsidR="008306AC" w:rsidRPr="00954CFD" w:rsidRDefault="008306AC" w:rsidP="008306AC">
      <w:pPr>
        <w:spacing w:after="0" w:line="276" w:lineRule="auto"/>
        <w:ind w:right="616"/>
        <w:jc w:val="both"/>
        <w:rPr>
          <w:rFonts w:ascii="Palatino Linotype" w:eastAsia="Times New Roman" w:hAnsi="Palatino Linotype" w:cs="Times New Roman"/>
          <w:sz w:val="24"/>
          <w:szCs w:val="24"/>
          <w:lang w:val="es-ES" w:eastAsia="es-ES"/>
        </w:rPr>
      </w:pPr>
      <w:r w:rsidRPr="00954CFD">
        <w:rPr>
          <w:rFonts w:ascii="Palatino Linotype" w:eastAsia="Times New Roman" w:hAnsi="Palatino Linotype" w:cs="Times New Roman"/>
          <w:b/>
          <w:sz w:val="24"/>
          <w:szCs w:val="24"/>
          <w:lang w:val="es-ES" w:eastAsia="es-ES"/>
        </w:rPr>
        <w:t xml:space="preserve">Acto Impugnado: </w:t>
      </w:r>
    </w:p>
    <w:p w:rsidR="008306AC" w:rsidRPr="00954CFD" w:rsidRDefault="008306AC" w:rsidP="008306AC">
      <w:pPr>
        <w:spacing w:after="0" w:line="276" w:lineRule="auto"/>
        <w:ind w:right="616"/>
        <w:jc w:val="both"/>
        <w:rPr>
          <w:rFonts w:ascii="Palatino Linotype" w:eastAsia="Times New Roman" w:hAnsi="Palatino Linotype" w:cs="Times New Roman"/>
          <w:sz w:val="24"/>
          <w:szCs w:val="24"/>
          <w:lang w:val="es-ES" w:eastAsia="es-ES"/>
        </w:rPr>
      </w:pPr>
    </w:p>
    <w:p w:rsidR="008306AC" w:rsidRPr="00954CFD" w:rsidRDefault="008306AC" w:rsidP="008306AC">
      <w:pPr>
        <w:spacing w:after="0" w:line="240" w:lineRule="auto"/>
        <w:ind w:left="567" w:right="616"/>
        <w:jc w:val="both"/>
        <w:rPr>
          <w:rFonts w:ascii="Palatino Linotype" w:eastAsia="Times New Roman" w:hAnsi="Palatino Linotype" w:cs="Times New Roman"/>
          <w:i/>
          <w:szCs w:val="24"/>
          <w:lang w:val="es-ES" w:eastAsia="es-ES"/>
        </w:rPr>
      </w:pPr>
      <w:r w:rsidRPr="00954CFD">
        <w:rPr>
          <w:rFonts w:ascii="Palatino Linotype" w:eastAsia="Times New Roman" w:hAnsi="Palatino Linotype" w:cs="Times New Roman"/>
          <w:i/>
          <w:szCs w:val="24"/>
          <w:lang w:val="es-ES" w:eastAsia="es-ES"/>
        </w:rPr>
        <w:t>“NO ENTREGARON LO ANEXOS DE LOS PROYECTOS REALIZADOS” (sic)</w:t>
      </w:r>
    </w:p>
    <w:p w:rsidR="008306AC" w:rsidRPr="00954CFD" w:rsidRDefault="008306AC" w:rsidP="008306AC">
      <w:pPr>
        <w:spacing w:after="0" w:line="360" w:lineRule="auto"/>
        <w:jc w:val="both"/>
        <w:rPr>
          <w:rFonts w:ascii="Palatino Linotype" w:hAnsi="Palatino Linotype" w:cs="Arial"/>
          <w:sz w:val="24"/>
          <w:szCs w:val="24"/>
        </w:rPr>
      </w:pPr>
    </w:p>
    <w:p w:rsidR="008306AC" w:rsidRPr="00954CFD" w:rsidRDefault="008306AC" w:rsidP="008306AC">
      <w:pPr>
        <w:spacing w:after="0" w:line="276" w:lineRule="auto"/>
        <w:ind w:right="616"/>
        <w:jc w:val="both"/>
        <w:rPr>
          <w:rFonts w:ascii="Palatino Linotype" w:eastAsia="Times New Roman" w:hAnsi="Palatino Linotype" w:cs="Times New Roman"/>
          <w:sz w:val="24"/>
          <w:szCs w:val="24"/>
          <w:lang w:val="es-ES" w:eastAsia="es-ES"/>
        </w:rPr>
      </w:pPr>
      <w:r w:rsidRPr="00954CFD">
        <w:rPr>
          <w:rFonts w:ascii="Palatino Linotype" w:eastAsia="Times New Roman" w:hAnsi="Palatino Linotype" w:cs="Times New Roman"/>
          <w:b/>
          <w:sz w:val="24"/>
          <w:szCs w:val="24"/>
          <w:lang w:val="es-ES" w:eastAsia="es-ES"/>
        </w:rPr>
        <w:t>Razones o motivos de inconformidad:</w:t>
      </w:r>
    </w:p>
    <w:p w:rsidR="008306AC" w:rsidRPr="00954CFD" w:rsidRDefault="008306AC" w:rsidP="008306AC">
      <w:pPr>
        <w:spacing w:after="0" w:line="276" w:lineRule="auto"/>
        <w:ind w:right="616"/>
        <w:jc w:val="both"/>
        <w:rPr>
          <w:rFonts w:ascii="Palatino Linotype" w:eastAsia="Times New Roman" w:hAnsi="Palatino Linotype" w:cs="Times New Roman"/>
          <w:sz w:val="24"/>
          <w:szCs w:val="24"/>
          <w:lang w:val="es-ES" w:eastAsia="es-ES"/>
        </w:rPr>
      </w:pPr>
    </w:p>
    <w:p w:rsidR="008306AC" w:rsidRPr="00954CFD" w:rsidRDefault="008306AC" w:rsidP="008306AC">
      <w:pPr>
        <w:spacing w:after="0" w:line="240" w:lineRule="auto"/>
        <w:ind w:left="567" w:right="616"/>
        <w:jc w:val="both"/>
        <w:rPr>
          <w:rFonts w:ascii="Palatino Linotype" w:eastAsia="Times New Roman" w:hAnsi="Palatino Linotype" w:cs="Times New Roman"/>
          <w:i/>
          <w:szCs w:val="24"/>
          <w:lang w:val="es-ES" w:eastAsia="es-ES"/>
        </w:rPr>
      </w:pPr>
      <w:r w:rsidRPr="00954CFD">
        <w:rPr>
          <w:rFonts w:ascii="Palatino Linotype" w:eastAsia="Times New Roman" w:hAnsi="Palatino Linotype" w:cs="Times New Roman"/>
          <w:i/>
          <w:szCs w:val="24"/>
          <w:lang w:val="es-ES" w:eastAsia="es-ES"/>
        </w:rPr>
        <w:t>“NO SE ENTREGAN LOS ANEXOS QUE MENCIONAN EN LAS RESPUESTA” (sic)</w:t>
      </w:r>
    </w:p>
    <w:p w:rsidR="008306AC" w:rsidRPr="00954CFD" w:rsidRDefault="008306AC" w:rsidP="008306AC">
      <w:pPr>
        <w:spacing w:after="0" w:line="360" w:lineRule="auto"/>
        <w:jc w:val="both"/>
        <w:rPr>
          <w:rFonts w:ascii="Palatino Linotype" w:hAnsi="Palatino Linotype" w:cs="Arial"/>
          <w:sz w:val="24"/>
          <w:szCs w:val="24"/>
        </w:rPr>
      </w:pPr>
    </w:p>
    <w:p w:rsidR="008306AC" w:rsidRPr="00954CFD" w:rsidRDefault="008306AC" w:rsidP="008306AC">
      <w:pPr>
        <w:numPr>
          <w:ilvl w:val="0"/>
          <w:numId w:val="1"/>
        </w:numPr>
        <w:spacing w:after="0" w:line="360" w:lineRule="auto"/>
        <w:jc w:val="both"/>
        <w:rPr>
          <w:rFonts w:ascii="Palatino Linotype" w:eastAsia="Times New Roman" w:hAnsi="Palatino Linotype" w:cs="Arial"/>
          <w:sz w:val="24"/>
          <w:szCs w:val="24"/>
          <w:lang w:val="es-ES" w:eastAsia="es-ES"/>
        </w:rPr>
      </w:pPr>
      <w:r w:rsidRPr="00954CFD">
        <w:rPr>
          <w:rFonts w:ascii="Palatino Linotype" w:hAnsi="Palatino Linotype" w:cs="Arial"/>
          <w:b/>
          <w:sz w:val="24"/>
          <w:szCs w:val="24"/>
        </w:rPr>
        <w:t>00744/INFOEM/IP/2022</w:t>
      </w:r>
      <w:r w:rsidRPr="00954CFD">
        <w:rPr>
          <w:rFonts w:ascii="Palatino Linotype" w:eastAsia="Times New Roman" w:hAnsi="Palatino Linotype" w:cs="Arial"/>
          <w:b/>
          <w:sz w:val="24"/>
          <w:szCs w:val="24"/>
          <w:lang w:val="es-ES" w:eastAsia="es-ES"/>
        </w:rPr>
        <w:t xml:space="preserve"> </w:t>
      </w:r>
      <w:r w:rsidRPr="00954CFD">
        <w:rPr>
          <w:rFonts w:ascii="Palatino Linotype" w:eastAsia="Times New Roman" w:hAnsi="Palatino Linotype" w:cs="Arial"/>
          <w:b/>
          <w:sz w:val="24"/>
          <w:szCs w:val="24"/>
          <w:lang w:val="es-ES" w:eastAsia="es-ES"/>
        </w:rPr>
        <w:tab/>
        <w:t xml:space="preserve">recurso de revisión </w:t>
      </w:r>
      <w:r w:rsidRPr="00954CFD">
        <w:rPr>
          <w:rFonts w:ascii="Palatino Linotype" w:eastAsia="Times New Roman" w:hAnsi="Palatino Linotype" w:cs="Times New Roman"/>
          <w:b/>
          <w:sz w:val="24"/>
          <w:szCs w:val="24"/>
          <w:lang w:val="es-ES" w:eastAsia="es-ES"/>
        </w:rPr>
        <w:t>013121/INFOEM/IP/RR/2022:</w:t>
      </w:r>
    </w:p>
    <w:p w:rsidR="008306AC" w:rsidRPr="00954CFD" w:rsidRDefault="008306AC" w:rsidP="008306AC">
      <w:pPr>
        <w:spacing w:after="0" w:line="276" w:lineRule="auto"/>
        <w:ind w:right="616"/>
        <w:jc w:val="both"/>
        <w:rPr>
          <w:rFonts w:ascii="Palatino Linotype" w:eastAsia="Times New Roman" w:hAnsi="Palatino Linotype" w:cs="Times New Roman"/>
          <w:sz w:val="24"/>
          <w:szCs w:val="24"/>
          <w:lang w:val="es-ES" w:eastAsia="es-ES"/>
        </w:rPr>
      </w:pPr>
    </w:p>
    <w:p w:rsidR="008306AC" w:rsidRPr="00954CFD" w:rsidRDefault="008306AC" w:rsidP="008306AC">
      <w:pPr>
        <w:spacing w:after="0" w:line="276" w:lineRule="auto"/>
        <w:ind w:right="616"/>
        <w:jc w:val="both"/>
        <w:rPr>
          <w:rFonts w:ascii="Palatino Linotype" w:eastAsia="Times New Roman" w:hAnsi="Palatino Linotype" w:cs="Times New Roman"/>
          <w:sz w:val="24"/>
          <w:szCs w:val="24"/>
          <w:lang w:val="es-ES" w:eastAsia="es-ES"/>
        </w:rPr>
      </w:pPr>
      <w:r w:rsidRPr="00954CFD">
        <w:rPr>
          <w:rFonts w:ascii="Palatino Linotype" w:eastAsia="Times New Roman" w:hAnsi="Palatino Linotype" w:cs="Times New Roman"/>
          <w:b/>
          <w:sz w:val="24"/>
          <w:szCs w:val="24"/>
          <w:lang w:val="es-ES" w:eastAsia="es-ES"/>
        </w:rPr>
        <w:t xml:space="preserve">Acto Impugnado: </w:t>
      </w:r>
    </w:p>
    <w:p w:rsidR="008306AC" w:rsidRPr="00954CFD" w:rsidRDefault="008306AC" w:rsidP="008306AC">
      <w:pPr>
        <w:spacing w:after="0" w:line="276" w:lineRule="auto"/>
        <w:ind w:right="616"/>
        <w:jc w:val="both"/>
        <w:rPr>
          <w:rFonts w:ascii="Palatino Linotype" w:eastAsia="Times New Roman" w:hAnsi="Palatino Linotype" w:cs="Times New Roman"/>
          <w:sz w:val="24"/>
          <w:szCs w:val="24"/>
          <w:lang w:val="es-ES" w:eastAsia="es-ES"/>
        </w:rPr>
      </w:pPr>
    </w:p>
    <w:p w:rsidR="008306AC" w:rsidRPr="00954CFD" w:rsidRDefault="008306AC" w:rsidP="008306AC">
      <w:pPr>
        <w:spacing w:after="0" w:line="240" w:lineRule="auto"/>
        <w:ind w:left="567" w:right="616"/>
        <w:jc w:val="both"/>
        <w:rPr>
          <w:rFonts w:ascii="Palatino Linotype" w:eastAsia="Times New Roman" w:hAnsi="Palatino Linotype" w:cs="Times New Roman"/>
          <w:i/>
          <w:szCs w:val="24"/>
          <w:lang w:val="es-ES" w:eastAsia="es-ES"/>
        </w:rPr>
      </w:pPr>
      <w:r w:rsidRPr="00954CFD">
        <w:rPr>
          <w:rFonts w:ascii="Palatino Linotype" w:eastAsia="Times New Roman" w:hAnsi="Palatino Linotype" w:cs="Times New Roman"/>
          <w:i/>
          <w:szCs w:val="24"/>
          <w:lang w:val="es-ES" w:eastAsia="es-ES"/>
        </w:rPr>
        <w:t>“LA INFORMACIÓN PROPORCIONADA NO ENTREGA LOS ANEXOS” (sic)</w:t>
      </w:r>
    </w:p>
    <w:p w:rsidR="008306AC" w:rsidRPr="00954CFD" w:rsidRDefault="008306AC" w:rsidP="008306AC">
      <w:pPr>
        <w:spacing w:after="0" w:line="360" w:lineRule="auto"/>
        <w:jc w:val="both"/>
        <w:rPr>
          <w:rFonts w:ascii="Palatino Linotype" w:hAnsi="Palatino Linotype" w:cs="Arial"/>
          <w:sz w:val="24"/>
          <w:szCs w:val="24"/>
        </w:rPr>
      </w:pPr>
    </w:p>
    <w:p w:rsidR="008306AC" w:rsidRPr="00954CFD" w:rsidRDefault="008306AC" w:rsidP="008306AC">
      <w:pPr>
        <w:spacing w:after="0" w:line="276" w:lineRule="auto"/>
        <w:ind w:right="616"/>
        <w:jc w:val="both"/>
        <w:rPr>
          <w:rFonts w:ascii="Palatino Linotype" w:eastAsia="Times New Roman" w:hAnsi="Palatino Linotype" w:cs="Times New Roman"/>
          <w:sz w:val="24"/>
          <w:szCs w:val="24"/>
          <w:lang w:val="es-ES" w:eastAsia="es-ES"/>
        </w:rPr>
      </w:pPr>
      <w:r w:rsidRPr="00954CFD">
        <w:rPr>
          <w:rFonts w:ascii="Palatino Linotype" w:eastAsia="Times New Roman" w:hAnsi="Palatino Linotype" w:cs="Times New Roman"/>
          <w:b/>
          <w:sz w:val="24"/>
          <w:szCs w:val="24"/>
          <w:lang w:val="es-ES" w:eastAsia="es-ES"/>
        </w:rPr>
        <w:t>Razones o motivos de inconformidad</w:t>
      </w:r>
    </w:p>
    <w:p w:rsidR="008306AC" w:rsidRPr="00954CFD" w:rsidRDefault="008306AC" w:rsidP="008306AC">
      <w:pPr>
        <w:spacing w:after="0" w:line="276" w:lineRule="auto"/>
        <w:ind w:right="616"/>
        <w:jc w:val="both"/>
        <w:rPr>
          <w:rFonts w:ascii="Palatino Linotype" w:eastAsia="Times New Roman" w:hAnsi="Palatino Linotype" w:cs="Times New Roman"/>
          <w:sz w:val="24"/>
          <w:szCs w:val="24"/>
          <w:lang w:val="es-ES" w:eastAsia="es-ES"/>
        </w:rPr>
      </w:pPr>
    </w:p>
    <w:p w:rsidR="008306AC" w:rsidRPr="00954CFD" w:rsidRDefault="008306AC" w:rsidP="008306AC">
      <w:pPr>
        <w:spacing w:after="0" w:line="240" w:lineRule="auto"/>
        <w:ind w:left="567" w:right="616"/>
        <w:jc w:val="both"/>
        <w:rPr>
          <w:rFonts w:ascii="Palatino Linotype" w:eastAsia="Times New Roman" w:hAnsi="Palatino Linotype" w:cs="Times New Roman"/>
          <w:i/>
          <w:szCs w:val="24"/>
          <w:lang w:val="es-ES" w:eastAsia="es-ES"/>
        </w:rPr>
      </w:pPr>
      <w:r w:rsidRPr="00954CFD">
        <w:rPr>
          <w:rFonts w:ascii="Palatino Linotype" w:eastAsia="Times New Roman" w:hAnsi="Palatino Linotype" w:cs="Times New Roman"/>
          <w:i/>
          <w:szCs w:val="24"/>
          <w:lang w:val="es-ES" w:eastAsia="es-ES"/>
        </w:rPr>
        <w:t>“NO SE ENTREGAN LOS ANEXOS QUE MENCIONAN EN LAS RESPUESTA” (sic)</w:t>
      </w:r>
    </w:p>
    <w:p w:rsidR="008306AC" w:rsidRPr="00954CFD" w:rsidRDefault="008306AC" w:rsidP="008306AC">
      <w:pPr>
        <w:spacing w:after="0" w:line="360" w:lineRule="auto"/>
        <w:jc w:val="both"/>
        <w:rPr>
          <w:rFonts w:ascii="Palatino Linotype" w:hAnsi="Palatino Linotype" w:cs="Arial"/>
          <w:sz w:val="24"/>
          <w:szCs w:val="24"/>
          <w:lang w:val="es-ES"/>
        </w:rPr>
      </w:pPr>
    </w:p>
    <w:p w:rsidR="008306AC" w:rsidRPr="00954CFD" w:rsidRDefault="008306AC" w:rsidP="008306AC">
      <w:pPr>
        <w:spacing w:after="0" w:line="360" w:lineRule="auto"/>
        <w:ind w:right="49"/>
        <w:jc w:val="both"/>
        <w:rPr>
          <w:rFonts w:ascii="Palatino Linotype" w:eastAsia="Times New Roman" w:hAnsi="Palatino Linotype" w:cs="Arial"/>
          <w:sz w:val="24"/>
          <w:szCs w:val="24"/>
          <w:lang w:val="es-ES_tradnl" w:eastAsia="es-ES"/>
        </w:rPr>
      </w:pPr>
      <w:r w:rsidRPr="00954CFD">
        <w:rPr>
          <w:rFonts w:ascii="Palatino Linotype" w:eastAsia="Times New Roman" w:hAnsi="Palatino Linotype" w:cs="Arial"/>
          <w:b/>
          <w:sz w:val="28"/>
          <w:lang w:eastAsia="es-ES"/>
        </w:rPr>
        <w:t xml:space="preserve">CUARTO. </w:t>
      </w:r>
      <w:r w:rsidRPr="00954CFD">
        <w:rPr>
          <w:rFonts w:ascii="Palatino Linotype" w:eastAsia="Times New Roman" w:hAnsi="Palatino Linotype" w:cs="Arial"/>
          <w:sz w:val="24"/>
          <w:szCs w:val="24"/>
          <w:lang w:val="es-ES" w:eastAsia="es-ES"/>
        </w:rPr>
        <w:t xml:space="preserve">En fecha 03 (tres) de agosto de 2022 (dos mil veintidós), los </w:t>
      </w:r>
      <w:r w:rsidRPr="00954CFD">
        <w:rPr>
          <w:rFonts w:ascii="Palatino Linotype" w:eastAsia="Times New Roman" w:hAnsi="Palatino Linotype" w:cs="Arial"/>
          <w:sz w:val="24"/>
          <w:szCs w:val="24"/>
          <w:lang w:val="es-ES_tradnl" w:eastAsia="es-ES"/>
        </w:rPr>
        <w:t>recursos de que</w:t>
      </w:r>
      <w:r w:rsidRPr="00954CFD">
        <w:rPr>
          <w:rFonts w:ascii="Palatino Linotype" w:eastAsia="Times New Roman" w:hAnsi="Palatino Linotype" w:cs="Arial"/>
          <w:sz w:val="24"/>
          <w:szCs w:val="24"/>
          <w:lang w:val="es-ES" w:eastAsia="es-ES"/>
        </w:rPr>
        <w:t xml:space="preserve"> se trata</w:t>
      </w:r>
      <w:r w:rsidRPr="00954CFD">
        <w:rPr>
          <w:rFonts w:ascii="Palatino Linotype" w:eastAsia="Times New Roman" w:hAnsi="Palatino Linotype" w:cs="Arial"/>
          <w:sz w:val="24"/>
          <w:szCs w:val="24"/>
          <w:lang w:val="es-ES_tradnl" w:eastAsia="es-ES"/>
        </w:rPr>
        <w:t xml:space="preserve"> se enviaron electrónicamente al Instituto de </w:t>
      </w:r>
      <w:r w:rsidRPr="00954CFD">
        <w:rPr>
          <w:rFonts w:ascii="Palatino Linotype" w:eastAsia="Arial Unicode MS" w:hAnsi="Palatino Linotype" w:cs="Arial"/>
          <w:sz w:val="24"/>
          <w:szCs w:val="24"/>
          <w:lang w:val="es-ES" w:eastAsia="es-ES"/>
        </w:rPr>
        <w:t>Transparencia</w:t>
      </w:r>
      <w:r w:rsidRPr="00954CFD">
        <w:rPr>
          <w:rFonts w:ascii="Palatino Linotype" w:eastAsia="Times New Roman" w:hAnsi="Palatino Linotype" w:cs="Arial"/>
          <w:sz w:val="24"/>
          <w:szCs w:val="24"/>
          <w:lang w:val="es-ES_tradnl" w:eastAsia="es-ES"/>
        </w:rPr>
        <w:t xml:space="preserve">, Acceso a la </w:t>
      </w:r>
      <w:r w:rsidRPr="00954CFD">
        <w:rPr>
          <w:rFonts w:ascii="Palatino Linotype" w:eastAsia="Times New Roman" w:hAnsi="Palatino Linotype" w:cs="Arial"/>
          <w:sz w:val="24"/>
          <w:szCs w:val="24"/>
          <w:lang w:val="es-ES_tradnl" w:eastAsia="es-ES"/>
        </w:rPr>
        <w:lastRenderedPageBreak/>
        <w:t xml:space="preserve">Información Pública y Protección de Datos Personales del Estado de México y Municipios y con fundamento en el artículo 185 fracción I de la </w:t>
      </w:r>
      <w:r w:rsidRPr="00954CFD">
        <w:rPr>
          <w:rFonts w:ascii="Palatino Linotype" w:eastAsia="Times New Roman" w:hAnsi="Palatino Linotype" w:cs="Times New Roman"/>
          <w:sz w:val="24"/>
          <w:szCs w:val="24"/>
          <w:lang w:val="es-ES" w:eastAsia="es-ES"/>
        </w:rPr>
        <w:t>Ley de Transparencia y Acceso a la Información Pública del Estado de México y Municipios</w:t>
      </w:r>
      <w:r w:rsidRPr="00954CFD">
        <w:rPr>
          <w:rFonts w:ascii="Palatino Linotype" w:eastAsia="Times New Roman" w:hAnsi="Palatino Linotype" w:cs="Arial"/>
          <w:sz w:val="24"/>
          <w:szCs w:val="24"/>
          <w:lang w:val="es-ES_tradnl" w:eastAsia="es-ES"/>
        </w:rPr>
        <w:t>, se turnaron a través del</w:t>
      </w:r>
      <w:r w:rsidRPr="00954CFD">
        <w:rPr>
          <w:rFonts w:ascii="Palatino Linotype" w:eastAsia="Arial Unicode MS" w:hAnsi="Palatino Linotype" w:cs="Arial"/>
          <w:sz w:val="24"/>
          <w:szCs w:val="24"/>
          <w:lang w:val="es-ES_tradnl" w:eastAsia="es-ES"/>
        </w:rPr>
        <w:t xml:space="preserve"> </w:t>
      </w:r>
      <w:r w:rsidRPr="00954CFD">
        <w:rPr>
          <w:rFonts w:ascii="Palatino Linotype" w:eastAsia="Arial Unicode MS" w:hAnsi="Palatino Linotype" w:cs="Arial"/>
          <w:b/>
          <w:sz w:val="24"/>
          <w:szCs w:val="24"/>
          <w:lang w:val="es-ES_tradnl" w:eastAsia="es-ES"/>
        </w:rPr>
        <w:t>SAIMEX</w:t>
      </w:r>
      <w:r w:rsidRPr="00954CFD">
        <w:rPr>
          <w:rFonts w:ascii="Palatino Linotype" w:eastAsia="Times New Roman" w:hAnsi="Palatino Linotype" w:cs="Times New Roman"/>
          <w:sz w:val="24"/>
          <w:szCs w:val="24"/>
          <w:lang w:val="es-ES" w:eastAsia="es-ES"/>
        </w:rPr>
        <w:t xml:space="preserve"> a los </w:t>
      </w:r>
      <w:r w:rsidRPr="00954CFD">
        <w:rPr>
          <w:rFonts w:ascii="Palatino Linotype" w:eastAsia="Times New Roman" w:hAnsi="Palatino Linotype" w:cs="Arial"/>
          <w:sz w:val="24"/>
          <w:szCs w:val="24"/>
          <w:lang w:val="es-ES_tradnl" w:eastAsia="es-ES"/>
        </w:rPr>
        <w:t xml:space="preserve">Comisionados </w:t>
      </w:r>
      <w:r w:rsidRPr="00954CFD">
        <w:rPr>
          <w:rFonts w:ascii="Palatino Linotype" w:eastAsia="Times New Roman" w:hAnsi="Palatino Linotype" w:cs="Arial"/>
          <w:b/>
          <w:sz w:val="24"/>
          <w:szCs w:val="24"/>
          <w:lang w:val="es-ES_tradnl" w:eastAsia="es-ES"/>
        </w:rPr>
        <w:t xml:space="preserve">JOSÉ MARTÍNEZ VILCHIS y LUIS GUSTAVO PARRA NORIEGA, </w:t>
      </w:r>
      <w:r w:rsidRPr="00954CFD">
        <w:rPr>
          <w:rFonts w:ascii="Palatino Linotype" w:eastAsia="Times New Roman" w:hAnsi="Palatino Linotype" w:cs="Arial"/>
          <w:sz w:val="24"/>
          <w:szCs w:val="24"/>
          <w:lang w:val="es-ES_tradnl" w:eastAsia="es-ES"/>
        </w:rPr>
        <w:t>a efecto de que decretara su admisión o desechamiento.</w:t>
      </w:r>
    </w:p>
    <w:p w:rsidR="008306AC" w:rsidRPr="00954CFD" w:rsidRDefault="008306AC" w:rsidP="008306AC">
      <w:pPr>
        <w:spacing w:after="0" w:line="360" w:lineRule="auto"/>
        <w:ind w:right="49"/>
        <w:jc w:val="both"/>
        <w:rPr>
          <w:rFonts w:ascii="Palatino Linotype" w:eastAsia="Times New Roman" w:hAnsi="Palatino Linotype" w:cs="Arial"/>
          <w:sz w:val="24"/>
          <w:szCs w:val="24"/>
          <w:lang w:val="es-ES_tradnl" w:eastAsia="es-ES"/>
        </w:rPr>
      </w:pPr>
    </w:p>
    <w:p w:rsidR="008306AC" w:rsidRPr="00954CFD" w:rsidRDefault="008306AC" w:rsidP="008306AC">
      <w:pPr>
        <w:spacing w:after="0" w:line="360" w:lineRule="auto"/>
        <w:ind w:right="49"/>
        <w:jc w:val="both"/>
        <w:rPr>
          <w:rFonts w:ascii="Palatino Linotype" w:eastAsia="Times New Roman" w:hAnsi="Palatino Linotype" w:cs="Arial"/>
          <w:sz w:val="24"/>
          <w:szCs w:val="24"/>
          <w:lang w:val="es-ES" w:eastAsia="es-ES"/>
        </w:rPr>
      </w:pPr>
      <w:r w:rsidRPr="00954CFD">
        <w:rPr>
          <w:rFonts w:ascii="Palatino Linotype" w:eastAsia="Times New Roman" w:hAnsi="Palatino Linotype" w:cs="Arial"/>
          <w:b/>
          <w:sz w:val="28"/>
          <w:szCs w:val="28"/>
          <w:lang w:val="es-ES_tradnl" w:eastAsia="es-ES"/>
        </w:rPr>
        <w:t xml:space="preserve">QUINTO. </w:t>
      </w:r>
      <w:r w:rsidRPr="00954CFD">
        <w:rPr>
          <w:rFonts w:ascii="Palatino Linotype" w:eastAsia="Times New Roman" w:hAnsi="Palatino Linotype" w:cs="Arial"/>
          <w:sz w:val="24"/>
          <w:szCs w:val="24"/>
          <w:lang w:val="es-ES_tradnl" w:eastAsia="es-ES"/>
        </w:rPr>
        <w:t>E</w:t>
      </w:r>
      <w:r w:rsidRPr="00954CFD">
        <w:rPr>
          <w:rFonts w:ascii="Palatino Linotype" w:eastAsia="Times New Roman" w:hAnsi="Palatino Linotype" w:cs="Arial"/>
          <w:sz w:val="24"/>
          <w:szCs w:val="24"/>
          <w:lang w:val="es-ES" w:eastAsia="es-ES"/>
        </w:rPr>
        <w:t xml:space="preserve">n fechas 04 y 08 (cuatro y ocho) de agosto de 2022 (dos mil veintidós), atento a lo dispuesto en el </w:t>
      </w:r>
      <w:r w:rsidRPr="00954CFD">
        <w:rPr>
          <w:rFonts w:ascii="Palatino Linotype" w:eastAsia="Times New Roman" w:hAnsi="Palatino Linotype" w:cs="Arial"/>
          <w:sz w:val="24"/>
          <w:szCs w:val="24"/>
          <w:lang w:val="es-ES_tradnl" w:eastAsia="es-ES"/>
        </w:rPr>
        <w:t>artículo</w:t>
      </w:r>
      <w:r w:rsidRPr="00954CFD">
        <w:rPr>
          <w:rFonts w:ascii="Palatino Linotype" w:eastAsia="Times New Roman" w:hAnsi="Palatino Linotype" w:cs="Arial"/>
          <w:sz w:val="24"/>
          <w:szCs w:val="24"/>
          <w:lang w:val="es-ES" w:eastAsia="es-ES"/>
        </w:rPr>
        <w:t xml:space="preserve"> 185 fracciones I, II y IV </w:t>
      </w:r>
      <w:r w:rsidRPr="00954CFD">
        <w:rPr>
          <w:rFonts w:ascii="Palatino Linotype" w:eastAsia="Times New Roman" w:hAnsi="Palatino Linotype" w:cs="Arial"/>
          <w:sz w:val="24"/>
          <w:szCs w:val="24"/>
          <w:lang w:val="es-ES_tradnl" w:eastAsia="es-ES"/>
        </w:rPr>
        <w:t xml:space="preserve">de la </w:t>
      </w:r>
      <w:r w:rsidRPr="00954CFD">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954CFD">
        <w:rPr>
          <w:rFonts w:ascii="Palatino Linotype" w:eastAsia="Times New Roman" w:hAnsi="Palatino Linotype" w:cs="Arial"/>
          <w:sz w:val="24"/>
          <w:szCs w:val="24"/>
          <w:lang w:val="es-ES" w:eastAsia="es-ES"/>
        </w:rPr>
        <w:t>cordó la admisión a trámite de los referidos recurso de revisión, así como la integración de los expedientes respectivos, que se pusieron a disposición de las partes, para que en un plazo máximo de siete días hábiles, realizarán manifestaciones y ofrecieran las pruebas y alegatos que a su derecho conviniera o exhibieran el informe justificado, según fuera el caso.</w:t>
      </w:r>
    </w:p>
    <w:p w:rsidR="008306AC" w:rsidRPr="00954CFD" w:rsidRDefault="008306AC" w:rsidP="008306AC">
      <w:pPr>
        <w:spacing w:after="0" w:line="360" w:lineRule="auto"/>
        <w:ind w:right="49"/>
        <w:jc w:val="both"/>
        <w:rPr>
          <w:rFonts w:ascii="Palatino Linotype" w:eastAsia="Times New Roman" w:hAnsi="Palatino Linotype" w:cs="Arial"/>
          <w:sz w:val="24"/>
          <w:szCs w:val="24"/>
          <w:lang w:val="es-ES" w:eastAsia="es-ES"/>
        </w:rPr>
      </w:pPr>
    </w:p>
    <w:p w:rsidR="008306AC" w:rsidRPr="00954CFD" w:rsidRDefault="008306AC" w:rsidP="008306AC">
      <w:pPr>
        <w:spacing w:after="0" w:line="360" w:lineRule="auto"/>
        <w:jc w:val="both"/>
        <w:rPr>
          <w:rFonts w:ascii="Palatino Linotype" w:eastAsia="Times New Roman" w:hAnsi="Palatino Linotype" w:cs="Arial"/>
          <w:sz w:val="24"/>
          <w:szCs w:val="24"/>
          <w:lang w:val="es-ES" w:eastAsia="es-ES"/>
        </w:rPr>
      </w:pPr>
      <w:r w:rsidRPr="00954CFD">
        <w:rPr>
          <w:rFonts w:ascii="Palatino Linotype" w:eastAsia="Times New Roman" w:hAnsi="Palatino Linotype" w:cs="Arial"/>
          <w:sz w:val="24"/>
          <w:szCs w:val="24"/>
          <w:lang w:val="es-ES" w:eastAsia="es-ES"/>
        </w:rPr>
        <w:t xml:space="preserve">En la Vigésima Novena Sesión Ordinaria, celebrada el 17 (diecisiete) de agosto de 2022 (dos mil veintidós), el Pleno de este Instituto de Transparencia, aprobó la acumulación de los recursos a la Ponencia del Comisionado Presidente </w:t>
      </w:r>
      <w:r w:rsidRPr="00954CFD">
        <w:rPr>
          <w:rFonts w:ascii="Palatino Linotype" w:eastAsia="Times New Roman" w:hAnsi="Palatino Linotype" w:cs="Arial"/>
          <w:b/>
          <w:sz w:val="24"/>
          <w:szCs w:val="24"/>
          <w:lang w:val="es-ES" w:eastAsia="es-ES"/>
        </w:rPr>
        <w:t>JOSÉ MARTÍNEZ VILCHIS</w:t>
      </w:r>
      <w:r w:rsidRPr="00954CFD">
        <w:rPr>
          <w:rFonts w:ascii="Palatino Linotype" w:eastAsia="Times New Roman" w:hAnsi="Palatino Linotype" w:cs="Arial"/>
          <w:sz w:val="24"/>
          <w:szCs w:val="24"/>
          <w:lang w:val="es-ES" w:eastAsia="es-ES"/>
        </w:rPr>
        <w:t xml:space="preserve">, </w:t>
      </w:r>
      <w:r w:rsidRPr="00954CFD">
        <w:rPr>
          <w:rFonts w:ascii="Palatino Linotype" w:eastAsia="MS Mincho" w:hAnsi="Palatino Linotype" w:cs="Arial"/>
          <w:sz w:val="24"/>
          <w:szCs w:val="24"/>
          <w:lang w:val="es-ES" w:eastAsia="es-ES"/>
        </w:rPr>
        <w:t xml:space="preserve">a efecto de que formulara y presentara el proyecto de resolución correspondiente y </w:t>
      </w:r>
      <w:r w:rsidRPr="00954CFD">
        <w:rPr>
          <w:rFonts w:ascii="Palatino Linotype" w:eastAsia="Times New Roman" w:hAnsi="Palatino Linotype" w:cs="Arial"/>
          <w:sz w:val="24"/>
          <w:szCs w:val="24"/>
          <w:lang w:val="es-ES" w:eastAsia="es-ES"/>
        </w:rPr>
        <w:t xml:space="preserve">de conformidad con lo dispuesto en el numeral ONCE de los “Lineamientos para la Recepción, Trámite y Resolución de las Solicitudes de Acceso a la Información Pública, así como de los recursos de revisión que deberán observar los </w:t>
      </w:r>
      <w:r w:rsidRPr="00954CFD">
        <w:rPr>
          <w:rFonts w:ascii="Palatino Linotype" w:eastAsia="Times New Roman" w:hAnsi="Palatino Linotype" w:cs="Arial"/>
          <w:sz w:val="24"/>
          <w:szCs w:val="24"/>
          <w:lang w:val="es-ES" w:eastAsia="es-ES"/>
        </w:rPr>
        <w:lastRenderedPageBreak/>
        <w:t>sujetos obligados por la Ley de Transparencia Estatal”, emitidos por este Instituto y publicados en el Periódico Oficial del Gobierno del Estado de México “Gaceta del Gobierno” de fecha treinta de octubre de dos mil ocho, que a la letra señala:</w:t>
      </w:r>
    </w:p>
    <w:p w:rsidR="008306AC" w:rsidRPr="00954CFD" w:rsidRDefault="008306AC" w:rsidP="008306AC">
      <w:pPr>
        <w:spacing w:after="0" w:line="360" w:lineRule="auto"/>
        <w:jc w:val="both"/>
        <w:rPr>
          <w:rFonts w:ascii="Palatino Linotype" w:eastAsia="Times New Roman" w:hAnsi="Palatino Linotype" w:cs="Arial"/>
          <w:sz w:val="24"/>
          <w:szCs w:val="24"/>
          <w:lang w:val="es-ES" w:eastAsia="es-ES"/>
        </w:rPr>
      </w:pPr>
    </w:p>
    <w:p w:rsidR="008306AC" w:rsidRPr="00954CFD" w:rsidRDefault="008306AC" w:rsidP="008306AC">
      <w:pPr>
        <w:spacing w:after="0" w:line="240" w:lineRule="auto"/>
        <w:ind w:left="567" w:right="567"/>
        <w:jc w:val="both"/>
        <w:rPr>
          <w:rFonts w:ascii="Palatino Linotype" w:eastAsia="Times New Roman" w:hAnsi="Palatino Linotype" w:cs="Times New Roman"/>
          <w:i/>
          <w:color w:val="000000"/>
          <w:szCs w:val="24"/>
          <w:lang w:val="es-ES" w:eastAsia="es-ES"/>
        </w:rPr>
      </w:pPr>
      <w:r w:rsidRPr="00954CFD">
        <w:rPr>
          <w:rFonts w:ascii="Palatino Linotype" w:eastAsia="Times New Roman" w:hAnsi="Palatino Linotype" w:cs="Times New Roman"/>
          <w:b/>
          <w:i/>
          <w:color w:val="000000"/>
          <w:szCs w:val="24"/>
          <w:lang w:val="es-ES" w:eastAsia="es-ES"/>
        </w:rPr>
        <w:t>“ONCE</w:t>
      </w:r>
      <w:r w:rsidRPr="00954CFD">
        <w:rPr>
          <w:rFonts w:ascii="Palatino Linotype" w:eastAsia="Times New Roman" w:hAnsi="Palatino Linotype" w:cs="Times New Roman"/>
          <w:i/>
          <w:color w:val="000000"/>
          <w:szCs w:val="24"/>
          <w:lang w:val="es-ES" w:eastAsia="es-ES"/>
        </w:rPr>
        <w:t>. El Instituto, para mejor resolver y evitar la emisión de resoluciones contradictorias, podrá acordar la acumulación de los expedientes de recursos de revisión, de oficio o a petición de parte cuando:</w:t>
      </w:r>
    </w:p>
    <w:p w:rsidR="008306AC" w:rsidRPr="00954CFD" w:rsidRDefault="008306AC" w:rsidP="008306AC">
      <w:pPr>
        <w:spacing w:after="0" w:line="240" w:lineRule="auto"/>
        <w:ind w:left="567" w:right="567"/>
        <w:jc w:val="both"/>
        <w:rPr>
          <w:rFonts w:ascii="Palatino Linotype" w:eastAsia="Times New Roman" w:hAnsi="Palatino Linotype" w:cs="Times New Roman"/>
          <w:i/>
          <w:color w:val="000000"/>
          <w:szCs w:val="24"/>
          <w:lang w:val="es-ES" w:eastAsia="es-ES"/>
        </w:rPr>
      </w:pPr>
      <w:r w:rsidRPr="00954CFD">
        <w:rPr>
          <w:rFonts w:ascii="Palatino Linotype" w:eastAsia="Times New Roman" w:hAnsi="Palatino Linotype" w:cs="Times New Roman"/>
          <w:i/>
          <w:color w:val="000000"/>
          <w:szCs w:val="24"/>
          <w:lang w:val="es-ES" w:eastAsia="es-ES"/>
        </w:rPr>
        <w:t>a) El solicitante y la información referida sean las mismas;</w:t>
      </w:r>
    </w:p>
    <w:p w:rsidR="008306AC" w:rsidRPr="00954CFD" w:rsidRDefault="008306AC" w:rsidP="008306AC">
      <w:pPr>
        <w:spacing w:after="0" w:line="240" w:lineRule="auto"/>
        <w:ind w:left="567" w:right="567"/>
        <w:jc w:val="both"/>
        <w:rPr>
          <w:rFonts w:ascii="Palatino Linotype" w:eastAsia="Times New Roman" w:hAnsi="Palatino Linotype" w:cs="Times New Roman"/>
          <w:b/>
          <w:i/>
          <w:color w:val="000000"/>
          <w:szCs w:val="24"/>
          <w:lang w:val="es-ES" w:eastAsia="es-ES"/>
        </w:rPr>
      </w:pPr>
      <w:r w:rsidRPr="00954CFD">
        <w:rPr>
          <w:rFonts w:ascii="Palatino Linotype" w:eastAsia="Times New Roman" w:hAnsi="Palatino Linotype" w:cs="Times New Roman"/>
          <w:b/>
          <w:i/>
          <w:color w:val="000000"/>
          <w:szCs w:val="24"/>
          <w:lang w:val="es-ES" w:eastAsia="es-ES"/>
        </w:rPr>
        <w:t xml:space="preserve">b) Las partes o los actos impugnados sean iguales: </w:t>
      </w:r>
    </w:p>
    <w:p w:rsidR="008306AC" w:rsidRPr="00954CFD" w:rsidRDefault="008306AC" w:rsidP="008306AC">
      <w:pPr>
        <w:spacing w:after="0" w:line="240" w:lineRule="auto"/>
        <w:ind w:left="567" w:right="567"/>
        <w:jc w:val="both"/>
        <w:rPr>
          <w:rFonts w:ascii="Palatino Linotype" w:eastAsia="Times New Roman" w:hAnsi="Palatino Linotype" w:cs="Times New Roman"/>
          <w:i/>
          <w:color w:val="000000"/>
          <w:szCs w:val="24"/>
          <w:lang w:val="es-ES" w:eastAsia="es-ES"/>
        </w:rPr>
      </w:pPr>
      <w:r w:rsidRPr="00954CFD">
        <w:rPr>
          <w:rFonts w:ascii="Palatino Linotype" w:eastAsia="Times New Roman" w:hAnsi="Palatino Linotype" w:cs="Times New Roman"/>
          <w:i/>
          <w:color w:val="000000"/>
          <w:szCs w:val="24"/>
          <w:lang w:val="es-ES" w:eastAsia="es-ES"/>
        </w:rPr>
        <w:t>c) Cuando se trate del mismo solicitante, el mismo SUJETO OBLIGADO, aunque se trate de solicitudes diversas;</w:t>
      </w:r>
    </w:p>
    <w:p w:rsidR="008306AC" w:rsidRPr="00954CFD" w:rsidRDefault="008306AC" w:rsidP="008306AC">
      <w:pPr>
        <w:spacing w:after="0" w:line="240" w:lineRule="auto"/>
        <w:ind w:left="567" w:right="567"/>
        <w:jc w:val="both"/>
        <w:rPr>
          <w:rFonts w:ascii="Palatino Linotype" w:eastAsia="Times New Roman" w:hAnsi="Palatino Linotype" w:cs="Times New Roman"/>
          <w:b/>
          <w:i/>
          <w:color w:val="000000"/>
          <w:szCs w:val="24"/>
          <w:lang w:val="es-ES" w:eastAsia="es-ES"/>
        </w:rPr>
      </w:pPr>
      <w:r w:rsidRPr="00954CFD">
        <w:rPr>
          <w:rFonts w:ascii="Palatino Linotype" w:eastAsia="Times New Roman" w:hAnsi="Palatino Linotype" w:cs="Times New Roman"/>
          <w:b/>
          <w:i/>
          <w:color w:val="000000"/>
          <w:szCs w:val="24"/>
          <w:lang w:val="es-ES" w:eastAsia="es-ES"/>
        </w:rPr>
        <w:t>d) Resulte conveniente la resolución unificada de los asuntos; y</w:t>
      </w:r>
    </w:p>
    <w:p w:rsidR="008306AC" w:rsidRPr="00954CFD" w:rsidRDefault="008306AC" w:rsidP="008306AC">
      <w:pPr>
        <w:spacing w:after="0" w:line="240" w:lineRule="auto"/>
        <w:ind w:left="567" w:right="567"/>
        <w:jc w:val="both"/>
        <w:rPr>
          <w:rFonts w:ascii="Palatino Linotype" w:eastAsia="Times New Roman" w:hAnsi="Palatino Linotype" w:cs="Times New Roman"/>
          <w:i/>
          <w:color w:val="000000"/>
          <w:szCs w:val="24"/>
          <w:lang w:val="es-ES" w:eastAsia="es-ES"/>
        </w:rPr>
      </w:pPr>
      <w:r w:rsidRPr="00954CFD">
        <w:rPr>
          <w:rFonts w:ascii="Palatino Linotype" w:eastAsia="Times New Roman" w:hAnsi="Palatino Linotype" w:cs="Times New Roman"/>
          <w:i/>
          <w:color w:val="000000"/>
          <w:szCs w:val="24"/>
          <w:lang w:val="es-ES" w:eastAsia="es-ES"/>
        </w:rPr>
        <w:t>e) En cualquier otro caso que determine el Pleno.</w:t>
      </w:r>
    </w:p>
    <w:p w:rsidR="008306AC" w:rsidRPr="00954CFD" w:rsidRDefault="008306AC" w:rsidP="008306AC">
      <w:pPr>
        <w:spacing w:after="0" w:line="240" w:lineRule="auto"/>
        <w:ind w:left="567" w:right="567"/>
        <w:jc w:val="both"/>
        <w:rPr>
          <w:rFonts w:ascii="Palatino Linotype" w:eastAsia="Times New Roman" w:hAnsi="Palatino Linotype" w:cs="Times New Roman"/>
          <w:i/>
          <w:color w:val="000000"/>
          <w:szCs w:val="24"/>
          <w:lang w:val="es-ES" w:eastAsia="es-ES"/>
        </w:rPr>
      </w:pPr>
      <w:r w:rsidRPr="00954CFD">
        <w:rPr>
          <w:rFonts w:ascii="Palatino Linotype" w:eastAsia="Times New Roman" w:hAnsi="Palatino Linotype" w:cs="Times New Roman"/>
          <w:i/>
          <w:color w:val="000000"/>
          <w:szCs w:val="24"/>
          <w:lang w:val="es-ES" w:eastAsia="es-ES"/>
        </w:rPr>
        <w:t>La misma regla se aplicará, en lo conducente, para la separación de los expedientes.”</w:t>
      </w:r>
    </w:p>
    <w:p w:rsidR="008306AC" w:rsidRPr="00954CFD" w:rsidRDefault="008306AC" w:rsidP="008306AC">
      <w:pPr>
        <w:spacing w:after="0" w:line="360" w:lineRule="auto"/>
        <w:jc w:val="both"/>
        <w:rPr>
          <w:rFonts w:ascii="Palatino Linotype" w:eastAsia="MS Mincho" w:hAnsi="Palatino Linotype" w:cs="Times New Roman"/>
          <w:sz w:val="24"/>
          <w:szCs w:val="24"/>
          <w:lang w:val="es-ES" w:eastAsia="es-ES"/>
        </w:rPr>
      </w:pPr>
    </w:p>
    <w:p w:rsidR="008306AC" w:rsidRPr="00954CFD" w:rsidRDefault="008306AC" w:rsidP="008306AC">
      <w:pPr>
        <w:spacing w:after="0" w:line="360" w:lineRule="auto"/>
        <w:jc w:val="both"/>
        <w:rPr>
          <w:rFonts w:ascii="Palatino Linotype" w:eastAsia="MS Mincho" w:hAnsi="Palatino Linotype" w:cs="Times New Roman"/>
          <w:sz w:val="24"/>
          <w:szCs w:val="24"/>
          <w:lang w:val="es-ES" w:eastAsia="es-ES"/>
        </w:rPr>
      </w:pPr>
      <w:r w:rsidRPr="00954CFD">
        <w:rPr>
          <w:rFonts w:ascii="Palatino Linotype" w:eastAsia="MS Mincho" w:hAnsi="Palatino Linotype" w:cs="Times New Roman"/>
          <w:sz w:val="24"/>
          <w:szCs w:val="24"/>
          <w:lang w:val="es-ES" w:eastAsia="es-ES"/>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8306AC" w:rsidRPr="00954CFD" w:rsidRDefault="008306AC" w:rsidP="008306AC">
      <w:pPr>
        <w:spacing w:after="0" w:line="360" w:lineRule="auto"/>
        <w:jc w:val="both"/>
        <w:rPr>
          <w:rFonts w:ascii="Palatino Linotype" w:eastAsia="MS Mincho" w:hAnsi="Palatino Linotype" w:cs="Times New Roman"/>
          <w:sz w:val="24"/>
          <w:szCs w:val="24"/>
          <w:lang w:val="es-ES" w:eastAsia="es-ES"/>
        </w:rPr>
      </w:pPr>
    </w:p>
    <w:p w:rsidR="008306AC" w:rsidRPr="00954CFD" w:rsidRDefault="008306AC" w:rsidP="008306AC">
      <w:pPr>
        <w:spacing w:after="0" w:line="240" w:lineRule="auto"/>
        <w:ind w:left="567" w:right="567"/>
        <w:contextualSpacing/>
        <w:jc w:val="center"/>
        <w:rPr>
          <w:rFonts w:ascii="Palatino Linotype" w:eastAsia="MS Mincho" w:hAnsi="Palatino Linotype" w:cs="Times New Roman"/>
          <w:b/>
          <w:i/>
          <w:szCs w:val="24"/>
          <w:lang w:val="es-ES" w:eastAsia="es-ES"/>
        </w:rPr>
      </w:pPr>
      <w:r w:rsidRPr="00954CFD">
        <w:rPr>
          <w:rFonts w:ascii="Palatino Linotype" w:eastAsia="MS Mincho" w:hAnsi="Palatino Linotype" w:cs="Times New Roman"/>
          <w:b/>
          <w:i/>
          <w:szCs w:val="24"/>
          <w:lang w:val="es-ES" w:eastAsia="es-ES"/>
        </w:rPr>
        <w:t>Código de Procedimientos Administrativos del Estado de México</w:t>
      </w:r>
    </w:p>
    <w:p w:rsidR="008306AC" w:rsidRPr="00954CFD" w:rsidRDefault="008306AC" w:rsidP="008306AC">
      <w:pPr>
        <w:spacing w:after="0" w:line="240" w:lineRule="auto"/>
        <w:ind w:left="567" w:right="567"/>
        <w:contextualSpacing/>
        <w:jc w:val="center"/>
        <w:rPr>
          <w:rFonts w:ascii="Palatino Linotype" w:eastAsia="MS Mincho" w:hAnsi="Palatino Linotype" w:cs="Times New Roman"/>
          <w:b/>
          <w:i/>
          <w:szCs w:val="24"/>
          <w:lang w:val="es-ES" w:eastAsia="es-ES"/>
        </w:rPr>
      </w:pPr>
    </w:p>
    <w:p w:rsidR="008306AC" w:rsidRPr="00954CFD" w:rsidRDefault="008306AC" w:rsidP="008306AC">
      <w:pPr>
        <w:spacing w:after="0" w:line="240" w:lineRule="auto"/>
        <w:ind w:left="567" w:right="567"/>
        <w:contextualSpacing/>
        <w:jc w:val="both"/>
        <w:rPr>
          <w:rFonts w:ascii="Palatino Linotype" w:eastAsia="MS Mincho" w:hAnsi="Palatino Linotype" w:cs="Times New Roman"/>
          <w:i/>
          <w:szCs w:val="24"/>
          <w:lang w:val="es-ES" w:eastAsia="es-ES"/>
        </w:rPr>
      </w:pPr>
      <w:r w:rsidRPr="00954CFD">
        <w:rPr>
          <w:rFonts w:ascii="Palatino Linotype" w:eastAsia="MS Mincho" w:hAnsi="Palatino Linotype" w:cs="Times New Roman"/>
          <w:i/>
          <w:szCs w:val="24"/>
          <w:lang w:val="es-ES" w:eastAsia="es-ES"/>
        </w:rPr>
        <w:t>“</w:t>
      </w:r>
      <w:r w:rsidRPr="00954CFD">
        <w:rPr>
          <w:rFonts w:ascii="Palatino Linotype" w:eastAsia="MS Mincho" w:hAnsi="Palatino Linotype" w:cs="Times New Roman"/>
          <w:b/>
          <w:i/>
          <w:szCs w:val="24"/>
          <w:lang w:val="es-ES" w:eastAsia="es-ES"/>
        </w:rPr>
        <w:t xml:space="preserve">Artículo 18.- </w:t>
      </w:r>
      <w:r w:rsidRPr="00954CFD">
        <w:rPr>
          <w:rFonts w:ascii="Palatino Linotype" w:eastAsia="MS Mincho" w:hAnsi="Palatino Linotype" w:cs="Times New Roman"/>
          <w:i/>
          <w:szCs w:val="24"/>
          <w:lang w:val="es-ES" w:eastAsia="es-ES"/>
        </w:rPr>
        <w:t xml:space="preserve">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w:t>
      </w:r>
      <w:r w:rsidRPr="00954CFD">
        <w:rPr>
          <w:rFonts w:ascii="Palatino Linotype" w:eastAsia="MS Mincho" w:hAnsi="Palatino Linotype" w:cs="Times New Roman"/>
          <w:i/>
          <w:szCs w:val="24"/>
          <w:lang w:val="es-ES" w:eastAsia="es-ES"/>
        </w:rPr>
        <w:lastRenderedPageBreak/>
        <w:t>emisión de resoluciones contradictorias. La misma regla se aplicará, en lo conducente, para la separación de los expedientes.”</w:t>
      </w:r>
    </w:p>
    <w:p w:rsidR="008306AC" w:rsidRPr="00954CFD" w:rsidRDefault="008306AC" w:rsidP="008306AC">
      <w:pPr>
        <w:spacing w:after="0" w:line="240" w:lineRule="auto"/>
        <w:ind w:left="567" w:right="567"/>
        <w:contextualSpacing/>
        <w:jc w:val="center"/>
        <w:rPr>
          <w:rFonts w:ascii="Palatino Linotype" w:eastAsia="MS Mincho" w:hAnsi="Palatino Linotype" w:cs="Times New Roman"/>
          <w:b/>
          <w:i/>
          <w:szCs w:val="24"/>
          <w:lang w:val="es-ES" w:eastAsia="es-ES"/>
        </w:rPr>
      </w:pPr>
    </w:p>
    <w:p w:rsidR="008306AC" w:rsidRPr="00954CFD" w:rsidRDefault="008306AC" w:rsidP="008306AC">
      <w:pPr>
        <w:spacing w:after="0" w:line="240" w:lineRule="auto"/>
        <w:ind w:left="567" w:right="567"/>
        <w:contextualSpacing/>
        <w:jc w:val="center"/>
        <w:rPr>
          <w:rFonts w:ascii="Palatino Linotype" w:eastAsia="MS Mincho" w:hAnsi="Palatino Linotype" w:cs="Times New Roman"/>
          <w:b/>
          <w:i/>
          <w:szCs w:val="24"/>
          <w:lang w:val="es-ES" w:eastAsia="es-ES"/>
        </w:rPr>
      </w:pPr>
      <w:r w:rsidRPr="00954CFD">
        <w:rPr>
          <w:rFonts w:ascii="Palatino Linotype" w:eastAsia="MS Mincho" w:hAnsi="Palatino Linotype" w:cs="Times New Roman"/>
          <w:b/>
          <w:i/>
          <w:szCs w:val="24"/>
          <w:lang w:val="es-ES" w:eastAsia="es-ES"/>
        </w:rPr>
        <w:t xml:space="preserve">Ley de Transparencia y Acceso a la Información Pública </w:t>
      </w:r>
    </w:p>
    <w:p w:rsidR="008306AC" w:rsidRPr="00954CFD" w:rsidRDefault="008306AC" w:rsidP="008306AC">
      <w:pPr>
        <w:spacing w:after="0" w:line="240" w:lineRule="auto"/>
        <w:ind w:left="567" w:right="567"/>
        <w:contextualSpacing/>
        <w:jc w:val="center"/>
        <w:rPr>
          <w:rFonts w:ascii="Palatino Linotype" w:eastAsia="MS Mincho" w:hAnsi="Palatino Linotype" w:cs="Times New Roman"/>
          <w:b/>
          <w:i/>
          <w:szCs w:val="24"/>
          <w:lang w:val="es-ES" w:eastAsia="es-ES"/>
        </w:rPr>
      </w:pPr>
      <w:r w:rsidRPr="00954CFD">
        <w:rPr>
          <w:rFonts w:ascii="Palatino Linotype" w:eastAsia="MS Mincho" w:hAnsi="Palatino Linotype" w:cs="Times New Roman"/>
          <w:b/>
          <w:i/>
          <w:szCs w:val="24"/>
          <w:lang w:val="es-ES" w:eastAsia="es-ES"/>
        </w:rPr>
        <w:t>del Estado de México y Municipios</w:t>
      </w:r>
    </w:p>
    <w:p w:rsidR="008306AC" w:rsidRPr="00954CFD" w:rsidRDefault="008306AC" w:rsidP="008306AC">
      <w:pPr>
        <w:spacing w:after="0" w:line="240" w:lineRule="auto"/>
        <w:ind w:left="567" w:right="567"/>
        <w:contextualSpacing/>
        <w:jc w:val="center"/>
        <w:rPr>
          <w:rFonts w:ascii="Palatino Linotype" w:eastAsia="MS Mincho" w:hAnsi="Palatino Linotype" w:cs="Times New Roman"/>
          <w:b/>
          <w:i/>
          <w:szCs w:val="24"/>
          <w:lang w:val="es-ES" w:eastAsia="es-ES"/>
        </w:rPr>
      </w:pPr>
    </w:p>
    <w:p w:rsidR="008306AC" w:rsidRPr="00954CFD" w:rsidRDefault="008306AC" w:rsidP="008306AC">
      <w:pPr>
        <w:spacing w:after="0" w:line="240" w:lineRule="auto"/>
        <w:ind w:left="567" w:right="567"/>
        <w:contextualSpacing/>
        <w:jc w:val="both"/>
        <w:rPr>
          <w:rFonts w:ascii="Palatino Linotype" w:eastAsia="MS Mincho" w:hAnsi="Palatino Linotype" w:cs="Times New Roman"/>
          <w:i/>
          <w:szCs w:val="24"/>
          <w:lang w:val="es-ES" w:eastAsia="es-ES"/>
        </w:rPr>
      </w:pPr>
      <w:r w:rsidRPr="00954CFD">
        <w:rPr>
          <w:rFonts w:ascii="Palatino Linotype" w:eastAsia="MS Mincho" w:hAnsi="Palatino Linotype" w:cs="Times New Roman"/>
          <w:i/>
          <w:szCs w:val="24"/>
          <w:lang w:val="es-ES" w:eastAsia="es-ES"/>
        </w:rPr>
        <w:t>“</w:t>
      </w:r>
      <w:r w:rsidRPr="00954CFD">
        <w:rPr>
          <w:rFonts w:ascii="Palatino Linotype" w:eastAsia="MS Mincho" w:hAnsi="Palatino Linotype" w:cs="Times New Roman"/>
          <w:b/>
          <w:i/>
          <w:szCs w:val="24"/>
          <w:lang w:val="es-ES" w:eastAsia="es-ES"/>
        </w:rPr>
        <w:t>Artículo 195.</w:t>
      </w:r>
      <w:r w:rsidRPr="00954CFD">
        <w:rPr>
          <w:rFonts w:ascii="Palatino Linotype" w:eastAsia="MS Mincho" w:hAnsi="Palatino Linotype" w:cs="Times New Roman"/>
          <w:i/>
          <w:szCs w:val="24"/>
          <w:lang w:val="es-ES" w:eastAsia="es-ES"/>
        </w:rPr>
        <w:t xml:space="preserve"> En la tramitación del recurso de revisión se aplicarán supletoriamente las disposiciones contenidas en el Código de Procedimientos Administrativos del Estado de México.” </w:t>
      </w:r>
    </w:p>
    <w:p w:rsidR="008306AC" w:rsidRPr="00954CFD" w:rsidRDefault="008306AC" w:rsidP="008306AC">
      <w:pPr>
        <w:spacing w:after="0" w:line="240" w:lineRule="auto"/>
        <w:ind w:left="567" w:right="567"/>
        <w:contextualSpacing/>
        <w:jc w:val="right"/>
        <w:rPr>
          <w:rFonts w:ascii="Palatino Linotype" w:eastAsia="Times New Roman" w:hAnsi="Palatino Linotype" w:cs="Arial"/>
          <w:szCs w:val="24"/>
          <w:lang w:val="es-ES" w:eastAsia="es-ES"/>
        </w:rPr>
      </w:pPr>
      <w:r w:rsidRPr="00954CFD">
        <w:rPr>
          <w:rFonts w:ascii="Palatino Linotype" w:eastAsia="MS Mincho" w:hAnsi="Palatino Linotype" w:cs="Times New Roman"/>
          <w:szCs w:val="24"/>
          <w:lang w:val="es-ES" w:eastAsia="es-ES"/>
        </w:rPr>
        <w:t>(Énfasis añadido)</w:t>
      </w:r>
    </w:p>
    <w:p w:rsidR="008306AC" w:rsidRPr="00954CFD" w:rsidRDefault="008306AC" w:rsidP="008306AC">
      <w:pPr>
        <w:spacing w:after="0" w:line="360" w:lineRule="auto"/>
        <w:jc w:val="both"/>
        <w:rPr>
          <w:rFonts w:ascii="Palatino Linotype" w:hAnsi="Palatino Linotype" w:cs="Arial"/>
          <w:sz w:val="24"/>
          <w:szCs w:val="28"/>
        </w:rPr>
      </w:pPr>
    </w:p>
    <w:p w:rsidR="008306AC" w:rsidRPr="00954CFD" w:rsidRDefault="008306AC" w:rsidP="008306AC">
      <w:pPr>
        <w:spacing w:after="0" w:line="360" w:lineRule="auto"/>
        <w:jc w:val="both"/>
        <w:rPr>
          <w:rFonts w:ascii="Palatino Linotype" w:hAnsi="Palatino Linotype" w:cs="Arial"/>
          <w:sz w:val="24"/>
          <w:szCs w:val="24"/>
        </w:rPr>
      </w:pPr>
      <w:r w:rsidRPr="00954CFD">
        <w:rPr>
          <w:rFonts w:ascii="Palatino Linotype" w:hAnsi="Palatino Linotype" w:cs="Arial"/>
          <w:b/>
          <w:sz w:val="28"/>
          <w:szCs w:val="28"/>
        </w:rPr>
        <w:t xml:space="preserve">SEXTO. </w:t>
      </w:r>
      <w:r w:rsidRPr="00954CFD">
        <w:rPr>
          <w:rFonts w:ascii="Palatino Linotype" w:hAnsi="Palatino Linotype" w:cs="Arial"/>
          <w:sz w:val="24"/>
          <w:szCs w:val="24"/>
        </w:rPr>
        <w:t xml:space="preserve">Una vez abierta la etapa de instrucción, se advierte que el </w:t>
      </w:r>
      <w:r w:rsidRPr="00954CFD">
        <w:rPr>
          <w:rFonts w:ascii="Palatino Linotype" w:hAnsi="Palatino Linotype" w:cs="Arial"/>
          <w:b/>
          <w:sz w:val="24"/>
          <w:szCs w:val="24"/>
        </w:rPr>
        <w:t>Sujeto Obligado</w:t>
      </w:r>
      <w:r w:rsidRPr="00954CFD">
        <w:rPr>
          <w:rFonts w:ascii="Palatino Linotype" w:hAnsi="Palatino Linotype" w:cs="Arial"/>
          <w:sz w:val="24"/>
          <w:szCs w:val="24"/>
        </w:rPr>
        <w:t xml:space="preserve"> rindió sus informes justificados, respecto del recurso de revisión </w:t>
      </w:r>
      <w:r w:rsidRPr="00954CFD">
        <w:rPr>
          <w:rFonts w:ascii="Palatino Linotype" w:hAnsi="Palatino Linotype" w:cs="Arial"/>
          <w:b/>
          <w:sz w:val="24"/>
          <w:szCs w:val="24"/>
        </w:rPr>
        <w:t>01</w:t>
      </w:r>
      <w:r w:rsidR="003741F4" w:rsidRPr="00954CFD">
        <w:rPr>
          <w:rFonts w:ascii="Palatino Linotype" w:hAnsi="Palatino Linotype" w:cs="Arial"/>
          <w:b/>
          <w:sz w:val="24"/>
          <w:szCs w:val="24"/>
        </w:rPr>
        <w:t>3120</w:t>
      </w:r>
      <w:r w:rsidRPr="00954CFD">
        <w:rPr>
          <w:rFonts w:ascii="Palatino Linotype" w:hAnsi="Palatino Linotype" w:cs="Arial"/>
          <w:b/>
          <w:sz w:val="24"/>
          <w:szCs w:val="24"/>
        </w:rPr>
        <w:t>/INFOEM/IP/RR/2022</w:t>
      </w:r>
      <w:r w:rsidRPr="00954CFD">
        <w:rPr>
          <w:rFonts w:ascii="Palatino Linotype" w:hAnsi="Palatino Linotype" w:cs="Arial"/>
          <w:sz w:val="24"/>
          <w:szCs w:val="24"/>
        </w:rPr>
        <w:t xml:space="preserve"> a través de los documentos electrónicos “</w:t>
      </w:r>
      <w:r w:rsidR="003741F4" w:rsidRPr="00954CFD">
        <w:rPr>
          <w:rFonts w:ascii="Palatino Linotype" w:hAnsi="Palatino Linotype" w:cs="Arial"/>
          <w:b/>
          <w:i/>
          <w:sz w:val="24"/>
          <w:szCs w:val="24"/>
        </w:rPr>
        <w:t>RequerimientoInformeRR13120DGAF.pdf, InformeJustificadoRR13120DGAF.pdf, RequerimientoInformeRR13120.Presidencia.pdf, Anexo 3 Lineamientos Inv Ver y AudVol.pdf, InformeJustificado13120PCMRMA.pdf, InformeJustificadoRecurso13120UT.pdf, Anexo 1_Propuesta QUIO.docx, RequerimientoInformeRR13120.PSCMM.pdf, RequerimientoInformeRR13120.PMRMA.pdf, InformeJustificado13120Presidencia.pdf, InformeJustificado13120PCSCMM.pdf, InformeJustificado13120PCGRP.pdf, InformeJustificado13120PCLGPN.pdf, Anexo 2 Comentarios Políticas Públicas.docx, RequerimientoInformeRR13120.PLGPN.pdf, RequerimientoInformeRR13120.PGRP.pdf</w:t>
      </w:r>
      <w:r w:rsidR="003741F4" w:rsidRPr="00954CFD">
        <w:rPr>
          <w:rFonts w:ascii="Palatino Linotype" w:hAnsi="Palatino Linotype" w:cs="Arial"/>
          <w:sz w:val="24"/>
          <w:szCs w:val="24"/>
        </w:rPr>
        <w:t xml:space="preserve"> y </w:t>
      </w:r>
      <w:r w:rsidR="003741F4" w:rsidRPr="00954CFD">
        <w:rPr>
          <w:rFonts w:ascii="Palatino Linotype" w:hAnsi="Palatino Linotype" w:cs="Arial"/>
          <w:b/>
          <w:i/>
          <w:sz w:val="24"/>
          <w:szCs w:val="24"/>
        </w:rPr>
        <w:t>AlcanceRR13120_PCSCMM.pdf</w:t>
      </w:r>
      <w:r w:rsidRPr="00954CFD">
        <w:rPr>
          <w:rFonts w:ascii="Palatino Linotype" w:hAnsi="Palatino Linotype" w:cs="Arial"/>
          <w:sz w:val="24"/>
          <w:szCs w:val="24"/>
        </w:rPr>
        <w:t xml:space="preserve">”; y respecto del recurso de revisión </w:t>
      </w:r>
      <w:r w:rsidRPr="00954CFD">
        <w:rPr>
          <w:rFonts w:ascii="Palatino Linotype" w:hAnsi="Palatino Linotype" w:cs="Arial"/>
          <w:b/>
          <w:sz w:val="24"/>
          <w:szCs w:val="24"/>
        </w:rPr>
        <w:t>01</w:t>
      </w:r>
      <w:r w:rsidR="003741F4" w:rsidRPr="00954CFD">
        <w:rPr>
          <w:rFonts w:ascii="Palatino Linotype" w:hAnsi="Palatino Linotype" w:cs="Arial"/>
          <w:b/>
          <w:sz w:val="24"/>
          <w:szCs w:val="24"/>
        </w:rPr>
        <w:t>3121</w:t>
      </w:r>
      <w:r w:rsidRPr="00954CFD">
        <w:rPr>
          <w:rFonts w:ascii="Palatino Linotype" w:hAnsi="Palatino Linotype" w:cs="Arial"/>
          <w:b/>
          <w:sz w:val="24"/>
          <w:szCs w:val="24"/>
        </w:rPr>
        <w:t>/INFOEM/IP/RR/2022</w:t>
      </w:r>
      <w:r w:rsidRPr="00954CFD">
        <w:rPr>
          <w:rFonts w:ascii="Palatino Linotype" w:hAnsi="Palatino Linotype" w:cs="Arial"/>
          <w:sz w:val="24"/>
          <w:szCs w:val="24"/>
        </w:rPr>
        <w:t xml:space="preserve"> a través de los documentos electrónicos “</w:t>
      </w:r>
      <w:r w:rsidR="003741F4" w:rsidRPr="00954CFD">
        <w:rPr>
          <w:rFonts w:ascii="Palatino Linotype" w:hAnsi="Palatino Linotype" w:cs="Arial"/>
          <w:b/>
          <w:i/>
          <w:sz w:val="24"/>
          <w:szCs w:val="24"/>
        </w:rPr>
        <w:t xml:space="preserve">InformeJustificadoRR13121Presidencia.pdf, RequerimientoInformeRR13121.PMRMA.pdf, </w:t>
      </w:r>
      <w:r w:rsidR="003741F4" w:rsidRPr="00954CFD">
        <w:rPr>
          <w:rFonts w:ascii="Palatino Linotype" w:hAnsi="Palatino Linotype" w:cs="Arial"/>
          <w:b/>
          <w:i/>
          <w:sz w:val="24"/>
          <w:szCs w:val="24"/>
        </w:rPr>
        <w:lastRenderedPageBreak/>
        <w:t>InformeJustificadoRR13121PCGRP.pdf, RequerimientoInformeRR13121.PSCMM.pdf, RequerimientoInformeRR13121.Presidencia.pdf, InformeJustificadoRR13121PCSCMM.pdf, InformeJustificadoRR13121PCMRMA.pdf, RequerimientoInformeRR13121.PGRP.pdf, Anexo 2 Comentarios Políticas Públicas.docx, Anexo 3 Lineamientos Inv Ver y AudVol.pdf, RequerimientoInformeRR13121.PLGPN.pdf, Anexo 1_Propuesta QUIO.docx, RequerimientoInformeRR13121DGAF.pdf, InformeJustificadoRR13121DGAF.pdf, InformeJustificadoRecurso13121UT.pdf, InformeJustificadoRecurso13121UT.pdf y AlcanceRR13121_PCSCMM.pdf</w:t>
      </w:r>
      <w:r w:rsidRPr="00954CFD">
        <w:rPr>
          <w:rFonts w:ascii="Palatino Linotype" w:hAnsi="Palatino Linotype" w:cs="Arial"/>
          <w:sz w:val="24"/>
          <w:szCs w:val="24"/>
        </w:rPr>
        <w:t xml:space="preserve">”, documentos que fueron puestos a la vista del </w:t>
      </w:r>
      <w:r w:rsidRPr="00954CFD">
        <w:rPr>
          <w:rFonts w:ascii="Palatino Linotype" w:hAnsi="Palatino Linotype" w:cs="Arial"/>
          <w:b/>
          <w:sz w:val="24"/>
          <w:szCs w:val="24"/>
        </w:rPr>
        <w:t>Recurrente</w:t>
      </w:r>
      <w:r w:rsidRPr="00954CFD">
        <w:rPr>
          <w:rFonts w:ascii="Palatino Linotype" w:hAnsi="Palatino Linotype" w:cs="Arial"/>
          <w:sz w:val="24"/>
          <w:szCs w:val="24"/>
        </w:rPr>
        <w:t xml:space="preserve"> a efecto que presentara las manifestaciones que a sus intereses conviniera, circunstancia que no fue desahogada dentro de los términos de Ley que le fueron otorgados mediante acuerdos de admisión. </w:t>
      </w:r>
    </w:p>
    <w:p w:rsidR="008306AC" w:rsidRPr="00954CFD" w:rsidRDefault="008306AC" w:rsidP="008306AC">
      <w:pPr>
        <w:spacing w:after="0" w:line="360" w:lineRule="auto"/>
        <w:jc w:val="both"/>
        <w:rPr>
          <w:rFonts w:ascii="Palatino Linotype" w:hAnsi="Palatino Linotype" w:cs="Arial"/>
          <w:sz w:val="24"/>
          <w:szCs w:val="24"/>
        </w:rPr>
      </w:pPr>
    </w:p>
    <w:p w:rsidR="008306AC" w:rsidRPr="00954CFD" w:rsidRDefault="008306AC" w:rsidP="008306AC">
      <w:pPr>
        <w:spacing w:after="0" w:line="360" w:lineRule="auto"/>
        <w:jc w:val="both"/>
        <w:rPr>
          <w:rFonts w:ascii="Palatino Linotype" w:hAnsi="Palatino Linotype" w:cs="Arial"/>
          <w:sz w:val="24"/>
          <w:szCs w:val="24"/>
        </w:rPr>
      </w:pPr>
      <w:r w:rsidRPr="00954CFD">
        <w:rPr>
          <w:rFonts w:ascii="Palatino Linotype" w:hAnsi="Palatino Linotype" w:cs="Arial"/>
          <w:sz w:val="24"/>
          <w:szCs w:val="24"/>
        </w:rPr>
        <w:t xml:space="preserve">Así mismo se aprecia que no se llevaron a cabo audiencias durante la sustanciación de los recursos de revisión, ni se ofrecieron pruebas por parte del hoy </w:t>
      </w:r>
      <w:r w:rsidRPr="00954CFD">
        <w:rPr>
          <w:rFonts w:ascii="Palatino Linotype" w:hAnsi="Palatino Linotype" w:cs="Arial"/>
          <w:b/>
          <w:sz w:val="24"/>
          <w:szCs w:val="24"/>
        </w:rPr>
        <w:t>Recurrente</w:t>
      </w:r>
      <w:r w:rsidRPr="00954CFD">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8306AC" w:rsidRPr="00954CFD" w:rsidRDefault="008306AC" w:rsidP="008306AC">
      <w:pPr>
        <w:spacing w:after="0" w:line="360" w:lineRule="auto"/>
        <w:jc w:val="both"/>
        <w:rPr>
          <w:rFonts w:ascii="Palatino Linotype" w:hAnsi="Palatino Linotype" w:cs="Arial"/>
          <w:sz w:val="24"/>
          <w:szCs w:val="24"/>
        </w:rPr>
      </w:pPr>
    </w:p>
    <w:p w:rsidR="008306AC" w:rsidRPr="00954CFD" w:rsidRDefault="008306AC" w:rsidP="008306AC">
      <w:pPr>
        <w:spacing w:after="0" w:line="360" w:lineRule="auto"/>
        <w:jc w:val="both"/>
        <w:rPr>
          <w:rFonts w:ascii="Palatino Linotype" w:hAnsi="Palatino Linotype" w:cs="Arial"/>
          <w:sz w:val="24"/>
          <w:szCs w:val="24"/>
        </w:rPr>
      </w:pPr>
      <w:r w:rsidRPr="00954CFD">
        <w:rPr>
          <w:rFonts w:ascii="Palatino Linotype" w:hAnsi="Palatino Linotype" w:cs="Arial"/>
          <w:b/>
          <w:sz w:val="28"/>
          <w:szCs w:val="28"/>
        </w:rPr>
        <w:t xml:space="preserve">SÉPTIMO. </w:t>
      </w:r>
      <w:r w:rsidRPr="00954CFD">
        <w:rPr>
          <w:rFonts w:ascii="Palatino Linotype" w:hAnsi="Palatino Linotype" w:cs="Arial"/>
          <w:sz w:val="24"/>
          <w:szCs w:val="24"/>
        </w:rPr>
        <w:t xml:space="preserve">Por lo que una vez transcurridos los periodos otorgados a las partes de siete días hábiles para realizar sus manifestaciones en los acuerdos de admisión, y no habiendo prueba pendiente por desahogar, ni que documentos que integrar a los </w:t>
      </w:r>
      <w:r w:rsidRPr="00954CFD">
        <w:rPr>
          <w:rFonts w:ascii="Palatino Linotype" w:hAnsi="Palatino Linotype" w:cs="Arial"/>
          <w:sz w:val="24"/>
          <w:szCs w:val="24"/>
        </w:rPr>
        <w:lastRenderedPageBreak/>
        <w:t xml:space="preserve">expedientes electrónicos, se decretaron los cierres de instrucción en fecha </w:t>
      </w:r>
      <w:r w:rsidR="009C269B" w:rsidRPr="00954CFD">
        <w:rPr>
          <w:rFonts w:ascii="Palatino Linotype" w:hAnsi="Palatino Linotype" w:cs="Arial"/>
          <w:sz w:val="24"/>
          <w:szCs w:val="24"/>
        </w:rPr>
        <w:t>18</w:t>
      </w:r>
      <w:r w:rsidRPr="00954CFD">
        <w:rPr>
          <w:rFonts w:ascii="Palatino Linotype" w:hAnsi="Palatino Linotype" w:cs="Arial"/>
          <w:sz w:val="24"/>
          <w:szCs w:val="24"/>
        </w:rPr>
        <w:t xml:space="preserve"> (</w:t>
      </w:r>
      <w:r w:rsidR="009C269B" w:rsidRPr="00954CFD">
        <w:rPr>
          <w:rFonts w:ascii="Palatino Linotype" w:hAnsi="Palatino Linotype" w:cs="Arial"/>
          <w:sz w:val="24"/>
          <w:szCs w:val="24"/>
        </w:rPr>
        <w:t>dieciocho</w:t>
      </w:r>
      <w:r w:rsidRPr="00954CFD">
        <w:rPr>
          <w:rFonts w:ascii="Palatino Linotype" w:hAnsi="Palatino Linotype" w:cs="Arial"/>
          <w:sz w:val="24"/>
          <w:szCs w:val="24"/>
        </w:rPr>
        <w:t xml:space="preserve">) de </w:t>
      </w:r>
      <w:r w:rsidR="003741F4" w:rsidRPr="00954CFD">
        <w:rPr>
          <w:rFonts w:ascii="Palatino Linotype" w:hAnsi="Palatino Linotype" w:cs="Arial"/>
          <w:sz w:val="24"/>
          <w:szCs w:val="24"/>
        </w:rPr>
        <w:t>octubre</w:t>
      </w:r>
      <w:r w:rsidRPr="00954CFD">
        <w:rPr>
          <w:rFonts w:ascii="Palatino Linotype" w:hAnsi="Palatino Linotype" w:cs="Arial"/>
          <w:sz w:val="24"/>
          <w:szCs w:val="24"/>
        </w:rPr>
        <w:t xml:space="preserve"> de 2022 (dos mil veintidós), en términos del artículo 185 fracción VI de la Ley de Transparencia y Acceso a la Información Pública del Estado de México y Municipios, ordenándose turnar los expedientes a la resolución que en derecho proceda.</w:t>
      </w:r>
    </w:p>
    <w:p w:rsidR="008306AC" w:rsidRPr="00954CFD" w:rsidRDefault="008306AC" w:rsidP="008306AC">
      <w:pPr>
        <w:spacing w:after="0" w:line="360" w:lineRule="auto"/>
        <w:jc w:val="both"/>
        <w:rPr>
          <w:rFonts w:ascii="Palatino Linotype" w:hAnsi="Palatino Linotype" w:cs="Arial"/>
          <w:sz w:val="24"/>
          <w:szCs w:val="24"/>
        </w:rPr>
      </w:pPr>
    </w:p>
    <w:p w:rsidR="008306AC" w:rsidRPr="00954CFD" w:rsidRDefault="008306AC" w:rsidP="008306AC">
      <w:pPr>
        <w:spacing w:after="0" w:line="360" w:lineRule="auto"/>
        <w:jc w:val="both"/>
        <w:rPr>
          <w:rFonts w:ascii="Palatino Linotype" w:hAnsi="Palatino Linotype" w:cs="Arial"/>
          <w:sz w:val="24"/>
          <w:szCs w:val="24"/>
        </w:rPr>
      </w:pPr>
      <w:r w:rsidRPr="00954CFD">
        <w:rPr>
          <w:rFonts w:ascii="Palatino Linotype" w:hAnsi="Palatino Linotype" w:cs="Arial"/>
          <w:b/>
          <w:sz w:val="28"/>
          <w:szCs w:val="28"/>
        </w:rPr>
        <w:t xml:space="preserve">OCTAVO. </w:t>
      </w:r>
      <w:r w:rsidRPr="00954CFD">
        <w:rPr>
          <w:rFonts w:ascii="Palatino Linotype" w:hAnsi="Palatino Linotype" w:cs="Arial"/>
          <w:sz w:val="24"/>
          <w:szCs w:val="24"/>
        </w:rPr>
        <w:t>De las constancias que integran el expediente virtual, se advierte que han transcurrido los términos de Ley, para la emisión de la resolución en los presentes recursos de revisión, por lo que en fecha</w:t>
      </w:r>
      <w:r w:rsidR="003741F4" w:rsidRPr="00954CFD">
        <w:rPr>
          <w:rFonts w:ascii="Palatino Linotype" w:hAnsi="Palatino Linotype" w:cs="Arial"/>
          <w:sz w:val="24"/>
          <w:szCs w:val="24"/>
        </w:rPr>
        <w:t>s</w:t>
      </w:r>
      <w:r w:rsidRPr="00954CFD">
        <w:rPr>
          <w:rFonts w:ascii="Palatino Linotype" w:hAnsi="Palatino Linotype" w:cs="Arial"/>
          <w:sz w:val="24"/>
          <w:szCs w:val="24"/>
        </w:rPr>
        <w:t xml:space="preserve"> </w:t>
      </w:r>
      <w:r w:rsidR="003741F4" w:rsidRPr="00954CFD">
        <w:rPr>
          <w:rFonts w:ascii="Palatino Linotype" w:hAnsi="Palatino Linotype" w:cs="Arial"/>
          <w:sz w:val="24"/>
          <w:szCs w:val="24"/>
        </w:rPr>
        <w:t>19</w:t>
      </w:r>
      <w:r w:rsidRPr="00954CFD">
        <w:rPr>
          <w:rFonts w:ascii="Palatino Linotype" w:hAnsi="Palatino Linotype" w:cs="Arial"/>
          <w:sz w:val="24"/>
          <w:szCs w:val="24"/>
        </w:rPr>
        <w:t xml:space="preserve"> (</w:t>
      </w:r>
      <w:r w:rsidR="003741F4" w:rsidRPr="00954CFD">
        <w:rPr>
          <w:rFonts w:ascii="Palatino Linotype" w:hAnsi="Palatino Linotype" w:cs="Arial"/>
          <w:sz w:val="24"/>
          <w:szCs w:val="24"/>
        </w:rPr>
        <w:t>diecinueve</w:t>
      </w:r>
      <w:r w:rsidRPr="00954CFD">
        <w:rPr>
          <w:rFonts w:ascii="Palatino Linotype" w:hAnsi="Palatino Linotype" w:cs="Arial"/>
          <w:sz w:val="24"/>
          <w:szCs w:val="24"/>
        </w:rPr>
        <w:t>) de septiembre</w:t>
      </w:r>
      <w:r w:rsidR="003741F4" w:rsidRPr="00954CFD">
        <w:rPr>
          <w:rFonts w:ascii="Palatino Linotype" w:hAnsi="Palatino Linotype" w:cs="Arial"/>
          <w:sz w:val="24"/>
          <w:szCs w:val="24"/>
        </w:rPr>
        <w:t xml:space="preserve"> y 10 (diez) de octubre d</w:t>
      </w:r>
      <w:r w:rsidRPr="00954CFD">
        <w:rPr>
          <w:rFonts w:ascii="Palatino Linotype" w:hAnsi="Palatino Linotype" w:cs="Arial"/>
          <w:sz w:val="24"/>
          <w:szCs w:val="24"/>
        </w:rPr>
        <w:t>e 2022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8306AC" w:rsidRPr="00954CFD" w:rsidRDefault="008306AC" w:rsidP="008306AC">
      <w:pPr>
        <w:spacing w:after="0" w:line="360" w:lineRule="auto"/>
        <w:jc w:val="both"/>
        <w:rPr>
          <w:rFonts w:ascii="Palatino Linotype" w:hAnsi="Palatino Linotype" w:cs="Arial"/>
          <w:sz w:val="24"/>
          <w:szCs w:val="24"/>
        </w:rPr>
      </w:pPr>
    </w:p>
    <w:p w:rsidR="008306AC" w:rsidRPr="00954CFD" w:rsidRDefault="008306AC" w:rsidP="008306AC">
      <w:pPr>
        <w:spacing w:after="0" w:line="360" w:lineRule="auto"/>
        <w:jc w:val="both"/>
        <w:rPr>
          <w:rFonts w:ascii="Palatino Linotype" w:hAnsi="Palatino Linotype" w:cs="Arial"/>
          <w:sz w:val="24"/>
          <w:szCs w:val="24"/>
        </w:rPr>
      </w:pPr>
      <w:r w:rsidRPr="00954CFD">
        <w:rPr>
          <w:rFonts w:ascii="Palatino Linotype" w:hAnsi="Palatino Linotype" w:cs="Arial"/>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8306AC" w:rsidRPr="00954CFD" w:rsidRDefault="008306AC" w:rsidP="008306AC">
      <w:pPr>
        <w:spacing w:after="0" w:line="360" w:lineRule="auto"/>
        <w:jc w:val="both"/>
        <w:rPr>
          <w:rFonts w:ascii="Palatino Linotype" w:hAnsi="Palatino Linotype" w:cs="Arial"/>
          <w:sz w:val="24"/>
          <w:szCs w:val="24"/>
        </w:rPr>
      </w:pPr>
    </w:p>
    <w:p w:rsidR="008306AC" w:rsidRPr="00954CFD" w:rsidRDefault="008306AC" w:rsidP="008306AC">
      <w:pPr>
        <w:spacing w:after="0" w:line="360" w:lineRule="auto"/>
        <w:jc w:val="both"/>
        <w:rPr>
          <w:rFonts w:ascii="Palatino Linotype" w:hAnsi="Palatino Linotype" w:cs="Arial"/>
          <w:sz w:val="24"/>
          <w:szCs w:val="24"/>
        </w:rPr>
      </w:pPr>
      <w:r w:rsidRPr="00954CFD">
        <w:rPr>
          <w:rFonts w:ascii="Palatino Linotype" w:hAnsi="Palatino Linotype" w:cs="Arial"/>
          <w:sz w:val="24"/>
          <w:szCs w:val="24"/>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8306AC" w:rsidRPr="00954CFD" w:rsidRDefault="008306AC" w:rsidP="008306AC">
      <w:pPr>
        <w:spacing w:after="0" w:line="360" w:lineRule="auto"/>
        <w:jc w:val="both"/>
        <w:rPr>
          <w:rFonts w:ascii="Palatino Linotype" w:hAnsi="Palatino Linotype" w:cs="Arial"/>
          <w:sz w:val="24"/>
          <w:szCs w:val="24"/>
        </w:rPr>
      </w:pPr>
      <w:r w:rsidRPr="00954CFD">
        <w:rPr>
          <w:rFonts w:ascii="Palatino Linotype" w:hAnsi="Palatino Linotype" w:cs="Arial"/>
          <w:sz w:val="24"/>
          <w:szCs w:val="24"/>
        </w:rPr>
        <w:t xml:space="preserve"> </w:t>
      </w:r>
    </w:p>
    <w:p w:rsidR="008306AC" w:rsidRPr="00954CFD" w:rsidRDefault="008306AC" w:rsidP="008306AC">
      <w:pPr>
        <w:spacing w:after="0" w:line="360" w:lineRule="auto"/>
        <w:jc w:val="both"/>
        <w:rPr>
          <w:rFonts w:ascii="Palatino Linotype" w:hAnsi="Palatino Linotype" w:cs="Arial"/>
          <w:sz w:val="24"/>
          <w:szCs w:val="24"/>
        </w:rPr>
      </w:pPr>
      <w:r w:rsidRPr="00954CFD">
        <w:rPr>
          <w:rFonts w:ascii="Palatino Linotype" w:hAnsi="Palatino Linotype" w:cs="Arial"/>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8306AC" w:rsidRPr="00954CFD" w:rsidRDefault="008306AC" w:rsidP="008306AC">
      <w:pPr>
        <w:spacing w:after="0" w:line="360" w:lineRule="auto"/>
        <w:jc w:val="both"/>
        <w:rPr>
          <w:rFonts w:ascii="Palatino Linotype" w:hAnsi="Palatino Linotype" w:cs="Arial"/>
          <w:sz w:val="24"/>
          <w:szCs w:val="24"/>
        </w:rPr>
      </w:pPr>
      <w:r w:rsidRPr="00954CFD">
        <w:rPr>
          <w:rFonts w:ascii="Palatino Linotype" w:hAnsi="Palatino Linotype" w:cs="Arial"/>
          <w:sz w:val="24"/>
          <w:szCs w:val="24"/>
        </w:rPr>
        <w:t xml:space="preserve"> </w:t>
      </w:r>
    </w:p>
    <w:p w:rsidR="008306AC" w:rsidRPr="00954CFD" w:rsidRDefault="008306AC" w:rsidP="008306AC">
      <w:pPr>
        <w:spacing w:after="0" w:line="360" w:lineRule="auto"/>
        <w:jc w:val="both"/>
        <w:rPr>
          <w:rFonts w:ascii="Palatino Linotype" w:hAnsi="Palatino Linotype" w:cs="Arial"/>
          <w:sz w:val="24"/>
          <w:szCs w:val="24"/>
        </w:rPr>
      </w:pPr>
      <w:r w:rsidRPr="00954CFD">
        <w:rPr>
          <w:rFonts w:ascii="Palatino Linotype" w:hAnsi="Palatino Linotype" w:cs="Arial"/>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8306AC" w:rsidRPr="00954CFD" w:rsidRDefault="008306AC" w:rsidP="008306AC">
      <w:pPr>
        <w:spacing w:after="0" w:line="360" w:lineRule="auto"/>
        <w:jc w:val="both"/>
        <w:rPr>
          <w:rFonts w:ascii="Palatino Linotype" w:hAnsi="Palatino Linotype" w:cs="Arial"/>
          <w:sz w:val="24"/>
          <w:szCs w:val="24"/>
        </w:rPr>
      </w:pPr>
      <w:r w:rsidRPr="00954CFD">
        <w:rPr>
          <w:rFonts w:ascii="Palatino Linotype" w:hAnsi="Palatino Linotype" w:cs="Arial"/>
          <w:sz w:val="24"/>
          <w:szCs w:val="24"/>
        </w:rPr>
        <w:t xml:space="preserve"> </w:t>
      </w:r>
    </w:p>
    <w:p w:rsidR="008306AC" w:rsidRPr="00954CFD" w:rsidRDefault="008306AC" w:rsidP="008306AC">
      <w:pPr>
        <w:spacing w:after="0" w:line="360" w:lineRule="auto"/>
        <w:jc w:val="both"/>
        <w:rPr>
          <w:rFonts w:ascii="Palatino Linotype" w:hAnsi="Palatino Linotype" w:cs="Arial"/>
          <w:sz w:val="24"/>
          <w:szCs w:val="24"/>
        </w:rPr>
      </w:pPr>
      <w:r w:rsidRPr="00954CFD">
        <w:rPr>
          <w:rFonts w:ascii="Palatino Linotype" w:hAnsi="Palatino Linotype" w:cs="Arial"/>
          <w:sz w:val="24"/>
          <w:szCs w:val="24"/>
        </w:rPr>
        <w:t>Por ello, excepcionalmente, si un asunto es resuelto con posterioridad a los plazos señalados por la norma debe analizarse la razonabilidad del tiempo necesario para su resolución, atent</w:t>
      </w:r>
      <w:r w:rsidR="002F250A" w:rsidRPr="00954CFD">
        <w:rPr>
          <w:rFonts w:ascii="Palatino Linotype" w:hAnsi="Palatino Linotype" w:cs="Arial"/>
          <w:sz w:val="24"/>
          <w:szCs w:val="24"/>
        </w:rPr>
        <w:t>os a los siguientes criterios:</w:t>
      </w:r>
    </w:p>
    <w:p w:rsidR="002F250A" w:rsidRPr="00954CFD" w:rsidRDefault="002F250A" w:rsidP="008306AC">
      <w:pPr>
        <w:spacing w:after="0" w:line="360" w:lineRule="auto"/>
        <w:jc w:val="both"/>
        <w:rPr>
          <w:rFonts w:ascii="Palatino Linotype" w:hAnsi="Palatino Linotype" w:cs="Arial"/>
          <w:sz w:val="24"/>
          <w:szCs w:val="24"/>
        </w:rPr>
      </w:pPr>
    </w:p>
    <w:p w:rsidR="008306AC" w:rsidRPr="00954CFD" w:rsidRDefault="008306AC" w:rsidP="008306AC">
      <w:pPr>
        <w:spacing w:after="0" w:line="360" w:lineRule="auto"/>
        <w:ind w:left="851" w:hanging="567"/>
        <w:jc w:val="both"/>
        <w:rPr>
          <w:rFonts w:ascii="Palatino Linotype" w:hAnsi="Palatino Linotype" w:cs="Arial"/>
          <w:sz w:val="24"/>
          <w:szCs w:val="24"/>
        </w:rPr>
      </w:pPr>
      <w:r w:rsidRPr="00954CFD">
        <w:rPr>
          <w:rFonts w:ascii="Palatino Linotype" w:hAnsi="Palatino Linotype" w:cs="Arial"/>
          <w:sz w:val="24"/>
          <w:szCs w:val="24"/>
        </w:rPr>
        <w:lastRenderedPageBreak/>
        <w:t xml:space="preserve">a) </w:t>
      </w:r>
      <w:r w:rsidRPr="00954CFD">
        <w:rPr>
          <w:rFonts w:ascii="Palatino Linotype" w:hAnsi="Palatino Linotype" w:cs="Arial"/>
          <w:sz w:val="24"/>
          <w:szCs w:val="24"/>
        </w:rPr>
        <w:tab/>
      </w:r>
      <w:r w:rsidRPr="00954CFD">
        <w:rPr>
          <w:rFonts w:ascii="Palatino Linotype" w:hAnsi="Palatino Linotype" w:cs="Arial"/>
          <w:b/>
          <w:sz w:val="24"/>
          <w:szCs w:val="24"/>
        </w:rPr>
        <w:t>Complejidad del asunto:</w:t>
      </w:r>
      <w:r w:rsidRPr="00954CFD">
        <w:rPr>
          <w:rFonts w:ascii="Palatino Linotype" w:hAnsi="Palatino Linotype" w:cs="Arial"/>
          <w:sz w:val="24"/>
          <w:szCs w:val="24"/>
        </w:rPr>
        <w:t xml:space="preserve"> La complejidad de la prueba, la pluralidad de sujetos procesales, el tiempo transcurrido, las características y contexto del recurso.</w:t>
      </w:r>
    </w:p>
    <w:p w:rsidR="008306AC" w:rsidRPr="00954CFD" w:rsidRDefault="008306AC" w:rsidP="008306AC">
      <w:pPr>
        <w:spacing w:after="0" w:line="360" w:lineRule="auto"/>
        <w:ind w:left="851" w:hanging="567"/>
        <w:jc w:val="both"/>
        <w:rPr>
          <w:rFonts w:ascii="Palatino Linotype" w:hAnsi="Palatino Linotype" w:cs="Arial"/>
          <w:sz w:val="24"/>
          <w:szCs w:val="24"/>
        </w:rPr>
      </w:pPr>
      <w:r w:rsidRPr="00954CFD">
        <w:rPr>
          <w:rFonts w:ascii="Palatino Linotype" w:hAnsi="Palatino Linotype" w:cs="Arial"/>
          <w:sz w:val="24"/>
          <w:szCs w:val="24"/>
        </w:rPr>
        <w:t xml:space="preserve">b) </w:t>
      </w:r>
      <w:r w:rsidRPr="00954CFD">
        <w:rPr>
          <w:rFonts w:ascii="Palatino Linotype" w:hAnsi="Palatino Linotype" w:cs="Arial"/>
          <w:sz w:val="24"/>
          <w:szCs w:val="24"/>
        </w:rPr>
        <w:tab/>
      </w:r>
      <w:r w:rsidRPr="00954CFD">
        <w:rPr>
          <w:rFonts w:ascii="Palatino Linotype" w:hAnsi="Palatino Linotype" w:cs="Arial"/>
          <w:b/>
          <w:sz w:val="24"/>
          <w:szCs w:val="24"/>
        </w:rPr>
        <w:t>Actividad Procesal del interesado:</w:t>
      </w:r>
      <w:r w:rsidRPr="00954CFD">
        <w:rPr>
          <w:rFonts w:ascii="Palatino Linotype" w:hAnsi="Palatino Linotype" w:cs="Arial"/>
          <w:sz w:val="24"/>
          <w:szCs w:val="24"/>
        </w:rPr>
        <w:t xml:space="preserve"> Acciones u omisiones del interesado.</w:t>
      </w:r>
    </w:p>
    <w:p w:rsidR="008306AC" w:rsidRPr="00954CFD" w:rsidRDefault="008306AC" w:rsidP="008306AC">
      <w:pPr>
        <w:spacing w:after="0" w:line="360" w:lineRule="auto"/>
        <w:ind w:left="851" w:hanging="567"/>
        <w:jc w:val="both"/>
        <w:rPr>
          <w:rFonts w:ascii="Palatino Linotype" w:hAnsi="Palatino Linotype" w:cs="Arial"/>
          <w:sz w:val="24"/>
          <w:szCs w:val="24"/>
        </w:rPr>
      </w:pPr>
      <w:r w:rsidRPr="00954CFD">
        <w:rPr>
          <w:rFonts w:ascii="Palatino Linotype" w:hAnsi="Palatino Linotype" w:cs="Arial"/>
          <w:sz w:val="24"/>
          <w:szCs w:val="24"/>
        </w:rPr>
        <w:t xml:space="preserve">c) </w:t>
      </w:r>
      <w:r w:rsidRPr="00954CFD">
        <w:rPr>
          <w:rFonts w:ascii="Palatino Linotype" w:hAnsi="Palatino Linotype" w:cs="Arial"/>
          <w:sz w:val="24"/>
          <w:szCs w:val="24"/>
        </w:rPr>
        <w:tab/>
      </w:r>
      <w:r w:rsidRPr="00954CFD">
        <w:rPr>
          <w:rFonts w:ascii="Palatino Linotype" w:hAnsi="Palatino Linotype" w:cs="Arial"/>
          <w:b/>
          <w:sz w:val="24"/>
          <w:szCs w:val="24"/>
        </w:rPr>
        <w:t>Conducta de la Autoridad:</w:t>
      </w:r>
      <w:r w:rsidRPr="00954CFD">
        <w:rPr>
          <w:rFonts w:ascii="Palatino Linotype" w:hAnsi="Palatino Linotype" w:cs="Arial"/>
          <w:sz w:val="24"/>
          <w:szCs w:val="24"/>
        </w:rPr>
        <w:t xml:space="preserve"> Las Acciones u omisiones realizadas en el procedimiento. Así como si la autoridad actuó con la debida diligencia.</w:t>
      </w:r>
    </w:p>
    <w:p w:rsidR="008306AC" w:rsidRPr="00954CFD" w:rsidRDefault="008306AC" w:rsidP="008306AC">
      <w:pPr>
        <w:spacing w:after="0" w:line="360" w:lineRule="auto"/>
        <w:ind w:left="851" w:hanging="567"/>
        <w:jc w:val="both"/>
        <w:rPr>
          <w:rFonts w:ascii="Palatino Linotype" w:hAnsi="Palatino Linotype" w:cs="Arial"/>
          <w:sz w:val="24"/>
          <w:szCs w:val="24"/>
        </w:rPr>
      </w:pPr>
      <w:r w:rsidRPr="00954CFD">
        <w:rPr>
          <w:rFonts w:ascii="Palatino Linotype" w:hAnsi="Palatino Linotype" w:cs="Arial"/>
          <w:sz w:val="24"/>
          <w:szCs w:val="24"/>
        </w:rPr>
        <w:t xml:space="preserve">d) </w:t>
      </w:r>
      <w:r w:rsidRPr="00954CFD">
        <w:rPr>
          <w:rFonts w:ascii="Palatino Linotype" w:hAnsi="Palatino Linotype" w:cs="Arial"/>
          <w:sz w:val="24"/>
          <w:szCs w:val="24"/>
        </w:rPr>
        <w:tab/>
      </w:r>
      <w:r w:rsidRPr="00954CFD">
        <w:rPr>
          <w:rFonts w:ascii="Palatino Linotype" w:hAnsi="Palatino Linotype" w:cs="Arial"/>
          <w:b/>
          <w:sz w:val="24"/>
          <w:szCs w:val="24"/>
        </w:rPr>
        <w:t>La afectación generada en la situación jurídica de la persona involucrada en el proceso:</w:t>
      </w:r>
      <w:r w:rsidRPr="00954CFD">
        <w:rPr>
          <w:rFonts w:ascii="Palatino Linotype" w:hAnsi="Palatino Linotype" w:cs="Arial"/>
          <w:sz w:val="24"/>
          <w:szCs w:val="24"/>
        </w:rPr>
        <w:t xml:space="preserve"> Violación a sus derechos humanos.</w:t>
      </w:r>
    </w:p>
    <w:p w:rsidR="008306AC" w:rsidRPr="00954CFD" w:rsidRDefault="008306AC" w:rsidP="008306AC">
      <w:pPr>
        <w:spacing w:after="0" w:line="360" w:lineRule="auto"/>
        <w:jc w:val="both"/>
        <w:rPr>
          <w:rFonts w:ascii="Palatino Linotype" w:hAnsi="Palatino Linotype" w:cs="Arial"/>
          <w:sz w:val="24"/>
          <w:szCs w:val="24"/>
        </w:rPr>
      </w:pPr>
    </w:p>
    <w:p w:rsidR="008306AC" w:rsidRPr="00954CFD" w:rsidRDefault="008306AC" w:rsidP="008306AC">
      <w:pPr>
        <w:spacing w:after="0" w:line="360" w:lineRule="auto"/>
        <w:jc w:val="both"/>
        <w:rPr>
          <w:rFonts w:ascii="Palatino Linotype" w:hAnsi="Palatino Linotype" w:cs="Arial"/>
          <w:sz w:val="24"/>
          <w:szCs w:val="24"/>
        </w:rPr>
      </w:pPr>
      <w:r w:rsidRPr="00954CFD">
        <w:rPr>
          <w:rFonts w:ascii="Palatino Linotype" w:hAnsi="Palatino Linotype" w:cs="Arial"/>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8306AC" w:rsidRPr="00954CFD" w:rsidRDefault="008306AC" w:rsidP="008306AC">
      <w:pPr>
        <w:spacing w:after="0" w:line="360" w:lineRule="auto"/>
        <w:jc w:val="both"/>
        <w:rPr>
          <w:rFonts w:ascii="Palatino Linotype" w:hAnsi="Palatino Linotype" w:cs="Arial"/>
          <w:sz w:val="24"/>
          <w:szCs w:val="24"/>
        </w:rPr>
      </w:pPr>
    </w:p>
    <w:p w:rsidR="008306AC" w:rsidRPr="00954CFD" w:rsidRDefault="008306AC" w:rsidP="008306AC">
      <w:pPr>
        <w:spacing w:after="0" w:line="360" w:lineRule="auto"/>
        <w:jc w:val="both"/>
        <w:rPr>
          <w:rFonts w:ascii="Palatino Linotype" w:hAnsi="Palatino Linotype" w:cs="Arial"/>
          <w:sz w:val="24"/>
          <w:szCs w:val="24"/>
        </w:rPr>
      </w:pPr>
      <w:r w:rsidRPr="00954CFD">
        <w:rPr>
          <w:rFonts w:ascii="Palatino Linotype" w:hAnsi="Palatino Linotype" w:cs="Arial"/>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8306AC" w:rsidRPr="00954CFD" w:rsidRDefault="008306AC" w:rsidP="008306AC">
      <w:pPr>
        <w:spacing w:after="0" w:line="360" w:lineRule="auto"/>
        <w:jc w:val="both"/>
        <w:rPr>
          <w:rFonts w:ascii="Palatino Linotype" w:hAnsi="Palatino Linotype" w:cs="Arial"/>
          <w:sz w:val="24"/>
          <w:szCs w:val="24"/>
        </w:rPr>
      </w:pPr>
    </w:p>
    <w:p w:rsidR="008306AC" w:rsidRPr="00954CFD" w:rsidRDefault="008306AC" w:rsidP="008306AC">
      <w:pPr>
        <w:spacing w:after="0" w:line="360" w:lineRule="auto"/>
        <w:jc w:val="both"/>
        <w:rPr>
          <w:rFonts w:ascii="Palatino Linotype" w:hAnsi="Palatino Linotype" w:cs="Arial"/>
          <w:sz w:val="24"/>
          <w:szCs w:val="24"/>
        </w:rPr>
      </w:pPr>
      <w:r w:rsidRPr="00954CFD">
        <w:rPr>
          <w:rFonts w:ascii="Palatino Linotype" w:hAnsi="Palatino Linotype" w:cs="Arial"/>
          <w:sz w:val="24"/>
          <w:szCs w:val="24"/>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8306AC" w:rsidRPr="00954CFD" w:rsidRDefault="008306AC" w:rsidP="008306AC">
      <w:pPr>
        <w:spacing w:after="0" w:line="360" w:lineRule="auto"/>
        <w:jc w:val="both"/>
        <w:rPr>
          <w:rFonts w:ascii="Palatino Linotype" w:hAnsi="Palatino Linotype" w:cs="Arial"/>
          <w:sz w:val="24"/>
          <w:szCs w:val="24"/>
        </w:rPr>
      </w:pPr>
    </w:p>
    <w:p w:rsidR="008306AC" w:rsidRPr="00954CFD" w:rsidRDefault="008306AC" w:rsidP="008306AC">
      <w:pPr>
        <w:spacing w:after="0" w:line="360" w:lineRule="auto"/>
        <w:jc w:val="both"/>
        <w:rPr>
          <w:rFonts w:ascii="Palatino Linotype" w:hAnsi="Palatino Linotype" w:cs="Arial"/>
          <w:sz w:val="24"/>
          <w:szCs w:val="24"/>
        </w:rPr>
      </w:pPr>
      <w:r w:rsidRPr="00954CFD">
        <w:rPr>
          <w:rFonts w:ascii="Palatino Linotype" w:hAnsi="Palatino Linotype" w:cs="Arial"/>
          <w:sz w:val="24"/>
          <w:szCs w:val="24"/>
        </w:rPr>
        <w:t>Al respecto, también son de considerar los criterios sostenidos por el Cuarto Tribunal Colegiado en Materia Administrativa del Primer Circuito, cuyos rubros y datos de identificación son los siguientes:</w:t>
      </w:r>
    </w:p>
    <w:p w:rsidR="008306AC" w:rsidRPr="00954CFD" w:rsidRDefault="008306AC" w:rsidP="008306AC">
      <w:pPr>
        <w:spacing w:after="0" w:line="360" w:lineRule="auto"/>
        <w:jc w:val="both"/>
        <w:rPr>
          <w:rFonts w:ascii="Palatino Linotype" w:hAnsi="Palatino Linotype" w:cs="Arial"/>
          <w:sz w:val="24"/>
          <w:szCs w:val="24"/>
        </w:rPr>
      </w:pPr>
      <w:r w:rsidRPr="00954CFD">
        <w:rPr>
          <w:rFonts w:ascii="Palatino Linotype" w:hAnsi="Palatino Linotype" w:cs="Arial"/>
          <w:sz w:val="24"/>
          <w:szCs w:val="24"/>
        </w:rPr>
        <w:t xml:space="preserve"> </w:t>
      </w:r>
    </w:p>
    <w:p w:rsidR="008306AC" w:rsidRPr="00954CFD" w:rsidRDefault="008306AC" w:rsidP="008306AC">
      <w:pPr>
        <w:spacing w:after="0" w:line="360" w:lineRule="auto"/>
        <w:jc w:val="both"/>
        <w:rPr>
          <w:rFonts w:ascii="Palatino Linotype" w:hAnsi="Palatino Linotype" w:cs="Arial"/>
          <w:sz w:val="24"/>
          <w:szCs w:val="24"/>
        </w:rPr>
      </w:pPr>
      <w:r w:rsidRPr="00954CFD">
        <w:rPr>
          <w:rFonts w:ascii="Palatino Linotype" w:hAnsi="Palatino Linotype" w:cs="Arial"/>
          <w:sz w:val="24"/>
          <w:szCs w:val="24"/>
        </w:rPr>
        <w:t>“PLAZO RAZONABLE PARA RESOLVER. DIMENSIÓN Y EFECTOS DE ESTE CONCEPTO CUANDO SE ADUCE EXCESIVA CARGA DE TRABAJO.” consultable en el Seminario Judicial de la Federación y su gaceta, con el registro digital 2002351.</w:t>
      </w:r>
    </w:p>
    <w:p w:rsidR="008306AC" w:rsidRPr="00954CFD" w:rsidRDefault="008306AC" w:rsidP="008306AC">
      <w:pPr>
        <w:spacing w:after="0" w:line="360" w:lineRule="auto"/>
        <w:jc w:val="both"/>
        <w:rPr>
          <w:rFonts w:ascii="Palatino Linotype" w:hAnsi="Palatino Linotype" w:cs="Arial"/>
          <w:sz w:val="24"/>
          <w:szCs w:val="24"/>
        </w:rPr>
      </w:pPr>
      <w:r w:rsidRPr="00954CFD">
        <w:rPr>
          <w:rFonts w:ascii="Palatino Linotype" w:hAnsi="Palatino Linotype" w:cs="Arial"/>
          <w:sz w:val="24"/>
          <w:szCs w:val="24"/>
        </w:rPr>
        <w:t xml:space="preserve"> </w:t>
      </w:r>
    </w:p>
    <w:p w:rsidR="008306AC" w:rsidRPr="00954CFD" w:rsidRDefault="008306AC" w:rsidP="008306AC">
      <w:pPr>
        <w:spacing w:after="0" w:line="360" w:lineRule="auto"/>
        <w:jc w:val="both"/>
        <w:rPr>
          <w:rFonts w:ascii="Palatino Linotype" w:hAnsi="Palatino Linotype" w:cs="Arial"/>
          <w:sz w:val="24"/>
          <w:szCs w:val="24"/>
        </w:rPr>
      </w:pPr>
      <w:r w:rsidRPr="00954CFD">
        <w:rPr>
          <w:rFonts w:ascii="Palatino Linotype" w:hAnsi="Palatino Linotype" w:cs="Arial"/>
          <w:sz w:val="24"/>
          <w:szCs w:val="24"/>
        </w:rPr>
        <w:t>“PLAZO RAZONABLE PARA RESOLVER. CONCEPTO Y ELEMENTOS QUE LO INTEGRAN A LA LUZ DEL DERECHO INTERNACIONAL DE LOS DERECHOS HUMANOS.”, visible en el Seminario Judicial de la Federación y su gaceta, con el registro digital 2002350.</w:t>
      </w:r>
    </w:p>
    <w:p w:rsidR="008306AC" w:rsidRPr="00954CFD" w:rsidRDefault="008306AC" w:rsidP="008306AC">
      <w:pPr>
        <w:spacing w:after="0" w:line="360" w:lineRule="auto"/>
        <w:jc w:val="both"/>
        <w:rPr>
          <w:rFonts w:ascii="Palatino Linotype" w:hAnsi="Palatino Linotype" w:cs="Arial"/>
          <w:sz w:val="24"/>
          <w:szCs w:val="24"/>
        </w:rPr>
      </w:pPr>
      <w:r w:rsidRPr="00954CFD">
        <w:rPr>
          <w:rFonts w:ascii="Palatino Linotype" w:hAnsi="Palatino Linotype" w:cs="Arial"/>
          <w:sz w:val="24"/>
          <w:szCs w:val="24"/>
        </w:rPr>
        <w:lastRenderedPageBreak/>
        <w:t>Por ello, este organismo garante comprometido con la tutela de los derechos humanos confiados, señala que este exceso del plazo legal para resolver el presente asunto, resulta de carácter excepcional.</w:t>
      </w:r>
    </w:p>
    <w:p w:rsidR="008306AC" w:rsidRPr="00954CFD" w:rsidRDefault="008306AC" w:rsidP="008306AC">
      <w:pPr>
        <w:spacing w:after="0" w:line="360" w:lineRule="auto"/>
        <w:jc w:val="both"/>
        <w:rPr>
          <w:rFonts w:ascii="Palatino Linotype" w:hAnsi="Palatino Linotype" w:cs="Arial"/>
          <w:sz w:val="24"/>
          <w:szCs w:val="24"/>
        </w:rPr>
      </w:pPr>
    </w:p>
    <w:p w:rsidR="008306AC" w:rsidRPr="00954CFD" w:rsidRDefault="008306AC" w:rsidP="008306AC">
      <w:pPr>
        <w:spacing w:after="0" w:line="360" w:lineRule="auto"/>
        <w:jc w:val="center"/>
        <w:rPr>
          <w:rFonts w:ascii="Palatino Linotype" w:hAnsi="Palatino Linotype" w:cs="Arial"/>
          <w:sz w:val="24"/>
          <w:szCs w:val="24"/>
        </w:rPr>
      </w:pPr>
      <w:r w:rsidRPr="00954CFD">
        <w:rPr>
          <w:rFonts w:ascii="Palatino Linotype" w:hAnsi="Palatino Linotype" w:cs="Arial"/>
          <w:b/>
          <w:sz w:val="28"/>
          <w:szCs w:val="24"/>
        </w:rPr>
        <w:t xml:space="preserve">C O N S I D E R A N D O </w:t>
      </w:r>
    </w:p>
    <w:p w:rsidR="008306AC" w:rsidRPr="00954CFD" w:rsidRDefault="008306AC" w:rsidP="008306AC">
      <w:pPr>
        <w:spacing w:after="0" w:line="360" w:lineRule="auto"/>
        <w:jc w:val="center"/>
        <w:rPr>
          <w:rFonts w:ascii="Palatino Linotype" w:hAnsi="Palatino Linotype" w:cs="Arial"/>
          <w:sz w:val="24"/>
          <w:szCs w:val="24"/>
        </w:rPr>
      </w:pPr>
    </w:p>
    <w:p w:rsidR="008306AC" w:rsidRPr="00954CFD" w:rsidRDefault="008306AC" w:rsidP="008306AC">
      <w:pPr>
        <w:spacing w:after="0" w:line="360" w:lineRule="auto"/>
        <w:jc w:val="both"/>
        <w:rPr>
          <w:rFonts w:ascii="Palatino Linotype" w:hAnsi="Palatino Linotype" w:cs="Arial"/>
          <w:sz w:val="28"/>
          <w:szCs w:val="28"/>
        </w:rPr>
      </w:pPr>
      <w:r w:rsidRPr="00954CFD">
        <w:rPr>
          <w:rFonts w:ascii="Palatino Linotype" w:hAnsi="Palatino Linotype" w:cs="Arial"/>
          <w:b/>
          <w:sz w:val="28"/>
          <w:szCs w:val="28"/>
        </w:rPr>
        <w:t xml:space="preserve">PRIMERO. </w:t>
      </w:r>
      <w:r w:rsidRPr="00954CFD">
        <w:rPr>
          <w:rFonts w:ascii="Palatino Linotype" w:hAnsi="Palatino Linotype" w:cs="Arial"/>
          <w:b/>
          <w:sz w:val="26"/>
          <w:szCs w:val="26"/>
        </w:rPr>
        <w:t>De la competencia</w:t>
      </w:r>
      <w:r w:rsidRPr="00954CFD">
        <w:rPr>
          <w:rFonts w:ascii="Palatino Linotype" w:hAnsi="Palatino Linotype" w:cs="Arial"/>
          <w:sz w:val="26"/>
          <w:szCs w:val="26"/>
        </w:rPr>
        <w:t>.</w:t>
      </w:r>
    </w:p>
    <w:p w:rsidR="008306AC" w:rsidRPr="00954CFD" w:rsidRDefault="008306AC" w:rsidP="008306AC">
      <w:pPr>
        <w:spacing w:after="0" w:line="360" w:lineRule="auto"/>
        <w:jc w:val="both"/>
        <w:rPr>
          <w:rFonts w:ascii="Palatino Linotype" w:hAnsi="Palatino Linotype" w:cs="Arial"/>
          <w:sz w:val="24"/>
          <w:szCs w:val="24"/>
        </w:rPr>
      </w:pPr>
      <w:r w:rsidRPr="00954CFD">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954CFD">
        <w:rPr>
          <w:rFonts w:ascii="Palatino Linotype" w:hAnsi="Palatino Linotype" w:cs="Arial"/>
          <w:b/>
          <w:sz w:val="24"/>
          <w:szCs w:val="24"/>
        </w:rPr>
        <w:t>Recurrente</w:t>
      </w:r>
      <w:r w:rsidRPr="00954CFD">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8306AC" w:rsidRPr="00954CFD" w:rsidRDefault="008306AC" w:rsidP="008306AC">
      <w:pPr>
        <w:spacing w:after="0" w:line="360" w:lineRule="auto"/>
        <w:jc w:val="both"/>
        <w:rPr>
          <w:rFonts w:ascii="Palatino Linotype" w:hAnsi="Palatino Linotype" w:cs="Arial"/>
          <w:sz w:val="24"/>
          <w:szCs w:val="24"/>
        </w:rPr>
      </w:pPr>
    </w:p>
    <w:p w:rsidR="008306AC" w:rsidRPr="00954CFD" w:rsidRDefault="008306AC" w:rsidP="008306AC">
      <w:pPr>
        <w:autoSpaceDE w:val="0"/>
        <w:autoSpaceDN w:val="0"/>
        <w:adjustRightInd w:val="0"/>
        <w:spacing w:after="0" w:line="360" w:lineRule="auto"/>
        <w:jc w:val="both"/>
        <w:rPr>
          <w:rFonts w:ascii="Palatino Linotype" w:hAnsi="Palatino Linotype" w:cs="Arial"/>
          <w:bCs/>
          <w:sz w:val="24"/>
          <w:szCs w:val="24"/>
        </w:rPr>
      </w:pPr>
      <w:r w:rsidRPr="00954CFD">
        <w:rPr>
          <w:rFonts w:ascii="Palatino Linotype" w:hAnsi="Palatino Linotype" w:cs="Arial"/>
          <w:b/>
          <w:sz w:val="28"/>
          <w:szCs w:val="28"/>
        </w:rPr>
        <w:t>SEGUNDO. Del alcance de los recursos de revisión.</w:t>
      </w:r>
      <w:r w:rsidRPr="00954CFD">
        <w:rPr>
          <w:rFonts w:ascii="Palatino Linotype" w:hAnsi="Palatino Linotype" w:cs="Arial"/>
          <w:bCs/>
          <w:sz w:val="28"/>
          <w:szCs w:val="28"/>
        </w:rPr>
        <w:t xml:space="preserve"> </w:t>
      </w:r>
    </w:p>
    <w:p w:rsidR="008306AC" w:rsidRPr="00954CFD" w:rsidRDefault="008306AC" w:rsidP="008306A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954CFD">
        <w:rPr>
          <w:rFonts w:ascii="Palatino Linotype" w:eastAsia="Palatino Linotype" w:hAnsi="Palatino Linotype" w:cs="Palatino Linotype"/>
          <w:color w:val="000000"/>
          <w:sz w:val="24"/>
          <w:szCs w:val="24"/>
          <w:lang w:val="es-ES_tradnl" w:eastAsia="es-MX"/>
        </w:rPr>
        <w:t xml:space="preserve">Derivado de la impugnación realizada, es menester señalar que el recurso de revisión inmerso en la Ley de Transparencia vigente en la entidad, tiene el fin y alcance que </w:t>
      </w:r>
      <w:r w:rsidRPr="00954CFD">
        <w:rPr>
          <w:rFonts w:ascii="Palatino Linotype" w:eastAsia="Palatino Linotype" w:hAnsi="Palatino Linotype" w:cs="Palatino Linotype"/>
          <w:color w:val="000000"/>
          <w:sz w:val="24"/>
          <w:szCs w:val="24"/>
          <w:lang w:val="es-ES_tradnl" w:eastAsia="es-MX"/>
        </w:rPr>
        <w:lastRenderedPageBreak/>
        <w:t>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8306AC" w:rsidRPr="00954CFD" w:rsidRDefault="008306AC" w:rsidP="008306A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8306AC" w:rsidRPr="00954CFD" w:rsidRDefault="008306AC" w:rsidP="008306AC">
      <w:pPr>
        <w:autoSpaceDE w:val="0"/>
        <w:autoSpaceDN w:val="0"/>
        <w:adjustRightInd w:val="0"/>
        <w:spacing w:after="0" w:line="360" w:lineRule="auto"/>
        <w:jc w:val="both"/>
        <w:rPr>
          <w:rFonts w:ascii="Palatino Linotype" w:hAnsi="Palatino Linotype" w:cs="Arial"/>
          <w:sz w:val="24"/>
          <w:szCs w:val="24"/>
        </w:rPr>
      </w:pPr>
      <w:r w:rsidRPr="00954CFD">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8306AC" w:rsidRPr="00954CFD" w:rsidRDefault="008306AC" w:rsidP="008306AC">
      <w:pPr>
        <w:autoSpaceDE w:val="0"/>
        <w:autoSpaceDN w:val="0"/>
        <w:adjustRightInd w:val="0"/>
        <w:spacing w:after="0" w:line="360" w:lineRule="auto"/>
        <w:jc w:val="both"/>
        <w:rPr>
          <w:rFonts w:ascii="Palatino Linotype" w:hAnsi="Palatino Linotype" w:cs="Arial"/>
          <w:sz w:val="24"/>
          <w:szCs w:val="24"/>
        </w:rPr>
      </w:pPr>
    </w:p>
    <w:p w:rsidR="008306AC" w:rsidRPr="00954CFD" w:rsidRDefault="008306AC" w:rsidP="002F250A">
      <w:pPr>
        <w:autoSpaceDE w:val="0"/>
        <w:autoSpaceDN w:val="0"/>
        <w:adjustRightInd w:val="0"/>
        <w:spacing w:after="0" w:line="276" w:lineRule="auto"/>
        <w:ind w:left="567" w:right="567"/>
        <w:jc w:val="both"/>
        <w:rPr>
          <w:rFonts w:ascii="Palatino Linotype" w:hAnsi="Palatino Linotype" w:cs="Arial"/>
          <w:i/>
          <w:szCs w:val="24"/>
        </w:rPr>
      </w:pPr>
      <w:r w:rsidRPr="00954CFD">
        <w:rPr>
          <w:rFonts w:ascii="Palatino Linotype" w:hAnsi="Palatino Linotype" w:cs="Arial"/>
          <w:i/>
          <w:szCs w:val="24"/>
        </w:rPr>
        <w:t>“</w:t>
      </w:r>
      <w:r w:rsidRPr="00954CFD">
        <w:rPr>
          <w:rFonts w:ascii="Palatino Linotype" w:hAnsi="Palatino Linotype" w:cs="Arial"/>
          <w:b/>
          <w:i/>
          <w:szCs w:val="24"/>
        </w:rPr>
        <w:t>Artículo 180</w:t>
      </w:r>
      <w:r w:rsidRPr="00954CFD">
        <w:rPr>
          <w:rFonts w:ascii="Palatino Linotype" w:hAnsi="Palatino Linotype" w:cs="Arial"/>
          <w:i/>
          <w:szCs w:val="24"/>
        </w:rPr>
        <w:t xml:space="preserve">. El recurso de revisión contendrá: </w:t>
      </w:r>
    </w:p>
    <w:p w:rsidR="008306AC" w:rsidRPr="00954CFD" w:rsidRDefault="008306AC" w:rsidP="002F250A">
      <w:pPr>
        <w:autoSpaceDE w:val="0"/>
        <w:autoSpaceDN w:val="0"/>
        <w:adjustRightInd w:val="0"/>
        <w:spacing w:after="0" w:line="276" w:lineRule="auto"/>
        <w:ind w:left="567" w:right="567"/>
        <w:jc w:val="both"/>
        <w:rPr>
          <w:rFonts w:ascii="Palatino Linotype" w:hAnsi="Palatino Linotype" w:cs="Arial"/>
          <w:i/>
          <w:szCs w:val="24"/>
        </w:rPr>
      </w:pPr>
      <w:r w:rsidRPr="00954CFD">
        <w:rPr>
          <w:rFonts w:ascii="Palatino Linotype" w:hAnsi="Palatino Linotype" w:cs="Arial"/>
          <w:b/>
          <w:i/>
          <w:szCs w:val="24"/>
        </w:rPr>
        <w:t>I</w:t>
      </w:r>
      <w:r w:rsidRPr="00954CFD">
        <w:rPr>
          <w:rFonts w:ascii="Palatino Linotype" w:hAnsi="Palatino Linotype" w:cs="Arial"/>
          <w:i/>
          <w:szCs w:val="24"/>
        </w:rPr>
        <w:t xml:space="preserve">. El Sujeto Obligado ante la cual se presentó la solicitud; </w:t>
      </w:r>
    </w:p>
    <w:p w:rsidR="008306AC" w:rsidRPr="00954CFD" w:rsidRDefault="008306AC" w:rsidP="002F250A">
      <w:pPr>
        <w:autoSpaceDE w:val="0"/>
        <w:autoSpaceDN w:val="0"/>
        <w:adjustRightInd w:val="0"/>
        <w:spacing w:after="0" w:line="276" w:lineRule="auto"/>
        <w:ind w:left="567" w:right="567"/>
        <w:jc w:val="both"/>
        <w:rPr>
          <w:rFonts w:ascii="Palatino Linotype" w:hAnsi="Palatino Linotype" w:cs="Arial"/>
          <w:i/>
          <w:szCs w:val="24"/>
        </w:rPr>
      </w:pPr>
      <w:r w:rsidRPr="00954CFD">
        <w:rPr>
          <w:rFonts w:ascii="Palatino Linotype" w:hAnsi="Palatino Linotype" w:cs="Arial"/>
          <w:b/>
          <w:i/>
          <w:szCs w:val="24"/>
        </w:rPr>
        <w:t>II</w:t>
      </w:r>
      <w:r w:rsidRPr="00954CFD">
        <w:rPr>
          <w:rFonts w:ascii="Palatino Linotype" w:hAnsi="Palatino Linotype" w:cs="Arial"/>
          <w:i/>
          <w:szCs w:val="24"/>
        </w:rPr>
        <w:t xml:space="preserve">. </w:t>
      </w:r>
      <w:r w:rsidRPr="00954CFD">
        <w:rPr>
          <w:rFonts w:ascii="Palatino Linotype" w:hAnsi="Palatino Linotype" w:cs="Arial"/>
          <w:i/>
          <w:szCs w:val="24"/>
          <w:u w:val="single"/>
        </w:rPr>
        <w:t>El nombre del solicitante</w:t>
      </w:r>
      <w:r w:rsidRPr="00954CFD">
        <w:rPr>
          <w:rFonts w:ascii="Palatino Linotype" w:hAnsi="Palatino Linotype" w:cs="Arial"/>
          <w:i/>
          <w:szCs w:val="24"/>
        </w:rPr>
        <w:t xml:space="preserve"> que recurre o de su representante y, en su caso, del tercero interesado, así como la dirección o medio que señale para recibir notificaciones; </w:t>
      </w:r>
    </w:p>
    <w:p w:rsidR="008306AC" w:rsidRPr="00954CFD" w:rsidRDefault="008306AC" w:rsidP="002F250A">
      <w:pPr>
        <w:autoSpaceDE w:val="0"/>
        <w:autoSpaceDN w:val="0"/>
        <w:adjustRightInd w:val="0"/>
        <w:spacing w:after="0" w:line="276" w:lineRule="auto"/>
        <w:ind w:left="567" w:right="567"/>
        <w:jc w:val="both"/>
        <w:rPr>
          <w:rFonts w:ascii="Palatino Linotype" w:hAnsi="Palatino Linotype" w:cs="Arial"/>
          <w:i/>
          <w:szCs w:val="24"/>
        </w:rPr>
      </w:pPr>
      <w:r w:rsidRPr="00954CFD">
        <w:rPr>
          <w:rFonts w:ascii="Palatino Linotype" w:hAnsi="Palatino Linotype" w:cs="Arial"/>
          <w:b/>
          <w:i/>
          <w:szCs w:val="24"/>
        </w:rPr>
        <w:t>III</w:t>
      </w:r>
      <w:r w:rsidRPr="00954CFD">
        <w:rPr>
          <w:rFonts w:ascii="Palatino Linotype" w:hAnsi="Palatino Linotype" w:cs="Arial"/>
          <w:i/>
          <w:szCs w:val="24"/>
        </w:rPr>
        <w:t xml:space="preserve">. El número de folio de respuesta de la solicitud de acceso; </w:t>
      </w:r>
    </w:p>
    <w:p w:rsidR="008306AC" w:rsidRPr="00954CFD" w:rsidRDefault="008306AC" w:rsidP="002F250A">
      <w:pPr>
        <w:autoSpaceDE w:val="0"/>
        <w:autoSpaceDN w:val="0"/>
        <w:adjustRightInd w:val="0"/>
        <w:spacing w:after="0" w:line="276" w:lineRule="auto"/>
        <w:ind w:left="567" w:right="567"/>
        <w:jc w:val="both"/>
        <w:rPr>
          <w:rFonts w:ascii="Palatino Linotype" w:hAnsi="Palatino Linotype" w:cs="Arial"/>
          <w:i/>
          <w:szCs w:val="24"/>
        </w:rPr>
      </w:pPr>
      <w:r w:rsidRPr="00954CFD">
        <w:rPr>
          <w:rFonts w:ascii="Palatino Linotype" w:hAnsi="Palatino Linotype" w:cs="Arial"/>
          <w:b/>
          <w:i/>
          <w:szCs w:val="24"/>
        </w:rPr>
        <w:t>IV</w:t>
      </w:r>
      <w:r w:rsidRPr="00954CFD">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8306AC" w:rsidRPr="00954CFD" w:rsidRDefault="008306AC" w:rsidP="002F250A">
      <w:pPr>
        <w:autoSpaceDE w:val="0"/>
        <w:autoSpaceDN w:val="0"/>
        <w:adjustRightInd w:val="0"/>
        <w:spacing w:after="0" w:line="276" w:lineRule="auto"/>
        <w:ind w:left="567" w:right="567"/>
        <w:jc w:val="both"/>
        <w:rPr>
          <w:rFonts w:ascii="Palatino Linotype" w:hAnsi="Palatino Linotype" w:cs="Arial"/>
          <w:i/>
          <w:szCs w:val="24"/>
        </w:rPr>
      </w:pPr>
      <w:r w:rsidRPr="00954CFD">
        <w:rPr>
          <w:rFonts w:ascii="Palatino Linotype" w:hAnsi="Palatino Linotype" w:cs="Arial"/>
          <w:b/>
          <w:i/>
          <w:szCs w:val="24"/>
        </w:rPr>
        <w:t>V</w:t>
      </w:r>
      <w:r w:rsidRPr="00954CFD">
        <w:rPr>
          <w:rFonts w:ascii="Palatino Linotype" w:hAnsi="Palatino Linotype" w:cs="Arial"/>
          <w:i/>
          <w:szCs w:val="24"/>
        </w:rPr>
        <w:t xml:space="preserve">. El acto que se recurre; </w:t>
      </w:r>
    </w:p>
    <w:p w:rsidR="008306AC" w:rsidRPr="00954CFD" w:rsidRDefault="008306AC" w:rsidP="002F250A">
      <w:pPr>
        <w:autoSpaceDE w:val="0"/>
        <w:autoSpaceDN w:val="0"/>
        <w:adjustRightInd w:val="0"/>
        <w:spacing w:after="0" w:line="276" w:lineRule="auto"/>
        <w:ind w:left="567" w:right="567"/>
        <w:jc w:val="both"/>
        <w:rPr>
          <w:rFonts w:ascii="Palatino Linotype" w:hAnsi="Palatino Linotype" w:cs="Arial"/>
          <w:i/>
          <w:szCs w:val="24"/>
        </w:rPr>
      </w:pPr>
      <w:r w:rsidRPr="00954CFD">
        <w:rPr>
          <w:rFonts w:ascii="Palatino Linotype" w:hAnsi="Palatino Linotype" w:cs="Arial"/>
          <w:b/>
          <w:i/>
          <w:szCs w:val="24"/>
        </w:rPr>
        <w:t>VI</w:t>
      </w:r>
      <w:r w:rsidRPr="00954CFD">
        <w:rPr>
          <w:rFonts w:ascii="Palatino Linotype" w:hAnsi="Palatino Linotype" w:cs="Arial"/>
          <w:i/>
          <w:szCs w:val="24"/>
        </w:rPr>
        <w:t xml:space="preserve">. Las razones o motivos de inconformidad; </w:t>
      </w:r>
    </w:p>
    <w:p w:rsidR="008306AC" w:rsidRPr="00954CFD" w:rsidRDefault="008306AC" w:rsidP="002F250A">
      <w:pPr>
        <w:autoSpaceDE w:val="0"/>
        <w:autoSpaceDN w:val="0"/>
        <w:adjustRightInd w:val="0"/>
        <w:spacing w:after="0" w:line="276" w:lineRule="auto"/>
        <w:ind w:left="567" w:right="567"/>
        <w:jc w:val="both"/>
        <w:rPr>
          <w:rFonts w:ascii="Palatino Linotype" w:hAnsi="Palatino Linotype" w:cs="Arial"/>
          <w:i/>
          <w:szCs w:val="24"/>
        </w:rPr>
      </w:pPr>
      <w:r w:rsidRPr="00954CFD">
        <w:rPr>
          <w:rFonts w:ascii="Palatino Linotype" w:hAnsi="Palatino Linotype" w:cs="Arial"/>
          <w:b/>
          <w:i/>
          <w:szCs w:val="24"/>
        </w:rPr>
        <w:t>VII</w:t>
      </w:r>
      <w:r w:rsidRPr="00954CFD">
        <w:rPr>
          <w:rFonts w:ascii="Palatino Linotype" w:hAnsi="Palatino Linotype" w:cs="Arial"/>
          <w:i/>
          <w:szCs w:val="24"/>
        </w:rPr>
        <w:t xml:space="preserve">. La copia de la respuesta que se impugna y, en su caso, de la notificación correspondiente, en el caso de respuesta de la solicitud; y </w:t>
      </w:r>
    </w:p>
    <w:p w:rsidR="008306AC" w:rsidRPr="00954CFD" w:rsidRDefault="008306AC" w:rsidP="002F250A">
      <w:pPr>
        <w:autoSpaceDE w:val="0"/>
        <w:autoSpaceDN w:val="0"/>
        <w:adjustRightInd w:val="0"/>
        <w:spacing w:after="0" w:line="276" w:lineRule="auto"/>
        <w:ind w:left="567" w:right="567"/>
        <w:jc w:val="both"/>
        <w:rPr>
          <w:rFonts w:ascii="Palatino Linotype" w:hAnsi="Palatino Linotype" w:cs="Arial"/>
          <w:i/>
          <w:szCs w:val="24"/>
        </w:rPr>
      </w:pPr>
      <w:r w:rsidRPr="00954CFD">
        <w:rPr>
          <w:rFonts w:ascii="Palatino Linotype" w:hAnsi="Palatino Linotype" w:cs="Arial"/>
          <w:b/>
          <w:i/>
          <w:szCs w:val="24"/>
        </w:rPr>
        <w:t>VIII</w:t>
      </w:r>
      <w:r w:rsidRPr="00954CFD">
        <w:rPr>
          <w:rFonts w:ascii="Palatino Linotype" w:hAnsi="Palatino Linotype" w:cs="Arial"/>
          <w:i/>
          <w:szCs w:val="24"/>
        </w:rPr>
        <w:t xml:space="preserve">. Firma del Recurrente, en su caso, cuando se presente por escrito, requisito sin el cual se dará trámite al recurso. </w:t>
      </w:r>
    </w:p>
    <w:p w:rsidR="008306AC" w:rsidRPr="00954CFD" w:rsidRDefault="008306AC" w:rsidP="002F250A">
      <w:pPr>
        <w:autoSpaceDE w:val="0"/>
        <w:autoSpaceDN w:val="0"/>
        <w:adjustRightInd w:val="0"/>
        <w:spacing w:after="0" w:line="276" w:lineRule="auto"/>
        <w:ind w:left="567" w:right="567"/>
        <w:jc w:val="both"/>
        <w:rPr>
          <w:rFonts w:ascii="Palatino Linotype" w:hAnsi="Palatino Linotype" w:cs="Arial"/>
          <w:i/>
          <w:szCs w:val="24"/>
        </w:rPr>
      </w:pPr>
      <w:r w:rsidRPr="00954CFD">
        <w:rPr>
          <w:rFonts w:ascii="Palatino Linotype" w:hAnsi="Palatino Linotype" w:cs="Arial"/>
          <w:i/>
          <w:szCs w:val="24"/>
        </w:rPr>
        <w:t xml:space="preserve">Adicionalmente, se podrán anexar las pruebas y demás elementos que considere procedentes someter a juicio del Instituto. </w:t>
      </w:r>
    </w:p>
    <w:p w:rsidR="008306AC" w:rsidRPr="00954CFD" w:rsidRDefault="008306AC" w:rsidP="002F250A">
      <w:pPr>
        <w:autoSpaceDE w:val="0"/>
        <w:autoSpaceDN w:val="0"/>
        <w:adjustRightInd w:val="0"/>
        <w:spacing w:after="0" w:line="276" w:lineRule="auto"/>
        <w:ind w:left="567" w:right="567"/>
        <w:jc w:val="both"/>
        <w:rPr>
          <w:rFonts w:ascii="Palatino Linotype" w:hAnsi="Palatino Linotype" w:cs="Arial"/>
          <w:i/>
          <w:szCs w:val="24"/>
        </w:rPr>
      </w:pPr>
      <w:r w:rsidRPr="00954CFD">
        <w:rPr>
          <w:rFonts w:ascii="Palatino Linotype" w:hAnsi="Palatino Linotype" w:cs="Arial"/>
          <w:i/>
          <w:szCs w:val="24"/>
        </w:rPr>
        <w:lastRenderedPageBreak/>
        <w:t xml:space="preserve">En ningún caso será necesario que el particular ratifique el recurso de revisión interpuesto. </w:t>
      </w:r>
    </w:p>
    <w:p w:rsidR="008306AC" w:rsidRPr="00954CFD" w:rsidRDefault="008306AC" w:rsidP="002F250A">
      <w:pPr>
        <w:autoSpaceDE w:val="0"/>
        <w:autoSpaceDN w:val="0"/>
        <w:adjustRightInd w:val="0"/>
        <w:spacing w:after="0" w:line="276" w:lineRule="auto"/>
        <w:ind w:left="567" w:right="567"/>
        <w:jc w:val="both"/>
        <w:rPr>
          <w:rFonts w:ascii="Palatino Linotype" w:hAnsi="Palatino Linotype" w:cs="Arial"/>
          <w:szCs w:val="24"/>
        </w:rPr>
      </w:pPr>
      <w:r w:rsidRPr="00954CFD">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2F250A" w:rsidRPr="00954CFD" w:rsidRDefault="002F250A" w:rsidP="002F250A">
      <w:pPr>
        <w:autoSpaceDE w:val="0"/>
        <w:autoSpaceDN w:val="0"/>
        <w:adjustRightInd w:val="0"/>
        <w:spacing w:after="0" w:line="276" w:lineRule="auto"/>
        <w:ind w:left="567" w:right="567"/>
        <w:jc w:val="right"/>
        <w:rPr>
          <w:rFonts w:ascii="Palatino Linotype" w:hAnsi="Palatino Linotype" w:cs="Arial"/>
          <w:szCs w:val="24"/>
        </w:rPr>
      </w:pPr>
    </w:p>
    <w:p w:rsidR="008306AC" w:rsidRPr="00954CFD" w:rsidRDefault="008306AC" w:rsidP="002F250A">
      <w:pPr>
        <w:autoSpaceDE w:val="0"/>
        <w:autoSpaceDN w:val="0"/>
        <w:adjustRightInd w:val="0"/>
        <w:spacing w:after="0" w:line="276" w:lineRule="auto"/>
        <w:ind w:left="567" w:right="567"/>
        <w:jc w:val="right"/>
        <w:rPr>
          <w:rFonts w:ascii="Palatino Linotype" w:hAnsi="Palatino Linotype" w:cs="Arial"/>
          <w:szCs w:val="24"/>
        </w:rPr>
      </w:pPr>
      <w:r w:rsidRPr="00954CFD">
        <w:rPr>
          <w:rFonts w:ascii="Palatino Linotype" w:hAnsi="Palatino Linotype" w:cs="Arial"/>
          <w:szCs w:val="24"/>
        </w:rPr>
        <w:t>(Énfasis añadido)</w:t>
      </w:r>
    </w:p>
    <w:p w:rsidR="008306AC" w:rsidRPr="00954CFD" w:rsidRDefault="008306AC" w:rsidP="008306AC">
      <w:pPr>
        <w:autoSpaceDE w:val="0"/>
        <w:autoSpaceDN w:val="0"/>
        <w:adjustRightInd w:val="0"/>
        <w:spacing w:after="0" w:line="360" w:lineRule="auto"/>
        <w:jc w:val="both"/>
        <w:rPr>
          <w:rFonts w:ascii="Palatino Linotype" w:hAnsi="Palatino Linotype" w:cs="Arial"/>
          <w:sz w:val="24"/>
          <w:szCs w:val="24"/>
        </w:rPr>
      </w:pPr>
    </w:p>
    <w:p w:rsidR="008306AC" w:rsidRPr="00954CFD" w:rsidRDefault="008306AC" w:rsidP="008306AC">
      <w:pPr>
        <w:autoSpaceDE w:val="0"/>
        <w:autoSpaceDN w:val="0"/>
        <w:adjustRightInd w:val="0"/>
        <w:spacing w:after="0" w:line="360" w:lineRule="auto"/>
        <w:jc w:val="both"/>
        <w:rPr>
          <w:rFonts w:ascii="Palatino Linotype" w:hAnsi="Palatino Linotype" w:cs="Arial"/>
          <w:sz w:val="24"/>
          <w:szCs w:val="24"/>
        </w:rPr>
      </w:pPr>
      <w:r w:rsidRPr="00954CFD">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954CFD">
        <w:rPr>
          <w:rFonts w:ascii="Palatino Linotype" w:hAnsi="Palatino Linotype" w:cs="Arial"/>
          <w:b/>
          <w:sz w:val="24"/>
          <w:szCs w:val="24"/>
        </w:rPr>
        <w:t>Recurrente</w:t>
      </w:r>
      <w:r w:rsidRPr="00954CFD">
        <w:rPr>
          <w:rFonts w:ascii="Palatino Linotype" w:hAnsi="Palatino Linotype" w:cs="Arial"/>
          <w:sz w:val="24"/>
          <w:szCs w:val="24"/>
        </w:rPr>
        <w:t>, en ejercicio de su derecho de acceso a la información pública, no proporcionó un nombre para que sea identificado, ya que en el apartado de “DATOS DEL SOLICITANTE”, señalo como nombre o seudónimo con el cual desee ser identificado el de “</w:t>
      </w:r>
      <w:r w:rsidR="00DA38F9">
        <w:rPr>
          <w:rFonts w:ascii="Palatino Linotype" w:hAnsi="Palatino Linotype"/>
          <w:b/>
          <w:sz w:val="24"/>
          <w:szCs w:val="24"/>
        </w:rPr>
        <w:t>XXXXXXXXXXXXXXXXXXXXX</w:t>
      </w:r>
      <w:r w:rsidRPr="00954CFD">
        <w:rPr>
          <w:rFonts w:ascii="Palatino Linotype" w:hAnsi="Palatino Linotype"/>
          <w:b/>
          <w:sz w:val="24"/>
          <w:szCs w:val="24"/>
        </w:rPr>
        <w:t>”,</w:t>
      </w:r>
      <w:r w:rsidRPr="00954CFD">
        <w:rPr>
          <w:rFonts w:ascii="Palatino Linotype" w:hAnsi="Palatino Linotype" w:cs="Arial"/>
          <w:sz w:val="24"/>
          <w:szCs w:val="24"/>
        </w:rPr>
        <w:t xml:space="preserve"> por lo que no se tiene certeza sobre su identidad, lo que en estricto sentido, no se colmarían los requisitos establecidos en el citado artículo 180 de la Ley de Transparencia.</w:t>
      </w:r>
    </w:p>
    <w:p w:rsidR="008306AC" w:rsidRPr="00954CFD" w:rsidRDefault="008306AC" w:rsidP="008306AC">
      <w:pPr>
        <w:autoSpaceDE w:val="0"/>
        <w:autoSpaceDN w:val="0"/>
        <w:adjustRightInd w:val="0"/>
        <w:spacing w:after="0" w:line="360" w:lineRule="auto"/>
        <w:jc w:val="both"/>
        <w:rPr>
          <w:rFonts w:ascii="Palatino Linotype" w:hAnsi="Palatino Linotype" w:cs="Arial"/>
          <w:sz w:val="24"/>
          <w:szCs w:val="24"/>
        </w:rPr>
      </w:pPr>
    </w:p>
    <w:p w:rsidR="008306AC" w:rsidRPr="00954CFD" w:rsidRDefault="008306AC" w:rsidP="008306AC">
      <w:pPr>
        <w:autoSpaceDE w:val="0"/>
        <w:autoSpaceDN w:val="0"/>
        <w:adjustRightInd w:val="0"/>
        <w:spacing w:after="0" w:line="360" w:lineRule="auto"/>
        <w:jc w:val="both"/>
        <w:rPr>
          <w:rFonts w:ascii="Palatino Linotype" w:hAnsi="Palatino Linotype" w:cs="Arial"/>
          <w:sz w:val="24"/>
          <w:szCs w:val="24"/>
        </w:rPr>
      </w:pPr>
      <w:r w:rsidRPr="00954CFD">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954CFD">
        <w:rPr>
          <w:rFonts w:ascii="Palatino Linotype" w:hAnsi="Palatino Linotype" w:cs="Arial"/>
          <w:i/>
          <w:sz w:val="24"/>
          <w:szCs w:val="24"/>
        </w:rPr>
        <w:t>sine qua non</w:t>
      </w:r>
      <w:r w:rsidRPr="00954CFD">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8306AC" w:rsidRPr="00954CFD" w:rsidRDefault="008306AC" w:rsidP="008306AC">
      <w:pPr>
        <w:autoSpaceDE w:val="0"/>
        <w:autoSpaceDN w:val="0"/>
        <w:adjustRightInd w:val="0"/>
        <w:spacing w:after="0" w:line="360" w:lineRule="auto"/>
        <w:jc w:val="both"/>
        <w:rPr>
          <w:rFonts w:ascii="Palatino Linotype" w:hAnsi="Palatino Linotype" w:cs="Arial"/>
          <w:sz w:val="24"/>
          <w:szCs w:val="24"/>
        </w:rPr>
      </w:pPr>
      <w:r w:rsidRPr="00954CFD">
        <w:rPr>
          <w:rFonts w:ascii="Palatino Linotype" w:hAnsi="Palatino Linotype" w:cs="Arial"/>
          <w:sz w:val="24"/>
          <w:szCs w:val="24"/>
        </w:rPr>
        <w:lastRenderedPageBreak/>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8306AC" w:rsidRPr="00954CFD" w:rsidRDefault="008306AC" w:rsidP="008306AC">
      <w:pPr>
        <w:autoSpaceDE w:val="0"/>
        <w:autoSpaceDN w:val="0"/>
        <w:adjustRightInd w:val="0"/>
        <w:spacing w:after="0" w:line="360" w:lineRule="auto"/>
        <w:jc w:val="both"/>
        <w:rPr>
          <w:rFonts w:ascii="Palatino Linotype" w:hAnsi="Palatino Linotype" w:cs="Arial"/>
          <w:sz w:val="24"/>
          <w:szCs w:val="24"/>
        </w:rPr>
      </w:pPr>
    </w:p>
    <w:p w:rsidR="008306AC" w:rsidRPr="00954CFD" w:rsidRDefault="008306AC" w:rsidP="008306AC">
      <w:pPr>
        <w:autoSpaceDE w:val="0"/>
        <w:autoSpaceDN w:val="0"/>
        <w:adjustRightInd w:val="0"/>
        <w:spacing w:after="0" w:line="240" w:lineRule="auto"/>
        <w:jc w:val="center"/>
        <w:rPr>
          <w:rFonts w:ascii="Palatino Linotype" w:hAnsi="Palatino Linotype" w:cs="Arial"/>
          <w:b/>
          <w:i/>
        </w:rPr>
      </w:pPr>
      <w:r w:rsidRPr="00954CFD">
        <w:rPr>
          <w:rFonts w:ascii="Palatino Linotype" w:hAnsi="Palatino Linotype" w:cs="Arial"/>
          <w:b/>
          <w:i/>
        </w:rPr>
        <w:t>Constitución Política de los Estados Unidos Mexicanos</w:t>
      </w:r>
    </w:p>
    <w:p w:rsidR="008306AC" w:rsidRPr="00954CFD" w:rsidRDefault="008306AC" w:rsidP="008306AC">
      <w:pPr>
        <w:autoSpaceDE w:val="0"/>
        <w:autoSpaceDN w:val="0"/>
        <w:adjustRightInd w:val="0"/>
        <w:spacing w:after="0" w:line="240" w:lineRule="auto"/>
        <w:jc w:val="both"/>
        <w:rPr>
          <w:rFonts w:ascii="Palatino Linotype" w:hAnsi="Palatino Linotype" w:cs="Arial"/>
        </w:rPr>
      </w:pPr>
    </w:p>
    <w:p w:rsidR="008306AC" w:rsidRPr="00954CFD" w:rsidRDefault="008306AC" w:rsidP="008306AC">
      <w:pPr>
        <w:autoSpaceDE w:val="0"/>
        <w:autoSpaceDN w:val="0"/>
        <w:adjustRightInd w:val="0"/>
        <w:spacing w:after="0" w:line="240" w:lineRule="auto"/>
        <w:ind w:left="567" w:right="567"/>
        <w:jc w:val="both"/>
        <w:rPr>
          <w:rFonts w:ascii="Palatino Linotype" w:hAnsi="Palatino Linotype" w:cs="Arial"/>
          <w:i/>
        </w:rPr>
      </w:pPr>
      <w:r w:rsidRPr="00954CFD">
        <w:rPr>
          <w:rFonts w:ascii="Palatino Linotype" w:hAnsi="Palatino Linotype" w:cs="Arial"/>
          <w:i/>
        </w:rPr>
        <w:t>“</w:t>
      </w:r>
      <w:r w:rsidRPr="00954CFD">
        <w:rPr>
          <w:rFonts w:ascii="Palatino Linotype" w:hAnsi="Palatino Linotype" w:cs="Arial"/>
          <w:b/>
          <w:i/>
        </w:rPr>
        <w:t>Artículo 6o</w:t>
      </w:r>
      <w:r w:rsidRPr="00954C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8306AC" w:rsidRPr="00954CFD" w:rsidRDefault="008306AC" w:rsidP="008306AC">
      <w:pPr>
        <w:autoSpaceDE w:val="0"/>
        <w:autoSpaceDN w:val="0"/>
        <w:adjustRightInd w:val="0"/>
        <w:spacing w:after="0" w:line="240" w:lineRule="auto"/>
        <w:ind w:left="567" w:right="567"/>
        <w:jc w:val="both"/>
        <w:rPr>
          <w:rFonts w:ascii="Palatino Linotype" w:hAnsi="Palatino Linotype" w:cs="Arial"/>
          <w:i/>
          <w:szCs w:val="24"/>
        </w:rPr>
      </w:pPr>
      <w:r w:rsidRPr="00954CFD">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8306AC" w:rsidRPr="00954CFD" w:rsidRDefault="008306AC" w:rsidP="008306AC">
      <w:pPr>
        <w:autoSpaceDE w:val="0"/>
        <w:autoSpaceDN w:val="0"/>
        <w:adjustRightInd w:val="0"/>
        <w:spacing w:after="0" w:line="240" w:lineRule="auto"/>
        <w:ind w:left="567" w:right="567"/>
        <w:jc w:val="both"/>
        <w:rPr>
          <w:rFonts w:ascii="Palatino Linotype" w:hAnsi="Palatino Linotype" w:cs="Arial"/>
          <w:i/>
          <w:szCs w:val="24"/>
        </w:rPr>
      </w:pPr>
      <w:r w:rsidRPr="00954CFD">
        <w:rPr>
          <w:rFonts w:ascii="Palatino Linotype" w:hAnsi="Palatino Linotype" w:cs="Arial"/>
          <w:i/>
          <w:szCs w:val="24"/>
        </w:rPr>
        <w:t>Para efectos de lo dispuesto en el presente artículo se observará lo siguiente:</w:t>
      </w:r>
    </w:p>
    <w:p w:rsidR="008306AC" w:rsidRPr="00954CFD" w:rsidRDefault="008306AC" w:rsidP="008306AC">
      <w:pPr>
        <w:autoSpaceDE w:val="0"/>
        <w:autoSpaceDN w:val="0"/>
        <w:adjustRightInd w:val="0"/>
        <w:spacing w:after="0" w:line="240" w:lineRule="auto"/>
        <w:ind w:left="567" w:right="567"/>
        <w:jc w:val="both"/>
        <w:rPr>
          <w:rFonts w:ascii="Palatino Linotype" w:hAnsi="Palatino Linotype" w:cs="Arial"/>
          <w:i/>
          <w:szCs w:val="24"/>
        </w:rPr>
      </w:pPr>
      <w:r w:rsidRPr="00954CFD">
        <w:rPr>
          <w:rFonts w:ascii="Palatino Linotype" w:hAnsi="Palatino Linotype" w:cs="Arial"/>
          <w:b/>
          <w:i/>
          <w:szCs w:val="24"/>
        </w:rPr>
        <w:t>A</w:t>
      </w:r>
      <w:r w:rsidRPr="00954CFD">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8306AC" w:rsidRPr="00954CFD" w:rsidRDefault="008306AC" w:rsidP="008306AC">
      <w:pPr>
        <w:autoSpaceDE w:val="0"/>
        <w:autoSpaceDN w:val="0"/>
        <w:adjustRightInd w:val="0"/>
        <w:spacing w:after="0" w:line="240" w:lineRule="auto"/>
        <w:ind w:left="567" w:right="567"/>
        <w:jc w:val="both"/>
        <w:rPr>
          <w:rFonts w:ascii="Palatino Linotype" w:hAnsi="Palatino Linotype" w:cs="Arial"/>
          <w:i/>
          <w:szCs w:val="24"/>
        </w:rPr>
      </w:pPr>
      <w:r w:rsidRPr="00954CFD">
        <w:rPr>
          <w:rFonts w:ascii="Palatino Linotype" w:hAnsi="Palatino Linotype" w:cs="Arial"/>
          <w:b/>
          <w:i/>
          <w:szCs w:val="24"/>
        </w:rPr>
        <w:t>I</w:t>
      </w:r>
      <w:r w:rsidRPr="00954CFD">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306AC" w:rsidRPr="00954CFD" w:rsidRDefault="008306AC" w:rsidP="008306AC">
      <w:pPr>
        <w:autoSpaceDE w:val="0"/>
        <w:autoSpaceDN w:val="0"/>
        <w:adjustRightInd w:val="0"/>
        <w:spacing w:after="0" w:line="240" w:lineRule="auto"/>
        <w:ind w:left="567" w:right="567"/>
        <w:jc w:val="both"/>
        <w:rPr>
          <w:rFonts w:ascii="Palatino Linotype" w:hAnsi="Palatino Linotype" w:cs="Arial"/>
          <w:i/>
          <w:szCs w:val="24"/>
        </w:rPr>
      </w:pPr>
      <w:r w:rsidRPr="00954CFD">
        <w:rPr>
          <w:rFonts w:ascii="Palatino Linotype" w:hAnsi="Palatino Linotype" w:cs="Arial"/>
          <w:i/>
          <w:szCs w:val="24"/>
        </w:rPr>
        <w:lastRenderedPageBreak/>
        <w:t>…</w:t>
      </w:r>
    </w:p>
    <w:p w:rsidR="008306AC" w:rsidRPr="00954CFD" w:rsidRDefault="008306AC" w:rsidP="008306AC">
      <w:pPr>
        <w:autoSpaceDE w:val="0"/>
        <w:autoSpaceDN w:val="0"/>
        <w:adjustRightInd w:val="0"/>
        <w:spacing w:after="0" w:line="240" w:lineRule="auto"/>
        <w:ind w:left="567" w:right="567"/>
        <w:jc w:val="both"/>
        <w:rPr>
          <w:rFonts w:ascii="Palatino Linotype" w:hAnsi="Palatino Linotype" w:cs="Arial"/>
          <w:i/>
          <w:szCs w:val="24"/>
        </w:rPr>
      </w:pPr>
      <w:r w:rsidRPr="00954CFD">
        <w:rPr>
          <w:rFonts w:ascii="Palatino Linotype" w:hAnsi="Palatino Linotype" w:cs="Arial"/>
          <w:b/>
          <w:i/>
          <w:szCs w:val="24"/>
        </w:rPr>
        <w:t>III.</w:t>
      </w:r>
      <w:r w:rsidRPr="00954CFD">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8306AC" w:rsidRPr="00954CFD" w:rsidRDefault="008306AC" w:rsidP="008306AC">
      <w:pPr>
        <w:autoSpaceDE w:val="0"/>
        <w:autoSpaceDN w:val="0"/>
        <w:adjustRightInd w:val="0"/>
        <w:spacing w:after="0" w:line="240" w:lineRule="auto"/>
        <w:ind w:left="567" w:right="567"/>
        <w:jc w:val="both"/>
        <w:rPr>
          <w:rFonts w:ascii="Palatino Linotype" w:hAnsi="Palatino Linotype" w:cs="Arial"/>
          <w:i/>
          <w:szCs w:val="24"/>
        </w:rPr>
      </w:pPr>
      <w:r w:rsidRPr="00954CFD">
        <w:rPr>
          <w:rFonts w:ascii="Palatino Linotype" w:hAnsi="Palatino Linotype" w:cs="Arial"/>
          <w:i/>
          <w:szCs w:val="24"/>
        </w:rPr>
        <w:t>…</w:t>
      </w:r>
    </w:p>
    <w:p w:rsidR="008306AC" w:rsidRPr="00954CFD" w:rsidRDefault="008306AC" w:rsidP="008306AC">
      <w:pPr>
        <w:autoSpaceDE w:val="0"/>
        <w:autoSpaceDN w:val="0"/>
        <w:adjustRightInd w:val="0"/>
        <w:spacing w:after="0" w:line="240" w:lineRule="auto"/>
        <w:ind w:left="567" w:right="567"/>
        <w:jc w:val="both"/>
        <w:rPr>
          <w:rFonts w:ascii="Palatino Linotype" w:hAnsi="Palatino Linotype" w:cs="Arial"/>
          <w:i/>
          <w:szCs w:val="24"/>
        </w:rPr>
      </w:pPr>
      <w:r w:rsidRPr="00954CFD">
        <w:rPr>
          <w:rFonts w:ascii="Palatino Linotype" w:hAnsi="Palatino Linotype" w:cs="Arial"/>
          <w:b/>
          <w:i/>
          <w:szCs w:val="24"/>
        </w:rPr>
        <w:t>V</w:t>
      </w:r>
      <w:r w:rsidRPr="00954CFD">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8306AC" w:rsidRPr="00954CFD" w:rsidRDefault="008306AC" w:rsidP="008306AC">
      <w:pPr>
        <w:autoSpaceDE w:val="0"/>
        <w:autoSpaceDN w:val="0"/>
        <w:adjustRightInd w:val="0"/>
        <w:spacing w:after="0" w:line="240" w:lineRule="auto"/>
        <w:ind w:left="567" w:right="567"/>
        <w:jc w:val="both"/>
        <w:rPr>
          <w:rFonts w:ascii="Palatino Linotype" w:hAnsi="Palatino Linotype" w:cs="Arial"/>
          <w:i/>
          <w:szCs w:val="24"/>
        </w:rPr>
      </w:pPr>
      <w:r w:rsidRPr="00954CFD">
        <w:rPr>
          <w:rFonts w:ascii="Palatino Linotype" w:hAnsi="Palatino Linotype" w:cs="Arial"/>
          <w:b/>
          <w:i/>
          <w:szCs w:val="24"/>
        </w:rPr>
        <w:t>VI.</w:t>
      </w:r>
      <w:r w:rsidRPr="00954CFD">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8306AC" w:rsidRPr="00954CFD" w:rsidRDefault="008306AC" w:rsidP="008306AC">
      <w:pPr>
        <w:autoSpaceDE w:val="0"/>
        <w:autoSpaceDN w:val="0"/>
        <w:adjustRightInd w:val="0"/>
        <w:spacing w:after="0" w:line="240" w:lineRule="auto"/>
        <w:ind w:left="567" w:right="567"/>
        <w:jc w:val="both"/>
        <w:rPr>
          <w:rFonts w:ascii="Palatino Linotype" w:hAnsi="Palatino Linotype" w:cs="Arial"/>
          <w:i/>
          <w:szCs w:val="24"/>
        </w:rPr>
      </w:pPr>
      <w:r w:rsidRPr="00954CFD">
        <w:rPr>
          <w:rFonts w:ascii="Palatino Linotype" w:hAnsi="Palatino Linotype" w:cs="Arial"/>
          <w:i/>
          <w:szCs w:val="24"/>
        </w:rPr>
        <w:t>…</w:t>
      </w:r>
    </w:p>
    <w:p w:rsidR="008306AC" w:rsidRPr="00954CFD" w:rsidRDefault="008306AC" w:rsidP="008306AC">
      <w:pPr>
        <w:autoSpaceDE w:val="0"/>
        <w:autoSpaceDN w:val="0"/>
        <w:adjustRightInd w:val="0"/>
        <w:spacing w:after="0" w:line="240" w:lineRule="auto"/>
        <w:ind w:left="567" w:right="567"/>
        <w:jc w:val="both"/>
        <w:rPr>
          <w:rFonts w:ascii="Palatino Linotype" w:hAnsi="Palatino Linotype" w:cs="Arial"/>
          <w:i/>
          <w:szCs w:val="24"/>
        </w:rPr>
      </w:pPr>
      <w:r w:rsidRPr="00954CFD">
        <w:rPr>
          <w:rFonts w:ascii="Palatino Linotype" w:hAnsi="Palatino Linotype" w:cs="Arial"/>
          <w:i/>
          <w:szCs w:val="24"/>
        </w:rPr>
        <w:t>La ley establecerá aquella información que se considere reservada o confidencial.</w:t>
      </w:r>
    </w:p>
    <w:p w:rsidR="008306AC" w:rsidRPr="00954CFD" w:rsidRDefault="008306AC" w:rsidP="008306AC">
      <w:pPr>
        <w:autoSpaceDE w:val="0"/>
        <w:autoSpaceDN w:val="0"/>
        <w:adjustRightInd w:val="0"/>
        <w:spacing w:after="0" w:line="240" w:lineRule="auto"/>
        <w:ind w:left="567" w:right="567"/>
        <w:jc w:val="both"/>
        <w:rPr>
          <w:rFonts w:ascii="Palatino Linotype" w:hAnsi="Palatino Linotype" w:cs="Arial"/>
          <w:i/>
          <w:szCs w:val="24"/>
        </w:rPr>
      </w:pPr>
    </w:p>
    <w:p w:rsidR="008306AC" w:rsidRPr="00954CFD" w:rsidRDefault="008306AC" w:rsidP="008306AC">
      <w:pPr>
        <w:autoSpaceDE w:val="0"/>
        <w:autoSpaceDN w:val="0"/>
        <w:adjustRightInd w:val="0"/>
        <w:spacing w:after="0" w:line="240" w:lineRule="auto"/>
        <w:ind w:left="567" w:right="567"/>
        <w:jc w:val="both"/>
        <w:rPr>
          <w:rFonts w:ascii="Palatino Linotype" w:hAnsi="Palatino Linotype" w:cs="Arial"/>
          <w:i/>
          <w:szCs w:val="24"/>
        </w:rPr>
      </w:pPr>
    </w:p>
    <w:p w:rsidR="008306AC" w:rsidRPr="00954CFD" w:rsidRDefault="008306AC" w:rsidP="008306AC">
      <w:pPr>
        <w:autoSpaceDE w:val="0"/>
        <w:autoSpaceDN w:val="0"/>
        <w:adjustRightInd w:val="0"/>
        <w:spacing w:after="0" w:line="240" w:lineRule="auto"/>
        <w:ind w:left="567" w:right="567"/>
        <w:jc w:val="center"/>
        <w:rPr>
          <w:rFonts w:ascii="Palatino Linotype" w:hAnsi="Palatino Linotype" w:cs="Arial"/>
          <w:b/>
          <w:i/>
          <w:szCs w:val="24"/>
        </w:rPr>
      </w:pPr>
      <w:r w:rsidRPr="00954CFD">
        <w:rPr>
          <w:rFonts w:ascii="Palatino Linotype" w:hAnsi="Palatino Linotype" w:cs="Arial"/>
          <w:b/>
          <w:i/>
          <w:szCs w:val="24"/>
        </w:rPr>
        <w:t>Constitución Política del Estado Libre y Soberano de México</w:t>
      </w:r>
    </w:p>
    <w:p w:rsidR="008306AC" w:rsidRPr="00954CFD" w:rsidRDefault="008306AC" w:rsidP="008306AC">
      <w:pPr>
        <w:autoSpaceDE w:val="0"/>
        <w:autoSpaceDN w:val="0"/>
        <w:adjustRightInd w:val="0"/>
        <w:spacing w:after="0" w:line="240" w:lineRule="auto"/>
        <w:ind w:left="567" w:right="567"/>
        <w:jc w:val="both"/>
        <w:rPr>
          <w:rFonts w:ascii="Palatino Linotype" w:hAnsi="Palatino Linotype" w:cs="Arial"/>
          <w:i/>
          <w:szCs w:val="24"/>
        </w:rPr>
      </w:pPr>
    </w:p>
    <w:p w:rsidR="008306AC" w:rsidRPr="00954CFD" w:rsidRDefault="008306AC" w:rsidP="008306AC">
      <w:pPr>
        <w:autoSpaceDE w:val="0"/>
        <w:autoSpaceDN w:val="0"/>
        <w:adjustRightInd w:val="0"/>
        <w:spacing w:after="0" w:line="240" w:lineRule="auto"/>
        <w:ind w:left="567" w:right="567"/>
        <w:jc w:val="both"/>
        <w:rPr>
          <w:rFonts w:ascii="Palatino Linotype" w:hAnsi="Palatino Linotype" w:cs="Arial"/>
          <w:i/>
          <w:szCs w:val="24"/>
        </w:rPr>
      </w:pPr>
      <w:r w:rsidRPr="00954CFD">
        <w:rPr>
          <w:rFonts w:ascii="Palatino Linotype" w:hAnsi="Palatino Linotype" w:cs="Arial"/>
          <w:i/>
          <w:szCs w:val="24"/>
        </w:rPr>
        <w:t>“</w:t>
      </w:r>
      <w:r w:rsidRPr="00954CFD">
        <w:rPr>
          <w:rFonts w:ascii="Palatino Linotype" w:hAnsi="Palatino Linotype" w:cs="Arial"/>
          <w:b/>
          <w:i/>
          <w:szCs w:val="24"/>
        </w:rPr>
        <w:t>Artículo 5</w:t>
      </w:r>
      <w:r w:rsidRPr="00954CFD">
        <w:rPr>
          <w:rFonts w:ascii="Palatino Linotype" w:hAnsi="Palatino Linotype" w:cs="Arial"/>
          <w:i/>
          <w:szCs w:val="24"/>
        </w:rPr>
        <w:t xml:space="preserve">. … </w:t>
      </w:r>
    </w:p>
    <w:p w:rsidR="008306AC" w:rsidRPr="00954CFD" w:rsidRDefault="008306AC" w:rsidP="008306AC">
      <w:pPr>
        <w:autoSpaceDE w:val="0"/>
        <w:autoSpaceDN w:val="0"/>
        <w:adjustRightInd w:val="0"/>
        <w:spacing w:after="0" w:line="240" w:lineRule="auto"/>
        <w:ind w:left="567" w:right="567"/>
        <w:jc w:val="both"/>
        <w:rPr>
          <w:rFonts w:ascii="Palatino Linotype" w:hAnsi="Palatino Linotype" w:cs="Arial"/>
          <w:i/>
          <w:szCs w:val="24"/>
        </w:rPr>
      </w:pPr>
      <w:r w:rsidRPr="00954CFD">
        <w:rPr>
          <w:rFonts w:ascii="Palatino Linotype" w:hAnsi="Palatino Linotype" w:cs="Arial"/>
          <w:i/>
          <w:szCs w:val="24"/>
        </w:rPr>
        <w:t>…</w:t>
      </w:r>
    </w:p>
    <w:p w:rsidR="008306AC" w:rsidRPr="00954CFD" w:rsidRDefault="008306AC" w:rsidP="008306AC">
      <w:pPr>
        <w:autoSpaceDE w:val="0"/>
        <w:autoSpaceDN w:val="0"/>
        <w:adjustRightInd w:val="0"/>
        <w:spacing w:after="0" w:line="240" w:lineRule="auto"/>
        <w:ind w:left="567" w:right="567"/>
        <w:jc w:val="both"/>
        <w:rPr>
          <w:rFonts w:ascii="Palatino Linotype" w:hAnsi="Palatino Linotype" w:cs="Arial"/>
          <w:i/>
          <w:szCs w:val="24"/>
        </w:rPr>
      </w:pPr>
      <w:r w:rsidRPr="00954CFD">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8306AC" w:rsidRPr="00954CFD" w:rsidRDefault="008306AC" w:rsidP="008306AC">
      <w:pPr>
        <w:autoSpaceDE w:val="0"/>
        <w:autoSpaceDN w:val="0"/>
        <w:adjustRightInd w:val="0"/>
        <w:spacing w:after="0" w:line="240" w:lineRule="auto"/>
        <w:ind w:left="567" w:right="567"/>
        <w:jc w:val="both"/>
        <w:rPr>
          <w:rFonts w:ascii="Palatino Linotype" w:hAnsi="Palatino Linotype" w:cs="Arial"/>
          <w:i/>
          <w:szCs w:val="24"/>
        </w:rPr>
      </w:pPr>
      <w:r w:rsidRPr="00954CFD">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8306AC" w:rsidRPr="00954CFD" w:rsidRDefault="008306AC" w:rsidP="008306AC">
      <w:pPr>
        <w:autoSpaceDE w:val="0"/>
        <w:autoSpaceDN w:val="0"/>
        <w:adjustRightInd w:val="0"/>
        <w:spacing w:after="0" w:line="240" w:lineRule="auto"/>
        <w:ind w:left="567" w:right="567"/>
        <w:jc w:val="both"/>
        <w:rPr>
          <w:rFonts w:ascii="Palatino Linotype" w:hAnsi="Palatino Linotype" w:cs="Arial"/>
          <w:i/>
          <w:szCs w:val="24"/>
        </w:rPr>
      </w:pPr>
      <w:r w:rsidRPr="00954CFD">
        <w:rPr>
          <w:rFonts w:ascii="Palatino Linotype" w:hAnsi="Palatino Linotype" w:cs="Arial"/>
          <w:i/>
          <w:szCs w:val="24"/>
        </w:rPr>
        <w:t>Este derecho se regirá por los principios y bases siguientes:</w:t>
      </w:r>
    </w:p>
    <w:p w:rsidR="008306AC" w:rsidRPr="00954CFD" w:rsidRDefault="008306AC" w:rsidP="008306AC">
      <w:pPr>
        <w:autoSpaceDE w:val="0"/>
        <w:autoSpaceDN w:val="0"/>
        <w:adjustRightInd w:val="0"/>
        <w:spacing w:after="0" w:line="240" w:lineRule="auto"/>
        <w:ind w:left="567" w:right="567"/>
        <w:jc w:val="both"/>
        <w:rPr>
          <w:rFonts w:ascii="Palatino Linotype" w:hAnsi="Palatino Linotype" w:cs="Arial"/>
          <w:i/>
          <w:szCs w:val="24"/>
        </w:rPr>
      </w:pPr>
      <w:r w:rsidRPr="00954CFD">
        <w:rPr>
          <w:rFonts w:ascii="Palatino Linotype" w:hAnsi="Palatino Linotype" w:cs="Arial"/>
          <w:b/>
          <w:i/>
          <w:szCs w:val="24"/>
        </w:rPr>
        <w:t>I</w:t>
      </w:r>
      <w:r w:rsidRPr="00954CFD">
        <w:rPr>
          <w:rFonts w:ascii="Palatino Linotype" w:hAnsi="Palatino Linotype" w:cs="Arial"/>
          <w:i/>
          <w:szCs w:val="24"/>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954CFD">
        <w:rPr>
          <w:rFonts w:ascii="Palatino Linotype" w:hAnsi="Palatino Linotype" w:cs="Arial"/>
          <w:i/>
          <w:szCs w:val="24"/>
        </w:rPr>
        <w:lastRenderedPageBreak/>
        <w:t>competencias o funciones, la ley determinará los supuestos específicos bajo los cuales procederá la declaración de inexistencia de la información.</w:t>
      </w:r>
    </w:p>
    <w:p w:rsidR="008306AC" w:rsidRPr="00954CFD" w:rsidRDefault="008306AC" w:rsidP="008306AC">
      <w:pPr>
        <w:autoSpaceDE w:val="0"/>
        <w:autoSpaceDN w:val="0"/>
        <w:adjustRightInd w:val="0"/>
        <w:spacing w:after="0" w:line="240" w:lineRule="auto"/>
        <w:ind w:left="567" w:right="567"/>
        <w:jc w:val="both"/>
        <w:rPr>
          <w:rFonts w:ascii="Palatino Linotype" w:hAnsi="Palatino Linotype" w:cs="Arial"/>
          <w:i/>
          <w:szCs w:val="24"/>
        </w:rPr>
      </w:pPr>
      <w:r w:rsidRPr="00954CFD">
        <w:rPr>
          <w:rFonts w:ascii="Palatino Linotype" w:hAnsi="Palatino Linotype" w:cs="Arial"/>
          <w:i/>
          <w:szCs w:val="24"/>
        </w:rPr>
        <w:t>…</w:t>
      </w:r>
    </w:p>
    <w:p w:rsidR="008306AC" w:rsidRPr="00954CFD" w:rsidRDefault="008306AC" w:rsidP="008306AC">
      <w:pPr>
        <w:autoSpaceDE w:val="0"/>
        <w:autoSpaceDN w:val="0"/>
        <w:adjustRightInd w:val="0"/>
        <w:spacing w:after="0" w:line="240" w:lineRule="auto"/>
        <w:ind w:left="567" w:right="567"/>
        <w:jc w:val="both"/>
        <w:rPr>
          <w:rFonts w:ascii="Palatino Linotype" w:hAnsi="Palatino Linotype" w:cs="Arial"/>
          <w:i/>
          <w:szCs w:val="24"/>
        </w:rPr>
      </w:pPr>
      <w:r w:rsidRPr="00954CFD">
        <w:rPr>
          <w:rFonts w:ascii="Palatino Linotype" w:hAnsi="Palatino Linotype" w:cs="Arial"/>
          <w:b/>
          <w:i/>
          <w:szCs w:val="24"/>
        </w:rPr>
        <w:t>III</w:t>
      </w:r>
      <w:r w:rsidRPr="00954CFD">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8306AC" w:rsidRPr="00954CFD" w:rsidRDefault="008306AC" w:rsidP="008306AC">
      <w:pPr>
        <w:autoSpaceDE w:val="0"/>
        <w:autoSpaceDN w:val="0"/>
        <w:adjustRightInd w:val="0"/>
        <w:spacing w:after="0" w:line="240" w:lineRule="auto"/>
        <w:ind w:left="567" w:right="567"/>
        <w:jc w:val="right"/>
        <w:rPr>
          <w:rFonts w:ascii="Palatino Linotype" w:hAnsi="Palatino Linotype" w:cs="Arial"/>
          <w:szCs w:val="24"/>
        </w:rPr>
      </w:pPr>
      <w:r w:rsidRPr="00954CFD">
        <w:rPr>
          <w:rFonts w:ascii="Palatino Linotype" w:hAnsi="Palatino Linotype" w:cs="Arial"/>
          <w:szCs w:val="24"/>
        </w:rPr>
        <w:t>(Énfasis añadido)</w:t>
      </w:r>
    </w:p>
    <w:p w:rsidR="008306AC" w:rsidRPr="00954CFD" w:rsidRDefault="008306AC" w:rsidP="008306AC">
      <w:pPr>
        <w:autoSpaceDE w:val="0"/>
        <w:autoSpaceDN w:val="0"/>
        <w:adjustRightInd w:val="0"/>
        <w:spacing w:after="0" w:line="360" w:lineRule="auto"/>
        <w:jc w:val="both"/>
        <w:rPr>
          <w:rFonts w:ascii="Palatino Linotype" w:hAnsi="Palatino Linotype" w:cs="Arial"/>
          <w:sz w:val="24"/>
          <w:szCs w:val="24"/>
        </w:rPr>
      </w:pPr>
    </w:p>
    <w:p w:rsidR="008306AC" w:rsidRPr="00954CFD" w:rsidRDefault="008306AC" w:rsidP="008306AC">
      <w:pPr>
        <w:autoSpaceDE w:val="0"/>
        <w:autoSpaceDN w:val="0"/>
        <w:adjustRightInd w:val="0"/>
        <w:spacing w:after="0" w:line="360" w:lineRule="auto"/>
        <w:jc w:val="both"/>
        <w:rPr>
          <w:rFonts w:ascii="Palatino Linotype" w:hAnsi="Palatino Linotype" w:cs="Arial"/>
          <w:sz w:val="24"/>
          <w:szCs w:val="24"/>
        </w:rPr>
      </w:pPr>
      <w:r w:rsidRPr="00954CFD">
        <w:rPr>
          <w:rFonts w:ascii="Palatino Linotype" w:hAnsi="Palatino Linotype" w:cs="Arial"/>
          <w:sz w:val="24"/>
          <w:szCs w:val="24"/>
        </w:rPr>
        <w:t>Por otra parte, del contenido del artículo 1 de la Constitución Política de los Estados Unidos Mexicanos, se destaca lo siguiente:</w:t>
      </w:r>
    </w:p>
    <w:p w:rsidR="008306AC" w:rsidRPr="00954CFD" w:rsidRDefault="008306AC" w:rsidP="008306AC">
      <w:pPr>
        <w:autoSpaceDE w:val="0"/>
        <w:autoSpaceDN w:val="0"/>
        <w:adjustRightInd w:val="0"/>
        <w:spacing w:after="0" w:line="360" w:lineRule="auto"/>
        <w:jc w:val="both"/>
        <w:rPr>
          <w:rFonts w:ascii="Palatino Linotype" w:hAnsi="Palatino Linotype" w:cs="Arial"/>
          <w:sz w:val="24"/>
          <w:szCs w:val="24"/>
        </w:rPr>
      </w:pPr>
    </w:p>
    <w:p w:rsidR="008306AC" w:rsidRPr="00954CFD" w:rsidRDefault="008306AC" w:rsidP="008306AC">
      <w:pPr>
        <w:autoSpaceDE w:val="0"/>
        <w:autoSpaceDN w:val="0"/>
        <w:adjustRightInd w:val="0"/>
        <w:spacing w:after="0" w:line="240" w:lineRule="auto"/>
        <w:ind w:left="567" w:right="567"/>
        <w:jc w:val="both"/>
        <w:rPr>
          <w:rFonts w:ascii="Palatino Linotype" w:hAnsi="Palatino Linotype" w:cs="Arial"/>
          <w:i/>
          <w:szCs w:val="24"/>
        </w:rPr>
      </w:pPr>
      <w:r w:rsidRPr="00954CFD">
        <w:rPr>
          <w:rFonts w:ascii="Palatino Linotype" w:hAnsi="Palatino Linotype" w:cs="Arial"/>
          <w:i/>
          <w:szCs w:val="24"/>
        </w:rPr>
        <w:t>“</w:t>
      </w:r>
      <w:r w:rsidRPr="00954CFD">
        <w:rPr>
          <w:rFonts w:ascii="Palatino Linotype" w:hAnsi="Palatino Linotype" w:cs="Arial"/>
          <w:b/>
          <w:i/>
          <w:szCs w:val="24"/>
        </w:rPr>
        <w:t>Artículo 1o.</w:t>
      </w:r>
      <w:r w:rsidRPr="00954CFD">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306AC" w:rsidRPr="00954CFD" w:rsidRDefault="008306AC" w:rsidP="008306AC">
      <w:pPr>
        <w:autoSpaceDE w:val="0"/>
        <w:autoSpaceDN w:val="0"/>
        <w:adjustRightInd w:val="0"/>
        <w:spacing w:after="0" w:line="240" w:lineRule="auto"/>
        <w:ind w:left="567" w:right="567"/>
        <w:jc w:val="both"/>
        <w:rPr>
          <w:rFonts w:ascii="Palatino Linotype" w:hAnsi="Palatino Linotype" w:cs="Arial"/>
          <w:i/>
          <w:szCs w:val="24"/>
        </w:rPr>
      </w:pPr>
      <w:r w:rsidRPr="00954CFD">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8306AC" w:rsidRPr="00954CFD" w:rsidRDefault="008306AC" w:rsidP="008306AC">
      <w:pPr>
        <w:autoSpaceDE w:val="0"/>
        <w:autoSpaceDN w:val="0"/>
        <w:adjustRightInd w:val="0"/>
        <w:spacing w:after="0" w:line="240" w:lineRule="auto"/>
        <w:ind w:left="567" w:right="567"/>
        <w:jc w:val="both"/>
        <w:rPr>
          <w:rFonts w:ascii="Palatino Linotype" w:hAnsi="Palatino Linotype" w:cs="Arial"/>
          <w:i/>
          <w:szCs w:val="24"/>
        </w:rPr>
      </w:pPr>
      <w:r w:rsidRPr="00954CFD">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8306AC" w:rsidRPr="00954CFD" w:rsidRDefault="008306AC" w:rsidP="008306AC">
      <w:pPr>
        <w:autoSpaceDE w:val="0"/>
        <w:autoSpaceDN w:val="0"/>
        <w:adjustRightInd w:val="0"/>
        <w:spacing w:after="0" w:line="360" w:lineRule="auto"/>
        <w:jc w:val="both"/>
        <w:rPr>
          <w:rFonts w:ascii="Palatino Linotype" w:hAnsi="Palatino Linotype" w:cs="Arial"/>
          <w:sz w:val="24"/>
          <w:szCs w:val="24"/>
        </w:rPr>
      </w:pPr>
    </w:p>
    <w:p w:rsidR="008306AC" w:rsidRPr="00954CFD" w:rsidRDefault="008306AC" w:rsidP="008306AC">
      <w:pPr>
        <w:autoSpaceDE w:val="0"/>
        <w:autoSpaceDN w:val="0"/>
        <w:adjustRightInd w:val="0"/>
        <w:spacing w:after="0" w:line="360" w:lineRule="auto"/>
        <w:jc w:val="both"/>
        <w:rPr>
          <w:rFonts w:ascii="Palatino Linotype" w:hAnsi="Palatino Linotype" w:cs="Arial"/>
          <w:sz w:val="24"/>
          <w:szCs w:val="24"/>
        </w:rPr>
      </w:pPr>
      <w:r w:rsidRPr="00954CFD">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w:t>
      </w:r>
      <w:r w:rsidRPr="00954CFD">
        <w:rPr>
          <w:rFonts w:ascii="Palatino Linotype" w:hAnsi="Palatino Linotype" w:cs="Arial"/>
          <w:sz w:val="24"/>
          <w:szCs w:val="24"/>
        </w:rPr>
        <w:lastRenderedPageBreak/>
        <w:t>o no contener un nombre que identifique al solicitante o que permita tener certeza sobre su identidad.</w:t>
      </w:r>
    </w:p>
    <w:p w:rsidR="008306AC" w:rsidRPr="00954CFD" w:rsidRDefault="008306AC" w:rsidP="008306AC">
      <w:pPr>
        <w:autoSpaceDE w:val="0"/>
        <w:autoSpaceDN w:val="0"/>
        <w:adjustRightInd w:val="0"/>
        <w:spacing w:after="0" w:line="360" w:lineRule="auto"/>
        <w:jc w:val="both"/>
        <w:rPr>
          <w:rFonts w:ascii="Palatino Linotype" w:hAnsi="Palatino Linotype" w:cs="Arial"/>
          <w:sz w:val="24"/>
          <w:szCs w:val="24"/>
        </w:rPr>
      </w:pPr>
    </w:p>
    <w:p w:rsidR="008306AC" w:rsidRPr="00954CFD" w:rsidRDefault="008306AC" w:rsidP="008306AC">
      <w:pPr>
        <w:autoSpaceDE w:val="0"/>
        <w:autoSpaceDN w:val="0"/>
        <w:adjustRightInd w:val="0"/>
        <w:spacing w:after="0" w:line="360" w:lineRule="auto"/>
        <w:jc w:val="both"/>
        <w:rPr>
          <w:rFonts w:ascii="Palatino Linotype" w:hAnsi="Palatino Linotype" w:cs="Arial"/>
          <w:sz w:val="24"/>
          <w:szCs w:val="24"/>
        </w:rPr>
      </w:pPr>
      <w:r w:rsidRPr="00954CFD">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8306AC" w:rsidRPr="00954CFD" w:rsidRDefault="008306AC" w:rsidP="008306AC">
      <w:pPr>
        <w:autoSpaceDE w:val="0"/>
        <w:autoSpaceDN w:val="0"/>
        <w:adjustRightInd w:val="0"/>
        <w:spacing w:after="0" w:line="360" w:lineRule="auto"/>
        <w:jc w:val="both"/>
        <w:rPr>
          <w:rFonts w:ascii="Palatino Linotype" w:hAnsi="Palatino Linotype" w:cs="Arial"/>
          <w:sz w:val="24"/>
          <w:szCs w:val="24"/>
        </w:rPr>
      </w:pPr>
    </w:p>
    <w:p w:rsidR="008306AC" w:rsidRPr="00954CFD" w:rsidRDefault="008306AC" w:rsidP="008306AC">
      <w:pPr>
        <w:autoSpaceDE w:val="0"/>
        <w:autoSpaceDN w:val="0"/>
        <w:adjustRightInd w:val="0"/>
        <w:spacing w:after="0" w:line="240" w:lineRule="auto"/>
        <w:ind w:left="567" w:right="567"/>
        <w:jc w:val="both"/>
        <w:rPr>
          <w:rFonts w:ascii="Palatino Linotype" w:hAnsi="Palatino Linotype" w:cs="Arial"/>
          <w:i/>
          <w:szCs w:val="24"/>
        </w:rPr>
      </w:pPr>
      <w:r w:rsidRPr="00954CFD">
        <w:rPr>
          <w:rFonts w:ascii="Palatino Linotype" w:hAnsi="Palatino Linotype" w:cs="Arial"/>
          <w:i/>
          <w:szCs w:val="24"/>
        </w:rPr>
        <w:t>“</w:t>
      </w:r>
      <w:r w:rsidRPr="00954CFD">
        <w:rPr>
          <w:rFonts w:ascii="Palatino Linotype" w:hAnsi="Palatino Linotype" w:cs="Arial"/>
          <w:b/>
          <w:i/>
          <w:szCs w:val="24"/>
        </w:rPr>
        <w:t>Acceso a información gubernamental. No debe condicionarse a que el solicitante acredite su personalidad, demuestre interés alguno o justifique su utilización.</w:t>
      </w:r>
      <w:r w:rsidRPr="00954CFD">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8306AC" w:rsidRPr="00954CFD" w:rsidRDefault="008306AC" w:rsidP="008306AC">
      <w:pPr>
        <w:autoSpaceDE w:val="0"/>
        <w:autoSpaceDN w:val="0"/>
        <w:adjustRightInd w:val="0"/>
        <w:spacing w:after="0" w:line="240" w:lineRule="auto"/>
        <w:ind w:left="567" w:right="567"/>
        <w:jc w:val="both"/>
        <w:rPr>
          <w:rFonts w:ascii="Palatino Linotype" w:hAnsi="Palatino Linotype" w:cs="Arial"/>
          <w:i/>
          <w:sz w:val="20"/>
          <w:szCs w:val="24"/>
        </w:rPr>
      </w:pPr>
      <w:r w:rsidRPr="00954CFD">
        <w:rPr>
          <w:rFonts w:ascii="Palatino Linotype" w:hAnsi="Palatino Linotype" w:cs="Arial"/>
          <w:i/>
          <w:sz w:val="20"/>
          <w:szCs w:val="24"/>
        </w:rPr>
        <w:t>Resoluciones</w:t>
      </w:r>
    </w:p>
    <w:p w:rsidR="008306AC" w:rsidRPr="00954CFD" w:rsidRDefault="008306AC" w:rsidP="008306AC">
      <w:pPr>
        <w:autoSpaceDE w:val="0"/>
        <w:autoSpaceDN w:val="0"/>
        <w:adjustRightInd w:val="0"/>
        <w:spacing w:after="0" w:line="240" w:lineRule="auto"/>
        <w:ind w:left="567" w:right="567"/>
        <w:jc w:val="both"/>
        <w:rPr>
          <w:rFonts w:ascii="Palatino Linotype" w:hAnsi="Palatino Linotype" w:cs="Arial"/>
          <w:i/>
          <w:sz w:val="20"/>
          <w:szCs w:val="24"/>
        </w:rPr>
      </w:pPr>
      <w:r w:rsidRPr="00954CFD">
        <w:rPr>
          <w:rFonts w:ascii="Palatino Linotype" w:hAnsi="Palatino Linotype" w:cs="Arial"/>
          <w:i/>
          <w:sz w:val="20"/>
          <w:szCs w:val="24"/>
        </w:rPr>
        <w:t>• RDA 5275/13. Interpuesto en contra de la Secretaría de la Defensa Nacional. Comisionado Ponente Ángel Trinidad Zaldívar.</w:t>
      </w:r>
    </w:p>
    <w:p w:rsidR="008306AC" w:rsidRPr="00954CFD" w:rsidRDefault="008306AC" w:rsidP="008306AC">
      <w:pPr>
        <w:autoSpaceDE w:val="0"/>
        <w:autoSpaceDN w:val="0"/>
        <w:adjustRightInd w:val="0"/>
        <w:spacing w:after="0" w:line="240" w:lineRule="auto"/>
        <w:ind w:left="567" w:right="567"/>
        <w:jc w:val="both"/>
        <w:rPr>
          <w:rFonts w:ascii="Palatino Linotype" w:hAnsi="Palatino Linotype" w:cs="Arial"/>
          <w:i/>
          <w:sz w:val="20"/>
          <w:szCs w:val="24"/>
        </w:rPr>
      </w:pPr>
      <w:r w:rsidRPr="00954CFD">
        <w:rPr>
          <w:rFonts w:ascii="Palatino Linotype" w:hAnsi="Palatino Linotype" w:cs="Arial"/>
          <w:i/>
          <w:sz w:val="20"/>
          <w:szCs w:val="24"/>
        </w:rPr>
        <w:t>• RDA 2937/13. Interpuesto en contra de LICONSA, S.A. de C.V. Comisionado. Ponente Gerardo Laveaga Rendón.</w:t>
      </w:r>
    </w:p>
    <w:p w:rsidR="008306AC" w:rsidRPr="00954CFD" w:rsidRDefault="008306AC" w:rsidP="008306AC">
      <w:pPr>
        <w:autoSpaceDE w:val="0"/>
        <w:autoSpaceDN w:val="0"/>
        <w:adjustRightInd w:val="0"/>
        <w:spacing w:after="0" w:line="240" w:lineRule="auto"/>
        <w:ind w:left="567" w:right="567"/>
        <w:jc w:val="both"/>
        <w:rPr>
          <w:rFonts w:ascii="Palatino Linotype" w:hAnsi="Palatino Linotype" w:cs="Arial"/>
          <w:i/>
          <w:sz w:val="20"/>
          <w:szCs w:val="24"/>
        </w:rPr>
      </w:pPr>
      <w:r w:rsidRPr="00954CFD">
        <w:rPr>
          <w:rFonts w:ascii="Palatino Linotype" w:hAnsi="Palatino Linotype" w:cs="Arial"/>
          <w:i/>
          <w:sz w:val="20"/>
          <w:szCs w:val="24"/>
        </w:rPr>
        <w:t>• RDA 3609/12. Interpuesto en contra de la Secretaría de Educación Pública. Comisionada Ponente Sigrid Arzt Colunga.</w:t>
      </w:r>
    </w:p>
    <w:p w:rsidR="008306AC" w:rsidRPr="00954CFD" w:rsidRDefault="008306AC" w:rsidP="008306AC">
      <w:pPr>
        <w:autoSpaceDE w:val="0"/>
        <w:autoSpaceDN w:val="0"/>
        <w:adjustRightInd w:val="0"/>
        <w:spacing w:after="0" w:line="240" w:lineRule="auto"/>
        <w:ind w:left="567" w:right="567"/>
        <w:jc w:val="both"/>
        <w:rPr>
          <w:rFonts w:ascii="Palatino Linotype" w:hAnsi="Palatino Linotype" w:cs="Arial"/>
          <w:i/>
          <w:sz w:val="20"/>
          <w:szCs w:val="24"/>
        </w:rPr>
      </w:pPr>
      <w:r w:rsidRPr="00954CFD">
        <w:rPr>
          <w:rFonts w:ascii="Palatino Linotype" w:hAnsi="Palatino Linotype" w:cs="Arial"/>
          <w:i/>
          <w:sz w:val="20"/>
          <w:szCs w:val="24"/>
        </w:rPr>
        <w:t>• RDA 3361/12. Interpuesto en contra del Servicio de Administración Tributaria. Comisionada Ponente María Elena Pérez-Jaén Zermeño.</w:t>
      </w:r>
    </w:p>
    <w:p w:rsidR="008306AC" w:rsidRPr="00954CFD" w:rsidRDefault="008306AC" w:rsidP="008306AC">
      <w:pPr>
        <w:autoSpaceDE w:val="0"/>
        <w:autoSpaceDN w:val="0"/>
        <w:adjustRightInd w:val="0"/>
        <w:spacing w:after="0" w:line="240" w:lineRule="auto"/>
        <w:ind w:left="567" w:right="567"/>
        <w:jc w:val="both"/>
        <w:rPr>
          <w:rFonts w:ascii="Palatino Linotype" w:hAnsi="Palatino Linotype" w:cs="Arial"/>
          <w:i/>
          <w:sz w:val="20"/>
          <w:szCs w:val="24"/>
        </w:rPr>
      </w:pPr>
      <w:r w:rsidRPr="00954CFD">
        <w:rPr>
          <w:rFonts w:ascii="Palatino Linotype" w:hAnsi="Palatino Linotype" w:cs="Arial"/>
          <w:i/>
          <w:sz w:val="20"/>
          <w:szCs w:val="24"/>
        </w:rPr>
        <w:t>• RDA 0563/12. Interpuesto en contra de la Secretaría de la Función Pública. Comisionada Ponente Jacqueline Peschard Mariscal.”</w:t>
      </w:r>
    </w:p>
    <w:p w:rsidR="008306AC" w:rsidRPr="00954CFD" w:rsidRDefault="008306AC" w:rsidP="008306AC">
      <w:pPr>
        <w:autoSpaceDE w:val="0"/>
        <w:autoSpaceDN w:val="0"/>
        <w:adjustRightInd w:val="0"/>
        <w:spacing w:after="0" w:line="360" w:lineRule="auto"/>
        <w:jc w:val="both"/>
        <w:rPr>
          <w:rFonts w:ascii="Palatino Linotype" w:hAnsi="Palatino Linotype" w:cs="Arial"/>
          <w:sz w:val="24"/>
          <w:szCs w:val="24"/>
        </w:rPr>
      </w:pPr>
    </w:p>
    <w:p w:rsidR="008306AC" w:rsidRPr="00954CFD" w:rsidRDefault="008306AC" w:rsidP="008306AC">
      <w:pPr>
        <w:autoSpaceDE w:val="0"/>
        <w:autoSpaceDN w:val="0"/>
        <w:adjustRightInd w:val="0"/>
        <w:spacing w:after="0" w:line="360" w:lineRule="auto"/>
        <w:jc w:val="both"/>
        <w:rPr>
          <w:rFonts w:ascii="Palatino Linotype" w:hAnsi="Palatino Linotype" w:cs="Arial"/>
          <w:sz w:val="24"/>
          <w:szCs w:val="24"/>
        </w:rPr>
      </w:pPr>
      <w:r w:rsidRPr="00954CFD">
        <w:rPr>
          <w:rFonts w:ascii="Palatino Linotype" w:hAnsi="Palatino Linotype" w:cs="Arial"/>
          <w:sz w:val="24"/>
          <w:szCs w:val="24"/>
        </w:rPr>
        <w:lastRenderedPageBreak/>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954CFD">
        <w:rPr>
          <w:rFonts w:ascii="Palatino Linotype" w:hAnsi="Palatino Linotype" w:cs="Arial"/>
          <w:b/>
          <w:sz w:val="24"/>
          <w:szCs w:val="24"/>
        </w:rPr>
        <w:t>Recurrente</w:t>
      </w:r>
      <w:r w:rsidRPr="00954CFD">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8306AC" w:rsidRPr="00954CFD" w:rsidRDefault="008306AC" w:rsidP="008306AC">
      <w:pPr>
        <w:autoSpaceDE w:val="0"/>
        <w:autoSpaceDN w:val="0"/>
        <w:adjustRightInd w:val="0"/>
        <w:spacing w:after="0" w:line="360" w:lineRule="auto"/>
        <w:jc w:val="both"/>
        <w:rPr>
          <w:rFonts w:ascii="Palatino Linotype" w:hAnsi="Palatino Linotype" w:cs="Arial"/>
          <w:sz w:val="24"/>
          <w:szCs w:val="24"/>
        </w:rPr>
      </w:pPr>
    </w:p>
    <w:p w:rsidR="008306AC" w:rsidRPr="00954CFD" w:rsidRDefault="008306AC" w:rsidP="008306AC">
      <w:pPr>
        <w:autoSpaceDE w:val="0"/>
        <w:autoSpaceDN w:val="0"/>
        <w:adjustRightInd w:val="0"/>
        <w:spacing w:after="0" w:line="360" w:lineRule="auto"/>
        <w:jc w:val="both"/>
        <w:rPr>
          <w:rFonts w:ascii="Palatino Linotype" w:hAnsi="Palatino Linotype" w:cs="Arial"/>
          <w:sz w:val="24"/>
          <w:szCs w:val="24"/>
        </w:rPr>
      </w:pPr>
      <w:r w:rsidRPr="00954CFD">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8306AC" w:rsidRPr="00954CFD" w:rsidRDefault="008306AC" w:rsidP="008306AC">
      <w:pPr>
        <w:autoSpaceDE w:val="0"/>
        <w:autoSpaceDN w:val="0"/>
        <w:adjustRightInd w:val="0"/>
        <w:spacing w:after="0" w:line="360" w:lineRule="auto"/>
        <w:jc w:val="both"/>
        <w:rPr>
          <w:rFonts w:ascii="Palatino Linotype" w:hAnsi="Palatino Linotype" w:cs="Arial"/>
          <w:sz w:val="24"/>
          <w:szCs w:val="24"/>
        </w:rPr>
      </w:pPr>
    </w:p>
    <w:p w:rsidR="008306AC" w:rsidRPr="00954CFD" w:rsidRDefault="008306AC" w:rsidP="008306AC">
      <w:pPr>
        <w:autoSpaceDE w:val="0"/>
        <w:autoSpaceDN w:val="0"/>
        <w:adjustRightInd w:val="0"/>
        <w:spacing w:after="0" w:line="360" w:lineRule="auto"/>
        <w:jc w:val="both"/>
        <w:rPr>
          <w:rFonts w:ascii="Palatino Linotype" w:hAnsi="Palatino Linotype" w:cs="Arial"/>
          <w:sz w:val="24"/>
          <w:szCs w:val="24"/>
        </w:rPr>
      </w:pPr>
      <w:r w:rsidRPr="00954CFD">
        <w:rPr>
          <w:rFonts w:ascii="Palatino Linotype" w:hAnsi="Palatino Linotype" w:cs="Arial"/>
          <w:sz w:val="24"/>
          <w:szCs w:val="24"/>
        </w:rPr>
        <w:t xml:space="preserve">En consecuencia, dado lo expuesto y fundado con anterioridad, se estima que el requisito relativo al nombre del </w:t>
      </w:r>
      <w:r w:rsidRPr="00954CFD">
        <w:rPr>
          <w:rFonts w:ascii="Palatino Linotype" w:hAnsi="Palatino Linotype" w:cs="Arial"/>
          <w:b/>
          <w:sz w:val="24"/>
          <w:szCs w:val="24"/>
        </w:rPr>
        <w:t>Recurrente</w:t>
      </w:r>
      <w:r w:rsidRPr="00954CFD">
        <w:rPr>
          <w:rFonts w:ascii="Palatino Linotype" w:hAnsi="Palatino Linotype" w:cs="Arial"/>
          <w:sz w:val="24"/>
          <w:szCs w:val="24"/>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w:t>
      </w:r>
      <w:r w:rsidRPr="00954CFD">
        <w:rPr>
          <w:rFonts w:ascii="Palatino Linotype" w:hAnsi="Palatino Linotype" w:cs="Arial"/>
          <w:sz w:val="24"/>
          <w:szCs w:val="24"/>
        </w:rPr>
        <w:lastRenderedPageBreak/>
        <w:t>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8306AC" w:rsidRPr="00954CFD" w:rsidRDefault="008306AC" w:rsidP="008306AC">
      <w:pPr>
        <w:autoSpaceDE w:val="0"/>
        <w:autoSpaceDN w:val="0"/>
        <w:adjustRightInd w:val="0"/>
        <w:spacing w:after="0" w:line="360" w:lineRule="auto"/>
        <w:jc w:val="both"/>
        <w:rPr>
          <w:rFonts w:ascii="Palatino Linotype" w:hAnsi="Palatino Linotype" w:cs="Arial"/>
          <w:sz w:val="24"/>
          <w:szCs w:val="24"/>
        </w:rPr>
      </w:pPr>
    </w:p>
    <w:p w:rsidR="008306AC" w:rsidRPr="00954CFD" w:rsidRDefault="008306AC" w:rsidP="008306AC">
      <w:pPr>
        <w:autoSpaceDE w:val="0"/>
        <w:autoSpaceDN w:val="0"/>
        <w:adjustRightInd w:val="0"/>
        <w:spacing w:after="0" w:line="360" w:lineRule="auto"/>
        <w:jc w:val="both"/>
        <w:rPr>
          <w:rFonts w:ascii="Palatino Linotype" w:hAnsi="Palatino Linotype" w:cs="Arial"/>
          <w:sz w:val="24"/>
          <w:szCs w:val="24"/>
        </w:rPr>
      </w:pPr>
      <w:r w:rsidRPr="00954CFD">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8306AC" w:rsidRPr="00954CFD" w:rsidRDefault="008306AC" w:rsidP="008306A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8306AC" w:rsidRPr="00954CFD" w:rsidRDefault="008306AC" w:rsidP="008306AC">
      <w:pPr>
        <w:spacing w:after="0" w:line="360" w:lineRule="auto"/>
        <w:jc w:val="both"/>
        <w:rPr>
          <w:rFonts w:ascii="Palatino Linotype" w:eastAsiaTheme="minorEastAsia" w:hAnsi="Palatino Linotype" w:cs="Arial"/>
          <w:b/>
          <w:sz w:val="28"/>
          <w:szCs w:val="28"/>
          <w:lang w:val="es-ES_tradnl" w:eastAsia="es-ES"/>
        </w:rPr>
      </w:pPr>
      <w:r w:rsidRPr="00954CFD">
        <w:rPr>
          <w:rFonts w:ascii="Palatino Linotype" w:eastAsiaTheme="minorEastAsia" w:hAnsi="Palatino Linotype" w:cs="Arial"/>
          <w:b/>
          <w:sz w:val="28"/>
          <w:szCs w:val="28"/>
          <w:lang w:val="es-ES_tradnl" w:eastAsia="es-ES"/>
        </w:rPr>
        <w:t xml:space="preserve">TERCERO. </w:t>
      </w:r>
      <w:r w:rsidRPr="00954CFD">
        <w:rPr>
          <w:rFonts w:ascii="Palatino Linotype" w:eastAsiaTheme="minorEastAsia" w:hAnsi="Palatino Linotype" w:cs="Arial"/>
          <w:b/>
          <w:sz w:val="26"/>
          <w:szCs w:val="26"/>
          <w:lang w:val="es-ES_tradnl" w:eastAsia="es-ES"/>
        </w:rPr>
        <w:t>Del estudio de las causas de imp</w:t>
      </w:r>
      <w:r w:rsidR="00840F2C" w:rsidRPr="00954CFD">
        <w:rPr>
          <w:rFonts w:ascii="Palatino Linotype" w:eastAsiaTheme="minorEastAsia" w:hAnsi="Palatino Linotype" w:cs="Arial"/>
          <w:b/>
          <w:sz w:val="26"/>
          <w:szCs w:val="26"/>
          <w:lang w:val="es-ES_tradnl" w:eastAsia="es-ES"/>
        </w:rPr>
        <w:t>rocedencia y sobreseimiento.</w:t>
      </w:r>
    </w:p>
    <w:p w:rsidR="008306AC" w:rsidRPr="00954CFD" w:rsidRDefault="008306AC" w:rsidP="008306AC">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954CFD">
        <w:rPr>
          <w:rFonts w:ascii="Palatino Linotype" w:eastAsiaTheme="minorEastAsia" w:hAnsi="Palatino Linotype" w:cs="Arial"/>
          <w:sz w:val="24"/>
          <w:szCs w:val="24"/>
          <w:lang w:val="es-ES_tradnl"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8306AC" w:rsidRPr="00954CFD" w:rsidRDefault="008306AC" w:rsidP="008306AC">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8306AC" w:rsidRPr="00954CFD" w:rsidRDefault="008306AC" w:rsidP="008306AC">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954CFD">
        <w:rPr>
          <w:rFonts w:ascii="Palatino Linotype" w:eastAsiaTheme="minorEastAsia" w:hAnsi="Palatino Linotype" w:cs="Arial"/>
          <w:sz w:val="24"/>
          <w:szCs w:val="24"/>
          <w:lang w:val="es-ES_tradnl" w:eastAsia="es-ES"/>
        </w:rPr>
        <w:t xml:space="preserve">Correlativo a ello, como lo establece el artículo 62 de la Ley de Amparo, Reglamentaria de los Artículos 103 y 107 de la Constitución Política de los Estados Unidos Mexicanos, las causas de improcedencia se analizarán de oficio, lo aleguen o no las partes, por ser </w:t>
      </w:r>
      <w:r w:rsidRPr="00954CFD">
        <w:rPr>
          <w:rFonts w:ascii="Palatino Linotype" w:eastAsiaTheme="minorEastAsia" w:hAnsi="Palatino Linotype" w:cs="Arial"/>
          <w:sz w:val="24"/>
          <w:szCs w:val="24"/>
          <w:lang w:val="es-ES_tradnl" w:eastAsia="es-ES"/>
        </w:rPr>
        <w:lastRenderedPageBreak/>
        <w:t>una cuestión de orden público y estudio preferente; además, con base en la jurisprudencia por reiteración con número de registro digital 222780, de rubro y texto:</w:t>
      </w:r>
    </w:p>
    <w:p w:rsidR="008306AC" w:rsidRPr="00954CFD" w:rsidRDefault="008306AC" w:rsidP="008306AC">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8306AC" w:rsidRPr="00954CFD" w:rsidRDefault="008306AC" w:rsidP="008306AC">
      <w:pPr>
        <w:autoSpaceDE w:val="0"/>
        <w:autoSpaceDN w:val="0"/>
        <w:adjustRightInd w:val="0"/>
        <w:spacing w:after="0" w:line="240" w:lineRule="auto"/>
        <w:ind w:left="567" w:right="567"/>
        <w:contextualSpacing/>
        <w:jc w:val="both"/>
        <w:rPr>
          <w:rFonts w:ascii="Palatino Linotype" w:eastAsiaTheme="minorEastAsia" w:hAnsi="Palatino Linotype" w:cs="Arial"/>
          <w:i/>
          <w:lang w:val="es-ES_tradnl" w:eastAsia="es-ES"/>
        </w:rPr>
      </w:pPr>
      <w:r w:rsidRPr="00954CFD">
        <w:rPr>
          <w:rFonts w:ascii="Palatino Linotype" w:eastAsiaTheme="minorEastAsia" w:hAnsi="Palatino Linotype" w:cs="Arial"/>
          <w:i/>
          <w:lang w:val="es-ES_tradnl" w:eastAsia="es-ES"/>
        </w:rPr>
        <w:t>“</w:t>
      </w:r>
      <w:r w:rsidRPr="00954CFD">
        <w:rPr>
          <w:rFonts w:ascii="Palatino Linotype" w:eastAsiaTheme="minorEastAsia" w:hAnsi="Palatino Linotype" w:cs="Arial"/>
          <w:b/>
          <w:i/>
          <w:lang w:val="es-ES_tradnl" w:eastAsia="es-ES"/>
        </w:rPr>
        <w:t>IMPROCEDENCIA, CAUSALES DE. EN EL JUICIO DE AMPARO.</w:t>
      </w:r>
      <w:r w:rsidRPr="00954CFD">
        <w:rPr>
          <w:rFonts w:ascii="Palatino Linotype" w:eastAsiaTheme="minorEastAsia" w:hAnsi="Palatino Linotype" w:cs="Arial"/>
          <w:i/>
          <w:lang w:val="es-ES_tradnl" w:eastAsia="es-ES"/>
        </w:rPr>
        <w:t xml:space="preserve"> Las causales de improcedencia del juicio de amparo, por ser de orden público deben estudiarse previamente, lo aleguen o no las partes, cualquiera que sea la instancia”.</w:t>
      </w:r>
    </w:p>
    <w:p w:rsidR="008306AC" w:rsidRPr="00954CFD" w:rsidRDefault="008306AC" w:rsidP="008306AC">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8306AC" w:rsidRPr="00954CFD" w:rsidRDefault="008306AC" w:rsidP="008306AC">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954CFD">
        <w:rPr>
          <w:rFonts w:ascii="Palatino Linotype" w:eastAsiaTheme="minorEastAsia" w:hAnsi="Palatino Linotype" w:cs="Arial"/>
          <w:sz w:val="24"/>
          <w:szCs w:val="24"/>
          <w:lang w:val="es-ES_tradnl" w:eastAsia="es-ES"/>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954CFD">
        <w:rPr>
          <w:rFonts w:ascii="Palatino Linotype" w:eastAsiaTheme="minorEastAsia" w:hAnsi="Palatino Linotype" w:cs="Arial"/>
          <w:sz w:val="24"/>
          <w:szCs w:val="24"/>
          <w:vertAlign w:val="superscript"/>
          <w:lang w:val="es-ES_tradnl" w:eastAsia="es-ES"/>
        </w:rPr>
        <w:footnoteReference w:id="1"/>
      </w:r>
      <w:r w:rsidRPr="00954CFD">
        <w:rPr>
          <w:rFonts w:ascii="Palatino Linotype" w:eastAsiaTheme="minorEastAsia" w:hAnsi="Palatino Linotype" w:cs="Arial"/>
          <w:sz w:val="24"/>
          <w:szCs w:val="24"/>
          <w:lang w:val="es-ES_tradnl" w:eastAsia="es-ES"/>
        </w:rPr>
        <w:t>.</w:t>
      </w:r>
    </w:p>
    <w:p w:rsidR="008306AC" w:rsidRPr="00954CFD" w:rsidRDefault="008306AC" w:rsidP="008306AC">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954CFD">
        <w:rPr>
          <w:rFonts w:ascii="Palatino Linotype" w:eastAsiaTheme="minorEastAsia" w:hAnsi="Palatino Linotype" w:cs="Arial"/>
          <w:sz w:val="24"/>
          <w:szCs w:val="24"/>
          <w:lang w:val="es-ES_tradnl" w:eastAsia="es-ES"/>
        </w:rPr>
        <w:lastRenderedPageBreak/>
        <w:t xml:space="preserve">En primer término es necesario hacer alusión a la solicitud de información ya que de ella deriva por un lado al procedimiento de acceso a la información ante el </w:t>
      </w:r>
      <w:r w:rsidRPr="00954CFD">
        <w:rPr>
          <w:rFonts w:ascii="Palatino Linotype" w:eastAsiaTheme="minorEastAsia" w:hAnsi="Palatino Linotype" w:cs="Arial"/>
          <w:b/>
          <w:sz w:val="24"/>
          <w:szCs w:val="24"/>
          <w:lang w:val="es-ES_tradnl" w:eastAsia="es-ES"/>
        </w:rPr>
        <w:t>Sujeto Obligado</w:t>
      </w:r>
      <w:r w:rsidRPr="00954CFD">
        <w:rPr>
          <w:rFonts w:ascii="Palatino Linotype" w:eastAsiaTheme="minorEastAsia" w:hAnsi="Palatino Linotype" w:cs="Arial"/>
          <w:sz w:val="24"/>
          <w:szCs w:val="24"/>
          <w:lang w:val="es-ES_tradnl" w:eastAsia="es-ES"/>
        </w:rPr>
        <w:t xml:space="preserve">,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w:t>
      </w:r>
    </w:p>
    <w:p w:rsidR="008306AC" w:rsidRPr="00954CFD" w:rsidRDefault="008306AC" w:rsidP="008306AC">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8306AC" w:rsidRPr="00954CFD" w:rsidRDefault="008306AC" w:rsidP="008306AC">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954CFD">
        <w:rPr>
          <w:rFonts w:ascii="Palatino Linotype" w:eastAsiaTheme="minorEastAsia" w:hAnsi="Palatino Linotype" w:cs="Arial"/>
          <w:sz w:val="24"/>
          <w:szCs w:val="24"/>
          <w:lang w:val="es-ES_tradnl" w:eastAsia="es-ES"/>
        </w:rPr>
        <w:t xml:space="preserve">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w:t>
      </w:r>
      <w:r w:rsidRPr="00954CFD">
        <w:rPr>
          <w:rFonts w:ascii="Palatino Linotype" w:eastAsiaTheme="minorEastAsia" w:hAnsi="Palatino Linotype" w:cs="Arial"/>
          <w:b/>
          <w:sz w:val="24"/>
          <w:szCs w:val="24"/>
          <w:lang w:val="es-ES_tradnl" w:eastAsia="es-ES"/>
        </w:rPr>
        <w:t>Sujeto Obligado</w:t>
      </w:r>
      <w:r w:rsidRPr="00954CFD">
        <w:rPr>
          <w:rFonts w:ascii="Palatino Linotype" w:eastAsiaTheme="minorEastAsia" w:hAnsi="Palatino Linotype" w:cs="Arial"/>
          <w:sz w:val="24"/>
          <w:szCs w:val="24"/>
          <w:lang w:val="es-ES_tradnl" w:eastAsia="es-ES"/>
        </w:rPr>
        <w:t xml:space="preserve"> puede considerar una circunstancia en particular diversa a la que el particular objetivamente requiere.</w:t>
      </w:r>
    </w:p>
    <w:p w:rsidR="008306AC" w:rsidRPr="00954CFD" w:rsidRDefault="008306AC" w:rsidP="008306AC">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8306AC" w:rsidRPr="00954CFD" w:rsidRDefault="008306AC" w:rsidP="008306AC">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954CFD">
        <w:rPr>
          <w:rFonts w:ascii="Palatino Linotype" w:eastAsiaTheme="minorEastAsia" w:hAnsi="Palatino Linotype" w:cs="Arial"/>
          <w:sz w:val="24"/>
          <w:szCs w:val="24"/>
          <w:lang w:val="es-ES_tradnl" w:eastAsia="es-ES"/>
        </w:rPr>
        <w:t xml:space="preserve">Ya que el planteamiento del problema es de toral importancia, a efecto de determinar la intención o voluntad del </w:t>
      </w:r>
      <w:r w:rsidRPr="00954CFD">
        <w:rPr>
          <w:rFonts w:ascii="Palatino Linotype" w:eastAsiaTheme="minorEastAsia" w:hAnsi="Palatino Linotype" w:cs="Arial"/>
          <w:b/>
          <w:sz w:val="24"/>
          <w:szCs w:val="24"/>
          <w:lang w:val="es-ES_tradnl" w:eastAsia="es-ES"/>
        </w:rPr>
        <w:t>Recurrente</w:t>
      </w:r>
      <w:r w:rsidRPr="00954CFD">
        <w:rPr>
          <w:rFonts w:ascii="Palatino Linotype" w:eastAsiaTheme="minorEastAsia" w:hAnsi="Palatino Linotype" w:cs="Arial"/>
          <w:sz w:val="24"/>
          <w:szCs w:val="24"/>
          <w:lang w:val="es-ES_tradnl" w:eastAsia="es-ES"/>
        </w:rPr>
        <w:t xml:space="preserve"> a la luz de la interpretación de la solicitud de información, y que puede generar de forma objetiva y material el </w:t>
      </w:r>
      <w:r w:rsidRPr="00954CFD">
        <w:rPr>
          <w:rFonts w:ascii="Palatino Linotype" w:eastAsiaTheme="minorEastAsia" w:hAnsi="Palatino Linotype" w:cs="Arial"/>
          <w:b/>
          <w:sz w:val="24"/>
          <w:szCs w:val="24"/>
          <w:lang w:val="es-ES_tradnl" w:eastAsia="es-ES"/>
        </w:rPr>
        <w:t>Sujeto Obligado</w:t>
      </w:r>
      <w:r w:rsidRPr="00954CFD">
        <w:rPr>
          <w:rFonts w:ascii="Palatino Linotype" w:eastAsiaTheme="minorEastAsia" w:hAnsi="Palatino Linotype" w:cs="Arial"/>
          <w:sz w:val="24"/>
          <w:szCs w:val="24"/>
          <w:lang w:val="es-ES_tradnl" w:eastAsia="es-ES"/>
        </w:rPr>
        <w:t xml:space="preserve"> que se relacione con esa intención, respecto del presente asunto se realiza a continuación.</w:t>
      </w:r>
    </w:p>
    <w:p w:rsidR="008306AC" w:rsidRPr="00954CFD" w:rsidRDefault="008306AC" w:rsidP="008306AC">
      <w:pPr>
        <w:autoSpaceDE w:val="0"/>
        <w:autoSpaceDN w:val="0"/>
        <w:adjustRightInd w:val="0"/>
        <w:spacing w:after="0" w:line="360" w:lineRule="auto"/>
        <w:jc w:val="both"/>
        <w:rPr>
          <w:rFonts w:ascii="Palatino Linotype" w:eastAsia="Times New Roman" w:hAnsi="Palatino Linotype" w:cs="Arial"/>
          <w:sz w:val="24"/>
          <w:szCs w:val="24"/>
          <w:lang w:val="es-ES_tradnl" w:eastAsia="es-ES"/>
        </w:rPr>
      </w:pPr>
    </w:p>
    <w:p w:rsidR="008306AC" w:rsidRPr="00954CFD" w:rsidRDefault="008306AC" w:rsidP="008306A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54CFD">
        <w:rPr>
          <w:rFonts w:ascii="Palatino Linotype" w:eastAsia="Times New Roman" w:hAnsi="Palatino Linotype" w:cs="Arial"/>
          <w:sz w:val="24"/>
          <w:szCs w:val="24"/>
          <w:lang w:val="es-ES" w:eastAsia="es-ES"/>
        </w:rPr>
        <w:lastRenderedPageBreak/>
        <w:t>Atentos a la redacción de la</w:t>
      </w:r>
      <w:r w:rsidR="00840F2C" w:rsidRPr="00954CFD">
        <w:rPr>
          <w:rFonts w:ascii="Palatino Linotype" w:eastAsia="Times New Roman" w:hAnsi="Palatino Linotype" w:cs="Arial"/>
          <w:sz w:val="24"/>
          <w:szCs w:val="24"/>
          <w:lang w:val="es-ES" w:eastAsia="es-ES"/>
        </w:rPr>
        <w:t>s</w:t>
      </w:r>
      <w:r w:rsidRPr="00954CFD">
        <w:rPr>
          <w:rFonts w:ascii="Palatino Linotype" w:eastAsia="Times New Roman" w:hAnsi="Palatino Linotype" w:cs="Arial"/>
          <w:sz w:val="24"/>
          <w:szCs w:val="24"/>
          <w:lang w:val="es-ES" w:eastAsia="es-ES"/>
        </w:rPr>
        <w:t xml:space="preserve"> solicitud</w:t>
      </w:r>
      <w:r w:rsidR="00840F2C" w:rsidRPr="00954CFD">
        <w:rPr>
          <w:rFonts w:ascii="Palatino Linotype" w:eastAsia="Times New Roman" w:hAnsi="Palatino Linotype" w:cs="Arial"/>
          <w:sz w:val="24"/>
          <w:szCs w:val="24"/>
          <w:lang w:val="es-ES" w:eastAsia="es-ES"/>
        </w:rPr>
        <w:t>es</w:t>
      </w:r>
      <w:r w:rsidRPr="00954CFD">
        <w:rPr>
          <w:rFonts w:ascii="Palatino Linotype" w:eastAsia="Times New Roman" w:hAnsi="Palatino Linotype" w:cs="Arial"/>
          <w:sz w:val="24"/>
          <w:szCs w:val="24"/>
          <w:lang w:val="es-ES" w:eastAsia="es-ES"/>
        </w:rPr>
        <w:t xml:space="preserve"> de información, se puede apreciar que el </w:t>
      </w:r>
      <w:r w:rsidRPr="00954CFD">
        <w:rPr>
          <w:rFonts w:ascii="Palatino Linotype" w:eastAsia="Times New Roman" w:hAnsi="Palatino Linotype" w:cs="Arial"/>
          <w:b/>
          <w:sz w:val="24"/>
          <w:szCs w:val="24"/>
          <w:lang w:val="es-ES" w:eastAsia="es-ES"/>
        </w:rPr>
        <w:t>Recurrente</w:t>
      </w:r>
      <w:r w:rsidRPr="00954CFD">
        <w:rPr>
          <w:rFonts w:ascii="Palatino Linotype" w:eastAsia="Times New Roman" w:hAnsi="Palatino Linotype" w:cs="Arial"/>
          <w:sz w:val="24"/>
          <w:szCs w:val="24"/>
          <w:lang w:val="es-ES" w:eastAsia="es-ES"/>
        </w:rPr>
        <w:t xml:space="preserve"> peticiona objetivamente </w:t>
      </w:r>
      <w:r w:rsidR="00840F2C" w:rsidRPr="00954CFD">
        <w:rPr>
          <w:rFonts w:ascii="Palatino Linotype" w:eastAsia="Times New Roman" w:hAnsi="Palatino Linotype" w:cs="Arial"/>
          <w:sz w:val="24"/>
          <w:szCs w:val="24"/>
          <w:lang w:val="es-ES" w:eastAsia="es-ES"/>
        </w:rPr>
        <w:t>le sea entregado de los años 2017, 2018, 2019, 2020, 2021 y 2022, por cada uno de los Comisionados, lo siguiente</w:t>
      </w:r>
      <w:r w:rsidRPr="00954CFD">
        <w:rPr>
          <w:rFonts w:ascii="Palatino Linotype" w:eastAsia="Times New Roman" w:hAnsi="Palatino Linotype" w:cs="Arial"/>
          <w:sz w:val="24"/>
          <w:szCs w:val="24"/>
          <w:lang w:val="es-ES" w:eastAsia="es-ES"/>
        </w:rPr>
        <w:t>:</w:t>
      </w:r>
    </w:p>
    <w:p w:rsidR="008306AC" w:rsidRPr="00954CFD" w:rsidRDefault="008306AC" w:rsidP="008306A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8306AC" w:rsidRPr="00954CFD" w:rsidRDefault="00840F2C" w:rsidP="008306AC">
      <w:pPr>
        <w:numPr>
          <w:ilvl w:val="0"/>
          <w:numId w:val="18"/>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54CFD">
        <w:rPr>
          <w:rFonts w:ascii="Palatino Linotype" w:eastAsia="Times New Roman" w:hAnsi="Palatino Linotype" w:cs="Arial"/>
          <w:sz w:val="24"/>
          <w:szCs w:val="24"/>
          <w:lang w:val="es-ES" w:eastAsia="es-ES"/>
        </w:rPr>
        <w:t>Informes de actividades;</w:t>
      </w:r>
    </w:p>
    <w:p w:rsidR="00840F2C" w:rsidRPr="00954CFD" w:rsidRDefault="00840F2C" w:rsidP="008306AC">
      <w:pPr>
        <w:numPr>
          <w:ilvl w:val="0"/>
          <w:numId w:val="18"/>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54CFD">
        <w:rPr>
          <w:rFonts w:ascii="Palatino Linotype" w:eastAsia="Times New Roman" w:hAnsi="Palatino Linotype" w:cs="Arial"/>
          <w:sz w:val="24"/>
          <w:szCs w:val="24"/>
          <w:lang w:val="es-ES" w:eastAsia="es-ES"/>
        </w:rPr>
        <w:t>Proyectos realizados;</w:t>
      </w:r>
    </w:p>
    <w:p w:rsidR="00840F2C" w:rsidRPr="00954CFD" w:rsidRDefault="00840F2C" w:rsidP="008306AC">
      <w:pPr>
        <w:numPr>
          <w:ilvl w:val="0"/>
          <w:numId w:val="18"/>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54CFD">
        <w:rPr>
          <w:rFonts w:ascii="Palatino Linotype" w:eastAsia="Times New Roman" w:hAnsi="Palatino Linotype" w:cs="Arial"/>
          <w:sz w:val="24"/>
          <w:szCs w:val="24"/>
          <w:lang w:val="es-ES" w:eastAsia="es-ES"/>
        </w:rPr>
        <w:t>Iniciativas;</w:t>
      </w:r>
    </w:p>
    <w:p w:rsidR="00840F2C" w:rsidRPr="00954CFD" w:rsidRDefault="00840F2C" w:rsidP="008306AC">
      <w:pPr>
        <w:numPr>
          <w:ilvl w:val="0"/>
          <w:numId w:val="18"/>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54CFD">
        <w:rPr>
          <w:rFonts w:ascii="Palatino Linotype" w:eastAsia="Times New Roman" w:hAnsi="Palatino Linotype" w:cs="Arial"/>
          <w:sz w:val="24"/>
          <w:szCs w:val="24"/>
          <w:lang w:val="es-ES" w:eastAsia="es-ES"/>
        </w:rPr>
        <w:t>Estudios realizados;</w:t>
      </w:r>
    </w:p>
    <w:p w:rsidR="00840F2C" w:rsidRPr="00954CFD" w:rsidRDefault="00840F2C" w:rsidP="008306AC">
      <w:pPr>
        <w:numPr>
          <w:ilvl w:val="0"/>
          <w:numId w:val="18"/>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54CFD">
        <w:rPr>
          <w:rFonts w:ascii="Palatino Linotype" w:eastAsia="Times New Roman" w:hAnsi="Palatino Linotype" w:cs="Arial"/>
          <w:sz w:val="24"/>
          <w:szCs w:val="24"/>
          <w:lang w:val="es-ES" w:eastAsia="es-ES"/>
        </w:rPr>
        <w:t>Informe general; y</w:t>
      </w:r>
    </w:p>
    <w:p w:rsidR="00840F2C" w:rsidRPr="00954CFD" w:rsidRDefault="00840F2C" w:rsidP="008306AC">
      <w:pPr>
        <w:numPr>
          <w:ilvl w:val="0"/>
          <w:numId w:val="18"/>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54CFD">
        <w:rPr>
          <w:rFonts w:ascii="Palatino Linotype" w:eastAsia="Times New Roman" w:hAnsi="Palatino Linotype" w:cs="Arial"/>
          <w:sz w:val="24"/>
          <w:szCs w:val="24"/>
          <w:lang w:val="es-ES" w:eastAsia="es-ES"/>
        </w:rPr>
        <w:t>Cuenta pública.</w:t>
      </w:r>
    </w:p>
    <w:p w:rsidR="008306AC" w:rsidRPr="00954CFD" w:rsidRDefault="008306AC" w:rsidP="008306AC">
      <w:pPr>
        <w:spacing w:after="0" w:line="360" w:lineRule="auto"/>
        <w:jc w:val="both"/>
        <w:rPr>
          <w:rFonts w:ascii="Palatino Linotype" w:hAnsi="Palatino Linotype" w:cs="Arial"/>
          <w:sz w:val="24"/>
          <w:lang w:val="es-ES_tradnl"/>
        </w:rPr>
      </w:pPr>
    </w:p>
    <w:p w:rsidR="008306AC" w:rsidRPr="00954CFD" w:rsidRDefault="00840F2C" w:rsidP="008306AC">
      <w:pPr>
        <w:spacing w:after="0" w:line="360" w:lineRule="auto"/>
        <w:jc w:val="both"/>
        <w:rPr>
          <w:rFonts w:ascii="Palatino Linotype" w:hAnsi="Palatino Linotype" w:cs="Arial"/>
          <w:sz w:val="24"/>
        </w:rPr>
      </w:pPr>
      <w:r w:rsidRPr="00954CFD">
        <w:rPr>
          <w:rFonts w:ascii="Palatino Linotype" w:hAnsi="Palatino Linotype" w:cs="Arial"/>
          <w:sz w:val="24"/>
          <w:lang w:val="es-ES_tradnl"/>
        </w:rPr>
        <w:t>D</w:t>
      </w:r>
      <w:r w:rsidR="008306AC" w:rsidRPr="00954CFD">
        <w:rPr>
          <w:rFonts w:ascii="Palatino Linotype" w:hAnsi="Palatino Linotype" w:cs="Arial"/>
          <w:sz w:val="24"/>
          <w:lang w:val="es-ES_tradnl"/>
        </w:rPr>
        <w:t xml:space="preserve">e conformidad con las constancias que obran en </w:t>
      </w:r>
      <w:r w:rsidRPr="00954CFD">
        <w:rPr>
          <w:rFonts w:ascii="Palatino Linotype" w:hAnsi="Palatino Linotype" w:cs="Arial"/>
          <w:sz w:val="24"/>
          <w:lang w:val="es-ES_tradnl"/>
        </w:rPr>
        <w:t>los</w:t>
      </w:r>
      <w:r w:rsidR="008306AC" w:rsidRPr="00954CFD">
        <w:rPr>
          <w:rFonts w:ascii="Palatino Linotype" w:hAnsi="Palatino Linotype" w:cs="Arial"/>
          <w:sz w:val="24"/>
          <w:lang w:val="es-ES_tradnl"/>
        </w:rPr>
        <w:t xml:space="preserve"> expediente</w:t>
      </w:r>
      <w:r w:rsidRPr="00954CFD">
        <w:rPr>
          <w:rFonts w:ascii="Palatino Linotype" w:hAnsi="Palatino Linotype" w:cs="Arial"/>
          <w:sz w:val="24"/>
          <w:lang w:val="es-ES_tradnl"/>
        </w:rPr>
        <w:t>s</w:t>
      </w:r>
      <w:r w:rsidR="008306AC" w:rsidRPr="00954CFD">
        <w:rPr>
          <w:rFonts w:ascii="Palatino Linotype" w:hAnsi="Palatino Linotype" w:cs="Arial"/>
          <w:sz w:val="24"/>
          <w:lang w:val="es-ES_tradnl"/>
        </w:rPr>
        <w:t xml:space="preserve"> electrónico</w:t>
      </w:r>
      <w:r w:rsidRPr="00954CFD">
        <w:rPr>
          <w:rFonts w:ascii="Palatino Linotype" w:hAnsi="Palatino Linotype" w:cs="Arial"/>
          <w:sz w:val="24"/>
          <w:lang w:val="es-ES_tradnl"/>
        </w:rPr>
        <w:t>s</w:t>
      </w:r>
      <w:r w:rsidR="008306AC" w:rsidRPr="00954CFD">
        <w:rPr>
          <w:rFonts w:ascii="Palatino Linotype" w:hAnsi="Palatino Linotype" w:cs="Arial"/>
          <w:sz w:val="24"/>
          <w:lang w:val="es-ES_tradnl"/>
        </w:rPr>
        <w:t xml:space="preserve"> se observa que e</w:t>
      </w:r>
      <w:r w:rsidR="008306AC" w:rsidRPr="00954CFD">
        <w:rPr>
          <w:rFonts w:ascii="Palatino Linotype" w:hAnsi="Palatino Linotype" w:cs="Arial"/>
          <w:sz w:val="24"/>
        </w:rPr>
        <w:t xml:space="preserve">l </w:t>
      </w:r>
      <w:r w:rsidR="008306AC" w:rsidRPr="00954CFD">
        <w:rPr>
          <w:rFonts w:ascii="Palatino Linotype" w:hAnsi="Palatino Linotype" w:cs="Arial"/>
          <w:b/>
          <w:sz w:val="24"/>
        </w:rPr>
        <w:t>Sujeto Obligado</w:t>
      </w:r>
      <w:r w:rsidR="008306AC" w:rsidRPr="00954CFD">
        <w:rPr>
          <w:rFonts w:ascii="Palatino Linotype" w:hAnsi="Palatino Linotype" w:cs="Arial"/>
          <w:sz w:val="24"/>
        </w:rPr>
        <w:t xml:space="preserve"> dio respuesta por medio de</w:t>
      </w:r>
      <w:r w:rsidRPr="00954CFD">
        <w:rPr>
          <w:rFonts w:ascii="Palatino Linotype" w:hAnsi="Palatino Linotype" w:cs="Arial"/>
          <w:sz w:val="24"/>
        </w:rPr>
        <w:t xml:space="preserve"> </w:t>
      </w:r>
      <w:r w:rsidR="008306AC" w:rsidRPr="00954CFD">
        <w:rPr>
          <w:rFonts w:ascii="Palatino Linotype" w:hAnsi="Palatino Linotype" w:cs="Arial"/>
          <w:sz w:val="24"/>
        </w:rPr>
        <w:t>l</w:t>
      </w:r>
      <w:r w:rsidRPr="00954CFD">
        <w:rPr>
          <w:rFonts w:ascii="Palatino Linotype" w:hAnsi="Palatino Linotype" w:cs="Arial"/>
          <w:sz w:val="24"/>
        </w:rPr>
        <w:t>os</w:t>
      </w:r>
      <w:r w:rsidR="008306AC" w:rsidRPr="00954CFD">
        <w:rPr>
          <w:rFonts w:ascii="Palatino Linotype" w:hAnsi="Palatino Linotype" w:cs="Arial"/>
          <w:sz w:val="24"/>
        </w:rPr>
        <w:t xml:space="preserve"> documento</w:t>
      </w:r>
      <w:r w:rsidRPr="00954CFD">
        <w:rPr>
          <w:rFonts w:ascii="Palatino Linotype" w:hAnsi="Palatino Linotype" w:cs="Arial"/>
          <w:sz w:val="24"/>
        </w:rPr>
        <w:t>s</w:t>
      </w:r>
      <w:r w:rsidR="008306AC" w:rsidRPr="00954CFD">
        <w:rPr>
          <w:rFonts w:ascii="Palatino Linotype" w:hAnsi="Palatino Linotype" w:cs="Arial"/>
          <w:sz w:val="24"/>
        </w:rPr>
        <w:t xml:space="preserve"> electrónico</w:t>
      </w:r>
      <w:r w:rsidRPr="00954CFD">
        <w:rPr>
          <w:rFonts w:ascii="Palatino Linotype" w:hAnsi="Palatino Linotype" w:cs="Arial"/>
          <w:sz w:val="24"/>
        </w:rPr>
        <w:t>s</w:t>
      </w:r>
      <w:r w:rsidR="008306AC" w:rsidRPr="00954CFD">
        <w:rPr>
          <w:rFonts w:ascii="Palatino Linotype" w:hAnsi="Palatino Linotype" w:cs="Arial"/>
          <w:sz w:val="24"/>
        </w:rPr>
        <w:t xml:space="preserve"> </w:t>
      </w:r>
      <w:r w:rsidR="008306AC" w:rsidRPr="00954CFD">
        <w:rPr>
          <w:rFonts w:ascii="Palatino Linotype" w:hAnsi="Palatino Linotype" w:cs="Arial"/>
          <w:sz w:val="24"/>
          <w:szCs w:val="28"/>
        </w:rPr>
        <w:t>“</w:t>
      </w:r>
      <w:r w:rsidRPr="00954CFD">
        <w:rPr>
          <w:rFonts w:ascii="Palatino Linotype" w:eastAsia="Times New Roman" w:hAnsi="Palatino Linotype" w:cs="Times New Roman"/>
          <w:b/>
          <w:i/>
          <w:sz w:val="24"/>
          <w:szCs w:val="24"/>
          <w:lang w:val="es-ES_tradnl" w:eastAsia="es-ES"/>
        </w:rPr>
        <w:t>RespuestaSolicitud00744.zip</w:t>
      </w:r>
      <w:r w:rsidRPr="00954CFD">
        <w:rPr>
          <w:rFonts w:ascii="Palatino Linotype" w:eastAsia="Times New Roman" w:hAnsi="Palatino Linotype" w:cs="Times New Roman"/>
          <w:sz w:val="24"/>
          <w:szCs w:val="24"/>
          <w:lang w:val="es-ES_tradnl" w:eastAsia="es-ES"/>
        </w:rPr>
        <w:t xml:space="preserve"> y </w:t>
      </w:r>
      <w:r w:rsidRPr="00954CFD">
        <w:rPr>
          <w:rFonts w:ascii="Palatino Linotype" w:hAnsi="Palatino Linotype" w:cs="Arial"/>
          <w:b/>
          <w:i/>
          <w:sz w:val="24"/>
          <w:szCs w:val="24"/>
        </w:rPr>
        <w:t>RespuestaSolicitud00745.zip</w:t>
      </w:r>
      <w:r w:rsidR="008306AC" w:rsidRPr="00954CFD">
        <w:rPr>
          <w:rFonts w:ascii="Palatino Linotype" w:hAnsi="Palatino Linotype" w:cs="Arial"/>
          <w:sz w:val="24"/>
          <w:szCs w:val="28"/>
        </w:rPr>
        <w:t>”</w:t>
      </w:r>
      <w:r w:rsidR="008306AC" w:rsidRPr="00954CFD">
        <w:rPr>
          <w:rFonts w:ascii="Palatino Linotype" w:hAnsi="Palatino Linotype" w:cs="Arial"/>
          <w:sz w:val="24"/>
        </w:rPr>
        <w:t>, consistente</w:t>
      </w:r>
      <w:r w:rsidRPr="00954CFD">
        <w:rPr>
          <w:rFonts w:ascii="Palatino Linotype" w:hAnsi="Palatino Linotype" w:cs="Arial"/>
          <w:sz w:val="24"/>
        </w:rPr>
        <w:t>s</w:t>
      </w:r>
      <w:r w:rsidR="008306AC" w:rsidRPr="00954CFD">
        <w:rPr>
          <w:rFonts w:ascii="Palatino Linotype" w:hAnsi="Palatino Linotype" w:cs="Arial"/>
          <w:sz w:val="24"/>
        </w:rPr>
        <w:t xml:space="preserve"> en carpeta</w:t>
      </w:r>
      <w:r w:rsidRPr="00954CFD">
        <w:rPr>
          <w:rFonts w:ascii="Palatino Linotype" w:hAnsi="Palatino Linotype" w:cs="Arial"/>
          <w:sz w:val="24"/>
        </w:rPr>
        <w:t>s</w:t>
      </w:r>
      <w:r w:rsidR="008306AC" w:rsidRPr="00954CFD">
        <w:rPr>
          <w:rFonts w:ascii="Palatino Linotype" w:hAnsi="Palatino Linotype" w:cs="Arial"/>
          <w:sz w:val="24"/>
        </w:rPr>
        <w:t xml:space="preserve"> de tipo comprimido, de cuyo análisis se observa contener los </w:t>
      </w:r>
      <w:r w:rsidRPr="00954CFD">
        <w:rPr>
          <w:rFonts w:ascii="Palatino Linotype" w:hAnsi="Palatino Linotype" w:cs="Arial"/>
          <w:sz w:val="24"/>
        </w:rPr>
        <w:t xml:space="preserve">mismos </w:t>
      </w:r>
      <w:r w:rsidR="008306AC" w:rsidRPr="00954CFD">
        <w:rPr>
          <w:rFonts w:ascii="Palatino Linotype" w:hAnsi="Palatino Linotype" w:cs="Arial"/>
          <w:sz w:val="24"/>
        </w:rPr>
        <w:t>documentos</w:t>
      </w:r>
      <w:r w:rsidRPr="00954CFD">
        <w:rPr>
          <w:rFonts w:ascii="Palatino Linotype" w:hAnsi="Palatino Linotype" w:cs="Arial"/>
          <w:sz w:val="24"/>
        </w:rPr>
        <w:t xml:space="preserve">, por lo que se describen a continuación, una sola ocasión en obvio de repeticiones innecesarias: </w:t>
      </w:r>
    </w:p>
    <w:p w:rsidR="008306AC" w:rsidRPr="00954CFD" w:rsidRDefault="008306AC" w:rsidP="008306AC">
      <w:pPr>
        <w:spacing w:after="0" w:line="360" w:lineRule="auto"/>
        <w:jc w:val="both"/>
        <w:rPr>
          <w:rFonts w:ascii="Palatino Linotype" w:hAnsi="Palatino Linotype" w:cs="Arial"/>
          <w:sz w:val="24"/>
        </w:rPr>
      </w:pPr>
    </w:p>
    <w:p w:rsidR="008306AC" w:rsidRPr="00954CFD" w:rsidRDefault="00840F2C" w:rsidP="00BA59DD">
      <w:pPr>
        <w:pStyle w:val="Prrafodelista"/>
        <w:numPr>
          <w:ilvl w:val="0"/>
          <w:numId w:val="1"/>
        </w:numPr>
        <w:spacing w:line="360" w:lineRule="auto"/>
        <w:jc w:val="both"/>
        <w:rPr>
          <w:rFonts w:ascii="Palatino Linotype" w:hAnsi="Palatino Linotype" w:cs="Arial"/>
          <w:lang w:val="es-ES_tradnl"/>
        </w:rPr>
      </w:pPr>
      <w:r w:rsidRPr="00954CFD">
        <w:rPr>
          <w:rFonts w:ascii="Palatino Linotype" w:hAnsi="Palatino Linotype" w:cs="Arial"/>
          <w:b/>
          <w:lang w:val="es-ES_tradnl"/>
        </w:rPr>
        <w:t>RespuestaSolicitud00744Presidencia.pdf</w:t>
      </w:r>
      <w:r w:rsidR="006839C3" w:rsidRPr="00954CFD">
        <w:rPr>
          <w:rFonts w:ascii="Palatino Linotype" w:hAnsi="Palatino Linotype" w:cs="Arial"/>
          <w:b/>
          <w:lang w:val="es-ES_tradnl"/>
        </w:rPr>
        <w:t xml:space="preserve"> y RespuestaSolicitud00745Presidencia.pdf</w:t>
      </w:r>
      <w:r w:rsidR="008306AC" w:rsidRPr="00954CFD">
        <w:rPr>
          <w:rFonts w:ascii="Palatino Linotype" w:hAnsi="Palatino Linotype" w:cs="Arial"/>
          <w:b/>
          <w:lang w:val="es-ES_tradnl"/>
        </w:rPr>
        <w:t>:</w:t>
      </w:r>
      <w:r w:rsidR="008306AC" w:rsidRPr="00954CFD">
        <w:rPr>
          <w:rFonts w:ascii="Palatino Linotype" w:hAnsi="Palatino Linotype" w:cs="Arial"/>
          <w:lang w:val="es-ES_tradnl"/>
        </w:rPr>
        <w:t xml:space="preserve"> </w:t>
      </w:r>
      <w:r w:rsidRPr="00954CFD">
        <w:rPr>
          <w:rFonts w:ascii="Palatino Linotype" w:hAnsi="Palatino Linotype" w:cs="Arial"/>
          <w:lang w:val="es-ES_tradnl"/>
        </w:rPr>
        <w:t xml:space="preserve">memorándum </w:t>
      </w:r>
      <w:r w:rsidR="008306AC" w:rsidRPr="00954CFD">
        <w:rPr>
          <w:rFonts w:ascii="Palatino Linotype" w:hAnsi="Palatino Linotype" w:cs="Arial"/>
          <w:lang w:val="es-ES_tradnl"/>
        </w:rPr>
        <w:t xml:space="preserve">número </w:t>
      </w:r>
      <w:r w:rsidRPr="00954CFD">
        <w:rPr>
          <w:rFonts w:ascii="Palatino Linotype" w:hAnsi="Palatino Linotype" w:cs="Arial"/>
          <w:lang w:val="es-ES_tradnl"/>
        </w:rPr>
        <w:t>INFOEM/COMP-SP/042/2022</w:t>
      </w:r>
      <w:r w:rsidR="008306AC" w:rsidRPr="00954CFD">
        <w:rPr>
          <w:rFonts w:ascii="Palatino Linotype" w:hAnsi="Palatino Linotype" w:cs="Arial"/>
          <w:lang w:val="es-ES_tradnl"/>
        </w:rPr>
        <w:t xml:space="preserve"> del </w:t>
      </w:r>
      <w:r w:rsidR="009F7240" w:rsidRPr="00954CFD">
        <w:rPr>
          <w:rFonts w:ascii="Palatino Linotype" w:hAnsi="Palatino Linotype" w:cs="Arial"/>
          <w:lang w:val="es-ES_tradnl"/>
        </w:rPr>
        <w:t xml:space="preserve">uno de junio </w:t>
      </w:r>
      <w:r w:rsidR="008306AC" w:rsidRPr="00954CFD">
        <w:rPr>
          <w:rFonts w:ascii="Palatino Linotype" w:hAnsi="Palatino Linotype" w:cs="Arial"/>
          <w:lang w:val="es-ES_tradnl"/>
        </w:rPr>
        <w:t>de dos mil veintidós,</w:t>
      </w:r>
      <w:r w:rsidR="009F7240" w:rsidRPr="00954CFD">
        <w:rPr>
          <w:rFonts w:ascii="Palatino Linotype" w:hAnsi="Palatino Linotype" w:cs="Arial"/>
          <w:lang w:val="es-ES_tradnl"/>
        </w:rPr>
        <w:t xml:space="preserve"> remitido por el Servidor Público Habilitado de la Secretaria Particular del Comisionado Presidente a</w:t>
      </w:r>
      <w:r w:rsidR="008306AC" w:rsidRPr="00954CFD">
        <w:rPr>
          <w:rFonts w:ascii="Palatino Linotype" w:hAnsi="Palatino Linotype" w:cs="Arial"/>
          <w:lang w:val="es-ES_tradnl"/>
        </w:rPr>
        <w:t>l Titular de la Unidad de Transparencia</w:t>
      </w:r>
      <w:r w:rsidR="009F7240" w:rsidRPr="00954CFD">
        <w:rPr>
          <w:rFonts w:ascii="Palatino Linotype" w:hAnsi="Palatino Linotype" w:cs="Arial"/>
          <w:lang w:val="es-ES_tradnl"/>
        </w:rPr>
        <w:t>, ambos</w:t>
      </w:r>
      <w:r w:rsidR="008306AC" w:rsidRPr="00954CFD">
        <w:rPr>
          <w:rFonts w:ascii="Palatino Linotype" w:hAnsi="Palatino Linotype" w:cs="Arial"/>
          <w:lang w:val="es-ES_tradnl"/>
        </w:rPr>
        <w:t xml:space="preserve"> del Sujeto </w:t>
      </w:r>
      <w:r w:rsidR="008306AC" w:rsidRPr="00954CFD">
        <w:rPr>
          <w:rFonts w:ascii="Palatino Linotype" w:hAnsi="Palatino Linotype" w:cs="Arial"/>
          <w:lang w:val="es-ES_tradnl"/>
        </w:rPr>
        <w:lastRenderedPageBreak/>
        <w:t xml:space="preserve">Obligado, </w:t>
      </w:r>
      <w:r w:rsidR="009F7240" w:rsidRPr="00954CFD">
        <w:rPr>
          <w:rFonts w:ascii="Palatino Linotype" w:hAnsi="Palatino Linotype" w:cs="Arial"/>
          <w:lang w:val="es-ES_tradnl"/>
        </w:rPr>
        <w:t xml:space="preserve">mediante el cual emite </w:t>
      </w:r>
      <w:r w:rsidR="008306AC" w:rsidRPr="00954CFD">
        <w:rPr>
          <w:rFonts w:ascii="Palatino Linotype" w:hAnsi="Palatino Linotype" w:cs="Arial"/>
          <w:lang w:val="es-ES_tradnl"/>
        </w:rPr>
        <w:t xml:space="preserve">respuesta </w:t>
      </w:r>
      <w:r w:rsidR="009F7240" w:rsidRPr="00954CFD">
        <w:rPr>
          <w:rFonts w:ascii="Palatino Linotype" w:hAnsi="Palatino Linotype" w:cs="Arial"/>
          <w:lang w:val="es-ES_tradnl"/>
        </w:rPr>
        <w:t>objetivamente en los términos siguientes:</w:t>
      </w:r>
    </w:p>
    <w:p w:rsidR="008306AC" w:rsidRPr="00954CFD" w:rsidRDefault="008306AC" w:rsidP="008306AC">
      <w:pPr>
        <w:spacing w:after="0" w:line="360" w:lineRule="auto"/>
        <w:jc w:val="both"/>
        <w:rPr>
          <w:rFonts w:ascii="Palatino Linotype" w:hAnsi="Palatino Linotype" w:cs="Arial"/>
          <w:sz w:val="24"/>
          <w:lang w:val="es-ES_tradnl"/>
        </w:rPr>
      </w:pPr>
    </w:p>
    <w:p w:rsidR="009F7240" w:rsidRPr="00954CFD" w:rsidRDefault="006839C3" w:rsidP="006839C3">
      <w:pPr>
        <w:spacing w:after="0" w:line="240" w:lineRule="auto"/>
        <w:ind w:left="567" w:right="567"/>
        <w:jc w:val="both"/>
        <w:rPr>
          <w:rFonts w:ascii="Palatino Linotype" w:hAnsi="Palatino Linotype" w:cs="Arial"/>
          <w:i/>
        </w:rPr>
      </w:pPr>
      <w:r w:rsidRPr="00954CFD">
        <w:rPr>
          <w:rFonts w:ascii="Palatino Linotype" w:hAnsi="Palatino Linotype" w:cs="Arial"/>
          <w:i/>
          <w:lang w:val="es-ES_tradnl"/>
        </w:rPr>
        <w:t>“…</w:t>
      </w:r>
      <w:r w:rsidRPr="00954CFD">
        <w:rPr>
          <w:rFonts w:ascii="Palatino Linotype" w:hAnsi="Palatino Linotype" w:cs="Arial"/>
          <w:i/>
        </w:rPr>
        <w:t>en lo relativo a los proyectos, entendiéndose por ellos los proyectos de resolución emitidos por el Comisionado Presidente, los mismos se encuentran</w:t>
      </w:r>
      <w:r w:rsidR="00B10F7E" w:rsidRPr="00954CFD">
        <w:rPr>
          <w:rFonts w:ascii="Palatino Linotype" w:hAnsi="Palatino Linotype" w:cs="Arial"/>
          <w:i/>
        </w:rPr>
        <w:t xml:space="preserve"> </w:t>
      </w:r>
      <w:r w:rsidRPr="00954CFD">
        <w:rPr>
          <w:rFonts w:ascii="Palatino Linotype" w:hAnsi="Palatino Linotype" w:cs="Arial"/>
          <w:i/>
        </w:rPr>
        <w:t xml:space="preserve">públicados en la página electrónica institucional, en el apartado "Información pública", seleccionando la opción "Recursos en versión pública", se inserta enlace electrónico para pronta referencia </w:t>
      </w:r>
      <w:hyperlink r:id="rId7" w:history="1">
        <w:r w:rsidRPr="00954CFD">
          <w:rPr>
            <w:rStyle w:val="Hipervnculo"/>
            <w:rFonts w:ascii="Palatino Linotype" w:hAnsi="Palatino Linotype" w:cs="Arial"/>
            <w:i/>
          </w:rPr>
          <w:t>https://www.infoem.org.mx/es/nodc/806/</w:t>
        </w:r>
      </w:hyperlink>
      <w:r w:rsidRPr="00954CFD">
        <w:rPr>
          <w:rFonts w:ascii="Palatino Linotype" w:hAnsi="Palatino Linotype" w:cs="Arial"/>
          <w:i/>
        </w:rPr>
        <w:t>....”</w:t>
      </w:r>
    </w:p>
    <w:p w:rsidR="006839C3" w:rsidRPr="00954CFD" w:rsidRDefault="006839C3" w:rsidP="006839C3">
      <w:pPr>
        <w:spacing w:after="0" w:line="240" w:lineRule="auto"/>
        <w:ind w:left="567" w:right="567"/>
        <w:jc w:val="both"/>
        <w:rPr>
          <w:rFonts w:ascii="Palatino Linotype" w:hAnsi="Palatino Linotype" w:cs="Arial"/>
          <w:i/>
        </w:rPr>
      </w:pPr>
    </w:p>
    <w:p w:rsidR="006839C3" w:rsidRPr="00954CFD" w:rsidRDefault="006839C3" w:rsidP="006839C3">
      <w:pPr>
        <w:spacing w:after="0" w:line="240" w:lineRule="auto"/>
        <w:ind w:left="567" w:right="567"/>
        <w:jc w:val="both"/>
        <w:rPr>
          <w:rFonts w:ascii="Palatino Linotype" w:hAnsi="Palatino Linotype" w:cs="Arial"/>
          <w:i/>
        </w:rPr>
      </w:pPr>
      <w:r w:rsidRPr="00954CFD">
        <w:rPr>
          <w:rFonts w:ascii="Palatino Linotype" w:hAnsi="Palatino Linotype" w:cs="Arial"/>
          <w:i/>
        </w:rPr>
        <w:t xml:space="preserve">“…a los </w:t>
      </w:r>
      <w:r w:rsidRPr="00954CFD">
        <w:rPr>
          <w:rFonts w:ascii="Palatino Linotype" w:hAnsi="Palatino Linotype" w:cs="Arial"/>
          <w:b/>
          <w:i/>
        </w:rPr>
        <w:t>informes de actividades</w:t>
      </w:r>
      <w:r w:rsidRPr="00954CFD">
        <w:rPr>
          <w:rFonts w:ascii="Palatino Linotype" w:hAnsi="Palatino Linotype" w:cs="Arial"/>
          <w:i/>
        </w:rPr>
        <w:t xml:space="preserve">, me permito informarle que la información se encuentra públicada tanto en la página institucional, en el apartado de “Publicaciones”, asi como en el portal IPOMEX de este Órgano Garante, consultables en las ligas electronicas siguientes: </w:t>
      </w:r>
      <w:r w:rsidRPr="00954CFD">
        <w:rPr>
          <w:rFonts w:ascii="Palatino Linotype" w:hAnsi="Palatino Linotype" w:cs="Arial"/>
          <w:i/>
          <w:u w:val="single"/>
        </w:rPr>
        <w:t>https://www.infoem.org.mx/es/contenido/conocenos/publicaciones</w:t>
      </w:r>
      <w:r w:rsidRPr="00954CFD">
        <w:rPr>
          <w:rFonts w:ascii="Palatino Linotype" w:hAnsi="Palatino Linotype" w:cs="Arial"/>
          <w:i/>
        </w:rPr>
        <w:t xml:space="preserve"> y </w:t>
      </w:r>
      <w:hyperlink r:id="rId8" w:history="1">
        <w:r w:rsidRPr="00954CFD">
          <w:rPr>
            <w:rStyle w:val="Hipervnculo"/>
            <w:rFonts w:ascii="Palatino Linotype" w:hAnsi="Palatino Linotype" w:cs="Arial"/>
            <w:i/>
          </w:rPr>
          <w:t>https://www.ipomex.org.mx/ipo3/lgt/indice/INFOEM/art_92_xxxiii.web?token=03AGdBq276YAXTFH9xgSKuGLy9jxKYVO21ER2ikLTEyxAPKs2uf5CYSU5bfFxNpZwMiI3rPXgdyAvNOrTxAHDe-_Cs8RwYWXUYW2NNnw_w7on307rLcBF0c6quIAxKmWvwjm0LG_5iLb8y-blPUFNMcRpEX7QPRcPsnRICruWNLix9jfS0S8NzcMklstnHjLQbwMRySkmJss256_DXruRvbXDRxoFpvtltKwH5x-mgaTzUUphRKciFYdvrSamNrkXZaUYVcFHph84TcU10PJpqspZZuRsXbhi5dgzTq68BAQxfH4u0vd101eO8MwREOcEdBhMvZkxDZK9J4S2deVXYfnC777G7oy6lkkJgMH8vTH2RXYFSknkGJNqFm_8EMWfWRw1M4S21s5zWwjwACsH6gt-YjhcOZOrVBTgsOktTeLbDy_VuMs0Fr4Y135kPjEEYBqkW1USdoNCstK9nW1T3RnMGDsqdokxzC2Ujl5VOP-z4f9EdWqrgWZQtlqSO3_l19es25K8sk7DD#</w:t>
        </w:r>
      </w:hyperlink>
      <w:r w:rsidRPr="00954CFD">
        <w:rPr>
          <w:rFonts w:ascii="Palatino Linotype" w:hAnsi="Palatino Linotype" w:cs="Arial"/>
          <w:i/>
        </w:rPr>
        <w:t xml:space="preserve">. </w:t>
      </w:r>
    </w:p>
    <w:p w:rsidR="006839C3" w:rsidRPr="00954CFD" w:rsidRDefault="006839C3" w:rsidP="006839C3">
      <w:pPr>
        <w:spacing w:after="0" w:line="240" w:lineRule="auto"/>
        <w:ind w:left="567" w:right="567"/>
        <w:jc w:val="both"/>
        <w:rPr>
          <w:rFonts w:ascii="Palatino Linotype" w:hAnsi="Palatino Linotype" w:cs="Arial"/>
          <w:i/>
        </w:rPr>
      </w:pPr>
    </w:p>
    <w:p w:rsidR="006839C3" w:rsidRPr="00954CFD" w:rsidRDefault="006839C3" w:rsidP="006839C3">
      <w:pPr>
        <w:spacing w:after="0" w:line="240" w:lineRule="auto"/>
        <w:ind w:left="567" w:right="567"/>
        <w:jc w:val="both"/>
        <w:rPr>
          <w:rFonts w:ascii="Palatino Linotype" w:hAnsi="Palatino Linotype" w:cs="Arial"/>
          <w:i/>
        </w:rPr>
      </w:pPr>
      <w:r w:rsidRPr="00954CFD">
        <w:rPr>
          <w:rFonts w:ascii="Palatino Linotype" w:hAnsi="Palatino Linotype" w:cs="Arial"/>
          <w:i/>
        </w:rPr>
        <w:t xml:space="preserve">Continuando en lo relativo a las </w:t>
      </w:r>
      <w:r w:rsidRPr="00954CFD">
        <w:rPr>
          <w:rFonts w:ascii="Palatino Linotype" w:hAnsi="Palatino Linotype" w:cs="Arial"/>
          <w:b/>
          <w:i/>
        </w:rPr>
        <w:t>iniciativas</w:t>
      </w:r>
      <w:r w:rsidRPr="00954CFD">
        <w:rPr>
          <w:rFonts w:ascii="Palatino Linotype" w:hAnsi="Palatino Linotype" w:cs="Arial"/>
          <w:i/>
        </w:rPr>
        <w:t xml:space="preserve"> entendiendose estas como iniciativas de reforma de Ley, de conformidad con la fracción XVIII del artículo  la Ley de Transparencia y Acceso a la Información Pública del Estado de México y Municipios, que señala:</w:t>
      </w:r>
    </w:p>
    <w:p w:rsidR="006839C3" w:rsidRPr="00954CFD" w:rsidRDefault="006839C3" w:rsidP="006839C3">
      <w:pPr>
        <w:spacing w:after="0" w:line="240" w:lineRule="auto"/>
        <w:ind w:left="567" w:right="567"/>
        <w:jc w:val="both"/>
        <w:rPr>
          <w:rFonts w:ascii="Palatino Linotype" w:hAnsi="Palatino Linotype" w:cs="Arial"/>
          <w:i/>
        </w:rPr>
      </w:pPr>
    </w:p>
    <w:p w:rsidR="006839C3" w:rsidRPr="00954CFD" w:rsidRDefault="006839C3" w:rsidP="006839C3">
      <w:pPr>
        <w:spacing w:after="0" w:line="240" w:lineRule="auto"/>
        <w:ind w:left="567" w:right="567"/>
        <w:jc w:val="both"/>
        <w:rPr>
          <w:rFonts w:ascii="Palatino Linotype" w:hAnsi="Palatino Linotype" w:cs="Arial"/>
          <w:i/>
        </w:rPr>
      </w:pPr>
      <w:r w:rsidRPr="00954CFD">
        <w:rPr>
          <w:rFonts w:ascii="Palatino Linotype" w:hAnsi="Palatino Linotype" w:cs="Arial"/>
          <w:i/>
        </w:rPr>
        <w:t>“</w:t>
      </w:r>
      <w:r w:rsidRPr="00954CFD">
        <w:rPr>
          <w:rFonts w:ascii="Palatino Linotype" w:hAnsi="Palatino Linotype" w:cs="Arial"/>
          <w:b/>
          <w:i/>
        </w:rPr>
        <w:t xml:space="preserve">Artículo 33. </w:t>
      </w:r>
      <w:r w:rsidRPr="00954CFD">
        <w:rPr>
          <w:rFonts w:ascii="Palatino Linotype" w:hAnsi="Palatino Linotype" w:cs="Arial"/>
          <w:i/>
        </w:rPr>
        <w:t>La dirección y administración del Instituto estará a cargo de un Pleno y su Presidente, este último tendrá la representación legal, así como las facultades y obligaciones siguientes:</w:t>
      </w:r>
    </w:p>
    <w:p w:rsidR="006839C3" w:rsidRPr="00954CFD" w:rsidRDefault="006839C3" w:rsidP="006839C3">
      <w:pPr>
        <w:spacing w:after="0" w:line="240" w:lineRule="auto"/>
        <w:ind w:left="567" w:right="567"/>
        <w:jc w:val="both"/>
        <w:rPr>
          <w:rFonts w:ascii="Palatino Linotype" w:hAnsi="Palatino Linotype" w:cs="Arial"/>
          <w:i/>
        </w:rPr>
      </w:pPr>
      <w:r w:rsidRPr="00954CFD">
        <w:rPr>
          <w:rFonts w:ascii="Palatino Linotype" w:hAnsi="Palatino Linotype" w:cs="Arial"/>
          <w:i/>
        </w:rPr>
        <w:t>(…)</w:t>
      </w:r>
    </w:p>
    <w:p w:rsidR="006839C3" w:rsidRPr="00954CFD" w:rsidRDefault="006839C3" w:rsidP="006839C3">
      <w:pPr>
        <w:spacing w:after="0" w:line="240" w:lineRule="auto"/>
        <w:ind w:left="567" w:right="567"/>
        <w:jc w:val="both"/>
        <w:rPr>
          <w:rFonts w:ascii="Palatino Linotype" w:hAnsi="Palatino Linotype" w:cs="Arial"/>
          <w:i/>
        </w:rPr>
      </w:pPr>
      <w:r w:rsidRPr="00954CFD">
        <w:rPr>
          <w:rFonts w:ascii="Palatino Linotype" w:hAnsi="Palatino Linotype" w:cs="Arial"/>
          <w:b/>
          <w:i/>
        </w:rPr>
        <w:t xml:space="preserve">XVIII. </w:t>
      </w:r>
      <w:r w:rsidRPr="00954CFD">
        <w:rPr>
          <w:rFonts w:ascii="Palatino Linotype" w:hAnsi="Palatino Linotype" w:cs="Arial"/>
          <w:i/>
        </w:rPr>
        <w:t>Presentar, previo acuerdo del Pleno, las propuestas de reforma a la Ley, y ponerlas a la consideración de la Legislatura del Estado; y</w:t>
      </w:r>
    </w:p>
    <w:p w:rsidR="006839C3" w:rsidRPr="00954CFD" w:rsidRDefault="006839C3" w:rsidP="006839C3">
      <w:pPr>
        <w:spacing w:after="0" w:line="240" w:lineRule="auto"/>
        <w:ind w:left="567" w:right="567"/>
        <w:jc w:val="both"/>
        <w:rPr>
          <w:rFonts w:ascii="Palatino Linotype" w:hAnsi="Palatino Linotype" w:cs="Arial"/>
          <w:i/>
        </w:rPr>
      </w:pPr>
      <w:r w:rsidRPr="00954CFD">
        <w:rPr>
          <w:rFonts w:ascii="Palatino Linotype" w:hAnsi="Palatino Linotype" w:cs="Arial"/>
          <w:i/>
        </w:rPr>
        <w:lastRenderedPageBreak/>
        <w:t xml:space="preserve">De conformidad con el precepto legal citado, me permito informarle que </w:t>
      </w:r>
      <w:r w:rsidRPr="00954CFD">
        <w:rPr>
          <w:rFonts w:ascii="Palatino Linotype" w:hAnsi="Palatino Linotype" w:cs="Arial"/>
          <w:b/>
          <w:i/>
        </w:rPr>
        <w:t>no se han generado iniciativas de propuesta de reforma</w:t>
      </w:r>
      <w:r w:rsidRPr="00954CFD">
        <w:rPr>
          <w:rFonts w:ascii="Palatino Linotype" w:hAnsi="Palatino Linotype" w:cs="Arial"/>
          <w:i/>
        </w:rPr>
        <w:t xml:space="preserve"> a la citada Ley, por lo que nos encontramos ante un </w:t>
      </w:r>
      <w:r w:rsidRPr="00954CFD">
        <w:rPr>
          <w:rFonts w:ascii="Palatino Linotype" w:hAnsi="Palatino Linotype" w:cs="Arial"/>
          <w:b/>
          <w:i/>
        </w:rPr>
        <w:t>hecho negativo,</w:t>
      </w:r>
      <w:r w:rsidRPr="00954CFD">
        <w:rPr>
          <w:rFonts w:ascii="Palatino Linotype" w:hAnsi="Palatino Linotype" w:cs="Arial"/>
          <w:i/>
        </w:rPr>
        <w:t xml:space="preserve"> al no existir el hecho generado, por lo tanto, dichos requerimientos no pueden obrar en los archivos de esta área, ya que no puede probarse por ser lógica y materialmente imposible, debido a que, al no haber generado dicha información.</w:t>
      </w:r>
    </w:p>
    <w:p w:rsidR="006839C3" w:rsidRPr="00954CFD" w:rsidRDefault="006839C3" w:rsidP="006839C3">
      <w:pPr>
        <w:spacing w:after="0" w:line="240" w:lineRule="auto"/>
        <w:ind w:left="567" w:right="567"/>
        <w:jc w:val="both"/>
        <w:rPr>
          <w:rFonts w:ascii="Palatino Linotype" w:hAnsi="Palatino Linotype" w:cs="Arial"/>
          <w:i/>
        </w:rPr>
      </w:pPr>
    </w:p>
    <w:p w:rsidR="006839C3" w:rsidRPr="00954CFD" w:rsidRDefault="006839C3" w:rsidP="006839C3">
      <w:pPr>
        <w:spacing w:after="0" w:line="240" w:lineRule="auto"/>
        <w:ind w:left="567" w:right="567"/>
        <w:jc w:val="both"/>
        <w:rPr>
          <w:rFonts w:ascii="Palatino Linotype" w:hAnsi="Palatino Linotype" w:cs="Arial"/>
          <w:i/>
        </w:rPr>
      </w:pPr>
      <w:r w:rsidRPr="00954CFD">
        <w:rPr>
          <w:rFonts w:ascii="Palatino Linotype" w:hAnsi="Palatino Linotype" w:cs="Arial"/>
          <w:i/>
        </w:rPr>
        <w:t>…</w:t>
      </w:r>
    </w:p>
    <w:p w:rsidR="006839C3" w:rsidRPr="00954CFD" w:rsidRDefault="006839C3" w:rsidP="006839C3">
      <w:pPr>
        <w:spacing w:after="0" w:line="240" w:lineRule="auto"/>
        <w:ind w:left="567" w:right="567"/>
        <w:jc w:val="both"/>
        <w:rPr>
          <w:rFonts w:ascii="Palatino Linotype" w:hAnsi="Palatino Linotype" w:cs="Arial"/>
          <w:i/>
        </w:rPr>
      </w:pPr>
    </w:p>
    <w:p w:rsidR="006839C3" w:rsidRPr="00954CFD" w:rsidRDefault="006839C3" w:rsidP="006839C3">
      <w:pPr>
        <w:spacing w:after="0" w:line="240" w:lineRule="auto"/>
        <w:ind w:left="567" w:right="567"/>
        <w:jc w:val="both"/>
        <w:rPr>
          <w:rFonts w:ascii="Palatino Linotype" w:hAnsi="Palatino Linotype" w:cs="Arial"/>
          <w:i/>
        </w:rPr>
      </w:pPr>
      <w:r w:rsidRPr="00954CFD">
        <w:rPr>
          <w:rFonts w:ascii="Palatino Linotype" w:hAnsi="Palatino Linotype" w:cs="Arial"/>
          <w:i/>
        </w:rPr>
        <w:t xml:space="preserve">“…relativo a los </w:t>
      </w:r>
      <w:r w:rsidRPr="00954CFD">
        <w:rPr>
          <w:rFonts w:ascii="Palatino Linotype" w:hAnsi="Palatino Linotype" w:cs="Arial"/>
          <w:b/>
          <w:i/>
        </w:rPr>
        <w:t>estudios</w:t>
      </w:r>
      <w:r w:rsidRPr="00954CFD">
        <w:rPr>
          <w:rFonts w:ascii="Palatino Linotype" w:hAnsi="Palatino Linotype" w:cs="Arial"/>
          <w:i/>
        </w:rPr>
        <w:t xml:space="preserve"> realizados por el Comisionado Presidente, se le hace del conocimiento que dicha información se encuentra consagrada en la fracción XLV del artículo 92 de la Ley de Transparencia local, relativa a los estudios financiados con recursos públicos. Información que se encuentra publicada en el </w:t>
      </w:r>
      <w:r w:rsidRPr="00954CFD">
        <w:rPr>
          <w:rFonts w:ascii="Palatino Linotype" w:hAnsi="Palatino Linotype" w:cs="Arial"/>
          <w:b/>
          <w:i/>
        </w:rPr>
        <w:t>portal IPOMEX</w:t>
      </w:r>
      <w:r w:rsidRPr="00954CFD">
        <w:rPr>
          <w:rFonts w:ascii="Palatino Linotype" w:hAnsi="Palatino Linotype" w:cs="Arial"/>
          <w:i/>
        </w:rPr>
        <w:t xml:space="preserve"> de este Instituto de Transparencia, no obstante, se puede observar que </w:t>
      </w:r>
      <w:r w:rsidRPr="00954CFD">
        <w:rPr>
          <w:rFonts w:ascii="Palatino Linotype" w:hAnsi="Palatino Linotype" w:cs="Arial"/>
          <w:b/>
          <w:i/>
        </w:rPr>
        <w:t>no se han generado información al no contar con presupuesto para financiar estudios</w:t>
      </w:r>
      <w:r w:rsidRPr="00954CFD">
        <w:rPr>
          <w:rFonts w:ascii="Palatino Linotype" w:hAnsi="Palatino Linotype" w:cs="Arial"/>
          <w:i/>
        </w:rPr>
        <w:t>. En consecuencia, nos encontramos de nueva cuenta ante un hecho negativo. Se comparte a continuación el enlace electrónico del portal IPOMEX, para su pronta referencia:</w:t>
      </w:r>
    </w:p>
    <w:p w:rsidR="006839C3" w:rsidRPr="00954CFD" w:rsidRDefault="006839C3" w:rsidP="006839C3">
      <w:pPr>
        <w:spacing w:after="0" w:line="240" w:lineRule="auto"/>
        <w:ind w:left="567" w:right="567"/>
        <w:jc w:val="both"/>
        <w:rPr>
          <w:rFonts w:ascii="Palatino Linotype" w:hAnsi="Palatino Linotype" w:cs="Arial"/>
          <w:i/>
        </w:rPr>
      </w:pPr>
    </w:p>
    <w:p w:rsidR="006839C3" w:rsidRPr="00954CFD" w:rsidRDefault="00520C98" w:rsidP="006839C3">
      <w:pPr>
        <w:spacing w:after="0" w:line="240" w:lineRule="auto"/>
        <w:ind w:left="567" w:right="567"/>
        <w:jc w:val="both"/>
        <w:rPr>
          <w:rFonts w:ascii="Palatino Linotype" w:hAnsi="Palatino Linotype" w:cs="Arial"/>
          <w:i/>
        </w:rPr>
      </w:pPr>
      <w:hyperlink r:id="rId9" w:history="1">
        <w:r w:rsidR="006839C3" w:rsidRPr="00954CFD">
          <w:rPr>
            <w:rStyle w:val="Hipervnculo"/>
            <w:rFonts w:ascii="Palatino Linotype" w:hAnsi="Palatino Linotype" w:cs="Arial"/>
            <w:i/>
          </w:rPr>
          <w:t>https://www.ipomex.org.mx/ipo3/lgt/indice/INFOEM/art_92_xlv_a.web?token=03AGdBq24ubg02Q65YUP5YDVEEm0nBCY-kg3j2K4vKh7gWSJ6_aBlBnTfrxsHKg6JroR4n2EHlGCsUcdwy29BjA3dXgoR_ZRTKVrccRgAT0iL-M2Ur5ppkV0KrJoghYyzjSjNTzyEhzrliGIl9bR_pGjd5xWGP1CxmTuigu78Ni16anNX2N6mAI515mPPj_0yh4NyRsMQIqKFLOTm4xVMFofo2WIWW56jRxrbwV9d_XxUdVke_whJreyMvATKjCEdWD73TvseyfBg99rnnnYGYDbc8YTmD1G9mCNiXI0SjWDklWaQ1lU8hjV11MpkiZFf9fiqjd6iVHI5Lf1lpEsv2V3s4ks4plqMDlzzAyvXodBlso-2tmoxdtwFIOvFyFQH2Ni3VFCpWUV7WFK5AHk3fb-GFhzOzOlmgEF4KxxM-YvepWvJMXNrfixJ-tOIq5yT2VondU0gKNFIlerI_nwVIjllM2ZEcUpKZ72cbcQRLVkm2z-uFcNNv-bgWWcEKEMYcGRsPYtyaOJIq#</w:t>
        </w:r>
      </w:hyperlink>
      <w:r w:rsidR="006839C3" w:rsidRPr="00954CFD">
        <w:rPr>
          <w:rFonts w:ascii="Palatino Linotype" w:hAnsi="Palatino Linotype" w:cs="Arial"/>
          <w:i/>
        </w:rPr>
        <w:t>”</w:t>
      </w:r>
    </w:p>
    <w:p w:rsidR="009F7240" w:rsidRPr="00954CFD" w:rsidRDefault="009F7240" w:rsidP="008306AC">
      <w:pPr>
        <w:spacing w:after="0" w:line="360" w:lineRule="auto"/>
        <w:jc w:val="both"/>
        <w:rPr>
          <w:rFonts w:ascii="Palatino Linotype" w:hAnsi="Palatino Linotype" w:cs="Arial"/>
          <w:sz w:val="24"/>
          <w:lang w:val="es-ES_tradnl"/>
        </w:rPr>
      </w:pPr>
    </w:p>
    <w:p w:rsidR="008306AC" w:rsidRPr="00954CFD" w:rsidRDefault="006839C3" w:rsidP="006839C3">
      <w:pPr>
        <w:pStyle w:val="Prrafodelista"/>
        <w:numPr>
          <w:ilvl w:val="0"/>
          <w:numId w:val="1"/>
        </w:numPr>
        <w:spacing w:line="360" w:lineRule="auto"/>
        <w:jc w:val="both"/>
        <w:rPr>
          <w:rFonts w:ascii="Palatino Linotype" w:hAnsi="Palatino Linotype" w:cs="Arial"/>
          <w:b/>
          <w:lang w:val="es-ES_tradnl"/>
        </w:rPr>
      </w:pPr>
      <w:r w:rsidRPr="00954CFD">
        <w:rPr>
          <w:rFonts w:ascii="Palatino Linotype" w:hAnsi="Palatino Linotype" w:cs="Arial"/>
          <w:b/>
          <w:lang w:val="es-ES_tradnl"/>
        </w:rPr>
        <w:t>RespuestaSolicitud00744PCSCMM.pdf y RespuestaSolicitud00745PCSCMM.pdf</w:t>
      </w:r>
      <w:r w:rsidR="008306AC" w:rsidRPr="00954CFD">
        <w:rPr>
          <w:rFonts w:ascii="Palatino Linotype" w:hAnsi="Palatino Linotype" w:cs="Arial"/>
          <w:b/>
          <w:lang w:val="es-ES_tradnl"/>
        </w:rPr>
        <w:t>:</w:t>
      </w:r>
      <w:r w:rsidR="008306AC" w:rsidRPr="00954CFD">
        <w:rPr>
          <w:rFonts w:ascii="Palatino Linotype" w:hAnsi="Palatino Linotype" w:cs="Arial"/>
          <w:lang w:val="es-ES_tradnl"/>
        </w:rPr>
        <w:t xml:space="preserve"> oficio</w:t>
      </w:r>
      <w:r w:rsidRPr="00954CFD">
        <w:rPr>
          <w:rFonts w:ascii="Palatino Linotype" w:hAnsi="Palatino Linotype" w:cs="Arial"/>
          <w:lang w:val="es-ES_tradnl"/>
        </w:rPr>
        <w:t>s</w:t>
      </w:r>
      <w:r w:rsidR="008306AC" w:rsidRPr="00954CFD">
        <w:rPr>
          <w:rFonts w:ascii="Palatino Linotype" w:hAnsi="Palatino Linotype" w:cs="Arial"/>
          <w:lang w:val="es-ES_tradnl"/>
        </w:rPr>
        <w:t xml:space="preserve"> número</w:t>
      </w:r>
      <w:r w:rsidR="002C7EFC" w:rsidRPr="00954CFD">
        <w:rPr>
          <w:rFonts w:ascii="Palatino Linotype" w:hAnsi="Palatino Linotype" w:cs="Arial"/>
          <w:lang w:val="es-ES_tradnl"/>
        </w:rPr>
        <w:t xml:space="preserve"> INFOEM/COM-SCMM/132/2022 y</w:t>
      </w:r>
      <w:r w:rsidR="008306AC" w:rsidRPr="00954CFD">
        <w:rPr>
          <w:rFonts w:ascii="Palatino Linotype" w:hAnsi="Palatino Linotype" w:cs="Arial"/>
          <w:lang w:val="es-ES_tradnl"/>
        </w:rPr>
        <w:t xml:space="preserve"> INFOEM/</w:t>
      </w:r>
      <w:r w:rsidRPr="00954CFD">
        <w:rPr>
          <w:rFonts w:ascii="Palatino Linotype" w:hAnsi="Palatino Linotype" w:cs="Arial"/>
          <w:lang w:val="es-ES_tradnl"/>
        </w:rPr>
        <w:t>COM-SCMM/133/2022</w:t>
      </w:r>
      <w:r w:rsidR="008306AC" w:rsidRPr="00954CFD">
        <w:rPr>
          <w:rFonts w:ascii="Palatino Linotype" w:hAnsi="Palatino Linotype" w:cs="Arial"/>
          <w:lang w:val="es-ES_tradnl"/>
        </w:rPr>
        <w:t xml:space="preserve"> del </w:t>
      </w:r>
      <w:r w:rsidRPr="00954CFD">
        <w:rPr>
          <w:rFonts w:ascii="Palatino Linotype" w:hAnsi="Palatino Linotype" w:cs="Arial"/>
          <w:lang w:val="es-ES_tradnl"/>
        </w:rPr>
        <w:t xml:space="preserve">cuadro de julio </w:t>
      </w:r>
      <w:r w:rsidR="008306AC" w:rsidRPr="00954CFD">
        <w:rPr>
          <w:rFonts w:ascii="Palatino Linotype" w:hAnsi="Palatino Linotype" w:cs="Arial"/>
          <w:lang w:val="es-ES_tradnl"/>
        </w:rPr>
        <w:t xml:space="preserve">de dos mil veintidós, remitido por </w:t>
      </w:r>
      <w:r w:rsidR="002C7EFC" w:rsidRPr="00954CFD">
        <w:rPr>
          <w:rFonts w:ascii="Palatino Linotype" w:hAnsi="Palatino Linotype" w:cs="Arial"/>
          <w:lang w:val="es-ES_tradnl"/>
        </w:rPr>
        <w:t xml:space="preserve">la Servidora Pública Habilitada de la Ponencia de la </w:t>
      </w:r>
      <w:r w:rsidR="002C7EFC" w:rsidRPr="00954CFD">
        <w:rPr>
          <w:rFonts w:ascii="Palatino Linotype" w:hAnsi="Palatino Linotype" w:cs="Arial"/>
          <w:lang w:val="es-ES_tradnl"/>
        </w:rPr>
        <w:lastRenderedPageBreak/>
        <w:t xml:space="preserve">Comisionada Sharon Cristina Morales Martínez a </w:t>
      </w:r>
      <w:r w:rsidR="008306AC" w:rsidRPr="00954CFD">
        <w:rPr>
          <w:rFonts w:ascii="Palatino Linotype" w:hAnsi="Palatino Linotype" w:cs="Arial"/>
          <w:lang w:val="es-ES_tradnl"/>
        </w:rPr>
        <w:t>l</w:t>
      </w:r>
      <w:r w:rsidR="002C7EFC" w:rsidRPr="00954CFD">
        <w:rPr>
          <w:rFonts w:ascii="Palatino Linotype" w:hAnsi="Palatino Linotype" w:cs="Arial"/>
          <w:lang w:val="es-ES_tradnl"/>
        </w:rPr>
        <w:t>a</w:t>
      </w:r>
      <w:r w:rsidR="008306AC" w:rsidRPr="00954CFD">
        <w:rPr>
          <w:rFonts w:ascii="Palatino Linotype" w:hAnsi="Palatino Linotype" w:cs="Arial"/>
          <w:lang w:val="es-ES_tradnl"/>
        </w:rPr>
        <w:t xml:space="preserve"> Titular de la Unidad de Transparencia, ambos del Sujeto Obligado, mediante el cual informa medularmente lo siguiente:</w:t>
      </w:r>
    </w:p>
    <w:p w:rsidR="002C7EFC" w:rsidRPr="00954CFD" w:rsidRDefault="002C7EFC" w:rsidP="002C7EFC">
      <w:pPr>
        <w:spacing w:line="360" w:lineRule="auto"/>
        <w:jc w:val="both"/>
        <w:rPr>
          <w:rFonts w:ascii="Palatino Linotype" w:hAnsi="Palatino Linotype" w:cs="Arial"/>
          <w:b/>
          <w:sz w:val="24"/>
          <w:lang w:val="es-ES_tradnl"/>
        </w:rPr>
      </w:pPr>
    </w:p>
    <w:p w:rsidR="002C7EFC" w:rsidRPr="00954CFD" w:rsidRDefault="008306AC" w:rsidP="002C7EFC">
      <w:pPr>
        <w:spacing w:after="0" w:line="240" w:lineRule="auto"/>
        <w:ind w:left="567" w:right="567"/>
        <w:jc w:val="both"/>
        <w:rPr>
          <w:rFonts w:ascii="Palatino Linotype" w:hAnsi="Palatino Linotype" w:cs="Arial"/>
          <w:i/>
        </w:rPr>
      </w:pPr>
      <w:r w:rsidRPr="00954CFD">
        <w:rPr>
          <w:rFonts w:ascii="Palatino Linotype" w:hAnsi="Palatino Linotype" w:cs="Arial"/>
          <w:i/>
          <w:lang w:val="es-ES_tradnl"/>
        </w:rPr>
        <w:t>“……</w:t>
      </w:r>
      <w:r w:rsidR="002C7EFC" w:rsidRPr="00954CFD">
        <w:rPr>
          <w:rFonts w:ascii="Palatino Linotype" w:hAnsi="Palatino Linotype" w:cs="Arial"/>
          <w:i/>
        </w:rPr>
        <w:t xml:space="preserve">la Comisionada ha contribuido en la elaboración de los proyectos siguientes: </w:t>
      </w:r>
    </w:p>
    <w:p w:rsidR="002C7EFC" w:rsidRPr="00954CFD" w:rsidRDefault="002C7EFC" w:rsidP="002C7EFC">
      <w:pPr>
        <w:spacing w:after="0" w:line="240" w:lineRule="auto"/>
        <w:ind w:left="567" w:right="567"/>
        <w:jc w:val="both"/>
        <w:rPr>
          <w:rFonts w:ascii="Palatino Linotype" w:hAnsi="Palatino Linotype" w:cs="Arial"/>
          <w:i/>
        </w:rPr>
      </w:pPr>
    </w:p>
    <w:p w:rsidR="002C7EFC" w:rsidRPr="00954CFD" w:rsidRDefault="002C7EFC" w:rsidP="002C7EFC">
      <w:pPr>
        <w:spacing w:after="0" w:line="240" w:lineRule="auto"/>
        <w:ind w:left="567" w:right="567"/>
        <w:jc w:val="both"/>
        <w:rPr>
          <w:rFonts w:ascii="Palatino Linotype" w:hAnsi="Palatino Linotype" w:cs="Arial"/>
          <w:i/>
        </w:rPr>
      </w:pPr>
      <w:r w:rsidRPr="00954CFD">
        <w:rPr>
          <w:rFonts w:ascii="Palatino Linotype" w:hAnsi="Palatino Linotype" w:cs="Arial"/>
          <w:i/>
        </w:rPr>
        <w:t>La Comisionada propuso la creación del kiosko digital “denominado “Quio”, con ello el objetivo: de buscar ser una interfaz interactiva, atractiva, amigable e inteligente, a través de la cual, se pueda acceder a los contenidos más solicitados por parte de los usuarios de la página web, así como la localización de información proactiva y en datos abiertos.</w:t>
      </w:r>
    </w:p>
    <w:p w:rsidR="002C7EFC" w:rsidRPr="00954CFD" w:rsidRDefault="002C7EFC" w:rsidP="002C7EFC">
      <w:pPr>
        <w:spacing w:after="0" w:line="240" w:lineRule="auto"/>
        <w:ind w:left="567" w:right="567"/>
        <w:jc w:val="both"/>
        <w:rPr>
          <w:rFonts w:ascii="Palatino Linotype" w:hAnsi="Palatino Linotype" w:cs="Arial"/>
          <w:i/>
        </w:rPr>
      </w:pPr>
    </w:p>
    <w:p w:rsidR="002C7EFC" w:rsidRPr="00954CFD" w:rsidRDefault="002C7EFC" w:rsidP="002C7EFC">
      <w:pPr>
        <w:spacing w:after="0" w:line="240" w:lineRule="auto"/>
        <w:ind w:left="567" w:right="567"/>
        <w:jc w:val="both"/>
        <w:rPr>
          <w:rFonts w:ascii="Palatino Linotype" w:hAnsi="Palatino Linotype" w:cs="Arial"/>
          <w:b/>
          <w:i/>
        </w:rPr>
      </w:pPr>
      <w:r w:rsidRPr="00954CFD">
        <w:rPr>
          <w:rFonts w:ascii="Palatino Linotype" w:hAnsi="Palatino Linotype" w:cs="Arial"/>
          <w:b/>
          <w:i/>
        </w:rPr>
        <w:t xml:space="preserve">Comisión Jurídica y de Criterios 2022 </w:t>
      </w:r>
    </w:p>
    <w:p w:rsidR="002C7EFC" w:rsidRPr="00954CFD" w:rsidRDefault="002C7EFC" w:rsidP="002C7EFC">
      <w:pPr>
        <w:spacing w:after="0" w:line="240" w:lineRule="auto"/>
        <w:ind w:left="567" w:right="567"/>
        <w:jc w:val="both"/>
        <w:rPr>
          <w:rFonts w:ascii="Palatino Linotype" w:hAnsi="Palatino Linotype" w:cs="Arial"/>
          <w:i/>
        </w:rPr>
      </w:pPr>
      <w:r w:rsidRPr="00954CFD">
        <w:rPr>
          <w:rFonts w:ascii="Palatino Linotype" w:hAnsi="Palatino Linotype" w:cs="Arial"/>
          <w:i/>
        </w:rPr>
        <w:t xml:space="preserve">• Proyecto de la Modificación al Reglamento Interior del Instituto de Transparencia, Acceso a la Información Pública y Protección de Datos Personales del Estado de México y Municipios. </w:t>
      </w:r>
    </w:p>
    <w:p w:rsidR="002C7EFC" w:rsidRPr="00954CFD" w:rsidRDefault="002C7EFC" w:rsidP="002C7EFC">
      <w:pPr>
        <w:spacing w:after="0" w:line="240" w:lineRule="auto"/>
        <w:ind w:left="567" w:right="567"/>
        <w:jc w:val="both"/>
        <w:rPr>
          <w:rFonts w:ascii="Palatino Linotype" w:hAnsi="Palatino Linotype" w:cs="Arial"/>
          <w:i/>
        </w:rPr>
      </w:pPr>
    </w:p>
    <w:p w:rsidR="002C7EFC" w:rsidRPr="00954CFD" w:rsidRDefault="002C7EFC" w:rsidP="002C7EFC">
      <w:pPr>
        <w:spacing w:after="0" w:line="240" w:lineRule="auto"/>
        <w:ind w:left="567" w:right="567"/>
        <w:jc w:val="both"/>
        <w:rPr>
          <w:rFonts w:ascii="Palatino Linotype" w:hAnsi="Palatino Linotype" w:cs="Arial"/>
          <w:i/>
        </w:rPr>
      </w:pPr>
      <w:r w:rsidRPr="00954CFD">
        <w:rPr>
          <w:rFonts w:ascii="Palatino Linotype" w:hAnsi="Palatino Linotype" w:cs="Arial"/>
          <w:b/>
          <w:i/>
        </w:rPr>
        <w:t>Comisión de Derechos Humanos, Equidad de Género e Inclusión Social del Sistema Nacional de Transparencia</w:t>
      </w:r>
    </w:p>
    <w:p w:rsidR="002C7EFC" w:rsidRPr="00954CFD" w:rsidRDefault="002C7EFC" w:rsidP="002C7EFC">
      <w:pPr>
        <w:spacing w:after="0" w:line="240" w:lineRule="auto"/>
        <w:ind w:left="567" w:right="567"/>
        <w:jc w:val="both"/>
        <w:rPr>
          <w:rFonts w:ascii="Palatino Linotype" w:hAnsi="Palatino Linotype" w:cs="Arial"/>
          <w:i/>
        </w:rPr>
      </w:pPr>
    </w:p>
    <w:p w:rsidR="008306AC" w:rsidRPr="00954CFD" w:rsidRDefault="002C7EFC" w:rsidP="002C7EFC">
      <w:pPr>
        <w:spacing w:after="0" w:line="240" w:lineRule="auto"/>
        <w:ind w:left="567" w:right="567"/>
        <w:jc w:val="both"/>
        <w:rPr>
          <w:rFonts w:ascii="Palatino Linotype" w:hAnsi="Palatino Linotype" w:cs="Arial"/>
          <w:i/>
        </w:rPr>
      </w:pPr>
      <w:r w:rsidRPr="00954CFD">
        <w:rPr>
          <w:rFonts w:ascii="Palatino Linotype" w:hAnsi="Palatino Linotype" w:cs="Arial"/>
          <w:i/>
        </w:rPr>
        <w:t xml:space="preserve">• La Comisionada realizó observaciones al proyecto denominado </w:t>
      </w:r>
      <w:r w:rsidRPr="00954CFD">
        <w:rPr>
          <w:rFonts w:ascii="Palatino Linotype" w:hAnsi="Palatino Linotype" w:cs="Arial"/>
          <w:b/>
          <w:i/>
        </w:rPr>
        <w:t>"Manual las Políticas Públicas de los Organismos Garantes y los Enfoques de Derechos Humanos, Perspectiva de Género, Inclusión y No Discriminación"</w:t>
      </w:r>
    </w:p>
    <w:p w:rsidR="002C7EFC" w:rsidRPr="00954CFD" w:rsidRDefault="002C7EFC" w:rsidP="002C7EFC">
      <w:pPr>
        <w:spacing w:after="0" w:line="240" w:lineRule="auto"/>
        <w:ind w:left="567" w:right="567"/>
        <w:jc w:val="both"/>
        <w:rPr>
          <w:rFonts w:ascii="Palatino Linotype" w:hAnsi="Palatino Linotype" w:cs="Arial"/>
          <w:i/>
        </w:rPr>
      </w:pPr>
    </w:p>
    <w:p w:rsidR="002C7EFC" w:rsidRPr="00954CFD" w:rsidRDefault="002C7EFC" w:rsidP="002C7EFC">
      <w:pPr>
        <w:spacing w:after="0" w:line="240" w:lineRule="auto"/>
        <w:ind w:left="567" w:right="567"/>
        <w:jc w:val="both"/>
        <w:rPr>
          <w:rFonts w:ascii="Palatino Linotype" w:hAnsi="Palatino Linotype" w:cs="Arial"/>
          <w:b/>
          <w:i/>
        </w:rPr>
      </w:pPr>
      <w:r w:rsidRPr="00954CFD">
        <w:rPr>
          <w:rFonts w:ascii="Palatino Linotype" w:hAnsi="Palatino Linotype" w:cs="Arial"/>
          <w:b/>
          <w:i/>
        </w:rPr>
        <w:t xml:space="preserve">Comisión de Protección de Datos Personales </w:t>
      </w:r>
    </w:p>
    <w:p w:rsidR="002C7EFC" w:rsidRPr="00954CFD" w:rsidRDefault="002C7EFC" w:rsidP="002C7EFC">
      <w:pPr>
        <w:spacing w:after="0" w:line="240" w:lineRule="auto"/>
        <w:ind w:left="567" w:right="567"/>
        <w:jc w:val="both"/>
        <w:rPr>
          <w:rFonts w:ascii="Palatino Linotype" w:hAnsi="Palatino Linotype" w:cs="Arial"/>
          <w:i/>
        </w:rPr>
      </w:pPr>
      <w:r w:rsidRPr="00954CFD">
        <w:rPr>
          <w:rFonts w:ascii="Palatino Linotype" w:hAnsi="Palatino Linotype" w:cs="Arial"/>
          <w:i/>
        </w:rPr>
        <w:t xml:space="preserve">• La Comisionada realizó propuestas y observaciones al proyecto de los Lineamientos para implementar los procedimientos de investigación y verificación, así como la práctica de auditorías voluntarias a los Responsables de la Ley de Protección de Datos Personales. </w:t>
      </w:r>
    </w:p>
    <w:p w:rsidR="002C7EFC" w:rsidRPr="00954CFD" w:rsidRDefault="002C7EFC" w:rsidP="002C7EFC">
      <w:pPr>
        <w:spacing w:after="0" w:line="240" w:lineRule="auto"/>
        <w:ind w:left="567" w:right="567"/>
        <w:jc w:val="both"/>
        <w:rPr>
          <w:rFonts w:ascii="Palatino Linotype" w:hAnsi="Palatino Linotype" w:cs="Arial"/>
          <w:i/>
        </w:rPr>
      </w:pPr>
    </w:p>
    <w:p w:rsidR="002C7EFC" w:rsidRPr="00954CFD" w:rsidRDefault="002C7EFC" w:rsidP="002C7EFC">
      <w:pPr>
        <w:spacing w:after="0" w:line="240" w:lineRule="auto"/>
        <w:ind w:left="567" w:right="567"/>
        <w:jc w:val="both"/>
        <w:rPr>
          <w:rFonts w:ascii="Palatino Linotype" w:hAnsi="Palatino Linotype" w:cs="Arial"/>
          <w:i/>
        </w:rPr>
      </w:pPr>
      <w:r w:rsidRPr="00954CFD">
        <w:rPr>
          <w:rFonts w:ascii="Palatino Linotype" w:hAnsi="Palatino Linotype" w:cs="Arial"/>
          <w:i/>
        </w:rPr>
        <w:t>Por lo que respecta, al requerimiento "</w:t>
      </w:r>
      <w:r w:rsidRPr="00954CFD">
        <w:rPr>
          <w:rFonts w:ascii="Palatino Linotype" w:hAnsi="Palatino Linotype" w:cs="Arial"/>
          <w:b/>
          <w:i/>
        </w:rPr>
        <w:t>solicito los informes de actividades,</w:t>
      </w:r>
      <w:r w:rsidRPr="00954CFD">
        <w:rPr>
          <w:rFonts w:ascii="Palatino Linotype" w:hAnsi="Palatino Linotype" w:cs="Arial"/>
          <w:i/>
        </w:rPr>
        <w:t xml:space="preserve"> (...) iniciativas y estudios realizados por cada Comisionado y el informe general y cuenta pública del Instituto de Transparencia por año 2017, 2018, 2019,2020, 2021 y 2022 en versión editable y con datos abiertos", me permito señalar que esta Ponencia </w:t>
      </w:r>
      <w:r w:rsidRPr="00954CFD">
        <w:rPr>
          <w:rFonts w:ascii="Palatino Linotype" w:hAnsi="Palatino Linotype" w:cs="Arial"/>
          <w:i/>
          <w:u w:val="single"/>
        </w:rPr>
        <w:t>no ha generado un documento que tenga relación con lo solicitado por el ciudadano</w:t>
      </w:r>
      <w:r w:rsidRPr="00954CFD">
        <w:rPr>
          <w:rFonts w:ascii="Palatino Linotype" w:hAnsi="Palatino Linotype" w:cs="Arial"/>
          <w:i/>
        </w:rPr>
        <w:t>…”</w:t>
      </w:r>
    </w:p>
    <w:p w:rsidR="002C7EFC" w:rsidRPr="00954CFD" w:rsidRDefault="002C7EFC" w:rsidP="002C7EFC">
      <w:pPr>
        <w:spacing w:after="0" w:line="240" w:lineRule="auto"/>
        <w:ind w:left="567" w:right="567"/>
        <w:jc w:val="both"/>
        <w:rPr>
          <w:rFonts w:ascii="Palatino Linotype" w:hAnsi="Palatino Linotype" w:cs="Arial"/>
          <w:i/>
        </w:rPr>
      </w:pPr>
    </w:p>
    <w:p w:rsidR="002C7EFC" w:rsidRPr="00954CFD" w:rsidRDefault="002C7EFC" w:rsidP="002C7EFC">
      <w:pPr>
        <w:spacing w:after="0" w:line="240" w:lineRule="auto"/>
        <w:ind w:left="567" w:right="567"/>
        <w:jc w:val="both"/>
        <w:rPr>
          <w:rFonts w:ascii="Palatino Linotype" w:hAnsi="Palatino Linotype" w:cs="Arial"/>
          <w:i/>
        </w:rPr>
      </w:pPr>
      <w:r w:rsidRPr="00954CFD">
        <w:rPr>
          <w:rFonts w:ascii="Palatino Linotype" w:hAnsi="Palatino Linotype" w:cs="Arial"/>
          <w:i/>
        </w:rPr>
        <w:lastRenderedPageBreak/>
        <w:t>No obstante, lo anterior con la finalidad de que, el ciudadano conozca el los informes que se han generado de en años previos al nombramiento de la Comisionada, se proporciona el link de la página institucional del Instituto de Transparencia, Acceso a la Información Pública y Protección de Datos Personales del Estado de México y Municipios, el cual es:&lt; https://www.infoem.org.mx/es/contenido/conocenos/publicaciones&gt;</w:t>
      </w:r>
    </w:p>
    <w:p w:rsidR="008306AC" w:rsidRPr="00954CFD" w:rsidRDefault="008306AC" w:rsidP="008306AC">
      <w:pPr>
        <w:spacing w:after="0" w:line="360" w:lineRule="auto"/>
        <w:jc w:val="both"/>
        <w:rPr>
          <w:rFonts w:ascii="Palatino Linotype" w:hAnsi="Palatino Linotype" w:cs="Arial"/>
          <w:sz w:val="24"/>
          <w:lang w:val="es-ES_tradnl"/>
        </w:rPr>
      </w:pPr>
    </w:p>
    <w:p w:rsidR="002C7EFC" w:rsidRPr="00954CFD" w:rsidRDefault="002C7EFC" w:rsidP="002C7EFC">
      <w:pPr>
        <w:pStyle w:val="Prrafodelista"/>
        <w:numPr>
          <w:ilvl w:val="0"/>
          <w:numId w:val="1"/>
        </w:numPr>
        <w:spacing w:line="360" w:lineRule="auto"/>
        <w:jc w:val="both"/>
        <w:rPr>
          <w:rFonts w:ascii="Palatino Linotype" w:hAnsi="Palatino Linotype" w:cs="Arial"/>
          <w:b/>
          <w:lang w:val="es-ES_tradnl"/>
        </w:rPr>
      </w:pPr>
      <w:r w:rsidRPr="00954CFD">
        <w:rPr>
          <w:rFonts w:ascii="Palatino Linotype" w:hAnsi="Palatino Linotype" w:cs="Arial"/>
          <w:b/>
          <w:lang w:val="es-ES_tradnl"/>
        </w:rPr>
        <w:t>RespuestaSolicitud00744PCMRMA.pdf</w:t>
      </w:r>
      <w:r w:rsidRPr="00954CFD">
        <w:rPr>
          <w:rFonts w:ascii="Palatino Linotype" w:hAnsi="Palatino Linotype" w:cs="Arial"/>
          <w:lang w:val="es-ES_tradnl"/>
        </w:rPr>
        <w:t xml:space="preserve"> y </w:t>
      </w:r>
      <w:r w:rsidRPr="00954CFD">
        <w:rPr>
          <w:rFonts w:ascii="Palatino Linotype" w:hAnsi="Palatino Linotype" w:cs="Arial"/>
          <w:b/>
          <w:lang w:val="es-ES_tradnl"/>
        </w:rPr>
        <w:t>RespuestaSolicitud00745PCMRMA.pdf</w:t>
      </w:r>
      <w:r w:rsidR="008306AC" w:rsidRPr="00954CFD">
        <w:rPr>
          <w:rFonts w:ascii="Palatino Linotype" w:hAnsi="Palatino Linotype" w:cs="Arial"/>
          <w:b/>
          <w:lang w:val="es-ES_tradnl"/>
        </w:rPr>
        <w:t>:</w:t>
      </w:r>
      <w:r w:rsidR="008306AC" w:rsidRPr="00954CFD">
        <w:rPr>
          <w:rFonts w:ascii="Palatino Linotype" w:hAnsi="Palatino Linotype" w:cs="Arial"/>
          <w:lang w:val="es-ES_tradnl"/>
        </w:rPr>
        <w:t xml:space="preserve"> </w:t>
      </w:r>
      <w:r w:rsidRPr="00954CFD">
        <w:rPr>
          <w:rFonts w:ascii="Palatino Linotype" w:hAnsi="Palatino Linotype" w:cs="Arial"/>
          <w:lang w:val="es-ES_tradnl"/>
        </w:rPr>
        <w:t>oficios número INFOEM/COM-MRMA/148/2022 y INFOEM/COM-MRMA/149/2022 del cuadro de julio de dos mil veintidós, remitido por la Servidora Pública Habilitada de la Ponencia de la Comisionada María del Rosario Mejía Ayala a la Titular de la Unidad de Transparencia, ambos del Sujeto Obligado, mediante el cual informa medularmente lo siguiente:</w:t>
      </w:r>
    </w:p>
    <w:p w:rsidR="008306AC" w:rsidRPr="00954CFD" w:rsidRDefault="008306AC" w:rsidP="008306AC">
      <w:pPr>
        <w:spacing w:after="0" w:line="360" w:lineRule="auto"/>
        <w:jc w:val="both"/>
        <w:rPr>
          <w:rFonts w:ascii="Palatino Linotype" w:hAnsi="Palatino Linotype" w:cs="Arial"/>
          <w:sz w:val="24"/>
          <w:lang w:val="es-ES_tradnl"/>
        </w:rPr>
      </w:pPr>
    </w:p>
    <w:p w:rsidR="002C7EFC" w:rsidRPr="00954CFD" w:rsidRDefault="002C7EFC" w:rsidP="002C7EFC">
      <w:pPr>
        <w:spacing w:after="0" w:line="240" w:lineRule="auto"/>
        <w:ind w:left="567" w:right="567"/>
        <w:jc w:val="both"/>
        <w:rPr>
          <w:rFonts w:ascii="Palatino Linotype" w:hAnsi="Palatino Linotype" w:cs="Arial"/>
          <w:i/>
        </w:rPr>
      </w:pPr>
      <w:r w:rsidRPr="00954CFD">
        <w:rPr>
          <w:rFonts w:ascii="Palatino Linotype" w:hAnsi="Palatino Linotype" w:cs="Arial"/>
          <w:i/>
          <w:lang w:val="es-ES_tradnl"/>
        </w:rPr>
        <w:t>“…</w:t>
      </w:r>
      <w:r w:rsidRPr="00954CFD">
        <w:rPr>
          <w:rFonts w:ascii="Palatino Linotype" w:hAnsi="Palatino Linotype" w:cs="Arial"/>
          <w:i/>
        </w:rPr>
        <w:t xml:space="preserve">por lo que respecta a: </w:t>
      </w:r>
      <w:r w:rsidR="0010054E" w:rsidRPr="00954CFD">
        <w:rPr>
          <w:rFonts w:ascii="Palatino Linotype" w:hAnsi="Palatino Linotype" w:cs="Arial"/>
          <w:i/>
          <w:iCs/>
        </w:rPr>
        <w:t>"…</w:t>
      </w:r>
      <w:r w:rsidRPr="00954CFD">
        <w:rPr>
          <w:rFonts w:ascii="Palatino Linotype" w:hAnsi="Palatino Linotype" w:cs="Arial"/>
          <w:b/>
          <w:i/>
          <w:iCs/>
        </w:rPr>
        <w:t>los informes de actividades</w:t>
      </w:r>
      <w:r w:rsidRPr="00954CFD">
        <w:rPr>
          <w:rFonts w:ascii="Palatino Linotype" w:hAnsi="Palatino Linotype" w:cs="Arial"/>
          <w:i/>
          <w:iCs/>
        </w:rPr>
        <w:t xml:space="preserve">"; </w:t>
      </w:r>
      <w:r w:rsidRPr="00954CFD">
        <w:rPr>
          <w:rFonts w:ascii="Palatino Linotype" w:hAnsi="Palatino Linotype" w:cs="Arial"/>
          <w:i/>
        </w:rPr>
        <w:t>entendiendo a estos, como la forma de recopilar información acerca de las actividades abiertas, las metas realizadas, los eventos llevados a cabo a fin de cumplir con el Plan Anual de Trabajo en un ejercicio de verificación de las metas e indicadores establecidos para un periodo en particular.</w:t>
      </w:r>
    </w:p>
    <w:p w:rsidR="0010054E" w:rsidRPr="00954CFD" w:rsidRDefault="0010054E" w:rsidP="002C7EFC">
      <w:pPr>
        <w:spacing w:after="0" w:line="240" w:lineRule="auto"/>
        <w:ind w:left="567" w:right="567"/>
        <w:jc w:val="both"/>
        <w:rPr>
          <w:rFonts w:ascii="Palatino Linotype" w:hAnsi="Palatino Linotype" w:cs="Arial"/>
          <w:i/>
        </w:rPr>
      </w:pPr>
    </w:p>
    <w:p w:rsidR="0010054E" w:rsidRPr="00954CFD" w:rsidRDefault="0010054E" w:rsidP="0010054E">
      <w:pPr>
        <w:spacing w:after="0" w:line="240" w:lineRule="auto"/>
        <w:ind w:left="567" w:right="567"/>
        <w:jc w:val="both"/>
        <w:rPr>
          <w:rFonts w:ascii="Palatino Linotype" w:hAnsi="Palatino Linotype" w:cs="Arial"/>
          <w:i/>
        </w:rPr>
      </w:pPr>
      <w:r w:rsidRPr="00954CFD">
        <w:rPr>
          <w:rFonts w:ascii="Palatino Linotype" w:hAnsi="Palatino Linotype" w:cs="Arial"/>
          <w:i/>
        </w:rPr>
        <w:t xml:space="preserve">Sirviendo como un instrumento de análisis de la planeación y evaluación del desempeño; </w:t>
      </w:r>
      <w:r w:rsidRPr="00954CFD">
        <w:rPr>
          <w:rFonts w:ascii="Palatino Linotype" w:hAnsi="Palatino Linotype" w:cs="Arial"/>
          <w:i/>
          <w:u w:val="single"/>
        </w:rPr>
        <w:t>el área correspondiente</w:t>
      </w:r>
      <w:r w:rsidRPr="00954CFD">
        <w:rPr>
          <w:rFonts w:ascii="Palatino Linotype" w:hAnsi="Palatino Linotype" w:cs="Arial"/>
          <w:i/>
        </w:rPr>
        <w:t xml:space="preserve"> según lo establecido en el Reglamento Interior del Instituto de Transparencia, Acceso a la Información Pública y Protección de Datos Personales del Estado de México y Municipios encargada de elaborar las políticas, normas, lineamientos, sistemas y procedimientos para la administración de los recursos humanos, financieros, materiales y en materia de planeación, programación y evaluación del Instituto, en su artículo 38 Fracción IV </w:t>
      </w:r>
      <w:r w:rsidRPr="00954CFD">
        <w:rPr>
          <w:rFonts w:ascii="Palatino Linotype" w:hAnsi="Palatino Linotype" w:cs="Arial"/>
          <w:i/>
          <w:u w:val="single"/>
        </w:rPr>
        <w:t>es la Dirección General de Administración y Finanzas</w:t>
      </w:r>
      <w:r w:rsidRPr="00954CFD">
        <w:rPr>
          <w:rFonts w:ascii="Palatino Linotype" w:hAnsi="Palatino Linotype" w:cs="Arial"/>
          <w:i/>
        </w:rPr>
        <w:t xml:space="preserve">. </w:t>
      </w:r>
    </w:p>
    <w:p w:rsidR="0010054E" w:rsidRPr="00954CFD" w:rsidRDefault="0010054E" w:rsidP="0010054E">
      <w:pPr>
        <w:spacing w:after="0" w:line="240" w:lineRule="auto"/>
        <w:ind w:left="567" w:right="567"/>
        <w:jc w:val="both"/>
        <w:rPr>
          <w:rFonts w:ascii="Palatino Linotype" w:hAnsi="Palatino Linotype" w:cs="Arial"/>
          <w:i/>
        </w:rPr>
      </w:pPr>
    </w:p>
    <w:p w:rsidR="0010054E" w:rsidRPr="00954CFD" w:rsidRDefault="0010054E" w:rsidP="0010054E">
      <w:pPr>
        <w:spacing w:after="0" w:line="240" w:lineRule="auto"/>
        <w:ind w:left="567" w:right="567"/>
        <w:jc w:val="both"/>
        <w:rPr>
          <w:rFonts w:ascii="Palatino Linotype" w:hAnsi="Palatino Linotype" w:cs="Arial"/>
          <w:i/>
        </w:rPr>
      </w:pPr>
      <w:r w:rsidRPr="00954CFD">
        <w:rPr>
          <w:rFonts w:ascii="Palatino Linotype" w:hAnsi="Palatino Linotype" w:cs="Arial"/>
          <w:i/>
        </w:rPr>
        <w:t xml:space="preserve">No obstante, lo anterior, cabe señalar que los Informes de Actividades correspondientes a cada periodo anual </w:t>
      </w:r>
      <w:r w:rsidRPr="00954CFD">
        <w:rPr>
          <w:rFonts w:ascii="Palatino Linotype" w:hAnsi="Palatino Linotype" w:cs="Arial"/>
          <w:i/>
          <w:u w:val="single"/>
        </w:rPr>
        <w:t>se encuentran publicados en la página de internet del Instituto en "Publicaciones"</w:t>
      </w:r>
      <w:r w:rsidRPr="00954CFD">
        <w:rPr>
          <w:rFonts w:ascii="Palatino Linotype" w:hAnsi="Palatino Linotype" w:cs="Arial"/>
          <w:i/>
        </w:rPr>
        <w:t xml:space="preserve"> en formato *.pdf, en donde podrá localizar el informe de actividades correspondiente del 2017-2021. </w:t>
      </w:r>
    </w:p>
    <w:p w:rsidR="0010054E" w:rsidRPr="00954CFD" w:rsidRDefault="0010054E" w:rsidP="0010054E">
      <w:pPr>
        <w:spacing w:after="0" w:line="240" w:lineRule="auto"/>
        <w:ind w:left="567" w:right="567"/>
        <w:jc w:val="both"/>
        <w:rPr>
          <w:rFonts w:ascii="Palatino Linotype" w:hAnsi="Palatino Linotype" w:cs="Arial"/>
          <w:i/>
        </w:rPr>
      </w:pPr>
    </w:p>
    <w:p w:rsidR="0010054E" w:rsidRPr="00954CFD" w:rsidRDefault="0010054E" w:rsidP="0010054E">
      <w:pPr>
        <w:spacing w:after="0" w:line="240" w:lineRule="auto"/>
        <w:ind w:left="567" w:right="567"/>
        <w:jc w:val="both"/>
        <w:rPr>
          <w:rFonts w:ascii="Palatino Linotype" w:hAnsi="Palatino Linotype" w:cs="Arial"/>
          <w:i/>
        </w:rPr>
      </w:pPr>
      <w:r w:rsidRPr="00954CFD">
        <w:rPr>
          <w:rFonts w:ascii="Palatino Linotype" w:hAnsi="Palatino Linotype" w:cs="Arial"/>
          <w:i/>
        </w:rPr>
        <w:lastRenderedPageBreak/>
        <w:t xml:space="preserve">Se destaca también que se puede conocer la agenda de actividades de los Comisionados en el sitio web del Infoem con la liga directa: </w:t>
      </w:r>
      <w:hyperlink r:id="rId10" w:history="1">
        <w:r w:rsidRPr="00954CFD">
          <w:rPr>
            <w:rStyle w:val="Hipervnculo"/>
            <w:rFonts w:ascii="Palatino Linotype" w:hAnsi="Palatino Linotype" w:cs="Arial"/>
            <w:i/>
          </w:rPr>
          <w:t>https://sistemas2.infoem.org.mx/agendatransparencia/</w:t>
        </w:r>
      </w:hyperlink>
      <w:r w:rsidRPr="00954CFD">
        <w:rPr>
          <w:rFonts w:ascii="Palatino Linotype" w:hAnsi="Palatino Linotype" w:cs="Arial"/>
          <w:i/>
        </w:rPr>
        <w:t xml:space="preserve"> en donde podrá conocer lo realizado, así como visibilizar la evidencia de las acciones ahí mencionadas.</w:t>
      </w:r>
    </w:p>
    <w:p w:rsidR="0010054E" w:rsidRPr="00954CFD" w:rsidRDefault="0010054E" w:rsidP="002C7EFC">
      <w:pPr>
        <w:spacing w:after="0" w:line="240" w:lineRule="auto"/>
        <w:ind w:left="567" w:right="567"/>
        <w:jc w:val="both"/>
        <w:rPr>
          <w:rFonts w:ascii="Palatino Linotype" w:hAnsi="Palatino Linotype" w:cs="Arial"/>
          <w:i/>
        </w:rPr>
      </w:pPr>
    </w:p>
    <w:p w:rsidR="0010054E" w:rsidRPr="00954CFD" w:rsidRDefault="0010054E" w:rsidP="0010054E">
      <w:pPr>
        <w:spacing w:after="0" w:line="240" w:lineRule="auto"/>
        <w:ind w:left="567" w:right="567"/>
        <w:jc w:val="both"/>
        <w:rPr>
          <w:rFonts w:ascii="Palatino Linotype" w:hAnsi="Palatino Linotype" w:cs="Arial"/>
          <w:i/>
        </w:rPr>
      </w:pPr>
      <w:r w:rsidRPr="00954CFD">
        <w:rPr>
          <w:rFonts w:ascii="Palatino Linotype" w:hAnsi="Palatino Linotype" w:cs="Arial"/>
          <w:i/>
        </w:rPr>
        <w:t xml:space="preserve">Aunado a lo anterior, me permito comentar que todos los eventos en los que asisten los Comisionados, se encuentran en el Canal de YouTube, siendo todas las participaciones accesibles para cualquier persona. </w:t>
      </w:r>
    </w:p>
    <w:p w:rsidR="0010054E" w:rsidRPr="00954CFD" w:rsidRDefault="0010054E" w:rsidP="0010054E">
      <w:pPr>
        <w:spacing w:after="0" w:line="240" w:lineRule="auto"/>
        <w:ind w:left="567" w:right="567"/>
        <w:jc w:val="both"/>
        <w:rPr>
          <w:rFonts w:ascii="Palatino Linotype" w:hAnsi="Palatino Linotype" w:cs="Arial"/>
          <w:i/>
        </w:rPr>
      </w:pPr>
    </w:p>
    <w:p w:rsidR="0010054E" w:rsidRPr="00954CFD" w:rsidRDefault="0010054E" w:rsidP="0010054E">
      <w:pPr>
        <w:spacing w:after="0" w:line="240" w:lineRule="auto"/>
        <w:ind w:left="567" w:right="567"/>
        <w:jc w:val="both"/>
        <w:rPr>
          <w:rFonts w:ascii="Palatino Linotype" w:hAnsi="Palatino Linotype" w:cs="Arial"/>
          <w:i/>
        </w:rPr>
      </w:pPr>
      <w:r w:rsidRPr="00954CFD">
        <w:rPr>
          <w:rFonts w:ascii="Palatino Linotype" w:hAnsi="Palatino Linotype" w:cs="Arial"/>
          <w:i/>
        </w:rPr>
        <w:t>Por lo que atañe a la "</w:t>
      </w:r>
      <w:r w:rsidRPr="00954CFD">
        <w:rPr>
          <w:rFonts w:ascii="Palatino Linotype" w:hAnsi="Palatino Linotype" w:cs="Arial"/>
          <w:b/>
          <w:i/>
        </w:rPr>
        <w:t>cuenta pública</w:t>
      </w:r>
      <w:r w:rsidRPr="00954CFD">
        <w:rPr>
          <w:rFonts w:ascii="Palatino Linotype" w:hAnsi="Palatino Linotype" w:cs="Arial"/>
          <w:i/>
        </w:rPr>
        <w:t xml:space="preserve">", el Reglamento Interior de este Órgano Garante establece en su artículo 38 XXV, mismo que a la letra dice que </w:t>
      </w:r>
      <w:r w:rsidRPr="00954CFD">
        <w:rPr>
          <w:rFonts w:ascii="Palatino Linotype" w:hAnsi="Palatino Linotype" w:cs="Arial"/>
          <w:i/>
          <w:u w:val="single"/>
        </w:rPr>
        <w:t>será atribución de la Dirección General de Administración y Finanzas</w:t>
      </w:r>
      <w:r w:rsidRPr="00954CFD">
        <w:rPr>
          <w:rFonts w:ascii="Palatino Linotype" w:hAnsi="Palatino Linotype" w:cs="Arial"/>
          <w:i/>
        </w:rPr>
        <w:t>:”</w:t>
      </w:r>
    </w:p>
    <w:p w:rsidR="002C7EFC" w:rsidRPr="00954CFD" w:rsidRDefault="002C7EFC" w:rsidP="008306AC">
      <w:pPr>
        <w:spacing w:after="0" w:line="360" w:lineRule="auto"/>
        <w:jc w:val="both"/>
        <w:rPr>
          <w:rFonts w:ascii="Palatino Linotype" w:hAnsi="Palatino Linotype" w:cs="Arial"/>
          <w:sz w:val="24"/>
          <w:lang w:val="es-ES_tradnl"/>
        </w:rPr>
      </w:pPr>
    </w:p>
    <w:p w:rsidR="008306AC" w:rsidRPr="00954CFD" w:rsidRDefault="0010054E" w:rsidP="0010054E">
      <w:pPr>
        <w:pStyle w:val="Prrafodelista"/>
        <w:numPr>
          <w:ilvl w:val="0"/>
          <w:numId w:val="19"/>
        </w:numPr>
        <w:spacing w:line="360" w:lineRule="auto"/>
        <w:jc w:val="both"/>
        <w:rPr>
          <w:rFonts w:ascii="Palatino Linotype" w:hAnsi="Palatino Linotype" w:cs="Arial"/>
          <w:lang w:val="es-ES_tradnl"/>
        </w:rPr>
      </w:pPr>
      <w:r w:rsidRPr="00954CFD">
        <w:rPr>
          <w:rFonts w:ascii="Palatino Linotype" w:hAnsi="Palatino Linotype" w:cs="Arial"/>
          <w:b/>
          <w:lang w:val="es-ES_tradnl"/>
        </w:rPr>
        <w:t>RespuestaSolicitud00744PCLGPN.pdf y RespuestaSolicitud00745PCLGPN.pdf</w:t>
      </w:r>
      <w:r w:rsidR="008306AC" w:rsidRPr="00954CFD">
        <w:rPr>
          <w:rFonts w:ascii="Palatino Linotype" w:hAnsi="Palatino Linotype" w:cs="Arial"/>
          <w:b/>
          <w:lang w:val="es-ES_tradnl"/>
        </w:rPr>
        <w:t>:</w:t>
      </w:r>
      <w:r w:rsidR="008306AC" w:rsidRPr="00954CFD">
        <w:rPr>
          <w:rFonts w:ascii="Palatino Linotype" w:hAnsi="Palatino Linotype" w:cs="Arial"/>
          <w:lang w:val="es-ES_tradnl"/>
        </w:rPr>
        <w:t xml:space="preserve"> </w:t>
      </w:r>
      <w:r w:rsidRPr="00954CFD">
        <w:rPr>
          <w:rFonts w:ascii="Palatino Linotype" w:hAnsi="Palatino Linotype" w:cs="Arial"/>
          <w:lang w:val="es-ES_tradnl"/>
        </w:rPr>
        <w:t>oficios número INFOEM/SPH-RLC/028/2022 y INFOEM/SPH-RLC/029/2022 del veintinueve de junio de dos mil veintidós, remitido</w:t>
      </w:r>
      <w:r w:rsidR="00B50825" w:rsidRPr="00954CFD">
        <w:rPr>
          <w:rFonts w:ascii="Palatino Linotype" w:hAnsi="Palatino Linotype" w:cs="Arial"/>
          <w:lang w:val="es-ES_tradnl"/>
        </w:rPr>
        <w:t>s</w:t>
      </w:r>
      <w:r w:rsidRPr="00954CFD">
        <w:rPr>
          <w:rFonts w:ascii="Palatino Linotype" w:hAnsi="Palatino Linotype" w:cs="Arial"/>
          <w:lang w:val="es-ES_tradnl"/>
        </w:rPr>
        <w:t xml:space="preserve"> por </w:t>
      </w:r>
      <w:r w:rsidR="000E2E9C" w:rsidRPr="00954CFD">
        <w:rPr>
          <w:rFonts w:ascii="Palatino Linotype" w:hAnsi="Palatino Linotype" w:cs="Arial"/>
          <w:lang w:val="es-ES_tradnl"/>
        </w:rPr>
        <w:t xml:space="preserve">el </w:t>
      </w:r>
      <w:r w:rsidRPr="00954CFD">
        <w:rPr>
          <w:rFonts w:ascii="Palatino Linotype" w:hAnsi="Palatino Linotype" w:cs="Arial"/>
          <w:lang w:val="es-ES_tradnl"/>
        </w:rPr>
        <w:t>Servidor Públic</w:t>
      </w:r>
      <w:r w:rsidR="000E2E9C" w:rsidRPr="00954CFD">
        <w:rPr>
          <w:rFonts w:ascii="Palatino Linotype" w:hAnsi="Palatino Linotype" w:cs="Arial"/>
          <w:lang w:val="es-ES_tradnl"/>
        </w:rPr>
        <w:t>o</w:t>
      </w:r>
      <w:r w:rsidRPr="00954CFD">
        <w:rPr>
          <w:rFonts w:ascii="Palatino Linotype" w:hAnsi="Palatino Linotype" w:cs="Arial"/>
          <w:lang w:val="es-ES_tradnl"/>
        </w:rPr>
        <w:t xml:space="preserve"> Habilitad</w:t>
      </w:r>
      <w:r w:rsidR="000E2E9C" w:rsidRPr="00954CFD">
        <w:rPr>
          <w:rFonts w:ascii="Palatino Linotype" w:hAnsi="Palatino Linotype" w:cs="Arial"/>
          <w:lang w:val="es-ES_tradnl"/>
        </w:rPr>
        <w:t>o</w:t>
      </w:r>
      <w:r w:rsidRPr="00954CFD">
        <w:rPr>
          <w:rFonts w:ascii="Palatino Linotype" w:hAnsi="Palatino Linotype" w:cs="Arial"/>
          <w:lang w:val="es-ES_tradnl"/>
        </w:rPr>
        <w:t xml:space="preserve"> de la P</w:t>
      </w:r>
      <w:r w:rsidR="000E2E9C" w:rsidRPr="00954CFD">
        <w:rPr>
          <w:rFonts w:ascii="Palatino Linotype" w:hAnsi="Palatino Linotype" w:cs="Arial"/>
          <w:lang w:val="es-ES_tradnl"/>
        </w:rPr>
        <w:t>onencia de</w:t>
      </w:r>
      <w:r w:rsidRPr="00954CFD">
        <w:rPr>
          <w:rFonts w:ascii="Palatino Linotype" w:hAnsi="Palatino Linotype" w:cs="Arial"/>
          <w:lang w:val="es-ES_tradnl"/>
        </w:rPr>
        <w:t>l C</w:t>
      </w:r>
      <w:r w:rsidR="000E2E9C" w:rsidRPr="00954CFD">
        <w:rPr>
          <w:rFonts w:ascii="Palatino Linotype" w:hAnsi="Palatino Linotype" w:cs="Arial"/>
          <w:lang w:val="es-ES_tradnl"/>
        </w:rPr>
        <w:t>omisionado Luis Gustavo Parra Noriega</w:t>
      </w:r>
      <w:r w:rsidRPr="00954CFD">
        <w:rPr>
          <w:rFonts w:ascii="Palatino Linotype" w:hAnsi="Palatino Linotype" w:cs="Arial"/>
          <w:lang w:val="es-ES_tradnl"/>
        </w:rPr>
        <w:t xml:space="preserve"> al Titular de la Unidad de Transparencia, ambos del Sujeto Obligado, mediante el cual informa medularmente lo siguiente:</w:t>
      </w:r>
    </w:p>
    <w:p w:rsidR="008306AC" w:rsidRPr="00954CFD" w:rsidRDefault="008306AC" w:rsidP="008306AC">
      <w:pPr>
        <w:spacing w:after="0" w:line="360" w:lineRule="auto"/>
        <w:jc w:val="both"/>
        <w:rPr>
          <w:rFonts w:ascii="Palatino Linotype" w:hAnsi="Palatino Linotype" w:cs="Arial"/>
          <w:sz w:val="24"/>
          <w:lang w:val="es-ES_tradnl"/>
        </w:rPr>
      </w:pPr>
    </w:p>
    <w:p w:rsidR="000E2E9C" w:rsidRPr="00954CFD" w:rsidRDefault="000E2E9C" w:rsidP="000E2E9C">
      <w:pPr>
        <w:spacing w:after="0" w:line="240" w:lineRule="auto"/>
        <w:ind w:left="567" w:right="567"/>
        <w:jc w:val="both"/>
        <w:rPr>
          <w:rFonts w:ascii="Palatino Linotype" w:hAnsi="Palatino Linotype" w:cs="Arial"/>
          <w:i/>
          <w:lang w:val="es-ES_tradnl"/>
        </w:rPr>
      </w:pPr>
      <w:r w:rsidRPr="00954CFD">
        <w:rPr>
          <w:rFonts w:ascii="Palatino Linotype" w:hAnsi="Palatino Linotype" w:cs="Arial"/>
          <w:i/>
          <w:lang w:val="es-ES_tradnl"/>
        </w:rPr>
        <w:t xml:space="preserve">“…por lo que hace a “...los informes de actividades y los proyectos…” me permito informarle que </w:t>
      </w:r>
      <w:r w:rsidRPr="00954CFD">
        <w:rPr>
          <w:rFonts w:ascii="Palatino Linotype" w:hAnsi="Palatino Linotype" w:cs="Arial"/>
          <w:i/>
          <w:u w:val="single"/>
          <w:lang w:val="es-ES_tradnl"/>
        </w:rPr>
        <w:t>no se genera un informe de actividades, ni proyectos por parte del Comisionado Luis Gustavo Parra Noriega</w:t>
      </w:r>
      <w:r w:rsidRPr="00954CFD">
        <w:rPr>
          <w:rFonts w:ascii="Palatino Linotype" w:hAnsi="Palatino Linotype" w:cs="Arial"/>
          <w:i/>
          <w:lang w:val="es-ES_tradnl"/>
        </w:rPr>
        <w:t xml:space="preserve">, sino que sus actividades son realizadas de conformidad con lo establecido en el artículo 14 del Reglamento Interior del Instituto de Transparencia, Acceso a la Información Pública y Protección de Datos Personales del Estado de México y Municipios, es preciso referir que </w:t>
      </w:r>
      <w:r w:rsidRPr="00954CFD">
        <w:rPr>
          <w:rFonts w:ascii="Palatino Linotype" w:hAnsi="Palatino Linotype" w:cs="Arial"/>
          <w:i/>
          <w:u w:val="single"/>
          <w:lang w:val="es-ES_tradnl"/>
        </w:rPr>
        <w:t>por lo que hace a proyectos se entiende por estos a proyectos de investigación ya que la primera parte de la solicitud se ciñe sobre investigaciones realizadas por parte de los Comisionados</w:t>
      </w:r>
      <w:r w:rsidRPr="00954CFD">
        <w:rPr>
          <w:rFonts w:ascii="Palatino Linotype" w:hAnsi="Palatino Linotype" w:cs="Arial"/>
          <w:i/>
          <w:lang w:val="es-ES_tradnl"/>
        </w:rPr>
        <w:t>.</w:t>
      </w:r>
    </w:p>
    <w:p w:rsidR="000E2E9C" w:rsidRPr="00954CFD" w:rsidRDefault="000E2E9C" w:rsidP="000E2E9C">
      <w:pPr>
        <w:spacing w:after="0" w:line="240" w:lineRule="auto"/>
        <w:ind w:left="567" w:right="567"/>
        <w:jc w:val="both"/>
        <w:rPr>
          <w:rFonts w:ascii="Palatino Linotype" w:hAnsi="Palatino Linotype" w:cs="Arial"/>
          <w:i/>
          <w:lang w:val="es-ES_tradnl"/>
        </w:rPr>
      </w:pPr>
    </w:p>
    <w:p w:rsidR="000E2E9C" w:rsidRPr="00954CFD" w:rsidRDefault="000E2E9C" w:rsidP="000E2E9C">
      <w:pPr>
        <w:spacing w:after="0" w:line="240" w:lineRule="auto"/>
        <w:ind w:left="567" w:right="567"/>
        <w:jc w:val="both"/>
        <w:rPr>
          <w:rFonts w:ascii="Palatino Linotype" w:hAnsi="Palatino Linotype" w:cs="Arial"/>
          <w:i/>
        </w:rPr>
      </w:pPr>
      <w:r w:rsidRPr="00954CFD">
        <w:rPr>
          <w:rFonts w:ascii="Palatino Linotype" w:hAnsi="Palatino Linotype" w:cs="Arial"/>
          <w:i/>
          <w:lang w:val="es-ES_tradnl"/>
        </w:rPr>
        <w:t xml:space="preserve">Aunado a lo anterior, como ya se refirió en los archivos de esta ponencia </w:t>
      </w:r>
      <w:r w:rsidRPr="00954CFD">
        <w:rPr>
          <w:rFonts w:ascii="Palatino Linotype" w:hAnsi="Palatino Linotype" w:cs="Arial"/>
          <w:i/>
          <w:u w:val="single"/>
          <w:lang w:val="es-ES_tradnl"/>
        </w:rPr>
        <w:t>no obra un informe de actividades, sin embargo,</w:t>
      </w:r>
      <w:r w:rsidRPr="00954CFD">
        <w:rPr>
          <w:rFonts w:ascii="Palatino Linotype" w:hAnsi="Palatino Linotype" w:cs="Arial"/>
          <w:i/>
          <w:lang w:val="es-ES_tradnl"/>
        </w:rPr>
        <w:t xml:space="preserve"> en congruencia con los principios de eficacia y profesionalismo </w:t>
      </w:r>
      <w:r w:rsidRPr="00954CFD">
        <w:rPr>
          <w:rFonts w:ascii="Palatino Linotype" w:hAnsi="Palatino Linotype" w:cs="Arial"/>
          <w:i/>
          <w:lang w:val="es-ES_tradnl"/>
        </w:rPr>
        <w:lastRenderedPageBreak/>
        <w:t xml:space="preserve">que rigen el actuar de este Instituto; en términos del artículo 9° fracciones II y IX, así como el principio de máxima publicidad establecido en el artículo 4° de la Ley de Transparencia y Acceso a la Información Pública del Estado de México y Municipios, se hace del conocimiento al Particular que </w:t>
      </w:r>
      <w:r w:rsidRPr="00954CFD">
        <w:rPr>
          <w:rFonts w:ascii="Palatino Linotype" w:hAnsi="Palatino Linotype" w:cs="Arial"/>
          <w:i/>
        </w:rPr>
        <w:t xml:space="preserve">conforme al artículo 36, fracción XLV de la Ley de Transparencia y Acceso a la Información Pública del Estado de México y Municipios el Instituto tiene como atribución la de rendir el informe anual de actividades a través de Presidente ante el Pleno de la Legislatura, dentro del primer periodo de sesiones del año, por lo que los informes anuales de actividades pueden ser consultados en la liga electrónica </w:t>
      </w:r>
      <w:hyperlink r:id="rId11" w:history="1">
        <w:r w:rsidRPr="00954CFD">
          <w:rPr>
            <w:rStyle w:val="Hipervnculo"/>
            <w:rFonts w:ascii="Palatino Linotype" w:hAnsi="Palatino Linotype" w:cs="Arial"/>
            <w:i/>
          </w:rPr>
          <w:t>https://www.infoem.org.mx/es/contenido/conocenos/publicaciones</w:t>
        </w:r>
      </w:hyperlink>
      <w:r w:rsidRPr="00954CFD">
        <w:rPr>
          <w:rFonts w:ascii="Palatino Linotype" w:hAnsi="Palatino Linotype" w:cs="Arial"/>
          <w:i/>
        </w:rPr>
        <w:t>...</w:t>
      </w:r>
    </w:p>
    <w:p w:rsidR="000E2E9C" w:rsidRPr="00954CFD" w:rsidRDefault="000E2E9C" w:rsidP="000E2E9C">
      <w:pPr>
        <w:spacing w:after="0" w:line="240" w:lineRule="auto"/>
        <w:ind w:left="567" w:right="567"/>
        <w:jc w:val="both"/>
        <w:rPr>
          <w:rFonts w:ascii="Palatino Linotype" w:hAnsi="Palatino Linotype" w:cs="Arial"/>
          <w:i/>
        </w:rPr>
      </w:pPr>
    </w:p>
    <w:p w:rsidR="000E2E9C" w:rsidRPr="00954CFD" w:rsidRDefault="000E2E9C" w:rsidP="000E2E9C">
      <w:pPr>
        <w:spacing w:after="0" w:line="240" w:lineRule="auto"/>
        <w:ind w:left="567" w:right="567"/>
        <w:jc w:val="both"/>
        <w:rPr>
          <w:rFonts w:ascii="Palatino Linotype" w:hAnsi="Palatino Linotype" w:cs="Arial"/>
          <w:i/>
        </w:rPr>
      </w:pPr>
      <w:r w:rsidRPr="00954CFD">
        <w:rPr>
          <w:rFonts w:ascii="Palatino Linotype" w:hAnsi="Palatino Linotype" w:cs="Arial"/>
          <w:i/>
        </w:rPr>
        <w:t>Respecto de las iniciativas realizadas por el Comisionado Luis Gustavo Parra Noriega, se cuenta con dos iniciativas, una lleva como nombre propuestas de redacción para la distinción adecuada del derecho de acceso a la información pública, el derecho a la protección de los datos personales y el derecho a la autodeterminación informativa en la Constitución Política del Estado Libre y Soberano de México y la otra propuesta para establecer el Gobierno Abierto como principio Constitucional en el Estado de México, mismas que se adjuntan al presente.</w:t>
      </w:r>
    </w:p>
    <w:p w:rsidR="000E2E9C" w:rsidRPr="00954CFD" w:rsidRDefault="000E2E9C" w:rsidP="000E2E9C">
      <w:pPr>
        <w:spacing w:after="0" w:line="240" w:lineRule="auto"/>
        <w:ind w:left="567" w:right="567"/>
        <w:jc w:val="both"/>
        <w:rPr>
          <w:rFonts w:ascii="Palatino Linotype" w:hAnsi="Palatino Linotype" w:cs="Arial"/>
          <w:i/>
        </w:rPr>
      </w:pPr>
    </w:p>
    <w:p w:rsidR="000E2E9C" w:rsidRPr="00954CFD" w:rsidRDefault="000E2E9C" w:rsidP="000E2E9C">
      <w:pPr>
        <w:spacing w:after="0" w:line="240" w:lineRule="auto"/>
        <w:ind w:left="567" w:right="567"/>
        <w:jc w:val="both"/>
        <w:rPr>
          <w:rFonts w:ascii="Palatino Linotype" w:hAnsi="Palatino Linotype" w:cs="Arial"/>
          <w:i/>
          <w:lang w:val="es-ES_tradnl"/>
        </w:rPr>
      </w:pPr>
      <w:r w:rsidRPr="00954CFD">
        <w:rPr>
          <w:rFonts w:ascii="Palatino Linotype" w:hAnsi="Palatino Linotype" w:cs="Arial"/>
          <w:i/>
          <w:lang w:val="es-ES_tradnl"/>
        </w:rPr>
        <w:t>Referente a los estudios, se hace del conocimiento al Particular que el Comisionado Luis Gustavo Parra Noriega ha realizado diversas publicaciones, las cuales se encuentran disponibles en diversas ligas electrónicas, por lo que se adjunta el listado en el cual se pueden consultar, al igual que diferentes libros, sobre estos se entrega su nombre a manera de referencia.</w:t>
      </w:r>
    </w:p>
    <w:p w:rsidR="000E2E9C" w:rsidRPr="00954CFD" w:rsidRDefault="000E2E9C" w:rsidP="008306AC">
      <w:pPr>
        <w:spacing w:after="0" w:line="360" w:lineRule="auto"/>
        <w:jc w:val="both"/>
        <w:rPr>
          <w:rFonts w:ascii="Palatino Linotype" w:hAnsi="Palatino Linotype" w:cs="Arial"/>
          <w:sz w:val="24"/>
          <w:lang w:val="es-ES_tradnl"/>
        </w:rPr>
      </w:pPr>
    </w:p>
    <w:p w:rsidR="008306AC" w:rsidRPr="00954CFD" w:rsidRDefault="0070598C" w:rsidP="00BA59DD">
      <w:pPr>
        <w:pStyle w:val="Prrafodelista"/>
        <w:numPr>
          <w:ilvl w:val="0"/>
          <w:numId w:val="19"/>
        </w:numPr>
        <w:spacing w:line="360" w:lineRule="auto"/>
        <w:jc w:val="both"/>
        <w:rPr>
          <w:rFonts w:ascii="Palatino Linotype" w:hAnsi="Palatino Linotype" w:cs="Arial"/>
          <w:lang w:val="es-ES_tradnl"/>
        </w:rPr>
      </w:pPr>
      <w:r w:rsidRPr="00954CFD">
        <w:rPr>
          <w:rFonts w:ascii="Palatino Linotype" w:hAnsi="Palatino Linotype" w:cs="Arial"/>
          <w:b/>
          <w:lang w:val="es-ES_tradnl"/>
        </w:rPr>
        <w:t>LGPN Propuesta de reforma exposición Datos personales.pdf</w:t>
      </w:r>
      <w:r w:rsidR="008306AC" w:rsidRPr="00954CFD">
        <w:rPr>
          <w:rFonts w:ascii="Palatino Linotype" w:hAnsi="Palatino Linotype" w:cs="Arial"/>
          <w:b/>
          <w:lang w:val="es-ES_tradnl"/>
        </w:rPr>
        <w:t>:</w:t>
      </w:r>
      <w:r w:rsidR="008306AC" w:rsidRPr="00954CFD">
        <w:rPr>
          <w:rFonts w:ascii="Palatino Linotype" w:hAnsi="Palatino Linotype" w:cs="Arial"/>
          <w:lang w:val="es-ES_tradnl"/>
        </w:rPr>
        <w:t xml:space="preserve"> como su nombre lo indica, corresponde a la </w:t>
      </w:r>
      <w:r w:rsidRPr="00954CFD">
        <w:rPr>
          <w:rFonts w:ascii="Palatino Linotype" w:hAnsi="Palatino Linotype" w:cs="Arial"/>
          <w:lang w:val="es-ES_tradnl"/>
        </w:rPr>
        <w:t>propuesta de reforma redacción para la distinción adecuada del Derecho de acceso a la información pública, el derecho a la Protección de los datos personales y el derecho a la Autodeterminación informativa en la Constitución Política del Estado Libre y Soberano de México</w:t>
      </w:r>
      <w:r w:rsidR="008306AC" w:rsidRPr="00954CFD">
        <w:rPr>
          <w:rFonts w:ascii="Palatino Linotype" w:hAnsi="Palatino Linotype" w:cs="Arial"/>
          <w:lang w:val="es-ES_tradnl"/>
        </w:rPr>
        <w:t>.</w:t>
      </w:r>
    </w:p>
    <w:p w:rsidR="008306AC" w:rsidRPr="00954CFD" w:rsidRDefault="008306AC" w:rsidP="008306AC">
      <w:pPr>
        <w:spacing w:after="0" w:line="360" w:lineRule="auto"/>
        <w:jc w:val="both"/>
        <w:rPr>
          <w:rFonts w:ascii="Palatino Linotype" w:hAnsi="Palatino Linotype" w:cs="Arial"/>
          <w:sz w:val="24"/>
          <w:lang w:val="es-ES_tradnl"/>
        </w:rPr>
      </w:pPr>
    </w:p>
    <w:p w:rsidR="0070598C" w:rsidRPr="00954CFD" w:rsidRDefault="0070598C" w:rsidP="0070598C">
      <w:pPr>
        <w:pStyle w:val="Prrafodelista"/>
        <w:numPr>
          <w:ilvl w:val="0"/>
          <w:numId w:val="19"/>
        </w:numPr>
        <w:spacing w:line="360" w:lineRule="auto"/>
        <w:jc w:val="both"/>
        <w:rPr>
          <w:rFonts w:ascii="Palatino Linotype" w:hAnsi="Palatino Linotype" w:cs="Arial"/>
          <w:lang w:val="es-ES_tradnl"/>
        </w:rPr>
      </w:pPr>
      <w:r w:rsidRPr="00954CFD">
        <w:rPr>
          <w:rFonts w:ascii="Palatino Linotype" w:hAnsi="Palatino Linotype" w:cs="Arial"/>
          <w:b/>
          <w:lang w:val="es-ES_tradnl"/>
        </w:rPr>
        <w:lastRenderedPageBreak/>
        <w:t>LGPN Propuesta de Gobierno Abierto como Principio constitucional..pdf:</w:t>
      </w:r>
      <w:r w:rsidRPr="00954CFD">
        <w:rPr>
          <w:rFonts w:ascii="Palatino Linotype" w:hAnsi="Palatino Linotype" w:cs="Arial"/>
          <w:lang w:val="es-ES_tradnl"/>
        </w:rPr>
        <w:t xml:space="preserve"> como su nombre lo indica, corresponde a la propuesta para establecer el gobierno abierto como principio constitucional en el Estado de México</w:t>
      </w:r>
    </w:p>
    <w:p w:rsidR="0070598C" w:rsidRPr="00954CFD" w:rsidRDefault="0070598C" w:rsidP="008306AC">
      <w:pPr>
        <w:spacing w:after="0" w:line="360" w:lineRule="auto"/>
        <w:jc w:val="both"/>
        <w:rPr>
          <w:rFonts w:ascii="Palatino Linotype" w:hAnsi="Palatino Linotype" w:cs="Arial"/>
          <w:sz w:val="24"/>
          <w:lang w:val="es-ES_tradnl"/>
        </w:rPr>
      </w:pPr>
    </w:p>
    <w:p w:rsidR="0070598C" w:rsidRPr="00954CFD" w:rsidRDefault="0070598C" w:rsidP="0070598C">
      <w:pPr>
        <w:pStyle w:val="Prrafodelista"/>
        <w:numPr>
          <w:ilvl w:val="0"/>
          <w:numId w:val="19"/>
        </w:numPr>
        <w:spacing w:line="360" w:lineRule="auto"/>
        <w:jc w:val="both"/>
        <w:rPr>
          <w:rFonts w:ascii="Palatino Linotype" w:hAnsi="Palatino Linotype" w:cs="Arial"/>
          <w:lang w:val="es-ES_tradnl"/>
        </w:rPr>
      </w:pPr>
      <w:r w:rsidRPr="00954CFD">
        <w:rPr>
          <w:rFonts w:ascii="Palatino Linotype" w:hAnsi="Palatino Linotype" w:cs="Arial"/>
          <w:b/>
          <w:lang w:val="es-ES_tradnl"/>
        </w:rPr>
        <w:t>Articulos LGPN_2018_2022.pdf:</w:t>
      </w:r>
      <w:r w:rsidRPr="00954CFD">
        <w:rPr>
          <w:rFonts w:ascii="Palatino Linotype" w:hAnsi="Palatino Linotype" w:cs="Arial"/>
          <w:lang w:val="es-ES_tradnl"/>
        </w:rPr>
        <w:t xml:space="preserve"> documento de tipo ad hoc que contiene las páginas electrónicas en las cuales pueden consultarse los distintos artículos publicados por el Comisionado Luis Gustavo Parra Noriega, a manera ilustrativa se inserta la imagen siguiente para mayor referencia:</w:t>
      </w:r>
    </w:p>
    <w:p w:rsidR="0070598C" w:rsidRPr="00954CFD" w:rsidRDefault="0070598C" w:rsidP="008306AC">
      <w:pPr>
        <w:spacing w:after="0" w:line="360" w:lineRule="auto"/>
        <w:jc w:val="both"/>
        <w:rPr>
          <w:rFonts w:ascii="Palatino Linotype" w:hAnsi="Palatino Linotype" w:cs="Arial"/>
          <w:sz w:val="24"/>
          <w:lang w:val="es-ES_tradnl"/>
        </w:rPr>
      </w:pPr>
    </w:p>
    <w:p w:rsidR="0070598C" w:rsidRPr="00954CFD" w:rsidRDefault="0070598C" w:rsidP="008306AC">
      <w:pPr>
        <w:spacing w:after="0" w:line="360" w:lineRule="auto"/>
        <w:jc w:val="both"/>
        <w:rPr>
          <w:rFonts w:ascii="Palatino Linotype" w:hAnsi="Palatino Linotype" w:cs="Arial"/>
          <w:sz w:val="24"/>
          <w:lang w:val="es-ES_tradnl"/>
        </w:rPr>
      </w:pPr>
      <w:r w:rsidRPr="00954CFD">
        <w:rPr>
          <w:rFonts w:ascii="Palatino Linotype" w:hAnsi="Palatino Linotype" w:cs="Arial"/>
          <w:noProof/>
          <w:sz w:val="24"/>
          <w:lang w:eastAsia="es-MX"/>
        </w:rPr>
        <w:drawing>
          <wp:inline distT="0" distB="0" distL="0" distR="0" wp14:anchorId="6DA2EA00" wp14:editId="183DF429">
            <wp:extent cx="5760720" cy="3286760"/>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3286760"/>
                    </a:xfrm>
                    <a:prstGeom prst="rect">
                      <a:avLst/>
                    </a:prstGeom>
                  </pic:spPr>
                </pic:pic>
              </a:graphicData>
            </a:graphic>
          </wp:inline>
        </w:drawing>
      </w:r>
    </w:p>
    <w:p w:rsidR="0070598C" w:rsidRPr="00954CFD" w:rsidRDefault="0070598C" w:rsidP="008306AC">
      <w:pPr>
        <w:spacing w:after="0" w:line="360" w:lineRule="auto"/>
        <w:jc w:val="both"/>
        <w:rPr>
          <w:rFonts w:ascii="Palatino Linotype" w:hAnsi="Palatino Linotype" w:cs="Arial"/>
          <w:sz w:val="24"/>
          <w:lang w:val="es-ES_tradnl"/>
        </w:rPr>
      </w:pPr>
    </w:p>
    <w:p w:rsidR="0070598C" w:rsidRPr="00954CFD" w:rsidRDefault="00B50825" w:rsidP="00B50825">
      <w:pPr>
        <w:pStyle w:val="Prrafodelista"/>
        <w:numPr>
          <w:ilvl w:val="0"/>
          <w:numId w:val="22"/>
        </w:numPr>
        <w:spacing w:line="360" w:lineRule="auto"/>
        <w:jc w:val="both"/>
        <w:rPr>
          <w:rFonts w:ascii="Palatino Linotype" w:hAnsi="Palatino Linotype" w:cs="Arial"/>
          <w:lang w:val="es-ES_tradnl"/>
        </w:rPr>
      </w:pPr>
      <w:r w:rsidRPr="00954CFD">
        <w:rPr>
          <w:rFonts w:ascii="Palatino Linotype" w:hAnsi="Palatino Linotype" w:cs="Arial"/>
          <w:b/>
          <w:lang w:val="es-ES_tradnl"/>
        </w:rPr>
        <w:t>RespuestaSolicitud00744PCGRP.pdf</w:t>
      </w:r>
      <w:r w:rsidRPr="00954CFD">
        <w:rPr>
          <w:rFonts w:ascii="Palatino Linotype" w:hAnsi="Palatino Linotype" w:cs="Arial"/>
          <w:lang w:val="es-ES_tradnl"/>
        </w:rPr>
        <w:t xml:space="preserve"> y </w:t>
      </w:r>
      <w:r w:rsidRPr="00954CFD">
        <w:rPr>
          <w:rFonts w:ascii="Palatino Linotype" w:hAnsi="Palatino Linotype" w:cs="Arial"/>
          <w:b/>
          <w:lang w:val="es-ES_tradnl"/>
        </w:rPr>
        <w:t>RespuestaSolicitud00745PCGRP.pdf</w:t>
      </w:r>
      <w:r w:rsidRPr="00954CFD">
        <w:rPr>
          <w:rFonts w:ascii="Palatino Linotype" w:hAnsi="Palatino Linotype" w:cs="Arial"/>
          <w:lang w:val="es-ES_tradnl"/>
        </w:rPr>
        <w:t>: oficios número INFOEM/CCOM-GRP/035/2022 y INFOEM/CCOM-</w:t>
      </w:r>
      <w:r w:rsidRPr="00954CFD">
        <w:rPr>
          <w:rFonts w:ascii="Palatino Linotype" w:hAnsi="Palatino Linotype" w:cs="Arial"/>
          <w:lang w:val="es-ES_tradnl"/>
        </w:rPr>
        <w:lastRenderedPageBreak/>
        <w:t>GRP/034/2022, remitidos por el Servidor Público Habilitado de la Ponencia de la Comisionada Guadalupe Ramírez Peña al Titular de la Unidad de Transparencia, ambos del Sujeto Obligado, mediante el cual informa medularmente lo siguiente:</w:t>
      </w:r>
    </w:p>
    <w:p w:rsidR="0070598C" w:rsidRPr="00954CFD" w:rsidRDefault="0070598C" w:rsidP="008306AC">
      <w:pPr>
        <w:spacing w:after="0" w:line="360" w:lineRule="auto"/>
        <w:jc w:val="both"/>
        <w:rPr>
          <w:rFonts w:ascii="Palatino Linotype" w:hAnsi="Palatino Linotype" w:cs="Arial"/>
          <w:sz w:val="24"/>
          <w:lang w:val="es-ES_tradnl"/>
        </w:rPr>
      </w:pPr>
    </w:p>
    <w:p w:rsidR="00B50825" w:rsidRPr="00954CFD" w:rsidRDefault="00B50825" w:rsidP="00B50825">
      <w:pPr>
        <w:spacing w:after="0" w:line="240" w:lineRule="auto"/>
        <w:ind w:left="567" w:right="567"/>
        <w:jc w:val="both"/>
        <w:rPr>
          <w:rFonts w:ascii="Palatino Linotype" w:hAnsi="Palatino Linotype" w:cs="Arial"/>
          <w:i/>
          <w:lang w:val="es-ES_tradnl"/>
        </w:rPr>
      </w:pPr>
      <w:r w:rsidRPr="00954CFD">
        <w:rPr>
          <w:rFonts w:ascii="Palatino Linotype" w:hAnsi="Palatino Linotype" w:cs="Arial"/>
          <w:i/>
          <w:lang w:val="es-ES_tradnl"/>
        </w:rPr>
        <w:t xml:space="preserve">“…a </w:t>
      </w:r>
      <w:r w:rsidRPr="00954CFD">
        <w:rPr>
          <w:rFonts w:ascii="Palatino Linotype" w:hAnsi="Palatino Linotype" w:cs="Arial"/>
          <w:b/>
          <w:i/>
          <w:lang w:val="es-ES_tradnl"/>
        </w:rPr>
        <w:t>“los informes de actividades y los proyectos, iniciativas y estudios realizados" por la Lic. Guadalupe Ramírez Peña</w:t>
      </w:r>
      <w:r w:rsidRPr="00954CFD">
        <w:rPr>
          <w:rFonts w:ascii="Palatino Linotype" w:hAnsi="Palatino Linotype" w:cs="Arial"/>
          <w:i/>
          <w:lang w:val="es-ES_tradnl"/>
        </w:rPr>
        <w:t xml:space="preserve">, a partir de su nombramiento como Comisionada del Instituto de Transparencia, Acceso a la Información Pública y Protección de Datos Personales del Estado de México y Municipios, es decir, a partir del 20 de agosto de 2021, se informa que </w:t>
      </w:r>
      <w:r w:rsidRPr="00954CFD">
        <w:rPr>
          <w:rFonts w:ascii="Palatino Linotype" w:hAnsi="Palatino Linotype" w:cs="Arial"/>
          <w:i/>
          <w:u w:val="single"/>
          <w:lang w:val="es-ES_tradnl"/>
        </w:rPr>
        <w:t>no obra en los archivos de esta área documento alguno donde conste lo solicitado, por no haberse generado</w:t>
      </w:r>
      <w:r w:rsidRPr="00954CFD">
        <w:rPr>
          <w:rFonts w:ascii="Palatino Linotype" w:hAnsi="Palatino Linotype" w:cs="Arial"/>
          <w:i/>
          <w:lang w:val="es-ES_tradnl"/>
        </w:rPr>
        <w:t>, ya que sus actividades son realizadas de conformidad con el artículo 14 del Reglamento Interior del Instituto de Transparencia, Acceso a la Información Pública y Protección de Datos Personales del Estado de México y Municipios.</w:t>
      </w:r>
    </w:p>
    <w:p w:rsidR="00B50825" w:rsidRPr="00954CFD" w:rsidRDefault="00B50825" w:rsidP="00B50825">
      <w:pPr>
        <w:spacing w:after="0" w:line="240" w:lineRule="auto"/>
        <w:ind w:left="567" w:right="567"/>
        <w:jc w:val="both"/>
        <w:rPr>
          <w:rFonts w:ascii="Palatino Linotype" w:hAnsi="Palatino Linotype" w:cs="Arial"/>
          <w:i/>
          <w:lang w:val="es-ES_tradnl"/>
        </w:rPr>
      </w:pPr>
    </w:p>
    <w:p w:rsidR="00B50825" w:rsidRPr="00954CFD" w:rsidRDefault="00B50825" w:rsidP="00B50825">
      <w:pPr>
        <w:spacing w:after="0" w:line="240" w:lineRule="auto"/>
        <w:ind w:left="567" w:right="567"/>
        <w:jc w:val="both"/>
        <w:rPr>
          <w:rFonts w:ascii="Palatino Linotype" w:hAnsi="Palatino Linotype" w:cs="Arial"/>
          <w:i/>
          <w:lang w:val="es-ES_tradnl"/>
        </w:rPr>
      </w:pPr>
      <w:r w:rsidRPr="00954CFD">
        <w:rPr>
          <w:rFonts w:ascii="Palatino Linotype" w:hAnsi="Palatino Linotype" w:cs="Arial"/>
          <w:i/>
          <w:lang w:val="es-ES_tradnl"/>
        </w:rPr>
        <w:t>…</w:t>
      </w:r>
    </w:p>
    <w:p w:rsidR="00B50825" w:rsidRPr="00954CFD" w:rsidRDefault="00B50825" w:rsidP="00B50825">
      <w:pPr>
        <w:spacing w:after="0" w:line="240" w:lineRule="auto"/>
        <w:ind w:left="567" w:right="567"/>
        <w:jc w:val="both"/>
        <w:rPr>
          <w:rFonts w:ascii="Palatino Linotype" w:hAnsi="Palatino Linotype" w:cs="Arial"/>
          <w:i/>
          <w:lang w:val="es-ES_tradnl"/>
        </w:rPr>
      </w:pPr>
    </w:p>
    <w:p w:rsidR="00B50825" w:rsidRPr="00954CFD" w:rsidRDefault="00B50825" w:rsidP="00B50825">
      <w:pPr>
        <w:spacing w:after="0" w:line="240" w:lineRule="auto"/>
        <w:ind w:left="567" w:right="567"/>
        <w:jc w:val="both"/>
        <w:rPr>
          <w:rFonts w:ascii="Palatino Linotype" w:hAnsi="Palatino Linotype" w:cs="Arial"/>
          <w:i/>
          <w:lang w:val="es-ES_tradnl"/>
        </w:rPr>
      </w:pPr>
      <w:r w:rsidRPr="00954CFD">
        <w:rPr>
          <w:rFonts w:ascii="Palatino Linotype" w:hAnsi="Palatino Linotype" w:cs="Arial"/>
          <w:i/>
          <w:lang w:val="es-ES_tradnl"/>
        </w:rPr>
        <w:t xml:space="preserve">No obstante, en términos del principio de máxima publicidad establecido en el artículo 4 de la Ley de Transparencia y Acceso a la Información Pública del Estado de México y Municipios, se hace del conocimiento del particular que de conformidad con el artículo 36, fracción XL V de la Ley en la materia, este Instituto, a través de su Presidente, rinde de manera anual un informe de actividades, ante el Pleno de la Legislatura, dentro del primer periodo ordinario de sesiones del año, y que dichos informes pueden ser consultados en la siguiente liga electrónica </w:t>
      </w:r>
      <w:hyperlink r:id="rId13" w:history="1">
        <w:r w:rsidRPr="00954CFD">
          <w:rPr>
            <w:rStyle w:val="Hipervnculo"/>
            <w:rFonts w:ascii="Palatino Linotype" w:hAnsi="Palatino Linotype" w:cs="Arial"/>
            <w:i/>
            <w:lang w:val="es-ES_tradnl"/>
          </w:rPr>
          <w:t>https://www.infoem.org.mx/es/contenido/conocenos/publicaciones</w:t>
        </w:r>
      </w:hyperlink>
      <w:r w:rsidRPr="00954CFD">
        <w:rPr>
          <w:rFonts w:ascii="Palatino Linotype" w:hAnsi="Palatino Linotype" w:cs="Arial"/>
          <w:i/>
          <w:lang w:val="es-ES_tradnl"/>
        </w:rPr>
        <w:t>, en el apartado de "INFORMES…”</w:t>
      </w:r>
    </w:p>
    <w:p w:rsidR="00B50825" w:rsidRPr="00954CFD" w:rsidRDefault="00B50825" w:rsidP="008306AC">
      <w:pPr>
        <w:spacing w:after="0" w:line="360" w:lineRule="auto"/>
        <w:jc w:val="both"/>
        <w:rPr>
          <w:rFonts w:ascii="Palatino Linotype" w:hAnsi="Palatino Linotype" w:cs="Arial"/>
          <w:sz w:val="24"/>
          <w:lang w:val="es-ES_tradnl"/>
        </w:rPr>
      </w:pPr>
    </w:p>
    <w:p w:rsidR="00B50825" w:rsidRPr="00954CFD" w:rsidRDefault="00B50825" w:rsidP="00B50825">
      <w:pPr>
        <w:pStyle w:val="Prrafodelista"/>
        <w:numPr>
          <w:ilvl w:val="0"/>
          <w:numId w:val="22"/>
        </w:numPr>
        <w:spacing w:line="360" w:lineRule="auto"/>
        <w:jc w:val="both"/>
        <w:rPr>
          <w:rFonts w:ascii="Palatino Linotype" w:hAnsi="Palatino Linotype" w:cs="Arial"/>
          <w:lang w:val="es-ES_tradnl"/>
        </w:rPr>
      </w:pPr>
      <w:r w:rsidRPr="00954CFD">
        <w:rPr>
          <w:rFonts w:ascii="Palatino Linotype" w:hAnsi="Palatino Linotype" w:cs="Arial"/>
          <w:b/>
          <w:lang w:val="es-ES_tradnl"/>
        </w:rPr>
        <w:t>Informe_Actividades_2016-2017.pdf, Informe_Actividades_2017-2018.pdf, Informe_Actividades_2018-2019.pdf, Informe_Actividades_2019-2020.pdf</w:t>
      </w:r>
      <w:r w:rsidRPr="00954CFD">
        <w:rPr>
          <w:rFonts w:ascii="Palatino Linotype" w:hAnsi="Palatino Linotype" w:cs="Arial"/>
          <w:lang w:val="es-ES_tradnl"/>
        </w:rPr>
        <w:t xml:space="preserve"> y </w:t>
      </w:r>
      <w:r w:rsidRPr="00954CFD">
        <w:rPr>
          <w:rFonts w:ascii="Palatino Linotype" w:hAnsi="Palatino Linotype" w:cs="Arial"/>
          <w:b/>
          <w:lang w:val="es-ES_tradnl"/>
        </w:rPr>
        <w:t>Informe_Actividades_20</w:t>
      </w:r>
      <w:r w:rsidR="00BA59DD" w:rsidRPr="00954CFD">
        <w:rPr>
          <w:rFonts w:ascii="Palatino Linotype" w:hAnsi="Palatino Linotype" w:cs="Arial"/>
          <w:b/>
          <w:lang w:val="es-ES_tradnl"/>
        </w:rPr>
        <w:t>20</w:t>
      </w:r>
      <w:r w:rsidRPr="00954CFD">
        <w:rPr>
          <w:rFonts w:ascii="Palatino Linotype" w:hAnsi="Palatino Linotype" w:cs="Arial"/>
          <w:b/>
          <w:lang w:val="es-ES_tradnl"/>
        </w:rPr>
        <w:t>-20</w:t>
      </w:r>
      <w:r w:rsidR="00BA59DD" w:rsidRPr="00954CFD">
        <w:rPr>
          <w:rFonts w:ascii="Palatino Linotype" w:hAnsi="Palatino Linotype" w:cs="Arial"/>
          <w:b/>
          <w:lang w:val="es-ES_tradnl"/>
        </w:rPr>
        <w:t>21</w:t>
      </w:r>
      <w:r w:rsidRPr="00954CFD">
        <w:rPr>
          <w:rFonts w:ascii="Palatino Linotype" w:hAnsi="Palatino Linotype" w:cs="Arial"/>
          <w:b/>
          <w:lang w:val="es-ES_tradnl"/>
        </w:rPr>
        <w:t>.pdf</w:t>
      </w:r>
      <w:r w:rsidR="00BA59DD" w:rsidRPr="00954CFD">
        <w:rPr>
          <w:rFonts w:ascii="Palatino Linotype" w:hAnsi="Palatino Linotype" w:cs="Arial"/>
          <w:b/>
          <w:lang w:val="es-ES_tradnl"/>
        </w:rPr>
        <w:t>:</w:t>
      </w:r>
      <w:r w:rsidR="00BA59DD" w:rsidRPr="00954CFD">
        <w:rPr>
          <w:rFonts w:ascii="Palatino Linotype" w:hAnsi="Palatino Linotype" w:cs="Arial"/>
          <w:lang w:val="es-ES_tradnl"/>
        </w:rPr>
        <w:t xml:space="preserve"> correspondientes a los informes de actividades remitidos por el Sujeto Obligado a Legislatura, por los años 2016, 2017, 2018, 2019, 2020 y 2021.</w:t>
      </w:r>
    </w:p>
    <w:p w:rsidR="00B50825" w:rsidRPr="00954CFD" w:rsidRDefault="00BA59DD" w:rsidP="00BA59DD">
      <w:pPr>
        <w:pStyle w:val="Prrafodelista"/>
        <w:numPr>
          <w:ilvl w:val="0"/>
          <w:numId w:val="22"/>
        </w:numPr>
        <w:spacing w:line="360" w:lineRule="auto"/>
        <w:jc w:val="both"/>
        <w:rPr>
          <w:rFonts w:ascii="Palatino Linotype" w:hAnsi="Palatino Linotype" w:cs="Arial"/>
          <w:lang w:val="es-ES_tradnl"/>
        </w:rPr>
      </w:pPr>
      <w:r w:rsidRPr="00954CFD">
        <w:rPr>
          <w:rFonts w:ascii="Palatino Linotype" w:hAnsi="Palatino Linotype" w:cs="Arial"/>
          <w:b/>
          <w:lang w:val="es-ES_tradnl"/>
        </w:rPr>
        <w:lastRenderedPageBreak/>
        <w:t>RespuestaSolicitud00745DGAF.pdf</w:t>
      </w:r>
      <w:r w:rsidRPr="00954CFD">
        <w:rPr>
          <w:rFonts w:ascii="Palatino Linotype" w:hAnsi="Palatino Linotype" w:cs="Arial"/>
          <w:lang w:val="es-ES_tradnl"/>
        </w:rPr>
        <w:t xml:space="preserve"> y </w:t>
      </w:r>
      <w:r w:rsidRPr="00954CFD">
        <w:rPr>
          <w:rFonts w:ascii="Palatino Linotype" w:hAnsi="Palatino Linotype" w:cs="Arial"/>
          <w:b/>
          <w:lang w:val="es-ES_tradnl"/>
        </w:rPr>
        <w:t>RespuestaSolicitud00745DGAF.pdf</w:t>
      </w:r>
      <w:r w:rsidRPr="00954CFD">
        <w:rPr>
          <w:rFonts w:ascii="Palatino Linotype" w:hAnsi="Palatino Linotype" w:cs="Arial"/>
          <w:lang w:val="es-ES_tradnl"/>
        </w:rPr>
        <w:t>: oficio número INFOEM/DGAF/484/2022 y INFOEM/DGAF/485/2022 del cinco de julio de dos mil veintidós, mediante el cual el Director General de Administración y Finanzas remite al Titular de la Unidad de Transparencia, ambos del Sujeto Obligado, la respuesta a las solicitudes de información, en los términos siguientes:</w:t>
      </w:r>
    </w:p>
    <w:p w:rsidR="00BA59DD" w:rsidRPr="00954CFD" w:rsidRDefault="00BA59DD" w:rsidP="008306AC">
      <w:pPr>
        <w:spacing w:after="0" w:line="360" w:lineRule="auto"/>
        <w:jc w:val="both"/>
        <w:rPr>
          <w:rFonts w:ascii="Palatino Linotype" w:hAnsi="Palatino Linotype" w:cs="Arial"/>
          <w:sz w:val="24"/>
          <w:lang w:val="es-ES_tradnl"/>
        </w:rPr>
      </w:pPr>
    </w:p>
    <w:p w:rsidR="00BA59DD" w:rsidRPr="00954CFD" w:rsidRDefault="00BA59DD" w:rsidP="00BA59DD">
      <w:pPr>
        <w:spacing w:after="0" w:line="240" w:lineRule="auto"/>
        <w:ind w:left="567" w:right="567"/>
        <w:jc w:val="both"/>
        <w:rPr>
          <w:rFonts w:ascii="Palatino Linotype" w:hAnsi="Palatino Linotype" w:cs="Arial"/>
          <w:i/>
          <w:lang w:val="es-ES_tradnl"/>
        </w:rPr>
      </w:pPr>
      <w:r w:rsidRPr="00954CFD">
        <w:rPr>
          <w:rFonts w:ascii="Palatino Linotype" w:hAnsi="Palatino Linotype" w:cs="Arial"/>
          <w:i/>
          <w:lang w:val="es-ES_tradnl"/>
        </w:rPr>
        <w:t xml:space="preserve">“.- Por lo que hace a </w:t>
      </w:r>
      <w:r w:rsidRPr="00954CFD">
        <w:rPr>
          <w:rFonts w:ascii="Palatino Linotype" w:hAnsi="Palatino Linotype" w:cs="Arial"/>
          <w:b/>
          <w:i/>
          <w:lang w:val="es-ES_tradnl"/>
        </w:rPr>
        <w:t>"... informe general y cuenta pública del Instituto de Transparencia por año 2017, 2018, 2019,2020, 2021 y 2022 en versión editable y con datos abiertos."</w:t>
      </w:r>
      <w:r w:rsidRPr="00954CFD">
        <w:rPr>
          <w:rFonts w:ascii="Palatino Linotype" w:hAnsi="Palatino Linotype" w:cs="Arial"/>
          <w:i/>
          <w:lang w:val="es-ES_tradnl"/>
        </w:rPr>
        <w:t xml:space="preserve"> (Sic); en primera instancia se precisa que en cumplimiento al Código Financiero del Estado de México y Municipios vigente, en el Artículo 353 establece lo siguiente: </w:t>
      </w:r>
    </w:p>
    <w:p w:rsidR="00BA59DD" w:rsidRPr="00954CFD" w:rsidRDefault="00BA59DD" w:rsidP="00BA59DD">
      <w:pPr>
        <w:spacing w:after="0" w:line="240" w:lineRule="auto"/>
        <w:ind w:left="567" w:right="567"/>
        <w:jc w:val="both"/>
        <w:rPr>
          <w:rFonts w:ascii="Palatino Linotype" w:hAnsi="Palatino Linotype" w:cs="Arial"/>
          <w:i/>
          <w:lang w:val="es-ES_tradnl"/>
        </w:rPr>
      </w:pPr>
    </w:p>
    <w:p w:rsidR="00BA59DD" w:rsidRPr="00954CFD" w:rsidRDefault="00BA59DD" w:rsidP="00BA59DD">
      <w:pPr>
        <w:spacing w:after="0" w:line="240" w:lineRule="auto"/>
        <w:ind w:left="567" w:right="567"/>
        <w:jc w:val="both"/>
        <w:rPr>
          <w:rFonts w:ascii="Palatino Linotype" w:hAnsi="Palatino Linotype" w:cs="Arial"/>
          <w:i/>
          <w:lang w:val="es-ES_tradnl"/>
        </w:rPr>
      </w:pPr>
      <w:r w:rsidRPr="00954CFD">
        <w:rPr>
          <w:rFonts w:ascii="Palatino Linotype" w:hAnsi="Palatino Linotype" w:cs="Arial"/>
          <w:i/>
          <w:lang w:val="es-ES_tradnl"/>
        </w:rPr>
        <w:t xml:space="preserve">"Con base en los estados contables y presupuestales se formulará la Cuenta Pública para su presentación a la Legislatura. Las áreas competentes de los poderes Legislativo y Judicial, así como de los organismos electorales, de la Comisión de Derechos Humanos del Estado de México, del Instituto de Transparencia y Acceso a la Información Pública del Estado de México y Municipios, de la Universidad Autónoma del Estado de México, del Tribunal de Justicia Administrativa del Estado de México, y de la Fiscalía General de Justicia del Estado de México, remitirán los estados contables y presupuestales a que se refiere el párrafo anterior al Poder Ejecutivo, a través de la Secretaría, en los plazos y términos que determine la Secretaría para tal efecto, para su incorporación a la Cuenta Pública Estatal." (Sic). </w:t>
      </w:r>
    </w:p>
    <w:p w:rsidR="00BA59DD" w:rsidRPr="00954CFD" w:rsidRDefault="00BA59DD" w:rsidP="00BA59DD">
      <w:pPr>
        <w:spacing w:after="0" w:line="240" w:lineRule="auto"/>
        <w:ind w:left="567" w:right="567"/>
        <w:jc w:val="both"/>
        <w:rPr>
          <w:rFonts w:ascii="Palatino Linotype" w:hAnsi="Palatino Linotype" w:cs="Arial"/>
          <w:i/>
          <w:lang w:val="es-ES_tradnl"/>
        </w:rPr>
      </w:pPr>
    </w:p>
    <w:p w:rsidR="00BA59DD" w:rsidRPr="00954CFD" w:rsidRDefault="00BA59DD" w:rsidP="00BA59DD">
      <w:pPr>
        <w:spacing w:after="0" w:line="240" w:lineRule="auto"/>
        <w:ind w:left="567" w:right="567"/>
        <w:jc w:val="both"/>
        <w:rPr>
          <w:rFonts w:ascii="Palatino Linotype" w:hAnsi="Palatino Linotype" w:cs="Arial"/>
          <w:i/>
          <w:lang w:val="es-ES_tradnl"/>
        </w:rPr>
      </w:pPr>
      <w:r w:rsidRPr="00954CFD">
        <w:rPr>
          <w:rFonts w:ascii="Palatino Linotype" w:hAnsi="Palatino Linotype" w:cs="Arial"/>
          <w:i/>
          <w:lang w:val="es-ES_tradnl"/>
        </w:rPr>
        <w:t xml:space="preserve">Por lo anterior, cabe señalar que el encargado de preparar la Cuenta Pública es el Gobierno del Estado de México, quien la presenta a la Legislatura; por lo que no es versión editable de la Cuenta Pública Entregada. </w:t>
      </w:r>
    </w:p>
    <w:p w:rsidR="00BA59DD" w:rsidRPr="00954CFD" w:rsidRDefault="00BA59DD" w:rsidP="00BA59DD">
      <w:pPr>
        <w:spacing w:after="0" w:line="240" w:lineRule="auto"/>
        <w:ind w:left="567" w:right="567"/>
        <w:jc w:val="both"/>
        <w:rPr>
          <w:rFonts w:ascii="Palatino Linotype" w:hAnsi="Palatino Linotype" w:cs="Arial"/>
          <w:i/>
          <w:lang w:val="es-ES_tradnl"/>
        </w:rPr>
      </w:pPr>
    </w:p>
    <w:p w:rsidR="00BA59DD" w:rsidRPr="00954CFD" w:rsidRDefault="00BA59DD" w:rsidP="00BA59DD">
      <w:pPr>
        <w:spacing w:after="0" w:line="240" w:lineRule="auto"/>
        <w:ind w:left="567" w:right="567"/>
        <w:jc w:val="both"/>
        <w:rPr>
          <w:rFonts w:ascii="Palatino Linotype" w:hAnsi="Palatino Linotype" w:cs="Arial"/>
          <w:i/>
          <w:lang w:val="es-ES_tradnl"/>
        </w:rPr>
      </w:pPr>
      <w:r w:rsidRPr="00954CFD">
        <w:rPr>
          <w:rFonts w:ascii="Palatino Linotype" w:hAnsi="Palatino Linotype" w:cs="Arial"/>
          <w:i/>
          <w:lang w:val="es-ES_tradnl"/>
        </w:rPr>
        <w:t>Sin embargo, en aras de Máxima Publicidad de la información se envía la "</w:t>
      </w:r>
      <w:r w:rsidRPr="00954CFD">
        <w:rPr>
          <w:rFonts w:ascii="Palatino Linotype" w:hAnsi="Palatino Linotype" w:cs="Arial"/>
          <w:b/>
          <w:i/>
          <w:lang w:val="es-ES_tradnl"/>
        </w:rPr>
        <w:t>CUENTA PÚBLICA</w:t>
      </w:r>
      <w:r w:rsidR="00D23D17" w:rsidRPr="00954CFD">
        <w:rPr>
          <w:rFonts w:ascii="Palatino Linotype" w:hAnsi="Palatino Linotype" w:cs="Arial"/>
          <w:b/>
          <w:i/>
          <w:lang w:val="es-ES_tradnl"/>
        </w:rPr>
        <w:t xml:space="preserve"> </w:t>
      </w:r>
      <w:r w:rsidRPr="00954CFD">
        <w:rPr>
          <w:rFonts w:ascii="Palatino Linotype" w:hAnsi="Palatino Linotype" w:cs="Arial"/>
          <w:b/>
          <w:i/>
          <w:lang w:val="es-ES_tradnl"/>
        </w:rPr>
        <w:t>DE LOS EJERCICIOS FISCALES 2017, 2018, 2019, 2020 Y 2021</w:t>
      </w:r>
      <w:r w:rsidRPr="00954CFD">
        <w:rPr>
          <w:rFonts w:ascii="Palatino Linotype" w:hAnsi="Palatino Linotype" w:cs="Arial"/>
          <w:i/>
          <w:lang w:val="es-ES_tradnl"/>
        </w:rPr>
        <w:t>" (Anexo Único), en formato</w:t>
      </w:r>
      <w:r w:rsidR="00D23D17" w:rsidRPr="00954CFD">
        <w:rPr>
          <w:rFonts w:ascii="Palatino Linotype" w:hAnsi="Palatino Linotype" w:cs="Arial"/>
          <w:i/>
          <w:lang w:val="es-ES_tradnl"/>
        </w:rPr>
        <w:t xml:space="preserve"> </w:t>
      </w:r>
      <w:r w:rsidRPr="00954CFD">
        <w:rPr>
          <w:rFonts w:ascii="Palatino Linotype" w:hAnsi="Palatino Linotype" w:cs="Arial"/>
          <w:i/>
          <w:lang w:val="es-ES_tradnl"/>
        </w:rPr>
        <w:t xml:space="preserve">PDF tal y como que es entregada al Gobierno del Estado de México. </w:t>
      </w:r>
    </w:p>
    <w:p w:rsidR="00D23D17" w:rsidRPr="00954CFD" w:rsidRDefault="00D23D17" w:rsidP="00BA59DD">
      <w:pPr>
        <w:spacing w:after="0" w:line="240" w:lineRule="auto"/>
        <w:ind w:left="567" w:right="567"/>
        <w:jc w:val="both"/>
        <w:rPr>
          <w:rFonts w:ascii="Palatino Linotype" w:hAnsi="Palatino Linotype" w:cs="Arial"/>
          <w:i/>
          <w:lang w:val="es-ES_tradnl"/>
        </w:rPr>
      </w:pPr>
    </w:p>
    <w:p w:rsidR="00BA59DD" w:rsidRPr="00954CFD" w:rsidRDefault="00BA59DD" w:rsidP="00BA59DD">
      <w:pPr>
        <w:spacing w:after="0" w:line="240" w:lineRule="auto"/>
        <w:ind w:left="567" w:right="567"/>
        <w:jc w:val="both"/>
        <w:rPr>
          <w:rFonts w:ascii="Palatino Linotype" w:hAnsi="Palatino Linotype" w:cs="Arial"/>
          <w:i/>
          <w:lang w:val="es-ES_tradnl"/>
        </w:rPr>
      </w:pPr>
      <w:r w:rsidRPr="00954CFD">
        <w:rPr>
          <w:rFonts w:ascii="Palatino Linotype" w:hAnsi="Palatino Linotype" w:cs="Arial"/>
          <w:i/>
          <w:lang w:val="es-ES_tradnl"/>
        </w:rPr>
        <w:t>Ahora bien, por lo que hace al ejercicio fiscal 2022 se hace de su conocimiento que la</w:t>
      </w:r>
      <w:r w:rsidR="00D23D17" w:rsidRPr="00954CFD">
        <w:rPr>
          <w:rFonts w:ascii="Palatino Linotype" w:hAnsi="Palatino Linotype" w:cs="Arial"/>
          <w:i/>
          <w:lang w:val="es-ES_tradnl"/>
        </w:rPr>
        <w:t xml:space="preserve"> </w:t>
      </w:r>
      <w:r w:rsidRPr="00954CFD">
        <w:rPr>
          <w:rFonts w:ascii="Palatino Linotype" w:hAnsi="Palatino Linotype" w:cs="Arial"/>
          <w:i/>
          <w:lang w:val="es-ES_tradnl"/>
        </w:rPr>
        <w:t>información contable y presupuesta</w:t>
      </w:r>
      <w:r w:rsidR="00D23D17" w:rsidRPr="00954CFD">
        <w:rPr>
          <w:rFonts w:ascii="Palatino Linotype" w:hAnsi="Palatino Linotype" w:cs="Arial"/>
          <w:i/>
          <w:lang w:val="es-ES_tradnl"/>
        </w:rPr>
        <w:t>l</w:t>
      </w:r>
      <w:r w:rsidRPr="00954CFD">
        <w:rPr>
          <w:rFonts w:ascii="Palatino Linotype" w:hAnsi="Palatino Linotype" w:cs="Arial"/>
          <w:i/>
          <w:lang w:val="es-ES_tradnl"/>
        </w:rPr>
        <w:t xml:space="preserve"> que se proporciona para la integración de la Cuenta </w:t>
      </w:r>
      <w:r w:rsidRPr="00954CFD">
        <w:rPr>
          <w:rFonts w:ascii="Palatino Linotype" w:hAnsi="Palatino Linotype" w:cs="Arial"/>
          <w:i/>
          <w:lang w:val="es-ES_tradnl"/>
        </w:rPr>
        <w:lastRenderedPageBreak/>
        <w:t xml:space="preserve">Pública del Ejercicio Fiscal 2022 es presentada en el mes de febrero 2023, motivo por </w:t>
      </w:r>
      <w:r w:rsidR="00D23D17" w:rsidRPr="00954CFD">
        <w:rPr>
          <w:rFonts w:ascii="Palatino Linotype" w:hAnsi="Palatino Linotype" w:cs="Arial"/>
          <w:i/>
          <w:lang w:val="es-ES_tradnl"/>
        </w:rPr>
        <w:t xml:space="preserve">el cual a </w:t>
      </w:r>
      <w:r w:rsidRPr="00954CFD">
        <w:rPr>
          <w:rFonts w:ascii="Palatino Linotype" w:hAnsi="Palatino Linotype" w:cs="Arial"/>
          <w:i/>
          <w:lang w:val="es-ES_tradnl"/>
        </w:rPr>
        <w:t>la fecha no se cuenta con la misma.</w:t>
      </w:r>
      <w:r w:rsidR="00D23D17" w:rsidRPr="00954CFD">
        <w:rPr>
          <w:rFonts w:ascii="Palatino Linotype" w:hAnsi="Palatino Linotype" w:cs="Arial"/>
          <w:i/>
          <w:lang w:val="es-ES_tradnl"/>
        </w:rPr>
        <w:t>”</w:t>
      </w:r>
    </w:p>
    <w:p w:rsidR="00BA59DD" w:rsidRPr="00954CFD" w:rsidRDefault="00BA59DD" w:rsidP="008306AC">
      <w:pPr>
        <w:spacing w:after="0" w:line="360" w:lineRule="auto"/>
        <w:jc w:val="both"/>
        <w:rPr>
          <w:rFonts w:ascii="Palatino Linotype" w:hAnsi="Palatino Linotype" w:cs="Arial"/>
          <w:sz w:val="24"/>
          <w:lang w:val="es-ES_tradnl"/>
        </w:rPr>
      </w:pPr>
    </w:p>
    <w:p w:rsidR="00BA59DD" w:rsidRPr="00954CFD" w:rsidRDefault="00DE5239" w:rsidP="00DE5239">
      <w:pPr>
        <w:pStyle w:val="Prrafodelista"/>
        <w:numPr>
          <w:ilvl w:val="0"/>
          <w:numId w:val="23"/>
        </w:numPr>
        <w:spacing w:line="360" w:lineRule="auto"/>
        <w:jc w:val="both"/>
        <w:rPr>
          <w:rFonts w:ascii="Palatino Linotype" w:hAnsi="Palatino Linotype" w:cs="Arial"/>
          <w:lang w:val="es-ES_tradnl"/>
        </w:rPr>
      </w:pPr>
      <w:r w:rsidRPr="00954CFD">
        <w:rPr>
          <w:rFonts w:ascii="Palatino Linotype" w:hAnsi="Palatino Linotype" w:cs="Arial"/>
          <w:b/>
          <w:lang w:val="es-ES_tradnl"/>
        </w:rPr>
        <w:t>CUENTA PUBLICA 2017.pdf, CUENTA PUBLICA 2018.pdf, CUENTA PUBLICA 2019.pdf, CUENTA PUBLICA 2020.pdf</w:t>
      </w:r>
      <w:r w:rsidRPr="00954CFD">
        <w:rPr>
          <w:rFonts w:ascii="Palatino Linotype" w:hAnsi="Palatino Linotype" w:cs="Arial"/>
          <w:lang w:val="es-ES_tradnl"/>
        </w:rPr>
        <w:t xml:space="preserve"> y </w:t>
      </w:r>
      <w:r w:rsidRPr="00954CFD">
        <w:rPr>
          <w:rFonts w:ascii="Palatino Linotype" w:hAnsi="Palatino Linotype" w:cs="Arial"/>
          <w:b/>
          <w:lang w:val="es-ES_tradnl"/>
        </w:rPr>
        <w:t>CUENTA PUBLICA 2021.pdf</w:t>
      </w:r>
      <w:r w:rsidRPr="00954CFD">
        <w:rPr>
          <w:rFonts w:ascii="Palatino Linotype" w:hAnsi="Palatino Linotype" w:cs="Arial"/>
          <w:lang w:val="es-ES_tradnl"/>
        </w:rPr>
        <w:t>: como su nombre lo indica, corresponde a las cuentas públicas de los años 2017 a 2021, por parte del Sujeto Obligado</w:t>
      </w:r>
    </w:p>
    <w:p w:rsidR="00BA59DD" w:rsidRPr="00954CFD" w:rsidRDefault="00BA59DD" w:rsidP="008306AC">
      <w:pPr>
        <w:spacing w:after="0" w:line="360" w:lineRule="auto"/>
        <w:jc w:val="both"/>
        <w:rPr>
          <w:rFonts w:ascii="Palatino Linotype" w:hAnsi="Palatino Linotype" w:cs="Arial"/>
          <w:sz w:val="24"/>
          <w:lang w:val="es-ES_tradnl"/>
        </w:rPr>
      </w:pPr>
    </w:p>
    <w:p w:rsidR="00DE5239" w:rsidRPr="00954CFD" w:rsidRDefault="00DE5239" w:rsidP="00DE5239">
      <w:pPr>
        <w:pStyle w:val="Prrafodelista"/>
        <w:numPr>
          <w:ilvl w:val="0"/>
          <w:numId w:val="23"/>
        </w:numPr>
        <w:spacing w:line="360" w:lineRule="auto"/>
        <w:jc w:val="both"/>
        <w:rPr>
          <w:rFonts w:ascii="Palatino Linotype" w:hAnsi="Palatino Linotype" w:cs="Arial"/>
          <w:lang w:val="es-ES_tradnl"/>
        </w:rPr>
      </w:pPr>
      <w:r w:rsidRPr="00954CFD">
        <w:rPr>
          <w:rFonts w:ascii="Palatino Linotype" w:hAnsi="Palatino Linotype" w:cs="Arial"/>
          <w:b/>
          <w:lang w:val="es-ES_tradnl"/>
        </w:rPr>
        <w:t>RespuestaSolicitud00745UT.pdf:</w:t>
      </w:r>
      <w:r w:rsidRPr="00954CFD">
        <w:rPr>
          <w:rFonts w:ascii="Palatino Linotype" w:hAnsi="Palatino Linotype" w:cs="Arial"/>
          <w:lang w:val="es-ES_tradnl"/>
        </w:rPr>
        <w:t xml:space="preserve"> oficio número INFOEM/UTT/602/2022 del cinco de julio de dos mil veintidós, remitido por el Titular de la Unidad de Transparencia del Sujeto Obligado al entonces Solicitante de la información, mediante el cual remite las respuestas de las distintas áreas </w:t>
      </w:r>
    </w:p>
    <w:p w:rsidR="00DE5239" w:rsidRPr="00954CFD" w:rsidRDefault="00DE5239" w:rsidP="008306AC">
      <w:pPr>
        <w:spacing w:after="0" w:line="360" w:lineRule="auto"/>
        <w:jc w:val="both"/>
        <w:rPr>
          <w:rFonts w:ascii="Palatino Linotype" w:hAnsi="Palatino Linotype" w:cs="Arial"/>
          <w:sz w:val="24"/>
          <w:lang w:val="es-ES_tradnl"/>
        </w:rPr>
      </w:pPr>
    </w:p>
    <w:p w:rsidR="008306AC" w:rsidRPr="00954CFD" w:rsidRDefault="008306AC" w:rsidP="004536B7">
      <w:pPr>
        <w:spacing w:after="0" w:line="360" w:lineRule="auto"/>
        <w:jc w:val="both"/>
        <w:rPr>
          <w:rFonts w:ascii="Palatino Linotype" w:eastAsia="Calibri" w:hAnsi="Palatino Linotype" w:cs="Arial"/>
          <w:color w:val="000000"/>
          <w:sz w:val="24"/>
          <w:szCs w:val="24"/>
          <w:lang w:eastAsia="es-ES"/>
        </w:rPr>
      </w:pPr>
      <w:r w:rsidRPr="00954CFD">
        <w:rPr>
          <w:rFonts w:ascii="Palatino Linotype" w:eastAsia="Calibri" w:hAnsi="Palatino Linotype"/>
          <w:sz w:val="24"/>
          <w:lang w:val="es-ES_tradnl"/>
        </w:rPr>
        <w:t>Inconforme con la</w:t>
      </w:r>
      <w:r w:rsidR="004536B7" w:rsidRPr="00954CFD">
        <w:rPr>
          <w:rFonts w:ascii="Palatino Linotype" w:eastAsia="Calibri" w:hAnsi="Palatino Linotype"/>
          <w:sz w:val="24"/>
          <w:lang w:val="es-ES_tradnl"/>
        </w:rPr>
        <w:t>s</w:t>
      </w:r>
      <w:r w:rsidRPr="00954CFD">
        <w:rPr>
          <w:rFonts w:ascii="Palatino Linotype" w:eastAsia="Calibri" w:hAnsi="Palatino Linotype"/>
          <w:sz w:val="24"/>
          <w:lang w:val="es-ES_tradnl"/>
        </w:rPr>
        <w:t xml:space="preserve"> respuesta</w:t>
      </w:r>
      <w:r w:rsidR="004536B7" w:rsidRPr="00954CFD">
        <w:rPr>
          <w:rFonts w:ascii="Palatino Linotype" w:eastAsia="Calibri" w:hAnsi="Palatino Linotype"/>
          <w:sz w:val="24"/>
          <w:lang w:val="es-ES_tradnl"/>
        </w:rPr>
        <w:t>s</w:t>
      </w:r>
      <w:r w:rsidRPr="00954CFD">
        <w:rPr>
          <w:rFonts w:ascii="Palatino Linotype" w:eastAsia="Calibri" w:hAnsi="Palatino Linotype"/>
          <w:sz w:val="24"/>
          <w:lang w:val="es-ES_tradnl"/>
        </w:rPr>
        <w:t xml:space="preserve">, el </w:t>
      </w:r>
      <w:r w:rsidRPr="00954CFD">
        <w:rPr>
          <w:rFonts w:ascii="Palatino Linotype" w:eastAsia="Calibri" w:hAnsi="Palatino Linotype"/>
          <w:b/>
          <w:sz w:val="24"/>
          <w:lang w:val="es-ES_tradnl"/>
        </w:rPr>
        <w:t>Recurrente</w:t>
      </w:r>
      <w:r w:rsidRPr="00954CFD">
        <w:rPr>
          <w:rFonts w:ascii="Palatino Linotype" w:eastAsia="Calibri" w:hAnsi="Palatino Linotype"/>
          <w:sz w:val="24"/>
          <w:lang w:val="es-ES_tradnl"/>
        </w:rPr>
        <w:t xml:space="preserve"> interpuso recurso de revisión, haciendo valer como</w:t>
      </w:r>
      <w:r w:rsidR="004536B7" w:rsidRPr="00954CFD">
        <w:rPr>
          <w:rFonts w:ascii="Palatino Linotype" w:eastAsia="Calibri" w:hAnsi="Palatino Linotype"/>
          <w:sz w:val="24"/>
          <w:lang w:val="es-ES_tradnl"/>
        </w:rPr>
        <w:t xml:space="preserve"> acto impugnado ““NO ENTREGARON LO ANEXOS DE LOS PROYECTOS REALIZADOS” y como</w:t>
      </w:r>
      <w:r w:rsidRPr="00954CFD">
        <w:rPr>
          <w:rFonts w:ascii="Palatino Linotype" w:eastAsia="Calibri" w:hAnsi="Palatino Linotype"/>
          <w:sz w:val="24"/>
          <w:lang w:val="es-ES_tradnl"/>
        </w:rPr>
        <w:t xml:space="preserve"> raz</w:t>
      </w:r>
      <w:r w:rsidR="004536B7" w:rsidRPr="00954CFD">
        <w:rPr>
          <w:rFonts w:ascii="Palatino Linotype" w:eastAsia="Calibri" w:hAnsi="Palatino Linotype"/>
          <w:sz w:val="24"/>
          <w:lang w:val="es-ES_tradnl"/>
        </w:rPr>
        <w:t>ones o</w:t>
      </w:r>
      <w:r w:rsidRPr="00954CFD">
        <w:rPr>
          <w:rFonts w:ascii="Palatino Linotype" w:eastAsia="Calibri" w:hAnsi="Palatino Linotype"/>
          <w:sz w:val="24"/>
          <w:lang w:val="es-ES_tradnl"/>
        </w:rPr>
        <w:t xml:space="preserve"> motivos de inconformidad</w:t>
      </w:r>
      <w:r w:rsidR="004536B7" w:rsidRPr="00954CFD">
        <w:rPr>
          <w:rFonts w:ascii="Palatino Linotype" w:eastAsia="Calibri" w:hAnsi="Palatino Linotype"/>
          <w:sz w:val="24"/>
          <w:lang w:val="es-ES_tradnl"/>
        </w:rPr>
        <w:t xml:space="preserve"> “NO SE ENTREGAN LOS ANEXOS QUE MENCIONAN…”, manifestaciones que resultan fundadas para la interposición de los recursos de revisión, al encuadrar en la hipótesis normativa establecida en la fracción V del artículo 179 de la Ley de Transparencia y Acceso a la Información Pública del Estado de México y Municipios</w:t>
      </w:r>
      <w:r w:rsidR="004536B7" w:rsidRPr="00954CFD">
        <w:rPr>
          <w:rStyle w:val="Refdenotaalpie"/>
          <w:rFonts w:ascii="Palatino Linotype" w:eastAsia="Calibri" w:hAnsi="Palatino Linotype"/>
          <w:sz w:val="24"/>
          <w:lang w:val="es-ES_tradnl"/>
        </w:rPr>
        <w:footnoteReference w:id="2"/>
      </w:r>
      <w:r w:rsidR="004536B7" w:rsidRPr="00954CFD">
        <w:rPr>
          <w:rFonts w:ascii="Palatino Linotype" w:eastAsia="Calibri" w:hAnsi="Palatino Linotype"/>
          <w:sz w:val="24"/>
          <w:lang w:val="es-ES_tradnl"/>
        </w:rPr>
        <w:t>, relativa a la entrega de información incompleta.</w:t>
      </w:r>
    </w:p>
    <w:p w:rsidR="004536B7" w:rsidRPr="00954CFD" w:rsidRDefault="004536B7" w:rsidP="004536B7">
      <w:pPr>
        <w:spacing w:after="0" w:line="360" w:lineRule="auto"/>
        <w:jc w:val="both"/>
        <w:rPr>
          <w:rFonts w:ascii="Palatino Linotype" w:hAnsi="Palatino Linotype" w:cs="Arial"/>
          <w:sz w:val="24"/>
        </w:rPr>
      </w:pPr>
      <w:r w:rsidRPr="00954CFD">
        <w:rPr>
          <w:rFonts w:ascii="Palatino Linotype" w:hAnsi="Palatino Linotype" w:cs="Arial"/>
          <w:sz w:val="24"/>
        </w:rPr>
        <w:lastRenderedPageBreak/>
        <w:t>Atentos a</w:t>
      </w:r>
      <w:r w:rsidR="008716D8" w:rsidRPr="00954CFD">
        <w:rPr>
          <w:rFonts w:ascii="Palatino Linotype" w:hAnsi="Palatino Linotype" w:cs="Arial"/>
          <w:sz w:val="24"/>
        </w:rPr>
        <w:t xml:space="preserve"> las manifestaciones vertidas</w:t>
      </w:r>
      <w:r w:rsidRPr="00954CFD">
        <w:rPr>
          <w:rFonts w:ascii="Palatino Linotype" w:hAnsi="Palatino Linotype" w:cs="Arial"/>
          <w:sz w:val="24"/>
        </w:rPr>
        <w:t xml:space="preserve">, </w:t>
      </w:r>
      <w:r w:rsidR="008716D8" w:rsidRPr="00954CFD">
        <w:rPr>
          <w:rFonts w:ascii="Palatino Linotype" w:hAnsi="Palatino Linotype" w:cs="Arial"/>
          <w:sz w:val="24"/>
        </w:rPr>
        <w:t>podemos acreditar en un primer momento que</w:t>
      </w:r>
      <w:r w:rsidRPr="00954CFD">
        <w:rPr>
          <w:rFonts w:ascii="Palatino Linotype" w:hAnsi="Palatino Linotype" w:cs="Arial"/>
          <w:sz w:val="24"/>
        </w:rPr>
        <w:t xml:space="preserve">, el </w:t>
      </w:r>
      <w:r w:rsidRPr="00954CFD">
        <w:rPr>
          <w:rFonts w:ascii="Palatino Linotype" w:hAnsi="Palatino Linotype" w:cs="Arial"/>
          <w:b/>
          <w:sz w:val="24"/>
        </w:rPr>
        <w:t>Recurrente</w:t>
      </w:r>
      <w:r w:rsidRPr="00954CFD">
        <w:rPr>
          <w:rFonts w:ascii="Palatino Linotype" w:hAnsi="Palatino Linotype" w:cs="Arial"/>
          <w:sz w:val="24"/>
        </w:rPr>
        <w:t xml:space="preserve"> no se inconforma de la totalidad de la información entregada, </w:t>
      </w:r>
      <w:r w:rsidR="008716D8" w:rsidRPr="00954CFD">
        <w:rPr>
          <w:rFonts w:ascii="Palatino Linotype" w:hAnsi="Palatino Linotype" w:cs="Arial"/>
          <w:sz w:val="24"/>
        </w:rPr>
        <w:t xml:space="preserve">al adolecerse únicamente en lo que respecta que no le fueron anexados los proyectos realizados (numeral </w:t>
      </w:r>
      <w:r w:rsidR="008716D8" w:rsidRPr="00954CFD">
        <w:rPr>
          <w:rFonts w:ascii="Palatino Linotype" w:hAnsi="Palatino Linotype" w:cs="Arial"/>
          <w:b/>
          <w:sz w:val="26"/>
          <w:szCs w:val="26"/>
        </w:rPr>
        <w:t>2</w:t>
      </w:r>
      <w:r w:rsidR="008716D8" w:rsidRPr="00954CFD">
        <w:rPr>
          <w:rFonts w:ascii="Palatino Linotype" w:hAnsi="Palatino Linotype" w:cs="Arial"/>
          <w:sz w:val="24"/>
        </w:rPr>
        <w:t>)</w:t>
      </w:r>
      <w:r w:rsidRPr="00954CFD">
        <w:rPr>
          <w:rFonts w:ascii="Palatino Linotype" w:hAnsi="Palatino Linotype" w:cs="Arial"/>
          <w:sz w:val="24"/>
        </w:rPr>
        <w:t xml:space="preserve">, consecuentemente, al no impugnar el total de los requerimientos, se debe entender que está conforme con la respuesta otorgada, por lo que se considera que consintió parcialmente la respuesta. </w:t>
      </w:r>
    </w:p>
    <w:p w:rsidR="004536B7" w:rsidRPr="00954CFD" w:rsidRDefault="004536B7" w:rsidP="004536B7">
      <w:pPr>
        <w:spacing w:after="0" w:line="360" w:lineRule="auto"/>
        <w:jc w:val="both"/>
        <w:rPr>
          <w:rFonts w:ascii="Palatino Linotype" w:hAnsi="Palatino Linotype" w:cs="Arial"/>
          <w:sz w:val="24"/>
        </w:rPr>
      </w:pPr>
    </w:p>
    <w:p w:rsidR="004536B7" w:rsidRPr="00954CFD" w:rsidRDefault="004536B7" w:rsidP="004536B7">
      <w:pPr>
        <w:spacing w:after="0" w:line="360" w:lineRule="auto"/>
        <w:jc w:val="both"/>
        <w:rPr>
          <w:rFonts w:ascii="Palatino Linotype" w:hAnsi="Palatino Linotype" w:cs="Arial"/>
          <w:sz w:val="24"/>
        </w:rPr>
      </w:pPr>
      <w:r w:rsidRPr="00954CFD">
        <w:rPr>
          <w:rFonts w:ascii="Palatino Linotype" w:hAnsi="Palatino Linotype" w:cs="Arial"/>
          <w:sz w:val="24"/>
        </w:rPr>
        <w:t xml:space="preserve">Lo anterior es así, debido a que cuando el </w:t>
      </w:r>
      <w:r w:rsidRPr="00954CFD">
        <w:rPr>
          <w:rFonts w:ascii="Palatino Linotype" w:hAnsi="Palatino Linotype" w:cs="Arial"/>
          <w:b/>
          <w:sz w:val="24"/>
        </w:rPr>
        <w:t>Recurrente</w:t>
      </w:r>
      <w:r w:rsidRPr="00954CFD">
        <w:rPr>
          <w:rFonts w:ascii="Palatino Linotype" w:hAnsi="Palatino Linotype" w:cs="Arial"/>
          <w:sz w:val="24"/>
        </w:rPr>
        <w:t xml:space="preserv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4536B7" w:rsidRPr="00954CFD" w:rsidRDefault="004536B7" w:rsidP="004536B7">
      <w:pPr>
        <w:spacing w:after="0" w:line="360" w:lineRule="auto"/>
        <w:jc w:val="both"/>
        <w:rPr>
          <w:rFonts w:ascii="Palatino Linotype" w:hAnsi="Palatino Linotype" w:cs="Arial"/>
          <w:sz w:val="24"/>
        </w:rPr>
      </w:pPr>
    </w:p>
    <w:p w:rsidR="004536B7" w:rsidRPr="00954CFD" w:rsidRDefault="004536B7" w:rsidP="004536B7">
      <w:pPr>
        <w:spacing w:after="0" w:line="240" w:lineRule="auto"/>
        <w:ind w:left="567" w:right="567"/>
        <w:jc w:val="both"/>
        <w:rPr>
          <w:rFonts w:ascii="Palatino Linotype" w:hAnsi="Palatino Linotype" w:cs="Arial"/>
          <w:i/>
        </w:rPr>
      </w:pPr>
      <w:r w:rsidRPr="00954CFD">
        <w:rPr>
          <w:rFonts w:ascii="Palatino Linotype" w:hAnsi="Palatino Linotype" w:cs="Arial"/>
          <w:i/>
        </w:rPr>
        <w:t>“</w:t>
      </w:r>
      <w:r w:rsidRPr="00954CFD">
        <w:rPr>
          <w:rFonts w:ascii="Palatino Linotype" w:hAnsi="Palatino Linotype" w:cs="Arial"/>
          <w:b/>
          <w:i/>
        </w:rPr>
        <w:t>REVISIÓN EN AMPARO. LOS RESOLUTIVOS NO COMBATIDOS DEBEN DECLARARSE FIRMES</w:t>
      </w:r>
      <w:r w:rsidRPr="00954CFD">
        <w:rPr>
          <w:rFonts w:ascii="Palatino Linotype" w:hAnsi="Palatino Linotype" w:cs="Arial"/>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8716D8" w:rsidRPr="00954CFD" w:rsidRDefault="008716D8" w:rsidP="004536B7">
      <w:pPr>
        <w:spacing w:after="0" w:line="360" w:lineRule="auto"/>
        <w:jc w:val="both"/>
        <w:rPr>
          <w:rFonts w:ascii="Palatino Linotype" w:hAnsi="Palatino Linotype" w:cs="Arial"/>
          <w:sz w:val="24"/>
        </w:rPr>
      </w:pPr>
    </w:p>
    <w:p w:rsidR="004536B7" w:rsidRPr="00954CFD" w:rsidRDefault="004536B7" w:rsidP="004536B7">
      <w:pPr>
        <w:spacing w:after="0" w:line="360" w:lineRule="auto"/>
        <w:jc w:val="both"/>
        <w:rPr>
          <w:rFonts w:ascii="Palatino Linotype" w:hAnsi="Palatino Linotype" w:cs="Arial"/>
          <w:sz w:val="24"/>
        </w:rPr>
      </w:pPr>
      <w:r w:rsidRPr="00954CFD">
        <w:rPr>
          <w:rFonts w:ascii="Palatino Linotype" w:hAnsi="Palatino Linotype" w:cs="Arial"/>
          <w:sz w:val="24"/>
        </w:rPr>
        <w:t xml:space="preserve">Así, la parte de la solicitud sobre la que no se expresó inconformidad, debe declararse consentida por el hoy </w:t>
      </w:r>
      <w:r w:rsidRPr="00954CFD">
        <w:rPr>
          <w:rFonts w:ascii="Palatino Linotype" w:hAnsi="Palatino Linotype" w:cs="Arial"/>
          <w:b/>
          <w:sz w:val="24"/>
        </w:rPr>
        <w:t>Recurrente</w:t>
      </w:r>
      <w:r w:rsidRPr="00954CFD">
        <w:rPr>
          <w:rFonts w:ascii="Palatino Linotype" w:hAnsi="Palatino Linotype" w:cs="Arial"/>
          <w:sz w:val="24"/>
        </w:rPr>
        <w:t xml:space="preserve">, ya que no pueden producirse efectos jurídicos </w:t>
      </w:r>
      <w:r w:rsidRPr="00954CFD">
        <w:rPr>
          <w:rFonts w:ascii="Palatino Linotype" w:hAnsi="Palatino Linotype" w:cs="Arial"/>
          <w:sz w:val="24"/>
        </w:rPr>
        <w:lastRenderedPageBreak/>
        <w:t>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rsidR="004536B7" w:rsidRPr="00954CFD" w:rsidRDefault="004536B7" w:rsidP="004536B7">
      <w:pPr>
        <w:spacing w:after="0" w:line="360" w:lineRule="auto"/>
        <w:jc w:val="both"/>
        <w:rPr>
          <w:rFonts w:ascii="Palatino Linotype" w:hAnsi="Palatino Linotype" w:cs="Arial"/>
          <w:sz w:val="24"/>
        </w:rPr>
      </w:pPr>
    </w:p>
    <w:p w:rsidR="004536B7" w:rsidRPr="00954CFD" w:rsidRDefault="004536B7" w:rsidP="004536B7">
      <w:pPr>
        <w:spacing w:after="0" w:line="240" w:lineRule="auto"/>
        <w:ind w:left="567" w:right="567"/>
        <w:jc w:val="both"/>
        <w:rPr>
          <w:rFonts w:ascii="Palatino Linotype" w:hAnsi="Palatino Linotype" w:cs="Arial"/>
          <w:i/>
        </w:rPr>
      </w:pPr>
      <w:r w:rsidRPr="00954CFD">
        <w:rPr>
          <w:rFonts w:ascii="Palatino Linotype" w:hAnsi="Palatino Linotype" w:cs="Arial"/>
          <w:i/>
        </w:rPr>
        <w:t>“</w:t>
      </w:r>
      <w:r w:rsidRPr="00954CFD">
        <w:rPr>
          <w:rFonts w:ascii="Palatino Linotype" w:hAnsi="Palatino Linotype" w:cs="Arial"/>
          <w:b/>
          <w:i/>
        </w:rPr>
        <w:t>ACTOS CONSENTIDOS. SON LOS QUE NO SE IMPUGNAN MEDIANTE EL RECURSO IDÓNEO</w:t>
      </w:r>
      <w:r w:rsidRPr="00954CFD">
        <w:rPr>
          <w:rFonts w:ascii="Palatino Linotype" w:hAnsi="Palatino Linotype" w:cs="Arial"/>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4536B7" w:rsidRPr="00954CFD" w:rsidRDefault="004536B7" w:rsidP="004536B7">
      <w:pPr>
        <w:spacing w:after="0" w:line="360" w:lineRule="auto"/>
        <w:jc w:val="both"/>
        <w:rPr>
          <w:rFonts w:ascii="Palatino Linotype" w:hAnsi="Palatino Linotype" w:cs="Arial"/>
          <w:sz w:val="24"/>
          <w:lang w:val="es-ES"/>
        </w:rPr>
      </w:pPr>
    </w:p>
    <w:p w:rsidR="004536B7" w:rsidRPr="00954CFD" w:rsidRDefault="004536B7" w:rsidP="004536B7">
      <w:pPr>
        <w:spacing w:after="0" w:line="360" w:lineRule="auto"/>
        <w:jc w:val="both"/>
        <w:rPr>
          <w:rFonts w:ascii="Palatino Linotype" w:hAnsi="Palatino Linotype" w:cs="Arial"/>
          <w:sz w:val="24"/>
          <w:szCs w:val="24"/>
        </w:rPr>
      </w:pPr>
      <w:r w:rsidRPr="00954CFD">
        <w:rPr>
          <w:rFonts w:ascii="Palatino Linotype" w:hAnsi="Palatino Linotype" w:cs="Arial"/>
          <w:sz w:val="24"/>
          <w:lang w:val="es-ES"/>
        </w:rPr>
        <w:t xml:space="preserve">Derivado de la interposición del recurso de revisión, </w:t>
      </w:r>
      <w:r w:rsidR="008716D8" w:rsidRPr="00954CFD">
        <w:rPr>
          <w:rFonts w:ascii="Palatino Linotype" w:hAnsi="Palatino Linotype" w:cs="Arial"/>
          <w:sz w:val="24"/>
          <w:lang w:val="es-ES"/>
        </w:rPr>
        <w:t xml:space="preserve">en un primer momento </w:t>
      </w:r>
      <w:r w:rsidRPr="00954CFD">
        <w:rPr>
          <w:rFonts w:ascii="Palatino Linotype" w:hAnsi="Palatino Linotype" w:cs="Arial"/>
          <w:sz w:val="24"/>
          <w:lang w:val="es-ES"/>
        </w:rPr>
        <w:t xml:space="preserve">el </w:t>
      </w:r>
      <w:r w:rsidRPr="00954CFD">
        <w:rPr>
          <w:rFonts w:ascii="Palatino Linotype" w:hAnsi="Palatino Linotype" w:cs="Arial"/>
          <w:b/>
          <w:sz w:val="24"/>
          <w:lang w:val="es-ES"/>
        </w:rPr>
        <w:t>Sujeto Obligado</w:t>
      </w:r>
      <w:r w:rsidRPr="00954CFD">
        <w:rPr>
          <w:rFonts w:ascii="Palatino Linotype" w:hAnsi="Palatino Linotype" w:cs="Arial"/>
          <w:sz w:val="24"/>
          <w:lang w:val="es-ES"/>
        </w:rPr>
        <w:t xml:space="preserve"> rindió su</w:t>
      </w:r>
      <w:r w:rsidR="008716D8" w:rsidRPr="00954CFD">
        <w:rPr>
          <w:rFonts w:ascii="Palatino Linotype" w:hAnsi="Palatino Linotype" w:cs="Arial"/>
          <w:sz w:val="24"/>
          <w:lang w:val="es-ES"/>
        </w:rPr>
        <w:t>s</w:t>
      </w:r>
      <w:r w:rsidRPr="00954CFD">
        <w:rPr>
          <w:rFonts w:ascii="Palatino Linotype" w:hAnsi="Palatino Linotype" w:cs="Arial"/>
          <w:sz w:val="24"/>
          <w:lang w:val="es-ES"/>
        </w:rPr>
        <w:t xml:space="preserve"> informe</w:t>
      </w:r>
      <w:r w:rsidR="008716D8" w:rsidRPr="00954CFD">
        <w:rPr>
          <w:rFonts w:ascii="Palatino Linotype" w:hAnsi="Palatino Linotype" w:cs="Arial"/>
          <w:sz w:val="24"/>
          <w:lang w:val="es-ES"/>
        </w:rPr>
        <w:t xml:space="preserve">s justificados, </w:t>
      </w:r>
      <w:r w:rsidR="008716D8" w:rsidRPr="00954CFD">
        <w:rPr>
          <w:rFonts w:ascii="Palatino Linotype" w:hAnsi="Palatino Linotype" w:cs="Arial"/>
          <w:sz w:val="24"/>
          <w:szCs w:val="24"/>
        </w:rPr>
        <w:t xml:space="preserve">respecto del recurso de revisión </w:t>
      </w:r>
      <w:r w:rsidR="008716D8" w:rsidRPr="00954CFD">
        <w:rPr>
          <w:rFonts w:ascii="Palatino Linotype" w:hAnsi="Palatino Linotype" w:cs="Arial"/>
          <w:b/>
          <w:sz w:val="26"/>
          <w:szCs w:val="26"/>
        </w:rPr>
        <w:t>013120/INFOEM/IP/RR/2022</w:t>
      </w:r>
      <w:r w:rsidR="008716D8" w:rsidRPr="00954CFD">
        <w:rPr>
          <w:rFonts w:ascii="Palatino Linotype" w:hAnsi="Palatino Linotype" w:cs="Arial"/>
          <w:sz w:val="24"/>
          <w:szCs w:val="24"/>
        </w:rPr>
        <w:t xml:space="preserve"> a través de los documentos electrónicos “</w:t>
      </w:r>
      <w:r w:rsidR="008716D8" w:rsidRPr="00954CFD">
        <w:rPr>
          <w:rFonts w:ascii="Palatino Linotype" w:hAnsi="Palatino Linotype" w:cs="Arial"/>
          <w:b/>
          <w:i/>
          <w:sz w:val="24"/>
          <w:szCs w:val="24"/>
        </w:rPr>
        <w:t xml:space="preserve">RequerimientoInformeRR13120DGAF.pdf, InformeJustificadoRR13120DGAF.pdf, RequerimientoInformeRR13120.Presidencia.pdf, Anexo 3 Lineamientos Inv Ver y AudVol.pdf, InformeJustificado13120PCMRMA.pdf, InformeJustificadoRecurso13120UT.pdf, Anexo 1_Propuesta QUIO.docx, RequerimientoInformeRR13120.PSCMM.pdf, RequerimientoInformeRR13120.PMRMA.pdf, InformeJustificado13120Presidencia.pdf, InformeJustificado13120PCSCMM.pdf, InformeJustificado13120PCGRP.pdf, InformeJustificado13120PCLGPN.pdf, Anexo 2 </w:t>
      </w:r>
      <w:r w:rsidR="008716D8" w:rsidRPr="00954CFD">
        <w:rPr>
          <w:rFonts w:ascii="Palatino Linotype" w:hAnsi="Palatino Linotype" w:cs="Arial"/>
          <w:b/>
          <w:i/>
          <w:sz w:val="24"/>
          <w:szCs w:val="24"/>
        </w:rPr>
        <w:lastRenderedPageBreak/>
        <w:t>Comentarios Políticas Públicas.docx, RequerimientoInformeRR13120.PLGPN.pdf</w:t>
      </w:r>
      <w:r w:rsidR="008716D8" w:rsidRPr="00954CFD">
        <w:rPr>
          <w:rFonts w:ascii="Palatino Linotype" w:hAnsi="Palatino Linotype" w:cs="Arial"/>
          <w:i/>
          <w:sz w:val="24"/>
          <w:szCs w:val="24"/>
        </w:rPr>
        <w:t xml:space="preserve"> y </w:t>
      </w:r>
      <w:r w:rsidR="008716D8" w:rsidRPr="00954CFD">
        <w:rPr>
          <w:rFonts w:ascii="Palatino Linotype" w:hAnsi="Palatino Linotype" w:cs="Arial"/>
          <w:b/>
          <w:i/>
          <w:sz w:val="24"/>
          <w:szCs w:val="24"/>
        </w:rPr>
        <w:t>RequerimientoInformeRR13120.PGRP.pdf</w:t>
      </w:r>
      <w:r w:rsidR="008716D8" w:rsidRPr="00954CFD">
        <w:rPr>
          <w:rFonts w:ascii="Palatino Linotype" w:hAnsi="Palatino Linotype" w:cs="Arial"/>
          <w:sz w:val="24"/>
          <w:szCs w:val="24"/>
        </w:rPr>
        <w:t xml:space="preserve">”; y respecto del recurso de revisión </w:t>
      </w:r>
      <w:r w:rsidR="008716D8" w:rsidRPr="00954CFD">
        <w:rPr>
          <w:rFonts w:ascii="Palatino Linotype" w:hAnsi="Palatino Linotype" w:cs="Arial"/>
          <w:b/>
          <w:sz w:val="26"/>
          <w:szCs w:val="26"/>
        </w:rPr>
        <w:t>013121/INFOEM/IP/RR/2022</w:t>
      </w:r>
      <w:r w:rsidR="008716D8" w:rsidRPr="00954CFD">
        <w:rPr>
          <w:rFonts w:ascii="Palatino Linotype" w:hAnsi="Palatino Linotype" w:cs="Arial"/>
          <w:sz w:val="24"/>
          <w:szCs w:val="24"/>
        </w:rPr>
        <w:t xml:space="preserve"> a través de los documentos electrónicos “</w:t>
      </w:r>
      <w:r w:rsidR="008716D8" w:rsidRPr="00954CFD">
        <w:rPr>
          <w:rFonts w:ascii="Palatino Linotype" w:hAnsi="Palatino Linotype" w:cs="Arial"/>
          <w:b/>
          <w:i/>
          <w:sz w:val="24"/>
          <w:szCs w:val="24"/>
        </w:rPr>
        <w:t>AlcanceRR13120_PCSCMM.pdf, InformeJustificadoRR13121Presidencia.pdf, RequerimientoInformeRR13121.PMRMA.pdf, InformeJustificadoRR13121PCGRP.pdf, RequerimientoInformeRR13121.PSCMM.pdf, RequerimientoInformeRR13121.Presidencia.pdf, InformeJustificadoRR13121PCSCMM.pdf, InformeJustificadoRR13121PCMRMA.pdf, RequerimientoInformeRR13121.PGRP.pdf, Anexo 2 Comentarios Políticas Públicas.docx, Anexo 3 Lineamientos Inv Ver y AudVol.pdf, RequerimientoInformeRR13121.PLGPN.pdf, Anexo 1_Propuesta QUIO.docx, RequerimientoInformeRR13121DGAF.pdf, InformeJustificadoRR13121DGAF.pdf, InformeJustificadoRecurso13121UT.pdf</w:t>
      </w:r>
      <w:r w:rsidR="008716D8" w:rsidRPr="00954CFD">
        <w:rPr>
          <w:rFonts w:ascii="Palatino Linotype" w:hAnsi="Palatino Linotype" w:cs="Arial"/>
          <w:i/>
          <w:sz w:val="24"/>
          <w:szCs w:val="24"/>
        </w:rPr>
        <w:t xml:space="preserve"> y </w:t>
      </w:r>
      <w:r w:rsidR="008716D8" w:rsidRPr="00954CFD">
        <w:rPr>
          <w:rFonts w:ascii="Palatino Linotype" w:hAnsi="Palatino Linotype" w:cs="Arial"/>
          <w:b/>
          <w:i/>
          <w:sz w:val="24"/>
          <w:szCs w:val="24"/>
        </w:rPr>
        <w:t>InformeJustificadoRecurso13121UT.pdf</w:t>
      </w:r>
      <w:r w:rsidR="008716D8" w:rsidRPr="00954CFD">
        <w:rPr>
          <w:rFonts w:ascii="Palatino Linotype" w:hAnsi="Palatino Linotype" w:cs="Arial"/>
          <w:sz w:val="24"/>
          <w:szCs w:val="24"/>
        </w:rPr>
        <w:t>”,</w:t>
      </w:r>
      <w:r w:rsidR="00BE7E4E" w:rsidRPr="00954CFD">
        <w:rPr>
          <w:rFonts w:ascii="Palatino Linotype" w:hAnsi="Palatino Linotype" w:cs="Arial"/>
          <w:sz w:val="24"/>
          <w:szCs w:val="24"/>
        </w:rPr>
        <w:t xml:space="preserve"> de los que se desprende el contenido siguiente:</w:t>
      </w:r>
    </w:p>
    <w:p w:rsidR="00BE7E4E" w:rsidRPr="00954CFD" w:rsidRDefault="00BE7E4E" w:rsidP="004536B7">
      <w:pPr>
        <w:spacing w:after="0" w:line="360" w:lineRule="auto"/>
        <w:jc w:val="both"/>
        <w:rPr>
          <w:rFonts w:ascii="Palatino Linotype" w:hAnsi="Palatino Linotype" w:cs="Arial"/>
          <w:sz w:val="24"/>
          <w:szCs w:val="24"/>
        </w:rPr>
      </w:pPr>
    </w:p>
    <w:p w:rsidR="00BE7E4E" w:rsidRPr="00954CFD" w:rsidRDefault="00BE7E4E" w:rsidP="00BE7E4E">
      <w:pPr>
        <w:pStyle w:val="Prrafodelista"/>
        <w:numPr>
          <w:ilvl w:val="0"/>
          <w:numId w:val="24"/>
        </w:numPr>
        <w:spacing w:line="360" w:lineRule="auto"/>
        <w:jc w:val="both"/>
        <w:rPr>
          <w:rFonts w:ascii="Palatino Linotype" w:hAnsi="Palatino Linotype" w:cs="Arial"/>
        </w:rPr>
      </w:pPr>
      <w:r w:rsidRPr="00954CFD">
        <w:rPr>
          <w:rFonts w:ascii="Palatino Linotype" w:hAnsi="Palatino Linotype" w:cs="Arial"/>
          <w:b/>
          <w:i/>
        </w:rPr>
        <w:t>RequerimientoInformeRR13120DGAF.pdf, RequerimientoInformeRR13120.Presidencia.pdf, RequerimientoInformeRR13120.PSCMM.pdf, RequerimientoInformeRR13120.PMRMA.pdf, RequerimientoInformeRR13120.PLGPN.pdf, RequerimientoInformeRR13120.PGRP.pdf</w:t>
      </w:r>
      <w:r w:rsidRPr="00954CFD">
        <w:rPr>
          <w:rFonts w:ascii="Palatino Linotype" w:hAnsi="Palatino Linotype" w:cs="Arial"/>
        </w:rPr>
        <w:t xml:space="preserve">: como su nombre lo indica, </w:t>
      </w:r>
      <w:r w:rsidRPr="00954CFD">
        <w:rPr>
          <w:rFonts w:ascii="Palatino Linotype" w:hAnsi="Palatino Linotype" w:cs="Arial"/>
        </w:rPr>
        <w:lastRenderedPageBreak/>
        <w:t>corresponde a los requerimientos mediante los cuales el Titular de la Unidad de Transparencia, requirió a las distintas áreas, remitieran sus consideraciones para la integración de los informes justificados.</w:t>
      </w:r>
    </w:p>
    <w:p w:rsidR="00BE7E4E" w:rsidRPr="00954CFD" w:rsidRDefault="00BE7E4E" w:rsidP="004536B7">
      <w:pPr>
        <w:spacing w:after="0" w:line="360" w:lineRule="auto"/>
        <w:jc w:val="both"/>
        <w:rPr>
          <w:rFonts w:ascii="Palatino Linotype" w:hAnsi="Palatino Linotype" w:cs="Arial"/>
          <w:sz w:val="24"/>
          <w:lang w:val="es-ES"/>
        </w:rPr>
      </w:pPr>
    </w:p>
    <w:p w:rsidR="00BE7E4E" w:rsidRPr="00954CFD" w:rsidRDefault="00BE7E4E" w:rsidP="00BE7E4E">
      <w:pPr>
        <w:pStyle w:val="Prrafodelista"/>
        <w:numPr>
          <w:ilvl w:val="0"/>
          <w:numId w:val="24"/>
        </w:numPr>
        <w:spacing w:line="360" w:lineRule="auto"/>
        <w:jc w:val="both"/>
        <w:rPr>
          <w:rFonts w:ascii="Palatino Linotype" w:hAnsi="Palatino Linotype" w:cs="Arial"/>
        </w:rPr>
      </w:pPr>
      <w:r w:rsidRPr="00954CFD">
        <w:rPr>
          <w:rFonts w:ascii="Palatino Linotype" w:hAnsi="Palatino Linotype" w:cs="Arial"/>
          <w:b/>
          <w:i/>
        </w:rPr>
        <w:t>InformeJustificadoRR13120DGAF.pdf y InformeJustificadoRR13121DGAF.pdf:</w:t>
      </w:r>
      <w:r w:rsidRPr="00954CFD">
        <w:rPr>
          <w:rFonts w:ascii="Palatino Linotype" w:hAnsi="Palatino Linotype" w:cs="Arial"/>
        </w:rPr>
        <w:t xml:space="preserve"> </w:t>
      </w:r>
      <w:r w:rsidR="006D0568" w:rsidRPr="00954CFD">
        <w:rPr>
          <w:rFonts w:ascii="Palatino Linotype" w:hAnsi="Palatino Linotype" w:cs="Arial"/>
        </w:rPr>
        <w:t>oficios número INFOEM/DGAF/572/2022 del quince de agosto de dos mil veintidós, mediante los cuales el Director General de Administración y Finanzas, ratifica sus respuestas primigenias, en el sentido de haber hecho entrega de la información.</w:t>
      </w:r>
    </w:p>
    <w:p w:rsidR="00BE7E4E" w:rsidRPr="00954CFD" w:rsidRDefault="00BE7E4E" w:rsidP="004536B7">
      <w:pPr>
        <w:spacing w:after="0" w:line="360" w:lineRule="auto"/>
        <w:jc w:val="both"/>
        <w:rPr>
          <w:rFonts w:ascii="Palatino Linotype" w:hAnsi="Palatino Linotype" w:cs="Arial"/>
          <w:sz w:val="24"/>
          <w:lang w:val="es-ES"/>
        </w:rPr>
      </w:pPr>
    </w:p>
    <w:p w:rsidR="00BE7E4E" w:rsidRPr="00954CFD" w:rsidRDefault="00D7256F" w:rsidP="00D7256F">
      <w:pPr>
        <w:pStyle w:val="Prrafodelista"/>
        <w:numPr>
          <w:ilvl w:val="0"/>
          <w:numId w:val="24"/>
        </w:numPr>
        <w:spacing w:line="360" w:lineRule="auto"/>
        <w:jc w:val="both"/>
        <w:rPr>
          <w:rFonts w:ascii="Palatino Linotype" w:hAnsi="Palatino Linotype" w:cs="Arial"/>
        </w:rPr>
      </w:pPr>
      <w:r w:rsidRPr="00954CFD">
        <w:rPr>
          <w:rFonts w:ascii="Palatino Linotype" w:hAnsi="Palatino Linotype" w:cs="Arial"/>
          <w:b/>
          <w:i/>
        </w:rPr>
        <w:t>InformeJustificado13120PCMRMA.pdf y InformeJustificado13121PCMRMA.pdf</w:t>
      </w:r>
      <w:r w:rsidRPr="00954CFD">
        <w:rPr>
          <w:rFonts w:ascii="Palatino Linotype" w:hAnsi="Palatino Linotype" w:cs="Arial"/>
          <w:b/>
        </w:rPr>
        <w:t>:</w:t>
      </w:r>
      <w:r w:rsidRPr="00954CFD">
        <w:rPr>
          <w:rFonts w:ascii="Palatino Linotype" w:hAnsi="Palatino Linotype" w:cs="Arial"/>
        </w:rPr>
        <w:t xml:space="preserve"> oficio número INFOEM/COM-MRMA/198/2022 del diez de agosto de dos mil veintidós, mediante el cual ratifica sus respuestas.</w:t>
      </w:r>
    </w:p>
    <w:p w:rsidR="004536B7" w:rsidRPr="00954CFD" w:rsidRDefault="004536B7" w:rsidP="008306A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A17B7D" w:rsidRPr="00954CFD" w:rsidRDefault="00A17B7D" w:rsidP="00A17B7D">
      <w:pPr>
        <w:pStyle w:val="Prrafodelista"/>
        <w:numPr>
          <w:ilvl w:val="0"/>
          <w:numId w:val="24"/>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Cs w:val="26"/>
          <w:lang w:eastAsia="es-MX"/>
        </w:rPr>
      </w:pPr>
      <w:r w:rsidRPr="00954CFD">
        <w:rPr>
          <w:rFonts w:ascii="Palatino Linotype" w:hAnsi="Palatino Linotype" w:cs="Arial"/>
          <w:b/>
          <w:i/>
        </w:rPr>
        <w:t>InformeJustificadoRecurso13120UT.pdf y InformeJustificadoRecurso13121UT.pdf:</w:t>
      </w:r>
      <w:r w:rsidRPr="00954CFD">
        <w:rPr>
          <w:rFonts w:ascii="Palatino Linotype" w:hAnsi="Palatino Linotype" w:cs="Arial"/>
        </w:rPr>
        <w:t xml:space="preserve"> oficios número INFOEM/UT/707/2022 del quince de agosto de dos mil veintidós, remitido por el Titular de la Unidad de Transparencia, a través del cual manifiesta haber requerido a las distintas áreas, sus informes justificados, los cuales adjunta, asimismo realiza manifestaciones en el sentido de haber hecho entrega de la información peticionada.</w:t>
      </w:r>
    </w:p>
    <w:p w:rsidR="00A17B7D" w:rsidRPr="00954CFD" w:rsidRDefault="00A17B7D" w:rsidP="008306A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A17B7D" w:rsidRPr="00954CFD" w:rsidRDefault="00A17B7D" w:rsidP="00A17B7D">
      <w:pPr>
        <w:pStyle w:val="Prrafodelista"/>
        <w:numPr>
          <w:ilvl w:val="0"/>
          <w:numId w:val="24"/>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Cs w:val="26"/>
          <w:lang w:eastAsia="es-MX"/>
        </w:rPr>
      </w:pPr>
      <w:r w:rsidRPr="00954CFD">
        <w:rPr>
          <w:rFonts w:ascii="Palatino Linotype" w:hAnsi="Palatino Linotype" w:cs="Arial"/>
          <w:b/>
          <w:i/>
        </w:rPr>
        <w:lastRenderedPageBreak/>
        <w:t>InformeJustificado13120Presidencia.pdf y InformeJustificado13121Presidencia.pdf:</w:t>
      </w:r>
      <w:r w:rsidRPr="00954CFD">
        <w:rPr>
          <w:rFonts w:ascii="Palatino Linotype" w:hAnsi="Palatino Linotype" w:cs="Arial"/>
        </w:rPr>
        <w:t xml:space="preserve"> consistente en el memorándum INFOEM/COMP-SP/045/2022 del diez de agosto de dos mil veintidós, mediante el cual la Servidora Pública Habilitada de la Secretaria Particular del Comisionado Presidente, ratifica sus respuestas, en el sentido que el único punto que se combate relativo a los proyectos, se informó que son consultables en la página institucional, señalando el procedimiento para su consulta.</w:t>
      </w:r>
    </w:p>
    <w:p w:rsidR="00A17B7D" w:rsidRPr="00954CFD" w:rsidRDefault="00A17B7D" w:rsidP="008306A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A17B7D" w:rsidRPr="00954CFD" w:rsidRDefault="00A17B7D" w:rsidP="00A17B7D">
      <w:pPr>
        <w:pStyle w:val="Prrafodelista"/>
        <w:numPr>
          <w:ilvl w:val="0"/>
          <w:numId w:val="24"/>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Cs w:val="26"/>
          <w:lang w:eastAsia="es-MX"/>
        </w:rPr>
      </w:pPr>
      <w:r w:rsidRPr="00954CFD">
        <w:rPr>
          <w:rFonts w:ascii="Palatino Linotype" w:hAnsi="Palatino Linotype" w:cs="Arial"/>
          <w:b/>
          <w:i/>
        </w:rPr>
        <w:t>InformeJustificado13120PCGRP.pdf y InformeJustificado13121PCGRP.pdf:</w:t>
      </w:r>
      <w:r w:rsidRPr="00954CFD">
        <w:rPr>
          <w:rFonts w:ascii="Palatino Linotype" w:hAnsi="Palatino Linotype" w:cs="Arial"/>
        </w:rPr>
        <w:t xml:space="preserve"> consistente en el memorándum INFOEM/COMP-GRP/046/2022 del diez de agosto de dos mil veintidós, mediante el cual la Servidora Pública Habilitada de la Ponencia de la Comisionada Guadalupe Ramírez Peña, ratifica sus respuestas.</w:t>
      </w:r>
    </w:p>
    <w:p w:rsidR="00A17B7D" w:rsidRPr="00954CFD" w:rsidRDefault="00A17B7D" w:rsidP="008306A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A17B7D" w:rsidRPr="00954CFD" w:rsidRDefault="00A17B7D" w:rsidP="00A17B7D">
      <w:pPr>
        <w:pStyle w:val="Prrafodelista"/>
        <w:numPr>
          <w:ilvl w:val="0"/>
          <w:numId w:val="24"/>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Cs w:val="26"/>
          <w:lang w:eastAsia="es-MX"/>
        </w:rPr>
      </w:pPr>
      <w:r w:rsidRPr="00954CFD">
        <w:rPr>
          <w:rFonts w:ascii="Palatino Linotype" w:hAnsi="Palatino Linotype" w:cs="Arial"/>
          <w:b/>
          <w:i/>
        </w:rPr>
        <w:t>InformeJustificado13120PCLGPN.pdf y InformeJustificado13121PCLGPN.pdf:</w:t>
      </w:r>
      <w:r w:rsidRPr="00954CFD">
        <w:rPr>
          <w:rFonts w:ascii="Palatino Linotype" w:hAnsi="Palatino Linotype" w:cs="Arial"/>
        </w:rPr>
        <w:t xml:space="preserve"> </w:t>
      </w:r>
      <w:r w:rsidR="00987645" w:rsidRPr="00954CFD">
        <w:rPr>
          <w:rFonts w:ascii="Palatino Linotype" w:hAnsi="Palatino Linotype" w:cs="Arial"/>
        </w:rPr>
        <w:t>oficios</w:t>
      </w:r>
      <w:r w:rsidRPr="00954CFD">
        <w:rPr>
          <w:rFonts w:ascii="Palatino Linotype" w:hAnsi="Palatino Linotype" w:cs="Arial"/>
        </w:rPr>
        <w:t xml:space="preserve"> número INFOEM/SPH-RLC/041/2022 del diez de agosto de dos mil veintidós, </w:t>
      </w:r>
      <w:r w:rsidR="00987645" w:rsidRPr="00954CFD">
        <w:rPr>
          <w:rFonts w:ascii="Palatino Linotype" w:hAnsi="Palatino Linotype" w:cs="Arial"/>
        </w:rPr>
        <w:t>mediante el cual el Servidor Público Habilitado de la Ponencia del Comisionado Luis Gustavo Parra Noriega, ratifica sus respuestas.</w:t>
      </w:r>
    </w:p>
    <w:p w:rsidR="00A17B7D" w:rsidRPr="00954CFD" w:rsidRDefault="00A17B7D" w:rsidP="008306A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A17B7D" w:rsidRPr="00954CFD" w:rsidRDefault="00987645" w:rsidP="00987645">
      <w:pPr>
        <w:pStyle w:val="Prrafodelista"/>
        <w:numPr>
          <w:ilvl w:val="0"/>
          <w:numId w:val="24"/>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Cs w:val="26"/>
          <w:lang w:eastAsia="es-MX"/>
        </w:rPr>
      </w:pPr>
      <w:r w:rsidRPr="00954CFD">
        <w:rPr>
          <w:rFonts w:ascii="Palatino Linotype" w:hAnsi="Palatino Linotype" w:cs="Arial"/>
          <w:b/>
          <w:i/>
        </w:rPr>
        <w:t>InformeJustificado13120PCSCMM.pdf y InformeJustificado13121PCSCMM.pdf:</w:t>
      </w:r>
      <w:r w:rsidRPr="00954CFD">
        <w:rPr>
          <w:rFonts w:ascii="Palatino Linotype" w:hAnsi="Palatino Linotype" w:cs="Arial"/>
        </w:rPr>
        <w:t xml:space="preserve"> relativo a los oficios número INFOEM/COM-SCMM/157/2022 del quince de agosto de dos mil veintidós, remitidos por la Servidora Pública Habilitada de la Ponencia de la Comisionada </w:t>
      </w:r>
      <w:r w:rsidRPr="00954CFD">
        <w:rPr>
          <w:rFonts w:ascii="Palatino Linotype" w:hAnsi="Palatino Linotype" w:cs="Arial"/>
        </w:rPr>
        <w:lastRenderedPageBreak/>
        <w:t xml:space="preserve">Sharon Cristina Morales Martínez, mediante el cual adjunta los proyectos: Kiosko digital “Quio”; Manual las Políticas Públicas de los Organismos Garantes y los Enfoques de los Derechos Humanos, Perspectiva de Género, Inclusión y No Discriminación”; y “Lineamientos para implementar los procedimientos de investigación y verificación, así como la práctica de auditorías voluntarias a los responsables de la Ley de Protección de Datos Personales”. </w:t>
      </w:r>
    </w:p>
    <w:p w:rsidR="00A17B7D" w:rsidRPr="00954CFD" w:rsidRDefault="00A17B7D" w:rsidP="008306A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A17B7D" w:rsidRPr="00954CFD" w:rsidRDefault="00987645" w:rsidP="00987645">
      <w:pPr>
        <w:pStyle w:val="Prrafodelista"/>
        <w:numPr>
          <w:ilvl w:val="0"/>
          <w:numId w:val="24"/>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Cs w:val="26"/>
          <w:lang w:eastAsia="es-MX"/>
        </w:rPr>
      </w:pPr>
      <w:r w:rsidRPr="00954CFD">
        <w:rPr>
          <w:rFonts w:ascii="Palatino Linotype" w:hAnsi="Palatino Linotype" w:cs="Arial"/>
          <w:b/>
          <w:i/>
        </w:rPr>
        <w:t>Anexo 1_Propuesta QUIO.docx:</w:t>
      </w:r>
      <w:r w:rsidRPr="00954CFD">
        <w:rPr>
          <w:rFonts w:ascii="Palatino Linotype" w:hAnsi="Palatino Linotype" w:cs="Arial"/>
        </w:rPr>
        <w:t xml:space="preserve"> contiene la descripción del proyecto denominado “Quio” tu guía virtual, lo relativo a los distintos campos que habrá de cumplir.</w:t>
      </w:r>
    </w:p>
    <w:p w:rsidR="00A17B7D" w:rsidRPr="00954CFD" w:rsidRDefault="00A17B7D" w:rsidP="008306A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A17B7D" w:rsidRPr="00954CFD" w:rsidRDefault="00C63661" w:rsidP="00C63661">
      <w:pPr>
        <w:pStyle w:val="Prrafodelista"/>
        <w:numPr>
          <w:ilvl w:val="0"/>
          <w:numId w:val="24"/>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Cs w:val="26"/>
          <w:lang w:eastAsia="es-MX"/>
        </w:rPr>
      </w:pPr>
      <w:r w:rsidRPr="00954CFD">
        <w:rPr>
          <w:rFonts w:ascii="Palatino Linotype" w:hAnsi="Palatino Linotype" w:cs="Arial"/>
          <w:b/>
          <w:i/>
        </w:rPr>
        <w:t>Anexo 2 Comentarios Políticas Públicas.docx:</w:t>
      </w:r>
      <w:r w:rsidRPr="00954CFD">
        <w:rPr>
          <w:rFonts w:ascii="Palatino Linotype" w:hAnsi="Palatino Linotype" w:cs="Arial"/>
        </w:rPr>
        <w:t xml:space="preserve"> documento que contiene los comentarios al Manual de las Políticas Públicas de los Organismos Garantes y los enfoques de Derechos Humanos, Perspectiva de Género, Inclusión y No Discriminación.</w:t>
      </w:r>
    </w:p>
    <w:p w:rsidR="00A17B7D" w:rsidRPr="00954CFD" w:rsidRDefault="00A17B7D" w:rsidP="008306A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A17B7D" w:rsidRPr="00954CFD" w:rsidRDefault="00C63661" w:rsidP="00E93B96">
      <w:pPr>
        <w:pStyle w:val="Prrafodelista"/>
        <w:numPr>
          <w:ilvl w:val="0"/>
          <w:numId w:val="24"/>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Cs w:val="26"/>
          <w:lang w:eastAsia="es-MX"/>
        </w:rPr>
      </w:pPr>
      <w:r w:rsidRPr="00954CFD">
        <w:rPr>
          <w:rFonts w:ascii="Palatino Linotype" w:hAnsi="Palatino Linotype" w:cs="Arial"/>
          <w:b/>
          <w:i/>
        </w:rPr>
        <w:t>Anexo 3 Lineamientos Inv Ver y AudVol.pdf:</w:t>
      </w:r>
      <w:r w:rsidRPr="00954CFD">
        <w:rPr>
          <w:rFonts w:ascii="Palatino Linotype" w:hAnsi="Palatino Linotype" w:cs="Arial"/>
        </w:rPr>
        <w:t xml:space="preserve"> consistente en el Acuerdo mediante el cual el Pleno del Instituto de Transparencia, Acceso a la Información Pública y Protección de Datos Personales del Estado de México y Municipios, expide los Lineamientos para implementar los procedimientos de investigación y verificación, así como la práctica de auditorías voluntarias a los </w:t>
      </w:r>
      <w:r w:rsidRPr="00954CFD">
        <w:rPr>
          <w:rFonts w:ascii="Palatino Linotype" w:hAnsi="Palatino Linotype" w:cs="Arial"/>
        </w:rPr>
        <w:lastRenderedPageBreak/>
        <w:t>responsables de la Ley de Protección de Datos Personales en Posesión de Sujetos Obligados del Estado de México y Municipios.</w:t>
      </w:r>
    </w:p>
    <w:p w:rsidR="00A17B7D" w:rsidRPr="00954CFD" w:rsidRDefault="00A17B7D" w:rsidP="008306A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C63661" w:rsidRPr="00954CFD" w:rsidRDefault="00C63661" w:rsidP="008306A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sidRPr="00954CFD">
        <w:rPr>
          <w:rFonts w:ascii="Palatino Linotype" w:eastAsia="Palatino Linotype" w:hAnsi="Palatino Linotype" w:cs="Palatino Linotype"/>
          <w:color w:val="000000"/>
          <w:sz w:val="24"/>
          <w:szCs w:val="26"/>
          <w:lang w:val="es-ES" w:eastAsia="es-MX"/>
        </w:rPr>
        <w:t>Atentos a los documentos descritos en previamente, se puede acreditar que si bien distintas áreas ratifican su respuesta primigenia, en el sentido de haber hecho entrega de la información, en particular del requerimiento que únicamente se adolece el Recurrente, relativo a los anexos de los Proyectos, también lo es que, la servidora pública de la Ponencia de la Comisionada Sharon Cristina Morales Martínez, modifica sus respuestas, al ampliar y adjuntar 03 (tres) de los Proyectos señalados en sus respuestas primigenias</w:t>
      </w:r>
      <w:r w:rsidR="00BD78A9" w:rsidRPr="00954CFD">
        <w:rPr>
          <w:rFonts w:ascii="Palatino Linotype" w:eastAsia="Palatino Linotype" w:hAnsi="Palatino Linotype" w:cs="Palatino Linotype"/>
          <w:color w:val="000000"/>
          <w:sz w:val="24"/>
          <w:szCs w:val="26"/>
          <w:lang w:val="es-ES" w:eastAsia="es-MX"/>
        </w:rPr>
        <w:t>;</w:t>
      </w:r>
      <w:r w:rsidRPr="00954CFD">
        <w:rPr>
          <w:rFonts w:ascii="Palatino Linotype" w:eastAsia="Palatino Linotype" w:hAnsi="Palatino Linotype" w:cs="Palatino Linotype"/>
          <w:color w:val="000000"/>
          <w:sz w:val="24"/>
          <w:szCs w:val="26"/>
          <w:lang w:val="es-ES" w:eastAsia="es-MX"/>
        </w:rPr>
        <w:t xml:space="preserve"> no obstante</w:t>
      </w:r>
      <w:r w:rsidR="00BD78A9" w:rsidRPr="00954CFD">
        <w:rPr>
          <w:rFonts w:ascii="Palatino Linotype" w:eastAsia="Palatino Linotype" w:hAnsi="Palatino Linotype" w:cs="Palatino Linotype"/>
          <w:color w:val="000000"/>
          <w:sz w:val="24"/>
          <w:szCs w:val="26"/>
          <w:lang w:val="es-ES" w:eastAsia="es-MX"/>
        </w:rPr>
        <w:t xml:space="preserve"> lo anterior</w:t>
      </w:r>
      <w:r w:rsidRPr="00954CFD">
        <w:rPr>
          <w:rFonts w:ascii="Palatino Linotype" w:eastAsia="Palatino Linotype" w:hAnsi="Palatino Linotype" w:cs="Palatino Linotype"/>
          <w:color w:val="000000"/>
          <w:sz w:val="24"/>
          <w:szCs w:val="26"/>
          <w:lang w:val="es-ES" w:eastAsia="es-MX"/>
        </w:rPr>
        <w:t>, de conformidad con lo manifestado en las multicitadas respuestas, en ellas se estableció haber participado en 04 (cuatro) proyectos</w:t>
      </w:r>
      <w:r w:rsidR="00BD78A9" w:rsidRPr="00954CFD">
        <w:rPr>
          <w:rFonts w:ascii="Palatino Linotype" w:eastAsia="Palatino Linotype" w:hAnsi="Palatino Linotype" w:cs="Palatino Linotype"/>
          <w:color w:val="000000"/>
          <w:sz w:val="24"/>
          <w:szCs w:val="26"/>
          <w:lang w:val="es-ES" w:eastAsia="es-MX"/>
        </w:rPr>
        <w:t>, faltando lo relativo al Proyecto de la Modificación al Reglamento Interior del Instituto de Transparencia, Acceso a la Información Pública y Protección de Datos Personales del Estado de México y Municipios.</w:t>
      </w:r>
    </w:p>
    <w:p w:rsidR="00C63661" w:rsidRPr="00954CFD" w:rsidRDefault="00C63661" w:rsidP="008306A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C63661" w:rsidRPr="00954CFD" w:rsidRDefault="00BD78A9" w:rsidP="008306A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sidRPr="00954CFD">
        <w:rPr>
          <w:rFonts w:ascii="Palatino Linotype" w:eastAsia="Palatino Linotype" w:hAnsi="Palatino Linotype" w:cs="Palatino Linotype"/>
          <w:color w:val="000000"/>
          <w:sz w:val="24"/>
          <w:szCs w:val="26"/>
          <w:lang w:val="es-ES" w:eastAsia="es-MX"/>
        </w:rPr>
        <w:t>Ahora bien, el Sujeto Obligado remitió en alcance a sus informes justificados, los documentos electrónicos denominados “</w:t>
      </w:r>
      <w:r w:rsidRPr="00954CFD">
        <w:rPr>
          <w:rFonts w:ascii="Palatino Linotype" w:hAnsi="Palatino Linotype" w:cs="Arial"/>
          <w:b/>
          <w:i/>
          <w:sz w:val="24"/>
          <w:szCs w:val="24"/>
        </w:rPr>
        <w:t>AlcanceRR13120_PCSCMM.pdf y AlcanceRR13121_PCSCMM.pdf”</w:t>
      </w:r>
      <w:r w:rsidRPr="00954CFD">
        <w:rPr>
          <w:rFonts w:ascii="Palatino Linotype" w:hAnsi="Palatino Linotype" w:cs="Arial"/>
          <w:sz w:val="24"/>
          <w:szCs w:val="24"/>
        </w:rPr>
        <w:t>, consistentes en los oficios INFOEM/COM-SCMM/197/2022 del nueve de septiembre de dos mil veintidós, a través de los cuales anexa el Proyecto de la Modificación al Reglamento Interior del Instituto de Transparencia, Acceso a la Información Pública y Protección de Datos Personales del Estado de México y Municipios.</w:t>
      </w:r>
    </w:p>
    <w:p w:rsidR="00C63661" w:rsidRPr="00954CFD" w:rsidRDefault="00C63661" w:rsidP="008306A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C63661" w:rsidRPr="00954CFD" w:rsidRDefault="00993AF7" w:rsidP="008306A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sidRPr="00954CFD">
        <w:rPr>
          <w:rFonts w:ascii="Palatino Linotype" w:eastAsia="Palatino Linotype" w:hAnsi="Palatino Linotype" w:cs="Palatino Linotype"/>
          <w:color w:val="000000"/>
          <w:sz w:val="24"/>
          <w:szCs w:val="26"/>
          <w:lang w:val="es-ES" w:eastAsia="es-MX"/>
        </w:rPr>
        <w:lastRenderedPageBreak/>
        <w:t>Atentos a lo anterior, se procede a realizar un cuadro comparativo, respecto a las respuestas otorgadas por las distintas áreas, confrontada contra el único requerimiento que se adolece el Recurrente, a efecto de poder determinar, si la información proporcionada tanto en respuestas como informes justificados, satisface el requerimiento, por lo que se procede en los términos siguientes:</w:t>
      </w:r>
    </w:p>
    <w:p w:rsidR="00E93B96" w:rsidRPr="00954CFD" w:rsidRDefault="00E93B96" w:rsidP="008306A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tbl>
      <w:tblPr>
        <w:tblStyle w:val="Tablanormal1"/>
        <w:tblW w:w="0" w:type="auto"/>
        <w:tblLayout w:type="fixed"/>
        <w:tblLook w:val="04A0" w:firstRow="1" w:lastRow="0" w:firstColumn="1" w:lastColumn="0" w:noHBand="0" w:noVBand="1"/>
      </w:tblPr>
      <w:tblGrid>
        <w:gridCol w:w="1608"/>
        <w:gridCol w:w="1633"/>
        <w:gridCol w:w="2283"/>
        <w:gridCol w:w="1842"/>
        <w:gridCol w:w="1648"/>
      </w:tblGrid>
      <w:tr w:rsidR="001B666A" w:rsidRPr="00954CFD" w:rsidTr="00BC521C">
        <w:trPr>
          <w:cnfStyle w:val="100000000000" w:firstRow="1" w:lastRow="0" w:firstColumn="0" w:lastColumn="0" w:oddVBand="0" w:evenVBand="0" w:oddHBand="0"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9014" w:type="dxa"/>
            <w:gridSpan w:val="5"/>
          </w:tcPr>
          <w:p w:rsidR="001B666A" w:rsidRPr="00954CFD" w:rsidRDefault="001B666A" w:rsidP="001B666A">
            <w:pPr>
              <w:contextualSpacing/>
              <w:jc w:val="center"/>
              <w:rPr>
                <w:rFonts w:ascii="Palatino Linotype" w:eastAsia="Palatino Linotype" w:hAnsi="Palatino Linotype" w:cs="Palatino Linotype"/>
                <w:color w:val="000000"/>
                <w:sz w:val="20"/>
                <w:szCs w:val="20"/>
                <w:lang w:val="es-ES" w:eastAsia="es-MX"/>
              </w:rPr>
            </w:pPr>
            <w:r w:rsidRPr="00954CFD">
              <w:rPr>
                <w:rFonts w:ascii="Palatino Linotype" w:eastAsia="Palatino Linotype" w:hAnsi="Palatino Linotype" w:cs="Palatino Linotype"/>
                <w:color w:val="000000"/>
                <w:sz w:val="20"/>
                <w:szCs w:val="20"/>
                <w:lang w:val="es-ES" w:eastAsia="es-MX"/>
              </w:rPr>
              <w:t>Requerimiento de</w:t>
            </w:r>
            <w:r w:rsidR="00A51D10" w:rsidRPr="00954CFD">
              <w:rPr>
                <w:rFonts w:ascii="Palatino Linotype" w:eastAsia="Palatino Linotype" w:hAnsi="Palatino Linotype" w:cs="Palatino Linotype"/>
                <w:color w:val="000000"/>
                <w:sz w:val="20"/>
                <w:szCs w:val="20"/>
                <w:lang w:val="es-ES" w:eastAsia="es-MX"/>
              </w:rPr>
              <w:t>:</w:t>
            </w:r>
            <w:r w:rsidRPr="00954CFD">
              <w:rPr>
                <w:rFonts w:ascii="Palatino Linotype" w:eastAsia="Palatino Linotype" w:hAnsi="Palatino Linotype" w:cs="Palatino Linotype"/>
                <w:color w:val="000000"/>
                <w:sz w:val="20"/>
                <w:szCs w:val="20"/>
                <w:lang w:val="es-ES" w:eastAsia="es-MX"/>
              </w:rPr>
              <w:t xml:space="preserve"> “Proyectos</w:t>
            </w:r>
            <w:r w:rsidR="006B6BE3" w:rsidRPr="00954CFD">
              <w:rPr>
                <w:rFonts w:ascii="Palatino Linotype" w:eastAsia="Palatino Linotype" w:hAnsi="Palatino Linotype" w:cs="Palatino Linotype"/>
                <w:color w:val="000000"/>
                <w:sz w:val="20"/>
                <w:szCs w:val="20"/>
                <w:lang w:val="es-ES" w:eastAsia="es-MX"/>
              </w:rPr>
              <w:t>…, realizados por cada uno de los Comisionados</w:t>
            </w:r>
            <w:r w:rsidRPr="00954CFD">
              <w:rPr>
                <w:rFonts w:ascii="Palatino Linotype" w:eastAsia="Palatino Linotype" w:hAnsi="Palatino Linotype" w:cs="Palatino Linotype"/>
                <w:color w:val="000000"/>
                <w:sz w:val="20"/>
                <w:szCs w:val="20"/>
                <w:lang w:val="es-ES" w:eastAsia="es-MX"/>
              </w:rPr>
              <w:t>”</w:t>
            </w:r>
          </w:p>
        </w:tc>
      </w:tr>
      <w:tr w:rsidR="00A47855" w:rsidRPr="00954CFD" w:rsidTr="00BC521C">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608" w:type="dxa"/>
          </w:tcPr>
          <w:p w:rsidR="001B666A" w:rsidRPr="00954CFD" w:rsidRDefault="001B666A" w:rsidP="001B666A">
            <w:pPr>
              <w:contextualSpacing/>
              <w:jc w:val="center"/>
              <w:rPr>
                <w:rFonts w:ascii="Palatino Linotype" w:eastAsia="Palatino Linotype" w:hAnsi="Palatino Linotype" w:cs="Palatino Linotype"/>
                <w:b w:val="0"/>
                <w:color w:val="000000"/>
                <w:sz w:val="20"/>
                <w:szCs w:val="20"/>
                <w:lang w:val="es-ES" w:eastAsia="es-MX"/>
              </w:rPr>
            </w:pPr>
            <w:r w:rsidRPr="00954CFD">
              <w:rPr>
                <w:rFonts w:ascii="Palatino Linotype" w:eastAsia="Palatino Linotype" w:hAnsi="Palatino Linotype" w:cs="Palatino Linotype"/>
                <w:b w:val="0"/>
                <w:color w:val="000000"/>
                <w:sz w:val="20"/>
                <w:szCs w:val="20"/>
                <w:lang w:val="es-ES" w:eastAsia="es-MX"/>
              </w:rPr>
              <w:t>Unidad Administrativa</w:t>
            </w:r>
          </w:p>
        </w:tc>
        <w:tc>
          <w:tcPr>
            <w:tcW w:w="1633" w:type="dxa"/>
          </w:tcPr>
          <w:p w:rsidR="001B666A" w:rsidRPr="00954CFD" w:rsidRDefault="001B666A" w:rsidP="001B666A">
            <w:pPr>
              <w:contextualSpacing/>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color w:val="000000"/>
                <w:sz w:val="20"/>
                <w:szCs w:val="20"/>
                <w:lang w:val="es-ES" w:eastAsia="es-MX"/>
              </w:rPr>
            </w:pPr>
            <w:r w:rsidRPr="00954CFD">
              <w:rPr>
                <w:rFonts w:ascii="Palatino Linotype" w:eastAsia="Palatino Linotype" w:hAnsi="Palatino Linotype" w:cs="Palatino Linotype"/>
                <w:b/>
                <w:color w:val="000000"/>
                <w:sz w:val="20"/>
                <w:szCs w:val="20"/>
                <w:lang w:val="es-ES" w:eastAsia="es-MX"/>
              </w:rPr>
              <w:t>Respuesta</w:t>
            </w:r>
          </w:p>
        </w:tc>
        <w:tc>
          <w:tcPr>
            <w:tcW w:w="2283" w:type="dxa"/>
          </w:tcPr>
          <w:p w:rsidR="001B666A" w:rsidRPr="00954CFD" w:rsidRDefault="001B666A" w:rsidP="001B666A">
            <w:pPr>
              <w:contextualSpacing/>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color w:val="000000"/>
                <w:sz w:val="20"/>
                <w:szCs w:val="20"/>
                <w:lang w:val="es-ES" w:eastAsia="es-MX"/>
              </w:rPr>
            </w:pPr>
            <w:r w:rsidRPr="00954CFD">
              <w:rPr>
                <w:rFonts w:ascii="Palatino Linotype" w:eastAsia="Palatino Linotype" w:hAnsi="Palatino Linotype" w:cs="Palatino Linotype"/>
                <w:b/>
                <w:color w:val="000000"/>
                <w:sz w:val="20"/>
                <w:szCs w:val="20"/>
                <w:lang w:val="es-ES" w:eastAsia="es-MX"/>
              </w:rPr>
              <w:t>Informe justificado</w:t>
            </w:r>
          </w:p>
        </w:tc>
        <w:tc>
          <w:tcPr>
            <w:tcW w:w="1842" w:type="dxa"/>
          </w:tcPr>
          <w:p w:rsidR="001B666A" w:rsidRPr="00954CFD" w:rsidRDefault="001B666A" w:rsidP="001B666A">
            <w:pPr>
              <w:contextualSpacing/>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color w:val="000000"/>
                <w:sz w:val="20"/>
                <w:szCs w:val="20"/>
                <w:lang w:val="es-ES" w:eastAsia="es-MX"/>
              </w:rPr>
            </w:pPr>
            <w:r w:rsidRPr="00954CFD">
              <w:rPr>
                <w:rFonts w:ascii="Palatino Linotype" w:eastAsia="Palatino Linotype" w:hAnsi="Palatino Linotype" w:cs="Palatino Linotype"/>
                <w:b/>
                <w:color w:val="000000"/>
                <w:sz w:val="20"/>
                <w:szCs w:val="20"/>
                <w:lang w:val="es-ES" w:eastAsia="es-MX"/>
              </w:rPr>
              <w:t>Alcance al informe justificado</w:t>
            </w:r>
          </w:p>
        </w:tc>
        <w:tc>
          <w:tcPr>
            <w:tcW w:w="1648" w:type="dxa"/>
          </w:tcPr>
          <w:p w:rsidR="001B666A" w:rsidRPr="00954CFD" w:rsidRDefault="001B666A" w:rsidP="001B666A">
            <w:pPr>
              <w:contextualSpacing/>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color w:val="000000"/>
                <w:sz w:val="20"/>
                <w:szCs w:val="20"/>
                <w:lang w:val="es-ES" w:eastAsia="es-MX"/>
              </w:rPr>
            </w:pPr>
            <w:r w:rsidRPr="00954CFD">
              <w:rPr>
                <w:rFonts w:ascii="Palatino Linotype" w:eastAsia="Palatino Linotype" w:hAnsi="Palatino Linotype" w:cs="Palatino Linotype"/>
                <w:b/>
                <w:color w:val="000000"/>
                <w:sz w:val="20"/>
                <w:szCs w:val="20"/>
                <w:lang w:val="es-ES" w:eastAsia="es-MX"/>
              </w:rPr>
              <w:t xml:space="preserve">Determinación </w:t>
            </w:r>
          </w:p>
        </w:tc>
      </w:tr>
      <w:tr w:rsidR="00A47855" w:rsidRPr="00954CFD" w:rsidTr="00BC521C">
        <w:trPr>
          <w:trHeight w:val="145"/>
        </w:trPr>
        <w:tc>
          <w:tcPr>
            <w:cnfStyle w:val="001000000000" w:firstRow="0" w:lastRow="0" w:firstColumn="1" w:lastColumn="0" w:oddVBand="0" w:evenVBand="0" w:oddHBand="0" w:evenHBand="0" w:firstRowFirstColumn="0" w:firstRowLastColumn="0" w:lastRowFirstColumn="0" w:lastRowLastColumn="0"/>
            <w:tcW w:w="1608" w:type="dxa"/>
          </w:tcPr>
          <w:p w:rsidR="001B666A" w:rsidRPr="00954CFD" w:rsidRDefault="00B10F7E" w:rsidP="001B666A">
            <w:pPr>
              <w:contextualSpacing/>
              <w:jc w:val="both"/>
              <w:rPr>
                <w:rFonts w:ascii="Palatino Linotype" w:eastAsia="Palatino Linotype" w:hAnsi="Palatino Linotype" w:cs="Palatino Linotype"/>
                <w:color w:val="000000"/>
                <w:sz w:val="20"/>
                <w:szCs w:val="20"/>
                <w:lang w:val="es-ES" w:eastAsia="es-MX"/>
              </w:rPr>
            </w:pPr>
            <w:r w:rsidRPr="00954CFD">
              <w:rPr>
                <w:rFonts w:ascii="Palatino Linotype" w:eastAsia="Palatino Linotype" w:hAnsi="Palatino Linotype" w:cs="Palatino Linotype"/>
                <w:color w:val="000000"/>
                <w:sz w:val="20"/>
                <w:szCs w:val="20"/>
                <w:lang w:val="es-ES" w:eastAsia="es-MX"/>
              </w:rPr>
              <w:t>Dirección General de Administración y Finanzas</w:t>
            </w:r>
          </w:p>
        </w:tc>
        <w:tc>
          <w:tcPr>
            <w:tcW w:w="1633" w:type="dxa"/>
          </w:tcPr>
          <w:p w:rsidR="001B666A" w:rsidRPr="00954CFD" w:rsidRDefault="00A47855" w:rsidP="001B666A">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 w:eastAsia="es-MX"/>
              </w:rPr>
            </w:pPr>
            <w:r w:rsidRPr="00954CFD">
              <w:rPr>
                <w:rFonts w:ascii="Palatino Linotype" w:eastAsia="Palatino Linotype" w:hAnsi="Palatino Linotype" w:cs="Palatino Linotype"/>
                <w:color w:val="000000"/>
                <w:sz w:val="20"/>
                <w:szCs w:val="20"/>
                <w:lang w:val="es-ES" w:eastAsia="es-MX"/>
              </w:rPr>
              <w:t>No se pronuncia al no ser de su competencia</w:t>
            </w:r>
          </w:p>
        </w:tc>
        <w:tc>
          <w:tcPr>
            <w:tcW w:w="2283" w:type="dxa"/>
          </w:tcPr>
          <w:p w:rsidR="001B666A" w:rsidRPr="00954CFD" w:rsidRDefault="001B666A" w:rsidP="00B10F7E">
            <w:pPr>
              <w:contextualSpacing/>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 w:eastAsia="es-MX"/>
              </w:rPr>
            </w:pPr>
          </w:p>
          <w:p w:rsidR="00B10F7E" w:rsidRPr="00954CFD" w:rsidRDefault="00B10F7E" w:rsidP="00B10F7E">
            <w:pPr>
              <w:contextualSpacing/>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 w:eastAsia="es-MX"/>
              </w:rPr>
            </w:pPr>
            <w:r w:rsidRPr="00954CFD">
              <w:rPr>
                <w:rFonts w:ascii="Palatino Linotype" w:eastAsia="Palatino Linotype" w:hAnsi="Palatino Linotype" w:cs="Palatino Linotype"/>
                <w:color w:val="000000"/>
                <w:sz w:val="20"/>
                <w:szCs w:val="20"/>
                <w:lang w:val="es-ES" w:eastAsia="es-MX"/>
              </w:rPr>
              <w:t>ratifica</w:t>
            </w:r>
          </w:p>
        </w:tc>
        <w:tc>
          <w:tcPr>
            <w:tcW w:w="1842" w:type="dxa"/>
          </w:tcPr>
          <w:p w:rsidR="001B666A" w:rsidRPr="00954CFD" w:rsidRDefault="001B666A" w:rsidP="001B666A">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 w:eastAsia="es-MX"/>
              </w:rPr>
            </w:pPr>
          </w:p>
        </w:tc>
        <w:tc>
          <w:tcPr>
            <w:tcW w:w="1648" w:type="dxa"/>
          </w:tcPr>
          <w:p w:rsidR="001B666A" w:rsidRPr="00954CFD" w:rsidRDefault="00BC521C" w:rsidP="00BC521C">
            <w:pPr>
              <w:contextualSpacing/>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color w:val="000000"/>
                <w:sz w:val="20"/>
                <w:szCs w:val="20"/>
                <w:lang w:val="es-ES" w:eastAsia="es-MX"/>
              </w:rPr>
            </w:pPr>
            <w:r w:rsidRPr="00954CFD">
              <w:rPr>
                <w:rFonts w:ascii="Palatino Linotype" w:eastAsia="Palatino Linotype" w:hAnsi="Palatino Linotype" w:cs="Palatino Linotype"/>
                <w:b/>
                <w:color w:val="000000"/>
                <w:sz w:val="20"/>
                <w:szCs w:val="20"/>
                <w:lang w:val="es-ES" w:eastAsia="es-MX"/>
              </w:rPr>
              <w:t>Colmado</w:t>
            </w:r>
          </w:p>
          <w:p w:rsidR="00BC521C" w:rsidRPr="00954CFD" w:rsidRDefault="00BC521C" w:rsidP="00BC521C">
            <w:pPr>
              <w:contextualSpacing/>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 w:eastAsia="es-MX"/>
              </w:rPr>
            </w:pPr>
          </w:p>
          <w:p w:rsidR="00BC521C" w:rsidRPr="00954CFD" w:rsidRDefault="00BC521C" w:rsidP="00BC521C">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 w:eastAsia="es-MX"/>
              </w:rPr>
            </w:pPr>
            <w:r w:rsidRPr="00954CFD">
              <w:rPr>
                <w:rFonts w:ascii="Palatino Linotype" w:eastAsia="Palatino Linotype" w:hAnsi="Palatino Linotype" w:cs="Palatino Linotype"/>
                <w:color w:val="000000"/>
                <w:sz w:val="20"/>
                <w:szCs w:val="20"/>
                <w:lang w:val="es-ES" w:eastAsia="es-MX"/>
              </w:rPr>
              <w:t>Atendiendo que del propio requerimiento se establece información por parte de los Comisionados</w:t>
            </w:r>
          </w:p>
        </w:tc>
      </w:tr>
      <w:tr w:rsidR="00A47855" w:rsidRPr="00954CFD" w:rsidTr="00BC521C">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608" w:type="dxa"/>
          </w:tcPr>
          <w:p w:rsidR="001B666A" w:rsidRPr="00954CFD" w:rsidRDefault="00B10F7E" w:rsidP="001B666A">
            <w:pPr>
              <w:contextualSpacing/>
              <w:jc w:val="both"/>
              <w:rPr>
                <w:rFonts w:ascii="Palatino Linotype" w:eastAsia="Palatino Linotype" w:hAnsi="Palatino Linotype" w:cs="Palatino Linotype"/>
                <w:color w:val="000000"/>
                <w:sz w:val="20"/>
                <w:szCs w:val="20"/>
                <w:lang w:val="es-ES" w:eastAsia="es-MX"/>
              </w:rPr>
            </w:pPr>
            <w:r w:rsidRPr="00954CFD">
              <w:rPr>
                <w:rFonts w:ascii="Palatino Linotype" w:eastAsia="Palatino Linotype" w:hAnsi="Palatino Linotype" w:cs="Palatino Linotype"/>
                <w:color w:val="000000"/>
                <w:sz w:val="20"/>
                <w:szCs w:val="20"/>
                <w:lang w:val="es-ES" w:eastAsia="es-MX"/>
              </w:rPr>
              <w:t>Ponencia Comisionado JMV</w:t>
            </w:r>
          </w:p>
        </w:tc>
        <w:tc>
          <w:tcPr>
            <w:tcW w:w="1633" w:type="dxa"/>
          </w:tcPr>
          <w:p w:rsidR="001B666A" w:rsidRPr="00954CFD" w:rsidRDefault="00B10F7E" w:rsidP="001B666A">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 w:eastAsia="es-MX"/>
              </w:rPr>
            </w:pPr>
            <w:r w:rsidRPr="00954CFD">
              <w:rPr>
                <w:rFonts w:ascii="Palatino Linotype" w:eastAsia="Palatino Linotype" w:hAnsi="Palatino Linotype" w:cs="Palatino Linotype"/>
                <w:i/>
                <w:color w:val="000000"/>
                <w:sz w:val="20"/>
                <w:szCs w:val="20"/>
                <w:lang w:eastAsia="es-MX"/>
              </w:rPr>
              <w:t>“…los proyectos, entendiéndose por ellos los proyectos de resolución emitidos por el Comisionado Presidente, los mismos se encuentran públicados en la página electrónica institucional…”</w:t>
            </w:r>
          </w:p>
        </w:tc>
        <w:tc>
          <w:tcPr>
            <w:tcW w:w="2283" w:type="dxa"/>
          </w:tcPr>
          <w:p w:rsidR="001B666A" w:rsidRPr="00954CFD" w:rsidRDefault="001B666A" w:rsidP="001B666A">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 w:eastAsia="es-MX"/>
              </w:rPr>
            </w:pPr>
          </w:p>
          <w:p w:rsidR="00BC521C" w:rsidRPr="00954CFD" w:rsidRDefault="00BC521C" w:rsidP="00BC521C">
            <w:pPr>
              <w:contextualSpacing/>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 w:eastAsia="es-MX"/>
              </w:rPr>
            </w:pPr>
            <w:r w:rsidRPr="00954CFD">
              <w:rPr>
                <w:rFonts w:ascii="Palatino Linotype" w:eastAsia="Palatino Linotype" w:hAnsi="Palatino Linotype" w:cs="Palatino Linotype"/>
                <w:color w:val="000000"/>
                <w:sz w:val="20"/>
                <w:szCs w:val="20"/>
                <w:lang w:val="es-ES" w:eastAsia="es-MX"/>
              </w:rPr>
              <w:t>Ratifica</w:t>
            </w:r>
          </w:p>
        </w:tc>
        <w:tc>
          <w:tcPr>
            <w:tcW w:w="1842" w:type="dxa"/>
          </w:tcPr>
          <w:p w:rsidR="001B666A" w:rsidRPr="00954CFD" w:rsidRDefault="001B666A" w:rsidP="001B666A">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 w:eastAsia="es-MX"/>
              </w:rPr>
            </w:pPr>
          </w:p>
        </w:tc>
        <w:tc>
          <w:tcPr>
            <w:tcW w:w="1648" w:type="dxa"/>
          </w:tcPr>
          <w:p w:rsidR="001B666A" w:rsidRPr="00954CFD" w:rsidRDefault="001B666A" w:rsidP="001B666A">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 w:eastAsia="es-MX"/>
              </w:rPr>
            </w:pPr>
          </w:p>
          <w:p w:rsidR="00BC521C" w:rsidRPr="00954CFD" w:rsidRDefault="00BC521C" w:rsidP="00BC521C">
            <w:pPr>
              <w:contextualSpacing/>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color w:val="000000"/>
                <w:sz w:val="20"/>
                <w:szCs w:val="20"/>
                <w:lang w:val="es-ES" w:eastAsia="es-MX"/>
              </w:rPr>
            </w:pPr>
            <w:r w:rsidRPr="00954CFD">
              <w:rPr>
                <w:rFonts w:ascii="Palatino Linotype" w:eastAsia="Palatino Linotype" w:hAnsi="Palatino Linotype" w:cs="Palatino Linotype"/>
                <w:b/>
                <w:color w:val="000000"/>
                <w:sz w:val="20"/>
                <w:szCs w:val="20"/>
                <w:lang w:val="es-ES" w:eastAsia="es-MX"/>
              </w:rPr>
              <w:t>Colmado</w:t>
            </w:r>
          </w:p>
          <w:p w:rsidR="00BC521C" w:rsidRPr="00954CFD" w:rsidRDefault="00BC521C" w:rsidP="00BC521C">
            <w:pPr>
              <w:contextualSpacing/>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 w:eastAsia="es-MX"/>
              </w:rPr>
            </w:pPr>
          </w:p>
          <w:p w:rsidR="00BC521C" w:rsidRPr="00954CFD" w:rsidRDefault="00BC521C" w:rsidP="00BC521C">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 w:eastAsia="es-MX"/>
              </w:rPr>
            </w:pPr>
            <w:r w:rsidRPr="00954CFD">
              <w:rPr>
                <w:rFonts w:ascii="Palatino Linotype" w:eastAsia="Palatino Linotype" w:hAnsi="Palatino Linotype" w:cs="Palatino Linotype"/>
                <w:color w:val="000000"/>
                <w:sz w:val="20"/>
                <w:szCs w:val="20"/>
                <w:lang w:val="es-ES" w:eastAsia="es-MX"/>
              </w:rPr>
              <w:t>Al informar que los proyectos de resolución son consultables en la página electrónica institucional, proporcionando el enlace y procedimiento para su obtención.</w:t>
            </w:r>
          </w:p>
        </w:tc>
      </w:tr>
      <w:tr w:rsidR="00A47855" w:rsidRPr="00954CFD" w:rsidTr="00BC521C">
        <w:trPr>
          <w:trHeight w:val="145"/>
        </w:trPr>
        <w:tc>
          <w:tcPr>
            <w:cnfStyle w:val="001000000000" w:firstRow="0" w:lastRow="0" w:firstColumn="1" w:lastColumn="0" w:oddVBand="0" w:evenVBand="0" w:oddHBand="0" w:evenHBand="0" w:firstRowFirstColumn="0" w:firstRowLastColumn="0" w:lastRowFirstColumn="0" w:lastRowLastColumn="0"/>
            <w:tcW w:w="1608" w:type="dxa"/>
          </w:tcPr>
          <w:p w:rsidR="001B666A" w:rsidRPr="00954CFD" w:rsidRDefault="00B10F7E" w:rsidP="00B10F7E">
            <w:pPr>
              <w:contextualSpacing/>
              <w:jc w:val="both"/>
              <w:rPr>
                <w:rFonts w:ascii="Palatino Linotype" w:eastAsia="Palatino Linotype" w:hAnsi="Palatino Linotype" w:cs="Palatino Linotype"/>
                <w:color w:val="000000"/>
                <w:sz w:val="20"/>
                <w:szCs w:val="20"/>
                <w:lang w:val="es-ES" w:eastAsia="es-MX"/>
              </w:rPr>
            </w:pPr>
            <w:r w:rsidRPr="00954CFD">
              <w:rPr>
                <w:rFonts w:ascii="Palatino Linotype" w:eastAsia="Palatino Linotype" w:hAnsi="Palatino Linotype" w:cs="Palatino Linotype"/>
                <w:color w:val="000000"/>
                <w:sz w:val="20"/>
                <w:szCs w:val="20"/>
                <w:lang w:val="es-ES" w:eastAsia="es-MX"/>
              </w:rPr>
              <w:lastRenderedPageBreak/>
              <w:t>Ponencia Comisionado SCMM</w:t>
            </w:r>
          </w:p>
        </w:tc>
        <w:tc>
          <w:tcPr>
            <w:tcW w:w="1633" w:type="dxa"/>
          </w:tcPr>
          <w:p w:rsidR="001B666A" w:rsidRPr="00954CFD" w:rsidRDefault="00B10F7E" w:rsidP="001B666A">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sz w:val="20"/>
                <w:szCs w:val="20"/>
                <w:lang w:eastAsia="es-MX"/>
              </w:rPr>
            </w:pPr>
            <w:r w:rsidRPr="00954CFD">
              <w:rPr>
                <w:rFonts w:ascii="Palatino Linotype" w:eastAsia="Palatino Linotype" w:hAnsi="Palatino Linotype" w:cs="Palatino Linotype"/>
                <w:i/>
                <w:color w:val="000000"/>
                <w:sz w:val="20"/>
                <w:szCs w:val="20"/>
                <w:lang w:eastAsia="es-MX"/>
              </w:rPr>
              <w:t>“…la Comisionada ha contribuido en la elaboración de los proyectos siguientes:</w:t>
            </w:r>
          </w:p>
          <w:p w:rsidR="00B10F7E" w:rsidRPr="00954CFD" w:rsidRDefault="00B10F7E" w:rsidP="001B666A">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sz w:val="20"/>
                <w:szCs w:val="20"/>
                <w:lang w:eastAsia="es-MX"/>
              </w:rPr>
            </w:pPr>
          </w:p>
          <w:p w:rsidR="00B10F7E" w:rsidRPr="00954CFD" w:rsidRDefault="00B10F7E" w:rsidP="001B666A">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sz w:val="20"/>
                <w:szCs w:val="20"/>
                <w:lang w:eastAsia="es-MX"/>
              </w:rPr>
            </w:pPr>
            <w:r w:rsidRPr="00954CFD">
              <w:rPr>
                <w:rFonts w:ascii="Palatino Linotype" w:eastAsia="Palatino Linotype" w:hAnsi="Palatino Linotype" w:cs="Palatino Linotype"/>
                <w:i/>
                <w:color w:val="000000"/>
                <w:sz w:val="20"/>
                <w:szCs w:val="20"/>
                <w:lang w:eastAsia="es-MX"/>
              </w:rPr>
              <w:t>“…propuso la creación del kiosko digital “denominado “Quio”…”</w:t>
            </w:r>
          </w:p>
          <w:p w:rsidR="00B10F7E" w:rsidRPr="00954CFD" w:rsidRDefault="00B10F7E" w:rsidP="001B666A">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sz w:val="20"/>
                <w:szCs w:val="20"/>
                <w:lang w:eastAsia="es-MX"/>
              </w:rPr>
            </w:pPr>
          </w:p>
          <w:p w:rsidR="00B10F7E" w:rsidRPr="00954CFD" w:rsidRDefault="00B10F7E" w:rsidP="001B666A">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sz w:val="20"/>
                <w:szCs w:val="20"/>
                <w:lang w:eastAsia="es-MX"/>
              </w:rPr>
            </w:pPr>
            <w:r w:rsidRPr="00954CFD">
              <w:rPr>
                <w:rFonts w:ascii="Palatino Linotype" w:eastAsia="Palatino Linotype" w:hAnsi="Palatino Linotype" w:cs="Palatino Linotype"/>
                <w:i/>
                <w:color w:val="000000"/>
                <w:sz w:val="20"/>
                <w:szCs w:val="20"/>
                <w:lang w:eastAsia="es-MX"/>
              </w:rPr>
              <w:t>“Proyecto de la Modificación al Reglamento Interior del Instituto de Transparencia…”</w:t>
            </w:r>
          </w:p>
          <w:p w:rsidR="00B10F7E" w:rsidRPr="00954CFD" w:rsidRDefault="00B10F7E" w:rsidP="001B666A">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sz w:val="20"/>
                <w:szCs w:val="20"/>
                <w:lang w:eastAsia="es-MX"/>
              </w:rPr>
            </w:pPr>
          </w:p>
          <w:p w:rsidR="00B10F7E" w:rsidRPr="00954CFD" w:rsidRDefault="00B10F7E" w:rsidP="001B666A">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sz w:val="20"/>
                <w:szCs w:val="20"/>
                <w:lang w:eastAsia="es-MX"/>
              </w:rPr>
            </w:pPr>
            <w:r w:rsidRPr="00954CFD">
              <w:rPr>
                <w:rFonts w:ascii="Palatino Linotype" w:eastAsia="Palatino Linotype" w:hAnsi="Palatino Linotype" w:cs="Palatino Linotype"/>
                <w:i/>
                <w:color w:val="000000"/>
                <w:sz w:val="20"/>
                <w:szCs w:val="20"/>
                <w:lang w:eastAsia="es-MX"/>
              </w:rPr>
              <w:t xml:space="preserve">La Comisionada realizó observaciones al proyecto denominado </w:t>
            </w:r>
            <w:r w:rsidRPr="00954CFD">
              <w:rPr>
                <w:rFonts w:ascii="Palatino Linotype" w:eastAsia="Palatino Linotype" w:hAnsi="Palatino Linotype" w:cs="Palatino Linotype"/>
                <w:b/>
                <w:i/>
                <w:color w:val="000000"/>
                <w:sz w:val="20"/>
                <w:szCs w:val="20"/>
                <w:lang w:eastAsia="es-MX"/>
              </w:rPr>
              <w:t>"Manual las Políticas Públicas…”</w:t>
            </w:r>
          </w:p>
          <w:p w:rsidR="00B10F7E" w:rsidRPr="00954CFD" w:rsidRDefault="00B10F7E" w:rsidP="001B666A">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sz w:val="20"/>
                <w:szCs w:val="20"/>
                <w:lang w:eastAsia="es-MX"/>
              </w:rPr>
            </w:pPr>
          </w:p>
          <w:p w:rsidR="00B10F7E" w:rsidRPr="00954CFD" w:rsidRDefault="00B10F7E" w:rsidP="001B666A">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 w:eastAsia="es-MX"/>
              </w:rPr>
            </w:pPr>
            <w:r w:rsidRPr="00954CFD">
              <w:rPr>
                <w:rFonts w:ascii="Palatino Linotype" w:eastAsia="Palatino Linotype" w:hAnsi="Palatino Linotype" w:cs="Palatino Linotype"/>
                <w:i/>
                <w:color w:val="000000"/>
                <w:sz w:val="20"/>
                <w:szCs w:val="20"/>
                <w:lang w:eastAsia="es-MX"/>
              </w:rPr>
              <w:t>La Comisionada realizó propuestas y observaciones al proyecto de los Lineamientos para implementar los procedimientos de investigación y verificación…”</w:t>
            </w:r>
          </w:p>
        </w:tc>
        <w:tc>
          <w:tcPr>
            <w:tcW w:w="2283" w:type="dxa"/>
          </w:tcPr>
          <w:p w:rsidR="001B666A" w:rsidRPr="00954CFD" w:rsidRDefault="00BC521C" w:rsidP="001B666A">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 w:eastAsia="es-MX"/>
              </w:rPr>
            </w:pPr>
            <w:r w:rsidRPr="00954CFD">
              <w:rPr>
                <w:rFonts w:ascii="Palatino Linotype" w:eastAsia="Palatino Linotype" w:hAnsi="Palatino Linotype" w:cs="Palatino Linotype"/>
                <w:color w:val="000000"/>
                <w:sz w:val="20"/>
                <w:szCs w:val="20"/>
                <w:lang w:val="es-ES" w:eastAsia="es-MX"/>
              </w:rPr>
              <w:t xml:space="preserve">Hace entrega de los 3 (tres) proyectos, relativos al </w:t>
            </w:r>
            <w:r w:rsidRPr="00954CFD">
              <w:rPr>
                <w:rFonts w:ascii="Palatino Linotype" w:eastAsia="Palatino Linotype" w:hAnsi="Palatino Linotype" w:cs="Palatino Linotype"/>
                <w:color w:val="000000"/>
                <w:sz w:val="20"/>
                <w:szCs w:val="20"/>
                <w:lang w:eastAsia="es-MX"/>
              </w:rPr>
              <w:t>Kiosko digital “Quio”; Manual las Políticas Públicas de los Organismos Garantes y los Enfoques de los Derechos Humanos, Perspectiva de Género, Inclusión y No Discriminación”; y “Lineamientos para implementar los procedimientos de investigación y verificación, así como la práctica de auditorías voluntarias a los responsables de la Ley de Protección de Datos Personales”</w:t>
            </w:r>
          </w:p>
        </w:tc>
        <w:tc>
          <w:tcPr>
            <w:tcW w:w="1842" w:type="dxa"/>
          </w:tcPr>
          <w:p w:rsidR="001B666A" w:rsidRPr="00954CFD" w:rsidRDefault="00BC521C" w:rsidP="001B666A">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 w:eastAsia="es-MX"/>
              </w:rPr>
            </w:pPr>
            <w:r w:rsidRPr="00954CFD">
              <w:rPr>
                <w:rFonts w:ascii="Palatino Linotype" w:eastAsia="Palatino Linotype" w:hAnsi="Palatino Linotype" w:cs="Palatino Linotype"/>
                <w:color w:val="000000"/>
                <w:sz w:val="20"/>
                <w:szCs w:val="20"/>
                <w:lang w:val="es-ES" w:eastAsia="es-MX"/>
              </w:rPr>
              <w:t xml:space="preserve">Hace entrega del Proyecto </w:t>
            </w:r>
            <w:r w:rsidRPr="00954CFD">
              <w:rPr>
                <w:rFonts w:ascii="Palatino Linotype" w:eastAsia="Palatino Linotype" w:hAnsi="Palatino Linotype" w:cs="Palatino Linotype"/>
                <w:color w:val="000000"/>
                <w:sz w:val="20"/>
                <w:szCs w:val="20"/>
                <w:lang w:eastAsia="es-MX"/>
              </w:rPr>
              <w:t>de la Modificación al Reglamento Interior del Instituto de Transparencia, Acceso a la Información Pública y Protección de Datos Personales del Estado de México y Municipios</w:t>
            </w:r>
          </w:p>
        </w:tc>
        <w:tc>
          <w:tcPr>
            <w:tcW w:w="1648" w:type="dxa"/>
          </w:tcPr>
          <w:p w:rsidR="001B666A" w:rsidRPr="00954CFD" w:rsidRDefault="001B666A" w:rsidP="00BC521C">
            <w:pPr>
              <w:contextualSpacing/>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 w:eastAsia="es-MX"/>
              </w:rPr>
            </w:pPr>
          </w:p>
          <w:p w:rsidR="00BC521C" w:rsidRPr="00954CFD" w:rsidRDefault="00BC521C" w:rsidP="00BC521C">
            <w:pPr>
              <w:contextualSpacing/>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color w:val="000000"/>
                <w:sz w:val="20"/>
                <w:szCs w:val="20"/>
                <w:lang w:val="es-ES" w:eastAsia="es-MX"/>
              </w:rPr>
            </w:pPr>
            <w:r w:rsidRPr="00954CFD">
              <w:rPr>
                <w:rFonts w:ascii="Palatino Linotype" w:eastAsia="Palatino Linotype" w:hAnsi="Palatino Linotype" w:cs="Palatino Linotype"/>
                <w:b/>
                <w:color w:val="000000"/>
                <w:sz w:val="20"/>
                <w:szCs w:val="20"/>
                <w:lang w:val="es-ES" w:eastAsia="es-MX"/>
              </w:rPr>
              <w:t>Colmado</w:t>
            </w:r>
          </w:p>
          <w:p w:rsidR="00BC521C" w:rsidRPr="00954CFD" w:rsidRDefault="00BC521C" w:rsidP="00BC521C">
            <w:pPr>
              <w:contextualSpacing/>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 w:eastAsia="es-MX"/>
              </w:rPr>
            </w:pPr>
          </w:p>
          <w:p w:rsidR="00BC521C" w:rsidRPr="00954CFD" w:rsidRDefault="00BC521C" w:rsidP="00BC521C">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 w:eastAsia="es-MX"/>
              </w:rPr>
            </w:pPr>
            <w:r w:rsidRPr="00954CFD">
              <w:rPr>
                <w:rFonts w:ascii="Palatino Linotype" w:eastAsia="Palatino Linotype" w:hAnsi="Palatino Linotype" w:cs="Palatino Linotype"/>
                <w:color w:val="000000"/>
                <w:sz w:val="20"/>
                <w:szCs w:val="20"/>
                <w:lang w:val="es-ES" w:eastAsia="es-MX"/>
              </w:rPr>
              <w:t>Al modificar sus respuestas y hacer entrega del soporte documental que contiene los proyectos en que participo.</w:t>
            </w:r>
          </w:p>
        </w:tc>
      </w:tr>
      <w:tr w:rsidR="00A47855" w:rsidRPr="00954CFD" w:rsidTr="00BC521C">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608" w:type="dxa"/>
          </w:tcPr>
          <w:p w:rsidR="001B666A" w:rsidRPr="00954CFD" w:rsidRDefault="00B10F7E" w:rsidP="00A47855">
            <w:pPr>
              <w:contextualSpacing/>
              <w:jc w:val="both"/>
              <w:rPr>
                <w:rFonts w:ascii="Palatino Linotype" w:eastAsia="Palatino Linotype" w:hAnsi="Palatino Linotype" w:cs="Palatino Linotype"/>
                <w:color w:val="000000"/>
                <w:sz w:val="20"/>
                <w:szCs w:val="20"/>
                <w:lang w:val="es-ES" w:eastAsia="es-MX"/>
              </w:rPr>
            </w:pPr>
            <w:r w:rsidRPr="00954CFD">
              <w:rPr>
                <w:rFonts w:ascii="Palatino Linotype" w:eastAsia="Palatino Linotype" w:hAnsi="Palatino Linotype" w:cs="Palatino Linotype"/>
                <w:color w:val="000000"/>
                <w:sz w:val="20"/>
                <w:szCs w:val="20"/>
                <w:lang w:val="es-ES" w:eastAsia="es-MX"/>
              </w:rPr>
              <w:lastRenderedPageBreak/>
              <w:t>Ponencia Comisionad</w:t>
            </w:r>
            <w:r w:rsidR="00A47855" w:rsidRPr="00954CFD">
              <w:rPr>
                <w:rFonts w:ascii="Palatino Linotype" w:eastAsia="Palatino Linotype" w:hAnsi="Palatino Linotype" w:cs="Palatino Linotype"/>
                <w:color w:val="000000"/>
                <w:sz w:val="20"/>
                <w:szCs w:val="20"/>
                <w:lang w:val="es-ES" w:eastAsia="es-MX"/>
              </w:rPr>
              <w:t>a</w:t>
            </w:r>
            <w:r w:rsidRPr="00954CFD">
              <w:rPr>
                <w:rFonts w:ascii="Palatino Linotype" w:eastAsia="Palatino Linotype" w:hAnsi="Palatino Linotype" w:cs="Palatino Linotype"/>
                <w:color w:val="000000"/>
                <w:sz w:val="20"/>
                <w:szCs w:val="20"/>
                <w:lang w:val="es-ES" w:eastAsia="es-MX"/>
              </w:rPr>
              <w:t xml:space="preserve"> </w:t>
            </w:r>
            <w:r w:rsidR="00A47855" w:rsidRPr="00954CFD">
              <w:rPr>
                <w:rFonts w:ascii="Palatino Linotype" w:eastAsia="Palatino Linotype" w:hAnsi="Palatino Linotype" w:cs="Palatino Linotype"/>
                <w:color w:val="000000"/>
                <w:sz w:val="20"/>
                <w:szCs w:val="20"/>
                <w:lang w:val="es-ES" w:eastAsia="es-MX"/>
              </w:rPr>
              <w:t>MRMA</w:t>
            </w:r>
          </w:p>
        </w:tc>
        <w:tc>
          <w:tcPr>
            <w:tcW w:w="1633" w:type="dxa"/>
          </w:tcPr>
          <w:p w:rsidR="001B666A" w:rsidRPr="00954CFD" w:rsidRDefault="00A47855" w:rsidP="001B666A">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 w:eastAsia="es-MX"/>
              </w:rPr>
            </w:pPr>
            <w:r w:rsidRPr="00954CFD">
              <w:rPr>
                <w:rFonts w:ascii="Palatino Linotype" w:eastAsia="Palatino Linotype" w:hAnsi="Palatino Linotype" w:cs="Palatino Linotype"/>
                <w:color w:val="000000"/>
                <w:sz w:val="20"/>
                <w:szCs w:val="20"/>
                <w:lang w:val="es-ES" w:eastAsia="es-MX"/>
              </w:rPr>
              <w:t>No se pronuncia</w:t>
            </w:r>
          </w:p>
        </w:tc>
        <w:tc>
          <w:tcPr>
            <w:tcW w:w="2283" w:type="dxa"/>
          </w:tcPr>
          <w:p w:rsidR="001B666A" w:rsidRPr="00954CFD" w:rsidRDefault="00A47855" w:rsidP="00A47855">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sz w:val="20"/>
                <w:szCs w:val="20"/>
                <w:lang w:val="es-ES" w:eastAsia="es-MX"/>
              </w:rPr>
            </w:pPr>
            <w:r w:rsidRPr="00954CFD">
              <w:rPr>
                <w:rFonts w:ascii="Palatino Linotype" w:eastAsia="Palatino Linotype" w:hAnsi="Palatino Linotype" w:cs="Palatino Linotype"/>
                <w:i/>
                <w:color w:val="000000"/>
                <w:sz w:val="20"/>
                <w:szCs w:val="20"/>
                <w:lang w:val="es-ES" w:eastAsia="es-MX"/>
              </w:rPr>
              <w:t xml:space="preserve">“…las resoluciones cuando son emitidas pueden ser no solamente entregadas, sino consultada en su versión pública en la siguiente liga: </w:t>
            </w:r>
            <w:hyperlink r:id="rId14" w:history="1">
              <w:r w:rsidRPr="00954CFD">
                <w:rPr>
                  <w:rStyle w:val="Hipervnculo"/>
                  <w:rFonts w:ascii="Palatino Linotype" w:eastAsia="Palatino Linotype" w:hAnsi="Palatino Linotype" w:cs="Palatino Linotype"/>
                  <w:i/>
                  <w:sz w:val="20"/>
                  <w:szCs w:val="20"/>
                  <w:lang w:val="es-ES" w:eastAsia="es-MX"/>
                </w:rPr>
                <w:t>https://www.infoem.org.mx/es/node/806/</w:t>
              </w:r>
            </w:hyperlink>
            <w:r w:rsidRPr="00954CFD">
              <w:rPr>
                <w:rFonts w:ascii="Palatino Linotype" w:eastAsia="Palatino Linotype" w:hAnsi="Palatino Linotype" w:cs="Palatino Linotype"/>
                <w:i/>
                <w:color w:val="000000"/>
                <w:sz w:val="20"/>
                <w:szCs w:val="20"/>
                <w:lang w:val="es-ES" w:eastAsia="es-MX"/>
              </w:rPr>
              <w:t xml:space="preserve">...” </w:t>
            </w:r>
          </w:p>
        </w:tc>
        <w:tc>
          <w:tcPr>
            <w:tcW w:w="1842" w:type="dxa"/>
          </w:tcPr>
          <w:p w:rsidR="001B666A" w:rsidRPr="00954CFD" w:rsidRDefault="001B666A" w:rsidP="001B666A">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 w:eastAsia="es-MX"/>
              </w:rPr>
            </w:pPr>
          </w:p>
        </w:tc>
        <w:tc>
          <w:tcPr>
            <w:tcW w:w="1648" w:type="dxa"/>
          </w:tcPr>
          <w:p w:rsidR="00BC521C" w:rsidRPr="00954CFD" w:rsidRDefault="00BC521C" w:rsidP="00BC521C">
            <w:pPr>
              <w:contextualSpacing/>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color w:val="000000"/>
                <w:sz w:val="20"/>
                <w:szCs w:val="20"/>
                <w:lang w:val="es-ES" w:eastAsia="es-MX"/>
              </w:rPr>
            </w:pPr>
            <w:r w:rsidRPr="00954CFD">
              <w:rPr>
                <w:rFonts w:ascii="Palatino Linotype" w:eastAsia="Palatino Linotype" w:hAnsi="Palatino Linotype" w:cs="Palatino Linotype"/>
                <w:b/>
                <w:color w:val="000000"/>
                <w:sz w:val="20"/>
                <w:szCs w:val="20"/>
                <w:lang w:val="es-ES" w:eastAsia="es-MX"/>
              </w:rPr>
              <w:t>Colmado</w:t>
            </w:r>
          </w:p>
          <w:p w:rsidR="00BC521C" w:rsidRPr="00954CFD" w:rsidRDefault="00BC521C" w:rsidP="00BC521C">
            <w:pPr>
              <w:contextualSpacing/>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 w:eastAsia="es-MX"/>
              </w:rPr>
            </w:pPr>
          </w:p>
          <w:p w:rsidR="001B666A" w:rsidRPr="00954CFD" w:rsidRDefault="00BC521C" w:rsidP="00BC521C">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 w:eastAsia="es-MX"/>
              </w:rPr>
            </w:pPr>
            <w:r w:rsidRPr="00954CFD">
              <w:rPr>
                <w:rFonts w:ascii="Palatino Linotype" w:eastAsia="Palatino Linotype" w:hAnsi="Palatino Linotype" w:cs="Palatino Linotype"/>
                <w:color w:val="000000"/>
                <w:sz w:val="20"/>
                <w:szCs w:val="20"/>
                <w:lang w:val="es-ES" w:eastAsia="es-MX"/>
              </w:rPr>
              <w:t>Al informar que los proyectos de resolución son consultables en la página electrónica institucional, proporcionando el enlace y procedimiento para su obtención.</w:t>
            </w:r>
          </w:p>
        </w:tc>
      </w:tr>
      <w:tr w:rsidR="00BC521C" w:rsidRPr="00954CFD" w:rsidTr="00BC521C">
        <w:trPr>
          <w:trHeight w:val="6527"/>
        </w:trPr>
        <w:tc>
          <w:tcPr>
            <w:cnfStyle w:val="001000000000" w:firstRow="0" w:lastRow="0" w:firstColumn="1" w:lastColumn="0" w:oddVBand="0" w:evenVBand="0" w:oddHBand="0" w:evenHBand="0" w:firstRowFirstColumn="0" w:firstRowLastColumn="0" w:lastRowFirstColumn="0" w:lastRowLastColumn="0"/>
            <w:tcW w:w="1608" w:type="dxa"/>
          </w:tcPr>
          <w:p w:rsidR="00BC521C" w:rsidRPr="00954CFD" w:rsidRDefault="00BC521C" w:rsidP="00A47855">
            <w:pPr>
              <w:contextualSpacing/>
              <w:jc w:val="both"/>
              <w:rPr>
                <w:rFonts w:ascii="Palatino Linotype" w:eastAsia="Palatino Linotype" w:hAnsi="Palatino Linotype" w:cs="Palatino Linotype"/>
                <w:color w:val="000000"/>
                <w:sz w:val="20"/>
                <w:szCs w:val="20"/>
                <w:lang w:val="es-ES" w:eastAsia="es-MX"/>
              </w:rPr>
            </w:pPr>
            <w:r w:rsidRPr="00954CFD">
              <w:rPr>
                <w:rFonts w:ascii="Palatino Linotype" w:eastAsia="Palatino Linotype" w:hAnsi="Palatino Linotype" w:cs="Palatino Linotype"/>
                <w:color w:val="000000"/>
                <w:sz w:val="20"/>
                <w:szCs w:val="20"/>
                <w:lang w:val="es-ES" w:eastAsia="es-MX"/>
              </w:rPr>
              <w:t>Ponencia Comisionado LGPN</w:t>
            </w:r>
          </w:p>
        </w:tc>
        <w:tc>
          <w:tcPr>
            <w:tcW w:w="1633" w:type="dxa"/>
          </w:tcPr>
          <w:p w:rsidR="00BC521C" w:rsidRPr="00954CFD" w:rsidRDefault="00BC521C" w:rsidP="001B666A">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sz w:val="20"/>
                <w:szCs w:val="20"/>
                <w:lang w:val="es-ES_tradnl" w:eastAsia="es-MX"/>
              </w:rPr>
            </w:pPr>
            <w:r w:rsidRPr="00954CFD">
              <w:rPr>
                <w:rFonts w:ascii="Palatino Linotype" w:eastAsia="Palatino Linotype" w:hAnsi="Palatino Linotype" w:cs="Palatino Linotype"/>
                <w:i/>
                <w:color w:val="000000"/>
                <w:sz w:val="20"/>
                <w:szCs w:val="20"/>
                <w:lang w:val="es-ES_tradnl" w:eastAsia="es-MX"/>
              </w:rPr>
              <w:t xml:space="preserve">“…no se genera un informe de actividades, </w:t>
            </w:r>
            <w:r w:rsidRPr="00954CFD">
              <w:rPr>
                <w:rFonts w:ascii="Palatino Linotype" w:eastAsia="Palatino Linotype" w:hAnsi="Palatino Linotype" w:cs="Palatino Linotype"/>
                <w:i/>
                <w:color w:val="000000"/>
                <w:sz w:val="20"/>
                <w:szCs w:val="20"/>
                <w:u w:val="single"/>
                <w:lang w:val="es-ES_tradnl" w:eastAsia="es-MX"/>
              </w:rPr>
              <w:t>ni proyectos</w:t>
            </w:r>
            <w:r w:rsidRPr="00954CFD">
              <w:rPr>
                <w:rFonts w:ascii="Palatino Linotype" w:eastAsia="Palatino Linotype" w:hAnsi="Palatino Linotype" w:cs="Palatino Linotype"/>
                <w:i/>
                <w:color w:val="000000"/>
                <w:sz w:val="20"/>
                <w:szCs w:val="20"/>
                <w:lang w:val="es-ES_tradnl" w:eastAsia="es-MX"/>
              </w:rPr>
              <w:t xml:space="preserve"> por parte del Comisionado Luis Gustavo Parra Noriega…”</w:t>
            </w:r>
          </w:p>
          <w:p w:rsidR="00BC521C" w:rsidRPr="00954CFD" w:rsidRDefault="00BC521C" w:rsidP="001B666A">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sz w:val="20"/>
                <w:szCs w:val="20"/>
                <w:lang w:val="es-ES_tradnl" w:eastAsia="es-MX"/>
              </w:rPr>
            </w:pPr>
          </w:p>
          <w:p w:rsidR="00BC521C" w:rsidRPr="00954CFD" w:rsidRDefault="00BC521C" w:rsidP="001B666A">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 w:eastAsia="es-MX"/>
              </w:rPr>
            </w:pPr>
            <w:r w:rsidRPr="00954CFD">
              <w:rPr>
                <w:rFonts w:ascii="Palatino Linotype" w:eastAsia="Palatino Linotype" w:hAnsi="Palatino Linotype" w:cs="Palatino Linotype"/>
                <w:i/>
                <w:color w:val="000000"/>
                <w:sz w:val="20"/>
                <w:szCs w:val="20"/>
                <w:lang w:val="es-ES_tradnl" w:eastAsia="es-MX"/>
              </w:rPr>
              <w:t xml:space="preserve">“…por lo que hace a proyectos se </w:t>
            </w:r>
            <w:r w:rsidRPr="00954CFD">
              <w:rPr>
                <w:rFonts w:ascii="Palatino Linotype" w:eastAsia="Palatino Linotype" w:hAnsi="Palatino Linotype" w:cs="Palatino Linotype"/>
                <w:i/>
                <w:color w:val="000000"/>
                <w:sz w:val="20"/>
                <w:szCs w:val="20"/>
                <w:u w:val="single"/>
                <w:lang w:val="es-ES_tradnl" w:eastAsia="es-MX"/>
              </w:rPr>
              <w:t>entiende por estos a proyectos de investigación ya que la primera parte de la solicitud se ciñe sobre investigaciones</w:t>
            </w:r>
            <w:r w:rsidRPr="00954CFD">
              <w:rPr>
                <w:rFonts w:ascii="Palatino Linotype" w:eastAsia="Palatino Linotype" w:hAnsi="Palatino Linotype" w:cs="Palatino Linotype"/>
                <w:i/>
                <w:color w:val="000000"/>
                <w:sz w:val="20"/>
                <w:szCs w:val="20"/>
                <w:lang w:val="es-ES_tradnl" w:eastAsia="es-MX"/>
              </w:rPr>
              <w:t xml:space="preserve"> realizadas por parte de los Comisionados…”</w:t>
            </w:r>
          </w:p>
        </w:tc>
        <w:tc>
          <w:tcPr>
            <w:tcW w:w="2283" w:type="dxa"/>
          </w:tcPr>
          <w:p w:rsidR="00BC521C" w:rsidRPr="00954CFD" w:rsidRDefault="00BC521C" w:rsidP="00A47855">
            <w:pPr>
              <w:contextualSpacing/>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 w:eastAsia="es-MX"/>
              </w:rPr>
            </w:pPr>
          </w:p>
          <w:p w:rsidR="00BC521C" w:rsidRPr="00954CFD" w:rsidRDefault="00BC521C" w:rsidP="00A47855">
            <w:pPr>
              <w:contextualSpacing/>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 w:eastAsia="es-MX"/>
              </w:rPr>
            </w:pPr>
            <w:r w:rsidRPr="00954CFD">
              <w:rPr>
                <w:rFonts w:ascii="Palatino Linotype" w:eastAsia="Palatino Linotype" w:hAnsi="Palatino Linotype" w:cs="Palatino Linotype"/>
                <w:color w:val="000000"/>
                <w:sz w:val="20"/>
                <w:szCs w:val="20"/>
                <w:lang w:val="es-ES" w:eastAsia="es-MX"/>
              </w:rPr>
              <w:t xml:space="preserve">Ratifica </w:t>
            </w:r>
          </w:p>
        </w:tc>
        <w:tc>
          <w:tcPr>
            <w:tcW w:w="1842" w:type="dxa"/>
          </w:tcPr>
          <w:p w:rsidR="00BC521C" w:rsidRPr="00954CFD" w:rsidRDefault="00BC521C" w:rsidP="001B666A">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 w:eastAsia="es-MX"/>
              </w:rPr>
            </w:pPr>
          </w:p>
        </w:tc>
        <w:tc>
          <w:tcPr>
            <w:tcW w:w="1648" w:type="dxa"/>
            <w:vMerge w:val="restart"/>
          </w:tcPr>
          <w:p w:rsidR="00BC521C" w:rsidRPr="00954CFD" w:rsidRDefault="00BC521C" w:rsidP="001B666A">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 w:eastAsia="es-MX"/>
              </w:rPr>
            </w:pPr>
          </w:p>
          <w:p w:rsidR="00BC521C" w:rsidRPr="00954CFD" w:rsidRDefault="00BC521C" w:rsidP="00BC521C">
            <w:pPr>
              <w:contextualSpacing/>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color w:val="000000"/>
                <w:sz w:val="20"/>
                <w:szCs w:val="20"/>
                <w:lang w:val="es-ES" w:eastAsia="es-MX"/>
              </w:rPr>
            </w:pPr>
            <w:r w:rsidRPr="00954CFD">
              <w:rPr>
                <w:rFonts w:ascii="Palatino Linotype" w:eastAsia="Palatino Linotype" w:hAnsi="Palatino Linotype" w:cs="Palatino Linotype"/>
                <w:b/>
                <w:color w:val="000000"/>
                <w:sz w:val="20"/>
                <w:szCs w:val="20"/>
                <w:lang w:val="es-ES" w:eastAsia="es-MX"/>
              </w:rPr>
              <w:t>Colmado</w:t>
            </w:r>
          </w:p>
          <w:p w:rsidR="00BC521C" w:rsidRPr="00954CFD" w:rsidRDefault="00BC521C" w:rsidP="00BC521C">
            <w:pPr>
              <w:contextualSpacing/>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 w:eastAsia="es-MX"/>
              </w:rPr>
            </w:pPr>
          </w:p>
          <w:p w:rsidR="00BC521C" w:rsidRPr="00954CFD" w:rsidRDefault="00BC521C" w:rsidP="00BC521C">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0"/>
                <w:szCs w:val="20"/>
                <w:lang w:val="es-ES" w:eastAsia="es-MX"/>
              </w:rPr>
            </w:pPr>
            <w:r w:rsidRPr="00954CFD">
              <w:rPr>
                <w:rFonts w:ascii="Palatino Linotype" w:eastAsia="Palatino Linotype" w:hAnsi="Palatino Linotype" w:cs="Palatino Linotype"/>
                <w:color w:val="000000"/>
                <w:sz w:val="20"/>
                <w:szCs w:val="20"/>
                <w:lang w:val="es-ES" w:eastAsia="es-MX"/>
              </w:rPr>
              <w:t xml:space="preserve">Si bien manifiestan no haber generado proyectos, entendiéndose como proyectos de investigación, también lo es que en lo que corresponde a los proyectos de resolución, se satisface conforme a la información publicada en la página </w:t>
            </w:r>
            <w:r w:rsidR="002F250A" w:rsidRPr="00954CFD">
              <w:rPr>
                <w:rFonts w:ascii="Palatino Linotype" w:eastAsia="Palatino Linotype" w:hAnsi="Palatino Linotype" w:cs="Palatino Linotype"/>
                <w:color w:val="000000"/>
                <w:sz w:val="20"/>
                <w:szCs w:val="20"/>
                <w:lang w:val="es-ES" w:eastAsia="es-MX"/>
              </w:rPr>
              <w:t>electrónica</w:t>
            </w:r>
          </w:p>
        </w:tc>
      </w:tr>
      <w:tr w:rsidR="00BC521C" w:rsidRPr="00954CFD" w:rsidTr="00BC521C">
        <w:trPr>
          <w:cnfStyle w:val="000000100000" w:firstRow="0" w:lastRow="0" w:firstColumn="0" w:lastColumn="0" w:oddVBand="0" w:evenVBand="0" w:oddHBand="1" w:evenHBand="0" w:firstRowFirstColumn="0" w:firstRowLastColumn="0" w:lastRowFirstColumn="0" w:lastRowLastColumn="0"/>
          <w:trHeight w:val="2446"/>
        </w:trPr>
        <w:tc>
          <w:tcPr>
            <w:cnfStyle w:val="001000000000" w:firstRow="0" w:lastRow="0" w:firstColumn="1" w:lastColumn="0" w:oddVBand="0" w:evenVBand="0" w:oddHBand="0" w:evenHBand="0" w:firstRowFirstColumn="0" w:firstRowLastColumn="0" w:lastRowFirstColumn="0" w:lastRowLastColumn="0"/>
            <w:tcW w:w="1608" w:type="dxa"/>
          </w:tcPr>
          <w:p w:rsidR="00BC521C" w:rsidRPr="00954CFD" w:rsidRDefault="00BC521C" w:rsidP="00A47855">
            <w:pPr>
              <w:contextualSpacing/>
              <w:jc w:val="both"/>
              <w:rPr>
                <w:rFonts w:ascii="Palatino Linotype" w:eastAsia="Palatino Linotype" w:hAnsi="Palatino Linotype" w:cs="Palatino Linotype"/>
                <w:color w:val="000000"/>
                <w:sz w:val="20"/>
                <w:szCs w:val="20"/>
                <w:lang w:val="es-ES" w:eastAsia="es-MX"/>
              </w:rPr>
            </w:pPr>
            <w:r w:rsidRPr="00954CFD">
              <w:rPr>
                <w:rFonts w:ascii="Palatino Linotype" w:eastAsia="Palatino Linotype" w:hAnsi="Palatino Linotype" w:cs="Palatino Linotype"/>
                <w:color w:val="000000"/>
                <w:sz w:val="20"/>
                <w:szCs w:val="20"/>
                <w:lang w:val="es-ES" w:eastAsia="es-MX"/>
              </w:rPr>
              <w:lastRenderedPageBreak/>
              <w:t>Ponencia Comisionada GRP</w:t>
            </w:r>
          </w:p>
        </w:tc>
        <w:tc>
          <w:tcPr>
            <w:tcW w:w="1633" w:type="dxa"/>
          </w:tcPr>
          <w:p w:rsidR="00BC521C" w:rsidRPr="00954CFD" w:rsidRDefault="00BC521C" w:rsidP="001B666A">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 w:eastAsia="es-MX"/>
              </w:rPr>
            </w:pPr>
            <w:r w:rsidRPr="00954CFD">
              <w:rPr>
                <w:rFonts w:ascii="Palatino Linotype" w:eastAsia="Palatino Linotype" w:hAnsi="Palatino Linotype" w:cs="Palatino Linotype"/>
                <w:i/>
                <w:color w:val="000000"/>
                <w:sz w:val="20"/>
                <w:szCs w:val="20"/>
                <w:lang w:val="es-ES_tradnl" w:eastAsia="es-MX"/>
              </w:rPr>
              <w:t>“…no obra en los archivos de esta área documento alguno donde conste lo solicitado, por no haberse generado…”</w:t>
            </w:r>
          </w:p>
        </w:tc>
        <w:tc>
          <w:tcPr>
            <w:tcW w:w="2283" w:type="dxa"/>
          </w:tcPr>
          <w:p w:rsidR="00BC521C" w:rsidRPr="00954CFD" w:rsidRDefault="00BC521C" w:rsidP="00BC521C">
            <w:pPr>
              <w:contextualSpacing/>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 w:eastAsia="es-MX"/>
              </w:rPr>
            </w:pPr>
          </w:p>
          <w:p w:rsidR="00BC521C" w:rsidRPr="00954CFD" w:rsidRDefault="00BC521C" w:rsidP="00BC521C">
            <w:pPr>
              <w:contextualSpacing/>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 w:eastAsia="es-MX"/>
              </w:rPr>
            </w:pPr>
            <w:r w:rsidRPr="00954CFD">
              <w:rPr>
                <w:rFonts w:ascii="Palatino Linotype" w:eastAsia="Palatino Linotype" w:hAnsi="Palatino Linotype" w:cs="Palatino Linotype"/>
                <w:color w:val="000000"/>
                <w:sz w:val="20"/>
                <w:szCs w:val="20"/>
                <w:lang w:val="es-ES" w:eastAsia="es-MX"/>
              </w:rPr>
              <w:t>Ratifica</w:t>
            </w:r>
          </w:p>
        </w:tc>
        <w:tc>
          <w:tcPr>
            <w:tcW w:w="1842" w:type="dxa"/>
          </w:tcPr>
          <w:p w:rsidR="00BC521C" w:rsidRPr="00954CFD" w:rsidRDefault="00BC521C" w:rsidP="001B666A">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 w:eastAsia="es-MX"/>
              </w:rPr>
            </w:pPr>
          </w:p>
        </w:tc>
        <w:tc>
          <w:tcPr>
            <w:tcW w:w="1648" w:type="dxa"/>
            <w:vMerge/>
          </w:tcPr>
          <w:p w:rsidR="00BC521C" w:rsidRPr="00954CFD" w:rsidRDefault="00BC521C" w:rsidP="00BC521C">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0"/>
                <w:szCs w:val="20"/>
                <w:lang w:val="es-ES" w:eastAsia="es-MX"/>
              </w:rPr>
            </w:pPr>
          </w:p>
        </w:tc>
      </w:tr>
    </w:tbl>
    <w:p w:rsidR="00993AF7" w:rsidRPr="00954CFD" w:rsidRDefault="00993AF7" w:rsidP="008306A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993AF7" w:rsidRPr="00954CFD" w:rsidRDefault="00BC521C" w:rsidP="008306A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sidRPr="00954CFD">
        <w:rPr>
          <w:rFonts w:ascii="Palatino Linotype" w:eastAsia="Palatino Linotype" w:hAnsi="Palatino Linotype" w:cs="Palatino Linotype"/>
          <w:color w:val="000000"/>
          <w:sz w:val="24"/>
          <w:szCs w:val="26"/>
          <w:lang w:val="es-ES" w:eastAsia="es-MX"/>
        </w:rPr>
        <w:t xml:space="preserve">Atentos a lo anterior, podemos advertir que el Sujeto Obligado satisface el requerimiento en cuestión atendiendo que los servidores públicos de las Ponencias de los Comisionados José Martínez Vilchis y María del Rosario Mejía Ayala, manifiestan que respecto a los proyectos de resolución, se encuentran publicados en la página electrónica institucional del Sujeto Obligado, informando el procedimiento para su consulta y obtención de la información. </w:t>
      </w:r>
    </w:p>
    <w:p w:rsidR="00993AF7" w:rsidRPr="00954CFD" w:rsidRDefault="00993AF7" w:rsidP="008306A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993AF7" w:rsidRPr="00954CFD" w:rsidRDefault="00BC521C" w:rsidP="008306A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sidRPr="00954CFD">
        <w:rPr>
          <w:rFonts w:ascii="Palatino Linotype" w:eastAsia="Palatino Linotype" w:hAnsi="Palatino Linotype" w:cs="Palatino Linotype"/>
          <w:color w:val="000000"/>
          <w:sz w:val="24"/>
          <w:szCs w:val="26"/>
          <w:lang w:val="es-ES" w:eastAsia="es-MX"/>
        </w:rPr>
        <w:t xml:space="preserve">En lo que corresponde a los Comisionados Guadalupe Ramírez Peña y Luis Gustavo Parra Noriega, si bien tanto en respuesta como en informe justificado manifestaron no haber generado información, entendiéndose como proyectos de investigación, también lo es que, de conformidad con las respuestas y el contenido de la información que se obtiene, de los Comisionados José Martínez Vilchis y María del Rosario Mejía Ayala, relativas a los proyectos de resolución que se encuentran publicados, se engloba la información de todos y cada uno de los Comisionados que han integrado y actualmente integran el Pleno del INFOEM. </w:t>
      </w:r>
    </w:p>
    <w:p w:rsidR="00993AF7" w:rsidRPr="00954CFD" w:rsidRDefault="00993AF7" w:rsidP="008306A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993AF7" w:rsidRPr="00954CFD" w:rsidRDefault="00BC521C" w:rsidP="008306A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sidRPr="00954CFD">
        <w:rPr>
          <w:rFonts w:ascii="Palatino Linotype" w:eastAsia="Palatino Linotype" w:hAnsi="Palatino Linotype" w:cs="Palatino Linotype"/>
          <w:color w:val="000000"/>
          <w:sz w:val="24"/>
          <w:szCs w:val="26"/>
          <w:lang w:val="es-ES" w:eastAsia="es-MX"/>
        </w:rPr>
        <w:lastRenderedPageBreak/>
        <w:t>Finalmente, en lo que corresponde a la Ponencia de la Comisionada Sharon Cristina Morales Martínez, mediante respuestas reconoció haber participado en la elaboración de 04 (cuatro) proyectos, sin hacer entrega del soporte documental. Mediante informe justificado hizo entrega de 03 (tres) proyectos en los que participo y posteriormente remitió el último proyecto en el cual participo.</w:t>
      </w:r>
    </w:p>
    <w:p w:rsidR="00993AF7" w:rsidRPr="00954CFD" w:rsidRDefault="00993AF7" w:rsidP="008306A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BC521C" w:rsidRPr="00954CFD" w:rsidRDefault="00BC521C" w:rsidP="00BC521C">
      <w:pPr>
        <w:autoSpaceDE w:val="0"/>
        <w:autoSpaceDN w:val="0"/>
        <w:adjustRightInd w:val="0"/>
        <w:spacing w:after="0" w:line="360" w:lineRule="auto"/>
        <w:jc w:val="both"/>
        <w:rPr>
          <w:rFonts w:ascii="Palatino Linotype" w:hAnsi="Palatino Linotype" w:cs="Arial"/>
          <w:color w:val="000000" w:themeColor="text1"/>
          <w:sz w:val="24"/>
          <w:szCs w:val="24"/>
        </w:rPr>
      </w:pPr>
      <w:r w:rsidRPr="00954CFD">
        <w:rPr>
          <w:rFonts w:ascii="Palatino Linotype" w:hAnsi="Palatino Linotype" w:cs="Arial"/>
          <w:sz w:val="24"/>
          <w:szCs w:val="24"/>
        </w:rPr>
        <w:t xml:space="preserve">En este apartado, es necesario precisar que este Órgano Garante no cuenta con atribuciones para dudar de la veracidad </w:t>
      </w:r>
      <w:r w:rsidRPr="00954CFD">
        <w:rPr>
          <w:rFonts w:ascii="Palatino Linotype" w:hAnsi="Palatino Linotype" w:cs="Arial"/>
          <w:color w:val="000000" w:themeColor="text1"/>
          <w:sz w:val="24"/>
          <w:szCs w:val="24"/>
        </w:rPr>
        <w:t>de la información remitida por los sujetos obligados, conforme al artículo 36 que otorga la Ley de la Materia. Sirve de sustento a lo anterior, el criterio 31/10 emitido por el entonces Instituto Federal de Acceso a la Información y Protección de Datos, ahora Instituto Nacional de Acceso a la Información y Protección de Datos, que enuncia lo siguiente:</w:t>
      </w:r>
    </w:p>
    <w:p w:rsidR="00BC521C" w:rsidRPr="00954CFD" w:rsidRDefault="00BC521C" w:rsidP="00BC521C">
      <w:pPr>
        <w:autoSpaceDE w:val="0"/>
        <w:autoSpaceDN w:val="0"/>
        <w:adjustRightInd w:val="0"/>
        <w:spacing w:after="0" w:line="360" w:lineRule="auto"/>
        <w:jc w:val="both"/>
        <w:rPr>
          <w:rFonts w:ascii="Palatino Linotype" w:hAnsi="Palatino Linotype" w:cs="Arial"/>
          <w:color w:val="000000" w:themeColor="text1"/>
          <w:sz w:val="24"/>
          <w:szCs w:val="24"/>
        </w:rPr>
      </w:pPr>
    </w:p>
    <w:p w:rsidR="00BC521C" w:rsidRPr="00954CFD" w:rsidRDefault="00BC521C" w:rsidP="00BC521C">
      <w:pPr>
        <w:autoSpaceDE w:val="0"/>
        <w:autoSpaceDN w:val="0"/>
        <w:adjustRightInd w:val="0"/>
        <w:spacing w:after="0" w:line="240" w:lineRule="auto"/>
        <w:ind w:left="567" w:right="567"/>
        <w:jc w:val="both"/>
        <w:rPr>
          <w:rFonts w:ascii="Palatino Linotype" w:hAnsi="Palatino Linotype" w:cs="Arial"/>
          <w:b/>
        </w:rPr>
      </w:pPr>
      <w:r w:rsidRPr="00954CFD">
        <w:rPr>
          <w:rFonts w:ascii="Palatino Linotype" w:hAnsi="Palatino Linotype" w:cs="Arial"/>
          <w:b/>
          <w:i/>
          <w:color w:val="000000" w:themeColor="text1"/>
        </w:rPr>
        <w:t>“El Instituto Federal de Acceso a la Información y Protección de Datos no cuenta con facultades para pronunciarse respecto de la veracidad de los documentos proporcionados por los sujetos obligados.</w:t>
      </w:r>
      <w:r w:rsidRPr="00954CFD">
        <w:rPr>
          <w:rFonts w:ascii="Palatino Linotype" w:hAnsi="Palatino Linotype" w:cs="Arial"/>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w:t>
      </w:r>
      <w:r w:rsidRPr="00954CFD">
        <w:rPr>
          <w:rFonts w:ascii="Palatino Linotype" w:hAnsi="Palatino Linotype" w:cs="Arial"/>
          <w:i/>
          <w:color w:val="000000" w:themeColor="text1"/>
        </w:rPr>
        <w:lastRenderedPageBreak/>
        <w:t>María Marván Laborde 0837/10 Administración Portuaria Integral de Veracruz, S.A. de C.V. – María Marván Laborde”</w:t>
      </w:r>
    </w:p>
    <w:p w:rsidR="00BC521C" w:rsidRPr="00954CFD" w:rsidRDefault="00BC521C" w:rsidP="00BC521C">
      <w:pPr>
        <w:spacing w:after="0" w:line="360" w:lineRule="auto"/>
        <w:jc w:val="both"/>
        <w:rPr>
          <w:rFonts w:ascii="Palatino Linotype" w:eastAsia="Times New Roman" w:hAnsi="Palatino Linotype" w:cs="Arial"/>
          <w:sz w:val="24"/>
          <w:szCs w:val="24"/>
          <w:lang w:val="es-ES_tradnl" w:eastAsia="es-ES"/>
        </w:rPr>
      </w:pPr>
    </w:p>
    <w:p w:rsidR="00BC521C" w:rsidRPr="00954CFD" w:rsidRDefault="00BC521C" w:rsidP="00BC521C">
      <w:pPr>
        <w:spacing w:after="0" w:line="360" w:lineRule="auto"/>
        <w:jc w:val="both"/>
        <w:rPr>
          <w:rFonts w:ascii="Palatino Linotype" w:eastAsiaTheme="minorEastAsia" w:hAnsi="Palatino Linotype" w:cs="Arial"/>
          <w:sz w:val="24"/>
          <w:szCs w:val="24"/>
          <w:lang w:val="es-ES_tradnl" w:eastAsia="es-ES"/>
        </w:rPr>
      </w:pPr>
      <w:r w:rsidRPr="00954CFD">
        <w:rPr>
          <w:rFonts w:ascii="Palatino Linotype" w:hAnsi="Palatino Linotype" w:cs="Arial"/>
          <w:sz w:val="24"/>
          <w:szCs w:val="24"/>
        </w:rPr>
        <w:t xml:space="preserve">Hechas las precisiones anteriores, podemos concluir que resulta de </w:t>
      </w:r>
      <w:r w:rsidRPr="00954CFD">
        <w:rPr>
          <w:rFonts w:ascii="Palatino Linotype" w:eastAsiaTheme="minorEastAsia" w:hAnsi="Palatino Linotype" w:cs="Arial"/>
          <w:sz w:val="24"/>
          <w:szCs w:val="24"/>
          <w:lang w:val="es-ES_tradnl" w:eastAsia="es-ES"/>
        </w:rPr>
        <w:t>observancia lo consagrado en la fracción III del artículo 192, de la Ley de Transparencia y Acceso a la Información Pública del Estado de México y Municipios</w:t>
      </w:r>
      <w:r w:rsidRPr="00954CFD">
        <w:rPr>
          <w:rFonts w:ascii="Palatino Linotype" w:eastAsiaTheme="minorEastAsia" w:hAnsi="Palatino Linotype" w:cs="Arial"/>
          <w:b/>
          <w:sz w:val="24"/>
          <w:szCs w:val="24"/>
          <w:lang w:val="es-ES_tradnl" w:eastAsia="es-ES"/>
        </w:rPr>
        <w:t xml:space="preserve"> </w:t>
      </w:r>
      <w:r w:rsidRPr="00954CFD">
        <w:rPr>
          <w:rFonts w:ascii="Palatino Linotype" w:eastAsiaTheme="minorEastAsia" w:hAnsi="Palatino Linotype" w:cs="Arial"/>
          <w:sz w:val="24"/>
          <w:szCs w:val="24"/>
          <w:lang w:val="es-ES_tradnl" w:eastAsia="es-ES"/>
        </w:rPr>
        <w:t>vigente, que a la letra señala:</w:t>
      </w:r>
    </w:p>
    <w:p w:rsidR="00BC521C" w:rsidRPr="00954CFD" w:rsidRDefault="00BC521C" w:rsidP="00BC521C">
      <w:pPr>
        <w:spacing w:after="0" w:line="360" w:lineRule="auto"/>
        <w:jc w:val="both"/>
        <w:rPr>
          <w:rFonts w:ascii="Palatino Linotype" w:eastAsia="Calibri" w:hAnsi="Palatino Linotype" w:cs="Times New Roman"/>
          <w:sz w:val="24"/>
          <w:szCs w:val="24"/>
          <w:lang w:val="es-ES_tradnl" w:eastAsia="es-ES"/>
        </w:rPr>
      </w:pPr>
    </w:p>
    <w:p w:rsidR="00BC521C" w:rsidRPr="00954CFD" w:rsidRDefault="00BC521C" w:rsidP="00BC521C">
      <w:pPr>
        <w:autoSpaceDE w:val="0"/>
        <w:autoSpaceDN w:val="0"/>
        <w:adjustRightInd w:val="0"/>
        <w:spacing w:after="0" w:line="240" w:lineRule="auto"/>
        <w:ind w:left="567" w:right="567"/>
        <w:contextualSpacing/>
        <w:jc w:val="both"/>
        <w:rPr>
          <w:rFonts w:ascii="Palatino Linotype" w:eastAsiaTheme="minorEastAsia" w:hAnsi="Palatino Linotype" w:cs="Arial"/>
          <w:i/>
          <w:szCs w:val="24"/>
          <w:lang w:val="es-ES_tradnl" w:eastAsia="es-ES"/>
        </w:rPr>
      </w:pPr>
      <w:r w:rsidRPr="00954CFD">
        <w:rPr>
          <w:rFonts w:ascii="Palatino Linotype" w:eastAsiaTheme="minorEastAsia" w:hAnsi="Palatino Linotype" w:cs="Arial"/>
          <w:b/>
          <w:bCs/>
          <w:i/>
          <w:szCs w:val="24"/>
          <w:lang w:val="es-ES_tradnl" w:eastAsia="es-ES"/>
        </w:rPr>
        <w:t xml:space="preserve">“Artículo 192. </w:t>
      </w:r>
      <w:r w:rsidRPr="00954CFD">
        <w:rPr>
          <w:rFonts w:ascii="Palatino Linotype" w:eastAsiaTheme="minorEastAsia" w:hAnsi="Palatino Linotype" w:cs="Arial"/>
          <w:i/>
          <w:szCs w:val="24"/>
          <w:lang w:val="es-ES_tradnl" w:eastAsia="es-ES"/>
        </w:rPr>
        <w:t>El recurso será sobreseído, en todo o en parte, cuando una vez admitido, se actualicen alguno de los siguientes supuestos:</w:t>
      </w:r>
    </w:p>
    <w:p w:rsidR="00BC521C" w:rsidRPr="00954CFD" w:rsidRDefault="00BC521C" w:rsidP="00BC521C">
      <w:pPr>
        <w:autoSpaceDE w:val="0"/>
        <w:autoSpaceDN w:val="0"/>
        <w:adjustRightInd w:val="0"/>
        <w:spacing w:after="0" w:line="240" w:lineRule="auto"/>
        <w:ind w:left="567" w:right="567"/>
        <w:rPr>
          <w:rFonts w:ascii="Palatino Linotype" w:eastAsiaTheme="minorEastAsia" w:hAnsi="Palatino Linotype" w:cs="Arial"/>
          <w:i/>
          <w:szCs w:val="24"/>
          <w:lang w:val="es-ES" w:eastAsia="es-ES"/>
        </w:rPr>
      </w:pPr>
      <w:r w:rsidRPr="00954CFD">
        <w:rPr>
          <w:rFonts w:ascii="Palatino Linotype" w:eastAsiaTheme="minorEastAsia" w:hAnsi="Palatino Linotype" w:cs="Arial"/>
          <w:bCs/>
          <w:i/>
          <w:szCs w:val="24"/>
          <w:lang w:val="es-ES" w:eastAsia="es-ES"/>
        </w:rPr>
        <w:t>(…)</w:t>
      </w:r>
    </w:p>
    <w:p w:rsidR="00BC521C" w:rsidRPr="00954CFD" w:rsidRDefault="00BC521C" w:rsidP="00BC521C">
      <w:pPr>
        <w:autoSpaceDE w:val="0"/>
        <w:autoSpaceDN w:val="0"/>
        <w:adjustRightInd w:val="0"/>
        <w:spacing w:after="0" w:line="240" w:lineRule="auto"/>
        <w:ind w:left="567" w:right="567"/>
        <w:jc w:val="both"/>
        <w:rPr>
          <w:rFonts w:ascii="Palatino Linotype" w:eastAsiaTheme="minorEastAsia" w:hAnsi="Palatino Linotype" w:cs="Arial"/>
          <w:i/>
          <w:szCs w:val="24"/>
          <w:lang w:val="es-ES" w:eastAsia="es-ES"/>
        </w:rPr>
      </w:pPr>
      <w:r w:rsidRPr="00954CFD">
        <w:rPr>
          <w:rFonts w:ascii="Palatino Linotype" w:eastAsiaTheme="minorEastAsia" w:hAnsi="Palatino Linotype" w:cs="Arial"/>
          <w:b/>
          <w:i/>
          <w:szCs w:val="24"/>
          <w:lang w:val="es-ES" w:eastAsia="es-ES"/>
        </w:rPr>
        <w:t xml:space="preserve">III. </w:t>
      </w:r>
      <w:r w:rsidRPr="00954CFD">
        <w:rPr>
          <w:rFonts w:ascii="Palatino Linotype" w:eastAsiaTheme="minorEastAsia" w:hAnsi="Palatino Linotype" w:cs="Arial"/>
          <w:i/>
          <w:szCs w:val="24"/>
          <w:lang w:val="es-ES" w:eastAsia="es-ES"/>
        </w:rPr>
        <w:t xml:space="preserve">El sujeto obligado responsable del acto lo </w:t>
      </w:r>
      <w:r w:rsidRPr="00954CFD">
        <w:rPr>
          <w:rFonts w:ascii="Palatino Linotype" w:eastAsiaTheme="minorEastAsia" w:hAnsi="Palatino Linotype" w:cs="Arial"/>
          <w:b/>
          <w:i/>
          <w:szCs w:val="24"/>
          <w:lang w:val="es-ES" w:eastAsia="es-ES"/>
        </w:rPr>
        <w:t>modifique</w:t>
      </w:r>
      <w:r w:rsidRPr="00954CFD">
        <w:rPr>
          <w:rFonts w:ascii="Palatino Linotype" w:eastAsiaTheme="minorEastAsia" w:hAnsi="Palatino Linotype" w:cs="Arial"/>
          <w:i/>
          <w:szCs w:val="24"/>
          <w:lang w:val="es-ES" w:eastAsia="es-ES"/>
        </w:rPr>
        <w:t xml:space="preserve"> o revoque de tal manera que el recurso de revisión quede sin materia;</w:t>
      </w:r>
    </w:p>
    <w:p w:rsidR="00BC521C" w:rsidRPr="00954CFD" w:rsidRDefault="00BC521C" w:rsidP="00BC521C">
      <w:pPr>
        <w:autoSpaceDE w:val="0"/>
        <w:autoSpaceDN w:val="0"/>
        <w:adjustRightInd w:val="0"/>
        <w:spacing w:after="0" w:line="240" w:lineRule="auto"/>
        <w:ind w:left="567" w:right="567"/>
        <w:rPr>
          <w:rFonts w:ascii="Palatino Linotype" w:eastAsiaTheme="minorEastAsia" w:hAnsi="Palatino Linotype" w:cs="Arial"/>
          <w:i/>
          <w:szCs w:val="24"/>
          <w:lang w:val="es-ES" w:eastAsia="es-ES"/>
        </w:rPr>
      </w:pPr>
      <w:r w:rsidRPr="00954CFD">
        <w:rPr>
          <w:rFonts w:ascii="Palatino Linotype" w:eastAsiaTheme="minorEastAsia" w:hAnsi="Palatino Linotype" w:cs="Arial"/>
          <w:i/>
          <w:szCs w:val="24"/>
          <w:lang w:val="es-ES" w:eastAsia="es-ES"/>
        </w:rPr>
        <w:t>(…)</w:t>
      </w:r>
    </w:p>
    <w:p w:rsidR="00BC521C" w:rsidRPr="00954CFD" w:rsidRDefault="00BC521C" w:rsidP="00BC521C">
      <w:pPr>
        <w:autoSpaceDE w:val="0"/>
        <w:autoSpaceDN w:val="0"/>
        <w:adjustRightInd w:val="0"/>
        <w:spacing w:after="0" w:line="240" w:lineRule="auto"/>
        <w:ind w:left="567" w:right="567"/>
        <w:contextualSpacing/>
        <w:jc w:val="right"/>
        <w:rPr>
          <w:rFonts w:ascii="Palatino Linotype" w:eastAsiaTheme="minorEastAsia" w:hAnsi="Palatino Linotype" w:cs="Arial"/>
          <w:szCs w:val="24"/>
          <w:lang w:val="es-ES" w:eastAsia="es-ES"/>
        </w:rPr>
      </w:pPr>
      <w:r w:rsidRPr="00954CFD">
        <w:rPr>
          <w:rFonts w:ascii="Palatino Linotype" w:eastAsiaTheme="minorEastAsia" w:hAnsi="Palatino Linotype" w:cs="Arial"/>
          <w:szCs w:val="24"/>
          <w:lang w:val="es-ES" w:eastAsia="es-ES"/>
        </w:rPr>
        <w:t>(Énfasis añadido)</w:t>
      </w:r>
    </w:p>
    <w:p w:rsidR="00BC521C" w:rsidRPr="00954CFD" w:rsidRDefault="00BC521C" w:rsidP="00BC521C">
      <w:pPr>
        <w:spacing w:after="0" w:line="360" w:lineRule="auto"/>
        <w:jc w:val="both"/>
        <w:rPr>
          <w:rFonts w:ascii="Palatino Linotype" w:eastAsiaTheme="minorEastAsia" w:hAnsi="Palatino Linotype" w:cs="Times New Roman"/>
          <w:sz w:val="24"/>
          <w:szCs w:val="24"/>
          <w:lang w:val="es-ES" w:eastAsia="es-ES"/>
        </w:rPr>
      </w:pPr>
    </w:p>
    <w:p w:rsidR="00BC521C" w:rsidRPr="00954CFD" w:rsidRDefault="00BC521C" w:rsidP="00BC521C">
      <w:pPr>
        <w:spacing w:after="0" w:line="360" w:lineRule="auto"/>
        <w:jc w:val="both"/>
        <w:rPr>
          <w:rFonts w:ascii="Palatino Linotype" w:eastAsia="Batang" w:hAnsi="Palatino Linotype" w:cs="Arial"/>
          <w:sz w:val="24"/>
          <w:szCs w:val="24"/>
          <w:lang w:val="es-ES_tradnl" w:eastAsia="es-ES"/>
        </w:rPr>
      </w:pPr>
      <w:r w:rsidRPr="00954CFD">
        <w:rPr>
          <w:rFonts w:ascii="Palatino Linotype" w:eastAsiaTheme="minorEastAsia" w:hAnsi="Palatino Linotype" w:cs="Times New Roman"/>
          <w:sz w:val="24"/>
          <w:szCs w:val="24"/>
          <w:lang w:val="es-ES" w:eastAsia="es-ES"/>
        </w:rPr>
        <w:t xml:space="preserve">El citado precepto legal </w:t>
      </w:r>
      <w:r w:rsidRPr="00954CFD">
        <w:rPr>
          <w:rFonts w:ascii="Palatino Linotype" w:eastAsia="Batang" w:hAnsi="Palatino Linotype" w:cs="Arial"/>
          <w:sz w:val="24"/>
          <w:szCs w:val="24"/>
          <w:lang w:val="es-ES_tradnl" w:eastAsia="es-ES"/>
        </w:rPr>
        <w:t xml:space="preserve">consagra la procedencia para sobreseer el recurso de revisión cuando una vez admitido, el </w:t>
      </w:r>
      <w:r w:rsidRPr="00954CFD">
        <w:rPr>
          <w:rFonts w:ascii="Palatino Linotype" w:eastAsia="Batang" w:hAnsi="Palatino Linotype" w:cs="Arial"/>
          <w:b/>
          <w:sz w:val="24"/>
          <w:szCs w:val="24"/>
          <w:lang w:val="es-ES_tradnl" w:eastAsia="es-ES"/>
        </w:rPr>
        <w:t>Sujeto Obligado</w:t>
      </w:r>
      <w:r w:rsidRPr="00954CFD">
        <w:rPr>
          <w:rFonts w:ascii="Palatino Linotype" w:eastAsia="Batang" w:hAnsi="Palatino Linotype" w:cs="Arial"/>
          <w:sz w:val="24"/>
          <w:szCs w:val="24"/>
          <w:lang w:val="es-ES_tradnl" w:eastAsia="es-ES"/>
        </w:rPr>
        <w:t xml:space="preserve"> modifique o revoque su acto, de tal manera que el recurso de revisión quede sin materia, circunstancias que se acreditan por lo siguiente:</w:t>
      </w:r>
    </w:p>
    <w:p w:rsidR="00BC521C" w:rsidRPr="00954CFD" w:rsidRDefault="00BC521C" w:rsidP="00BC521C">
      <w:pPr>
        <w:spacing w:after="0" w:line="360" w:lineRule="auto"/>
        <w:jc w:val="both"/>
        <w:rPr>
          <w:rFonts w:ascii="Palatino Linotype" w:eastAsia="Batang" w:hAnsi="Palatino Linotype" w:cs="Arial"/>
          <w:sz w:val="24"/>
          <w:szCs w:val="24"/>
          <w:lang w:val="es-ES_tradnl" w:eastAsia="es-ES"/>
        </w:rPr>
      </w:pPr>
    </w:p>
    <w:p w:rsidR="00BC521C" w:rsidRPr="00954CFD" w:rsidRDefault="00BC521C" w:rsidP="00BC521C">
      <w:pPr>
        <w:spacing w:after="0" w:line="360" w:lineRule="auto"/>
        <w:jc w:val="both"/>
        <w:rPr>
          <w:rFonts w:ascii="Palatino Linotype" w:eastAsia="Batang" w:hAnsi="Palatino Linotype" w:cs="Arial"/>
          <w:sz w:val="24"/>
          <w:szCs w:val="24"/>
          <w:lang w:val="es-ES_tradnl" w:eastAsia="es-ES"/>
        </w:rPr>
      </w:pPr>
      <w:r w:rsidRPr="00954CFD">
        <w:rPr>
          <w:rFonts w:ascii="Palatino Linotype" w:eastAsia="Batang" w:hAnsi="Palatino Linotype" w:cs="Arial"/>
          <w:sz w:val="24"/>
          <w:szCs w:val="24"/>
          <w:lang w:val="es-ES_tradnl" w:eastAsia="es-ES"/>
        </w:rPr>
        <w:t xml:space="preserve">Como se observa en el apartado de antecedentes de la presente resolución, en un primer momento el </w:t>
      </w:r>
      <w:r w:rsidRPr="00954CFD">
        <w:rPr>
          <w:rFonts w:ascii="Palatino Linotype" w:eastAsia="Batang" w:hAnsi="Palatino Linotype" w:cs="Arial"/>
          <w:b/>
          <w:sz w:val="24"/>
          <w:szCs w:val="24"/>
          <w:lang w:val="es-ES_tradnl" w:eastAsia="es-ES"/>
        </w:rPr>
        <w:t>Sujeto Obligado</w:t>
      </w:r>
      <w:r w:rsidRPr="00954CFD">
        <w:rPr>
          <w:rFonts w:ascii="Palatino Linotype" w:eastAsia="Batang" w:hAnsi="Palatino Linotype" w:cs="Arial"/>
          <w:sz w:val="24"/>
          <w:szCs w:val="24"/>
          <w:lang w:val="es-ES_tradnl" w:eastAsia="es-ES"/>
        </w:rPr>
        <w:t xml:space="preserve"> emitió respuestas a las solicitudes de información, haciendo entrega parcial de la información respecto los proyectos elaborados por cada uno de los Comisionados, no obstante, posteriormente, </w:t>
      </w:r>
      <w:r w:rsidRPr="00954CFD">
        <w:rPr>
          <w:rFonts w:ascii="Palatino Linotype" w:eastAsia="Batang" w:hAnsi="Palatino Linotype" w:cs="Arial"/>
          <w:b/>
          <w:sz w:val="24"/>
          <w:szCs w:val="24"/>
          <w:lang w:val="es-ES_tradnl" w:eastAsia="es-ES"/>
        </w:rPr>
        <w:t>a través de sus informes justificados y alcances a estos, modifica sus respuestas</w:t>
      </w:r>
      <w:r w:rsidRPr="00954CFD">
        <w:rPr>
          <w:rFonts w:ascii="Palatino Linotype" w:eastAsia="Batang" w:hAnsi="Palatino Linotype" w:cs="Arial"/>
          <w:sz w:val="24"/>
          <w:szCs w:val="24"/>
          <w:lang w:val="es-ES_tradnl" w:eastAsia="es-ES"/>
        </w:rPr>
        <w:t xml:space="preserve"> en el sentido de hacer entrega de los anexos proyectos elaborados.</w:t>
      </w:r>
    </w:p>
    <w:p w:rsidR="00BC521C" w:rsidRPr="00954CFD" w:rsidRDefault="00BC521C" w:rsidP="00BC521C">
      <w:pPr>
        <w:spacing w:after="0" w:line="360" w:lineRule="auto"/>
        <w:jc w:val="both"/>
        <w:rPr>
          <w:rFonts w:ascii="Palatino Linotype" w:eastAsia="Batang" w:hAnsi="Palatino Linotype" w:cs="Arial"/>
          <w:sz w:val="24"/>
          <w:szCs w:val="24"/>
          <w:lang w:val="es-ES_tradnl" w:eastAsia="es-ES"/>
        </w:rPr>
      </w:pPr>
      <w:r w:rsidRPr="00954CFD">
        <w:rPr>
          <w:rFonts w:ascii="Palatino Linotype" w:eastAsia="Batang" w:hAnsi="Palatino Linotype" w:cs="Arial"/>
          <w:sz w:val="24"/>
          <w:szCs w:val="24"/>
          <w:lang w:val="es-ES" w:eastAsia="es-ES"/>
        </w:rPr>
        <w:lastRenderedPageBreak/>
        <w:t>En consecuencia, resulta procedente determinar el sobreseimiento de los presentes recursos de revisión, el cual provoca que un procedimiento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rsidR="00BC521C" w:rsidRPr="00954CFD" w:rsidRDefault="00BC521C" w:rsidP="00BC521C">
      <w:pPr>
        <w:spacing w:after="0" w:line="360" w:lineRule="auto"/>
        <w:ind w:left="720"/>
        <w:contextualSpacing/>
        <w:rPr>
          <w:rFonts w:ascii="Palatino Linotype" w:eastAsia="Batang" w:hAnsi="Palatino Linotype" w:cs="Arial"/>
          <w:sz w:val="24"/>
          <w:szCs w:val="24"/>
          <w:lang w:val="es-ES_tradnl" w:eastAsia="es-ES"/>
        </w:rPr>
      </w:pPr>
    </w:p>
    <w:p w:rsidR="00BC521C" w:rsidRPr="00954CFD" w:rsidRDefault="00BC521C" w:rsidP="00BC521C">
      <w:pPr>
        <w:autoSpaceDE w:val="0"/>
        <w:autoSpaceDN w:val="0"/>
        <w:adjustRightInd w:val="0"/>
        <w:spacing w:after="0" w:line="240" w:lineRule="auto"/>
        <w:ind w:left="567" w:right="567"/>
        <w:contextualSpacing/>
        <w:jc w:val="both"/>
        <w:rPr>
          <w:rFonts w:ascii="Palatino Linotype" w:eastAsia="Batang" w:hAnsi="Palatino Linotype" w:cs="Arial"/>
          <w:b/>
          <w:i/>
          <w:lang w:val="es-AR" w:eastAsia="es-ES"/>
        </w:rPr>
      </w:pPr>
      <w:r w:rsidRPr="00954CFD">
        <w:rPr>
          <w:rFonts w:ascii="Palatino Linotype" w:eastAsia="Batang" w:hAnsi="Palatino Linotype" w:cs="Arial"/>
          <w:b/>
          <w:i/>
          <w:lang w:val="es-AR" w:eastAsia="es-ES"/>
        </w:rPr>
        <w:t>SOBRESEIMIENTO EN EL JUICIO DE AMPARO DIRECTO. IMPIDE EL ESTUDIO DE LAS VIOLACIONES PROCESALES PLANTEADAS EN LOS CONCEPTOS DE VIOLACIÓN.</w:t>
      </w:r>
    </w:p>
    <w:p w:rsidR="00BC521C" w:rsidRPr="00954CFD" w:rsidRDefault="00BC521C" w:rsidP="00BC521C">
      <w:pPr>
        <w:autoSpaceDE w:val="0"/>
        <w:autoSpaceDN w:val="0"/>
        <w:adjustRightInd w:val="0"/>
        <w:spacing w:after="0" w:line="240" w:lineRule="auto"/>
        <w:ind w:left="567" w:right="567"/>
        <w:contextualSpacing/>
        <w:jc w:val="both"/>
        <w:rPr>
          <w:rFonts w:ascii="Palatino Linotype" w:eastAsia="Batang" w:hAnsi="Palatino Linotype" w:cs="Arial"/>
          <w:i/>
          <w:lang w:val="es-AR" w:eastAsia="es-ES"/>
        </w:rPr>
      </w:pPr>
      <w:r w:rsidRPr="00954CFD">
        <w:rPr>
          <w:rFonts w:ascii="Palatino Linotype" w:eastAsia="Batang" w:hAnsi="Palatino Linotype" w:cs="Arial"/>
          <w:i/>
          <w:lang w:val="es-AR" w:eastAsia="es-ES"/>
        </w:rPr>
        <w:t xml:space="preserve">El sobreseimiento en el juicio de amparo directo provoca la terminación de la controversia planteada por el quejoso en la demanda de amparo, sin hacer un pronunciamiento de fondo sobre la legalidad o ilegalidad de la sentencia reclamada. Por consiguiente, si </w:t>
      </w:r>
      <w:r w:rsidRPr="00954CFD">
        <w:rPr>
          <w:rFonts w:ascii="Palatino Linotype" w:eastAsia="Batang" w:hAnsi="Palatino Linotype" w:cs="Arial"/>
          <w:b/>
          <w:i/>
          <w:lang w:val="es-AR" w:eastAsia="es-ES"/>
        </w:rPr>
        <w:t>al sobreseerse en el juicio de amparo no se pueden estudiar los planteamientos que se hacen valer en contra del fallo reclamado</w:t>
      </w:r>
      <w:r w:rsidRPr="00954CFD">
        <w:rPr>
          <w:rFonts w:ascii="Palatino Linotype" w:eastAsia="Batang" w:hAnsi="Palatino Linotype" w:cs="Arial"/>
          <w:i/>
          <w:lang w:val="es-AR" w:eastAsia="es-ES"/>
        </w:rPr>
        <w:t>, tampoco se deben analizar las violaciones procesales propuestas en los conceptos de violación, dado que, la principal consecuencia del sobreseimiento es poner fin al juicio de amparo sin resolver la controversia en sus méritos.</w:t>
      </w:r>
    </w:p>
    <w:p w:rsidR="00BC521C" w:rsidRPr="00954CFD" w:rsidRDefault="00BC521C" w:rsidP="00BC521C">
      <w:pPr>
        <w:autoSpaceDE w:val="0"/>
        <w:autoSpaceDN w:val="0"/>
        <w:adjustRightInd w:val="0"/>
        <w:spacing w:after="0" w:line="240" w:lineRule="auto"/>
        <w:ind w:left="567" w:right="567"/>
        <w:contextualSpacing/>
        <w:jc w:val="both"/>
        <w:rPr>
          <w:rFonts w:ascii="Palatino Linotype" w:eastAsia="Batang" w:hAnsi="Palatino Linotype" w:cs="Arial"/>
          <w:i/>
          <w:lang w:val="es-AR" w:eastAsia="es-ES"/>
        </w:rPr>
      </w:pPr>
      <w:r w:rsidRPr="00954CFD">
        <w:rPr>
          <w:rFonts w:ascii="Palatino Linotype" w:eastAsia="Batang" w:hAnsi="Palatino Linotype" w:cs="Arial"/>
          <w:i/>
          <w:lang w:val="es-AR" w:eastAsia="es-ES"/>
        </w:rPr>
        <w:t>SÉPTIMO TRIBUNAL COLEGIADO EN MATERIA CIVIL DEL PRIMER CIRCUITO.</w:t>
      </w:r>
    </w:p>
    <w:p w:rsidR="00BC521C" w:rsidRPr="00954CFD" w:rsidRDefault="00BC521C" w:rsidP="00BC521C">
      <w:pPr>
        <w:autoSpaceDE w:val="0"/>
        <w:autoSpaceDN w:val="0"/>
        <w:adjustRightInd w:val="0"/>
        <w:spacing w:after="0" w:line="240" w:lineRule="auto"/>
        <w:ind w:left="567" w:right="567"/>
        <w:contextualSpacing/>
        <w:jc w:val="both"/>
        <w:rPr>
          <w:rFonts w:ascii="Palatino Linotype" w:eastAsia="Batang" w:hAnsi="Palatino Linotype" w:cs="Arial"/>
          <w:i/>
          <w:lang w:val="es-AR" w:eastAsia="es-ES"/>
        </w:rPr>
      </w:pPr>
      <w:r w:rsidRPr="00954CFD">
        <w:rPr>
          <w:rFonts w:ascii="Palatino Linotype" w:eastAsia="Batang" w:hAnsi="Palatino Linotype" w:cs="Arial"/>
          <w:i/>
          <w:lang w:val="es-AR" w:eastAsia="es-ES"/>
        </w:rPr>
        <w:t>Amparo directo 699/2008. Mariana Leticia González Steele. 13 de noviembre de 2008. Unanimidad de votos. Ponente: Sara Judith Montalvo Trejo. Secretario: Arnulfo Mateos García.</w:t>
      </w:r>
    </w:p>
    <w:p w:rsidR="00BC521C" w:rsidRPr="00954CFD" w:rsidRDefault="00BC521C" w:rsidP="00BC521C">
      <w:pPr>
        <w:autoSpaceDE w:val="0"/>
        <w:autoSpaceDN w:val="0"/>
        <w:adjustRightInd w:val="0"/>
        <w:spacing w:after="0" w:line="240" w:lineRule="auto"/>
        <w:ind w:left="567" w:right="567"/>
        <w:contextualSpacing/>
        <w:jc w:val="both"/>
        <w:rPr>
          <w:rFonts w:ascii="Palatino Linotype" w:eastAsia="Batang" w:hAnsi="Palatino Linotype" w:cs="Arial"/>
          <w:lang w:val="es-AR" w:eastAsia="es-ES"/>
        </w:rPr>
      </w:pPr>
    </w:p>
    <w:p w:rsidR="00BC521C" w:rsidRPr="00954CFD" w:rsidRDefault="00BC521C" w:rsidP="00BC521C">
      <w:pPr>
        <w:autoSpaceDE w:val="0"/>
        <w:autoSpaceDN w:val="0"/>
        <w:adjustRightInd w:val="0"/>
        <w:spacing w:after="0" w:line="240" w:lineRule="auto"/>
        <w:ind w:left="567" w:right="567"/>
        <w:contextualSpacing/>
        <w:jc w:val="right"/>
        <w:rPr>
          <w:rFonts w:ascii="Palatino Linotype" w:eastAsia="Batang" w:hAnsi="Palatino Linotype" w:cs="Arial"/>
          <w:lang w:val="es-AR" w:eastAsia="es-ES"/>
        </w:rPr>
      </w:pPr>
      <w:r w:rsidRPr="00954CFD">
        <w:rPr>
          <w:rFonts w:ascii="Palatino Linotype" w:eastAsia="Batang" w:hAnsi="Palatino Linotype" w:cs="Arial"/>
          <w:lang w:val="es-AR" w:eastAsia="es-ES"/>
        </w:rPr>
        <w:t>(Énfasis añadido)</w:t>
      </w:r>
    </w:p>
    <w:p w:rsidR="00BC521C" w:rsidRPr="00954CFD" w:rsidRDefault="00BC521C" w:rsidP="00BC521C">
      <w:pPr>
        <w:spacing w:after="0" w:line="360" w:lineRule="auto"/>
        <w:jc w:val="both"/>
        <w:rPr>
          <w:rFonts w:ascii="Palatino Linotype" w:eastAsia="Batang" w:hAnsi="Palatino Linotype" w:cs="Arial"/>
          <w:sz w:val="24"/>
          <w:szCs w:val="24"/>
          <w:lang w:val="es-ES" w:eastAsia="es-ES"/>
        </w:rPr>
      </w:pPr>
    </w:p>
    <w:p w:rsidR="00BC521C" w:rsidRPr="00954CFD" w:rsidRDefault="00BC521C" w:rsidP="00BC521C">
      <w:pPr>
        <w:spacing w:after="0" w:line="360" w:lineRule="auto"/>
        <w:jc w:val="both"/>
        <w:rPr>
          <w:rFonts w:ascii="Palatino Linotype" w:eastAsia="Batang" w:hAnsi="Palatino Linotype" w:cs="Arial"/>
          <w:sz w:val="24"/>
          <w:szCs w:val="24"/>
          <w:lang w:val="es-ES" w:eastAsia="es-ES"/>
        </w:rPr>
      </w:pPr>
      <w:r w:rsidRPr="00954CFD">
        <w:rPr>
          <w:rFonts w:ascii="Palatino Linotype" w:eastAsia="Batang" w:hAnsi="Palatino Linotype" w:cs="Arial"/>
          <w:sz w:val="24"/>
          <w:szCs w:val="24"/>
          <w:lang w:val="es-ES" w:eastAsia="es-ES"/>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954CFD">
        <w:rPr>
          <w:rFonts w:ascii="Palatino Linotype" w:eastAsia="Batang" w:hAnsi="Palatino Linotype" w:cs="Arial"/>
          <w:b/>
          <w:sz w:val="24"/>
          <w:szCs w:val="24"/>
          <w:lang w:val="es-ES" w:eastAsia="es-ES"/>
        </w:rPr>
        <w:t xml:space="preserve">192 </w:t>
      </w:r>
      <w:r w:rsidRPr="00954CFD">
        <w:rPr>
          <w:rFonts w:ascii="Palatino Linotype" w:eastAsia="Batang" w:hAnsi="Palatino Linotype" w:cs="Arial"/>
          <w:sz w:val="24"/>
          <w:szCs w:val="24"/>
          <w:lang w:val="es-ES" w:eastAsia="es-ES"/>
        </w:rPr>
        <w:t xml:space="preserve">de la </w:t>
      </w:r>
      <w:r w:rsidRPr="00954CFD">
        <w:rPr>
          <w:rFonts w:ascii="Palatino Linotype" w:eastAsia="Batang" w:hAnsi="Palatino Linotype" w:cs="Arial"/>
          <w:b/>
          <w:sz w:val="24"/>
          <w:szCs w:val="24"/>
          <w:lang w:val="es-ES" w:eastAsia="es-ES"/>
        </w:rPr>
        <w:t xml:space="preserve">Ley de Transparencia y Acceso a la Información Pública del Estado de México y </w:t>
      </w:r>
      <w:r w:rsidRPr="00954CFD">
        <w:rPr>
          <w:rFonts w:ascii="Palatino Linotype" w:eastAsia="Batang" w:hAnsi="Palatino Linotype" w:cs="Arial"/>
          <w:b/>
          <w:sz w:val="24"/>
          <w:szCs w:val="24"/>
          <w:lang w:val="es-ES" w:eastAsia="es-ES"/>
        </w:rPr>
        <w:lastRenderedPageBreak/>
        <w:t>Municipios</w:t>
      </w:r>
      <w:r w:rsidRPr="00954CFD">
        <w:rPr>
          <w:rFonts w:ascii="Palatino Linotype" w:eastAsia="Batang" w:hAnsi="Palatino Linotype" w:cs="Arial"/>
          <w:sz w:val="24"/>
          <w:szCs w:val="24"/>
          <w:lang w:val="es-ES" w:eastAsia="es-ES"/>
        </w:rPr>
        <w:t>, nos encontramos ante un sobreseimiento definitivo toda vez que pone fin al procedimiento sin entrar al estudio de fondo del mismo.</w:t>
      </w:r>
    </w:p>
    <w:p w:rsidR="00BC521C" w:rsidRPr="00954CFD" w:rsidRDefault="00BC521C" w:rsidP="00BC521C">
      <w:pPr>
        <w:spacing w:after="0" w:line="360" w:lineRule="auto"/>
        <w:jc w:val="both"/>
        <w:rPr>
          <w:rFonts w:ascii="Palatino Linotype" w:hAnsi="Palatino Linotype" w:cs="Arial"/>
          <w:sz w:val="24"/>
          <w:szCs w:val="24"/>
          <w:lang w:val="es-ES"/>
        </w:rPr>
      </w:pPr>
    </w:p>
    <w:p w:rsidR="00BC521C" w:rsidRPr="00954CFD" w:rsidRDefault="00BC521C" w:rsidP="00BC521C">
      <w:pPr>
        <w:tabs>
          <w:tab w:val="left" w:pos="709"/>
        </w:tabs>
        <w:spacing w:after="0" w:line="360" w:lineRule="auto"/>
        <w:ind w:right="51"/>
        <w:jc w:val="both"/>
        <w:rPr>
          <w:rFonts w:ascii="Palatino Linotype" w:eastAsiaTheme="minorEastAsia" w:hAnsi="Palatino Linotype" w:cs="Times New Roman"/>
          <w:sz w:val="24"/>
          <w:szCs w:val="24"/>
          <w:lang w:val="es-ES_tradnl" w:eastAsia="es-ES"/>
        </w:rPr>
      </w:pPr>
      <w:r w:rsidRPr="00954CFD">
        <w:rPr>
          <w:rFonts w:ascii="Palatino Linotype" w:eastAsiaTheme="minorEastAsia" w:hAnsi="Palatino Linotype" w:cs="Times New Roman"/>
          <w:sz w:val="24"/>
          <w:szCs w:val="24"/>
          <w:lang w:val="es-ES_tradnl" w:eastAsia="es-ES"/>
        </w:rPr>
        <w:t xml:space="preserve">Por lo tanto, en mérito de lo expuesto en líneas anteriores, si bien resultaban fundados los motivos de inconformidad que arguye </w:t>
      </w:r>
      <w:r w:rsidRPr="00954CFD">
        <w:rPr>
          <w:rFonts w:ascii="Palatino Linotype" w:eastAsiaTheme="minorEastAsia" w:hAnsi="Palatino Linotype" w:cs="Times New Roman"/>
          <w:b/>
          <w:sz w:val="24"/>
          <w:szCs w:val="24"/>
          <w:lang w:val="es-ES_tradnl" w:eastAsia="es-ES"/>
        </w:rPr>
        <w:t>el Recurrente</w:t>
      </w:r>
      <w:r w:rsidRPr="00954CFD">
        <w:rPr>
          <w:rFonts w:ascii="Palatino Linotype" w:eastAsiaTheme="minorEastAsia" w:hAnsi="Palatino Linotype" w:cs="Times New Roman"/>
          <w:sz w:val="24"/>
          <w:szCs w:val="24"/>
          <w:lang w:val="es-ES_tradnl" w:eastAsia="es-ES"/>
        </w:rPr>
        <w:t xml:space="preserve"> al momento de interponer su medio de impugnación, también lo es que los mismos quedaron sin materia de conformidad con las consideraciones de hecho y de derecho hechas valer en líneas precedentes que fueron materia de estudio, por ello </w:t>
      </w:r>
      <w:r w:rsidRPr="00954CFD">
        <w:rPr>
          <w:rFonts w:ascii="Palatino Linotype" w:eastAsiaTheme="minorEastAsia" w:hAnsi="Palatino Linotype" w:cs="Arial"/>
          <w:b/>
          <w:sz w:val="24"/>
          <w:szCs w:val="24"/>
          <w:lang w:val="es-ES_tradnl" w:eastAsia="es-ES"/>
        </w:rPr>
        <w:t xml:space="preserve">con fundamento en la segunda hipótesis de la fracción I del artículo 186, </w:t>
      </w:r>
      <w:r w:rsidRPr="00954CFD">
        <w:rPr>
          <w:rFonts w:ascii="Palatino Linotype" w:eastAsiaTheme="minorEastAsia" w:hAnsi="Palatino Linotype" w:cs="Arial"/>
          <w:sz w:val="24"/>
          <w:szCs w:val="24"/>
          <w:lang w:val="es-ES_tradnl" w:eastAsia="es-ES"/>
        </w:rPr>
        <w:t xml:space="preserve">de la Ley de Transparencia y Acceso a la Información Pública del Estado de México y Municipios, se </w:t>
      </w:r>
      <w:r w:rsidRPr="00954CFD">
        <w:rPr>
          <w:rFonts w:ascii="Palatino Linotype" w:eastAsiaTheme="minorEastAsia" w:hAnsi="Palatino Linotype" w:cs="Arial"/>
          <w:b/>
          <w:sz w:val="24"/>
          <w:szCs w:val="24"/>
          <w:lang w:val="es-ES_tradnl" w:eastAsia="es-ES"/>
        </w:rPr>
        <w:t xml:space="preserve">SOBRESEEN </w:t>
      </w:r>
      <w:r w:rsidRPr="00954CFD">
        <w:rPr>
          <w:rFonts w:ascii="Palatino Linotype" w:eastAsiaTheme="minorEastAsia" w:hAnsi="Palatino Linotype" w:cs="Arial"/>
          <w:sz w:val="24"/>
          <w:szCs w:val="24"/>
          <w:lang w:val="es-ES_tradnl" w:eastAsia="es-ES"/>
        </w:rPr>
        <w:t xml:space="preserve">los recursos de revisión </w:t>
      </w:r>
      <w:r w:rsidRPr="00954CFD">
        <w:rPr>
          <w:rFonts w:ascii="Palatino Linotype" w:eastAsiaTheme="minorEastAsia" w:hAnsi="Palatino Linotype" w:cs="Arial"/>
          <w:b/>
          <w:sz w:val="24"/>
          <w:szCs w:val="24"/>
          <w:lang w:val="es-ES_tradnl" w:eastAsia="es-ES"/>
        </w:rPr>
        <w:t>013120/INFOEM/IP/RR/2022 y 013121/INFOEM/IP/RR/2022</w:t>
      </w:r>
      <w:r w:rsidRPr="00954CFD">
        <w:rPr>
          <w:rFonts w:ascii="Palatino Linotype" w:eastAsiaTheme="minorEastAsia" w:hAnsi="Palatino Linotype" w:cs="Arial"/>
          <w:sz w:val="24"/>
          <w:szCs w:val="24"/>
          <w:lang w:val="es-ES_tradnl" w:eastAsia="es-ES"/>
        </w:rPr>
        <w:t>,</w:t>
      </w:r>
      <w:r w:rsidRPr="00954CFD">
        <w:rPr>
          <w:rFonts w:ascii="Palatino Linotype" w:eastAsiaTheme="minorEastAsia" w:hAnsi="Palatino Linotype" w:cs="Times New Roman"/>
          <w:sz w:val="24"/>
          <w:szCs w:val="24"/>
          <w:lang w:val="es-ES_tradnl" w:eastAsia="es-ES"/>
        </w:rPr>
        <w:t xml:space="preserve"> que han sido materia del presente fallo.</w:t>
      </w:r>
    </w:p>
    <w:p w:rsidR="00BC521C" w:rsidRPr="00954CFD" w:rsidRDefault="00BC521C" w:rsidP="00BC521C">
      <w:pPr>
        <w:spacing w:after="0" w:line="360" w:lineRule="auto"/>
        <w:jc w:val="both"/>
        <w:rPr>
          <w:rFonts w:ascii="Palatino Linotype" w:eastAsia="Times New Roman" w:hAnsi="Palatino Linotype" w:cs="Times New Roman"/>
          <w:sz w:val="24"/>
          <w:szCs w:val="24"/>
          <w:lang w:val="es-ES_tradnl" w:eastAsia="es-ES"/>
        </w:rPr>
      </w:pPr>
    </w:p>
    <w:p w:rsidR="00BC521C" w:rsidRPr="00954CFD" w:rsidRDefault="00BC521C" w:rsidP="00BC521C">
      <w:pPr>
        <w:spacing w:after="0" w:line="360" w:lineRule="auto"/>
        <w:jc w:val="both"/>
        <w:rPr>
          <w:rFonts w:ascii="Palatino Linotype" w:eastAsia="Times New Roman" w:hAnsi="Palatino Linotype" w:cs="Times New Roman"/>
          <w:sz w:val="24"/>
          <w:szCs w:val="24"/>
          <w:lang w:val="es-ES" w:eastAsia="es-ES"/>
        </w:rPr>
      </w:pPr>
      <w:r w:rsidRPr="00954CFD">
        <w:rPr>
          <w:rFonts w:ascii="Palatino Linotype" w:eastAsia="Times New Roman" w:hAnsi="Palatino Linotype" w:cs="Times New Roman"/>
          <w:sz w:val="24"/>
          <w:szCs w:val="24"/>
          <w:lang w:val="es-ES" w:eastAsia="es-ES"/>
        </w:rPr>
        <w:t>Por lo antes expuesto y fundado es de resolverse y,</w:t>
      </w:r>
    </w:p>
    <w:p w:rsidR="00BC521C" w:rsidRPr="00954CFD" w:rsidRDefault="00BC521C" w:rsidP="00BC521C">
      <w:pPr>
        <w:spacing w:after="0" w:line="360" w:lineRule="auto"/>
        <w:jc w:val="both"/>
        <w:rPr>
          <w:rFonts w:ascii="Palatino Linotype" w:eastAsia="Times New Roman" w:hAnsi="Palatino Linotype" w:cs="Times New Roman"/>
          <w:sz w:val="24"/>
          <w:szCs w:val="24"/>
          <w:lang w:val="es-ES" w:eastAsia="es-ES"/>
        </w:rPr>
      </w:pPr>
    </w:p>
    <w:p w:rsidR="00BC521C" w:rsidRPr="00954CFD" w:rsidRDefault="00BC521C" w:rsidP="00BC521C">
      <w:pPr>
        <w:spacing w:after="0" w:line="360" w:lineRule="auto"/>
        <w:jc w:val="center"/>
        <w:rPr>
          <w:rFonts w:ascii="Palatino Linotype" w:eastAsia="Times New Roman" w:hAnsi="Palatino Linotype" w:cs="Times New Roman"/>
          <w:b/>
          <w:bCs/>
          <w:spacing w:val="60"/>
          <w:sz w:val="28"/>
          <w:szCs w:val="24"/>
          <w:lang w:val="es-ES_tradnl" w:eastAsia="es-ES"/>
        </w:rPr>
      </w:pPr>
      <w:r w:rsidRPr="00954CFD">
        <w:rPr>
          <w:rFonts w:ascii="Palatino Linotype" w:eastAsia="Times New Roman" w:hAnsi="Palatino Linotype" w:cs="Times New Roman"/>
          <w:b/>
          <w:bCs/>
          <w:spacing w:val="60"/>
          <w:sz w:val="28"/>
          <w:szCs w:val="24"/>
          <w:lang w:val="es-ES_tradnl" w:eastAsia="es-ES"/>
        </w:rPr>
        <w:t>SE    RESUELVE</w:t>
      </w:r>
    </w:p>
    <w:p w:rsidR="00BC521C" w:rsidRPr="00954CFD" w:rsidRDefault="00BC521C" w:rsidP="00BC521C">
      <w:pPr>
        <w:spacing w:after="0" w:line="360" w:lineRule="auto"/>
        <w:jc w:val="center"/>
        <w:rPr>
          <w:rFonts w:ascii="Palatino Linotype" w:eastAsia="Times New Roman" w:hAnsi="Palatino Linotype" w:cs="Times New Roman"/>
          <w:bCs/>
          <w:spacing w:val="60"/>
          <w:sz w:val="24"/>
          <w:szCs w:val="24"/>
          <w:lang w:val="es-ES_tradnl" w:eastAsia="es-ES"/>
        </w:rPr>
      </w:pPr>
    </w:p>
    <w:p w:rsidR="00BC521C" w:rsidRPr="00954CFD" w:rsidRDefault="00BC521C" w:rsidP="00BC521C">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954CFD">
        <w:rPr>
          <w:rFonts w:ascii="Palatino Linotype" w:eastAsiaTheme="minorEastAsia" w:hAnsi="Palatino Linotype" w:cs="Arial"/>
          <w:b/>
          <w:sz w:val="28"/>
          <w:szCs w:val="24"/>
          <w:lang w:val="es-ES_tradnl" w:eastAsia="es-ES"/>
        </w:rPr>
        <w:t>PRIMERO.</w:t>
      </w:r>
      <w:r w:rsidRPr="00954CFD">
        <w:rPr>
          <w:rFonts w:ascii="Palatino Linotype" w:eastAsiaTheme="minorEastAsia" w:hAnsi="Palatino Linotype" w:cs="Arial"/>
          <w:sz w:val="24"/>
          <w:szCs w:val="24"/>
          <w:lang w:val="es-ES_tradnl" w:eastAsia="es-ES"/>
        </w:rPr>
        <w:t xml:space="preserve"> Se </w:t>
      </w:r>
      <w:r w:rsidRPr="00954CFD">
        <w:rPr>
          <w:rFonts w:ascii="Palatino Linotype" w:eastAsiaTheme="minorEastAsia" w:hAnsi="Palatino Linotype" w:cs="Arial"/>
          <w:b/>
          <w:sz w:val="24"/>
          <w:szCs w:val="24"/>
          <w:lang w:val="es-ES_tradnl" w:eastAsia="es-ES"/>
        </w:rPr>
        <w:t>SOBRESEEN</w:t>
      </w:r>
      <w:r w:rsidRPr="00954CFD">
        <w:rPr>
          <w:rFonts w:ascii="Palatino Linotype" w:eastAsiaTheme="minorEastAsia" w:hAnsi="Palatino Linotype" w:cs="Arial"/>
          <w:sz w:val="24"/>
          <w:szCs w:val="24"/>
          <w:lang w:val="es-ES_tradnl" w:eastAsia="es-ES"/>
        </w:rPr>
        <w:t xml:space="preserve"> los recursos de revisión número </w:t>
      </w:r>
      <w:r w:rsidRPr="00954CFD">
        <w:rPr>
          <w:rFonts w:ascii="Palatino Linotype" w:eastAsiaTheme="minorEastAsia" w:hAnsi="Palatino Linotype" w:cs="Arial"/>
          <w:b/>
          <w:sz w:val="24"/>
          <w:szCs w:val="24"/>
          <w:lang w:val="es-ES_tradnl" w:eastAsia="es-ES"/>
        </w:rPr>
        <w:t>013120/INFOEM/IP/RR/2022</w:t>
      </w:r>
      <w:r w:rsidRPr="00954CFD">
        <w:rPr>
          <w:rFonts w:ascii="Palatino Linotype" w:eastAsiaTheme="minorEastAsia" w:hAnsi="Palatino Linotype" w:cs="Arial"/>
          <w:sz w:val="24"/>
          <w:szCs w:val="24"/>
          <w:lang w:val="es-ES_tradnl" w:eastAsia="es-ES"/>
        </w:rPr>
        <w:t xml:space="preserve"> y</w:t>
      </w:r>
      <w:r w:rsidRPr="00954CFD">
        <w:rPr>
          <w:rFonts w:ascii="Palatino Linotype" w:eastAsiaTheme="minorEastAsia" w:hAnsi="Palatino Linotype" w:cs="Arial"/>
          <w:b/>
          <w:sz w:val="24"/>
          <w:szCs w:val="24"/>
          <w:lang w:val="es-ES_tradnl" w:eastAsia="es-ES"/>
        </w:rPr>
        <w:t xml:space="preserve"> 013121/INFOEM/IP/RR/2022</w:t>
      </w:r>
      <w:r w:rsidRPr="00954CFD">
        <w:rPr>
          <w:rFonts w:ascii="Palatino Linotype" w:eastAsiaTheme="minorEastAsia" w:hAnsi="Palatino Linotype" w:cs="Arial"/>
          <w:sz w:val="24"/>
          <w:szCs w:val="24"/>
          <w:lang w:val="es-ES_tradnl" w:eastAsia="es-ES"/>
        </w:rPr>
        <w:t xml:space="preserve">, porque el </w:t>
      </w:r>
      <w:r w:rsidRPr="00954CFD">
        <w:rPr>
          <w:rFonts w:ascii="Palatino Linotype" w:eastAsiaTheme="minorEastAsia" w:hAnsi="Palatino Linotype" w:cs="Arial"/>
          <w:b/>
          <w:sz w:val="24"/>
          <w:szCs w:val="24"/>
          <w:lang w:val="es-ES_tradnl" w:eastAsia="es-ES"/>
        </w:rPr>
        <w:t>Sujeto Obligado</w:t>
      </w:r>
      <w:r w:rsidRPr="00954CFD">
        <w:rPr>
          <w:rFonts w:ascii="Palatino Linotype" w:eastAsiaTheme="minorEastAsia" w:hAnsi="Palatino Linotype" w:cs="Arial"/>
          <w:sz w:val="24"/>
          <w:szCs w:val="24"/>
          <w:lang w:val="es-ES_tradnl" w:eastAsia="es-ES"/>
        </w:rPr>
        <w:t xml:space="preserve"> al modificar su respuesta, el recurso de revisión quedó sin materia, en términos del artículo 192 fracción III de la Ley de Transparencia y Acceso a la Información Pública del Estado de México y Municipios, en términos del Considerando </w:t>
      </w:r>
      <w:r w:rsidRPr="00954CFD">
        <w:rPr>
          <w:rFonts w:ascii="Palatino Linotype" w:eastAsiaTheme="minorEastAsia" w:hAnsi="Palatino Linotype" w:cs="Arial"/>
          <w:b/>
          <w:sz w:val="24"/>
          <w:szCs w:val="24"/>
          <w:lang w:val="es-ES_tradnl" w:eastAsia="es-ES"/>
        </w:rPr>
        <w:t>TERCERO</w:t>
      </w:r>
      <w:r w:rsidRPr="00954CFD">
        <w:rPr>
          <w:rFonts w:ascii="Palatino Linotype" w:eastAsiaTheme="minorEastAsia" w:hAnsi="Palatino Linotype" w:cs="Arial"/>
          <w:sz w:val="24"/>
          <w:szCs w:val="24"/>
          <w:lang w:val="es-ES_tradnl" w:eastAsia="es-ES"/>
        </w:rPr>
        <w:t xml:space="preserve"> de la presente resolución.</w:t>
      </w:r>
    </w:p>
    <w:p w:rsidR="00BC521C" w:rsidRPr="00954CFD" w:rsidRDefault="00BC521C" w:rsidP="00BC521C">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954CFD">
        <w:rPr>
          <w:rFonts w:ascii="Palatino Linotype" w:eastAsiaTheme="minorEastAsia" w:hAnsi="Palatino Linotype" w:cs="Arial"/>
          <w:b/>
          <w:sz w:val="28"/>
          <w:szCs w:val="24"/>
          <w:lang w:val="es-ES_tradnl" w:eastAsia="es-ES"/>
        </w:rPr>
        <w:lastRenderedPageBreak/>
        <w:t>SEGUNDO</w:t>
      </w:r>
      <w:r w:rsidRPr="00954CFD">
        <w:rPr>
          <w:rFonts w:ascii="Palatino Linotype" w:eastAsiaTheme="minorEastAsia" w:hAnsi="Palatino Linotype" w:cs="Arial"/>
          <w:b/>
          <w:sz w:val="24"/>
          <w:szCs w:val="24"/>
          <w:lang w:val="es-ES_tradnl" w:eastAsia="es-ES"/>
        </w:rPr>
        <w:t>.</w:t>
      </w:r>
      <w:r w:rsidRPr="00954CFD">
        <w:rPr>
          <w:rFonts w:ascii="Palatino Linotype" w:eastAsiaTheme="minorEastAsia" w:hAnsi="Palatino Linotype" w:cs="Arial"/>
          <w:sz w:val="24"/>
          <w:szCs w:val="24"/>
          <w:lang w:val="es-ES_tradnl" w:eastAsia="es-ES"/>
        </w:rPr>
        <w:t xml:space="preserve"> </w:t>
      </w:r>
      <w:r w:rsidRPr="00954CFD">
        <w:rPr>
          <w:rFonts w:ascii="Palatino Linotype" w:eastAsiaTheme="minorEastAsia" w:hAnsi="Palatino Linotype" w:cs="Arial"/>
          <w:b/>
          <w:sz w:val="24"/>
          <w:szCs w:val="24"/>
          <w:lang w:val="es-ES_tradnl" w:eastAsia="es-ES"/>
        </w:rPr>
        <w:t>NOTIFÍQUESE</w:t>
      </w:r>
      <w:r w:rsidRPr="00954CFD">
        <w:rPr>
          <w:rFonts w:ascii="Palatino Linotype" w:eastAsiaTheme="minorEastAsia" w:hAnsi="Palatino Linotype" w:cs="Arial"/>
          <w:sz w:val="24"/>
          <w:szCs w:val="24"/>
          <w:lang w:val="es-ES_tradnl" w:eastAsia="es-ES"/>
        </w:rPr>
        <w:t xml:space="preserve"> vía SAIMEX la presente resolución al Titular de la Unidad de Transparencia del </w:t>
      </w:r>
      <w:r w:rsidRPr="00954CFD">
        <w:rPr>
          <w:rFonts w:ascii="Palatino Linotype" w:eastAsiaTheme="minorEastAsia" w:hAnsi="Palatino Linotype" w:cs="Arial"/>
          <w:b/>
          <w:sz w:val="24"/>
          <w:szCs w:val="24"/>
          <w:lang w:val="es-ES_tradnl" w:eastAsia="es-ES"/>
        </w:rPr>
        <w:t>Sujeto Obligado</w:t>
      </w:r>
      <w:r w:rsidRPr="00954CFD">
        <w:rPr>
          <w:rFonts w:ascii="Palatino Linotype" w:eastAsiaTheme="minorEastAsia" w:hAnsi="Palatino Linotype" w:cs="Arial"/>
          <w:sz w:val="24"/>
          <w:szCs w:val="24"/>
          <w:lang w:val="es-ES_tradnl" w:eastAsia="es-ES"/>
        </w:rPr>
        <w:t>.</w:t>
      </w:r>
    </w:p>
    <w:p w:rsidR="00BC521C" w:rsidRPr="00954CFD" w:rsidRDefault="00BC521C" w:rsidP="00BC521C">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rsidR="00BC521C" w:rsidRPr="00954CFD" w:rsidRDefault="00BC521C" w:rsidP="00BC521C">
      <w:pPr>
        <w:spacing w:after="0" w:line="360" w:lineRule="auto"/>
        <w:jc w:val="both"/>
        <w:rPr>
          <w:rFonts w:ascii="Palatino Linotype" w:eastAsia="Times New Roman" w:hAnsi="Palatino Linotype" w:cs="Arial"/>
          <w:sz w:val="24"/>
          <w:szCs w:val="24"/>
          <w:lang w:val="es-ES" w:eastAsia="es-ES"/>
        </w:rPr>
      </w:pPr>
      <w:r w:rsidRPr="00954CFD">
        <w:rPr>
          <w:rFonts w:ascii="Palatino Linotype" w:eastAsia="Times New Roman" w:hAnsi="Palatino Linotype" w:cs="Arial"/>
          <w:b/>
          <w:sz w:val="28"/>
          <w:szCs w:val="24"/>
          <w:lang w:val="es-ES" w:eastAsia="es-ES"/>
        </w:rPr>
        <w:t>TERCERO</w:t>
      </w:r>
      <w:r w:rsidRPr="00954CFD">
        <w:rPr>
          <w:rFonts w:ascii="Palatino Linotype" w:eastAsia="Times New Roman" w:hAnsi="Palatino Linotype" w:cs="Arial"/>
          <w:b/>
          <w:sz w:val="24"/>
          <w:szCs w:val="24"/>
          <w:lang w:val="es-ES" w:eastAsia="es-ES"/>
        </w:rPr>
        <w:t>.</w:t>
      </w:r>
      <w:r w:rsidRPr="00954CFD">
        <w:rPr>
          <w:rFonts w:ascii="Palatino Linotype" w:eastAsia="Times New Roman" w:hAnsi="Palatino Linotype" w:cs="Arial"/>
          <w:sz w:val="24"/>
          <w:szCs w:val="24"/>
          <w:lang w:val="es-ES" w:eastAsia="es-ES"/>
        </w:rPr>
        <w:t xml:space="preserve"> </w:t>
      </w:r>
      <w:r w:rsidRPr="00954CFD">
        <w:rPr>
          <w:rFonts w:ascii="Palatino Linotype" w:eastAsia="Times New Roman" w:hAnsi="Palatino Linotype" w:cs="Arial"/>
          <w:b/>
          <w:sz w:val="24"/>
          <w:szCs w:val="24"/>
          <w:lang w:val="es-ES" w:eastAsia="es-ES"/>
        </w:rPr>
        <w:t>NOTIFÍQUESE</w:t>
      </w:r>
      <w:r w:rsidRPr="00954CFD">
        <w:rPr>
          <w:rFonts w:ascii="Palatino Linotype" w:eastAsia="Times New Roman" w:hAnsi="Palatino Linotype" w:cs="Arial"/>
          <w:sz w:val="24"/>
          <w:szCs w:val="24"/>
          <w:lang w:val="es-ES" w:eastAsia="es-ES"/>
        </w:rPr>
        <w:t xml:space="preserve"> a través del</w:t>
      </w:r>
      <w:r w:rsidRPr="00954CFD">
        <w:rPr>
          <w:rFonts w:ascii="Palatino Linotype" w:eastAsia="Times New Roman" w:hAnsi="Palatino Linotype" w:cs="Times New Roman"/>
          <w:sz w:val="24"/>
          <w:szCs w:val="24"/>
          <w:lang w:val="es-ES" w:eastAsia="es-ES"/>
        </w:rPr>
        <w:t xml:space="preserve"> Sistema de Acceso a la Información Mexiquense (SAIMEX)</w:t>
      </w:r>
      <w:r w:rsidRPr="00954CFD">
        <w:rPr>
          <w:rFonts w:ascii="Palatino Linotype" w:eastAsia="Times New Roman" w:hAnsi="Palatino Linotype" w:cs="Arial"/>
          <w:sz w:val="24"/>
          <w:szCs w:val="24"/>
          <w:lang w:val="es-ES" w:eastAsia="es-ES"/>
        </w:rPr>
        <w:t xml:space="preserve">, al </w:t>
      </w:r>
      <w:r w:rsidRPr="00954CFD">
        <w:rPr>
          <w:rFonts w:ascii="Palatino Linotype" w:eastAsia="Times New Roman" w:hAnsi="Palatino Linotype" w:cs="Arial"/>
          <w:b/>
          <w:sz w:val="24"/>
          <w:szCs w:val="24"/>
          <w:lang w:val="es-ES" w:eastAsia="es-ES"/>
        </w:rPr>
        <w:t xml:space="preserve">Recurrente </w:t>
      </w:r>
      <w:r w:rsidRPr="00954CFD">
        <w:rPr>
          <w:rFonts w:ascii="Palatino Linotype" w:eastAsia="Times New Roman" w:hAnsi="Palatino Linotype" w:cs="Arial"/>
          <w:sz w:val="24"/>
          <w:szCs w:val="24"/>
          <w:lang w:val="es-ES" w:eastAsia="es-ES"/>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8306AC" w:rsidRPr="00954CFD" w:rsidRDefault="008306AC" w:rsidP="008306AC">
      <w:pPr>
        <w:spacing w:after="0" w:line="360" w:lineRule="auto"/>
        <w:jc w:val="both"/>
        <w:rPr>
          <w:rFonts w:ascii="Palatino Linotype" w:eastAsia="Times New Roman" w:hAnsi="Palatino Linotype" w:cs="Times New Roman"/>
          <w:sz w:val="24"/>
          <w:szCs w:val="24"/>
          <w:lang w:val="es-ES" w:eastAsia="es-ES"/>
        </w:rPr>
      </w:pPr>
    </w:p>
    <w:p w:rsidR="008306AC" w:rsidRPr="00954CFD" w:rsidRDefault="008306AC" w:rsidP="008306AC">
      <w:pPr>
        <w:spacing w:after="0" w:line="360" w:lineRule="auto"/>
        <w:jc w:val="both"/>
        <w:rPr>
          <w:rFonts w:ascii="Palatino Linotype" w:eastAsia="Times New Roman" w:hAnsi="Palatino Linotype" w:cs="Arial"/>
          <w:sz w:val="24"/>
          <w:szCs w:val="24"/>
          <w:lang w:eastAsia="es-ES"/>
        </w:rPr>
      </w:pPr>
    </w:p>
    <w:p w:rsidR="008306AC" w:rsidRPr="00954CFD" w:rsidRDefault="008306AC" w:rsidP="008306AC">
      <w:pPr>
        <w:spacing w:after="0" w:line="360" w:lineRule="auto"/>
        <w:jc w:val="both"/>
        <w:rPr>
          <w:rFonts w:ascii="Palatino Linotype" w:hAnsi="Palatino Linotype" w:cs="Arial"/>
          <w:sz w:val="24"/>
          <w:szCs w:val="24"/>
        </w:rPr>
      </w:pPr>
      <w:r w:rsidRPr="00954CFD">
        <w:rPr>
          <w:rFonts w:ascii="Palatino Linotype" w:hAnsi="Palatino Linotype" w:cs="Arial"/>
          <w:sz w:val="24"/>
          <w:szCs w:val="24"/>
        </w:rPr>
        <w:t>ASÍ LO RESUELVE, POR MAYORIA DE VOTOS EL PLENO DEL</w:t>
      </w:r>
      <w:r w:rsidRPr="00954CFD">
        <w:rPr>
          <w:rFonts w:ascii="Palatino Linotype" w:eastAsia="Arial Unicode MS" w:hAnsi="Palatino Linotype" w:cs="Arial"/>
          <w:sz w:val="24"/>
          <w:szCs w:val="24"/>
        </w:rPr>
        <w:t xml:space="preserve"> INSTITUTO DE TRANSPARENCIA, ACCESO A LA INFORMACIÓN PÚBLICA Y PROTECCIÓN DE DATOS PERSONALES DEL ESTADO DE MÉXICO Y MU</w:t>
      </w:r>
      <w:bookmarkStart w:id="0" w:name="_GoBack"/>
      <w:bookmarkEnd w:id="0"/>
      <w:r w:rsidRPr="00954CFD">
        <w:rPr>
          <w:rFonts w:ascii="Palatino Linotype" w:eastAsia="Arial Unicode MS" w:hAnsi="Palatino Linotype" w:cs="Arial"/>
          <w:sz w:val="24"/>
          <w:szCs w:val="24"/>
        </w:rPr>
        <w:t>NICIPIOS</w:t>
      </w:r>
      <w:r w:rsidRPr="00954CFD">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TRIGÉSIMA </w:t>
      </w:r>
      <w:r w:rsidR="00A51D10" w:rsidRPr="00954CFD">
        <w:rPr>
          <w:rFonts w:ascii="Palatino Linotype" w:hAnsi="Palatino Linotype" w:cs="Arial"/>
          <w:sz w:val="24"/>
          <w:szCs w:val="24"/>
        </w:rPr>
        <w:t>OCTAVA</w:t>
      </w:r>
      <w:r w:rsidRPr="00954CFD">
        <w:rPr>
          <w:rFonts w:ascii="Palatino Linotype" w:hAnsi="Palatino Linotype" w:cs="Arial"/>
          <w:sz w:val="24"/>
          <w:szCs w:val="24"/>
        </w:rPr>
        <w:t xml:space="preserve"> SESIÓN ORDINARIA CELEBRADA EL </w:t>
      </w:r>
      <w:r w:rsidR="00A51D10" w:rsidRPr="00954CFD">
        <w:rPr>
          <w:rFonts w:ascii="Palatino Linotype" w:hAnsi="Palatino Linotype" w:cs="Arial"/>
          <w:sz w:val="24"/>
          <w:szCs w:val="24"/>
        </w:rPr>
        <w:t>DIECINUEVE</w:t>
      </w:r>
      <w:r w:rsidRPr="00954CFD">
        <w:rPr>
          <w:rFonts w:ascii="Palatino Linotype" w:hAnsi="Palatino Linotype" w:cs="Arial"/>
          <w:sz w:val="24"/>
          <w:szCs w:val="24"/>
        </w:rPr>
        <w:t xml:space="preserve"> DE OCTUBRE DE DOS MIL VEINTIDÓS, ANTE EL ANTE EL SECRETARIO TÉCNICO DEL PLENO, ALEXIS TAPIA RAMÍREZ. ----------------------------------------------------------------------------------------</w:t>
      </w:r>
    </w:p>
    <w:p w:rsidR="008306AC" w:rsidRPr="00954CFD" w:rsidRDefault="008306AC" w:rsidP="008306AC">
      <w:pPr>
        <w:spacing w:after="0" w:line="360" w:lineRule="auto"/>
        <w:jc w:val="both"/>
        <w:rPr>
          <w:rFonts w:ascii="Palatino Linotype" w:hAnsi="Palatino Linotype" w:cs="Arial"/>
          <w:sz w:val="24"/>
          <w:szCs w:val="24"/>
        </w:rPr>
      </w:pPr>
      <w:r w:rsidRPr="00954CFD">
        <w:rPr>
          <w:rFonts w:ascii="Palatino Linotype" w:hAnsi="Palatino Linotype" w:cs="Arial"/>
          <w:sz w:val="24"/>
          <w:szCs w:val="24"/>
        </w:rPr>
        <w:t>-----------------------------------------------------------------------------------------------------------------</w:t>
      </w:r>
    </w:p>
    <w:p w:rsidR="008306AC" w:rsidRPr="00954CFD" w:rsidRDefault="008306AC" w:rsidP="008306AC">
      <w:pPr>
        <w:spacing w:after="0" w:line="360" w:lineRule="auto"/>
        <w:jc w:val="both"/>
        <w:rPr>
          <w:rFonts w:ascii="Palatino Linotype" w:hAnsi="Palatino Linotype" w:cs="Arial"/>
          <w:sz w:val="24"/>
          <w:szCs w:val="24"/>
        </w:rPr>
      </w:pPr>
      <w:r w:rsidRPr="00954CFD">
        <w:rPr>
          <w:rFonts w:ascii="Palatino Linotype" w:hAnsi="Palatino Linotype" w:cs="Arial"/>
          <w:sz w:val="24"/>
          <w:szCs w:val="24"/>
        </w:rPr>
        <w:t>-----------------------------------------------------------------------------------------------------------------</w:t>
      </w:r>
    </w:p>
    <w:p w:rsidR="008306AC" w:rsidRPr="00434661" w:rsidRDefault="008306AC" w:rsidP="008306AC">
      <w:pPr>
        <w:spacing w:after="0" w:line="360" w:lineRule="auto"/>
        <w:jc w:val="both"/>
        <w:rPr>
          <w:rFonts w:ascii="Palatino Linotype" w:hAnsi="Palatino Linotype" w:cs="Arial"/>
          <w:sz w:val="20"/>
        </w:rPr>
      </w:pPr>
      <w:r w:rsidRPr="00954CFD">
        <w:rPr>
          <w:rFonts w:ascii="Palatino Linotype" w:hAnsi="Palatino Linotype" w:cs="Arial"/>
          <w:sz w:val="20"/>
        </w:rPr>
        <w:t>CCR/</w:t>
      </w:r>
    </w:p>
    <w:p w:rsidR="008306AC" w:rsidRPr="00434661" w:rsidRDefault="008306AC" w:rsidP="008306AC">
      <w:pPr>
        <w:spacing w:after="0" w:line="360" w:lineRule="auto"/>
        <w:jc w:val="both"/>
        <w:rPr>
          <w:rFonts w:ascii="Palatino Linotype" w:hAnsi="Palatino Linotype" w:cs="Arial"/>
          <w:sz w:val="24"/>
          <w:szCs w:val="24"/>
        </w:rPr>
      </w:pPr>
    </w:p>
    <w:p w:rsidR="008306AC" w:rsidRPr="00434661" w:rsidRDefault="008306AC" w:rsidP="008306AC">
      <w:pPr>
        <w:spacing w:after="0" w:line="360" w:lineRule="auto"/>
        <w:jc w:val="both"/>
        <w:rPr>
          <w:rFonts w:ascii="Palatino Linotype" w:hAnsi="Palatino Linotype" w:cs="Arial"/>
          <w:sz w:val="24"/>
          <w:szCs w:val="24"/>
        </w:rPr>
      </w:pPr>
    </w:p>
    <w:p w:rsidR="008306AC" w:rsidRPr="00434661" w:rsidRDefault="008306AC" w:rsidP="008306AC">
      <w:pPr>
        <w:spacing w:after="0" w:line="360" w:lineRule="auto"/>
        <w:jc w:val="both"/>
        <w:rPr>
          <w:rFonts w:ascii="Palatino Linotype" w:hAnsi="Palatino Linotype" w:cs="Arial"/>
          <w:sz w:val="24"/>
          <w:szCs w:val="24"/>
        </w:rPr>
      </w:pPr>
    </w:p>
    <w:p w:rsidR="008306AC" w:rsidRPr="00434661" w:rsidRDefault="008306AC" w:rsidP="008306AC">
      <w:pPr>
        <w:spacing w:after="0"/>
        <w:rPr>
          <w:rFonts w:ascii="Palatino Linotype" w:hAnsi="Palatino Linotype"/>
        </w:rPr>
      </w:pPr>
    </w:p>
    <w:p w:rsidR="008306AC" w:rsidRPr="00434661" w:rsidRDefault="008306AC" w:rsidP="008306AC">
      <w:pPr>
        <w:spacing w:after="0"/>
        <w:rPr>
          <w:rFonts w:ascii="Palatino Linotype" w:hAnsi="Palatino Linotype"/>
        </w:rPr>
      </w:pPr>
    </w:p>
    <w:p w:rsidR="008306AC" w:rsidRPr="00434661" w:rsidRDefault="008306AC" w:rsidP="008306AC">
      <w:pPr>
        <w:spacing w:after="0"/>
        <w:rPr>
          <w:rFonts w:ascii="Palatino Linotype" w:hAnsi="Palatino Linotype"/>
        </w:rPr>
      </w:pPr>
    </w:p>
    <w:p w:rsidR="008306AC" w:rsidRPr="00434661" w:rsidRDefault="008306AC" w:rsidP="008306AC">
      <w:pPr>
        <w:spacing w:after="0"/>
        <w:rPr>
          <w:rFonts w:ascii="Palatino Linotype" w:hAnsi="Palatino Linotype"/>
        </w:rPr>
      </w:pPr>
    </w:p>
    <w:p w:rsidR="008306AC" w:rsidRPr="00434661" w:rsidRDefault="008306AC" w:rsidP="008306AC">
      <w:pPr>
        <w:spacing w:after="0"/>
        <w:rPr>
          <w:rFonts w:ascii="Palatino Linotype" w:hAnsi="Palatino Linotype"/>
        </w:rPr>
      </w:pPr>
    </w:p>
    <w:p w:rsidR="008306AC" w:rsidRPr="00434661" w:rsidRDefault="008306AC" w:rsidP="008306AC">
      <w:pPr>
        <w:spacing w:after="0"/>
        <w:rPr>
          <w:rFonts w:ascii="Palatino Linotype" w:hAnsi="Palatino Linotype"/>
        </w:rPr>
      </w:pPr>
    </w:p>
    <w:p w:rsidR="008306AC" w:rsidRPr="00434661" w:rsidRDefault="008306AC" w:rsidP="008306AC">
      <w:pPr>
        <w:spacing w:after="0"/>
        <w:rPr>
          <w:rFonts w:ascii="Palatino Linotype" w:hAnsi="Palatino Linotype"/>
        </w:rPr>
      </w:pPr>
    </w:p>
    <w:p w:rsidR="008306AC" w:rsidRPr="00434661" w:rsidRDefault="008306AC" w:rsidP="008306AC">
      <w:pPr>
        <w:spacing w:after="0"/>
        <w:rPr>
          <w:rFonts w:ascii="Palatino Linotype" w:hAnsi="Palatino Linotype"/>
        </w:rPr>
      </w:pPr>
    </w:p>
    <w:p w:rsidR="008306AC" w:rsidRDefault="008306AC" w:rsidP="008306AC">
      <w:pPr>
        <w:spacing w:after="0"/>
      </w:pPr>
    </w:p>
    <w:p w:rsidR="008306AC" w:rsidRDefault="008306AC" w:rsidP="008306AC">
      <w:pPr>
        <w:spacing w:after="0"/>
      </w:pPr>
    </w:p>
    <w:p w:rsidR="008306AC" w:rsidRDefault="008306AC" w:rsidP="008306AC">
      <w:pPr>
        <w:spacing w:after="0"/>
      </w:pPr>
    </w:p>
    <w:p w:rsidR="008306AC" w:rsidRDefault="008306AC" w:rsidP="008306AC">
      <w:pPr>
        <w:spacing w:after="0"/>
      </w:pPr>
    </w:p>
    <w:p w:rsidR="008306AC" w:rsidRDefault="008306AC"/>
    <w:sectPr w:rsidR="008306AC" w:rsidSect="008306AC">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C98" w:rsidRDefault="00520C98" w:rsidP="008306AC">
      <w:pPr>
        <w:spacing w:after="0" w:line="240" w:lineRule="auto"/>
      </w:pPr>
      <w:r>
        <w:separator/>
      </w:r>
    </w:p>
  </w:endnote>
  <w:endnote w:type="continuationSeparator" w:id="0">
    <w:p w:rsidR="00520C98" w:rsidRDefault="00520C98" w:rsidP="00830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A17B7D" w:rsidRPr="002D6DD8" w:rsidRDefault="00A17B7D" w:rsidP="008306A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A38F9">
              <w:rPr>
                <w:rFonts w:ascii="Palatino Linotype" w:hAnsi="Palatino Linotype"/>
                <w:bCs/>
                <w:noProof/>
                <w:sz w:val="20"/>
              </w:rPr>
              <w:t>51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A38F9">
              <w:rPr>
                <w:rFonts w:ascii="Palatino Linotype" w:hAnsi="Palatino Linotype"/>
                <w:bCs/>
                <w:noProof/>
                <w:sz w:val="20"/>
              </w:rPr>
              <w:t>51</w:t>
            </w:r>
            <w:r>
              <w:rPr>
                <w:rFonts w:ascii="Palatino Linotype" w:hAnsi="Palatino Linotype"/>
                <w:bCs/>
                <w:noProof/>
                <w:sz w:val="20"/>
              </w:rPr>
              <w:fldChar w:fldCharType="end"/>
            </w:r>
          </w:p>
        </w:sdtContent>
      </w:sdt>
    </w:sdtContent>
  </w:sdt>
  <w:p w:rsidR="00A17B7D" w:rsidRDefault="00A17B7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B7D" w:rsidRPr="000B69FA" w:rsidRDefault="00A17B7D" w:rsidP="008306A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A38F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A38F9">
      <w:rPr>
        <w:rFonts w:ascii="Palatino Linotype" w:hAnsi="Palatino Linotype"/>
        <w:bCs/>
        <w:noProof/>
        <w:sz w:val="20"/>
      </w:rPr>
      <w:t>23</w:t>
    </w:r>
    <w:r>
      <w:rPr>
        <w:rFonts w:ascii="Palatino Linotype" w:hAnsi="Palatino Linotype"/>
        <w:bCs/>
        <w:noProof/>
        <w:sz w:val="20"/>
      </w:rPr>
      <w:fldChar w:fldCharType="end"/>
    </w:r>
  </w:p>
  <w:p w:rsidR="00A17B7D" w:rsidRDefault="00A17B7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C98" w:rsidRDefault="00520C98" w:rsidP="008306AC">
      <w:pPr>
        <w:spacing w:after="0" w:line="240" w:lineRule="auto"/>
      </w:pPr>
      <w:r>
        <w:separator/>
      </w:r>
    </w:p>
  </w:footnote>
  <w:footnote w:type="continuationSeparator" w:id="0">
    <w:p w:rsidR="00520C98" w:rsidRDefault="00520C98" w:rsidP="008306AC">
      <w:pPr>
        <w:spacing w:after="0" w:line="240" w:lineRule="auto"/>
      </w:pPr>
      <w:r>
        <w:continuationSeparator/>
      </w:r>
    </w:p>
  </w:footnote>
  <w:footnote w:id="1">
    <w:p w:rsidR="00A17B7D" w:rsidRPr="009535FD" w:rsidRDefault="00A17B7D" w:rsidP="008306AC">
      <w:pPr>
        <w:jc w:val="both"/>
        <w:rPr>
          <w:rFonts w:ascii="Palatino Linotype" w:hAnsi="Palatino Linotype"/>
          <w:b/>
          <w:bCs/>
          <w:i/>
          <w:sz w:val="18"/>
          <w:szCs w:val="18"/>
          <w:lang w:eastAsia="es-MX"/>
        </w:rPr>
      </w:pPr>
      <w:r w:rsidRPr="009535FD">
        <w:rPr>
          <w:rStyle w:val="Refdenotaalpie"/>
          <w:sz w:val="18"/>
          <w:szCs w:val="18"/>
        </w:rPr>
        <w:footnoteRef/>
      </w:r>
      <w:r w:rsidRPr="009535FD">
        <w:rPr>
          <w:sz w:val="18"/>
          <w:szCs w:val="18"/>
        </w:rPr>
        <w:t xml:space="preserve"> </w:t>
      </w:r>
      <w:r w:rsidRPr="009535FD">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rsidR="00A17B7D" w:rsidRPr="009535FD" w:rsidRDefault="00A17B7D" w:rsidP="008306AC">
      <w:pPr>
        <w:jc w:val="both"/>
        <w:rPr>
          <w:rFonts w:ascii="Palatino Linotype" w:hAnsi="Palatino Linotype"/>
          <w:i/>
          <w:sz w:val="18"/>
          <w:szCs w:val="18"/>
        </w:rPr>
      </w:pPr>
      <w:r w:rsidRPr="009535FD">
        <w:rPr>
          <w:rFonts w:ascii="Palatino Linotype" w:hAnsi="Palatino Linotype"/>
          <w:i/>
          <w:sz w:val="18"/>
          <w:szCs w:val="18"/>
        </w:rPr>
        <w:t xml:space="preserve">Del examen de compatibilidad de los artículos </w:t>
      </w:r>
      <w:hyperlink r:id="rId1" w:history="1">
        <w:r w:rsidRPr="009535FD">
          <w:rPr>
            <w:rStyle w:val="Hipervnculo"/>
            <w:rFonts w:ascii="Palatino Linotype" w:hAnsi="Palatino Linotype"/>
            <w:i/>
            <w:sz w:val="18"/>
            <w:szCs w:val="18"/>
          </w:rPr>
          <w:t>73 y 74 de la Ley de Amparo</w:t>
        </w:r>
      </w:hyperlink>
      <w:r w:rsidRPr="009535FD">
        <w:rPr>
          <w:rStyle w:val="apple-converted-space"/>
          <w:rFonts w:ascii="Palatino Linotype" w:hAnsi="Palatino Linotype"/>
          <w:i/>
          <w:sz w:val="18"/>
          <w:szCs w:val="18"/>
        </w:rPr>
        <w:t xml:space="preserve"> </w:t>
      </w:r>
      <w:r w:rsidRPr="009535FD">
        <w:rPr>
          <w:rFonts w:ascii="Palatino Linotype" w:hAnsi="Palatino Linotype"/>
          <w:i/>
          <w:sz w:val="18"/>
          <w:szCs w:val="18"/>
        </w:rPr>
        <w:t xml:space="preserve">con el artículo </w:t>
      </w:r>
      <w:hyperlink r:id="rId2" w:history="1">
        <w:r w:rsidRPr="009535FD">
          <w:rPr>
            <w:rStyle w:val="Hipervnculo"/>
            <w:rFonts w:ascii="Palatino Linotype" w:hAnsi="Palatino Linotype"/>
            <w:i/>
            <w:sz w:val="18"/>
            <w:szCs w:val="18"/>
          </w:rPr>
          <w:t>25.1 de la Convención Americana sobre Derechos Humanos</w:t>
        </w:r>
      </w:hyperlink>
      <w:r w:rsidRPr="009535FD">
        <w:rPr>
          <w:rStyle w:val="Hipervnculo"/>
          <w:rFonts w:ascii="Palatino Linotype" w:hAnsi="Palatino Linotype"/>
          <w:i/>
          <w:sz w:val="18"/>
          <w:szCs w:val="18"/>
        </w:rPr>
        <w:t xml:space="preserve"> </w:t>
      </w:r>
      <w:r w:rsidRPr="009535FD">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535FD">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A17B7D" w:rsidRPr="004536B7" w:rsidRDefault="00A17B7D" w:rsidP="004536B7">
      <w:pPr>
        <w:pStyle w:val="Textonotapie"/>
        <w:jc w:val="both"/>
        <w:rPr>
          <w:rFonts w:ascii="Palatino Linotype" w:hAnsi="Palatino Linotype"/>
        </w:rPr>
      </w:pPr>
      <w:r>
        <w:rPr>
          <w:rStyle w:val="Refdenotaalpie"/>
        </w:rPr>
        <w:footnoteRef/>
      </w:r>
      <w:r>
        <w:t xml:space="preserve"> </w:t>
      </w:r>
      <w:r w:rsidRPr="004536B7">
        <w:rPr>
          <w:rFonts w:ascii="Palatino Linotype" w:hAnsi="Palatino Linotype"/>
          <w:b/>
        </w:rPr>
        <w:t>Artículo 179.</w:t>
      </w:r>
      <w:r w:rsidRPr="004536B7">
        <w:rPr>
          <w:rFonts w:ascii="Palatino Linotype" w:hAnsi="Palatino Linotype"/>
        </w:rPr>
        <w:t xml:space="preserve"> El recurso de revisión es un medio de protección que la Ley otorga a los particulares, para hacer valer su derecho de acceso a la información pública, y procederá en contra de las siguientes causas:</w:t>
      </w:r>
      <w:r w:rsidRPr="004536B7">
        <w:rPr>
          <w:rFonts w:ascii="Palatino Linotype" w:hAnsi="Palatino Linotype"/>
        </w:rPr>
        <w:cr/>
        <w:t>…</w:t>
      </w:r>
    </w:p>
    <w:p w:rsidR="00A17B7D" w:rsidRPr="004536B7" w:rsidRDefault="00A17B7D" w:rsidP="004536B7">
      <w:pPr>
        <w:pStyle w:val="Textonotapie"/>
        <w:jc w:val="both"/>
        <w:rPr>
          <w:lang w:val="es-419"/>
        </w:rPr>
      </w:pPr>
      <w:r w:rsidRPr="004536B7">
        <w:rPr>
          <w:rFonts w:ascii="Palatino Linotype" w:hAnsi="Palatino Linotype"/>
        </w:rPr>
        <w:t>V. La entrega de información incompleta;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A17B7D" w:rsidTr="008306AC">
      <w:trPr>
        <w:trHeight w:val="227"/>
      </w:trPr>
      <w:tc>
        <w:tcPr>
          <w:tcW w:w="4820" w:type="dxa"/>
          <w:hideMark/>
        </w:tcPr>
        <w:p w:rsidR="00A17B7D" w:rsidRPr="00641471" w:rsidRDefault="00A17B7D" w:rsidP="008306AC">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rsidR="00A17B7D" w:rsidRPr="00641471" w:rsidRDefault="00A17B7D" w:rsidP="008306AC">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13120/INFOEM/IP/RR/2022 y acumulado</w:t>
          </w:r>
        </w:p>
      </w:tc>
    </w:tr>
    <w:tr w:rsidR="00A17B7D" w:rsidTr="008306AC">
      <w:trPr>
        <w:trHeight w:val="242"/>
      </w:trPr>
      <w:tc>
        <w:tcPr>
          <w:tcW w:w="4820" w:type="dxa"/>
          <w:hideMark/>
        </w:tcPr>
        <w:p w:rsidR="00A17B7D" w:rsidRPr="00641471" w:rsidRDefault="00A17B7D" w:rsidP="008306AC">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rsidR="00A17B7D" w:rsidRPr="00641471" w:rsidRDefault="00A17B7D" w:rsidP="008306AC">
          <w:pPr>
            <w:spacing w:after="120" w:line="256" w:lineRule="auto"/>
            <w:ind w:left="-486" w:right="214" w:firstLine="284"/>
            <w:jc w:val="right"/>
            <w:rPr>
              <w:rFonts w:ascii="Palatino Linotype" w:hAnsi="Palatino Linotype" w:cs="Arial"/>
              <w:b/>
              <w:szCs w:val="20"/>
            </w:rPr>
          </w:pPr>
          <w:r w:rsidRPr="003C0085">
            <w:rPr>
              <w:rFonts w:ascii="Palatino Linotype" w:hAnsi="Palatino Linotype" w:cs="Arial"/>
              <w:b/>
              <w:szCs w:val="20"/>
            </w:rPr>
            <w:t>Instituto de Transparencia, Acceso a la Información Pública y Protección de Datos Personales del Estado de México y Municipios</w:t>
          </w:r>
        </w:p>
      </w:tc>
    </w:tr>
    <w:tr w:rsidR="00A17B7D" w:rsidTr="008306AC">
      <w:trPr>
        <w:trHeight w:val="342"/>
      </w:trPr>
      <w:tc>
        <w:tcPr>
          <w:tcW w:w="4820" w:type="dxa"/>
          <w:hideMark/>
        </w:tcPr>
        <w:p w:rsidR="00A17B7D" w:rsidRPr="00641471" w:rsidRDefault="00A17B7D" w:rsidP="008306AC">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5103" w:type="dxa"/>
          <w:hideMark/>
        </w:tcPr>
        <w:p w:rsidR="00A17B7D" w:rsidRPr="00641471" w:rsidRDefault="00A17B7D" w:rsidP="008306AC">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A17B7D" w:rsidRPr="00AE046A" w:rsidRDefault="00A17B7D" w:rsidP="008306AC">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B185365" wp14:editId="4F442D1F">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A17B7D" w:rsidTr="008306AC">
      <w:trPr>
        <w:trHeight w:val="227"/>
      </w:trPr>
      <w:tc>
        <w:tcPr>
          <w:tcW w:w="4820" w:type="dxa"/>
          <w:hideMark/>
        </w:tcPr>
        <w:p w:rsidR="00A17B7D" w:rsidRPr="00641471" w:rsidRDefault="00A17B7D" w:rsidP="008306AC">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rsidR="00A17B7D" w:rsidRPr="00641471" w:rsidRDefault="00A17B7D" w:rsidP="008306AC">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13120/INFOEM/IP/RR/2022 y acumulado</w:t>
          </w:r>
        </w:p>
      </w:tc>
    </w:tr>
    <w:tr w:rsidR="00A17B7D" w:rsidTr="008306AC">
      <w:trPr>
        <w:trHeight w:val="242"/>
      </w:trPr>
      <w:tc>
        <w:tcPr>
          <w:tcW w:w="4820" w:type="dxa"/>
          <w:hideMark/>
        </w:tcPr>
        <w:p w:rsidR="00A17B7D" w:rsidRPr="00641471" w:rsidRDefault="00A17B7D" w:rsidP="008306AC">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rsidR="00A17B7D" w:rsidRPr="00641471" w:rsidRDefault="00A17B7D" w:rsidP="008306AC">
          <w:pPr>
            <w:spacing w:after="120" w:line="256" w:lineRule="auto"/>
            <w:ind w:left="-486" w:right="214" w:firstLine="284"/>
            <w:jc w:val="right"/>
            <w:rPr>
              <w:rFonts w:ascii="Palatino Linotype" w:hAnsi="Palatino Linotype" w:cs="Arial"/>
              <w:b/>
              <w:szCs w:val="20"/>
            </w:rPr>
          </w:pPr>
          <w:r w:rsidRPr="003C0085">
            <w:rPr>
              <w:rFonts w:ascii="Palatino Linotype" w:hAnsi="Palatino Linotype" w:cs="Arial"/>
              <w:b/>
              <w:szCs w:val="20"/>
            </w:rPr>
            <w:t>Instituto de Transparencia, Acceso a la Información Pública y Protección de Datos Personales del Estado de México y Municipios</w:t>
          </w:r>
        </w:p>
      </w:tc>
    </w:tr>
    <w:tr w:rsidR="00A17B7D" w:rsidTr="008306AC">
      <w:trPr>
        <w:trHeight w:val="342"/>
      </w:trPr>
      <w:tc>
        <w:tcPr>
          <w:tcW w:w="4820" w:type="dxa"/>
        </w:tcPr>
        <w:p w:rsidR="00A17B7D" w:rsidRPr="00641471" w:rsidRDefault="00A17B7D" w:rsidP="008306AC">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5103" w:type="dxa"/>
        </w:tcPr>
        <w:p w:rsidR="00A17B7D" w:rsidRPr="00641471" w:rsidRDefault="00A17B7D" w:rsidP="008306AC">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2B90F246" wp14:editId="72AB2FBC">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DA38F9">
            <w:rPr>
              <w:rFonts w:ascii="Palatino Linotype" w:hAnsi="Palatino Linotype" w:cs="Arial"/>
              <w:b/>
            </w:rPr>
            <w:t>XXXXXXXXXXXXXXXXXXXXXX</w:t>
          </w:r>
        </w:p>
      </w:tc>
    </w:tr>
    <w:tr w:rsidR="00A17B7D" w:rsidTr="008306AC">
      <w:trPr>
        <w:trHeight w:val="342"/>
      </w:trPr>
      <w:tc>
        <w:tcPr>
          <w:tcW w:w="4820" w:type="dxa"/>
        </w:tcPr>
        <w:p w:rsidR="00A17B7D" w:rsidRPr="00641471" w:rsidRDefault="00A17B7D" w:rsidP="008306AC">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5103" w:type="dxa"/>
        </w:tcPr>
        <w:p w:rsidR="00A17B7D" w:rsidRPr="00641471" w:rsidRDefault="00A17B7D" w:rsidP="008306AC">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A17B7D" w:rsidRPr="00C222C0" w:rsidRDefault="00A17B7D">
    <w:pPr>
      <w:pStyle w:val="Encabezad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30785"/>
    <w:multiLevelType w:val="hybridMultilevel"/>
    <w:tmpl w:val="3CC47E2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C43360"/>
    <w:multiLevelType w:val="hybridMultilevel"/>
    <w:tmpl w:val="5344E97C"/>
    <w:lvl w:ilvl="0" w:tplc="080A0003">
      <w:start w:val="1"/>
      <w:numFmt w:val="bullet"/>
      <w:lvlText w:val="o"/>
      <w:lvlJc w:val="left"/>
      <w:pPr>
        <w:ind w:left="1287" w:hanging="360"/>
      </w:pPr>
      <w:rPr>
        <w:rFonts w:ascii="Courier New" w:hAnsi="Courier New" w:cs="Courier New"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CCD4294"/>
    <w:multiLevelType w:val="hybridMultilevel"/>
    <w:tmpl w:val="D56AEF96"/>
    <w:lvl w:ilvl="0" w:tplc="3D1CC8E6">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129E6D55"/>
    <w:multiLevelType w:val="hybridMultilevel"/>
    <w:tmpl w:val="3FEEE5D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4D0C23"/>
    <w:multiLevelType w:val="hybridMultilevel"/>
    <w:tmpl w:val="FE943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A200A1"/>
    <w:multiLevelType w:val="hybridMultilevel"/>
    <w:tmpl w:val="B02C1C12"/>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A8B0293"/>
    <w:multiLevelType w:val="hybridMultilevel"/>
    <w:tmpl w:val="4B185E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9A3318"/>
    <w:multiLevelType w:val="hybridMultilevel"/>
    <w:tmpl w:val="B80E707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3A0345"/>
    <w:multiLevelType w:val="hybridMultilevel"/>
    <w:tmpl w:val="6F940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464993"/>
    <w:multiLevelType w:val="hybridMultilevel"/>
    <w:tmpl w:val="8EFCD706"/>
    <w:lvl w:ilvl="0" w:tplc="080A0003">
      <w:start w:val="1"/>
      <w:numFmt w:val="bullet"/>
      <w:lvlText w:val="o"/>
      <w:lvlJc w:val="left"/>
      <w:pPr>
        <w:ind w:left="1350" w:hanging="360"/>
      </w:pPr>
      <w:rPr>
        <w:rFonts w:ascii="Courier New" w:hAnsi="Courier New" w:cs="Courier New" w:hint="default"/>
      </w:rPr>
    </w:lvl>
    <w:lvl w:ilvl="1" w:tplc="080A0003" w:tentative="1">
      <w:start w:val="1"/>
      <w:numFmt w:val="bullet"/>
      <w:lvlText w:val="o"/>
      <w:lvlJc w:val="left"/>
      <w:pPr>
        <w:ind w:left="2070" w:hanging="360"/>
      </w:pPr>
      <w:rPr>
        <w:rFonts w:ascii="Courier New" w:hAnsi="Courier New" w:cs="Courier New" w:hint="default"/>
      </w:rPr>
    </w:lvl>
    <w:lvl w:ilvl="2" w:tplc="080A0005" w:tentative="1">
      <w:start w:val="1"/>
      <w:numFmt w:val="bullet"/>
      <w:lvlText w:val=""/>
      <w:lvlJc w:val="left"/>
      <w:pPr>
        <w:ind w:left="2790" w:hanging="360"/>
      </w:pPr>
      <w:rPr>
        <w:rFonts w:ascii="Wingdings" w:hAnsi="Wingdings" w:hint="default"/>
      </w:rPr>
    </w:lvl>
    <w:lvl w:ilvl="3" w:tplc="080A0001" w:tentative="1">
      <w:start w:val="1"/>
      <w:numFmt w:val="bullet"/>
      <w:lvlText w:val=""/>
      <w:lvlJc w:val="left"/>
      <w:pPr>
        <w:ind w:left="3510" w:hanging="360"/>
      </w:pPr>
      <w:rPr>
        <w:rFonts w:ascii="Symbol" w:hAnsi="Symbol" w:hint="default"/>
      </w:rPr>
    </w:lvl>
    <w:lvl w:ilvl="4" w:tplc="080A0003" w:tentative="1">
      <w:start w:val="1"/>
      <w:numFmt w:val="bullet"/>
      <w:lvlText w:val="o"/>
      <w:lvlJc w:val="left"/>
      <w:pPr>
        <w:ind w:left="4230" w:hanging="360"/>
      </w:pPr>
      <w:rPr>
        <w:rFonts w:ascii="Courier New" w:hAnsi="Courier New" w:cs="Courier New" w:hint="default"/>
      </w:rPr>
    </w:lvl>
    <w:lvl w:ilvl="5" w:tplc="080A0005" w:tentative="1">
      <w:start w:val="1"/>
      <w:numFmt w:val="bullet"/>
      <w:lvlText w:val=""/>
      <w:lvlJc w:val="left"/>
      <w:pPr>
        <w:ind w:left="4950" w:hanging="360"/>
      </w:pPr>
      <w:rPr>
        <w:rFonts w:ascii="Wingdings" w:hAnsi="Wingdings" w:hint="default"/>
      </w:rPr>
    </w:lvl>
    <w:lvl w:ilvl="6" w:tplc="080A0001" w:tentative="1">
      <w:start w:val="1"/>
      <w:numFmt w:val="bullet"/>
      <w:lvlText w:val=""/>
      <w:lvlJc w:val="left"/>
      <w:pPr>
        <w:ind w:left="5670" w:hanging="360"/>
      </w:pPr>
      <w:rPr>
        <w:rFonts w:ascii="Symbol" w:hAnsi="Symbol" w:hint="default"/>
      </w:rPr>
    </w:lvl>
    <w:lvl w:ilvl="7" w:tplc="080A0003" w:tentative="1">
      <w:start w:val="1"/>
      <w:numFmt w:val="bullet"/>
      <w:lvlText w:val="o"/>
      <w:lvlJc w:val="left"/>
      <w:pPr>
        <w:ind w:left="6390" w:hanging="360"/>
      </w:pPr>
      <w:rPr>
        <w:rFonts w:ascii="Courier New" w:hAnsi="Courier New" w:cs="Courier New" w:hint="default"/>
      </w:rPr>
    </w:lvl>
    <w:lvl w:ilvl="8" w:tplc="080A0005" w:tentative="1">
      <w:start w:val="1"/>
      <w:numFmt w:val="bullet"/>
      <w:lvlText w:val=""/>
      <w:lvlJc w:val="left"/>
      <w:pPr>
        <w:ind w:left="7110" w:hanging="360"/>
      </w:pPr>
      <w:rPr>
        <w:rFonts w:ascii="Wingdings" w:hAnsi="Wingdings" w:hint="default"/>
      </w:rPr>
    </w:lvl>
  </w:abstractNum>
  <w:abstractNum w:abstractNumId="10" w15:restartNumberingAfterBreak="0">
    <w:nsid w:val="1EB967E8"/>
    <w:multiLevelType w:val="hybridMultilevel"/>
    <w:tmpl w:val="B1881D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900B59"/>
    <w:multiLevelType w:val="hybridMultilevel"/>
    <w:tmpl w:val="2C6A49E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241E42FE"/>
    <w:multiLevelType w:val="hybridMultilevel"/>
    <w:tmpl w:val="87F66E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58209B"/>
    <w:multiLevelType w:val="hybridMultilevel"/>
    <w:tmpl w:val="ABD472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D056C2E"/>
    <w:multiLevelType w:val="hybridMultilevel"/>
    <w:tmpl w:val="707A88EA"/>
    <w:lvl w:ilvl="0" w:tplc="6E5077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F8F6DC1"/>
    <w:multiLevelType w:val="hybridMultilevel"/>
    <w:tmpl w:val="C526E07C"/>
    <w:lvl w:ilvl="0" w:tplc="3D1CC8E6">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57BA3956"/>
    <w:multiLevelType w:val="hybridMultilevel"/>
    <w:tmpl w:val="9938666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7EC4CA3"/>
    <w:multiLevelType w:val="hybridMultilevel"/>
    <w:tmpl w:val="9FA29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BC01398"/>
    <w:multiLevelType w:val="hybridMultilevel"/>
    <w:tmpl w:val="2F2624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D0E3364"/>
    <w:multiLevelType w:val="hybridMultilevel"/>
    <w:tmpl w:val="9E583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75A7B76"/>
    <w:multiLevelType w:val="hybridMultilevel"/>
    <w:tmpl w:val="CE3094B4"/>
    <w:lvl w:ilvl="0" w:tplc="495A964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79B44486"/>
    <w:multiLevelType w:val="hybridMultilevel"/>
    <w:tmpl w:val="0E4609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C7308C3"/>
    <w:multiLevelType w:val="hybridMultilevel"/>
    <w:tmpl w:val="2EFE14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9"/>
  </w:num>
  <w:num w:numId="4">
    <w:abstractNumId w:val="15"/>
  </w:num>
  <w:num w:numId="5">
    <w:abstractNumId w:val="22"/>
  </w:num>
  <w:num w:numId="6">
    <w:abstractNumId w:val="11"/>
  </w:num>
  <w:num w:numId="7">
    <w:abstractNumId w:val="2"/>
  </w:num>
  <w:num w:numId="8">
    <w:abstractNumId w:val="4"/>
  </w:num>
  <w:num w:numId="9">
    <w:abstractNumId w:val="3"/>
  </w:num>
  <w:num w:numId="10">
    <w:abstractNumId w:val="20"/>
  </w:num>
  <w:num w:numId="11">
    <w:abstractNumId w:val="16"/>
  </w:num>
  <w:num w:numId="12">
    <w:abstractNumId w:val="9"/>
  </w:num>
  <w:num w:numId="13">
    <w:abstractNumId w:val="5"/>
  </w:num>
  <w:num w:numId="14">
    <w:abstractNumId w:val="1"/>
  </w:num>
  <w:num w:numId="15">
    <w:abstractNumId w:val="21"/>
  </w:num>
  <w:num w:numId="16">
    <w:abstractNumId w:val="14"/>
  </w:num>
  <w:num w:numId="17">
    <w:abstractNumId w:val="12"/>
  </w:num>
  <w:num w:numId="18">
    <w:abstractNumId w:val="13"/>
  </w:num>
  <w:num w:numId="19">
    <w:abstractNumId w:val="23"/>
  </w:num>
  <w:num w:numId="20">
    <w:abstractNumId w:val="7"/>
  </w:num>
  <w:num w:numId="21">
    <w:abstractNumId w:val="0"/>
  </w:num>
  <w:num w:numId="22">
    <w:abstractNumId w:val="6"/>
  </w:num>
  <w:num w:numId="23">
    <w:abstractNumId w:val="18"/>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6AC"/>
    <w:rsid w:val="000D3E44"/>
    <w:rsid w:val="000E1E9E"/>
    <w:rsid w:val="000E2E9C"/>
    <w:rsid w:val="0010054E"/>
    <w:rsid w:val="001A1FD1"/>
    <w:rsid w:val="001B666A"/>
    <w:rsid w:val="002A0856"/>
    <w:rsid w:val="002C7EFC"/>
    <w:rsid w:val="002F250A"/>
    <w:rsid w:val="00334773"/>
    <w:rsid w:val="003741F4"/>
    <w:rsid w:val="004536B7"/>
    <w:rsid w:val="00520C98"/>
    <w:rsid w:val="006839C3"/>
    <w:rsid w:val="006B6BE3"/>
    <w:rsid w:val="006D0568"/>
    <w:rsid w:val="0070598C"/>
    <w:rsid w:val="007E2BAA"/>
    <w:rsid w:val="008306AC"/>
    <w:rsid w:val="00830B55"/>
    <w:rsid w:val="00840F2C"/>
    <w:rsid w:val="008716D8"/>
    <w:rsid w:val="00884DCE"/>
    <w:rsid w:val="00954CFD"/>
    <w:rsid w:val="00987645"/>
    <w:rsid w:val="00993AF7"/>
    <w:rsid w:val="009C269B"/>
    <w:rsid w:val="009D3512"/>
    <w:rsid w:val="009F7240"/>
    <w:rsid w:val="00A17B7D"/>
    <w:rsid w:val="00A47855"/>
    <w:rsid w:val="00A51D10"/>
    <w:rsid w:val="00B10F7E"/>
    <w:rsid w:val="00B50825"/>
    <w:rsid w:val="00BA59DD"/>
    <w:rsid w:val="00BC521C"/>
    <w:rsid w:val="00BD78A9"/>
    <w:rsid w:val="00BE7E4E"/>
    <w:rsid w:val="00C467F2"/>
    <w:rsid w:val="00C63661"/>
    <w:rsid w:val="00CC3A7B"/>
    <w:rsid w:val="00D23D17"/>
    <w:rsid w:val="00D7256F"/>
    <w:rsid w:val="00DA38F9"/>
    <w:rsid w:val="00DE5239"/>
    <w:rsid w:val="00E0639B"/>
    <w:rsid w:val="00E87C3A"/>
    <w:rsid w:val="00E93B96"/>
    <w:rsid w:val="00F430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F6719"/>
  <w15:chartTrackingRefBased/>
  <w15:docId w15:val="{CA5C39B2-63B0-47E3-B6CF-3E5A94C8F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2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06A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306A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306A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306A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06A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306A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306AC"/>
  </w:style>
  <w:style w:type="character" w:styleId="Hipervnculo">
    <w:name w:val="Hyperlink"/>
    <w:basedOn w:val="Fuentedeprrafopredeter"/>
    <w:uiPriority w:val="99"/>
    <w:unhideWhenUsed/>
    <w:rsid w:val="008306A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8306AC"/>
    <w:rPr>
      <w:vertAlign w:val="superscript"/>
    </w:rPr>
  </w:style>
  <w:style w:type="paragraph" w:styleId="Textonotapie">
    <w:name w:val="footnote text"/>
    <w:basedOn w:val="Normal"/>
    <w:link w:val="TextonotapieCar"/>
    <w:uiPriority w:val="99"/>
    <w:unhideWhenUsed/>
    <w:rsid w:val="008306AC"/>
    <w:pPr>
      <w:spacing w:after="0" w:line="240" w:lineRule="auto"/>
    </w:pPr>
    <w:rPr>
      <w:sz w:val="20"/>
      <w:szCs w:val="20"/>
    </w:rPr>
  </w:style>
  <w:style w:type="character" w:customStyle="1" w:styleId="TextonotapieCar">
    <w:name w:val="Texto nota pie Car"/>
    <w:basedOn w:val="Fuentedeprrafopredeter"/>
    <w:link w:val="Textonotapie"/>
    <w:uiPriority w:val="99"/>
    <w:rsid w:val="008306AC"/>
    <w:rPr>
      <w:sz w:val="20"/>
      <w:szCs w:val="20"/>
    </w:rPr>
  </w:style>
  <w:style w:type="table" w:styleId="Tablaconcuadrcula">
    <w:name w:val="Table Grid"/>
    <w:basedOn w:val="Tablanormal"/>
    <w:uiPriority w:val="39"/>
    <w:rsid w:val="00830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306AC"/>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8306AC"/>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8306AC"/>
    <w:rPr>
      <w:sz w:val="16"/>
      <w:szCs w:val="16"/>
    </w:rPr>
  </w:style>
  <w:style w:type="paragraph" w:styleId="Textocomentario">
    <w:name w:val="annotation text"/>
    <w:basedOn w:val="Normal"/>
    <w:link w:val="TextocomentarioCar"/>
    <w:uiPriority w:val="99"/>
    <w:semiHidden/>
    <w:unhideWhenUsed/>
    <w:rsid w:val="008306A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06AC"/>
    <w:rPr>
      <w:sz w:val="20"/>
      <w:szCs w:val="20"/>
    </w:rPr>
  </w:style>
  <w:style w:type="paragraph" w:styleId="Asuntodelcomentario">
    <w:name w:val="annotation subject"/>
    <w:basedOn w:val="Textocomentario"/>
    <w:next w:val="Textocomentario"/>
    <w:link w:val="AsuntodelcomentarioCar"/>
    <w:uiPriority w:val="99"/>
    <w:semiHidden/>
    <w:unhideWhenUsed/>
    <w:rsid w:val="008306AC"/>
    <w:rPr>
      <w:b/>
      <w:bCs/>
    </w:rPr>
  </w:style>
  <w:style w:type="character" w:customStyle="1" w:styleId="AsuntodelcomentarioCar">
    <w:name w:val="Asunto del comentario Car"/>
    <w:basedOn w:val="TextocomentarioCar"/>
    <w:link w:val="Asuntodelcomentario"/>
    <w:uiPriority w:val="99"/>
    <w:semiHidden/>
    <w:rsid w:val="008306AC"/>
    <w:rPr>
      <w:b/>
      <w:bCs/>
      <w:sz w:val="20"/>
      <w:szCs w:val="20"/>
    </w:rPr>
  </w:style>
  <w:style w:type="table" w:styleId="Tablanormal1">
    <w:name w:val="Plain Table 1"/>
    <w:basedOn w:val="Tablanormal"/>
    <w:uiPriority w:val="41"/>
    <w:rsid w:val="001B66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892684">
      <w:bodyDiv w:val="1"/>
      <w:marLeft w:val="0"/>
      <w:marRight w:val="0"/>
      <w:marTop w:val="0"/>
      <w:marBottom w:val="0"/>
      <w:divBdr>
        <w:top w:val="none" w:sz="0" w:space="0" w:color="auto"/>
        <w:left w:val="none" w:sz="0" w:space="0" w:color="auto"/>
        <w:bottom w:val="none" w:sz="0" w:space="0" w:color="auto"/>
        <w:right w:val="none" w:sz="0" w:space="0" w:color="auto"/>
      </w:divBdr>
    </w:div>
    <w:div w:id="520360507">
      <w:bodyDiv w:val="1"/>
      <w:marLeft w:val="0"/>
      <w:marRight w:val="0"/>
      <w:marTop w:val="0"/>
      <w:marBottom w:val="0"/>
      <w:divBdr>
        <w:top w:val="none" w:sz="0" w:space="0" w:color="auto"/>
        <w:left w:val="none" w:sz="0" w:space="0" w:color="auto"/>
        <w:bottom w:val="none" w:sz="0" w:space="0" w:color="auto"/>
        <w:right w:val="none" w:sz="0" w:space="0" w:color="auto"/>
      </w:divBdr>
    </w:div>
    <w:div w:id="1096367694">
      <w:bodyDiv w:val="1"/>
      <w:marLeft w:val="0"/>
      <w:marRight w:val="0"/>
      <w:marTop w:val="0"/>
      <w:marBottom w:val="0"/>
      <w:divBdr>
        <w:top w:val="none" w:sz="0" w:space="0" w:color="auto"/>
        <w:left w:val="none" w:sz="0" w:space="0" w:color="auto"/>
        <w:bottom w:val="none" w:sz="0" w:space="0" w:color="auto"/>
        <w:right w:val="none" w:sz="0" w:space="0" w:color="auto"/>
      </w:divBdr>
    </w:div>
    <w:div w:id="1260992401">
      <w:bodyDiv w:val="1"/>
      <w:marLeft w:val="0"/>
      <w:marRight w:val="0"/>
      <w:marTop w:val="0"/>
      <w:marBottom w:val="0"/>
      <w:divBdr>
        <w:top w:val="none" w:sz="0" w:space="0" w:color="auto"/>
        <w:left w:val="none" w:sz="0" w:space="0" w:color="auto"/>
        <w:bottom w:val="none" w:sz="0" w:space="0" w:color="auto"/>
        <w:right w:val="none" w:sz="0" w:space="0" w:color="auto"/>
      </w:divBdr>
    </w:div>
    <w:div w:id="126599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INFOEM/art_92_xxxiii.web?token=03AGdBq276YAXTFH9xgSKuGLy9jxKYVO21ER2ikLTEyxAPKs2uf5CYSU5bfFxNpZwMiI3rPXgdyAvNOrTxAHDe-_Cs8RwYWXUYW2NNnw_w7on307rLcBF0c6quIAxKmWvwjm0LG_5iLb8y-blPUFNMcRpEX7QPRcPsnRICruWNLix9jfS0S8NzcMklstnHjLQbwMRySkmJss256_DXruRvbXDRxoFpvtltKwH5x-mgaTzUUphRKciFYdvrSamNrkXZaUYVcFHph84TcU10PJpqspZZuRsXbhi5dgzTq68BAQxfH4u0vd101eO8MwREOcEdBhMvZkxDZK9J4S2deVXYfnC777G7oy6lkkJgMH8vTH2RXYFSknkGJNqFm_8EMWfWRw1M4S21s5zWwjwACsH6gt-YjhcOZOrVBTgsOktTeLbDy_VuMs0Fr4Y135kPjEEYBqkW1USdoNCstK9nW1T3RnMGDsqdokxzC2Ujl5VOP-z4f9EdWqrgWZQtlqSO3_l19es25K8sk7DD" TargetMode="External"/><Relationship Id="rId13" Type="http://schemas.openxmlformats.org/officeDocument/2006/relationships/hyperlink" Target="https://www.infoem.org.mx/es/contenido/conocenos/publicaciones"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infoem.org.mx/es/nodc/806/" TargetMode="Externa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foem.org.mx/es/contenido/conocenos/publicacion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istemas2.infoem.org.mx/agendatransparenci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pomex.org.mx/ipo3/lgt/indice/INFOEM/art_92_xlv_a.web?token=03AGdBq24ubg02Q65YUP5YDVEEm0nBCY-kg3j2K4vKh7gWSJ6_aBlBnTfrxsHKg6JroR4n2EHlGCsUcdwy29BjA3dXgoR_ZRTKVrccRgAT0iL-M2Ur5ppkV0KrJoghYyzjSjNTzyEhzrliGIl9bR_pGjd5xWGP1CxmTuigu78Ni16anNX2N6mAI515mPPj_0yh4NyRsMQIqKFLOTm4xVMFofo2WIWW56jRxrbwV9d_XxUdVke_whJreyMvATKjCEdWD73TvseyfBg99rnnnYGYDbc8YTmD1G9mCNiXI0SjWDklWaQ1lU8hjV11MpkiZFf9fiqjd6iVHI5Lf1lpEsv2V3s4ks4plqMDlzzAyvXodBlso-2tmoxdtwFIOvFyFQH2Ni3VFCpWUV7WFK5AHk3fb-GFhzOzOlmgEF4KxxM-YvepWvJMXNrfixJ-tOIq5yT2VondU0gKNFIlerI_nwVIjllM2ZEcUpKZ72cbcQRLVkm2z-uFcNNv-bgWWcEKEMYcGRsPYtyaOJIq" TargetMode="External"/><Relationship Id="rId14" Type="http://schemas.openxmlformats.org/officeDocument/2006/relationships/hyperlink" Target="https://www.infoem.org.mx/es/node/806/"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567</TotalTime>
  <Pages>51</Pages>
  <Words>12122</Words>
  <Characters>66672</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libni</cp:lastModifiedBy>
  <cp:revision>6</cp:revision>
  <dcterms:created xsi:type="dcterms:W3CDTF">2022-10-10T19:07:00Z</dcterms:created>
  <dcterms:modified xsi:type="dcterms:W3CDTF">2022-11-03T02:03:00Z</dcterms:modified>
</cp:coreProperties>
</file>