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25150" w:rsidRDefault="009F09BC" w:rsidP="009F09BC">
      <w:pPr>
        <w:tabs>
          <w:tab w:val="left" w:pos="3465"/>
        </w:tabs>
        <w:spacing w:before="240" w:after="360" w:line="360" w:lineRule="auto"/>
        <w:jc w:val="both"/>
        <w:rPr>
          <w:rFonts w:ascii="Palatino Linotype" w:hAnsi="Palatino Linotype"/>
        </w:rPr>
      </w:pPr>
      <w:bookmarkStart w:id="0" w:name="_GoBack"/>
      <w:bookmarkEnd w:id="0"/>
      <w:r w:rsidRPr="00F2515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53FB7" w:rsidRPr="00F25150">
        <w:rPr>
          <w:rFonts w:ascii="Palatino Linotype" w:hAnsi="Palatino Linotype"/>
        </w:rPr>
        <w:t>dieciocho</w:t>
      </w:r>
      <w:r w:rsidR="006A04B6" w:rsidRPr="00F25150">
        <w:rPr>
          <w:rFonts w:ascii="Palatino Linotype" w:hAnsi="Palatino Linotype"/>
        </w:rPr>
        <w:t xml:space="preserve"> (</w:t>
      </w:r>
      <w:r w:rsidR="00053FB7" w:rsidRPr="00F25150">
        <w:rPr>
          <w:rFonts w:ascii="Palatino Linotype" w:hAnsi="Palatino Linotype"/>
        </w:rPr>
        <w:t>18</w:t>
      </w:r>
      <w:r w:rsidRPr="00F25150">
        <w:rPr>
          <w:rFonts w:ascii="Palatino Linotype" w:hAnsi="Palatino Linotype"/>
        </w:rPr>
        <w:t xml:space="preserve">) de </w:t>
      </w:r>
      <w:r w:rsidR="00053FB7" w:rsidRPr="00F25150">
        <w:rPr>
          <w:rFonts w:ascii="Palatino Linotype" w:hAnsi="Palatino Linotype"/>
        </w:rPr>
        <w:t>may</w:t>
      </w:r>
      <w:r w:rsidR="00DE2F5A" w:rsidRPr="00F25150">
        <w:rPr>
          <w:rFonts w:ascii="Palatino Linotype" w:hAnsi="Palatino Linotype"/>
        </w:rPr>
        <w:t>o</w:t>
      </w:r>
      <w:r w:rsidR="00E61C13" w:rsidRPr="00F25150">
        <w:rPr>
          <w:rFonts w:ascii="Palatino Linotype" w:hAnsi="Palatino Linotype"/>
        </w:rPr>
        <w:t xml:space="preserve"> de dos mil veintidós</w:t>
      </w:r>
      <w:r w:rsidRPr="00F25150">
        <w:rPr>
          <w:rFonts w:ascii="Palatino Linotype" w:hAnsi="Palatino Linotype"/>
        </w:rPr>
        <w:t>.</w:t>
      </w:r>
    </w:p>
    <w:p w:rsidR="009F09BC" w:rsidRPr="00F25150" w:rsidRDefault="009F09BC" w:rsidP="009F09BC">
      <w:pPr>
        <w:spacing w:before="240" w:after="360" w:line="360" w:lineRule="auto"/>
        <w:jc w:val="both"/>
        <w:rPr>
          <w:rFonts w:ascii="Palatino Linotype" w:hAnsi="Palatino Linotype"/>
          <w:b/>
        </w:rPr>
      </w:pPr>
      <w:r w:rsidRPr="00F25150">
        <w:rPr>
          <w:rFonts w:ascii="Palatino Linotype" w:hAnsi="Palatino Linotype"/>
          <w:b/>
        </w:rPr>
        <w:t>VISTO</w:t>
      </w:r>
      <w:r w:rsidRPr="00F25150">
        <w:rPr>
          <w:rFonts w:ascii="Palatino Linotype" w:hAnsi="Palatino Linotype"/>
        </w:rPr>
        <w:t xml:space="preserve"> </w:t>
      </w:r>
      <w:r w:rsidR="008A699B" w:rsidRPr="00F25150">
        <w:rPr>
          <w:rFonts w:ascii="Palatino Linotype" w:hAnsi="Palatino Linotype"/>
        </w:rPr>
        <w:t>e</w:t>
      </w:r>
      <w:r w:rsidRPr="00F25150">
        <w:rPr>
          <w:rFonts w:ascii="Palatino Linotype" w:hAnsi="Palatino Linotype"/>
        </w:rPr>
        <w:t xml:space="preserve">l expediente electrónico formado con motivo del recurso de revisión </w:t>
      </w:r>
      <w:r w:rsidR="002D294C" w:rsidRPr="00F25150">
        <w:rPr>
          <w:rFonts w:ascii="Palatino Linotype" w:hAnsi="Palatino Linotype"/>
          <w:b/>
        </w:rPr>
        <w:t>01073/INFOEM/IP/RR/2022</w:t>
      </w:r>
      <w:r w:rsidRPr="00F25150">
        <w:rPr>
          <w:rFonts w:ascii="Palatino Linotype" w:hAnsi="Palatino Linotype"/>
        </w:rPr>
        <w:t>,</w:t>
      </w:r>
      <w:r w:rsidRPr="00F25150">
        <w:rPr>
          <w:rFonts w:ascii="Palatino Linotype" w:hAnsi="Palatino Linotype" w:cs="Arial"/>
          <w:b/>
          <w:bCs/>
        </w:rPr>
        <w:t xml:space="preserve"> </w:t>
      </w:r>
      <w:r w:rsidRPr="00F25150">
        <w:rPr>
          <w:rFonts w:ascii="Palatino Linotype" w:hAnsi="Palatino Linotype"/>
        </w:rPr>
        <w:t xml:space="preserve">promovido por </w:t>
      </w:r>
      <w:r w:rsidR="003A5811">
        <w:rPr>
          <w:rFonts w:ascii="Palatino Linotype" w:hAnsi="Palatino Linotype"/>
          <w:b/>
        </w:rPr>
        <w:t xml:space="preserve">XXXX </w:t>
      </w:r>
      <w:proofErr w:type="spellStart"/>
      <w:r w:rsidR="003A5811">
        <w:rPr>
          <w:rFonts w:ascii="Palatino Linotype" w:hAnsi="Palatino Linotype"/>
          <w:b/>
        </w:rPr>
        <w:t>XXXX</w:t>
      </w:r>
      <w:proofErr w:type="spellEnd"/>
      <w:r w:rsidR="003A5811">
        <w:rPr>
          <w:rFonts w:ascii="Palatino Linotype" w:hAnsi="Palatino Linotype"/>
          <w:b/>
        </w:rPr>
        <w:t xml:space="preserve"> </w:t>
      </w:r>
      <w:proofErr w:type="spellStart"/>
      <w:r w:rsidR="003A5811">
        <w:rPr>
          <w:rFonts w:ascii="Palatino Linotype" w:hAnsi="Palatino Linotype"/>
          <w:b/>
        </w:rPr>
        <w:t>XXXX</w:t>
      </w:r>
      <w:proofErr w:type="spellEnd"/>
      <w:r w:rsidRPr="00F25150">
        <w:rPr>
          <w:rFonts w:ascii="Palatino Linotype" w:hAnsi="Palatino Linotype"/>
        </w:rPr>
        <w:t xml:space="preserve">, a quien en lo sucesivo se le identificará como </w:t>
      </w:r>
      <w:r w:rsidRPr="00F25150">
        <w:rPr>
          <w:rFonts w:ascii="Palatino Linotype" w:hAnsi="Palatino Linotype"/>
          <w:b/>
        </w:rPr>
        <w:t>EL RECURRENTE</w:t>
      </w:r>
      <w:r w:rsidRPr="00F25150">
        <w:rPr>
          <w:rFonts w:ascii="Palatino Linotype" w:hAnsi="Palatino Linotype" w:cs="Arial"/>
        </w:rPr>
        <w:t>, en contra de la respuesta de</w:t>
      </w:r>
      <w:r w:rsidR="002D294C" w:rsidRPr="00F25150">
        <w:rPr>
          <w:rFonts w:ascii="Palatino Linotype" w:hAnsi="Palatino Linotype" w:cs="Arial"/>
        </w:rPr>
        <w:t xml:space="preserve"> </w:t>
      </w:r>
      <w:r w:rsidRPr="00F25150">
        <w:rPr>
          <w:rFonts w:ascii="Palatino Linotype" w:hAnsi="Palatino Linotype" w:cs="Arial"/>
        </w:rPr>
        <w:t>l</w:t>
      </w:r>
      <w:r w:rsidR="002D294C" w:rsidRPr="00F25150">
        <w:rPr>
          <w:rFonts w:ascii="Palatino Linotype" w:hAnsi="Palatino Linotype" w:cs="Arial"/>
        </w:rPr>
        <w:t>a</w:t>
      </w:r>
      <w:r w:rsidRPr="00F25150">
        <w:rPr>
          <w:rFonts w:ascii="Palatino Linotype" w:hAnsi="Palatino Linotype" w:cs="Arial"/>
        </w:rPr>
        <w:t xml:space="preserve"> </w:t>
      </w:r>
      <w:r w:rsidR="002D294C" w:rsidRPr="00F25150">
        <w:rPr>
          <w:rFonts w:ascii="Palatino Linotype" w:hAnsi="Palatino Linotype" w:cs="Arial"/>
          <w:b/>
        </w:rPr>
        <w:t>Fiscalía General de Justicia del Estado de México</w:t>
      </w:r>
      <w:r w:rsidRPr="00F25150">
        <w:rPr>
          <w:rFonts w:ascii="Palatino Linotype" w:hAnsi="Palatino Linotype" w:cs="Arial"/>
          <w:b/>
        </w:rPr>
        <w:t>,</w:t>
      </w:r>
      <w:r w:rsidRPr="00F25150">
        <w:rPr>
          <w:rFonts w:ascii="Palatino Linotype" w:hAnsi="Palatino Linotype"/>
          <w:b/>
        </w:rPr>
        <w:t xml:space="preserve"> </w:t>
      </w:r>
      <w:r w:rsidRPr="00F25150">
        <w:rPr>
          <w:rFonts w:ascii="Palatino Linotype" w:hAnsi="Palatino Linotype"/>
        </w:rPr>
        <w:t>en lo sucesivo el</w:t>
      </w:r>
      <w:r w:rsidRPr="00F25150">
        <w:rPr>
          <w:rFonts w:ascii="Palatino Linotype" w:hAnsi="Palatino Linotype"/>
          <w:b/>
        </w:rPr>
        <w:t xml:space="preserve"> SUJETO OBLIGADO</w:t>
      </w:r>
      <w:r w:rsidRPr="00F25150">
        <w:rPr>
          <w:rFonts w:ascii="Palatino Linotype" w:hAnsi="Palatino Linotype"/>
        </w:rPr>
        <w:t>, se procede a dictar la presente resolución, con base en los siguientes:</w:t>
      </w:r>
    </w:p>
    <w:p w:rsidR="009F09BC" w:rsidRPr="00F25150"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F25150">
        <w:rPr>
          <w:rFonts w:ascii="Palatino Linotype" w:hAnsi="Palatino Linotype"/>
          <w:b/>
          <w:color w:val="000000" w:themeColor="text1"/>
          <w:sz w:val="24"/>
          <w:szCs w:val="24"/>
        </w:rPr>
        <w:t>ANTECEDENTES</w:t>
      </w:r>
      <w:bookmarkEnd w:id="1"/>
      <w:bookmarkEnd w:id="2"/>
      <w:bookmarkEnd w:id="3"/>
    </w:p>
    <w:p w:rsidR="009F09BC" w:rsidRPr="00F25150"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F25150">
        <w:rPr>
          <w:rFonts w:ascii="Palatino Linotype" w:eastAsia="Calibri" w:hAnsi="Palatino Linotype" w:cs="Arial"/>
          <w:lang w:val="es-ES"/>
        </w:rPr>
        <w:t xml:space="preserve">El día </w:t>
      </w:r>
      <w:r w:rsidR="00E61C13" w:rsidRPr="00F25150">
        <w:rPr>
          <w:rFonts w:ascii="Palatino Linotype" w:eastAsia="Calibri" w:hAnsi="Palatino Linotype" w:cs="Arial"/>
          <w:lang w:val="es-ES"/>
        </w:rPr>
        <w:t>nueve</w:t>
      </w:r>
      <w:r w:rsidRPr="00F25150">
        <w:rPr>
          <w:rFonts w:ascii="Palatino Linotype" w:eastAsia="Calibri" w:hAnsi="Palatino Linotype" w:cs="Arial"/>
          <w:lang w:val="es-ES"/>
        </w:rPr>
        <w:t xml:space="preserve"> (</w:t>
      </w:r>
      <w:r w:rsidR="002D294C" w:rsidRPr="00F25150">
        <w:rPr>
          <w:rFonts w:ascii="Palatino Linotype" w:eastAsia="Calibri" w:hAnsi="Palatino Linotype" w:cs="Arial"/>
          <w:lang w:val="es-ES"/>
        </w:rPr>
        <w:t>0</w:t>
      </w:r>
      <w:r w:rsidR="00E61C13" w:rsidRPr="00F25150">
        <w:rPr>
          <w:rFonts w:ascii="Palatino Linotype" w:eastAsia="Calibri" w:hAnsi="Palatino Linotype" w:cs="Arial"/>
          <w:lang w:val="es-ES"/>
        </w:rPr>
        <w:t>9</w:t>
      </w:r>
      <w:r w:rsidRPr="00F25150">
        <w:rPr>
          <w:rFonts w:ascii="Palatino Linotype" w:eastAsia="Calibri" w:hAnsi="Palatino Linotype" w:cs="Arial"/>
          <w:lang w:val="es-ES"/>
        </w:rPr>
        <w:t xml:space="preserve">) de </w:t>
      </w:r>
      <w:r w:rsidR="002D294C" w:rsidRPr="00F25150">
        <w:rPr>
          <w:rFonts w:ascii="Palatino Linotype" w:eastAsia="Calibri" w:hAnsi="Palatino Linotype" w:cs="Arial"/>
          <w:lang w:val="es-ES"/>
        </w:rPr>
        <w:t>febre</w:t>
      </w:r>
      <w:r w:rsidR="00E61C13" w:rsidRPr="00F25150">
        <w:rPr>
          <w:rFonts w:ascii="Palatino Linotype" w:eastAsia="Calibri" w:hAnsi="Palatino Linotype" w:cs="Arial"/>
          <w:lang w:val="es-ES"/>
        </w:rPr>
        <w:t>ro de dos mil veintidós</w:t>
      </w:r>
      <w:r w:rsidRPr="00F25150">
        <w:rPr>
          <w:rFonts w:ascii="Palatino Linotype" w:hAnsi="Palatino Linotype"/>
          <w:b/>
        </w:rPr>
        <w:t xml:space="preserve">, </w:t>
      </w:r>
      <w:r w:rsidRPr="00F25150">
        <w:rPr>
          <w:rFonts w:ascii="Palatino Linotype" w:eastAsia="Calibri" w:hAnsi="Palatino Linotype" w:cs="Arial"/>
          <w:lang w:val="es-ES"/>
        </w:rPr>
        <w:t xml:space="preserve">se presentó ante el </w:t>
      </w:r>
      <w:r w:rsidRPr="00F25150">
        <w:rPr>
          <w:rFonts w:ascii="Palatino Linotype" w:eastAsia="Calibri" w:hAnsi="Palatino Linotype" w:cs="Arial"/>
          <w:b/>
          <w:lang w:val="es-ES"/>
        </w:rPr>
        <w:t>SUJETO OBLIGADO</w:t>
      </w:r>
      <w:r w:rsidRPr="00F25150">
        <w:rPr>
          <w:rFonts w:ascii="Palatino Linotype" w:eastAsia="Calibri" w:hAnsi="Palatino Linotype" w:cs="Arial"/>
        </w:rPr>
        <w:t xml:space="preserve"> vía </w:t>
      </w:r>
      <w:r w:rsidR="008A699B" w:rsidRPr="00F25150">
        <w:rPr>
          <w:rFonts w:ascii="Palatino Linotype" w:eastAsia="Calibri" w:hAnsi="Palatino Linotype" w:cs="Arial"/>
          <w:lang w:val="es-ES"/>
        </w:rPr>
        <w:t>SAIMEX, la solicitud</w:t>
      </w:r>
      <w:r w:rsidRPr="00F25150">
        <w:rPr>
          <w:rFonts w:ascii="Palatino Linotype" w:eastAsia="Calibri" w:hAnsi="Palatino Linotype" w:cs="Arial"/>
          <w:lang w:val="es-ES"/>
        </w:rPr>
        <w:t xml:space="preserve"> de información pública</w:t>
      </w:r>
      <w:r w:rsidR="008A699B" w:rsidRPr="00F25150">
        <w:rPr>
          <w:rFonts w:ascii="Palatino Linotype" w:eastAsia="Calibri" w:hAnsi="Palatino Linotype" w:cs="Arial"/>
          <w:lang w:val="es-ES"/>
        </w:rPr>
        <w:t xml:space="preserve"> registrada</w:t>
      </w:r>
      <w:r w:rsidRPr="00F25150">
        <w:rPr>
          <w:rFonts w:ascii="Palatino Linotype" w:eastAsia="Calibri" w:hAnsi="Palatino Linotype" w:cs="Arial"/>
          <w:lang w:val="es-ES"/>
        </w:rPr>
        <w:t xml:space="preserve"> con </w:t>
      </w:r>
      <w:r w:rsidR="008A699B" w:rsidRPr="00F25150">
        <w:rPr>
          <w:rFonts w:ascii="Palatino Linotype" w:eastAsia="Calibri" w:hAnsi="Palatino Linotype" w:cs="Arial"/>
          <w:lang w:val="es-ES"/>
        </w:rPr>
        <w:t xml:space="preserve">el </w:t>
      </w:r>
      <w:r w:rsidRPr="00F25150">
        <w:rPr>
          <w:rFonts w:ascii="Palatino Linotype" w:eastAsia="Calibri" w:hAnsi="Palatino Linotype" w:cs="Arial"/>
          <w:lang w:val="es-ES"/>
        </w:rPr>
        <w:t>número</w:t>
      </w:r>
      <w:r w:rsidRPr="00F25150">
        <w:rPr>
          <w:rFonts w:ascii="Palatino Linotype" w:hAnsi="Palatino Linotype"/>
          <w:b/>
          <w:bCs/>
          <w:color w:val="000000" w:themeColor="text1"/>
        </w:rPr>
        <w:t xml:space="preserve"> </w:t>
      </w:r>
      <w:r w:rsidR="002D294C" w:rsidRPr="00F25150">
        <w:rPr>
          <w:rFonts w:ascii="Palatino Linotype" w:hAnsi="Palatino Linotype"/>
          <w:b/>
          <w:bCs/>
          <w:color w:val="000000" w:themeColor="text1"/>
        </w:rPr>
        <w:t>00100/FGJ/IP/2022</w:t>
      </w:r>
      <w:r w:rsidRPr="00F25150">
        <w:rPr>
          <w:rFonts w:ascii="Palatino Linotype" w:hAnsi="Palatino Linotype"/>
          <w:b/>
          <w:bCs/>
          <w:color w:val="000000" w:themeColor="text1"/>
        </w:rPr>
        <w:t xml:space="preserve">; </w:t>
      </w:r>
      <w:r w:rsidRPr="00F25150">
        <w:rPr>
          <w:rFonts w:ascii="Palatino Linotype" w:eastAsia="Calibri" w:hAnsi="Palatino Linotype" w:cs="Arial"/>
          <w:lang w:val="es-ES"/>
        </w:rPr>
        <w:t>mediante las cuales se solicitó la siguiente información:</w:t>
      </w:r>
    </w:p>
    <w:p w:rsidR="008A699B" w:rsidRPr="00F25150"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F25150" w:rsidRDefault="008A699B" w:rsidP="008A699B">
      <w:pPr>
        <w:pStyle w:val="Prrafodelista"/>
        <w:spacing w:line="360" w:lineRule="auto"/>
        <w:ind w:left="426" w:right="474"/>
        <w:jc w:val="both"/>
        <w:rPr>
          <w:rFonts w:ascii="Palatino Linotype" w:hAnsi="Palatino Linotype"/>
          <w:i/>
        </w:rPr>
      </w:pPr>
      <w:r w:rsidRPr="00F25150">
        <w:rPr>
          <w:rFonts w:ascii="Palatino Linotype" w:hAnsi="Palatino Linotype"/>
          <w:i/>
        </w:rPr>
        <w:t>“</w:t>
      </w:r>
      <w:r w:rsidR="00804DAA" w:rsidRPr="00F25150">
        <w:rPr>
          <w:rFonts w:ascii="Palatino Linotype" w:hAnsi="Palatino Linotype"/>
          <w:i/>
        </w:rPr>
        <w:t>Con fundamento en el artículo 4 de la Ley de Transparencia y Acceso a la Información Pública del Estado de México y Municipios: DE MANERA DETALLADA (POR MUNICIPIO, REGIÓN, ZONA, ETC) REQUIERO CONOCER EL INDICE DELICTIVO EN EL ESTADO DE MÉXICO.</w:t>
      </w:r>
      <w:r w:rsidRPr="00F25150">
        <w:rPr>
          <w:rFonts w:ascii="Palatino Linotype" w:hAnsi="Palatino Linotype"/>
          <w:i/>
        </w:rPr>
        <w:t>”</w:t>
      </w:r>
    </w:p>
    <w:p w:rsidR="008A699B" w:rsidRPr="00F25150" w:rsidRDefault="008A699B" w:rsidP="009F09BC">
      <w:pPr>
        <w:pStyle w:val="Prrafodelista"/>
        <w:spacing w:line="360" w:lineRule="auto"/>
        <w:ind w:left="851" w:right="34"/>
        <w:jc w:val="both"/>
        <w:rPr>
          <w:rFonts w:ascii="Palatino Linotype" w:hAnsi="Palatino Linotype"/>
        </w:rPr>
      </w:pPr>
    </w:p>
    <w:p w:rsidR="009F09BC" w:rsidRPr="00F25150" w:rsidRDefault="009F09BC" w:rsidP="009F09BC">
      <w:pPr>
        <w:pStyle w:val="Prrafodelista"/>
        <w:numPr>
          <w:ilvl w:val="0"/>
          <w:numId w:val="23"/>
        </w:numPr>
        <w:spacing w:line="360" w:lineRule="auto"/>
        <w:ind w:left="851" w:right="34"/>
        <w:jc w:val="both"/>
        <w:rPr>
          <w:rFonts w:ascii="Palatino Linotype" w:hAnsi="Palatino Linotype"/>
        </w:rPr>
      </w:pPr>
      <w:r w:rsidRPr="00F25150">
        <w:rPr>
          <w:rFonts w:ascii="Palatino Linotype" w:eastAsia="Times New Roman" w:hAnsi="Palatino Linotype" w:cs="Arial"/>
          <w:lang w:val="es-ES"/>
        </w:rPr>
        <w:t>Se eligió como modalidad de entrega de la información</w:t>
      </w:r>
      <w:r w:rsidRPr="00F25150">
        <w:rPr>
          <w:rFonts w:ascii="Palatino Linotype" w:hAnsi="Palatino Linotype"/>
        </w:rPr>
        <w:t xml:space="preserve">: A través del </w:t>
      </w:r>
      <w:r w:rsidRPr="00F25150">
        <w:rPr>
          <w:rFonts w:ascii="Palatino Linotype" w:hAnsi="Palatino Linotype"/>
          <w:b/>
        </w:rPr>
        <w:t>SAIMEX</w:t>
      </w:r>
    </w:p>
    <w:p w:rsidR="009F09BC" w:rsidRPr="00F25150" w:rsidRDefault="00E61C13" w:rsidP="00E61C13">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F25150">
        <w:rPr>
          <w:rFonts w:ascii="Palatino Linotype" w:hAnsi="Palatino Linotype" w:cs="Arial"/>
          <w:color w:val="000000" w:themeColor="text1"/>
        </w:rPr>
        <w:lastRenderedPageBreak/>
        <w:t>El diez</w:t>
      </w:r>
      <w:r w:rsidR="009F09BC" w:rsidRPr="00F25150">
        <w:rPr>
          <w:rFonts w:ascii="Palatino Linotype" w:hAnsi="Palatino Linotype" w:cs="Arial"/>
          <w:color w:val="000000" w:themeColor="text1"/>
        </w:rPr>
        <w:t xml:space="preserve"> (</w:t>
      </w:r>
      <w:r w:rsidR="008A699B" w:rsidRPr="00F25150">
        <w:rPr>
          <w:rFonts w:ascii="Palatino Linotype" w:hAnsi="Palatino Linotype" w:cs="Arial"/>
          <w:color w:val="000000" w:themeColor="text1"/>
        </w:rPr>
        <w:t>1</w:t>
      </w:r>
      <w:r w:rsidRPr="00F25150">
        <w:rPr>
          <w:rFonts w:ascii="Palatino Linotype" w:hAnsi="Palatino Linotype" w:cs="Arial"/>
          <w:color w:val="000000" w:themeColor="text1"/>
        </w:rPr>
        <w:t>0</w:t>
      </w:r>
      <w:r w:rsidR="009F09BC" w:rsidRPr="00F25150">
        <w:rPr>
          <w:rFonts w:ascii="Palatino Linotype" w:hAnsi="Palatino Linotype" w:cs="Arial"/>
          <w:color w:val="000000" w:themeColor="text1"/>
        </w:rPr>
        <w:t xml:space="preserve">) de </w:t>
      </w:r>
      <w:r w:rsidRPr="00F25150">
        <w:rPr>
          <w:rFonts w:ascii="Palatino Linotype" w:hAnsi="Palatino Linotype" w:cs="Arial"/>
          <w:color w:val="000000" w:themeColor="text1"/>
        </w:rPr>
        <w:t>febre</w:t>
      </w:r>
      <w:r w:rsidR="002C4997" w:rsidRPr="00F25150">
        <w:rPr>
          <w:rFonts w:ascii="Palatino Linotype" w:hAnsi="Palatino Linotype" w:cs="Arial"/>
          <w:color w:val="000000" w:themeColor="text1"/>
        </w:rPr>
        <w:t>ro de dos mil veintidós</w:t>
      </w:r>
      <w:r w:rsidR="009F09BC" w:rsidRPr="00F25150">
        <w:rPr>
          <w:rFonts w:ascii="Palatino Linotype" w:hAnsi="Palatino Linotype" w:cs="Arial"/>
          <w:color w:val="000000" w:themeColor="text1"/>
        </w:rPr>
        <w:t xml:space="preserve">, el </w:t>
      </w:r>
      <w:r w:rsidR="009F09BC" w:rsidRPr="00F25150">
        <w:rPr>
          <w:rFonts w:ascii="Palatino Linotype" w:hAnsi="Palatino Linotype" w:cs="Arial"/>
          <w:b/>
          <w:color w:val="000000" w:themeColor="text1"/>
        </w:rPr>
        <w:t>SUJETO OBLIGADO,</w:t>
      </w:r>
      <w:r w:rsidR="009F09BC" w:rsidRPr="00F25150">
        <w:rPr>
          <w:rFonts w:ascii="Palatino Linotype" w:hAnsi="Palatino Linotype" w:cs="Arial"/>
          <w:color w:val="000000" w:themeColor="text1"/>
        </w:rPr>
        <w:t xml:space="preserve"> dio respuesta a la solicitud de información </w:t>
      </w:r>
      <w:r w:rsidR="002C4997" w:rsidRPr="00F25150">
        <w:rPr>
          <w:rFonts w:ascii="Palatino Linotype" w:hAnsi="Palatino Linotype" w:cs="Arial"/>
          <w:color w:val="000000" w:themeColor="text1"/>
        </w:rPr>
        <w:t>en los siguientes términos</w:t>
      </w:r>
      <w:r w:rsidR="009F09BC" w:rsidRPr="00F25150">
        <w:rPr>
          <w:rFonts w:ascii="Palatino Linotype" w:hAnsi="Palatino Linotype" w:cs="Arial"/>
          <w:color w:val="000000" w:themeColor="text1"/>
        </w:rPr>
        <w:t>:</w:t>
      </w:r>
    </w:p>
    <w:p w:rsidR="00E61C13" w:rsidRPr="00F25150" w:rsidRDefault="00E61C13" w:rsidP="00E61C13">
      <w:pPr>
        <w:pStyle w:val="Prrafodelista"/>
        <w:tabs>
          <w:tab w:val="left" w:pos="0"/>
        </w:tabs>
        <w:spacing w:line="360" w:lineRule="auto"/>
        <w:ind w:left="0" w:right="51"/>
        <w:jc w:val="both"/>
        <w:rPr>
          <w:rFonts w:ascii="Palatino Linotype" w:hAnsi="Palatino Linotype" w:cs="Arial"/>
          <w:i/>
          <w:color w:val="000000" w:themeColor="text1"/>
        </w:rPr>
      </w:pPr>
    </w:p>
    <w:p w:rsidR="00804DAA" w:rsidRPr="00F25150"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r w:rsidRPr="00F25150">
        <w:rPr>
          <w:rFonts w:ascii="Palatino Linotype" w:hAnsi="Palatino Linotype" w:cs="Arial"/>
          <w:noProof/>
          <w:color w:val="000000" w:themeColor="text1"/>
          <w:lang w:val="es-MX" w:eastAsia="es-MX"/>
        </w:rPr>
        <w:drawing>
          <wp:inline distT="0" distB="0" distL="0" distR="0">
            <wp:extent cx="5310205" cy="1022350"/>
            <wp:effectExtent l="19050" t="19050" r="2413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436" cy="1025667"/>
                    </a:xfrm>
                    <a:prstGeom prst="rect">
                      <a:avLst/>
                    </a:prstGeom>
                    <a:noFill/>
                    <a:ln>
                      <a:solidFill>
                        <a:schemeClr val="tx1"/>
                      </a:solidFill>
                    </a:ln>
                  </pic:spPr>
                </pic:pic>
              </a:graphicData>
            </a:graphic>
          </wp:inline>
        </w:drawing>
      </w:r>
    </w:p>
    <w:p w:rsidR="00E61C13" w:rsidRPr="00F25150" w:rsidRDefault="00E61C13" w:rsidP="00E61C13">
      <w:pPr>
        <w:tabs>
          <w:tab w:val="left" w:pos="0"/>
        </w:tabs>
        <w:ind w:right="49"/>
        <w:jc w:val="center"/>
        <w:rPr>
          <w:rFonts w:ascii="Palatino Linotype" w:hAnsi="Palatino Linotype" w:cs="Arial"/>
          <w:b/>
          <w:color w:val="000000" w:themeColor="text1"/>
          <w:sz w:val="22"/>
          <w:lang w:val="es-MX"/>
        </w:rPr>
      </w:pPr>
    </w:p>
    <w:p w:rsidR="009F09BC" w:rsidRPr="00F25150"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25150">
        <w:rPr>
          <w:rFonts w:ascii="Palatino Linotype" w:eastAsia="Times New Roman" w:hAnsi="Palatino Linotype" w:cs="Arial"/>
          <w:color w:val="000000" w:themeColor="text1"/>
          <w:lang w:val="es-ES"/>
        </w:rPr>
        <w:t>E</w:t>
      </w:r>
      <w:r w:rsidR="002C4997" w:rsidRPr="00F25150">
        <w:rPr>
          <w:rFonts w:ascii="Palatino Linotype" w:eastAsia="Times New Roman" w:hAnsi="Palatino Linotype" w:cs="Arial"/>
          <w:color w:val="000000" w:themeColor="text1"/>
          <w:lang w:val="es-ES"/>
        </w:rPr>
        <w:t xml:space="preserve">l </w:t>
      </w:r>
      <w:r w:rsidR="00804DAA" w:rsidRPr="00F25150">
        <w:rPr>
          <w:rFonts w:ascii="Palatino Linotype" w:eastAsia="Times New Roman" w:hAnsi="Palatino Linotype" w:cs="Arial"/>
          <w:color w:val="000000" w:themeColor="text1"/>
          <w:lang w:val="es-ES"/>
        </w:rPr>
        <w:t>veintiuno</w:t>
      </w:r>
      <w:r w:rsidR="002C4997" w:rsidRPr="00F25150">
        <w:rPr>
          <w:rFonts w:ascii="Palatino Linotype" w:eastAsia="Times New Roman" w:hAnsi="Palatino Linotype" w:cs="Arial"/>
          <w:color w:val="000000" w:themeColor="text1"/>
          <w:lang w:val="es-ES"/>
        </w:rPr>
        <w:t xml:space="preserve"> </w:t>
      </w:r>
      <w:r w:rsidRPr="00F25150">
        <w:rPr>
          <w:rFonts w:ascii="Palatino Linotype" w:eastAsia="Times New Roman" w:hAnsi="Palatino Linotype" w:cs="Arial"/>
          <w:color w:val="000000" w:themeColor="text1"/>
          <w:lang w:val="es-ES"/>
        </w:rPr>
        <w:t>(</w:t>
      </w:r>
      <w:r w:rsidR="00804DAA" w:rsidRPr="00F25150">
        <w:rPr>
          <w:rFonts w:ascii="Palatino Linotype" w:eastAsia="Times New Roman" w:hAnsi="Palatino Linotype" w:cs="Arial"/>
          <w:color w:val="000000" w:themeColor="text1"/>
          <w:lang w:val="es-ES"/>
        </w:rPr>
        <w:t>21</w:t>
      </w:r>
      <w:r w:rsidRPr="00F25150">
        <w:rPr>
          <w:rFonts w:ascii="Palatino Linotype" w:eastAsia="Times New Roman" w:hAnsi="Palatino Linotype" w:cs="Arial"/>
          <w:color w:val="000000" w:themeColor="text1"/>
          <w:lang w:val="es-ES"/>
        </w:rPr>
        <w:t xml:space="preserve">) de </w:t>
      </w:r>
      <w:r w:rsidR="002650A0" w:rsidRPr="00F25150">
        <w:rPr>
          <w:rFonts w:ascii="Palatino Linotype" w:eastAsia="Times New Roman" w:hAnsi="Palatino Linotype" w:cs="Arial"/>
          <w:color w:val="000000" w:themeColor="text1"/>
          <w:lang w:val="es-ES"/>
        </w:rPr>
        <w:t>febrer</w:t>
      </w:r>
      <w:r w:rsidRPr="00F25150">
        <w:rPr>
          <w:rFonts w:ascii="Palatino Linotype" w:eastAsia="Times New Roman" w:hAnsi="Palatino Linotype" w:cs="Arial"/>
          <w:color w:val="000000" w:themeColor="text1"/>
          <w:lang w:val="es-ES"/>
        </w:rPr>
        <w:t xml:space="preserve">o de </w:t>
      </w:r>
      <w:r w:rsidR="00025C53" w:rsidRPr="00F25150">
        <w:rPr>
          <w:rFonts w:ascii="Palatino Linotype" w:eastAsia="Times New Roman" w:hAnsi="Palatino Linotype" w:cs="Arial"/>
          <w:color w:val="000000" w:themeColor="text1"/>
          <w:lang w:val="es-ES"/>
        </w:rPr>
        <w:t>dos mil veintidós</w:t>
      </w:r>
      <w:r w:rsidRPr="00F25150">
        <w:rPr>
          <w:rFonts w:ascii="Palatino Linotype" w:eastAsia="Times New Roman" w:hAnsi="Palatino Linotype" w:cs="Arial"/>
          <w:color w:val="000000" w:themeColor="text1"/>
          <w:lang w:val="es-ES"/>
        </w:rPr>
        <w:t xml:space="preserve">, el particular interpuso </w:t>
      </w:r>
      <w:r w:rsidR="002C4997" w:rsidRPr="00F25150">
        <w:rPr>
          <w:rFonts w:ascii="Palatino Linotype" w:eastAsia="Times New Roman" w:hAnsi="Palatino Linotype" w:cs="Arial"/>
          <w:color w:val="000000" w:themeColor="text1"/>
          <w:lang w:val="es-ES"/>
        </w:rPr>
        <w:t>e</w:t>
      </w:r>
      <w:r w:rsidRPr="00F25150">
        <w:rPr>
          <w:rFonts w:ascii="Palatino Linotype" w:eastAsia="Times New Roman" w:hAnsi="Palatino Linotype" w:cs="Arial"/>
          <w:color w:val="000000" w:themeColor="text1"/>
          <w:lang w:val="es-ES"/>
        </w:rPr>
        <w:t>l recurso de revisión en contra de la respuesta, manifestando l</w:t>
      </w:r>
      <w:r w:rsidR="002C4997" w:rsidRPr="00F25150">
        <w:rPr>
          <w:rFonts w:ascii="Palatino Linotype" w:eastAsia="Times New Roman" w:hAnsi="Palatino Linotype" w:cs="Arial"/>
          <w:color w:val="000000" w:themeColor="text1"/>
          <w:lang w:val="es-ES"/>
        </w:rPr>
        <w:t>a</w:t>
      </w:r>
      <w:r w:rsidRPr="00F25150">
        <w:rPr>
          <w:rFonts w:ascii="Palatino Linotype" w:eastAsia="Times New Roman" w:hAnsi="Palatino Linotype" w:cs="Arial"/>
          <w:color w:val="000000" w:themeColor="text1"/>
          <w:lang w:val="es-ES"/>
        </w:rPr>
        <w:t xml:space="preserve">s </w:t>
      </w:r>
      <w:r w:rsidR="002C4997" w:rsidRPr="00F25150">
        <w:rPr>
          <w:rFonts w:ascii="Palatino Linotype" w:eastAsia="Times New Roman" w:hAnsi="Palatino Linotype" w:cs="Arial"/>
          <w:color w:val="000000" w:themeColor="text1"/>
          <w:lang w:val="es-ES"/>
        </w:rPr>
        <w:t>siguientes</w:t>
      </w:r>
      <w:r w:rsidRPr="00F25150">
        <w:rPr>
          <w:rFonts w:ascii="Palatino Linotype" w:eastAsia="Times New Roman" w:hAnsi="Palatino Linotype" w:cs="Arial"/>
          <w:color w:val="000000" w:themeColor="text1"/>
          <w:lang w:val="es-ES"/>
        </w:rPr>
        <w:t xml:space="preserve"> razones o motivos de inconformidad:</w:t>
      </w:r>
    </w:p>
    <w:p w:rsidR="009F09BC" w:rsidRPr="00F25150"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25150" w:rsidRDefault="009F09BC" w:rsidP="00804DAA">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F25150">
        <w:rPr>
          <w:rStyle w:val="Ttulo2Car"/>
          <w:rFonts w:ascii="Palatino Linotype" w:hAnsi="Palatino Linotype"/>
          <w:b/>
          <w:color w:val="auto"/>
          <w:sz w:val="24"/>
          <w:szCs w:val="24"/>
        </w:rPr>
        <w:t>Acto impugnado</w:t>
      </w:r>
      <w:bookmarkEnd w:id="4"/>
      <w:r w:rsidRPr="00F25150">
        <w:rPr>
          <w:rStyle w:val="Ttulo2Car"/>
          <w:rFonts w:ascii="Palatino Linotype" w:hAnsi="Palatino Linotype"/>
          <w:b/>
          <w:color w:val="000000" w:themeColor="text1"/>
          <w:sz w:val="24"/>
          <w:szCs w:val="24"/>
        </w:rPr>
        <w:t xml:space="preserve">: </w:t>
      </w:r>
      <w:r w:rsidRPr="00F25150">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804DAA" w:rsidRPr="00F25150">
        <w:rPr>
          <w:rStyle w:val="Ttulo2Car"/>
          <w:rFonts w:ascii="Palatino Linotype" w:hAnsi="Palatino Linotype"/>
          <w:i/>
          <w:color w:val="000000" w:themeColor="text1"/>
          <w:sz w:val="24"/>
          <w:szCs w:val="24"/>
        </w:rPr>
        <w:t>TODA VEZ QUE LA SECRETARIA DE SEGURIDAD PÚBLICA Y LA FISCALIA GENERAL DE JUSTICIA DEL ESTADO DE MÉXICO SE ECHAN LA BOLITA EN RESPONDER A LO SOLICITADO Y TODA VEZ QUE ES MI DERECHO HUMANO EL ACCESO A LA INFORMACIÓN PÚBLICA, REQUIERO SE DE RESPUESTA A MI SOLICITUD DE ORIGEN</w:t>
      </w:r>
      <w:r w:rsidRPr="00F25150">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F25150" w:rsidRDefault="009F09BC" w:rsidP="002650A0">
      <w:pPr>
        <w:spacing w:line="360" w:lineRule="auto"/>
        <w:jc w:val="both"/>
        <w:rPr>
          <w:rFonts w:ascii="Palatino Linotype" w:hAnsi="Palatino Linotype"/>
          <w:i/>
          <w:color w:val="000000" w:themeColor="text1"/>
        </w:rPr>
      </w:pPr>
    </w:p>
    <w:p w:rsidR="009F09BC" w:rsidRPr="00F25150" w:rsidRDefault="009F09BC" w:rsidP="00804DAA">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F25150">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F25150">
        <w:rPr>
          <w:rFonts w:ascii="Palatino Linotype" w:hAnsi="Palatino Linotype"/>
          <w:b/>
          <w:color w:val="000000" w:themeColor="text1"/>
        </w:rPr>
        <w:t xml:space="preserve"> </w:t>
      </w:r>
      <w:r w:rsidRPr="00F25150">
        <w:rPr>
          <w:rFonts w:ascii="Palatino Linotype" w:hAnsi="Palatino Linotype"/>
          <w:i/>
          <w:color w:val="000000" w:themeColor="text1"/>
        </w:rPr>
        <w:t>“</w:t>
      </w:r>
      <w:r w:rsidR="00804DAA" w:rsidRPr="00F25150">
        <w:rPr>
          <w:rFonts w:ascii="Palatino Linotype" w:hAnsi="Palatino Linotype"/>
          <w:i/>
          <w:color w:val="000000" w:themeColor="text1"/>
        </w:rPr>
        <w:t>VIOLACIÓN A MI DERECHO HUMANO DE ACCESO A LA INFORMACIÓN</w:t>
      </w:r>
      <w:r w:rsidRPr="00F25150">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2142B" w:rsidRPr="00F25150" w:rsidRDefault="0082142B" w:rsidP="0082142B">
      <w:pPr>
        <w:pStyle w:val="Prrafodelista"/>
        <w:rPr>
          <w:rFonts w:ascii="Palatino Linotype" w:hAnsi="Palatino Linotype"/>
          <w:i/>
          <w:color w:val="000000" w:themeColor="text1"/>
        </w:rPr>
      </w:pPr>
    </w:p>
    <w:p w:rsidR="0082142B" w:rsidRPr="00F25150" w:rsidRDefault="0082142B" w:rsidP="0082142B">
      <w:pPr>
        <w:pStyle w:val="Prrafodelista"/>
        <w:spacing w:line="360" w:lineRule="auto"/>
        <w:ind w:left="1004"/>
        <w:jc w:val="both"/>
        <w:rPr>
          <w:rFonts w:ascii="Palatino Linotype" w:hAnsi="Palatino Linotype"/>
          <w:color w:val="000000" w:themeColor="text1"/>
        </w:rPr>
      </w:pPr>
      <w:r w:rsidRPr="00F25150">
        <w:rPr>
          <w:rFonts w:ascii="Palatino Linotype" w:hAnsi="Palatino Linotype"/>
          <w:color w:val="000000" w:themeColor="text1"/>
        </w:rPr>
        <w:t xml:space="preserve">Asimismo, adjuntó el archivo denominado </w:t>
      </w:r>
      <w:r w:rsidRPr="00F25150">
        <w:rPr>
          <w:rFonts w:ascii="Palatino Linotype" w:hAnsi="Palatino Linotype"/>
          <w:b/>
          <w:color w:val="000000" w:themeColor="text1"/>
        </w:rPr>
        <w:t xml:space="preserve">ORIENTACIÓN 00100 </w:t>
      </w:r>
      <w:r w:rsidR="003A5811">
        <w:rPr>
          <w:rFonts w:ascii="Palatino Linotype" w:hAnsi="Palatino Linotype"/>
          <w:b/>
          <w:color w:val="000000" w:themeColor="text1"/>
        </w:rPr>
        <w:t xml:space="preserve">XXX </w:t>
      </w:r>
      <w:proofErr w:type="spellStart"/>
      <w:r w:rsidR="003A5811">
        <w:rPr>
          <w:rFonts w:ascii="Palatino Linotype" w:hAnsi="Palatino Linotype"/>
          <w:b/>
          <w:color w:val="000000" w:themeColor="text1"/>
        </w:rPr>
        <w:t>XXX</w:t>
      </w:r>
      <w:proofErr w:type="spellEnd"/>
      <w:r w:rsidR="003A5811">
        <w:rPr>
          <w:rFonts w:ascii="Palatino Linotype" w:hAnsi="Palatino Linotype"/>
          <w:b/>
          <w:color w:val="000000" w:themeColor="text1"/>
        </w:rPr>
        <w:t xml:space="preserve"> </w:t>
      </w:r>
      <w:proofErr w:type="spellStart"/>
      <w:r w:rsidR="003A5811">
        <w:rPr>
          <w:rFonts w:ascii="Palatino Linotype" w:hAnsi="Palatino Linotype"/>
          <w:b/>
          <w:color w:val="000000" w:themeColor="text1"/>
        </w:rPr>
        <w:t>XXX</w:t>
      </w:r>
      <w:proofErr w:type="spellEnd"/>
      <w:r w:rsidRPr="00F25150">
        <w:rPr>
          <w:rFonts w:ascii="Palatino Linotype" w:hAnsi="Palatino Linotype"/>
          <w:b/>
          <w:color w:val="000000" w:themeColor="text1"/>
        </w:rPr>
        <w:t xml:space="preserve"> (SSC).</w:t>
      </w:r>
      <w:proofErr w:type="spellStart"/>
      <w:r w:rsidRPr="00F25150">
        <w:rPr>
          <w:rFonts w:ascii="Palatino Linotype" w:hAnsi="Palatino Linotype"/>
          <w:b/>
          <w:color w:val="000000" w:themeColor="text1"/>
        </w:rPr>
        <w:t>docx</w:t>
      </w:r>
      <w:proofErr w:type="spellEnd"/>
      <w:r w:rsidRPr="00F25150">
        <w:rPr>
          <w:rFonts w:ascii="Palatino Linotype" w:hAnsi="Palatino Linotype"/>
          <w:b/>
          <w:color w:val="000000" w:themeColor="text1"/>
        </w:rPr>
        <w:t>,</w:t>
      </w:r>
      <w:r w:rsidRPr="00F25150">
        <w:rPr>
          <w:rFonts w:ascii="Palatino Linotype" w:hAnsi="Palatino Linotype"/>
          <w:color w:val="000000" w:themeColor="text1"/>
        </w:rPr>
        <w:t xml:space="preserve"> que corresponde al mismo escrito que le fuera remitido al particular en calidad de respuesta.</w:t>
      </w:r>
    </w:p>
    <w:p w:rsidR="009F09BC" w:rsidRPr="00F25150"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F25150">
        <w:rPr>
          <w:rFonts w:ascii="Palatino Linotype" w:eastAsia="Calibri" w:hAnsi="Palatino Linotype" w:cs="Arial"/>
          <w:lang w:val="es-ES"/>
        </w:rPr>
        <w:lastRenderedPageBreak/>
        <w:t>La Comisionada</w:t>
      </w:r>
      <w:r w:rsidR="009F09BC" w:rsidRPr="00F25150">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804DAA" w:rsidRPr="00F25150">
        <w:rPr>
          <w:rFonts w:ascii="Palatino Linotype" w:eastAsia="Calibri" w:hAnsi="Palatino Linotype" w:cs="Arial"/>
          <w:lang w:val="es-ES"/>
        </w:rPr>
        <w:t>veinticuatro</w:t>
      </w:r>
      <w:r w:rsidR="009F09BC" w:rsidRPr="00F25150">
        <w:rPr>
          <w:rFonts w:ascii="Palatino Linotype" w:eastAsia="Calibri" w:hAnsi="Palatino Linotype" w:cs="Arial"/>
          <w:lang w:val="es-ES"/>
        </w:rPr>
        <w:t xml:space="preserve"> (</w:t>
      </w:r>
      <w:r w:rsidR="00804DAA" w:rsidRPr="00F25150">
        <w:rPr>
          <w:rFonts w:ascii="Palatino Linotype" w:eastAsia="Calibri" w:hAnsi="Palatino Linotype" w:cs="Arial"/>
          <w:lang w:val="es-ES"/>
        </w:rPr>
        <w:t>24</w:t>
      </w:r>
      <w:r w:rsidR="009F09BC" w:rsidRPr="00F25150">
        <w:rPr>
          <w:rFonts w:ascii="Palatino Linotype" w:eastAsia="Calibri" w:hAnsi="Palatino Linotype" w:cs="Arial"/>
          <w:lang w:val="es-ES"/>
        </w:rPr>
        <w:t xml:space="preserve">) de </w:t>
      </w:r>
      <w:r w:rsidR="003933C4" w:rsidRPr="00F25150">
        <w:rPr>
          <w:rFonts w:ascii="Palatino Linotype" w:eastAsia="Calibri" w:hAnsi="Palatino Linotype" w:cs="Arial"/>
          <w:lang w:val="es-ES"/>
        </w:rPr>
        <w:t>febre</w:t>
      </w:r>
      <w:r w:rsidR="002C4997" w:rsidRPr="00F25150">
        <w:rPr>
          <w:rFonts w:ascii="Palatino Linotype" w:eastAsia="Calibri" w:hAnsi="Palatino Linotype" w:cs="Arial"/>
          <w:lang w:val="es-ES"/>
        </w:rPr>
        <w:t>r</w:t>
      </w:r>
      <w:r w:rsidR="009F09BC" w:rsidRPr="00F25150">
        <w:rPr>
          <w:rFonts w:ascii="Palatino Linotype" w:eastAsia="Calibri" w:hAnsi="Palatino Linotype" w:cs="Arial"/>
          <w:lang w:val="es-ES"/>
        </w:rPr>
        <w:t xml:space="preserve">o del año en curso, puso a disposición de las partes el expediente electrónico </w:t>
      </w:r>
      <w:r w:rsidR="009F09BC" w:rsidRPr="00F25150">
        <w:rPr>
          <w:rFonts w:ascii="Palatino Linotype" w:eastAsia="Calibri" w:hAnsi="Palatino Linotype" w:cs="Arial"/>
        </w:rPr>
        <w:t xml:space="preserve">vía </w:t>
      </w:r>
      <w:r w:rsidR="009F09BC" w:rsidRPr="00F25150">
        <w:rPr>
          <w:rFonts w:ascii="Palatino Linotype" w:eastAsia="Calibri" w:hAnsi="Palatino Linotype" w:cs="Arial"/>
          <w:b/>
          <w:lang w:val="es-ES"/>
        </w:rPr>
        <w:t xml:space="preserve">SAIMEX </w:t>
      </w:r>
      <w:r w:rsidR="009F09BC" w:rsidRPr="00F2515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25150">
        <w:rPr>
          <w:rFonts w:ascii="Palatino Linotype" w:eastAsia="Calibri" w:hAnsi="Palatino Linotype" w:cs="Arial"/>
          <w:b/>
          <w:lang w:val="es-ES"/>
        </w:rPr>
        <w:t>SUJETO OBLIGADO</w:t>
      </w:r>
      <w:r w:rsidR="009F09BC" w:rsidRPr="00F25150">
        <w:rPr>
          <w:rFonts w:ascii="Palatino Linotype" w:eastAsia="Calibri" w:hAnsi="Palatino Linotype" w:cs="Arial"/>
          <w:lang w:val="es-ES"/>
        </w:rPr>
        <w:t xml:space="preserve"> presentará el Informe Justificado procedente.</w:t>
      </w:r>
    </w:p>
    <w:p w:rsidR="009F09BC" w:rsidRPr="00F25150" w:rsidRDefault="009F09BC" w:rsidP="009F09BC">
      <w:pPr>
        <w:pStyle w:val="Prrafodelista"/>
        <w:spacing w:before="240" w:after="240" w:line="360" w:lineRule="auto"/>
        <w:ind w:left="0"/>
        <w:jc w:val="both"/>
        <w:rPr>
          <w:rFonts w:ascii="Palatino Linotype" w:hAnsi="Palatino Linotype"/>
        </w:rPr>
      </w:pPr>
    </w:p>
    <w:p w:rsidR="009F09BC" w:rsidRPr="00F25150"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F25150">
        <w:rPr>
          <w:rFonts w:ascii="Palatino Linotype" w:hAnsi="Palatino Linotype"/>
          <w:color w:val="000000"/>
        </w:rPr>
        <w:t xml:space="preserve">El </w:t>
      </w:r>
      <w:r w:rsidRPr="00F25150">
        <w:rPr>
          <w:rFonts w:ascii="Palatino Linotype" w:hAnsi="Palatino Linotype"/>
          <w:b/>
          <w:color w:val="000000"/>
        </w:rPr>
        <w:t xml:space="preserve">SUJETO </w:t>
      </w:r>
      <w:r w:rsidRPr="00F25150">
        <w:rPr>
          <w:rFonts w:ascii="Palatino Linotype" w:eastAsia="Calibri" w:hAnsi="Palatino Linotype" w:cs="Arial"/>
          <w:b/>
          <w:lang w:val="es-ES"/>
        </w:rPr>
        <w:t>OBLIGADO</w:t>
      </w:r>
      <w:r w:rsidR="007A6A1A" w:rsidRPr="00F25150">
        <w:rPr>
          <w:rFonts w:ascii="Palatino Linotype" w:hAnsi="Palatino Linotype"/>
          <w:color w:val="000000"/>
        </w:rPr>
        <w:t xml:space="preserve"> </w:t>
      </w:r>
      <w:r w:rsidR="006672E1" w:rsidRPr="00F25150">
        <w:rPr>
          <w:rFonts w:ascii="Palatino Linotype" w:hAnsi="Palatino Linotype"/>
          <w:color w:val="000000"/>
        </w:rPr>
        <w:t>en fecha veinticinco (25) de febrero del año en curso, rindió el informe justificado correspondiente, mismo que fue hecho del conocimiento del particula</w:t>
      </w:r>
      <w:r w:rsidR="00CB757D" w:rsidRPr="00F25150">
        <w:rPr>
          <w:rFonts w:ascii="Palatino Linotype" w:hAnsi="Palatino Linotype"/>
          <w:color w:val="000000"/>
        </w:rPr>
        <w:t>r mediante Acuerdo de fecha siet</w:t>
      </w:r>
      <w:r w:rsidR="006672E1" w:rsidRPr="00F25150">
        <w:rPr>
          <w:rFonts w:ascii="Palatino Linotype" w:hAnsi="Palatino Linotype"/>
          <w:color w:val="000000"/>
        </w:rPr>
        <w:t>e (0</w:t>
      </w:r>
      <w:r w:rsidR="00CB757D" w:rsidRPr="00F25150">
        <w:rPr>
          <w:rFonts w:ascii="Palatino Linotype" w:hAnsi="Palatino Linotype"/>
          <w:color w:val="000000"/>
        </w:rPr>
        <w:t>7) de marz</w:t>
      </w:r>
      <w:r w:rsidR="006672E1" w:rsidRPr="00F25150">
        <w:rPr>
          <w:rFonts w:ascii="Palatino Linotype" w:hAnsi="Palatino Linotype"/>
          <w:color w:val="000000"/>
        </w:rPr>
        <w:t>o de 2022</w:t>
      </w:r>
      <w:r w:rsidR="002C4997" w:rsidRPr="00F25150">
        <w:rPr>
          <w:rFonts w:ascii="Palatino Linotype" w:hAnsi="Palatino Linotype"/>
          <w:color w:val="000000"/>
        </w:rPr>
        <w:t xml:space="preserve">. </w:t>
      </w:r>
      <w:r w:rsidRPr="00F25150">
        <w:rPr>
          <w:rFonts w:ascii="Palatino Linotype" w:hAnsi="Palatino Linotype"/>
          <w:color w:val="000000"/>
        </w:rPr>
        <w:t xml:space="preserve">Por su parte </w:t>
      </w:r>
      <w:r w:rsidRPr="00F25150">
        <w:rPr>
          <w:rFonts w:ascii="Palatino Linotype" w:hAnsi="Palatino Linotype"/>
          <w:b/>
          <w:color w:val="000000"/>
        </w:rPr>
        <w:t xml:space="preserve">EL PARTICULAR </w:t>
      </w:r>
      <w:r w:rsidR="00F72588" w:rsidRPr="00F25150">
        <w:rPr>
          <w:rFonts w:ascii="Palatino Linotype" w:hAnsi="Palatino Linotype"/>
          <w:color w:val="000000"/>
        </w:rPr>
        <w:t>en fecha veinticinco (25) de febrero de la presente anualidad, rindió las manifestaciones que a su derecho convinieron y asistieron, adjuntando para tal efecto la declinación de competencia que la Secretaria de Seguridad, le remitió en calidad de respuesta a su solicitud de información diversa de la de mérito</w:t>
      </w:r>
      <w:r w:rsidRPr="00F25150">
        <w:rPr>
          <w:rFonts w:ascii="Palatino Linotype" w:hAnsi="Palatino Linotype"/>
          <w:color w:val="000000"/>
        </w:rPr>
        <w:t>.</w:t>
      </w:r>
    </w:p>
    <w:p w:rsidR="00ED6E75" w:rsidRPr="00F25150" w:rsidRDefault="00ED6E75" w:rsidP="00ED6E75">
      <w:pPr>
        <w:pStyle w:val="Prrafodelista"/>
        <w:spacing w:before="240" w:after="240" w:line="360" w:lineRule="auto"/>
        <w:ind w:left="0"/>
        <w:jc w:val="both"/>
        <w:rPr>
          <w:rFonts w:ascii="Palatino Linotype" w:hAnsi="Palatino Linotype"/>
        </w:rPr>
      </w:pPr>
    </w:p>
    <w:p w:rsidR="009F09BC" w:rsidRPr="00F25150" w:rsidRDefault="006672E1"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F25150">
        <w:rPr>
          <w:rFonts w:ascii="Palatino Linotype" w:hAnsi="Palatino Linotype"/>
        </w:rPr>
        <w:t>Mediante acuerdos de fecha trece</w:t>
      </w:r>
      <w:r w:rsidR="0001674C" w:rsidRPr="00F25150">
        <w:rPr>
          <w:rFonts w:ascii="Palatino Linotype" w:hAnsi="Palatino Linotype"/>
        </w:rPr>
        <w:t xml:space="preserve"> (1</w:t>
      </w:r>
      <w:r w:rsidRPr="00F25150">
        <w:rPr>
          <w:rFonts w:ascii="Palatino Linotype" w:hAnsi="Palatino Linotype"/>
        </w:rPr>
        <w:t>3</w:t>
      </w:r>
      <w:r w:rsidR="0001674C" w:rsidRPr="00F25150">
        <w:rPr>
          <w:rFonts w:ascii="Palatino Linotype" w:hAnsi="Palatino Linotype"/>
        </w:rPr>
        <w:t xml:space="preserve">) de </w:t>
      </w:r>
      <w:r w:rsidRPr="00F25150">
        <w:rPr>
          <w:rFonts w:ascii="Palatino Linotype" w:hAnsi="Palatino Linotype"/>
        </w:rPr>
        <w:t>may</w:t>
      </w:r>
      <w:r w:rsidR="0001674C" w:rsidRPr="00F25150">
        <w:rPr>
          <w:rFonts w:ascii="Palatino Linotype" w:hAnsi="Palatino Linotype"/>
        </w:rPr>
        <w:t xml:space="preserve">o del año en curso, </w:t>
      </w:r>
      <w:r w:rsidRPr="00F25150">
        <w:rPr>
          <w:rFonts w:ascii="Palatino Linotype" w:hAnsi="Palatino Linotype"/>
        </w:rPr>
        <w:t xml:space="preserve">se amplió el termino para resolver y posteriormente </w:t>
      </w:r>
      <w:r w:rsidR="0001674C" w:rsidRPr="00F25150">
        <w:rPr>
          <w:rFonts w:ascii="Palatino Linotype" w:hAnsi="Palatino Linotype"/>
        </w:rPr>
        <w:t>se d</w:t>
      </w:r>
      <w:r w:rsidRPr="00F25150">
        <w:rPr>
          <w:rFonts w:ascii="Palatino Linotype" w:hAnsi="Palatino Linotype"/>
        </w:rPr>
        <w:t>ecretó el cierre de instrucción</w:t>
      </w:r>
      <w:r w:rsidR="0001674C" w:rsidRPr="00F25150">
        <w:rPr>
          <w:rFonts w:ascii="Palatino Linotype" w:hAnsi="Palatino Linotype"/>
        </w:rPr>
        <w:t xml:space="preserve">, </w:t>
      </w:r>
      <w:r w:rsidR="009F09BC" w:rsidRPr="00F25150">
        <w:rPr>
          <w:rFonts w:ascii="Palatino Linotype" w:hAnsi="Palatino Linotype" w:cs="Arial"/>
        </w:rPr>
        <w:t>por lo que no habiendo más que hacer constar, y --------------------------</w:t>
      </w:r>
      <w:r w:rsidR="0001674C" w:rsidRPr="00F25150">
        <w:rPr>
          <w:rFonts w:ascii="Palatino Linotype" w:hAnsi="Palatino Linotype" w:cs="Arial"/>
        </w:rPr>
        <w:t>----------------------------------</w:t>
      </w:r>
    </w:p>
    <w:p w:rsidR="009F09BC" w:rsidRPr="00F25150"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F25150">
        <w:rPr>
          <w:rFonts w:ascii="Palatino Linotype" w:hAnsi="Palatino Linotype"/>
          <w:b/>
          <w:color w:val="000000" w:themeColor="text1"/>
          <w:sz w:val="24"/>
          <w:szCs w:val="24"/>
        </w:rPr>
        <w:t>CONSIDERANDO</w:t>
      </w:r>
      <w:bookmarkEnd w:id="134"/>
      <w:bookmarkEnd w:id="135"/>
    </w:p>
    <w:p w:rsidR="009F09BC" w:rsidRPr="00F25150" w:rsidRDefault="009F09BC" w:rsidP="009F09BC">
      <w:pPr>
        <w:rPr>
          <w:rFonts w:ascii="Palatino Linotype" w:hAnsi="Palatino Linotype"/>
          <w:lang w:val="es-MX" w:eastAsia="en-US"/>
        </w:rPr>
      </w:pPr>
    </w:p>
    <w:p w:rsidR="009F09BC" w:rsidRPr="00F25150" w:rsidRDefault="009F09BC" w:rsidP="009F09BC">
      <w:pPr>
        <w:pStyle w:val="Ttulo2"/>
        <w:rPr>
          <w:rFonts w:ascii="Palatino Linotype" w:hAnsi="Palatino Linotype"/>
          <w:b/>
          <w:color w:val="auto"/>
          <w:sz w:val="24"/>
          <w:szCs w:val="24"/>
        </w:rPr>
      </w:pPr>
      <w:bookmarkStart w:id="136" w:name="_Toc491791303"/>
      <w:bookmarkStart w:id="137" w:name="_Toc83128579"/>
      <w:r w:rsidRPr="00F25150">
        <w:rPr>
          <w:rFonts w:ascii="Palatino Linotype" w:hAnsi="Palatino Linotype"/>
          <w:b/>
          <w:color w:val="auto"/>
          <w:sz w:val="24"/>
          <w:szCs w:val="24"/>
        </w:rPr>
        <w:t>PRIMERO. De la competencia</w:t>
      </w:r>
      <w:bookmarkEnd w:id="136"/>
      <w:bookmarkEnd w:id="137"/>
    </w:p>
    <w:p w:rsidR="009F09BC" w:rsidRPr="00F25150" w:rsidRDefault="009F09BC" w:rsidP="009F09BC">
      <w:pPr>
        <w:rPr>
          <w:rFonts w:ascii="Palatino Linotype" w:hAnsi="Palatino Linotype"/>
          <w:lang w:val="es-MX" w:eastAsia="en-US"/>
        </w:rPr>
      </w:pPr>
    </w:p>
    <w:p w:rsidR="00353F1D" w:rsidRPr="00F25150"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F25150">
        <w:rPr>
          <w:rFonts w:ascii="Palatino Linotype" w:hAnsi="Palatino Linotype"/>
          <w:color w:val="000000" w:themeColor="text1"/>
        </w:rPr>
        <w:lastRenderedPageBreak/>
        <w:t xml:space="preserve">El </w:t>
      </w:r>
      <w:r w:rsidRPr="00F25150">
        <w:rPr>
          <w:rFonts w:ascii="Palatino Linotype" w:hAnsi="Palatino Linotype"/>
        </w:rPr>
        <w:t>Instituto</w:t>
      </w:r>
      <w:r w:rsidRPr="00F2515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F25150"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F25150" w:rsidRDefault="009F09BC" w:rsidP="009F09BC">
      <w:pPr>
        <w:pStyle w:val="Ttulo2"/>
        <w:rPr>
          <w:rFonts w:ascii="Palatino Linotype" w:hAnsi="Palatino Linotype"/>
          <w:b/>
          <w:color w:val="auto"/>
          <w:sz w:val="24"/>
          <w:szCs w:val="24"/>
        </w:rPr>
      </w:pPr>
      <w:bookmarkStart w:id="138" w:name="_Toc491791304"/>
      <w:bookmarkStart w:id="139" w:name="_Toc83128580"/>
      <w:r w:rsidRPr="00F25150">
        <w:rPr>
          <w:rFonts w:ascii="Palatino Linotype" w:hAnsi="Palatino Linotype"/>
          <w:b/>
          <w:color w:val="auto"/>
          <w:sz w:val="24"/>
          <w:szCs w:val="24"/>
        </w:rPr>
        <w:t>SEGUNDO. De la oportunidad y procedencia.</w:t>
      </w:r>
      <w:bookmarkEnd w:id="138"/>
      <w:bookmarkEnd w:id="139"/>
    </w:p>
    <w:p w:rsidR="009F09BC" w:rsidRPr="00F25150" w:rsidRDefault="009F09BC" w:rsidP="009F09BC">
      <w:pPr>
        <w:rPr>
          <w:lang w:val="es-MX" w:eastAsia="en-US"/>
        </w:rPr>
      </w:pPr>
    </w:p>
    <w:p w:rsidR="009F09BC" w:rsidRPr="00F25150" w:rsidRDefault="00425842" w:rsidP="009F09BC">
      <w:pPr>
        <w:pStyle w:val="Prrafodelista"/>
        <w:numPr>
          <w:ilvl w:val="0"/>
          <w:numId w:val="15"/>
        </w:numPr>
        <w:spacing w:line="360" w:lineRule="auto"/>
        <w:ind w:left="0" w:firstLine="0"/>
        <w:jc w:val="both"/>
        <w:rPr>
          <w:rFonts w:ascii="Palatino Linotype" w:hAnsi="Palatino Linotype"/>
        </w:rPr>
      </w:pPr>
      <w:r w:rsidRPr="00F25150">
        <w:rPr>
          <w:rFonts w:ascii="Palatino Linotype" w:eastAsia="Calibri" w:hAnsi="Palatino Linotype" w:cs="Arial"/>
        </w:rPr>
        <w:t>El</w:t>
      </w:r>
      <w:r w:rsidR="00AD63B4" w:rsidRPr="00F25150">
        <w:rPr>
          <w:rFonts w:ascii="Palatino Linotype" w:eastAsia="Calibri" w:hAnsi="Palatino Linotype" w:cs="Arial"/>
        </w:rPr>
        <w:t xml:space="preserve"> </w:t>
      </w:r>
      <w:r w:rsidR="009F09BC" w:rsidRPr="00F25150">
        <w:rPr>
          <w:rFonts w:ascii="Palatino Linotype" w:eastAsia="Calibri" w:hAnsi="Palatino Linotype" w:cs="Arial"/>
        </w:rPr>
        <w:t xml:space="preserve">medio de impugnación fue presentado a través del </w:t>
      </w:r>
      <w:r w:rsidR="009F09BC" w:rsidRPr="00F25150">
        <w:rPr>
          <w:rFonts w:ascii="Palatino Linotype" w:eastAsia="Calibri" w:hAnsi="Palatino Linotype" w:cs="Arial"/>
          <w:b/>
        </w:rPr>
        <w:t>SAIMEX,</w:t>
      </w:r>
      <w:r w:rsidR="009F09BC" w:rsidRPr="00F2515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25150">
        <w:rPr>
          <w:rFonts w:ascii="Palatino Linotype" w:eastAsia="Calibri" w:hAnsi="Palatino Linotype" w:cs="Arial"/>
          <w:b/>
        </w:rPr>
        <w:t>SUJETO OBLIGADO</w:t>
      </w:r>
      <w:r w:rsidRPr="00F25150">
        <w:rPr>
          <w:rFonts w:ascii="Palatino Linotype" w:eastAsia="Calibri" w:hAnsi="Palatino Linotype" w:cs="Arial"/>
        </w:rPr>
        <w:t xml:space="preserve"> entregó su</w:t>
      </w:r>
      <w:r w:rsidR="009F09BC" w:rsidRPr="00F25150">
        <w:rPr>
          <w:rFonts w:ascii="Palatino Linotype" w:eastAsia="Calibri" w:hAnsi="Palatino Linotype" w:cs="Arial"/>
        </w:rPr>
        <w:t xml:space="preserve"> respuesta </w:t>
      </w:r>
      <w:r w:rsidRPr="00F25150">
        <w:rPr>
          <w:rFonts w:ascii="Palatino Linotype" w:eastAsia="Calibri" w:hAnsi="Palatino Linotype" w:cs="Arial"/>
        </w:rPr>
        <w:t>e</w:t>
      </w:r>
      <w:r w:rsidR="009F09BC" w:rsidRPr="00F25150">
        <w:rPr>
          <w:rFonts w:ascii="Palatino Linotype" w:eastAsia="Calibri" w:hAnsi="Palatino Linotype" w:cs="Arial"/>
        </w:rPr>
        <w:t>l d</w:t>
      </w:r>
      <w:r w:rsidR="007A460E" w:rsidRPr="00F25150">
        <w:rPr>
          <w:rFonts w:ascii="Palatino Linotype" w:eastAsia="Calibri" w:hAnsi="Palatino Linotype" w:cs="Arial"/>
        </w:rPr>
        <w:t>iez</w:t>
      </w:r>
      <w:r w:rsidRPr="00F25150">
        <w:rPr>
          <w:rFonts w:ascii="Palatino Linotype" w:eastAsia="Calibri" w:hAnsi="Palatino Linotype" w:cs="Arial"/>
        </w:rPr>
        <w:t xml:space="preserve"> (1</w:t>
      </w:r>
      <w:r w:rsidR="007A460E" w:rsidRPr="00F25150">
        <w:rPr>
          <w:rFonts w:ascii="Palatino Linotype" w:eastAsia="Calibri" w:hAnsi="Palatino Linotype" w:cs="Arial"/>
        </w:rPr>
        <w:t>0</w:t>
      </w:r>
      <w:r w:rsidR="009F09BC" w:rsidRPr="00F25150">
        <w:rPr>
          <w:rFonts w:ascii="Palatino Linotype" w:eastAsia="Calibri" w:hAnsi="Palatino Linotype" w:cs="Arial"/>
        </w:rPr>
        <w:t xml:space="preserve">) de </w:t>
      </w:r>
      <w:r w:rsidR="007A460E" w:rsidRPr="00F25150">
        <w:rPr>
          <w:rFonts w:ascii="Palatino Linotype" w:eastAsia="Calibri" w:hAnsi="Palatino Linotype" w:cs="Arial"/>
        </w:rPr>
        <w:t>febre</w:t>
      </w:r>
      <w:r w:rsidRPr="00F25150">
        <w:rPr>
          <w:rFonts w:ascii="Palatino Linotype" w:eastAsia="Calibri" w:hAnsi="Palatino Linotype" w:cs="Arial"/>
        </w:rPr>
        <w:t>ro de dos mil veintidós</w:t>
      </w:r>
      <w:r w:rsidR="009F09BC" w:rsidRPr="00F25150">
        <w:rPr>
          <w:rFonts w:ascii="Palatino Linotype" w:eastAsia="Calibri" w:hAnsi="Palatino Linotype" w:cs="Arial"/>
        </w:rPr>
        <w:t xml:space="preserve">, </w:t>
      </w:r>
      <w:r w:rsidR="009F09BC" w:rsidRPr="00F25150">
        <w:rPr>
          <w:rFonts w:ascii="Palatino Linotype" w:hAnsi="Palatino Linotype" w:cs="Arial"/>
        </w:rPr>
        <w:t xml:space="preserve">de tal forma que </w:t>
      </w:r>
      <w:r w:rsidRPr="00F25150">
        <w:rPr>
          <w:rFonts w:ascii="Palatino Linotype" w:hAnsi="Palatino Linotype" w:cs="Arial"/>
        </w:rPr>
        <w:t>e</w:t>
      </w:r>
      <w:r w:rsidR="009F09BC" w:rsidRPr="00F25150">
        <w:rPr>
          <w:rFonts w:ascii="Palatino Linotype" w:hAnsi="Palatino Linotype" w:cs="Arial"/>
        </w:rPr>
        <w:t xml:space="preserve">l plazo para interponer </w:t>
      </w:r>
      <w:r w:rsidRPr="00F25150">
        <w:rPr>
          <w:rFonts w:ascii="Palatino Linotype" w:hAnsi="Palatino Linotype" w:cs="Arial"/>
        </w:rPr>
        <w:t>e</w:t>
      </w:r>
      <w:r w:rsidR="009F09BC" w:rsidRPr="00F25150">
        <w:rPr>
          <w:rFonts w:ascii="Palatino Linotype" w:hAnsi="Palatino Linotype" w:cs="Arial"/>
        </w:rPr>
        <w:t xml:space="preserve">l recurso de revisión </w:t>
      </w:r>
      <w:r w:rsidRPr="00F25150">
        <w:rPr>
          <w:rFonts w:ascii="Palatino Linotype" w:hAnsi="Palatino Linotype" w:cs="Arial"/>
        </w:rPr>
        <w:t>transcurrió</w:t>
      </w:r>
      <w:r w:rsidR="009F09BC" w:rsidRPr="00F25150">
        <w:rPr>
          <w:rFonts w:ascii="Palatino Linotype" w:hAnsi="Palatino Linotype" w:cs="Arial"/>
        </w:rPr>
        <w:t xml:space="preserve"> del día </w:t>
      </w:r>
      <w:r w:rsidR="007A460E" w:rsidRPr="00F25150">
        <w:rPr>
          <w:rFonts w:ascii="Palatino Linotype" w:hAnsi="Palatino Linotype" w:cs="Arial"/>
        </w:rPr>
        <w:t>once</w:t>
      </w:r>
      <w:r w:rsidRPr="00F25150">
        <w:rPr>
          <w:rFonts w:ascii="Palatino Linotype" w:hAnsi="Palatino Linotype" w:cs="Arial"/>
        </w:rPr>
        <w:t xml:space="preserve"> (1</w:t>
      </w:r>
      <w:r w:rsidR="007A460E" w:rsidRPr="00F25150">
        <w:rPr>
          <w:rFonts w:ascii="Palatino Linotype" w:hAnsi="Palatino Linotype" w:cs="Arial"/>
        </w:rPr>
        <w:t>1</w:t>
      </w:r>
      <w:r w:rsidR="009F09BC" w:rsidRPr="00F25150">
        <w:rPr>
          <w:rFonts w:ascii="Palatino Linotype" w:hAnsi="Palatino Linotype" w:cs="Arial"/>
        </w:rPr>
        <w:t xml:space="preserve">) de </w:t>
      </w:r>
      <w:r w:rsidR="007A460E" w:rsidRPr="00F25150">
        <w:rPr>
          <w:rFonts w:ascii="Palatino Linotype" w:hAnsi="Palatino Linotype" w:cs="Arial"/>
        </w:rPr>
        <w:t>febre</w:t>
      </w:r>
      <w:r w:rsidRPr="00F25150">
        <w:rPr>
          <w:rFonts w:ascii="Palatino Linotype" w:hAnsi="Palatino Linotype" w:cs="Arial"/>
        </w:rPr>
        <w:t>ro</w:t>
      </w:r>
      <w:r w:rsidR="007A460E" w:rsidRPr="00F25150">
        <w:rPr>
          <w:rFonts w:ascii="Palatino Linotype" w:hAnsi="Palatino Linotype" w:cs="Arial"/>
        </w:rPr>
        <w:t xml:space="preserve"> al cuatro</w:t>
      </w:r>
      <w:r w:rsidR="009F09BC" w:rsidRPr="00F25150">
        <w:rPr>
          <w:rFonts w:ascii="Palatino Linotype" w:hAnsi="Palatino Linotype" w:cs="Arial"/>
        </w:rPr>
        <w:t xml:space="preserve"> (</w:t>
      </w:r>
      <w:r w:rsidRPr="00F25150">
        <w:rPr>
          <w:rFonts w:ascii="Palatino Linotype" w:hAnsi="Palatino Linotype" w:cs="Arial"/>
        </w:rPr>
        <w:t>0</w:t>
      </w:r>
      <w:r w:rsidR="007A460E" w:rsidRPr="00F25150">
        <w:rPr>
          <w:rFonts w:ascii="Palatino Linotype" w:hAnsi="Palatino Linotype" w:cs="Arial"/>
        </w:rPr>
        <w:t>4</w:t>
      </w:r>
      <w:r w:rsidR="009F09BC" w:rsidRPr="00F25150">
        <w:rPr>
          <w:rFonts w:ascii="Palatino Linotype" w:hAnsi="Palatino Linotype" w:cs="Arial"/>
        </w:rPr>
        <w:t>)</w:t>
      </w:r>
      <w:r w:rsidR="0001674C" w:rsidRPr="00F25150">
        <w:rPr>
          <w:rFonts w:ascii="Palatino Linotype" w:hAnsi="Palatino Linotype" w:cs="Arial"/>
        </w:rPr>
        <w:t xml:space="preserve"> de </w:t>
      </w:r>
      <w:r w:rsidR="007A460E" w:rsidRPr="00F25150">
        <w:rPr>
          <w:rFonts w:ascii="Palatino Linotype" w:hAnsi="Palatino Linotype" w:cs="Arial"/>
        </w:rPr>
        <w:t>marz</w:t>
      </w:r>
      <w:r w:rsidRPr="00F25150">
        <w:rPr>
          <w:rFonts w:ascii="Palatino Linotype" w:hAnsi="Palatino Linotype" w:cs="Arial"/>
        </w:rPr>
        <w:t>o</w:t>
      </w:r>
      <w:r w:rsidR="0001674C" w:rsidRPr="00F25150">
        <w:rPr>
          <w:rFonts w:ascii="Palatino Linotype" w:hAnsi="Palatino Linotype" w:cs="Arial"/>
        </w:rPr>
        <w:t xml:space="preserve"> de dos mil </w:t>
      </w:r>
      <w:r w:rsidRPr="00F25150">
        <w:rPr>
          <w:rFonts w:ascii="Palatino Linotype" w:hAnsi="Palatino Linotype" w:cs="Arial"/>
        </w:rPr>
        <w:t>veintidós</w:t>
      </w:r>
      <w:r w:rsidR="0001674C" w:rsidRPr="00F25150">
        <w:rPr>
          <w:rFonts w:ascii="Palatino Linotype" w:hAnsi="Palatino Linotype" w:cs="Arial"/>
        </w:rPr>
        <w:t>; e</w:t>
      </w:r>
      <w:r w:rsidR="009F09BC" w:rsidRPr="00F25150">
        <w:rPr>
          <w:rFonts w:ascii="Palatino Linotype" w:hAnsi="Palatino Linotype" w:cs="Arial"/>
        </w:rPr>
        <w:t xml:space="preserve">n consecuencia, el ahora </w:t>
      </w:r>
      <w:r w:rsidR="009F09BC" w:rsidRPr="00F25150">
        <w:rPr>
          <w:rFonts w:ascii="Palatino Linotype" w:hAnsi="Palatino Linotype" w:cs="Arial"/>
          <w:b/>
        </w:rPr>
        <w:t>RECURRENTE</w:t>
      </w:r>
      <w:r w:rsidR="009F09BC" w:rsidRPr="00F25150">
        <w:rPr>
          <w:rFonts w:ascii="Palatino Linotype" w:hAnsi="Palatino Linotype" w:cs="Arial"/>
        </w:rPr>
        <w:t xml:space="preserve"> presentó </w:t>
      </w:r>
      <w:r w:rsidR="00CA1063" w:rsidRPr="00F25150">
        <w:rPr>
          <w:rFonts w:ascii="Palatino Linotype" w:hAnsi="Palatino Linotype" w:cs="Arial"/>
        </w:rPr>
        <w:t xml:space="preserve">su inconformidad el día </w:t>
      </w:r>
      <w:r w:rsidR="0082142B" w:rsidRPr="00F25150">
        <w:rPr>
          <w:rFonts w:ascii="Palatino Linotype" w:hAnsi="Palatino Linotype" w:cs="Arial"/>
        </w:rPr>
        <w:t xml:space="preserve">veintiuno </w:t>
      </w:r>
      <w:r w:rsidR="009F09BC" w:rsidRPr="00F25150">
        <w:rPr>
          <w:rFonts w:ascii="Palatino Linotype" w:hAnsi="Palatino Linotype" w:cs="Arial"/>
        </w:rPr>
        <w:t>(</w:t>
      </w:r>
      <w:r w:rsidR="0082142B" w:rsidRPr="00F25150">
        <w:rPr>
          <w:rFonts w:ascii="Palatino Linotype" w:hAnsi="Palatino Linotype" w:cs="Arial"/>
        </w:rPr>
        <w:t>21</w:t>
      </w:r>
      <w:r w:rsidR="009F09BC" w:rsidRPr="00F25150">
        <w:rPr>
          <w:rFonts w:ascii="Palatino Linotype" w:hAnsi="Palatino Linotype" w:cs="Arial"/>
        </w:rPr>
        <w:t xml:space="preserve">) de </w:t>
      </w:r>
      <w:r w:rsidR="007A460E" w:rsidRPr="00F25150">
        <w:rPr>
          <w:rFonts w:ascii="Palatino Linotype" w:hAnsi="Palatino Linotype" w:cs="Arial"/>
        </w:rPr>
        <w:t>febre</w:t>
      </w:r>
      <w:r w:rsidR="007142D6" w:rsidRPr="00F25150">
        <w:rPr>
          <w:rFonts w:ascii="Palatino Linotype" w:hAnsi="Palatino Linotype" w:cs="Arial"/>
        </w:rPr>
        <w:t>ro de dos mil veintidós</w:t>
      </w:r>
      <w:r w:rsidR="009F09BC" w:rsidRPr="00F25150">
        <w:rPr>
          <w:rFonts w:ascii="Palatino Linotype" w:hAnsi="Palatino Linotype" w:cs="Arial"/>
        </w:rPr>
        <w:t xml:space="preserve">; </w:t>
      </w:r>
      <w:r w:rsidR="0062406B" w:rsidRPr="00F25150">
        <w:rPr>
          <w:rFonts w:ascii="Palatino Linotype" w:hAnsi="Palatino Linotype" w:cs="Arial"/>
        </w:rPr>
        <w:t xml:space="preserve">es decir </w:t>
      </w:r>
      <w:r w:rsidR="0082142B" w:rsidRPr="00F25150">
        <w:rPr>
          <w:rFonts w:ascii="Palatino Linotype" w:hAnsi="Palatino Linotype" w:cs="Arial"/>
        </w:rPr>
        <w:t>dentro d</w:t>
      </w:r>
      <w:r w:rsidR="009F09BC" w:rsidRPr="00F25150">
        <w:rPr>
          <w:rFonts w:ascii="Palatino Linotype" w:hAnsi="Palatino Linotype" w:cs="Arial"/>
        </w:rPr>
        <w:t>el lapso legalmente establecido para tal efecto.</w:t>
      </w:r>
    </w:p>
    <w:p w:rsidR="0062406B" w:rsidRPr="00F25150" w:rsidRDefault="0062406B" w:rsidP="0062406B">
      <w:pPr>
        <w:pStyle w:val="Prrafodelista"/>
        <w:spacing w:line="360" w:lineRule="auto"/>
        <w:ind w:left="0"/>
        <w:jc w:val="both"/>
        <w:rPr>
          <w:rFonts w:ascii="Palatino Linotype" w:hAnsi="Palatino Linotype"/>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hAnsi="Palatino Linotype"/>
        </w:rPr>
        <w:lastRenderedPageBreak/>
        <w:t xml:space="preserve">Por otro lado, </w:t>
      </w:r>
      <w:r w:rsidRPr="00F25150">
        <w:rPr>
          <w:rFonts w:ascii="Palatino Linotype" w:eastAsia="Calibri" w:hAnsi="Palatino Linotype" w:cs="Arial"/>
        </w:rPr>
        <w:t>es</w:t>
      </w:r>
      <w:r w:rsidRPr="00F25150">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2142B" w:rsidRPr="00F25150" w:rsidRDefault="0082142B" w:rsidP="0082142B">
      <w:pPr>
        <w:pStyle w:val="Prrafodelista"/>
        <w:rPr>
          <w:rFonts w:ascii="Palatino Linotype" w:eastAsia="Palatino Linotype" w:hAnsi="Palatino Linotype" w:cs="Palatino Linotype"/>
        </w:rPr>
      </w:pP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r w:rsidRPr="00F25150">
        <w:rPr>
          <w:rFonts w:ascii="Palatino Linotype" w:eastAsia="Palatino Linotype" w:hAnsi="Palatino Linotype" w:cs="Palatino Linotype"/>
          <w:b/>
          <w:i/>
        </w:rPr>
        <w:t>Las solicitudes anónimas</w:t>
      </w:r>
      <w:r w:rsidRPr="00F25150">
        <w:rPr>
          <w:rFonts w:ascii="Palatino Linotype" w:eastAsia="Palatino Linotype" w:hAnsi="Palatino Linotype" w:cs="Palatino Linotype"/>
          <w:i/>
        </w:rPr>
        <w:t xml:space="preserve">, con nombre incompleto o seudónimo </w:t>
      </w:r>
      <w:r w:rsidRPr="00F25150">
        <w:rPr>
          <w:rFonts w:ascii="Palatino Linotype" w:eastAsia="Palatino Linotype" w:hAnsi="Palatino Linotype" w:cs="Palatino Linotype"/>
          <w:b/>
          <w:i/>
        </w:rPr>
        <w:t>serán procedentes para su trámite por parte del sujeto obligado ante quien se presente</w:t>
      </w:r>
      <w:r w:rsidRPr="00F25150">
        <w:rPr>
          <w:rFonts w:ascii="Palatino Linotype" w:eastAsia="Palatino Linotype" w:hAnsi="Palatino Linotype" w:cs="Palatino Linotype"/>
          <w:i/>
        </w:rPr>
        <w:t>. No podrá requerirse información adicional con motivo del nombre proporcionado por el solicitante."</w:t>
      </w:r>
    </w:p>
    <w:p w:rsidR="0074110E" w:rsidRPr="00F25150" w:rsidRDefault="0074110E" w:rsidP="0074110E">
      <w:pPr>
        <w:spacing w:line="360" w:lineRule="auto"/>
        <w:jc w:val="both"/>
        <w:rPr>
          <w:rFonts w:ascii="Palatino Linotype" w:eastAsia="Palatino Linotype" w:hAnsi="Palatino Linotype" w:cs="Palatino Linotype"/>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hAnsi="Palatino Linotype"/>
        </w:rPr>
        <w:t>Robusteciendo</w:t>
      </w:r>
      <w:r w:rsidRPr="00F25150">
        <w:rPr>
          <w:rFonts w:ascii="Palatino Linotype" w:eastAsia="Palatino Linotype" w:hAnsi="Palatino Linotype" w:cs="Palatino Linotype"/>
        </w:rPr>
        <w:t xml:space="preserve"> lo anterior se encuentra lo dispuesto en el artículo 6, Apartado A, </w:t>
      </w:r>
      <w:r w:rsidRPr="00F25150">
        <w:rPr>
          <w:rFonts w:ascii="Palatino Linotype" w:eastAsia="Palatino Linotype" w:hAnsi="Palatino Linotype" w:cs="Palatino Linotype"/>
          <w:color w:val="000000"/>
        </w:rPr>
        <w:t>fracciones</w:t>
      </w:r>
      <w:r w:rsidRPr="00F25150">
        <w:rPr>
          <w:rFonts w:ascii="Palatino Linotype" w:eastAsia="Palatino Linotype" w:hAnsi="Palatino Linotype" w:cs="Palatino Linotype"/>
        </w:rPr>
        <w:t xml:space="preserve"> III de la Constitución Política de los Estados Unidos Mexicanos que establece:</w:t>
      </w:r>
    </w:p>
    <w:p w:rsidR="0074110E" w:rsidRPr="00F25150" w:rsidRDefault="0074110E" w:rsidP="0074110E">
      <w:pPr>
        <w:spacing w:line="360" w:lineRule="auto"/>
        <w:ind w:right="474"/>
        <w:jc w:val="both"/>
        <w:rPr>
          <w:rFonts w:ascii="Palatino Linotype" w:eastAsia="Palatino Linotype" w:hAnsi="Palatino Linotype" w:cs="Palatino Linotype"/>
          <w:i/>
        </w:rPr>
      </w:pP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r w:rsidRPr="00F25150">
        <w:rPr>
          <w:rFonts w:ascii="Palatino Linotype" w:eastAsia="Palatino Linotype" w:hAnsi="Palatino Linotype" w:cs="Palatino Linotype"/>
          <w:b/>
          <w:i/>
        </w:rPr>
        <w:t>Artículo 6.-</w:t>
      </w:r>
      <w:r w:rsidRPr="00F2515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Para efectos de lo dispuesto en el presente artículo se observará lo siguiente:</w:t>
      </w:r>
    </w:p>
    <w:p w:rsidR="0074110E" w:rsidRPr="00F25150" w:rsidRDefault="0074110E" w:rsidP="0074110E">
      <w:pPr>
        <w:spacing w:line="360" w:lineRule="auto"/>
        <w:ind w:left="567" w:right="474"/>
        <w:jc w:val="both"/>
        <w:rPr>
          <w:rFonts w:ascii="Palatino Linotype" w:eastAsia="Palatino Linotype" w:hAnsi="Palatino Linotype" w:cs="Palatino Linotype"/>
          <w:i/>
        </w:rPr>
      </w:pP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74110E" w:rsidRPr="00F25150" w:rsidRDefault="0074110E" w:rsidP="0074110E">
      <w:pPr>
        <w:spacing w:line="360" w:lineRule="auto"/>
        <w:ind w:left="567" w:right="474"/>
        <w:jc w:val="both"/>
        <w:rPr>
          <w:rFonts w:ascii="Palatino Linotype" w:eastAsia="Palatino Linotype" w:hAnsi="Palatino Linotype" w:cs="Palatino Linotype"/>
          <w:i/>
        </w:rPr>
      </w:pP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4110E" w:rsidRPr="00F25150" w:rsidRDefault="0074110E" w:rsidP="0074110E">
      <w:pPr>
        <w:spacing w:line="360" w:lineRule="auto"/>
        <w:ind w:left="567" w:right="474"/>
        <w:jc w:val="both"/>
        <w:rPr>
          <w:rFonts w:ascii="Palatino Linotype" w:eastAsia="Palatino Linotype" w:hAnsi="Palatino Linotype" w:cs="Palatino Linotype"/>
          <w:i/>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4110E" w:rsidRPr="00F25150" w:rsidRDefault="0074110E" w:rsidP="0074110E">
      <w:pPr>
        <w:pStyle w:val="Prrafodelista"/>
        <w:spacing w:line="360" w:lineRule="auto"/>
        <w:ind w:left="0"/>
        <w:jc w:val="both"/>
        <w:rPr>
          <w:rFonts w:ascii="Palatino Linotype" w:eastAsia="Palatino Linotype" w:hAnsi="Palatino Linotype" w:cs="Palatino Linotype"/>
        </w:rPr>
      </w:pP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r w:rsidRPr="00F25150">
        <w:rPr>
          <w:rFonts w:ascii="Palatino Linotype" w:eastAsia="Palatino Linotype" w:hAnsi="Palatino Linotype" w:cs="Palatino Linotype"/>
          <w:b/>
          <w:i/>
        </w:rPr>
        <w:t>Artículo 5.-</w:t>
      </w:r>
      <w:r w:rsidRPr="00F2515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4110E" w:rsidRPr="00F25150" w:rsidRDefault="0074110E" w:rsidP="0074110E">
      <w:pPr>
        <w:spacing w:line="360" w:lineRule="auto"/>
        <w:ind w:left="567"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4110E" w:rsidRPr="00F25150" w:rsidRDefault="0074110E" w:rsidP="0074110E">
      <w:pPr>
        <w:spacing w:line="360" w:lineRule="auto"/>
        <w:ind w:left="567" w:right="474"/>
        <w:jc w:val="both"/>
        <w:rPr>
          <w:rFonts w:ascii="Palatino Linotype" w:eastAsia="Palatino Linotype" w:hAnsi="Palatino Linotype" w:cs="Palatino Linotype"/>
          <w:i/>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eastAsia="Palatino Linotype" w:hAnsi="Palatino Linotype" w:cs="Palatino Linotype"/>
        </w:rPr>
        <w:t>Por otra parte, del contenido del artículo 1 de la Constitución Política de los Estados Unidos mexicanos, se destaca lo siguiente:</w:t>
      </w:r>
    </w:p>
    <w:p w:rsidR="0074110E" w:rsidRPr="00F25150" w:rsidRDefault="0074110E" w:rsidP="0074110E">
      <w:pPr>
        <w:spacing w:line="360" w:lineRule="auto"/>
        <w:ind w:left="567" w:right="474"/>
        <w:jc w:val="both"/>
        <w:rPr>
          <w:rFonts w:ascii="Palatino Linotype" w:eastAsia="Palatino Linotype" w:hAnsi="Palatino Linotype" w:cs="Palatino Linotype"/>
          <w:i/>
        </w:rPr>
      </w:pP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lastRenderedPageBreak/>
        <w:t>"</w:t>
      </w:r>
      <w:r w:rsidRPr="00F25150">
        <w:rPr>
          <w:rFonts w:ascii="Palatino Linotype" w:eastAsia="Palatino Linotype" w:hAnsi="Palatino Linotype" w:cs="Palatino Linotype"/>
          <w:b/>
          <w:i/>
        </w:rPr>
        <w:t>Artículo 1</w:t>
      </w:r>
      <w:r w:rsidRPr="00F2515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4110E" w:rsidRPr="00F25150" w:rsidRDefault="0074110E" w:rsidP="0074110E">
      <w:pPr>
        <w:spacing w:line="360" w:lineRule="auto"/>
        <w:ind w:left="426" w:right="474"/>
        <w:jc w:val="both"/>
        <w:rPr>
          <w:rFonts w:ascii="Palatino Linotype" w:eastAsia="Palatino Linotype" w:hAnsi="Palatino Linotype" w:cs="Palatino Linotype"/>
          <w:i/>
        </w:rPr>
      </w:pPr>
      <w:r w:rsidRPr="00F2515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82142B" w:rsidRPr="00F25150">
        <w:rPr>
          <w:rFonts w:ascii="Palatino Linotype" w:eastAsia="Palatino Linotype" w:hAnsi="Palatino Linotype" w:cs="Palatino Linotype"/>
          <w:i/>
        </w:rPr>
        <w:t xml:space="preserve"> </w:t>
      </w:r>
      <w:r w:rsidRPr="00F25150">
        <w:rPr>
          <w:rFonts w:ascii="Palatino Linotype" w:eastAsia="Palatino Linotype" w:hAnsi="Palatino Linotype" w:cs="Palatino Linotype"/>
        </w:rPr>
        <w:t>(Sic)</w:t>
      </w:r>
    </w:p>
    <w:p w:rsidR="0082142B" w:rsidRPr="00F25150" w:rsidRDefault="0082142B" w:rsidP="0074110E">
      <w:pPr>
        <w:spacing w:line="360" w:lineRule="auto"/>
        <w:ind w:left="426" w:right="474"/>
        <w:jc w:val="both"/>
        <w:rPr>
          <w:rFonts w:ascii="Palatino Linotype" w:eastAsia="Palatino Linotype" w:hAnsi="Palatino Linotype" w:cs="Palatino Linotype"/>
          <w:i/>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25150">
        <w:rPr>
          <w:rFonts w:ascii="Palatino Linotype" w:eastAsia="Palatino Linotype" w:hAnsi="Palatino Linotype" w:cs="Palatino Linotype"/>
          <w:i/>
        </w:rPr>
        <w:t>derecho fundamental exime a quien lo ejerce</w:t>
      </w:r>
      <w:r w:rsidRPr="00F2515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4110E" w:rsidRPr="00F25150" w:rsidRDefault="0074110E" w:rsidP="0074110E">
      <w:pPr>
        <w:spacing w:line="360" w:lineRule="auto"/>
        <w:jc w:val="both"/>
        <w:rPr>
          <w:rFonts w:ascii="Palatino Linotype" w:eastAsia="Palatino Linotype" w:hAnsi="Palatino Linotype" w:cs="Palatino Linotype"/>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F25150">
        <w:rPr>
          <w:rFonts w:ascii="Palatino Linotype" w:eastAsia="Palatino Linotype" w:hAnsi="Palatino Linotype" w:cs="Palatino Linotype"/>
        </w:rPr>
        <w:lastRenderedPageBreak/>
        <w:t>Transparencia Acceso a la Información y Protección de Datos Personales, el cual se reproduce para una mayor referencia:</w:t>
      </w:r>
    </w:p>
    <w:p w:rsidR="0074110E" w:rsidRPr="00F25150" w:rsidRDefault="0074110E" w:rsidP="0074110E">
      <w:pPr>
        <w:spacing w:line="360" w:lineRule="auto"/>
        <w:jc w:val="both"/>
        <w:rPr>
          <w:rFonts w:ascii="Palatino Linotype" w:eastAsia="Palatino Linotype" w:hAnsi="Palatino Linotype" w:cs="Palatino Linotype"/>
        </w:rPr>
      </w:pPr>
    </w:p>
    <w:p w:rsidR="0074110E" w:rsidRPr="00F25150" w:rsidRDefault="0074110E" w:rsidP="00053FB7">
      <w:pPr>
        <w:spacing w:line="360" w:lineRule="auto"/>
        <w:ind w:left="567" w:right="616"/>
        <w:jc w:val="both"/>
        <w:rPr>
          <w:rFonts w:ascii="Palatino Linotype" w:eastAsia="Palatino Linotype" w:hAnsi="Palatino Linotype" w:cs="Palatino Linotype"/>
          <w:i/>
        </w:rPr>
      </w:pPr>
      <w:r w:rsidRPr="00F25150">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4110E" w:rsidRPr="00F25150" w:rsidRDefault="0074110E" w:rsidP="0074110E">
      <w:pPr>
        <w:spacing w:line="360" w:lineRule="auto"/>
        <w:jc w:val="both"/>
        <w:rPr>
          <w:rFonts w:ascii="Palatino Linotype" w:eastAsia="Palatino Linotype" w:hAnsi="Palatino Linotype" w:cs="Palatino Linotype"/>
        </w:rPr>
      </w:pPr>
    </w:p>
    <w:p w:rsidR="0074110E" w:rsidRPr="00F25150"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F25150">
        <w:rPr>
          <w:rFonts w:ascii="Palatino Linotype" w:eastAsia="Palatino Linotype" w:hAnsi="Palatino Linotype" w:cs="Palatino Linotype"/>
        </w:rPr>
        <w:t xml:space="preserve">En consecuencia, dado lo expuesto y fundado con anterioridad, se estima que el requisito relativo al nombre del </w:t>
      </w:r>
      <w:r w:rsidRPr="00F25150">
        <w:rPr>
          <w:rFonts w:ascii="Palatino Linotype" w:eastAsia="Palatino Linotype" w:hAnsi="Palatino Linotype" w:cs="Palatino Linotype"/>
          <w:b/>
        </w:rPr>
        <w:t>RECURRENTE</w:t>
      </w:r>
      <w:r w:rsidRPr="00F25150">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w:t>
      </w:r>
      <w:r w:rsidRPr="00F25150">
        <w:rPr>
          <w:rFonts w:ascii="Palatino Linotype" w:eastAsia="Palatino Linotype" w:hAnsi="Palatino Linotype" w:cs="Palatino Linotype"/>
        </w:rPr>
        <w:lastRenderedPageBreak/>
        <w:t>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4110E" w:rsidRPr="00F25150" w:rsidRDefault="0074110E" w:rsidP="0074110E">
      <w:pPr>
        <w:pStyle w:val="Prrafodelista"/>
        <w:rPr>
          <w:rFonts w:ascii="Palatino Linotype" w:eastAsia="Calibri" w:hAnsi="Palatino Linotype" w:cs="Arial"/>
        </w:rPr>
      </w:pPr>
    </w:p>
    <w:p w:rsidR="009F09BC" w:rsidRPr="00F25150" w:rsidRDefault="009F09BC" w:rsidP="00CF0D2B">
      <w:pPr>
        <w:pStyle w:val="Prrafodelista"/>
        <w:numPr>
          <w:ilvl w:val="0"/>
          <w:numId w:val="15"/>
        </w:numPr>
        <w:spacing w:line="360" w:lineRule="auto"/>
        <w:ind w:left="0" w:firstLine="0"/>
        <w:jc w:val="both"/>
        <w:rPr>
          <w:rFonts w:ascii="Palatino Linotype" w:hAnsi="Palatino Linotype"/>
        </w:rPr>
      </w:pPr>
      <w:r w:rsidRPr="00F25150">
        <w:rPr>
          <w:rFonts w:ascii="Palatino Linotype" w:eastAsia="Calibri" w:hAnsi="Palatino Linotype" w:cs="Arial"/>
        </w:rPr>
        <w:t xml:space="preserve">Asimismo, </w:t>
      </w:r>
      <w:r w:rsidR="00CF0D2B" w:rsidRPr="00F25150">
        <w:rPr>
          <w:rFonts w:ascii="Palatino Linotype" w:eastAsia="Calibri" w:hAnsi="Palatino Linotype" w:cs="Arial"/>
        </w:rPr>
        <w:t>e</w:t>
      </w:r>
      <w:r w:rsidRPr="00F25150">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F25150" w:rsidRDefault="00CF0D2B" w:rsidP="007142AB">
      <w:pPr>
        <w:rPr>
          <w:rFonts w:ascii="Palatino Linotype" w:hAnsi="Palatino Linotype"/>
        </w:rPr>
      </w:pPr>
    </w:p>
    <w:p w:rsidR="009F09BC" w:rsidRPr="00F25150"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F25150">
        <w:rPr>
          <w:rFonts w:ascii="Palatino Linotype" w:hAnsi="Palatino Linotype"/>
          <w:b/>
          <w:color w:val="000000" w:themeColor="text1"/>
          <w:sz w:val="24"/>
          <w:szCs w:val="24"/>
        </w:rPr>
        <w:t xml:space="preserve">TERCERO. </w:t>
      </w:r>
      <w:bookmarkStart w:id="144" w:name="_Toc501021589"/>
      <w:r w:rsidRPr="00F25150">
        <w:rPr>
          <w:rFonts w:ascii="Palatino Linotype" w:hAnsi="Palatino Linotype"/>
          <w:b/>
          <w:color w:val="000000" w:themeColor="text1"/>
          <w:sz w:val="24"/>
          <w:szCs w:val="24"/>
        </w:rPr>
        <w:t xml:space="preserve">Del planteamiento de la </w:t>
      </w:r>
      <w:r w:rsidRPr="00F25150">
        <w:rPr>
          <w:rFonts w:ascii="Palatino Linotype" w:hAnsi="Palatino Linotype"/>
          <w:b/>
          <w:i/>
          <w:color w:val="000000" w:themeColor="text1"/>
          <w:sz w:val="24"/>
          <w:szCs w:val="24"/>
        </w:rPr>
        <w:t>Litis</w:t>
      </w:r>
      <w:r w:rsidRPr="00F25150">
        <w:rPr>
          <w:rFonts w:ascii="Palatino Linotype" w:hAnsi="Palatino Linotype"/>
          <w:b/>
          <w:color w:val="000000" w:themeColor="text1"/>
          <w:sz w:val="24"/>
          <w:szCs w:val="24"/>
        </w:rPr>
        <w:t>.</w:t>
      </w:r>
      <w:bookmarkEnd w:id="140"/>
      <w:bookmarkEnd w:id="141"/>
      <w:bookmarkEnd w:id="142"/>
      <w:bookmarkEnd w:id="143"/>
      <w:bookmarkEnd w:id="144"/>
    </w:p>
    <w:p w:rsidR="009F09BC" w:rsidRPr="00F25150" w:rsidRDefault="009F09BC" w:rsidP="009F09BC">
      <w:pPr>
        <w:rPr>
          <w:lang w:val="es-MX" w:eastAsia="en-US"/>
        </w:rPr>
      </w:pPr>
    </w:p>
    <w:p w:rsidR="009F09BC" w:rsidRPr="00F25150" w:rsidRDefault="009F09BC" w:rsidP="009F09BC">
      <w:pPr>
        <w:pStyle w:val="Prrafodelista"/>
        <w:numPr>
          <w:ilvl w:val="0"/>
          <w:numId w:val="15"/>
        </w:numPr>
        <w:spacing w:line="360" w:lineRule="auto"/>
        <w:ind w:left="0" w:firstLine="0"/>
        <w:jc w:val="both"/>
        <w:rPr>
          <w:rFonts w:ascii="Palatino Linotype" w:hAnsi="Palatino Linotype" w:cs="Arial"/>
        </w:rPr>
      </w:pPr>
      <w:r w:rsidRPr="00F25150">
        <w:rPr>
          <w:rFonts w:ascii="Palatino Linotype" w:hAnsi="Palatino Linotype" w:cs="Arial"/>
        </w:rPr>
        <w:t xml:space="preserve">Se </w:t>
      </w:r>
      <w:r w:rsidRPr="00F25150">
        <w:rPr>
          <w:rFonts w:ascii="Palatino Linotype" w:eastAsia="Calibri" w:hAnsi="Palatino Linotype" w:cs="Arial"/>
        </w:rPr>
        <w:t>solicitó</w:t>
      </w:r>
      <w:r w:rsidRPr="00F25150">
        <w:rPr>
          <w:rFonts w:ascii="Palatino Linotype" w:hAnsi="Palatino Linotype" w:cs="Arial"/>
        </w:rPr>
        <w:t xml:space="preserve"> </w:t>
      </w:r>
      <w:r w:rsidR="00AD63B4" w:rsidRPr="00F25150">
        <w:rPr>
          <w:rFonts w:ascii="Palatino Linotype" w:hAnsi="Palatino Linotype" w:cs="Arial"/>
        </w:rPr>
        <w:t xml:space="preserve">tener acceso, a la </w:t>
      </w:r>
      <w:r w:rsidRPr="00F25150">
        <w:rPr>
          <w:rFonts w:ascii="Palatino Linotype" w:hAnsi="Palatino Linotype" w:cs="Arial"/>
        </w:rPr>
        <w:t>información que a continuación se desagrega:</w:t>
      </w:r>
    </w:p>
    <w:p w:rsidR="009F09BC" w:rsidRPr="00F25150" w:rsidRDefault="009F09BC" w:rsidP="009F09BC">
      <w:pPr>
        <w:pStyle w:val="Prrafodelista"/>
        <w:spacing w:line="360" w:lineRule="auto"/>
        <w:ind w:left="0"/>
        <w:jc w:val="both"/>
        <w:rPr>
          <w:rFonts w:ascii="Palatino Linotype" w:hAnsi="Palatino Linotype" w:cs="Arial"/>
        </w:rPr>
      </w:pPr>
    </w:p>
    <w:p w:rsidR="009F09BC" w:rsidRPr="00F25150" w:rsidRDefault="0082142B" w:rsidP="0082142B">
      <w:pPr>
        <w:pStyle w:val="Prrafodelista"/>
        <w:numPr>
          <w:ilvl w:val="1"/>
          <w:numId w:val="27"/>
        </w:numPr>
        <w:spacing w:line="360" w:lineRule="auto"/>
        <w:ind w:left="709"/>
        <w:jc w:val="both"/>
        <w:rPr>
          <w:rFonts w:ascii="Palatino Linotype" w:hAnsi="Palatino Linotype" w:cs="Arial"/>
        </w:rPr>
      </w:pPr>
      <w:r w:rsidRPr="00F25150">
        <w:rPr>
          <w:rFonts w:ascii="Palatino Linotype" w:hAnsi="Palatino Linotype" w:cs="Arial"/>
          <w:b/>
        </w:rPr>
        <w:t xml:space="preserve">Detalladamente por municipio, región, zona, </w:t>
      </w:r>
      <w:proofErr w:type="spellStart"/>
      <w:r w:rsidRPr="00F25150">
        <w:rPr>
          <w:rFonts w:ascii="Palatino Linotype" w:hAnsi="Palatino Linotype" w:cs="Arial"/>
          <w:b/>
        </w:rPr>
        <w:t>etc</w:t>
      </w:r>
      <w:proofErr w:type="spellEnd"/>
      <w:r w:rsidRPr="00F25150">
        <w:rPr>
          <w:rFonts w:ascii="Palatino Linotype" w:hAnsi="Palatino Linotype" w:cs="Arial"/>
          <w:b/>
        </w:rPr>
        <w:t>, el índice delictivo en el Estado de México.</w:t>
      </w:r>
    </w:p>
    <w:p w:rsidR="007142D6" w:rsidRPr="00F25150" w:rsidRDefault="007142D6" w:rsidP="007142D6">
      <w:pPr>
        <w:pStyle w:val="Prrafodelista"/>
        <w:spacing w:line="360" w:lineRule="auto"/>
        <w:ind w:left="709"/>
        <w:jc w:val="both"/>
        <w:rPr>
          <w:rFonts w:ascii="Palatino Linotype" w:hAnsi="Palatino Linotype" w:cs="Arial"/>
        </w:rPr>
      </w:pPr>
    </w:p>
    <w:p w:rsidR="009F09BC" w:rsidRPr="00F25150" w:rsidRDefault="009F09BC" w:rsidP="009F09BC">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b/>
        </w:rPr>
        <w:t xml:space="preserve">EL PARTICULAR </w:t>
      </w:r>
      <w:r w:rsidRPr="00F25150">
        <w:rPr>
          <w:rFonts w:ascii="Palatino Linotype" w:hAnsi="Palatino Linotype" w:cs="Arial"/>
        </w:rPr>
        <w:t xml:space="preserve">inconforme con la respuesta, expuso </w:t>
      </w:r>
      <w:r w:rsidR="00CF0D2B" w:rsidRPr="00F25150">
        <w:rPr>
          <w:rFonts w:ascii="Palatino Linotype" w:hAnsi="Palatino Linotype" w:cs="Arial"/>
          <w:i/>
        </w:rPr>
        <w:t>grosso modo</w:t>
      </w:r>
      <w:r w:rsidR="00CF0D2B" w:rsidRPr="00F25150">
        <w:rPr>
          <w:rFonts w:ascii="Palatino Linotype" w:hAnsi="Palatino Linotype" w:cs="Arial"/>
        </w:rPr>
        <w:t xml:space="preserve"> </w:t>
      </w:r>
      <w:r w:rsidRPr="00F25150">
        <w:rPr>
          <w:rFonts w:ascii="Palatino Linotype" w:hAnsi="Palatino Linotype" w:cs="Arial"/>
        </w:rPr>
        <w:t xml:space="preserve">su </w:t>
      </w:r>
      <w:r w:rsidR="00403D64" w:rsidRPr="00F25150">
        <w:rPr>
          <w:rFonts w:ascii="Palatino Linotype" w:hAnsi="Palatino Linotype" w:cs="Arial"/>
        </w:rPr>
        <w:t xml:space="preserve">inconformidad al haberse </w:t>
      </w:r>
      <w:r w:rsidR="0082142B" w:rsidRPr="00F25150">
        <w:rPr>
          <w:rFonts w:ascii="Palatino Linotype" w:hAnsi="Palatino Linotype" w:cs="Arial"/>
        </w:rPr>
        <w:t>declinado la competencia a un sujeto obligado diverso</w:t>
      </w:r>
      <w:r w:rsidR="00403D64" w:rsidRPr="00F25150">
        <w:rPr>
          <w:rFonts w:ascii="Palatino Linotype" w:hAnsi="Palatino Linotype" w:cs="Arial"/>
        </w:rPr>
        <w:t>.</w:t>
      </w:r>
    </w:p>
    <w:p w:rsidR="0074110E" w:rsidRPr="00F25150" w:rsidRDefault="0074110E" w:rsidP="0074110E">
      <w:pPr>
        <w:spacing w:line="360" w:lineRule="auto"/>
        <w:contextualSpacing/>
        <w:jc w:val="both"/>
        <w:rPr>
          <w:rFonts w:ascii="Palatino Linotype" w:hAnsi="Palatino Linotype" w:cs="Arial"/>
        </w:rPr>
      </w:pPr>
    </w:p>
    <w:p w:rsidR="009F09BC" w:rsidRPr="00F25150" w:rsidRDefault="009F09BC" w:rsidP="005B6702">
      <w:pPr>
        <w:numPr>
          <w:ilvl w:val="0"/>
          <w:numId w:val="15"/>
        </w:numPr>
        <w:spacing w:line="360" w:lineRule="auto"/>
        <w:ind w:left="0" w:firstLine="0"/>
        <w:contextualSpacing/>
        <w:jc w:val="both"/>
        <w:rPr>
          <w:rFonts w:ascii="Palatino Linotype" w:eastAsia="MS Mincho" w:hAnsi="Palatino Linotype" w:cs="Arial"/>
        </w:rPr>
      </w:pPr>
      <w:r w:rsidRPr="00F25150">
        <w:rPr>
          <w:rFonts w:ascii="Palatino Linotype" w:eastAsia="MS Mincho" w:hAnsi="Palatino Linotype" w:cs="Arial"/>
        </w:rPr>
        <w:t xml:space="preserve">En </w:t>
      </w:r>
      <w:r w:rsidRPr="00F25150">
        <w:rPr>
          <w:rFonts w:ascii="Palatino Linotype" w:hAnsi="Palatino Linotype" w:cs="Arial"/>
          <w:lang w:eastAsia="es-MX"/>
        </w:rPr>
        <w:t>dichas</w:t>
      </w:r>
      <w:r w:rsidRPr="00F25150">
        <w:rPr>
          <w:rFonts w:ascii="Palatino Linotype" w:eastAsia="Times New Roman" w:hAnsi="Palatino Linotype" w:cs="Arial"/>
        </w:rPr>
        <w:t xml:space="preserve"> condiciones, la </w:t>
      </w:r>
      <w:r w:rsidRPr="00F25150">
        <w:rPr>
          <w:rFonts w:ascii="Palatino Linotype" w:eastAsia="Times New Roman" w:hAnsi="Palatino Linotype" w:cs="Arial"/>
          <w:i/>
        </w:rPr>
        <w:t>Litis</w:t>
      </w:r>
      <w:r w:rsidRPr="00F25150">
        <w:rPr>
          <w:rFonts w:ascii="Palatino Linotype" w:eastAsia="Times New Roman" w:hAnsi="Palatino Linotype" w:cs="Arial"/>
        </w:rPr>
        <w:t xml:space="preserve"> a resolver en este recurso se circunscribe a determinar si </w:t>
      </w:r>
      <w:r w:rsidR="007142AB" w:rsidRPr="00F25150">
        <w:rPr>
          <w:rFonts w:ascii="Palatino Linotype" w:eastAsia="MS Mincho" w:hAnsi="Palatino Linotype" w:cs="Arial"/>
        </w:rPr>
        <w:t>se actualiza</w:t>
      </w:r>
      <w:r w:rsidRPr="00F25150">
        <w:rPr>
          <w:rFonts w:ascii="Palatino Linotype" w:eastAsia="MS Mincho" w:hAnsi="Palatino Linotype" w:cs="Arial"/>
        </w:rPr>
        <w:t xml:space="preserve"> la causal de procedencia prevista en el artículo 179, </w:t>
      </w:r>
      <w:r w:rsidRPr="00F25150">
        <w:rPr>
          <w:rFonts w:ascii="Palatino Linotype" w:eastAsia="MS Mincho" w:hAnsi="Palatino Linotype" w:cs="Arial"/>
          <w:b/>
        </w:rPr>
        <w:t xml:space="preserve">fracción </w:t>
      </w:r>
      <w:r w:rsidR="005B6702" w:rsidRPr="00F25150">
        <w:rPr>
          <w:rFonts w:ascii="Palatino Linotype" w:eastAsia="MS Mincho" w:hAnsi="Palatino Linotype" w:cs="Arial"/>
          <w:b/>
        </w:rPr>
        <w:t>I</w:t>
      </w:r>
      <w:r w:rsidR="007142AB" w:rsidRPr="00F25150">
        <w:rPr>
          <w:rFonts w:ascii="Palatino Linotype" w:eastAsia="MS Mincho" w:hAnsi="Palatino Linotype" w:cs="Arial"/>
          <w:b/>
        </w:rPr>
        <w:t>V</w:t>
      </w:r>
      <w:r w:rsidRPr="00F25150">
        <w:rPr>
          <w:rFonts w:ascii="Palatino Linotype" w:eastAsia="MS Mincho" w:hAnsi="Palatino Linotype" w:cs="Arial"/>
        </w:rPr>
        <w:t xml:space="preserve"> de la </w:t>
      </w:r>
      <w:r w:rsidRPr="00F25150">
        <w:rPr>
          <w:rFonts w:ascii="Palatino Linotype" w:eastAsia="MS Mincho" w:hAnsi="Palatino Linotype" w:cs="Arial"/>
          <w:b/>
        </w:rPr>
        <w:t xml:space="preserve">Ley de Transparencia y Acceso a la Información Pública del </w:t>
      </w:r>
      <w:r w:rsidRPr="00F25150">
        <w:rPr>
          <w:rFonts w:ascii="Palatino Linotype" w:eastAsia="MS Mincho" w:hAnsi="Palatino Linotype" w:cs="Arial"/>
          <w:b/>
        </w:rPr>
        <w:lastRenderedPageBreak/>
        <w:t>Estado de México y Municipios</w:t>
      </w:r>
      <w:r w:rsidRPr="00F25150">
        <w:rPr>
          <w:rFonts w:ascii="Palatino Linotype" w:eastAsia="MS Mincho" w:hAnsi="Palatino Linotype" w:cs="Arial"/>
        </w:rPr>
        <w:t xml:space="preserve">; </w:t>
      </w:r>
      <w:r w:rsidRPr="00F25150">
        <w:rPr>
          <w:rFonts w:ascii="Palatino Linotype" w:eastAsia="Times New Roman" w:hAnsi="Palatino Linotype" w:cs="Arial"/>
          <w:color w:val="000000" w:themeColor="text1"/>
          <w:lang w:val="es-ES" w:eastAsia="es-MX"/>
        </w:rPr>
        <w:t xml:space="preserve">fracción que determina </w:t>
      </w:r>
      <w:r w:rsidR="005B6702" w:rsidRPr="00F25150">
        <w:rPr>
          <w:rFonts w:ascii="Palatino Linotype" w:eastAsia="Times New Roman" w:hAnsi="Palatino Linotype" w:cs="Arial"/>
          <w:color w:val="000000" w:themeColor="text1"/>
          <w:lang w:val="es-ES" w:eastAsia="es-MX"/>
        </w:rPr>
        <w:t>la hipótesis jurídica</w:t>
      </w:r>
      <w:r w:rsidRPr="00F25150">
        <w:rPr>
          <w:rFonts w:ascii="Palatino Linotype" w:eastAsia="Times New Roman" w:hAnsi="Palatino Linotype" w:cs="Arial"/>
          <w:color w:val="000000" w:themeColor="text1"/>
          <w:lang w:val="es-ES" w:eastAsia="es-MX"/>
        </w:rPr>
        <w:t xml:space="preserve"> relativa </w:t>
      </w:r>
      <w:r w:rsidR="005B6702" w:rsidRPr="00F25150">
        <w:rPr>
          <w:rFonts w:ascii="Palatino Linotype" w:eastAsia="Times New Roman" w:hAnsi="Palatino Linotype" w:cs="Arial"/>
          <w:color w:val="000000" w:themeColor="text1"/>
          <w:lang w:val="es-ES" w:eastAsia="es-MX"/>
        </w:rPr>
        <w:t xml:space="preserve">a </w:t>
      </w:r>
      <w:r w:rsidR="007142AB" w:rsidRPr="00F25150">
        <w:rPr>
          <w:rFonts w:ascii="Palatino Linotype" w:eastAsia="Times New Roman" w:hAnsi="Palatino Linotype" w:cs="Arial"/>
          <w:color w:val="000000" w:themeColor="text1"/>
          <w:lang w:val="es-ES" w:eastAsia="es-MX"/>
        </w:rPr>
        <w:t>l</w:t>
      </w:r>
      <w:r w:rsidRPr="00F25150">
        <w:rPr>
          <w:rFonts w:ascii="Palatino Linotype" w:eastAsia="Times New Roman" w:hAnsi="Palatino Linotype" w:cs="Arial"/>
          <w:color w:val="000000" w:themeColor="text1"/>
          <w:lang w:val="es-ES" w:eastAsia="es-MX"/>
        </w:rPr>
        <w:t xml:space="preserve">a </w:t>
      </w:r>
      <w:r w:rsidR="005B6702" w:rsidRPr="00F25150">
        <w:rPr>
          <w:rFonts w:ascii="Palatino Linotype" w:eastAsia="Times New Roman" w:hAnsi="Palatino Linotype" w:cs="Arial"/>
          <w:color w:val="000000" w:themeColor="text1"/>
          <w:lang w:val="es-ES" w:eastAsia="es-MX"/>
        </w:rPr>
        <w:t>declaración de incompetencia por el sujeto obligado</w:t>
      </w:r>
      <w:r w:rsidRPr="00F25150">
        <w:rPr>
          <w:rFonts w:ascii="Palatino Linotype" w:eastAsia="Times New Roman" w:hAnsi="Palatino Linotype" w:cs="Arial"/>
          <w:color w:val="000000" w:themeColor="text1"/>
          <w:lang w:val="es-ES" w:eastAsia="es-MX"/>
        </w:rPr>
        <w:t xml:space="preserve">; </w:t>
      </w:r>
      <w:r w:rsidRPr="00F25150">
        <w:rPr>
          <w:rFonts w:ascii="Palatino Linotype" w:eastAsia="MS Mincho" w:hAnsi="Palatino Linotype" w:cs="Arial"/>
        </w:rPr>
        <w:t xml:space="preserve">contexto del cual se dolió </w:t>
      </w:r>
      <w:r w:rsidRPr="00F25150">
        <w:rPr>
          <w:rFonts w:ascii="Palatino Linotype" w:eastAsia="MS Mincho" w:hAnsi="Palatino Linotype" w:cs="Arial"/>
          <w:b/>
        </w:rPr>
        <w:t xml:space="preserve">EL RECURRENTE </w:t>
      </w:r>
      <w:r w:rsidRPr="00F25150">
        <w:rPr>
          <w:rFonts w:ascii="Palatino Linotype" w:eastAsia="MS Mincho" w:hAnsi="Palatino Linotype" w:cs="Arial"/>
        </w:rPr>
        <w:t>al momento de interponer su inconformidad.</w:t>
      </w:r>
      <w:r w:rsidRPr="00F25150">
        <w:rPr>
          <w:rFonts w:ascii="Palatino Linotype" w:eastAsia="Times New Roman" w:hAnsi="Palatino Linotype" w:cs="Arial"/>
          <w:color w:val="000000" w:themeColor="text1"/>
          <w:lang w:val="es-ES" w:eastAsia="es-MX"/>
        </w:rPr>
        <w:t xml:space="preserve"> De modo tal </w:t>
      </w:r>
      <w:r w:rsidRPr="00F25150">
        <w:rPr>
          <w:rFonts w:ascii="Palatino Linotype" w:hAnsi="Palatino Linotype" w:cs="Arial"/>
          <w:color w:val="000000" w:themeColor="text1"/>
          <w:szCs w:val="23"/>
        </w:rPr>
        <w:t xml:space="preserve">que el presente recurso de revisión se abocara en determinar si el </w:t>
      </w:r>
      <w:r w:rsidRPr="00F25150">
        <w:rPr>
          <w:rFonts w:ascii="Palatino Linotype" w:hAnsi="Palatino Linotype" w:cs="Arial"/>
          <w:b/>
          <w:color w:val="000000" w:themeColor="text1"/>
          <w:szCs w:val="23"/>
        </w:rPr>
        <w:t>SUJETO</w:t>
      </w:r>
      <w:r w:rsidRPr="00F25150">
        <w:rPr>
          <w:rFonts w:ascii="Palatino Linotype" w:hAnsi="Palatino Linotype" w:cs="Arial"/>
          <w:color w:val="000000" w:themeColor="text1"/>
          <w:szCs w:val="23"/>
        </w:rPr>
        <w:t xml:space="preserve"> </w:t>
      </w:r>
      <w:r w:rsidRPr="00F25150">
        <w:rPr>
          <w:rFonts w:ascii="Palatino Linotype" w:hAnsi="Palatino Linotype" w:cs="Arial"/>
          <w:b/>
          <w:color w:val="000000" w:themeColor="text1"/>
          <w:szCs w:val="23"/>
        </w:rPr>
        <w:t>OBLIGADO</w:t>
      </w:r>
      <w:r w:rsidRPr="00F25150">
        <w:rPr>
          <w:rFonts w:ascii="Palatino Linotype" w:hAnsi="Palatino Linotype" w:cs="Arial"/>
          <w:color w:val="000000" w:themeColor="text1"/>
          <w:szCs w:val="23"/>
        </w:rPr>
        <w:t xml:space="preserve"> con su respuesta ciertamente </w:t>
      </w:r>
      <w:r w:rsidRPr="00F25150">
        <w:rPr>
          <w:rFonts w:ascii="Palatino Linotype" w:eastAsia="Times New Roman" w:hAnsi="Palatino Linotype"/>
          <w:color w:val="000000" w:themeColor="text1"/>
        </w:rPr>
        <w:t>actualiza la causal de procedencia</w:t>
      </w:r>
      <w:r w:rsidRPr="00F25150">
        <w:rPr>
          <w:rFonts w:ascii="Palatino Linotype" w:eastAsia="Times New Roman" w:hAnsi="Palatino Linotype"/>
          <w:b/>
          <w:color w:val="000000" w:themeColor="text1"/>
        </w:rPr>
        <w:t xml:space="preserve"> </w:t>
      </w:r>
      <w:r w:rsidRPr="00F25150">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F25150" w:rsidRDefault="009F09BC" w:rsidP="009F09BC">
      <w:pPr>
        <w:pStyle w:val="Prrafodelista"/>
        <w:rPr>
          <w:rFonts w:ascii="Palatino Linotype" w:eastAsia="MS Mincho" w:hAnsi="Palatino Linotype" w:cs="Arial"/>
        </w:rPr>
      </w:pPr>
    </w:p>
    <w:p w:rsidR="009F09BC" w:rsidRPr="00F25150" w:rsidRDefault="009F09BC" w:rsidP="009F09BC">
      <w:pPr>
        <w:pStyle w:val="Ttulo2"/>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F25150">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9F09BC" w:rsidRPr="00F25150" w:rsidRDefault="009F09BC" w:rsidP="009F09BC">
      <w:pPr>
        <w:spacing w:line="360" w:lineRule="auto"/>
        <w:rPr>
          <w:rFonts w:ascii="Palatino Linotype" w:hAnsi="Palatino Linotype"/>
          <w:lang w:val="es-MX" w:eastAsia="en-US"/>
        </w:rPr>
      </w:pPr>
    </w:p>
    <w:p w:rsidR="005B6702" w:rsidRPr="00F25150"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 xml:space="preserve">Acotada la </w:t>
      </w:r>
      <w:r w:rsidRPr="00F25150">
        <w:rPr>
          <w:rFonts w:ascii="Palatino Linotype" w:hAnsi="Palatino Linotype"/>
          <w:i/>
          <w:color w:val="000000" w:themeColor="text1"/>
        </w:rPr>
        <w:t>Litis</w:t>
      </w:r>
      <w:r w:rsidRPr="00F25150">
        <w:rPr>
          <w:rFonts w:ascii="Palatino Linotype" w:hAnsi="Palatino Linotype"/>
          <w:color w:val="000000" w:themeColor="text1"/>
        </w:rPr>
        <w:t xml:space="preserve"> del presente asunto, primeramente es menester precisar</w:t>
      </w:r>
      <w:r w:rsidRPr="00F25150">
        <w:rPr>
          <w:rFonts w:ascii="Palatino Linotype" w:hAnsi="Palatino Linotype"/>
          <w:bCs/>
          <w:color w:val="000000" w:themeColor="text1"/>
          <w:lang w:val="es-MX"/>
        </w:rPr>
        <w:t xml:space="preserve"> que </w:t>
      </w:r>
      <w:r w:rsidRPr="00F25150">
        <w:rPr>
          <w:rFonts w:ascii="Palatino Linotype" w:hAnsi="Palatino Linotype"/>
          <w:bCs/>
          <w:color w:val="000000" w:themeColor="text1"/>
        </w:rPr>
        <w:t xml:space="preserve">este Órgano Garante parte del hecho que el Derecho de </w:t>
      </w:r>
      <w:r w:rsidRPr="00F25150">
        <w:rPr>
          <w:rFonts w:ascii="Palatino Linotype" w:eastAsia="MS Mincho" w:hAnsi="Palatino Linotype" w:cs="Arial"/>
        </w:rPr>
        <w:t>Acceso</w:t>
      </w:r>
      <w:r w:rsidRPr="00F25150">
        <w:rPr>
          <w:rFonts w:ascii="Palatino Linotype" w:hAnsi="Palatino Linotype"/>
          <w:bCs/>
          <w:color w:val="000000" w:themeColor="text1"/>
        </w:rPr>
        <w:t xml:space="preserve"> a la Información Pública, es un derecho humano reconocido en el Pacto de Derechos Civiles y Políticos en su artículo 19.2; en la </w:t>
      </w:r>
      <w:r w:rsidRPr="00F25150">
        <w:rPr>
          <w:rFonts w:ascii="Palatino Linotype" w:hAnsi="Palatino Linotype"/>
          <w:lang w:val="es-MX" w:eastAsia="en-US"/>
        </w:rPr>
        <w:t>Convención</w:t>
      </w:r>
      <w:r w:rsidRPr="00F25150">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F25150">
        <w:rPr>
          <w:rFonts w:ascii="Palatino Linotype" w:hAnsi="Palatino Linotype"/>
          <w:b/>
          <w:bCs/>
          <w:color w:val="000000" w:themeColor="text1"/>
        </w:rPr>
        <w:t>SUJETO OBLIGADO</w:t>
      </w:r>
      <w:r w:rsidRPr="00F25150">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25150">
        <w:rPr>
          <w:rFonts w:ascii="Palatino Linotype" w:hAnsi="Palatino Linotype"/>
          <w:b/>
          <w:bCs/>
          <w:color w:val="000000" w:themeColor="text1"/>
        </w:rPr>
        <w:t xml:space="preserve">Constitución Política de los Estados Unidos Mexicanos </w:t>
      </w:r>
      <w:r w:rsidRPr="00F25150">
        <w:rPr>
          <w:rFonts w:ascii="Palatino Linotype" w:hAnsi="Palatino Linotype"/>
          <w:bCs/>
          <w:color w:val="000000" w:themeColor="text1"/>
        </w:rPr>
        <w:t xml:space="preserve">al señalar la obligación de “promover, respetar, proteger y </w:t>
      </w:r>
      <w:r w:rsidRPr="00F25150">
        <w:rPr>
          <w:rFonts w:ascii="Palatino Linotype" w:hAnsi="Palatino Linotype"/>
          <w:b/>
          <w:bCs/>
          <w:color w:val="000000" w:themeColor="text1"/>
        </w:rPr>
        <w:t>garantizar</w:t>
      </w:r>
      <w:r w:rsidRPr="00F25150">
        <w:rPr>
          <w:rFonts w:ascii="Palatino Linotype" w:hAnsi="Palatino Linotype"/>
          <w:bCs/>
          <w:color w:val="000000" w:themeColor="text1"/>
        </w:rPr>
        <w:t xml:space="preserve"> los derechos humanos”, entre los cuales se encuentra dicho derecho.</w:t>
      </w:r>
    </w:p>
    <w:p w:rsidR="005B6702" w:rsidRPr="00F25150" w:rsidRDefault="005B6702" w:rsidP="005B6702">
      <w:pPr>
        <w:pStyle w:val="Prrafodelista"/>
        <w:spacing w:line="360" w:lineRule="auto"/>
        <w:ind w:left="0"/>
        <w:jc w:val="both"/>
        <w:rPr>
          <w:rFonts w:ascii="Palatino Linotype" w:hAnsi="Palatino Linotype"/>
          <w:color w:val="000000" w:themeColor="text1"/>
        </w:rPr>
      </w:pPr>
    </w:p>
    <w:p w:rsidR="005B6702" w:rsidRPr="00F25150"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 xml:space="preserve">Por </w:t>
      </w:r>
      <w:r w:rsidRPr="00F25150">
        <w:rPr>
          <w:rFonts w:ascii="Palatino Linotype" w:hAnsi="Palatino Linotype"/>
          <w:color w:val="000000" w:themeColor="text1"/>
          <w:lang w:val="es-MX"/>
        </w:rPr>
        <w:t xml:space="preserve">lo anterior, se deduce que el derecho de acceso a la información pública es un </w:t>
      </w:r>
      <w:r w:rsidRPr="00F25150">
        <w:rPr>
          <w:rFonts w:ascii="Palatino Linotype" w:hAnsi="Palatino Linotype"/>
          <w:color w:val="000000" w:themeColor="text1"/>
        </w:rPr>
        <w:t>derecho</w:t>
      </w:r>
      <w:r w:rsidRPr="00F25150">
        <w:rPr>
          <w:rFonts w:ascii="Palatino Linotype" w:hAnsi="Palatino Linotype"/>
          <w:color w:val="000000" w:themeColor="text1"/>
          <w:lang w:val="es-MX"/>
        </w:rPr>
        <w:t xml:space="preserve"> humano convencional y constitucionalmente reconocido; en </w:t>
      </w:r>
      <w:r w:rsidRPr="00F25150">
        <w:rPr>
          <w:rFonts w:ascii="Palatino Linotype" w:hAnsi="Palatino Linotype"/>
          <w:color w:val="000000" w:themeColor="text1"/>
        </w:rPr>
        <w:lastRenderedPageBreak/>
        <w:t>consecuencia</w:t>
      </w:r>
      <w:r w:rsidRPr="00F25150">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F25150" w:rsidRDefault="0037157C" w:rsidP="0037157C">
      <w:pPr>
        <w:pStyle w:val="Prrafodelista"/>
        <w:rPr>
          <w:rFonts w:ascii="Palatino Linotype" w:hAnsi="Palatino Linotype"/>
          <w:color w:val="000000" w:themeColor="text1"/>
        </w:rPr>
      </w:pPr>
    </w:p>
    <w:p w:rsidR="005B6702" w:rsidRPr="00F25150"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 xml:space="preserve">Así las cosas, </w:t>
      </w:r>
      <w:r w:rsidRPr="00F25150">
        <w:rPr>
          <w:rFonts w:ascii="Palatino Linotype" w:hAnsi="Palatino Linotype"/>
          <w:color w:val="000000" w:themeColor="text1"/>
          <w:lang w:val="es-MX"/>
        </w:rPr>
        <w:t xml:space="preserve">podemos definir el Derecho de Acceso a la Información Pública como: </w:t>
      </w:r>
      <w:r w:rsidRPr="00F25150">
        <w:rPr>
          <w:rFonts w:ascii="Palatino Linotype" w:hAnsi="Palatino Linotype"/>
          <w:i/>
          <w:color w:val="000000" w:themeColor="text1"/>
          <w:lang w:val="es-MX"/>
        </w:rPr>
        <w:t>La igualdad de oportunidades para recibir, buscar e impartir información</w:t>
      </w:r>
      <w:r w:rsidRPr="00F25150">
        <w:rPr>
          <w:rFonts w:ascii="Palatino Linotype" w:hAnsi="Palatino Linotype"/>
          <w:i/>
          <w:color w:val="000000" w:themeColor="text1"/>
          <w:vertAlign w:val="superscript"/>
          <w:lang w:val="es-MX"/>
        </w:rPr>
        <w:footnoteReference w:id="1"/>
      </w:r>
      <w:r w:rsidRPr="00F25150">
        <w:rPr>
          <w:rFonts w:ascii="Palatino Linotype" w:hAnsi="Palatino Linotype"/>
          <w:i/>
          <w:color w:val="000000" w:themeColor="text1"/>
          <w:lang w:val="es-MX"/>
        </w:rPr>
        <w:t xml:space="preserve">en posesión de </w:t>
      </w:r>
      <w:r w:rsidRPr="00F25150">
        <w:rPr>
          <w:rFonts w:ascii="Palatino Linotype" w:hAnsi="Palatino Linotype"/>
          <w:color w:val="000000" w:themeColor="text1"/>
        </w:rPr>
        <w:t>cualquier</w:t>
      </w:r>
      <w:r w:rsidRPr="00F25150">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5150">
        <w:rPr>
          <w:rFonts w:ascii="Palatino Linotype" w:hAnsi="Palatino Linotype"/>
          <w:i/>
          <w:color w:val="000000" w:themeColor="text1"/>
          <w:vertAlign w:val="superscript"/>
          <w:lang w:val="es-MX"/>
        </w:rPr>
        <w:footnoteReference w:id="2"/>
      </w:r>
      <w:r w:rsidRPr="00F25150">
        <w:rPr>
          <w:rFonts w:ascii="Palatino Linotype" w:hAnsi="Palatino Linotype"/>
          <w:color w:val="000000" w:themeColor="text1"/>
          <w:lang w:val="es-MX"/>
        </w:rPr>
        <w:t>que se constituye como una herramienta fundamental para ejercer</w:t>
      </w:r>
      <w:r w:rsidRPr="00F25150">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25150">
        <w:rPr>
          <w:rFonts w:ascii="Palatino Linotype" w:hAnsi="Palatino Linotype"/>
          <w:i/>
          <w:color w:val="000000" w:themeColor="text1"/>
          <w:vertAlign w:val="superscript"/>
          <w:lang w:val="es-MX"/>
        </w:rPr>
        <w:footnoteReference w:id="3"/>
      </w:r>
      <w:r w:rsidRPr="00F25150">
        <w:rPr>
          <w:rFonts w:ascii="Palatino Linotype" w:hAnsi="Palatino Linotype"/>
          <w:i/>
          <w:color w:val="000000" w:themeColor="text1"/>
          <w:lang w:val="es-MX"/>
        </w:rPr>
        <w:t xml:space="preserve"> </w:t>
      </w:r>
      <w:r w:rsidRPr="00F25150">
        <w:rPr>
          <w:rFonts w:ascii="Palatino Linotype" w:hAnsi="Palatino Linotype"/>
          <w:color w:val="000000" w:themeColor="text1"/>
          <w:lang w:val="es-MX"/>
        </w:rPr>
        <w:t>fomentando</w:t>
      </w:r>
      <w:r w:rsidRPr="00F25150">
        <w:rPr>
          <w:rFonts w:ascii="Palatino Linotype" w:hAnsi="Palatino Linotype"/>
          <w:i/>
          <w:color w:val="000000" w:themeColor="text1"/>
          <w:lang w:val="es-MX"/>
        </w:rPr>
        <w:t xml:space="preserve"> la transparencia de las actividades estatales y </w:t>
      </w:r>
      <w:r w:rsidRPr="00F25150">
        <w:rPr>
          <w:rFonts w:ascii="Palatino Linotype" w:hAnsi="Palatino Linotype"/>
          <w:color w:val="000000" w:themeColor="text1"/>
          <w:lang w:val="es-MX"/>
        </w:rPr>
        <w:t>promoviendo</w:t>
      </w:r>
      <w:r w:rsidRPr="00F25150">
        <w:rPr>
          <w:rFonts w:ascii="Palatino Linotype" w:hAnsi="Palatino Linotype"/>
          <w:i/>
          <w:color w:val="000000" w:themeColor="text1"/>
          <w:lang w:val="es-MX"/>
        </w:rPr>
        <w:t xml:space="preserve"> la responsabilidad de los funcionarios sobre su gestión pública,</w:t>
      </w:r>
      <w:r w:rsidRPr="00F25150">
        <w:rPr>
          <w:rFonts w:ascii="Palatino Linotype" w:hAnsi="Palatino Linotype"/>
          <w:i/>
          <w:color w:val="000000" w:themeColor="text1"/>
          <w:vertAlign w:val="superscript"/>
          <w:lang w:val="es-MX"/>
        </w:rPr>
        <w:footnoteReference w:id="4"/>
      </w:r>
      <w:r w:rsidRPr="00F25150">
        <w:rPr>
          <w:rFonts w:ascii="Palatino Linotype" w:hAnsi="Palatino Linotype"/>
          <w:color w:val="000000" w:themeColor="text1"/>
          <w:lang w:val="es-MX"/>
        </w:rPr>
        <w:t>que permite</w:t>
      </w:r>
      <w:r w:rsidRPr="00F25150">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F25150" w:rsidRDefault="005B6702" w:rsidP="005B6702">
      <w:pPr>
        <w:pStyle w:val="Prrafodelista"/>
        <w:rPr>
          <w:rFonts w:ascii="Palatino Linotype" w:hAnsi="Palatino Linotype"/>
          <w:color w:val="000000" w:themeColor="text1"/>
        </w:rPr>
      </w:pPr>
    </w:p>
    <w:p w:rsidR="005B6702" w:rsidRPr="00F25150"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 xml:space="preserve">Por otro lado, </w:t>
      </w:r>
      <w:r w:rsidRPr="00F25150">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F25150">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F25150" w:rsidRDefault="005B6702" w:rsidP="005B6702">
      <w:pPr>
        <w:pStyle w:val="Prrafodelista"/>
        <w:rPr>
          <w:rFonts w:ascii="Palatino Linotype" w:hAnsi="Palatino Linotype"/>
          <w:color w:val="000000" w:themeColor="text1"/>
        </w:rPr>
      </w:pPr>
    </w:p>
    <w:p w:rsidR="005B6702" w:rsidRPr="00F25150"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Ahora bien, recordar que la Fiscalía General de Justicia del Estado de México, realizo una declinación de competencia a la</w:t>
      </w:r>
      <w:r w:rsidRPr="00F25150">
        <w:t xml:space="preserve"> </w:t>
      </w:r>
      <w:r w:rsidRPr="00F25150">
        <w:rPr>
          <w:rFonts w:ascii="Palatino Linotype" w:hAnsi="Palatino Linotype"/>
          <w:color w:val="000000" w:themeColor="text1"/>
        </w:rPr>
        <w:t>Secretaría de Seguridad del Estado de México</w:t>
      </w:r>
      <w:r w:rsidR="00C242A7" w:rsidRPr="00F25150">
        <w:rPr>
          <w:rFonts w:ascii="Palatino Linotype" w:hAnsi="Palatino Linotype"/>
          <w:color w:val="000000" w:themeColor="text1"/>
        </w:rPr>
        <w:t>, contexto que refrendo al momento de rendir el informe justificado correspondiente, en los siguientes términos:</w:t>
      </w:r>
    </w:p>
    <w:p w:rsidR="00C242A7" w:rsidRPr="00F25150" w:rsidRDefault="00C242A7" w:rsidP="00C242A7">
      <w:pPr>
        <w:pStyle w:val="Prrafodelista"/>
        <w:rPr>
          <w:rFonts w:ascii="Palatino Linotype" w:hAnsi="Palatino Linotype"/>
          <w:color w:val="000000" w:themeColor="text1"/>
        </w:rPr>
      </w:pPr>
    </w:p>
    <w:p w:rsidR="00C242A7" w:rsidRPr="00F25150" w:rsidRDefault="00C242A7" w:rsidP="00C242A7">
      <w:pPr>
        <w:spacing w:line="360" w:lineRule="auto"/>
        <w:contextualSpacing/>
        <w:jc w:val="center"/>
        <w:rPr>
          <w:rFonts w:ascii="Palatino Linotype" w:hAnsi="Palatino Linotype"/>
          <w:color w:val="000000" w:themeColor="text1"/>
        </w:rPr>
      </w:pPr>
      <w:r w:rsidRPr="00F25150">
        <w:rPr>
          <w:rFonts w:ascii="Palatino Linotype" w:hAnsi="Palatino Linotype"/>
          <w:noProof/>
          <w:color w:val="000000" w:themeColor="text1"/>
          <w:lang w:val="es-MX" w:eastAsia="es-MX"/>
        </w:rPr>
        <w:drawing>
          <wp:inline distT="0" distB="0" distL="0" distR="0">
            <wp:extent cx="4011899" cy="3683000"/>
            <wp:effectExtent l="19050" t="19050" r="27305" b="127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015" cy="3693204"/>
                    </a:xfrm>
                    <a:prstGeom prst="rect">
                      <a:avLst/>
                    </a:prstGeom>
                    <a:noFill/>
                    <a:ln>
                      <a:solidFill>
                        <a:schemeClr val="tx1"/>
                      </a:solidFill>
                    </a:ln>
                  </pic:spPr>
                </pic:pic>
              </a:graphicData>
            </a:graphic>
          </wp:inline>
        </w:drawing>
      </w:r>
    </w:p>
    <w:p w:rsidR="00C242A7" w:rsidRPr="00F25150" w:rsidRDefault="00C242A7" w:rsidP="00C242A7">
      <w:pPr>
        <w:spacing w:line="360" w:lineRule="auto"/>
        <w:contextualSpacing/>
        <w:jc w:val="center"/>
        <w:rPr>
          <w:rFonts w:ascii="Palatino Linotype" w:hAnsi="Palatino Linotype"/>
          <w:b/>
          <w:color w:val="000000" w:themeColor="text1"/>
        </w:rPr>
      </w:pPr>
      <w:r w:rsidRPr="00F25150">
        <w:rPr>
          <w:rFonts w:ascii="Palatino Linotype" w:hAnsi="Palatino Linotype"/>
          <w:b/>
          <w:color w:val="000000" w:themeColor="text1"/>
        </w:rPr>
        <w:t>(…)</w:t>
      </w:r>
    </w:p>
    <w:p w:rsidR="00C242A7" w:rsidRPr="00F25150" w:rsidRDefault="00C242A7" w:rsidP="00C242A7">
      <w:pPr>
        <w:jc w:val="center"/>
        <w:rPr>
          <w:rFonts w:ascii="Palatino Linotype" w:hAnsi="Palatino Linotype"/>
          <w:color w:val="000000" w:themeColor="text1"/>
        </w:rPr>
      </w:pPr>
      <w:r w:rsidRPr="00F25150">
        <w:rPr>
          <w:rFonts w:ascii="Palatino Linotype" w:hAnsi="Palatino Linotype"/>
          <w:noProof/>
          <w:color w:val="000000" w:themeColor="text1"/>
          <w:lang w:val="es-MX" w:eastAsia="es-MX"/>
        </w:rPr>
        <w:lastRenderedPageBreak/>
        <w:drawing>
          <wp:inline distT="0" distB="0" distL="0" distR="0">
            <wp:extent cx="4032250" cy="1854296"/>
            <wp:effectExtent l="19050" t="19050" r="25400" b="127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30" cy="1857230"/>
                    </a:xfrm>
                    <a:prstGeom prst="rect">
                      <a:avLst/>
                    </a:prstGeom>
                    <a:noFill/>
                    <a:ln>
                      <a:solidFill>
                        <a:schemeClr val="tx1"/>
                      </a:solidFill>
                    </a:ln>
                  </pic:spPr>
                </pic:pic>
              </a:graphicData>
            </a:graphic>
          </wp:inline>
        </w:drawing>
      </w:r>
    </w:p>
    <w:p w:rsidR="00C242A7" w:rsidRPr="00F25150" w:rsidRDefault="00C242A7" w:rsidP="00C242A7">
      <w:pPr>
        <w:jc w:val="center"/>
        <w:rPr>
          <w:rFonts w:ascii="Palatino Linotype" w:hAnsi="Palatino Linotype"/>
          <w:color w:val="000000" w:themeColor="text1"/>
        </w:rPr>
      </w:pPr>
    </w:p>
    <w:p w:rsidR="005B6702" w:rsidRPr="00F25150" w:rsidRDefault="00C242A7" w:rsidP="00C242A7">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color w:val="000000" w:themeColor="text1"/>
        </w:rPr>
        <w:t xml:space="preserve">Es decir, confirma su respuesta, enfatizando que es además </w:t>
      </w:r>
      <w:r w:rsidR="0037157C" w:rsidRPr="00F25150">
        <w:rPr>
          <w:rFonts w:ascii="Palatino Linotype" w:hAnsi="Palatino Linotype"/>
          <w:color w:val="000000" w:themeColor="text1"/>
        </w:rPr>
        <w:t xml:space="preserve">corresponde a </w:t>
      </w:r>
      <w:r w:rsidRPr="00F25150">
        <w:rPr>
          <w:rFonts w:ascii="Palatino Linotype" w:hAnsi="Palatino Linotype"/>
          <w:color w:val="000000" w:themeColor="text1"/>
        </w:rPr>
        <w:t xml:space="preserve">una notoria incompetencia, lo cual resulta parcialmente procedente; toda vez que, si bien es cierto la Secretaria de Seguridad, detenta entre sus facultades la de elaborar estadística en materia de Seguridad Pública, de conformidad con lo dispuesto en los articulo 59 y 61 de la Ley de Seguridad del Estado de México invocados por el </w:t>
      </w:r>
      <w:r w:rsidRPr="00F25150">
        <w:rPr>
          <w:rFonts w:ascii="Palatino Linotype" w:hAnsi="Palatino Linotype"/>
          <w:b/>
          <w:color w:val="000000" w:themeColor="text1"/>
        </w:rPr>
        <w:t>SUJETO OBLIGADO;</w:t>
      </w:r>
      <w:r w:rsidRPr="00F25150">
        <w:rPr>
          <w:rFonts w:ascii="Palatino Linotype" w:hAnsi="Palatino Linotype"/>
          <w:color w:val="000000" w:themeColor="text1"/>
        </w:rPr>
        <w:t xml:space="preserve"> también lo es que la </w:t>
      </w:r>
      <w:r w:rsidRPr="00F25150">
        <w:rPr>
          <w:rFonts w:ascii="Palatino Linotype" w:hAnsi="Palatino Linotype"/>
          <w:b/>
          <w:bCs/>
          <w:color w:val="000000"/>
        </w:rPr>
        <w:t>Fiscalía General de Justicia del Estado de México</w:t>
      </w:r>
      <w:r w:rsidRPr="00F25150">
        <w:rPr>
          <w:rFonts w:ascii="Palatino Linotype" w:hAnsi="Palatino Linotype"/>
          <w:bCs/>
          <w:color w:val="000000"/>
        </w:rPr>
        <w:t xml:space="preserve"> no resulta incompetente para dar atención a la solicitud de información por las siguientes consideraciones.</w:t>
      </w:r>
    </w:p>
    <w:p w:rsidR="00C242A7" w:rsidRPr="00F25150" w:rsidRDefault="00C242A7" w:rsidP="00C242A7">
      <w:pPr>
        <w:spacing w:line="360" w:lineRule="auto"/>
        <w:contextualSpacing/>
        <w:jc w:val="both"/>
        <w:rPr>
          <w:rFonts w:ascii="Palatino Linotype" w:hAnsi="Palatino Linotype"/>
          <w:color w:val="000000" w:themeColor="text1"/>
        </w:rPr>
      </w:pPr>
    </w:p>
    <w:p w:rsidR="00680C93" w:rsidRPr="00F25150" w:rsidRDefault="00680C93" w:rsidP="00680C93">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t xml:space="preserve">El </w:t>
      </w:r>
      <w:r w:rsidRPr="00F25150">
        <w:rPr>
          <w:rFonts w:ascii="Palatino Linotype" w:hAnsi="Palatino Linotype" w:cs="Arial"/>
          <w:b/>
        </w:rPr>
        <w:t>SUJETO OBLIGADO</w:t>
      </w:r>
      <w:r w:rsidRPr="00F25150">
        <w:rPr>
          <w:rFonts w:ascii="Palatino Linotype" w:hAnsi="Palatino Linotype" w:cs="Arial"/>
        </w:rPr>
        <w:t xml:space="preserve"> si bien señala que no genera ni procesa información también lo es, </w:t>
      </w:r>
      <w:r w:rsidRPr="00F25150">
        <w:rPr>
          <w:rFonts w:ascii="Palatino Linotype" w:hAnsi="Palatino Linotype"/>
          <w:color w:val="000000" w:themeColor="text1"/>
        </w:rPr>
        <w:t>que</w:t>
      </w:r>
      <w:r w:rsidRPr="00F25150">
        <w:rPr>
          <w:rFonts w:ascii="Palatino Linotype" w:hAnsi="Palatino Linotype" w:cs="Arial"/>
        </w:rPr>
        <w:t xml:space="preserve"> conoce dichos términos </w:t>
      </w:r>
      <w:r w:rsidR="00B530E8" w:rsidRPr="00F25150">
        <w:rPr>
          <w:rFonts w:ascii="Palatino Linotype" w:hAnsi="Palatino Linotype" w:cs="Arial"/>
        </w:rPr>
        <w:t>en virtud que además no pasa desapercibido a este Órgano Garante</w:t>
      </w:r>
      <w:r w:rsidRPr="00F25150">
        <w:rPr>
          <w:rFonts w:ascii="Palatino Linotype" w:hAnsi="Palatino Linotype" w:cs="Arial"/>
        </w:rPr>
        <w:t xml:space="preserve"> que en asuntos diversos al de mérito </w:t>
      </w:r>
      <w:r w:rsidR="00B530E8" w:rsidRPr="00F25150">
        <w:rPr>
          <w:rFonts w:ascii="Palatino Linotype" w:hAnsi="Palatino Linotype" w:cs="Arial"/>
        </w:rPr>
        <w:t>l</w:t>
      </w:r>
      <w:r w:rsidRPr="00F25150">
        <w:rPr>
          <w:rFonts w:ascii="Palatino Linotype" w:hAnsi="Palatino Linotype" w:cs="Arial"/>
        </w:rPr>
        <w:t>a</w:t>
      </w:r>
      <w:r w:rsidR="00B530E8" w:rsidRPr="00F25150">
        <w:rPr>
          <w:rFonts w:ascii="Palatino Linotype" w:hAnsi="Palatino Linotype" w:cs="Arial"/>
        </w:rPr>
        <w:t xml:space="preserve"> </w:t>
      </w:r>
      <w:r w:rsidR="00B530E8" w:rsidRPr="00F25150">
        <w:rPr>
          <w:rFonts w:ascii="Palatino Linotype" w:hAnsi="Palatino Linotype"/>
          <w:b/>
          <w:bCs/>
          <w:color w:val="000000"/>
        </w:rPr>
        <w:t xml:space="preserve">Fiscalía General de Justicia del Estado de México </w:t>
      </w:r>
      <w:r w:rsidR="00B530E8" w:rsidRPr="00F25150">
        <w:rPr>
          <w:rFonts w:ascii="Palatino Linotype" w:hAnsi="Palatino Linotype"/>
          <w:bCs/>
          <w:color w:val="000000"/>
        </w:rPr>
        <w:t>ha</w:t>
      </w:r>
      <w:r w:rsidR="0037157C" w:rsidRPr="00F25150">
        <w:rPr>
          <w:rFonts w:ascii="Palatino Linotype" w:hAnsi="Palatino Linotype" w:cs="Arial"/>
        </w:rPr>
        <w:t xml:space="preserve"> dado atención a solicitudes de información relacionadas</w:t>
      </w:r>
      <w:r w:rsidRPr="00F25150">
        <w:rPr>
          <w:rFonts w:ascii="Palatino Linotype" w:hAnsi="Palatino Linotype" w:cs="Arial"/>
        </w:rPr>
        <w:t xml:space="preserve"> </w:t>
      </w:r>
      <w:r w:rsidR="0037157C" w:rsidRPr="00F25150">
        <w:rPr>
          <w:rFonts w:ascii="Palatino Linotype" w:hAnsi="Palatino Linotype" w:cs="Arial"/>
        </w:rPr>
        <w:t>a la</w:t>
      </w:r>
      <w:r w:rsidRPr="00F25150">
        <w:rPr>
          <w:rFonts w:ascii="Palatino Linotype" w:hAnsi="Palatino Linotype" w:cs="Arial"/>
        </w:rPr>
        <w:t xml:space="preserve"> incidencia delictiva por lo cual, es importante remitirnos a la normatividad aplicable. </w:t>
      </w:r>
    </w:p>
    <w:p w:rsidR="00680C93" w:rsidRPr="00F25150" w:rsidRDefault="00680C93" w:rsidP="00680C93">
      <w:pPr>
        <w:pStyle w:val="Prrafodelista"/>
        <w:rPr>
          <w:rFonts w:ascii="Palatino Linotype" w:hAnsi="Palatino Linotype" w:cs="Arial"/>
        </w:rPr>
      </w:pPr>
    </w:p>
    <w:p w:rsidR="00680C93" w:rsidRPr="00F25150" w:rsidRDefault="00680C93" w:rsidP="00680C93">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lastRenderedPageBreak/>
        <w:t>En primer término, la Ley de la Fiscalía General de Justicia del Estado de México establece como objeto el establecer sus atribuciones, organización y funciones, como a continuación se aprecia:</w:t>
      </w:r>
    </w:p>
    <w:p w:rsidR="00B530E8" w:rsidRPr="00F25150" w:rsidRDefault="00B530E8" w:rsidP="00B530E8">
      <w:pPr>
        <w:pStyle w:val="Prrafodelista"/>
        <w:rPr>
          <w:rFonts w:ascii="Palatino Linotype" w:hAnsi="Palatino Linotype" w:cs="Arial"/>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10.</w:t>
      </w:r>
      <w:r w:rsidRPr="00F25150">
        <w:rPr>
          <w:rFonts w:ascii="Palatino Linotype" w:hAnsi="Palatino Linotype"/>
          <w:i/>
        </w:rPr>
        <w:t xml:space="preserve"> La </w:t>
      </w:r>
      <w:r w:rsidRPr="00F25150">
        <w:rPr>
          <w:rFonts w:ascii="Palatino Linotype" w:hAnsi="Palatino Linotype"/>
          <w:i/>
          <w:u w:val="single"/>
        </w:rPr>
        <w:t>Fiscalía</w:t>
      </w:r>
      <w:r w:rsidRPr="00F25150">
        <w:rPr>
          <w:rFonts w:ascii="Palatino Linotype" w:hAnsi="Palatino Linotype"/>
          <w:i/>
        </w:rPr>
        <w:t xml:space="preserve"> contará con las </w:t>
      </w:r>
      <w:r w:rsidRPr="00F25150">
        <w:rPr>
          <w:rFonts w:ascii="Palatino Linotype" w:hAnsi="Palatino Linotype"/>
          <w:i/>
          <w:u w:val="single"/>
        </w:rPr>
        <w:t>atribuciones</w:t>
      </w:r>
      <w:r w:rsidRPr="00F25150">
        <w:rPr>
          <w:rFonts w:ascii="Palatino Linotype" w:hAnsi="Palatino Linotype"/>
          <w:i/>
        </w:rPr>
        <w:t xml:space="preserve"> siguientes:</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XVII. Establecer </w:t>
      </w:r>
      <w:r w:rsidRPr="00F25150">
        <w:rPr>
          <w:rFonts w:ascii="Palatino Linotype" w:hAnsi="Palatino Linotype"/>
          <w:b/>
          <w:i/>
          <w:u w:val="single"/>
        </w:rPr>
        <w:t>medios de información sistemática</w:t>
      </w:r>
      <w:r w:rsidRPr="00F25150">
        <w:rPr>
          <w:rFonts w:ascii="Palatino Linotype" w:hAnsi="Palatino Linotype"/>
          <w:i/>
        </w:rPr>
        <w:t xml:space="preserve"> y directa con la sociedad, de sus actividades, garantizando el acceso a la información de la Fiscalía, en los términos y con las limitantes establecidas en la Constitución Federal, la Constitución del Estado y en las demás disposiciones jurídicas aplicables.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B530E8" w:rsidRPr="00F25150" w:rsidRDefault="00B530E8" w:rsidP="00B530E8">
      <w:pPr>
        <w:spacing w:line="276" w:lineRule="auto"/>
        <w:ind w:left="567" w:right="616"/>
        <w:jc w:val="both"/>
        <w:rPr>
          <w:rFonts w:ascii="Palatino Linotype" w:hAnsi="Palatino Linotype"/>
          <w:i/>
        </w:rPr>
      </w:pPr>
      <w:r w:rsidRPr="00F25150">
        <w:rPr>
          <w:rFonts w:ascii="Palatino Linotype" w:hAnsi="Palatino Linotype"/>
          <w:i/>
        </w:rPr>
        <w:t xml:space="preserve">XX. </w:t>
      </w:r>
      <w:r w:rsidRPr="00F25150">
        <w:rPr>
          <w:rFonts w:ascii="Palatino Linotype" w:hAnsi="Palatino Linotype"/>
          <w:b/>
          <w:i/>
          <w:u w:val="single"/>
        </w:rPr>
        <w:t>Compartir las bases de datos e información de que disponga en materia delictiva para la consolidación de una plataforma única de información preventiva y para la investigación de los delitos</w:t>
      </w:r>
      <w:r w:rsidRPr="00F25150">
        <w:rPr>
          <w:rFonts w:ascii="Palatino Linotype" w:hAnsi="Palatino Linotype"/>
          <w:i/>
        </w:rPr>
        <w:t>.</w:t>
      </w:r>
    </w:p>
    <w:p w:rsidR="00B530E8" w:rsidRPr="00F25150" w:rsidRDefault="00B530E8" w:rsidP="00B530E8">
      <w:pPr>
        <w:spacing w:line="276" w:lineRule="auto"/>
        <w:ind w:left="567" w:right="616"/>
        <w:jc w:val="both"/>
        <w:rPr>
          <w:rFonts w:ascii="Palatino Linotype" w:hAnsi="Palatino Linotype"/>
          <w:i/>
        </w:rPr>
      </w:pPr>
      <w:r w:rsidRPr="00F25150">
        <w:rPr>
          <w:rFonts w:ascii="Palatino Linotype" w:hAnsi="Palatino Linotype"/>
          <w:i/>
        </w:rPr>
        <w:t>Los niveles de acceso y características de la información serán definidos en el protocolo en materia de</w:t>
      </w:r>
      <w:r w:rsidR="00F72588" w:rsidRPr="00F25150">
        <w:rPr>
          <w:rFonts w:ascii="Palatino Linotype" w:hAnsi="Palatino Linotype"/>
          <w:i/>
        </w:rPr>
        <w:t xml:space="preserve"> </w:t>
      </w:r>
      <w:r w:rsidRPr="00F25150">
        <w:rPr>
          <w:rFonts w:ascii="Palatino Linotype" w:hAnsi="Palatino Linotype"/>
          <w:i/>
        </w:rPr>
        <w:t>investigación que emita el Fiscal General, y</w:t>
      </w:r>
    </w:p>
    <w:p w:rsidR="00B530E8" w:rsidRPr="00F25150" w:rsidRDefault="00B530E8" w:rsidP="00B530E8">
      <w:pPr>
        <w:spacing w:line="276" w:lineRule="auto"/>
        <w:ind w:left="567" w:right="616"/>
        <w:jc w:val="both"/>
        <w:rPr>
          <w:rFonts w:ascii="Palatino Linotype" w:hAnsi="Palatino Linotype"/>
          <w:i/>
        </w:rPr>
      </w:pPr>
      <w:r w:rsidRPr="00F25150">
        <w:rPr>
          <w:rFonts w:ascii="Palatino Linotype" w:hAnsi="Palatino Linotype"/>
          <w:i/>
        </w:rPr>
        <w:t>...</w:t>
      </w:r>
    </w:p>
    <w:p w:rsidR="00B530E8" w:rsidRPr="00F25150" w:rsidRDefault="00B530E8" w:rsidP="00B530E8">
      <w:pPr>
        <w:spacing w:line="276" w:lineRule="auto"/>
        <w:ind w:left="567" w:right="616"/>
        <w:jc w:val="both"/>
        <w:rPr>
          <w:rFonts w:ascii="Palatino Linotype" w:hAnsi="Palatino Linotype"/>
          <w:i/>
        </w:rPr>
      </w:pPr>
      <w:r w:rsidRPr="00F25150">
        <w:rPr>
          <w:rFonts w:ascii="Palatino Linotype" w:hAnsi="Palatino Linotype"/>
          <w:i/>
        </w:rPr>
        <w:t xml:space="preserve">XXII. </w:t>
      </w:r>
      <w:r w:rsidRPr="00F25150">
        <w:rPr>
          <w:rFonts w:ascii="Palatino Linotype" w:hAnsi="Palatino Linotype"/>
          <w:b/>
          <w:i/>
          <w:u w:val="single"/>
        </w:rPr>
        <w:t>Integrar una base de datos con el registro de denuncias por violencia política contra las mujeres en razón de género y compartir la información de que disponga</w:t>
      </w:r>
      <w:r w:rsidRPr="00F25150">
        <w:rPr>
          <w:rFonts w:ascii="Palatino Linotype" w:hAnsi="Palatino Linotype"/>
          <w:b/>
          <w:i/>
        </w:rPr>
        <w:t>,</w:t>
      </w:r>
      <w:r w:rsidRPr="00F25150">
        <w:rPr>
          <w:rFonts w:ascii="Palatino Linotype" w:hAnsi="Palatino Linotype"/>
          <w:i/>
        </w:rPr>
        <w:t xml:space="preserve"> en términos de las disposiciones</w:t>
      </w:r>
      <w:r w:rsidR="00F72588" w:rsidRPr="00F25150">
        <w:rPr>
          <w:rFonts w:ascii="Palatino Linotype" w:hAnsi="Palatino Linotype"/>
          <w:i/>
        </w:rPr>
        <w:t xml:space="preserve"> </w:t>
      </w:r>
      <w:r w:rsidRPr="00F25150">
        <w:rPr>
          <w:rFonts w:ascii="Palatino Linotype" w:hAnsi="Palatino Linotype"/>
          <w:i/>
        </w:rPr>
        <w:t>legales aplicables, para alimentar la Base Estadística Nacional de Violencia Política contra las Mujeres</w:t>
      </w:r>
      <w:r w:rsidR="00F72588" w:rsidRPr="00F25150">
        <w:rPr>
          <w:rFonts w:ascii="Palatino Linotype" w:hAnsi="Palatino Linotype"/>
          <w:i/>
        </w:rPr>
        <w:t xml:space="preserve"> </w:t>
      </w:r>
      <w:r w:rsidRPr="00F25150">
        <w:rPr>
          <w:rFonts w:ascii="Palatino Linotype" w:hAnsi="Palatino Linotype"/>
          <w:i/>
        </w:rPr>
        <w:t>en razón de género.</w:t>
      </w:r>
    </w:p>
    <w:p w:rsidR="00B530E8" w:rsidRPr="00F25150" w:rsidRDefault="00B530E8" w:rsidP="00B530E8">
      <w:pPr>
        <w:spacing w:line="276" w:lineRule="auto"/>
        <w:ind w:left="567" w:right="616"/>
        <w:jc w:val="both"/>
        <w:rPr>
          <w:rFonts w:ascii="Palatino Linotype" w:hAnsi="Palatino Linotype"/>
          <w:i/>
        </w:rPr>
      </w:pPr>
      <w:r w:rsidRPr="00F25150">
        <w:rPr>
          <w:rFonts w:ascii="Palatino Linotype" w:hAnsi="Palatino Linotype"/>
          <w:i/>
        </w:rPr>
        <w:t>XXIII. Las demás previstas en las disposiciones jurídicas aplicables.</w:t>
      </w:r>
    </w:p>
    <w:p w:rsidR="00F72588" w:rsidRPr="00F25150" w:rsidRDefault="00F72588" w:rsidP="00B530E8">
      <w:pPr>
        <w:spacing w:line="276" w:lineRule="auto"/>
        <w:ind w:left="567" w:right="616"/>
        <w:jc w:val="both"/>
        <w:rPr>
          <w:rFonts w:ascii="Palatino Linotype" w:hAnsi="Palatino Linotype"/>
          <w:i/>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22</w:t>
      </w:r>
      <w:r w:rsidRPr="00F25150">
        <w:rPr>
          <w:rFonts w:ascii="Palatino Linotype" w:hAnsi="Palatino Linotype"/>
          <w:i/>
        </w:rPr>
        <w:t xml:space="preserve">. A </w:t>
      </w:r>
      <w:r w:rsidRPr="00F25150">
        <w:rPr>
          <w:rFonts w:ascii="Palatino Linotype" w:hAnsi="Palatino Linotype"/>
          <w:b/>
          <w:i/>
          <w:u w:val="single"/>
        </w:rPr>
        <w:t>la o el Fiscal General</w:t>
      </w:r>
      <w:r w:rsidRPr="00F25150">
        <w:rPr>
          <w:rFonts w:ascii="Palatino Linotype" w:hAnsi="Palatino Linotype"/>
          <w:i/>
        </w:rPr>
        <w:t xml:space="preserve"> le corresponden las </w:t>
      </w:r>
      <w:r w:rsidRPr="00F25150">
        <w:rPr>
          <w:rFonts w:ascii="Palatino Linotype" w:hAnsi="Palatino Linotype"/>
          <w:b/>
          <w:i/>
          <w:u w:val="single"/>
        </w:rPr>
        <w:t>atribuciones</w:t>
      </w:r>
      <w:r w:rsidRPr="00F25150">
        <w:rPr>
          <w:rFonts w:ascii="Palatino Linotype" w:hAnsi="Palatino Linotype"/>
          <w:b/>
          <w:i/>
        </w:rPr>
        <w:t xml:space="preserve"> </w:t>
      </w:r>
      <w:r w:rsidRPr="00F25150">
        <w:rPr>
          <w:rFonts w:ascii="Palatino Linotype" w:hAnsi="Palatino Linotype"/>
          <w:i/>
        </w:rPr>
        <w:t>siguientes:</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XLIV. Promover </w:t>
      </w:r>
      <w:r w:rsidRPr="00F25150">
        <w:rPr>
          <w:rFonts w:ascii="Palatino Linotype" w:hAnsi="Palatino Linotype"/>
          <w:b/>
          <w:i/>
          <w:u w:val="single"/>
        </w:rPr>
        <w:t>la integración de sistemas de análisis de información e inteligencia que sean necesarios para el desarrollo de investigaciones y el cumplimiento de las funciones de la Fiscalía</w:t>
      </w:r>
      <w:r w:rsidRPr="00F25150">
        <w:rPr>
          <w:rFonts w:ascii="Palatino Linotype" w:hAnsi="Palatino Linotype"/>
          <w:b/>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lastRenderedPageBreak/>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30.</w:t>
      </w:r>
      <w:r w:rsidRPr="00F25150">
        <w:rPr>
          <w:rFonts w:ascii="Palatino Linotype" w:hAnsi="Palatino Linotype"/>
          <w:i/>
        </w:rPr>
        <w:t xml:space="preserve"> Para el desarrollo de las funciones de la Fiscalía, </w:t>
      </w:r>
      <w:r w:rsidRPr="00F25150">
        <w:rPr>
          <w:rFonts w:ascii="Palatino Linotype" w:hAnsi="Palatino Linotype"/>
          <w:b/>
          <w:i/>
          <w:u w:val="single"/>
        </w:rPr>
        <w:t>se contará con un sistema de especialización y organización territorial</w:t>
      </w:r>
      <w:r w:rsidRPr="00F25150">
        <w:rPr>
          <w:rFonts w:ascii="Palatino Linotype" w:hAnsi="Palatino Linotype"/>
          <w:i/>
        </w:rPr>
        <w:t xml:space="preserve">, </w:t>
      </w:r>
      <w:proofErr w:type="gramStart"/>
      <w:r w:rsidRPr="00F25150">
        <w:rPr>
          <w:rFonts w:ascii="Palatino Linotype" w:hAnsi="Palatino Linotype"/>
          <w:i/>
        </w:rPr>
        <w:t>sujeto</w:t>
      </w:r>
      <w:proofErr w:type="gramEnd"/>
      <w:r w:rsidRPr="00F25150">
        <w:rPr>
          <w:rFonts w:ascii="Palatino Linotype" w:hAnsi="Palatino Linotype"/>
          <w:i/>
        </w:rPr>
        <w:t xml:space="preserve"> a las bases generales siguientes: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I. </w:t>
      </w:r>
      <w:r w:rsidRPr="00F25150">
        <w:rPr>
          <w:rFonts w:ascii="Palatino Linotype" w:hAnsi="Palatino Linotype"/>
          <w:b/>
          <w:i/>
          <w:u w:val="single"/>
        </w:rPr>
        <w:t>Sistema de especialización</w:t>
      </w:r>
      <w:r w:rsidRPr="00F25150">
        <w:rPr>
          <w:rFonts w:ascii="Palatino Linotype" w:hAnsi="Palatino Linotype"/>
          <w:i/>
        </w:rPr>
        <w:t xml:space="preserve">: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a) Tiene como objetivo que la </w:t>
      </w:r>
      <w:r w:rsidRPr="00F25150">
        <w:rPr>
          <w:rFonts w:ascii="Palatino Linotype" w:hAnsi="Palatino Linotype"/>
          <w:b/>
          <w:i/>
          <w:u w:val="single"/>
        </w:rPr>
        <w:t>investigación y persecución</w:t>
      </w:r>
      <w:r w:rsidRPr="00F25150">
        <w:rPr>
          <w:rFonts w:ascii="Palatino Linotype" w:hAnsi="Palatino Linotype"/>
          <w:i/>
        </w:rPr>
        <w:t xml:space="preserve"> de delitos que por su complejidad, mayor impacto social, características peculiares </w:t>
      </w:r>
      <w:r w:rsidRPr="00F25150">
        <w:rPr>
          <w:rFonts w:ascii="Palatino Linotype" w:hAnsi="Palatino Linotype"/>
          <w:b/>
          <w:i/>
        </w:rPr>
        <w:t xml:space="preserve">o </w:t>
      </w:r>
      <w:r w:rsidRPr="00F25150">
        <w:rPr>
          <w:rFonts w:ascii="Palatino Linotype" w:hAnsi="Palatino Linotype"/>
          <w:b/>
          <w:i/>
          <w:u w:val="single"/>
        </w:rPr>
        <w:t>incidencia en el territorio del Estado</w:t>
      </w:r>
      <w:r w:rsidRPr="00F25150">
        <w:rPr>
          <w:rFonts w:ascii="Palatino Linotype" w:hAnsi="Palatino Linotype"/>
          <w:i/>
        </w:rPr>
        <w:t xml:space="preserve">, se lleven a cabo por Fiscalías Especializadas, en los términos de la presente Ley, su Reglamento y demás disposiciones jurídicas aplicables.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b) Las Fiscalías Especializadas en la investigación actuarán en todo el territorio del Estado de México en coordinación con las demás unidades administrativas de la Fiscalía.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c) Las Fiscalías Especializadas, según su nivel orgánico, funcional y presupuestal, podrán contar con direcciones de área, subdirecciones, jefaturas de departamento </w:t>
      </w:r>
    </w:p>
    <w:p w:rsidR="00F72588" w:rsidRPr="00F25150" w:rsidRDefault="00F72588" w:rsidP="00B530E8">
      <w:pPr>
        <w:spacing w:line="276" w:lineRule="auto"/>
        <w:ind w:left="567" w:right="616"/>
        <w:jc w:val="both"/>
        <w:rPr>
          <w:rFonts w:ascii="Palatino Linotype" w:hAnsi="Palatino Linotype"/>
          <w:i/>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II. Sistema de organización territorial: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a) Tiene como objetivo </w:t>
      </w:r>
      <w:r w:rsidRPr="00F25150">
        <w:rPr>
          <w:rFonts w:ascii="Palatino Linotype" w:hAnsi="Palatino Linotype"/>
          <w:b/>
          <w:i/>
          <w:u w:val="single"/>
        </w:rPr>
        <w:t>que la investigación y persecución de delitos</w:t>
      </w:r>
      <w:r w:rsidRPr="00F25150">
        <w:rPr>
          <w:rFonts w:ascii="Palatino Linotype" w:hAnsi="Palatino Linotype"/>
          <w:i/>
        </w:rPr>
        <w:t xml:space="preserve">, distintos a los que se determinen o califiquen como de atención especializada, se lleven a cabo </w:t>
      </w:r>
      <w:r w:rsidRPr="00F25150">
        <w:rPr>
          <w:rFonts w:ascii="Palatino Linotype" w:hAnsi="Palatino Linotype"/>
          <w:b/>
          <w:i/>
          <w:u w:val="single"/>
        </w:rPr>
        <w:t>en la región donde tenga lugar el delito</w:t>
      </w:r>
      <w:r w:rsidRPr="00F25150">
        <w:rPr>
          <w:rFonts w:ascii="Palatino Linotype" w:hAnsi="Palatino Linotype"/>
          <w:i/>
        </w:rPr>
        <w:t xml:space="preserve"> y auxiliar a las Fiscalías Especializadas, en los términos que determine la o el Fiscal General.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B) La o el Fiscal General podrá establecer fiscalías regionales en circunscripciones que abarcarán uno o más municipios o regiones del Estado de México.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c) Las sedes de las fiscalías regionales serán definidas atendiendo a la incidencia delictiva, densidad de población, las características geográficas del Estado de México y la correcta distribución de las cargas de trabajo.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Las fiscalías regionales y especializadas contarán con las y los servidores públicos que ejercerán sus funciones en la circunscripción territorial que determine la o el Fiscal General a través de Acuerdo.</w:t>
      </w:r>
    </w:p>
    <w:p w:rsidR="00F72588" w:rsidRPr="00F25150" w:rsidRDefault="00F72588" w:rsidP="00B530E8">
      <w:pPr>
        <w:spacing w:line="276" w:lineRule="auto"/>
        <w:ind w:left="567" w:right="616"/>
        <w:jc w:val="both"/>
        <w:rPr>
          <w:rFonts w:ascii="Palatino Linotype" w:hAnsi="Palatino Linotype"/>
          <w:i/>
        </w:rPr>
      </w:pP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lastRenderedPageBreak/>
        <w:t>Artículo 32. Para el eficaz cumplimiento de las atribuciones conferidas por las disposiciones jurídicas aplicables, la Fiscalía contará con los siguientes auxiliares y apoyos:</w:t>
      </w: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t>...</w:t>
      </w: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t>D. Técnicos:</w:t>
      </w: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t>...</w:t>
      </w: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t xml:space="preserve">VI. </w:t>
      </w:r>
      <w:r w:rsidRPr="00F25150">
        <w:rPr>
          <w:rFonts w:ascii="Palatino Linotype" w:hAnsi="Palatino Linotype"/>
          <w:b/>
          <w:i/>
          <w:u w:val="single"/>
        </w:rPr>
        <w:t>Las áreas de estadísticas, sistemas, logística y archivo</w:t>
      </w:r>
      <w:r w:rsidRPr="00F25150">
        <w:rPr>
          <w:rFonts w:ascii="Palatino Linotype" w:hAnsi="Palatino Linotype"/>
          <w:i/>
        </w:rPr>
        <w:t>.</w:t>
      </w:r>
    </w:p>
    <w:p w:rsidR="0037157C" w:rsidRPr="00F25150" w:rsidRDefault="0037157C" w:rsidP="0037157C">
      <w:pPr>
        <w:spacing w:line="276" w:lineRule="auto"/>
        <w:ind w:left="567" w:right="616"/>
        <w:jc w:val="both"/>
        <w:rPr>
          <w:rFonts w:ascii="Palatino Linotype" w:hAnsi="Palatino Linotype"/>
          <w:i/>
        </w:rPr>
      </w:pPr>
      <w:r w:rsidRPr="00F25150">
        <w:rPr>
          <w:rFonts w:ascii="Palatino Linotype" w:hAnsi="Palatino Linotype"/>
          <w:i/>
        </w:rPr>
        <w:t>...</w:t>
      </w:r>
    </w:p>
    <w:p w:rsidR="0037157C" w:rsidRPr="00F25150" w:rsidRDefault="0037157C" w:rsidP="0037157C">
      <w:pPr>
        <w:spacing w:line="276" w:lineRule="auto"/>
        <w:ind w:left="567" w:right="616"/>
        <w:jc w:val="both"/>
        <w:rPr>
          <w:rFonts w:ascii="Palatino Linotype" w:hAnsi="Palatino Linotype"/>
          <w:i/>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34.</w:t>
      </w:r>
      <w:r w:rsidRPr="00F25150">
        <w:rPr>
          <w:rFonts w:ascii="Palatino Linotype" w:hAnsi="Palatino Linotype"/>
          <w:i/>
        </w:rPr>
        <w:t xml:space="preserve"> El </w:t>
      </w:r>
      <w:r w:rsidRPr="00F25150">
        <w:rPr>
          <w:rFonts w:ascii="Palatino Linotype" w:hAnsi="Palatino Linotype"/>
          <w:b/>
          <w:i/>
          <w:u w:val="single"/>
        </w:rPr>
        <w:t>Ministerio Público</w:t>
      </w:r>
      <w:r w:rsidRPr="00F25150">
        <w:rPr>
          <w:rFonts w:ascii="Palatino Linotype" w:hAnsi="Palatino Linotype"/>
          <w:i/>
        </w:rPr>
        <w:t xml:space="preserve">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A. En la </w:t>
      </w:r>
      <w:r w:rsidRPr="00F25150">
        <w:rPr>
          <w:rFonts w:ascii="Palatino Linotype" w:hAnsi="Palatino Linotype"/>
          <w:b/>
          <w:i/>
          <w:u w:val="single"/>
        </w:rPr>
        <w:t>investigación</w:t>
      </w:r>
      <w:r w:rsidRPr="00F25150">
        <w:rPr>
          <w:rFonts w:ascii="Palatino Linotype" w:hAnsi="Palatino Linotype"/>
          <w:i/>
        </w:rPr>
        <w:t xml:space="preserve"> del delito: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III. </w:t>
      </w:r>
      <w:r w:rsidRPr="00F25150">
        <w:rPr>
          <w:rFonts w:ascii="Palatino Linotype" w:hAnsi="Palatino Linotype"/>
          <w:b/>
          <w:i/>
          <w:u w:val="single"/>
        </w:rPr>
        <w:t>Registrar sus actuaciones en el sistema informático de la Fiscalía</w:t>
      </w:r>
      <w:r w:rsidRPr="00F25150">
        <w:rPr>
          <w:rFonts w:ascii="Palatino Linotype" w:hAnsi="Palatino Linotype"/>
          <w:b/>
          <w:i/>
        </w:rPr>
        <w:t xml:space="preserve">, </w:t>
      </w:r>
      <w:r w:rsidRPr="00F25150">
        <w:rPr>
          <w:rFonts w:ascii="Palatino Linotype" w:hAnsi="Palatino Linotype"/>
          <w:b/>
          <w:i/>
          <w:u w:val="single"/>
        </w:rPr>
        <w:t>bajo el número interno de control o el número único de causa que genere el Ministerio Público</w:t>
      </w:r>
      <w:r w:rsidRPr="00F25150">
        <w:rPr>
          <w:rFonts w:ascii="Palatino Linotype" w:hAnsi="Palatino Linotype"/>
          <w:b/>
          <w:i/>
        </w:rPr>
        <w:t xml:space="preserve"> </w:t>
      </w:r>
      <w:r w:rsidRPr="00F25150">
        <w:rPr>
          <w:rFonts w:ascii="Palatino Linotype" w:hAnsi="Palatino Linotype"/>
          <w:i/>
        </w:rPr>
        <w:t xml:space="preserve">y alimentarlo con la información requerida, de conformidad con las disposiciones jurídicas aplicables y la normatividad que emita la o el Fiscal General.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F72588" w:rsidRPr="00F25150" w:rsidRDefault="00F72588" w:rsidP="00B530E8">
      <w:pPr>
        <w:spacing w:line="276" w:lineRule="auto"/>
        <w:ind w:left="567" w:right="616"/>
        <w:jc w:val="both"/>
        <w:rPr>
          <w:rFonts w:ascii="Palatino Linotype" w:hAnsi="Palatino Linotype"/>
          <w:i/>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36.</w:t>
      </w:r>
      <w:r w:rsidRPr="00F25150">
        <w:rPr>
          <w:rFonts w:ascii="Palatino Linotype" w:hAnsi="Palatino Linotype"/>
          <w:i/>
        </w:rPr>
        <w:t xml:space="preserve"> La </w:t>
      </w:r>
      <w:r w:rsidRPr="00F25150">
        <w:rPr>
          <w:rFonts w:ascii="Palatino Linotype" w:hAnsi="Palatino Linotype"/>
          <w:b/>
          <w:i/>
          <w:u w:val="single"/>
        </w:rPr>
        <w:t>Policía de Investigación</w:t>
      </w:r>
      <w:r w:rsidRPr="00F25150">
        <w:rPr>
          <w:rFonts w:ascii="Palatino Linotype" w:hAnsi="Palatino Linotype"/>
          <w:i/>
        </w:rPr>
        <w:t xml:space="preserve"> actuará bajo la conducción y mando del Ministerio Público en la investigación de los delitos, con estricto apego a los principios reconocidos en la Constitución Federal, los Tratados Internacionales, las leyes aplicables y además tendrá las obligaciones siguientes:</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IV. </w:t>
      </w:r>
      <w:r w:rsidRPr="00F25150">
        <w:rPr>
          <w:rFonts w:ascii="Palatino Linotype" w:hAnsi="Palatino Linotype"/>
          <w:b/>
          <w:i/>
          <w:u w:val="single"/>
        </w:rPr>
        <w:t>Registrar sus actuaciones en el sistema informático de la Fiscalía, bajo el número interno de control o el número único de causa que genere el Ministerio Público</w:t>
      </w:r>
      <w:r w:rsidRPr="00F25150">
        <w:rPr>
          <w:rFonts w:ascii="Palatino Linotype" w:hAnsi="Palatino Linotype"/>
          <w:i/>
        </w:rPr>
        <w:t xml:space="preserve"> y alimentarlo con la información requerida, de </w:t>
      </w:r>
      <w:r w:rsidRPr="00F25150">
        <w:rPr>
          <w:rFonts w:ascii="Palatino Linotype" w:hAnsi="Palatino Linotype"/>
          <w:i/>
        </w:rPr>
        <w:lastRenderedPageBreak/>
        <w:t xml:space="preserve">conformidad con las disposiciones jurídicas aplicables y la normatividad que emita el Fiscal General.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XIX. </w:t>
      </w:r>
      <w:r w:rsidRPr="00F25150">
        <w:rPr>
          <w:rFonts w:ascii="Palatino Linotype" w:hAnsi="Palatino Linotype"/>
          <w:b/>
          <w:i/>
          <w:u w:val="single"/>
        </w:rPr>
        <w:t>Compartir la información con unidades específicas del Ministerio Público</w:t>
      </w:r>
      <w:r w:rsidRPr="00F25150">
        <w:rPr>
          <w:rFonts w:ascii="Palatino Linotype" w:hAnsi="Palatino Linotype"/>
          <w:i/>
        </w:rPr>
        <w:t xml:space="preserve"> y de información u análisis, así como enviar la información que corresponda a las bases de datos del Sistema Nacional y Estatal de Seguridad Pública, conforme a las normas aplicables. </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F72588" w:rsidRPr="00F25150" w:rsidRDefault="00F72588" w:rsidP="00B530E8">
      <w:pPr>
        <w:spacing w:line="276" w:lineRule="auto"/>
        <w:ind w:left="567" w:right="616"/>
        <w:jc w:val="both"/>
        <w:rPr>
          <w:rFonts w:ascii="Palatino Linotype" w:hAnsi="Palatino Linotype"/>
          <w:i/>
        </w:rPr>
      </w:pP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b/>
          <w:i/>
        </w:rPr>
        <w:t>Artículo 37.</w:t>
      </w:r>
      <w:r w:rsidRPr="00F25150">
        <w:rPr>
          <w:rFonts w:ascii="Palatino Linotype" w:hAnsi="Palatino Linotype"/>
          <w:i/>
        </w:rPr>
        <w:t xml:space="preserve"> Los </w:t>
      </w:r>
      <w:r w:rsidRPr="00F25150">
        <w:rPr>
          <w:rFonts w:ascii="Palatino Linotype" w:hAnsi="Palatino Linotype"/>
          <w:b/>
          <w:i/>
          <w:u w:val="single"/>
        </w:rPr>
        <w:t>Servicios Periciales</w:t>
      </w:r>
      <w:r w:rsidRPr="00F25150">
        <w:rPr>
          <w:rFonts w:ascii="Palatino Linotype" w:hAnsi="Palatino Linotype"/>
          <w:i/>
        </w:rPr>
        <w:t>, además de las facultades previstas en otros ordenamientos jurídicos aplicables en la materia, contarán con las atribuciones siguientes:</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 xml:space="preserve">III. </w:t>
      </w:r>
      <w:r w:rsidRPr="00F25150">
        <w:rPr>
          <w:rFonts w:ascii="Palatino Linotype" w:hAnsi="Palatino Linotype"/>
          <w:b/>
          <w:i/>
          <w:u w:val="single"/>
        </w:rPr>
        <w:t>Registrar sus actuaciones en el sistema informático de la Fiscalía</w:t>
      </w:r>
      <w:r w:rsidRPr="00F25150">
        <w:rPr>
          <w:rFonts w:ascii="Palatino Linotype" w:hAnsi="Palatino Linotype"/>
          <w:i/>
        </w:rPr>
        <w:t>, bajo el número interno de control o el número único de causa que genere el Ministerio Público y alimentarlo con la información requerida, de conformidad con las disposiciones jurídicas aplicables y la normatividad que emita el Fiscal General.</w:t>
      </w:r>
    </w:p>
    <w:p w:rsidR="00680C93" w:rsidRPr="00F25150" w:rsidRDefault="00680C93" w:rsidP="00B530E8">
      <w:pPr>
        <w:spacing w:line="276" w:lineRule="auto"/>
        <w:ind w:left="567" w:right="616"/>
        <w:jc w:val="both"/>
        <w:rPr>
          <w:rFonts w:ascii="Palatino Linotype" w:hAnsi="Palatino Linotype"/>
          <w:i/>
        </w:rPr>
      </w:pPr>
      <w:r w:rsidRPr="00F25150">
        <w:rPr>
          <w:rFonts w:ascii="Palatino Linotype" w:hAnsi="Palatino Linotype"/>
          <w:i/>
        </w:rPr>
        <w:t>…”</w:t>
      </w:r>
    </w:p>
    <w:p w:rsidR="00680C93" w:rsidRPr="00F25150" w:rsidRDefault="00680C93" w:rsidP="00B530E8">
      <w:pPr>
        <w:spacing w:line="276" w:lineRule="auto"/>
        <w:ind w:left="567" w:right="616"/>
        <w:jc w:val="both"/>
        <w:rPr>
          <w:rFonts w:ascii="Palatino Linotype" w:hAnsi="Palatino Linotype"/>
        </w:rPr>
      </w:pPr>
      <w:r w:rsidRPr="00F25150">
        <w:rPr>
          <w:rFonts w:ascii="Palatino Linotype" w:hAnsi="Palatino Linotype"/>
        </w:rPr>
        <w:t>(Énfasis añadido)</w:t>
      </w:r>
    </w:p>
    <w:p w:rsidR="00680C93" w:rsidRPr="00F25150" w:rsidRDefault="00680C93" w:rsidP="00680C93">
      <w:pPr>
        <w:pStyle w:val="Prrafodelista"/>
        <w:spacing w:line="276" w:lineRule="auto"/>
        <w:ind w:left="426" w:right="142"/>
        <w:jc w:val="both"/>
        <w:rPr>
          <w:rFonts w:ascii="Palatino Linotype" w:hAnsi="Palatino Linotype" w:cs="Arial"/>
        </w:rPr>
      </w:pPr>
    </w:p>
    <w:p w:rsidR="00680C93" w:rsidRPr="00F25150" w:rsidRDefault="00680C93" w:rsidP="0037157C">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t xml:space="preserve">Es así, como la </w:t>
      </w:r>
      <w:r w:rsidR="0037157C" w:rsidRPr="00F25150">
        <w:rPr>
          <w:rFonts w:ascii="Palatino Linotype" w:hAnsi="Palatino Linotype" w:cs="Arial"/>
        </w:rPr>
        <w:t>Fiscalía General de Justicia del Estado de México</w:t>
      </w:r>
      <w:r w:rsidRPr="00F25150">
        <w:rPr>
          <w:rFonts w:ascii="Palatino Linotype" w:hAnsi="Palatino Linotype" w:cs="Arial"/>
        </w:rPr>
        <w:t xml:space="preserve"> cuenta con atribuciones para registrar sus actuaciones en el sistema informático de la Fiscalía, derivado de lo anterior, se crea  el SISTEMA INFORMÁTICO DE GESTIÓN INSTITUCIONAL DEL PROCEDIMIENTO PENAL EN EL ESTADO DE MÉXICO “SIGIPPEM”, DE LA PROCURADURÍA GENERAL DE JUSTICIA DEL ESTADO DE MÉXICO de conformidad con el ACUERDO NÚMERO 16/2016</w:t>
      </w:r>
      <w:r w:rsidRPr="00F25150">
        <w:rPr>
          <w:rStyle w:val="Refdenotaalpie"/>
          <w:rFonts w:ascii="Palatino Linotype" w:hAnsi="Palatino Linotype" w:cs="Arial"/>
        </w:rPr>
        <w:footnoteReference w:id="5"/>
      </w:r>
      <w:r w:rsidRPr="00F25150">
        <w:rPr>
          <w:rFonts w:ascii="Palatino Linotype" w:hAnsi="Palatino Linotype" w:cs="Arial"/>
        </w:rPr>
        <w:t xml:space="preserve"> mismo que el </w:t>
      </w:r>
      <w:r w:rsidRPr="00F25150">
        <w:rPr>
          <w:rFonts w:ascii="Palatino Linotype" w:hAnsi="Palatino Linotype" w:cs="Arial"/>
        </w:rPr>
        <w:lastRenderedPageBreak/>
        <w:t xml:space="preserve">Procurador General de Justicia del Estado de México instruye su uso obligatorio, en el cual, dentro de su artículo segundo establece quienes operaran dicho sistema y establece como se deberá de generar el </w:t>
      </w:r>
      <w:r w:rsidRPr="00F25150">
        <w:rPr>
          <w:rFonts w:ascii="Palatino Linotype" w:hAnsi="Palatino Linotype" w:cs="Arial"/>
          <w:u w:val="single"/>
        </w:rPr>
        <w:t>número interno de control (NIC</w:t>
      </w:r>
      <w:r w:rsidRPr="00F25150">
        <w:rPr>
          <w:rFonts w:ascii="Palatino Linotype" w:hAnsi="Palatino Linotype" w:cs="Arial"/>
        </w:rPr>
        <w:t xml:space="preserve">) y en caso de que sea necesario realizar una carpeta de investigación se generará el </w:t>
      </w:r>
      <w:r w:rsidRPr="00F25150">
        <w:rPr>
          <w:rFonts w:ascii="Palatino Linotype" w:hAnsi="Palatino Linotype" w:cs="Arial"/>
          <w:u w:val="single"/>
        </w:rPr>
        <w:t>número único de causa (NUC)</w:t>
      </w:r>
      <w:r w:rsidRPr="00F25150">
        <w:rPr>
          <w:rFonts w:ascii="Palatino Linotype" w:hAnsi="Palatino Linotype" w:cs="Arial"/>
        </w:rPr>
        <w:t xml:space="preserve">, como a continuación se indica: </w:t>
      </w:r>
    </w:p>
    <w:p w:rsidR="00053FB7" w:rsidRPr="00F25150" w:rsidRDefault="00053FB7" w:rsidP="00053FB7">
      <w:pPr>
        <w:spacing w:line="360" w:lineRule="auto"/>
        <w:contextualSpacing/>
        <w:jc w:val="both"/>
        <w:rPr>
          <w:rFonts w:ascii="Palatino Linotype" w:hAnsi="Palatino Linotype" w:cs="Arial"/>
        </w:rPr>
      </w:pP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 xml:space="preserve">Instrucciones al personal operativo </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b/>
          <w:i/>
        </w:rPr>
        <w:t>ARTÍCULO SEGUNDO.-</w:t>
      </w:r>
      <w:r w:rsidRPr="00F25150">
        <w:rPr>
          <w:rFonts w:ascii="Palatino Linotype" w:hAnsi="Palatino Linotype"/>
          <w:i/>
        </w:rPr>
        <w:t xml:space="preserve"> Los orientadores jurídicos, agentes del Ministerio Público, Policías de Investigación, Peritos y facilitadores de justicia restaurativa de la Procuraduría General de Justicia del Estado de México, deberán utilizar y operar el SIGIPPEM en sus actividades con motivo del procedimiento penal acorde al Código Nacional de Procedimientos Penales. Los servidores públicos antes citados, en la aplicación del SIGIPPEM deberán cumplir con lo siguiente:</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 xml:space="preserve">IV. Para iniciar un caso en el SIGIPPEM, </w:t>
      </w:r>
      <w:r w:rsidRPr="00F25150">
        <w:rPr>
          <w:rFonts w:ascii="Palatino Linotype" w:hAnsi="Palatino Linotype"/>
          <w:i/>
          <w:u w:val="single"/>
        </w:rPr>
        <w:t>los orientadores jurídicos o los agentes del Ministerio Público deberán generar su número interno de control (NIC) que es una clave alfanumérica de 30 dígitos en la que pueden registrar lo actuado como noticia criminal; en caso de que sea necesario realizar una carpeta de investigación se generará el número único de causa (NUC), de 28 dígitos, que será la identificación alfanumérica del caso</w:t>
      </w:r>
      <w:r w:rsidRPr="00F25150">
        <w:rPr>
          <w:rFonts w:ascii="Palatino Linotype" w:hAnsi="Palatino Linotype"/>
          <w:i/>
        </w:rPr>
        <w:t xml:space="preserve"> a lo largo de todo el procedimiento penal y por ello será de uso de todos los operadores de conformidad con los convenios que al efecto se suscriban. Dichos números deberán insertarse en todas las actuaciones institucionales. La composición del NIC y del NUC se establece en el anexo uno del presente Acuerdo. </w:t>
      </w:r>
    </w:p>
    <w:p w:rsidR="00680C93" w:rsidRPr="00F25150" w:rsidRDefault="00680C93" w:rsidP="00680C93">
      <w:pPr>
        <w:pStyle w:val="Prrafodelista"/>
        <w:spacing w:line="360" w:lineRule="auto"/>
        <w:ind w:left="426" w:right="142"/>
        <w:jc w:val="both"/>
        <w:rPr>
          <w:rFonts w:ascii="Palatino Linotype" w:hAnsi="Palatino Linotype" w:cs="Arial"/>
        </w:rPr>
      </w:pPr>
    </w:p>
    <w:p w:rsidR="00680C93" w:rsidRPr="00F25150" w:rsidRDefault="00680C93" w:rsidP="0037157C">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t xml:space="preserve">En ese orden de ideas, el segundo transitorio del citado Acuerdo, establece que las noticias criminales y carpetas de investigación iniciadas antes de las cero </w:t>
      </w:r>
      <w:r w:rsidRPr="00F25150">
        <w:rPr>
          <w:rFonts w:ascii="Palatino Linotype" w:hAnsi="Palatino Linotype" w:cs="Arial"/>
        </w:rPr>
        <w:lastRenderedPageBreak/>
        <w:t xml:space="preserve">horas del día 18 de junio de 2016 se deberán seguir bajo el procedimiento previsto por el Código de Procedimientos Penales para el Estado de México, y por tanto sus actuaciones deberán capturarse en el Sistema Automatizado de Denuncias (SAD) y las noticias criminales y carpetas de investigación iniciadas a partir de las cero horas del 18 de junio se registrarán en el SIGIPPEM, además, especifica como deberán de estar conformados: </w:t>
      </w:r>
    </w:p>
    <w:p w:rsidR="00680C93" w:rsidRPr="00F25150" w:rsidRDefault="00680C93" w:rsidP="00680C93">
      <w:pPr>
        <w:pStyle w:val="Prrafodelista"/>
        <w:spacing w:line="360" w:lineRule="auto"/>
        <w:ind w:left="426" w:right="142"/>
        <w:jc w:val="both"/>
        <w:rPr>
          <w:rFonts w:ascii="Palatino Linotype" w:hAnsi="Palatino Linotype" w:cs="Arial"/>
        </w:rPr>
      </w:pPr>
      <w:r w:rsidRPr="00F25150">
        <w:rPr>
          <w:noProof/>
          <w:lang w:val="es-MX" w:eastAsia="es-MX"/>
        </w:rPr>
        <w:drawing>
          <wp:inline distT="0" distB="0" distL="0" distR="0" wp14:anchorId="0AF8AA13" wp14:editId="00A13FFF">
            <wp:extent cx="5244998" cy="3217135"/>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870" t="28660" r="28039" b="22172"/>
                    <a:stretch/>
                  </pic:blipFill>
                  <pic:spPr bwMode="auto">
                    <a:xfrm>
                      <a:off x="0" y="0"/>
                      <a:ext cx="5261150" cy="32270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80C93" w:rsidRPr="00F25150" w:rsidRDefault="00680C93" w:rsidP="00680C93">
      <w:pPr>
        <w:pStyle w:val="Prrafodelista"/>
        <w:spacing w:line="360" w:lineRule="auto"/>
        <w:ind w:left="426" w:right="142"/>
        <w:jc w:val="both"/>
        <w:rPr>
          <w:rFonts w:ascii="Palatino Linotype" w:hAnsi="Palatino Linotype" w:cs="Arial"/>
        </w:rPr>
      </w:pPr>
    </w:p>
    <w:p w:rsidR="00680C93" w:rsidRPr="00F25150" w:rsidRDefault="00680C93" w:rsidP="0037157C">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t xml:space="preserve">Por otro lado, el treinta de abril de 2010 se publica el ACUERDO NÚMERO 10/2018, DEL FISCAL GENERAL DE JUSTICIA DEL ESTADO DE MÉXICO, POR EL QUE SE CREA Y SE INSTRUYE EL USO OBLIGATORIO DEL SISTEMA INFORMÁTICO DE GESTIÓN Y DEL CORREO ELECTRÓNICO INSTITUCIONAL, DE LA FISCALÍA GENERAL DE JUSTICIA DEL ESTADO DE </w:t>
      </w:r>
      <w:r w:rsidRPr="00F25150">
        <w:rPr>
          <w:rFonts w:ascii="Palatino Linotype" w:hAnsi="Palatino Linotype" w:cs="Arial"/>
        </w:rPr>
        <w:lastRenderedPageBreak/>
        <w:t>MÉXICO</w:t>
      </w:r>
      <w:r w:rsidRPr="00F25150">
        <w:rPr>
          <w:rStyle w:val="Refdenotaalpie"/>
          <w:rFonts w:ascii="Palatino Linotype" w:hAnsi="Palatino Linotype" w:cs="Arial"/>
        </w:rPr>
        <w:footnoteReference w:id="6"/>
      </w:r>
      <w:r w:rsidRPr="00F25150">
        <w:rPr>
          <w:rFonts w:ascii="Palatino Linotype" w:hAnsi="Palatino Linotype" w:cs="Arial"/>
        </w:rPr>
        <w:t xml:space="preserve">, en el cual se crea y se autoriza la implementación del Sistema Informático Institucional (SIGI) y se deroga el sistema SIGIPPEM, sin embargo, </w:t>
      </w:r>
      <w:r w:rsidRPr="00F25150">
        <w:rPr>
          <w:rFonts w:ascii="Palatino Linotype" w:hAnsi="Palatino Linotype" w:cs="Arial"/>
          <w:u w:val="single"/>
        </w:rPr>
        <w:t>continua contemplado el  número interno de control (NIC) y  el número único de causa (NUC)</w:t>
      </w:r>
      <w:r w:rsidRPr="00F25150">
        <w:rPr>
          <w:rFonts w:ascii="Palatino Linotype" w:hAnsi="Palatino Linotype" w:cs="Arial"/>
        </w:rPr>
        <w:t xml:space="preserve"> como a continuación se indica:</w:t>
      </w:r>
      <w:r w:rsidRPr="00F25150">
        <w:rPr>
          <w:rFonts w:ascii="Palatino Linotype" w:hAnsi="Palatino Linotype"/>
          <w:i/>
          <w:u w:val="single"/>
        </w:rPr>
        <w:t xml:space="preserve"> </w:t>
      </w:r>
    </w:p>
    <w:p w:rsidR="00053FB7" w:rsidRPr="00F25150" w:rsidRDefault="00053FB7" w:rsidP="00053FB7">
      <w:pPr>
        <w:spacing w:line="360" w:lineRule="auto"/>
        <w:contextualSpacing/>
        <w:jc w:val="both"/>
        <w:rPr>
          <w:rFonts w:ascii="Palatino Linotype" w:hAnsi="Palatino Linotype" w:cs="Arial"/>
        </w:rPr>
      </w:pPr>
    </w:p>
    <w:p w:rsidR="00680C93" w:rsidRPr="00F25150" w:rsidRDefault="00680C93" w:rsidP="00680C93">
      <w:pPr>
        <w:spacing w:line="276" w:lineRule="auto"/>
        <w:ind w:left="851" w:right="902"/>
        <w:jc w:val="both"/>
        <w:rPr>
          <w:rFonts w:ascii="Palatino Linotype" w:hAnsi="Palatino Linotype"/>
          <w:i/>
        </w:rPr>
      </w:pPr>
      <w:r w:rsidRPr="00F25150">
        <w:rPr>
          <w:rFonts w:ascii="Palatino Linotype" w:hAnsi="Palatino Linotype"/>
          <w:i/>
        </w:rPr>
        <w:t xml:space="preserve">“Instrucciones al personal operativo </w:t>
      </w:r>
    </w:p>
    <w:p w:rsidR="00680C93" w:rsidRPr="00F25150" w:rsidRDefault="00680C93" w:rsidP="00680C93">
      <w:pPr>
        <w:spacing w:line="276" w:lineRule="auto"/>
        <w:ind w:left="851" w:right="902"/>
        <w:jc w:val="both"/>
        <w:rPr>
          <w:rFonts w:ascii="Palatino Linotype" w:hAnsi="Palatino Linotype"/>
          <w:i/>
        </w:rPr>
      </w:pPr>
      <w:r w:rsidRPr="00F25150">
        <w:rPr>
          <w:rFonts w:ascii="Palatino Linotype" w:hAnsi="Palatino Linotype"/>
          <w:b/>
          <w:i/>
        </w:rPr>
        <w:t>SEGUNDO</w:t>
      </w:r>
      <w:r w:rsidRPr="00F25150">
        <w:rPr>
          <w:rFonts w:ascii="Palatino Linotype" w:hAnsi="Palatino Linotype"/>
          <w:i/>
        </w:rPr>
        <w:t>.- Se instruye el uso obligatorio de “EL SIGI” para registrar las investigaciones y procesos penales substanciados conforme al Código Nacional de Procedimientos Penales, la Ley Nacional de Mecanismos Alternativos de Solución de Controversias en Materia Penal, la Ley Nacional del Sistema Integral de Justicia Penal para Adolescentes, así como los juicios de amparo indirecto y directo en los que intervenga o tenga noticia el Ministerio Público.</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 xml:space="preserve">… </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 xml:space="preserve">Los servidores públicos antes citados, en la aplicación del Sistema, deberán cumplir con lo siguiente: </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 xml:space="preserve">I. Para iniciar un caso en “EL SIGI”, los orientadores jurídicos o los agentes del Ministerio Público, deberán generar un </w:t>
      </w:r>
      <w:r w:rsidRPr="00F25150">
        <w:rPr>
          <w:rFonts w:ascii="Palatino Linotype" w:hAnsi="Palatino Linotype"/>
          <w:i/>
          <w:u w:val="single"/>
        </w:rPr>
        <w:t>número interno de control (NIC)</w:t>
      </w:r>
      <w:r w:rsidRPr="00F25150">
        <w:rPr>
          <w:rFonts w:ascii="Palatino Linotype" w:hAnsi="Palatino Linotype"/>
          <w:i/>
        </w:rPr>
        <w:t xml:space="preserve"> que es una clave alfanumérica de 30 dígitos en la que pueden registrar lo actuado como noticia criminal; en caso de que sea necesario realizar una carpeta de investigación se generará el </w:t>
      </w:r>
      <w:r w:rsidRPr="00F25150">
        <w:rPr>
          <w:rFonts w:ascii="Palatino Linotype" w:hAnsi="Palatino Linotype"/>
          <w:i/>
          <w:u w:val="single"/>
        </w:rPr>
        <w:t>número único de causa (NUC)</w:t>
      </w:r>
      <w:r w:rsidRPr="00F25150">
        <w:rPr>
          <w:rFonts w:ascii="Palatino Linotype" w:hAnsi="Palatino Linotype"/>
          <w:i/>
        </w:rPr>
        <w:t xml:space="preserve"> de 28 dígitos, que será la identificación alfanumérica del caso a lo largo de todo el procedimiento penal y por ello será de uso de todos los operadores de conformidad con los convenios que al efecto se suscriban. Dichos números deberán insertarse en todas las actuaciones institucionales. La composición del NIC y del NUC se establece en el anexo uno del presente Acuerdo;</w:t>
      </w:r>
    </w:p>
    <w:p w:rsidR="00680C93" w:rsidRPr="00F25150" w:rsidRDefault="00680C93" w:rsidP="00053FB7">
      <w:pPr>
        <w:spacing w:line="276" w:lineRule="auto"/>
        <w:ind w:left="709" w:right="902"/>
        <w:jc w:val="both"/>
        <w:rPr>
          <w:rFonts w:ascii="Palatino Linotype" w:hAnsi="Palatino Linotype"/>
          <w:i/>
        </w:rPr>
      </w:pPr>
      <w:r w:rsidRPr="00F25150">
        <w:rPr>
          <w:rFonts w:ascii="Palatino Linotype" w:hAnsi="Palatino Linotype"/>
          <w:i/>
        </w:rPr>
        <w:t>…”</w:t>
      </w:r>
    </w:p>
    <w:p w:rsidR="00680C93" w:rsidRPr="00F25150" w:rsidRDefault="00680C93" w:rsidP="00053FB7">
      <w:pPr>
        <w:spacing w:line="276" w:lineRule="auto"/>
        <w:ind w:left="709" w:right="902"/>
        <w:jc w:val="both"/>
        <w:rPr>
          <w:rFonts w:ascii="Palatino Linotype" w:hAnsi="Palatino Linotype"/>
        </w:rPr>
      </w:pPr>
      <w:r w:rsidRPr="00F25150">
        <w:rPr>
          <w:rFonts w:ascii="Palatino Linotype" w:hAnsi="Palatino Linotype"/>
        </w:rPr>
        <w:t>(Énfasis añadido)</w:t>
      </w:r>
    </w:p>
    <w:p w:rsidR="00680C93" w:rsidRPr="00F25150" w:rsidRDefault="00680C93" w:rsidP="0037157C">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lastRenderedPageBreak/>
        <w:t xml:space="preserve">Por consiguiente, el </w:t>
      </w:r>
      <w:r w:rsidR="00002446" w:rsidRPr="00F25150">
        <w:rPr>
          <w:rFonts w:ascii="Palatino Linotype" w:hAnsi="Palatino Linotype" w:cs="Arial"/>
          <w:b/>
        </w:rPr>
        <w:t>SUJETO OBLIGADO</w:t>
      </w:r>
      <w:r w:rsidR="00002446" w:rsidRPr="00F25150">
        <w:rPr>
          <w:rFonts w:ascii="Palatino Linotype" w:hAnsi="Palatino Linotype" w:cs="Arial"/>
        </w:rPr>
        <w:t xml:space="preserve"> </w:t>
      </w:r>
      <w:r w:rsidRPr="00F25150">
        <w:rPr>
          <w:rFonts w:ascii="Palatino Linotype" w:hAnsi="Palatino Linotype" w:cs="Arial"/>
        </w:rPr>
        <w:t xml:space="preserve">cuenta con atribuciones para generar, administrar poseer la información solicitada, de conformidad con lo previsto en los artículos </w:t>
      </w:r>
      <w:r w:rsidRPr="00F25150">
        <w:rPr>
          <w:rFonts w:ascii="Palatino Linotype" w:hAnsi="Palatino Linotype"/>
        </w:rPr>
        <w:t xml:space="preserve">18 y 19 de la Ley de Transparencia y Acceso a la Información Pública del </w:t>
      </w:r>
      <w:r w:rsidRPr="00F25150">
        <w:rPr>
          <w:rFonts w:ascii="Palatino Linotype" w:hAnsi="Palatino Linotype" w:cs="Arial"/>
        </w:rPr>
        <w:t>Estado</w:t>
      </w:r>
      <w:r w:rsidRPr="00F25150">
        <w:rPr>
          <w:rFonts w:ascii="Palatino Linotype" w:hAnsi="Palatino Linotype"/>
        </w:rPr>
        <w:t xml:space="preserve"> de México y Municipios, que disponen lo siguiente:</w:t>
      </w:r>
    </w:p>
    <w:p w:rsidR="0037157C" w:rsidRPr="00F25150" w:rsidRDefault="0037157C" w:rsidP="0037157C">
      <w:pPr>
        <w:spacing w:line="360" w:lineRule="auto"/>
        <w:contextualSpacing/>
        <w:jc w:val="both"/>
        <w:rPr>
          <w:rFonts w:ascii="Palatino Linotype" w:hAnsi="Palatino Linotype" w:cs="Arial"/>
        </w:rPr>
      </w:pPr>
    </w:p>
    <w:p w:rsidR="00680C93" w:rsidRPr="00F25150" w:rsidRDefault="00680C93" w:rsidP="00002446">
      <w:pPr>
        <w:spacing w:after="120"/>
        <w:ind w:left="567" w:right="616"/>
        <w:jc w:val="both"/>
        <w:rPr>
          <w:rFonts w:ascii="Palatino Linotype" w:hAnsi="Palatino Linotype"/>
          <w:i/>
        </w:rPr>
      </w:pPr>
      <w:r w:rsidRPr="00F25150">
        <w:rPr>
          <w:rFonts w:ascii="Palatino Linotype" w:hAnsi="Palatino Linotype"/>
          <w:b/>
          <w:i/>
        </w:rPr>
        <w:t>“Artículo 18.</w:t>
      </w:r>
      <w:r w:rsidRPr="00F25150">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002446" w:rsidRPr="00F25150" w:rsidRDefault="00002446" w:rsidP="00002446">
      <w:pPr>
        <w:spacing w:after="120"/>
        <w:ind w:left="567" w:right="616"/>
        <w:jc w:val="both"/>
        <w:rPr>
          <w:rFonts w:ascii="Palatino Linotype" w:hAnsi="Palatino Linotype"/>
          <w:i/>
        </w:rPr>
      </w:pPr>
    </w:p>
    <w:p w:rsidR="00680C93" w:rsidRPr="00F25150" w:rsidRDefault="00680C93" w:rsidP="00002446">
      <w:pPr>
        <w:spacing w:after="120"/>
        <w:ind w:left="567" w:right="616"/>
        <w:jc w:val="both"/>
        <w:rPr>
          <w:rFonts w:ascii="Palatino Linotype" w:hAnsi="Palatino Linotype"/>
          <w:i/>
        </w:rPr>
      </w:pPr>
      <w:r w:rsidRPr="00F25150">
        <w:rPr>
          <w:rFonts w:ascii="Palatino Linotype" w:hAnsi="Palatino Linotype"/>
          <w:b/>
          <w:i/>
        </w:rPr>
        <w:t>Artículo 19.</w:t>
      </w:r>
      <w:r w:rsidRPr="00F25150">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680C93" w:rsidRPr="00F25150" w:rsidRDefault="00680C93" w:rsidP="00002446">
      <w:pPr>
        <w:spacing w:after="120"/>
        <w:ind w:left="567" w:right="616"/>
        <w:jc w:val="both"/>
        <w:rPr>
          <w:rFonts w:ascii="Palatino Linotype" w:hAnsi="Palatino Linotype"/>
          <w:i/>
        </w:rPr>
      </w:pPr>
      <w:r w:rsidRPr="00F25150">
        <w:rPr>
          <w:rFonts w:ascii="Palatino Linotype" w:hAnsi="Palatino Linotype"/>
          <w:i/>
        </w:rPr>
        <w:t>En los casos en que ciertas facultades, competencias o funciones no se hayan ejercido, se debe motivar la respuesta en función de las causas que motiven tal circunstancia…”</w:t>
      </w:r>
    </w:p>
    <w:p w:rsidR="00002446" w:rsidRPr="00F25150" w:rsidRDefault="00002446" w:rsidP="00002446">
      <w:pPr>
        <w:spacing w:after="120"/>
        <w:ind w:left="567" w:right="616"/>
        <w:jc w:val="both"/>
        <w:rPr>
          <w:rFonts w:ascii="Palatino Linotype" w:hAnsi="Palatino Linotype"/>
          <w:i/>
        </w:rPr>
      </w:pPr>
    </w:p>
    <w:p w:rsidR="00680C93" w:rsidRPr="00F25150" w:rsidRDefault="00680C93" w:rsidP="00002446">
      <w:pPr>
        <w:numPr>
          <w:ilvl w:val="0"/>
          <w:numId w:val="15"/>
        </w:numPr>
        <w:spacing w:line="360" w:lineRule="auto"/>
        <w:ind w:left="0" w:firstLine="0"/>
        <w:contextualSpacing/>
        <w:jc w:val="both"/>
        <w:rPr>
          <w:rFonts w:ascii="Palatino Linotype" w:hAnsi="Palatino Linotype" w:cs="Arial"/>
        </w:rPr>
      </w:pPr>
      <w:r w:rsidRPr="00F25150">
        <w:rPr>
          <w:rFonts w:ascii="Palatino Linotype" w:hAnsi="Palatino Linotype" w:cs="Arial"/>
        </w:rPr>
        <w:t xml:space="preserve">Dicho de otro modo, se actualizan los principios de presunción de existencia y el principio de documentar que corresponde a los sujetos obligados cuando se refiere a las facultades, competencias o funciones que tienen encomendadas, así como a la obligatoriedad que tienen los funcionarios de documentar el ejercicio de sus atribuciones y funciones. </w:t>
      </w:r>
    </w:p>
    <w:p w:rsidR="00680C93" w:rsidRPr="00F25150" w:rsidRDefault="00680C93" w:rsidP="00680C93">
      <w:pPr>
        <w:pStyle w:val="Prrafodelista"/>
        <w:spacing w:line="360" w:lineRule="auto"/>
        <w:ind w:left="426" w:right="142"/>
        <w:jc w:val="both"/>
        <w:rPr>
          <w:rFonts w:ascii="Palatino Linotype" w:hAnsi="Palatino Linotype" w:cs="Arial"/>
        </w:rPr>
      </w:pPr>
    </w:p>
    <w:p w:rsidR="00680C93" w:rsidRPr="00F25150" w:rsidRDefault="00680C93" w:rsidP="00002446">
      <w:pPr>
        <w:numPr>
          <w:ilvl w:val="0"/>
          <w:numId w:val="15"/>
        </w:numPr>
        <w:spacing w:line="360" w:lineRule="auto"/>
        <w:ind w:left="0" w:firstLine="0"/>
        <w:contextualSpacing/>
        <w:jc w:val="both"/>
        <w:rPr>
          <w:rFonts w:ascii="Palatino Linotype" w:eastAsia="Times New Roman" w:hAnsi="Palatino Linotype" w:cs="Arial"/>
          <w:lang w:val="es-ES" w:eastAsia="es-MX"/>
        </w:rPr>
      </w:pPr>
      <w:r w:rsidRPr="00F25150">
        <w:rPr>
          <w:rFonts w:ascii="Palatino Linotype" w:eastAsia="Times New Roman" w:hAnsi="Palatino Linotype" w:cs="Arial"/>
          <w:lang w:val="es-ES" w:eastAsia="es-MX"/>
        </w:rPr>
        <w:t xml:space="preserve">De la misma forma, </w:t>
      </w:r>
      <w:r w:rsidRPr="00F25150">
        <w:rPr>
          <w:rFonts w:ascii="Palatino Linotype" w:eastAsia="MS Mincho" w:hAnsi="Palatino Linotype" w:cs="Times New Roman"/>
        </w:rPr>
        <w:t>de acuerdo al contenido del artículo 160</w:t>
      </w:r>
      <w:r w:rsidRPr="00F25150">
        <w:rPr>
          <w:rFonts w:ascii="Palatino Linotype" w:eastAsia="Times New Roman" w:hAnsi="Palatino Linotype" w:cs="Arial"/>
        </w:rPr>
        <w:t xml:space="preserve"> de la Ley </w:t>
      </w:r>
      <w:r w:rsidRPr="00F25150">
        <w:rPr>
          <w:rFonts w:ascii="Palatino Linotype" w:eastAsia="MS Mincho" w:hAnsi="Palatino Linotype" w:cs="Tahoma"/>
        </w:rPr>
        <w:t xml:space="preserve">General de </w:t>
      </w:r>
      <w:r w:rsidRPr="00F25150">
        <w:rPr>
          <w:rFonts w:ascii="Palatino Linotype" w:hAnsi="Palatino Linotype" w:cs="Arial"/>
        </w:rPr>
        <w:t>Transparencia</w:t>
      </w:r>
      <w:r w:rsidRPr="00F25150">
        <w:rPr>
          <w:rFonts w:ascii="Palatino Linotype" w:eastAsia="MS Mincho" w:hAnsi="Palatino Linotype" w:cs="Tahoma"/>
        </w:rPr>
        <w:t xml:space="preserve"> y Acceso a la Información Pública que a la letra dispone:</w:t>
      </w:r>
    </w:p>
    <w:p w:rsidR="00002446" w:rsidRPr="00F25150" w:rsidRDefault="00002446" w:rsidP="00002446">
      <w:pPr>
        <w:pStyle w:val="Prrafodelista"/>
        <w:rPr>
          <w:rFonts w:ascii="Palatino Linotype" w:eastAsia="Times New Roman" w:hAnsi="Palatino Linotype" w:cs="Arial"/>
          <w:lang w:val="es-ES" w:eastAsia="es-MX"/>
        </w:rPr>
      </w:pPr>
    </w:p>
    <w:p w:rsidR="00680C93" w:rsidRPr="00F25150" w:rsidRDefault="00680C93" w:rsidP="00680C93">
      <w:pPr>
        <w:spacing w:line="360" w:lineRule="auto"/>
        <w:ind w:left="851" w:right="616"/>
        <w:contextualSpacing/>
        <w:jc w:val="both"/>
        <w:rPr>
          <w:rFonts w:ascii="Palatino Linotype" w:eastAsia="Times New Roman" w:hAnsi="Palatino Linotype" w:cs="Arial"/>
          <w:i/>
          <w:lang w:eastAsia="gl-ES"/>
        </w:rPr>
      </w:pPr>
      <w:r w:rsidRPr="00F25150">
        <w:rPr>
          <w:rFonts w:ascii="Palatino Linotype" w:eastAsia="Times New Roman" w:hAnsi="Palatino Linotype" w:cs="Arial"/>
          <w:b/>
          <w:i/>
          <w:lang w:eastAsia="gl-ES"/>
        </w:rPr>
        <w:t>Artículo 160</w:t>
      </w:r>
      <w:r w:rsidRPr="00F25150">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w:t>
      </w:r>
      <w:r w:rsidRPr="00F25150">
        <w:rPr>
          <w:rFonts w:ascii="Palatino Linotype" w:eastAsia="Times New Roman" w:hAnsi="Palatino Linotype" w:cs="Arial"/>
          <w:i/>
          <w:lang w:eastAsia="gl-ES"/>
        </w:rPr>
        <w:lastRenderedPageBreak/>
        <w:t>acuerdo con sus facultades, competencias o funciones en el formato que el solicitante manifieste, de entre aquellos formatos existentes, conforme a las características físicas de la información o del lugar donde se encuentre así lo permita.</w:t>
      </w:r>
    </w:p>
    <w:p w:rsidR="00002446" w:rsidRPr="00F25150" w:rsidRDefault="00002446" w:rsidP="00680C93">
      <w:pPr>
        <w:spacing w:line="360" w:lineRule="auto"/>
        <w:ind w:left="851" w:right="616"/>
        <w:contextualSpacing/>
        <w:jc w:val="both"/>
        <w:rPr>
          <w:rFonts w:ascii="Palatino Linotype" w:eastAsia="Times New Roman" w:hAnsi="Palatino Linotype" w:cs="Arial"/>
          <w:i/>
          <w:lang w:eastAsia="gl-ES"/>
        </w:rPr>
      </w:pPr>
    </w:p>
    <w:p w:rsidR="00680C93" w:rsidRPr="00F25150" w:rsidRDefault="00680C93" w:rsidP="00002446">
      <w:pPr>
        <w:numPr>
          <w:ilvl w:val="0"/>
          <w:numId w:val="15"/>
        </w:numPr>
        <w:spacing w:line="360" w:lineRule="auto"/>
        <w:ind w:left="0" w:firstLine="0"/>
        <w:contextualSpacing/>
        <w:jc w:val="both"/>
        <w:rPr>
          <w:rFonts w:ascii="Palatino Linotype" w:eastAsia="Calibri" w:hAnsi="Palatino Linotype" w:cs="Arial"/>
        </w:rPr>
      </w:pPr>
      <w:r w:rsidRPr="00F25150">
        <w:rPr>
          <w:rFonts w:ascii="Palatino Linotype" w:eastAsia="Calibri" w:hAnsi="Palatino Linotype" w:cs="Arial"/>
        </w:rPr>
        <w:t>Como se puede advertir el derecho del particular de acceder a los documentos que obran en posesión del Sujeto Obligado se encuentra limitado, en virtud de que le fue negada la información;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002446" w:rsidRPr="00F25150" w:rsidRDefault="00002446" w:rsidP="00002446">
      <w:pPr>
        <w:spacing w:line="360" w:lineRule="auto"/>
        <w:contextualSpacing/>
        <w:jc w:val="both"/>
        <w:rPr>
          <w:rFonts w:ascii="Palatino Linotype" w:hAnsi="Palatino Linotype" w:cs="Arial"/>
        </w:rPr>
      </w:pPr>
    </w:p>
    <w:p w:rsidR="00680C93" w:rsidRPr="00F25150" w:rsidRDefault="00680C93" w:rsidP="00002446">
      <w:pPr>
        <w:numPr>
          <w:ilvl w:val="0"/>
          <w:numId w:val="15"/>
        </w:numPr>
        <w:spacing w:line="360" w:lineRule="auto"/>
        <w:ind w:left="0" w:firstLine="0"/>
        <w:contextualSpacing/>
        <w:jc w:val="both"/>
        <w:rPr>
          <w:rFonts w:ascii="Palatino Linotype" w:hAnsi="Palatino Linotype" w:cs="Arial"/>
        </w:rPr>
      </w:pPr>
      <w:r w:rsidRPr="00F25150">
        <w:rPr>
          <w:rFonts w:ascii="Palatino Linotype" w:eastAsia="Calibri" w:hAnsi="Palatino Linotype" w:cs="Arial"/>
        </w:rPr>
        <w:t>Consecuentemente</w:t>
      </w:r>
      <w:r w:rsidRPr="00F25150">
        <w:rPr>
          <w:rFonts w:ascii="Palatino Linotype" w:hAnsi="Palatino Linotype"/>
        </w:rPr>
        <w:t>, no es posible tener por satisfecho el derecho de acceso a la información del hoy recurrente</w:t>
      </w:r>
      <w:r w:rsidRPr="00F25150">
        <w:rPr>
          <w:rFonts w:ascii="Palatino Linotype" w:hAnsi="Palatino Linotype"/>
          <w:b/>
          <w:i/>
        </w:rPr>
        <w:t xml:space="preserve"> </w:t>
      </w:r>
      <w:r w:rsidRPr="00F25150">
        <w:rPr>
          <w:rFonts w:ascii="Palatino Linotype" w:hAnsi="Palatino Linotype"/>
        </w:rPr>
        <w:t>en virtud de que en</w:t>
      </w:r>
      <w:r w:rsidRPr="00F25150">
        <w:rPr>
          <w:rFonts w:ascii="Palatino Linotype" w:hAnsi="Palatino Linotype" w:cs="Arial"/>
        </w:rPr>
        <w:t xml:space="preserve"> primer término es preciso referir que estamos ante el escenario de documentos los cuales son considerados </w:t>
      </w:r>
      <w:r w:rsidRPr="00F25150">
        <w:rPr>
          <w:rFonts w:ascii="Palatino Linotype" w:hAnsi="Palatino Linotype" w:cs="Arial"/>
        </w:rPr>
        <w:lastRenderedPageBreak/>
        <w:t>públicos, es decir, la naturaleza de los oficios y de los asuntos que se traten, sirve de referencia los artículos 1, 2, 5 y 6 de la Ley de Documentos Administrativos e Históricos del Estado de México que a continuación se trascriben:</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 xml:space="preserve">“Artículo 1. La presente Ley, </w:t>
      </w:r>
      <w:r w:rsidRPr="00F25150">
        <w:rPr>
          <w:rFonts w:ascii="Palatino Linotype" w:hAnsi="Palatino Linotype" w:cs="Arial"/>
          <w:b/>
          <w:i/>
          <w:u w:val="single"/>
        </w:rPr>
        <w:t xml:space="preserve">es de orden público e interés social y tiene por objeto normar y regular la administración de documentos administrativos </w:t>
      </w:r>
      <w:r w:rsidRPr="00F25150">
        <w:rPr>
          <w:rFonts w:ascii="Palatino Linotype" w:hAnsi="Palatino Linotype" w:cs="Arial"/>
          <w:i/>
        </w:rPr>
        <w:t>e históricos</w:t>
      </w:r>
      <w:r w:rsidRPr="00F25150">
        <w:rPr>
          <w:rFonts w:ascii="Palatino Linotype" w:hAnsi="Palatino Linotype" w:cs="Arial"/>
          <w:b/>
          <w:i/>
          <w:u w:val="single"/>
        </w:rPr>
        <w:t xml:space="preserve"> de las autoridades del Estado</w:t>
      </w:r>
      <w:r w:rsidRPr="00F25150">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rsidR="00680C93" w:rsidRPr="00F25150" w:rsidRDefault="00680C93" w:rsidP="00002446">
      <w:pPr>
        <w:spacing w:before="100" w:beforeAutospacing="1" w:after="100" w:afterAutospacing="1"/>
        <w:ind w:left="709" w:right="758"/>
        <w:jc w:val="both"/>
        <w:rPr>
          <w:rFonts w:ascii="Palatino Linotype" w:hAnsi="Palatino Linotype" w:cs="Arial"/>
          <w:b/>
          <w:i/>
          <w:u w:val="single"/>
        </w:rPr>
      </w:pPr>
      <w:r w:rsidRPr="00F25150">
        <w:rPr>
          <w:rFonts w:ascii="Palatino Linotype" w:hAnsi="Palatino Linotype" w:cs="Arial"/>
          <w:i/>
        </w:rPr>
        <w:t xml:space="preserve">“Artículo 2.- Para los efectos de esta Ley, </w:t>
      </w:r>
      <w:r w:rsidRPr="00F25150">
        <w:rPr>
          <w:rFonts w:ascii="Palatino Linotype" w:hAnsi="Palatino Linotype" w:cs="Arial"/>
          <w:b/>
          <w:i/>
          <w:u w:val="single"/>
        </w:rPr>
        <w:t xml:space="preserve">se entiende por Administración de Documentos: </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 xml:space="preserve">a) </w:t>
      </w:r>
      <w:r w:rsidRPr="00F25150">
        <w:rPr>
          <w:rFonts w:ascii="Palatino Linotype" w:hAnsi="Palatino Linotype" w:cs="Arial"/>
          <w:b/>
          <w:i/>
          <w:u w:val="single"/>
        </w:rPr>
        <w:t>Los actos tendientes a inventariar, regular, coordinar y dinamizar el funcionamiento y uso de los documentos existentes</w:t>
      </w:r>
      <w:r w:rsidRPr="00F25150">
        <w:rPr>
          <w:rFonts w:ascii="Palatino Linotype" w:hAnsi="Palatino Linotype" w:cs="Arial"/>
          <w:i/>
        </w:rPr>
        <w:t xml:space="preserve"> en los Archivos Administrativos e Históricos de los Poderes del Estado, Municipios y Organismos Auxiliares y en su caso, los que posean particulares.</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 xml:space="preserve">b) </w:t>
      </w:r>
      <w:r w:rsidRPr="00F25150">
        <w:rPr>
          <w:rFonts w:ascii="Palatino Linotype" w:hAnsi="Palatino Linotype" w:cs="Arial"/>
          <w:b/>
          <w:i/>
          <w:u w:val="single"/>
        </w:rPr>
        <w:t>Los actos que se realicen para generar, recibir, mantener, custodiar, reconstruir, depurar o destruir Documentos Administrativos</w:t>
      </w:r>
      <w:r w:rsidRPr="00F25150">
        <w:rPr>
          <w:rFonts w:ascii="Palatino Linotype" w:hAnsi="Palatino Linotype" w:cs="Arial"/>
          <w:i/>
        </w:rPr>
        <w:t xml:space="preserve"> o Históricos, que por su importancia sean fuentes esenciales de información acerca del pasado y presente de la vida institucional del Estado.”</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 xml:space="preserve">“Artículo 5.- </w:t>
      </w:r>
      <w:r w:rsidRPr="00F25150">
        <w:rPr>
          <w:rFonts w:ascii="Palatino Linotype" w:hAnsi="Palatino Linotype" w:cs="Arial"/>
          <w:b/>
          <w:i/>
          <w:u w:val="single"/>
        </w:rPr>
        <w:t>El servidor público, encargado de recibir documentos, los registrará en el acto de su recepción, indicando el destino que deba darse a cada uno</w:t>
      </w:r>
    </w:p>
    <w:p w:rsidR="00680C93" w:rsidRPr="00F25150" w:rsidRDefault="00680C93" w:rsidP="00002446">
      <w:pPr>
        <w:spacing w:before="100" w:beforeAutospacing="1" w:after="100" w:afterAutospacing="1"/>
        <w:ind w:left="709" w:right="758"/>
        <w:jc w:val="both"/>
        <w:rPr>
          <w:rFonts w:ascii="Palatino Linotype" w:hAnsi="Palatino Linotype" w:cs="Arial"/>
          <w:i/>
        </w:rPr>
      </w:pPr>
      <w:r w:rsidRPr="00F25150">
        <w:rPr>
          <w:rFonts w:ascii="Palatino Linotype" w:hAnsi="Palatino Linotype" w:cs="Arial"/>
          <w:i/>
        </w:rPr>
        <w:t xml:space="preserve">“Artículo 6.- </w:t>
      </w:r>
      <w:r w:rsidRPr="00F25150">
        <w:rPr>
          <w:rFonts w:ascii="Palatino Linotype" w:hAnsi="Palatino Linotype" w:cs="Arial"/>
          <w:b/>
          <w:i/>
          <w:u w:val="single"/>
        </w:rPr>
        <w:t>Los usuarios tendrán acceso a la información de los documentos, conforme a lo dispuesto por la ley de la materia</w:t>
      </w:r>
      <w:r w:rsidRPr="00F25150">
        <w:rPr>
          <w:rFonts w:ascii="Palatino Linotype" w:hAnsi="Palatino Linotype" w:cs="Arial"/>
          <w:i/>
        </w:rPr>
        <w:t>.”</w:t>
      </w:r>
    </w:p>
    <w:p w:rsidR="00680C93" w:rsidRPr="00F25150" w:rsidRDefault="00680C93" w:rsidP="00002446">
      <w:pPr>
        <w:spacing w:line="360" w:lineRule="auto"/>
        <w:ind w:left="851" w:right="851"/>
        <w:jc w:val="both"/>
        <w:rPr>
          <w:rFonts w:ascii="Palatino Linotype" w:hAnsi="Palatino Linotype" w:cs="Arial"/>
        </w:rPr>
      </w:pPr>
      <w:r w:rsidRPr="00F25150">
        <w:rPr>
          <w:rFonts w:ascii="Palatino Linotype" w:hAnsi="Palatino Linotype" w:cs="Arial"/>
        </w:rPr>
        <w:lastRenderedPageBreak/>
        <w:t>(Énfasis añadido)</w:t>
      </w:r>
    </w:p>
    <w:p w:rsidR="00002446" w:rsidRPr="00F25150" w:rsidRDefault="00002446" w:rsidP="00002446">
      <w:pPr>
        <w:spacing w:line="360" w:lineRule="auto"/>
        <w:ind w:left="851" w:right="851"/>
        <w:jc w:val="both"/>
        <w:rPr>
          <w:rFonts w:ascii="Palatino Linotype" w:hAnsi="Palatino Linotype" w:cs="Arial"/>
        </w:rPr>
      </w:pPr>
    </w:p>
    <w:p w:rsidR="00680C93" w:rsidRPr="00F25150" w:rsidRDefault="00680C93" w:rsidP="00002446">
      <w:pPr>
        <w:numPr>
          <w:ilvl w:val="0"/>
          <w:numId w:val="15"/>
        </w:numPr>
        <w:spacing w:before="240" w:after="240" w:line="360" w:lineRule="auto"/>
        <w:ind w:left="0" w:right="49" w:firstLine="0"/>
        <w:contextualSpacing/>
        <w:jc w:val="both"/>
        <w:rPr>
          <w:rFonts w:ascii="Palatino Linotype" w:hAnsi="Palatino Linotype"/>
        </w:rPr>
      </w:pPr>
      <w:r w:rsidRPr="00F25150">
        <w:rPr>
          <w:rFonts w:ascii="Palatino Linotype" w:hAnsi="Palatino Linotype"/>
        </w:rPr>
        <w:t xml:space="preserve">De los preceptos jurídicos invocados con anterioridad se desprende que la Ley que regula los documentos en el Estado indica que es de orden público e interés social, es </w:t>
      </w:r>
      <w:r w:rsidRPr="00F25150">
        <w:rPr>
          <w:rFonts w:ascii="Palatino Linotype" w:eastAsia="Calibri" w:hAnsi="Palatino Linotype" w:cs="Arial"/>
        </w:rPr>
        <w:t>decir</w:t>
      </w:r>
      <w:r w:rsidRPr="00F25150">
        <w:rPr>
          <w:rFonts w:ascii="Palatino Linotype" w:hAnsi="Palatino Linotype"/>
        </w:rPr>
        <w:t xml:space="preserve">, tiene efectos </w:t>
      </w:r>
      <w:r w:rsidRPr="00F25150">
        <w:rPr>
          <w:rFonts w:ascii="Palatino Linotype" w:hAnsi="Palatino Linotype"/>
          <w:i/>
        </w:rPr>
        <w:t>erga omnes</w:t>
      </w:r>
      <w:r w:rsidRPr="00F25150">
        <w:rPr>
          <w:rFonts w:ascii="Palatino Linotype" w:hAnsi="Palatino Linotype"/>
        </w:rPr>
        <w:t xml:space="preserve"> los cuales todas aquellas autoridades que estén en el territorio mexiquense les aplica la Ley en cuestión tratándose en materia de documentos, así mismo como lo es el Sujeto Obligado, juega un papel de autoridad, es decir, se configura el hecho de que estamos ante una dependencia que realiza actos de autoridad y que estos mismos se deben documentar como la Ley de la materia lo señala.</w:t>
      </w:r>
    </w:p>
    <w:p w:rsidR="00002446" w:rsidRPr="00F25150" w:rsidRDefault="00002446" w:rsidP="00002446">
      <w:pPr>
        <w:spacing w:before="240" w:after="240" w:line="360" w:lineRule="auto"/>
        <w:ind w:left="284" w:right="49"/>
        <w:contextualSpacing/>
        <w:jc w:val="both"/>
        <w:rPr>
          <w:rFonts w:ascii="Palatino Linotype" w:hAnsi="Palatino Linotype"/>
        </w:rPr>
      </w:pPr>
    </w:p>
    <w:p w:rsidR="00680C93" w:rsidRPr="00F25150" w:rsidRDefault="00680C93" w:rsidP="00002446">
      <w:pPr>
        <w:numPr>
          <w:ilvl w:val="0"/>
          <w:numId w:val="15"/>
        </w:numPr>
        <w:spacing w:line="360" w:lineRule="auto"/>
        <w:ind w:left="0" w:firstLine="0"/>
        <w:contextualSpacing/>
        <w:jc w:val="both"/>
        <w:rPr>
          <w:rFonts w:ascii="Palatino Linotype" w:hAnsi="Palatino Linotype"/>
        </w:rPr>
      </w:pPr>
      <w:r w:rsidRPr="00F25150">
        <w:rPr>
          <w:rFonts w:ascii="Palatino Linotype" w:hAnsi="Palatino Linotype" w:cs="Arial"/>
        </w:rPr>
        <w:t xml:space="preserve">Por otro lado, las instituciones encargadas de la administración de documentos y que a su vez en </w:t>
      </w:r>
      <w:r w:rsidRPr="00F25150">
        <w:rPr>
          <w:rFonts w:ascii="Palatino Linotype" w:hAnsi="Palatino Linotype"/>
        </w:rPr>
        <w:t>relación</w:t>
      </w:r>
      <w:r w:rsidRPr="00F25150">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rsidR="00680C93" w:rsidRPr="00F25150" w:rsidRDefault="00680C93" w:rsidP="00680C93">
      <w:pPr>
        <w:pStyle w:val="Prrafodelista"/>
        <w:rPr>
          <w:rFonts w:ascii="Palatino Linotype" w:hAnsi="Palatino Linotype" w:cs="Arial"/>
        </w:rPr>
      </w:pPr>
    </w:p>
    <w:p w:rsidR="00680C93" w:rsidRPr="00F25150" w:rsidRDefault="00680C93" w:rsidP="00002446">
      <w:pPr>
        <w:numPr>
          <w:ilvl w:val="0"/>
          <w:numId w:val="15"/>
        </w:numPr>
        <w:spacing w:line="360" w:lineRule="auto"/>
        <w:ind w:left="0" w:firstLine="0"/>
        <w:contextualSpacing/>
        <w:jc w:val="both"/>
        <w:rPr>
          <w:rFonts w:ascii="Palatino Linotype" w:hAnsi="Palatino Linotype"/>
        </w:rPr>
      </w:pPr>
      <w:r w:rsidRPr="00F25150">
        <w:rPr>
          <w:rFonts w:ascii="Palatino Linotype" w:hAnsi="Palatino Linotype" w:cs="Arial"/>
        </w:rPr>
        <w:t>Asimismo, los documentos generados por las instituciones en este caso por la Fiscalía General de Justicia del Estado de México, debieron ser registrados en el acto de su generación o recepción, indicando en todo momento el destino de estos, para un control de específico y puntual de dichos documentos, también es importante hacer ver que el marco jurídico antes citado establece las bases mínimas para concentrar y administrar el material documental y dicha ley es el instrumento jurídico que norma el archivo y la administración de los documentos.</w:t>
      </w:r>
    </w:p>
    <w:p w:rsidR="00680C93" w:rsidRPr="00F25150" w:rsidRDefault="00680C93" w:rsidP="00002446">
      <w:pPr>
        <w:numPr>
          <w:ilvl w:val="0"/>
          <w:numId w:val="15"/>
        </w:numPr>
        <w:spacing w:line="360" w:lineRule="auto"/>
        <w:ind w:left="0" w:firstLine="0"/>
        <w:contextualSpacing/>
        <w:jc w:val="both"/>
        <w:rPr>
          <w:rFonts w:ascii="Palatino Linotype" w:hAnsi="Palatino Linotype" w:cs="Arial"/>
        </w:rPr>
      </w:pPr>
      <w:r w:rsidRPr="00F25150">
        <w:rPr>
          <w:rFonts w:ascii="Palatino Linotype" w:eastAsia="Calibri" w:hAnsi="Palatino Linotype" w:cs="Arial"/>
          <w:lang w:val="es-ES"/>
        </w:rPr>
        <w:lastRenderedPageBreak/>
        <w:t xml:space="preserve">En esa </w:t>
      </w:r>
      <w:r w:rsidRPr="00F25150">
        <w:rPr>
          <w:rFonts w:ascii="Palatino Linotype" w:hAnsi="Palatino Linotype" w:cs="Arial"/>
        </w:rPr>
        <w:t>tesitura</w:t>
      </w:r>
      <w:r w:rsidRPr="00F25150">
        <w:rPr>
          <w:rFonts w:ascii="Palatino Linotype" w:eastAsia="Calibri" w:hAnsi="Palatino Linotype" w:cs="Arial"/>
          <w:lang w:val="es-ES"/>
        </w:rPr>
        <w:t>, de conformidad con Lineamientos para la organización y conservación de los archivos</w:t>
      </w:r>
      <w:r w:rsidRPr="00F25150">
        <w:rPr>
          <w:rStyle w:val="Refdenotaalpie"/>
          <w:rFonts w:ascii="Palatino Linotype" w:eastAsia="Calibri" w:hAnsi="Palatino Linotype" w:cs="Arial"/>
          <w:lang w:val="es-ES"/>
        </w:rPr>
        <w:footnoteReference w:id="7"/>
      </w:r>
      <w:r w:rsidRPr="00F25150">
        <w:rPr>
          <w:rFonts w:ascii="Palatino Linotype" w:eastAsia="Calibri" w:hAnsi="Palatino Linotype" w:cs="Arial"/>
          <w:lang w:val="es-ES"/>
        </w:rPr>
        <w:t xml:space="preserve"> emitidos por la Consejo Nacional del Sistema Nacional de Transparencia, Acceso a la Información Pública y Protección de Datos Personales establece lo siguiente: </w:t>
      </w:r>
    </w:p>
    <w:p w:rsidR="00680C93" w:rsidRPr="00F25150" w:rsidRDefault="00680C93" w:rsidP="00680C93">
      <w:pPr>
        <w:pStyle w:val="Prrafodelista"/>
        <w:rPr>
          <w:rFonts w:ascii="Palatino Linotype" w:hAnsi="Palatino Linotype" w:cs="Arial"/>
        </w:rPr>
      </w:pPr>
    </w:p>
    <w:p w:rsidR="00680C93" w:rsidRPr="00F25150" w:rsidRDefault="00680C93" w:rsidP="00680C93">
      <w:pPr>
        <w:spacing w:line="360" w:lineRule="auto"/>
        <w:ind w:left="851" w:right="851"/>
        <w:jc w:val="both"/>
        <w:rPr>
          <w:rFonts w:ascii="Palatino Linotype" w:hAnsi="Palatino Linotype" w:cs="Arial"/>
          <w:i/>
        </w:rPr>
      </w:pPr>
      <w:r w:rsidRPr="00F25150">
        <w:rPr>
          <w:rFonts w:ascii="Palatino Linotype" w:hAnsi="Palatino Linotype" w:cs="Arial"/>
          <w:b/>
          <w:i/>
        </w:rPr>
        <w:t>“Primero.</w:t>
      </w:r>
      <w:r w:rsidRPr="00F25150">
        <w:rPr>
          <w:rFonts w:ascii="Palatino Linotype" w:hAnsi="Palatino Linotype" w:cs="Arial"/>
          <w:i/>
        </w:rPr>
        <w:t xml:space="preserve"> Los presentes lineamientos tienen por objeto </w:t>
      </w:r>
      <w:r w:rsidRPr="00F25150">
        <w:rPr>
          <w:rFonts w:ascii="Palatino Linotype" w:hAnsi="Palatino Linotype" w:cs="Arial"/>
          <w:i/>
          <w:u w:val="single"/>
        </w:rPr>
        <w:t>establecer las políticas y criterios para la sistematización y digitalización</w:t>
      </w:r>
      <w:r w:rsidRPr="00F25150">
        <w:rPr>
          <w:rFonts w:ascii="Palatino Linotype" w:hAnsi="Palatino Linotype" w:cs="Arial"/>
          <w:i/>
        </w:rPr>
        <w:t xml:space="preserve">, así como para la custodia y conservación </w:t>
      </w:r>
      <w:r w:rsidRPr="00F25150">
        <w:rPr>
          <w:rFonts w:ascii="Palatino Linotype" w:hAnsi="Palatino Linotype" w:cs="Arial"/>
          <w:i/>
          <w:u w:val="single"/>
        </w:rPr>
        <w:t>de los archivos en posesión de los sujetos obligados</w:t>
      </w:r>
      <w:r w:rsidRPr="00F25150">
        <w:rPr>
          <w:rFonts w:ascii="Palatino Linotype" w:hAnsi="Palatino Linotype" w:cs="Arial"/>
          <w:i/>
        </w:rPr>
        <w:t xml:space="preserve">, </w:t>
      </w:r>
      <w:r w:rsidRPr="00F25150">
        <w:rPr>
          <w:rFonts w:ascii="Palatino Linotype" w:hAnsi="Palatino Linotype" w:cs="Arial"/>
          <w:i/>
          <w:u w:val="single"/>
        </w:rPr>
        <w:t>con la finalidad de garantizar la disponibilidad</w:t>
      </w:r>
      <w:r w:rsidRPr="00F25150">
        <w:rPr>
          <w:rFonts w:ascii="Palatino Linotype" w:hAnsi="Palatino Linotype" w:cs="Arial"/>
          <w:i/>
        </w:rPr>
        <w:t>, la localización eficiente de la información generada, obtenida, adquirida, transformada y contar con sistemas de información, ágiles y eficientes.”</w:t>
      </w:r>
    </w:p>
    <w:p w:rsidR="00680C93" w:rsidRPr="00F25150" w:rsidRDefault="00680C93" w:rsidP="00680C93">
      <w:pPr>
        <w:spacing w:line="360" w:lineRule="auto"/>
        <w:ind w:left="851" w:right="851"/>
        <w:jc w:val="both"/>
        <w:rPr>
          <w:rFonts w:ascii="Palatino Linotype" w:hAnsi="Palatino Linotype" w:cs="Arial"/>
        </w:rPr>
      </w:pPr>
      <w:r w:rsidRPr="00F25150">
        <w:rPr>
          <w:rFonts w:ascii="Palatino Linotype" w:hAnsi="Palatino Linotype" w:cs="Arial"/>
        </w:rPr>
        <w:t>(Énfasis añadido)</w:t>
      </w:r>
    </w:p>
    <w:p w:rsidR="00002446" w:rsidRPr="00F25150" w:rsidRDefault="00002446" w:rsidP="00680C93">
      <w:pPr>
        <w:spacing w:line="360" w:lineRule="auto"/>
        <w:ind w:left="851" w:right="851"/>
        <w:jc w:val="both"/>
        <w:rPr>
          <w:rFonts w:ascii="Palatino Linotype" w:hAnsi="Palatino Linotype" w:cs="Arial"/>
          <w:i/>
        </w:rPr>
      </w:pPr>
    </w:p>
    <w:p w:rsidR="00680C93" w:rsidRPr="00F25150" w:rsidRDefault="00680C93" w:rsidP="00002446">
      <w:pPr>
        <w:numPr>
          <w:ilvl w:val="0"/>
          <w:numId w:val="15"/>
        </w:numPr>
        <w:spacing w:line="360" w:lineRule="auto"/>
        <w:ind w:left="0" w:firstLine="0"/>
        <w:contextualSpacing/>
        <w:jc w:val="both"/>
        <w:rPr>
          <w:rFonts w:ascii="Palatino Linotype" w:hAnsi="Palatino Linotype"/>
          <w:i/>
          <w:iCs/>
          <w:sz w:val="20"/>
        </w:rPr>
      </w:pPr>
      <w:r w:rsidRPr="00F25150">
        <w:rPr>
          <w:rFonts w:ascii="Palatino Linotype" w:hAnsi="Palatino Linotype" w:cs="Arial"/>
        </w:rPr>
        <w:t>En armonía con lo anterior se está ante la evidente vulneración del derecho humano de acceso a la información pública, prerrogativa elevada a rango de derecho humano, protegido no solamente por los ordenamientos jurídicos locales y nacionales, sino también internacionales, que debe ser satisfecho en todo momento como una función esencial y primordial del Estado como ente garante de los derechos humanos.</w:t>
      </w:r>
    </w:p>
    <w:p w:rsidR="001E755B" w:rsidRPr="00F25150" w:rsidRDefault="001E755B" w:rsidP="001E755B">
      <w:pPr>
        <w:spacing w:line="360" w:lineRule="auto"/>
        <w:contextualSpacing/>
        <w:jc w:val="both"/>
        <w:rPr>
          <w:rFonts w:ascii="Palatino Linotype" w:hAnsi="Palatino Linotype"/>
          <w:i/>
          <w:iCs/>
          <w:sz w:val="20"/>
        </w:rPr>
      </w:pPr>
    </w:p>
    <w:p w:rsidR="00002446" w:rsidRPr="00F25150" w:rsidRDefault="00680C93" w:rsidP="00002446">
      <w:pPr>
        <w:numPr>
          <w:ilvl w:val="0"/>
          <w:numId w:val="15"/>
        </w:numPr>
        <w:spacing w:line="360" w:lineRule="auto"/>
        <w:ind w:left="0" w:firstLine="0"/>
        <w:contextualSpacing/>
        <w:jc w:val="both"/>
        <w:rPr>
          <w:rFonts w:ascii="Palatino Linotype" w:hAnsi="Palatino Linotype"/>
          <w:i/>
          <w:iCs/>
          <w:sz w:val="20"/>
        </w:rPr>
      </w:pPr>
      <w:r w:rsidRPr="00F25150">
        <w:rPr>
          <w:rFonts w:ascii="Palatino Linotype" w:hAnsi="Palatino Linotype" w:cs="Arial"/>
        </w:rPr>
        <w:t xml:space="preserve">Además, es importante señalar que el particular especificó de los delitos que requiere la información, información que obra en los archivos del Sujeto Obligado al contar con Fiscalías Especializadas que tienen como objetivo investigación y </w:t>
      </w:r>
      <w:r w:rsidRPr="00F25150">
        <w:rPr>
          <w:rFonts w:ascii="Palatino Linotype" w:hAnsi="Palatino Linotype" w:cs="Arial"/>
        </w:rPr>
        <w:lastRenderedPageBreak/>
        <w:t>persecución de delitos que por su complejidad, mayor impacto social, características peculiares o incidencia en el territorio del Estado (sistema de especialización) y por aquellas fiscalías regionales  que tienen por objeto  la investigación y persecución de delitos, distintos a los que se determinen o califiquen como de atención especializada, se lleven a cabo en la región donde tenga lugar el delito y auxiliar a las Fiscalías Especializadas (sistema de y organización territorial)</w:t>
      </w:r>
      <w:r w:rsidR="00002446" w:rsidRPr="00F25150">
        <w:rPr>
          <w:rFonts w:ascii="Palatino Linotype" w:hAnsi="Palatino Linotype"/>
        </w:rPr>
        <w:t>.</w:t>
      </w:r>
    </w:p>
    <w:p w:rsidR="00002446" w:rsidRPr="00F25150" w:rsidRDefault="00002446" w:rsidP="00002446">
      <w:pPr>
        <w:pStyle w:val="Prrafodelista"/>
        <w:rPr>
          <w:rFonts w:ascii="Palatino Linotype" w:hAnsi="Palatino Linotype"/>
        </w:rPr>
      </w:pPr>
    </w:p>
    <w:p w:rsidR="00924A2D" w:rsidRPr="00F25150" w:rsidRDefault="00924A2D" w:rsidP="00924A2D">
      <w:pPr>
        <w:numPr>
          <w:ilvl w:val="0"/>
          <w:numId w:val="15"/>
        </w:numPr>
        <w:spacing w:line="360" w:lineRule="auto"/>
        <w:ind w:left="0" w:firstLine="0"/>
        <w:contextualSpacing/>
        <w:jc w:val="both"/>
        <w:rPr>
          <w:rFonts w:ascii="Palatino Linotype" w:eastAsia="Palatino Linotype" w:hAnsi="Palatino Linotype" w:cs="Palatino Linotype"/>
        </w:rPr>
      </w:pPr>
      <w:r w:rsidRPr="00F2515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25334</wp:posOffset>
                </wp:positionH>
                <wp:positionV relativeFrom="paragraph">
                  <wp:posOffset>3559583</wp:posOffset>
                </wp:positionV>
                <wp:extent cx="5670644" cy="1924334"/>
                <wp:effectExtent l="0" t="0" r="25400" b="19050"/>
                <wp:wrapNone/>
                <wp:docPr id="5" name="Conector recto 5"/>
                <wp:cNvGraphicFramePr/>
                <a:graphic xmlns:a="http://schemas.openxmlformats.org/drawingml/2006/main">
                  <a:graphicData uri="http://schemas.microsoft.com/office/word/2010/wordprocessingShape">
                    <wps:wsp>
                      <wps:cNvCnPr/>
                      <wps:spPr>
                        <a:xfrm>
                          <a:off x="0" y="0"/>
                          <a:ext cx="5670644" cy="192433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B8B6487"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280.3pt" to="448.5pt,4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LEuAEAALkDAAAOAAAAZHJzL2Uyb0RvYy54bWysU8mOEzEQvSPxD5bvpDsr0EpnDhnBBUHE&#10;8gEedzmx8KaySXf+nrLT6UGA5jCai9f3XtUrl7d3gzXsDBi1dy2fz2rOwEnfaXds+Y/vH9684ywm&#10;4TphvIOWXyDyu93rV9s+NLDwJ286QEYiLjZ9aPkppdBUVZQnsCLOfABHl8qjFYm2eKw6FD2pW1Mt&#10;6npT9R67gF5CjHR6f73ku6KvFMj0RakIiZmWU26pjFjGhzxWu61ojijCScsxDfGMLKzQjoJOUvci&#10;CfYL9T9SVkv00as0k95WXiktoXggN/P6LzffTiJA8ULFiWEqU3w5Wfn5fECmu5avOXPC0hPt6aFk&#10;8sgwT2yda9SH2BB07w447mI4YDY8KLR5JitsKHW9THWFITFJh+vN23qzWnEm6W7+frFaLldZtXqk&#10;B4zpI3jL8qLlRrtsXDTi/CmmK/QGIV5O55pAWaWLgQw27isoMkMhl4Vd2gj2BtlZUAN0P+dj2ILM&#10;FKWNmUj106QRm2lQWmsiLp4mTugS0bs0Ea12Hv9HTsMtVXXF31xfvWbbD767lOco5aD+KAUdezk3&#10;4J/7Qn/8cbvfAAAA//8DAFBLAwQUAAYACAAAACEAauCHV+AAAAAJAQAADwAAAGRycy9kb3ducmV2&#10;LnhtbEyPQU/DMAyF70j8h8hIXBBLgTUbpemEkDgUaUhs085ek7WFxqmarCv/HnOCm+339Py9fDW5&#10;Tox2CK0nDXezBISlypuWag277evtEkSISAY7T1bDtw2wKi4vcsyMP9OHHTexFhxCIUMNTYx9JmWo&#10;GuswzHxvibWjHxxGXodamgHPHO46eZ8kSjpsiT802NuXxlZfm5PT8Fnuyzq9WbTH93n6htsxXdNY&#10;an19NT0/gYh2in9m+MVndCiY6eBPZILoNMy5SdSQqkSBYH35uODLgQf1oEAWufzfoPgBAAD//wMA&#10;UEsBAi0AFAAGAAgAAAAhALaDOJL+AAAA4QEAABMAAAAAAAAAAAAAAAAAAAAAAFtDb250ZW50X1R5&#10;cGVzXS54bWxQSwECLQAUAAYACAAAACEAOP0h/9YAAACUAQAACwAAAAAAAAAAAAAAAAAvAQAAX3Jl&#10;bHMvLnJlbHNQSwECLQAUAAYACAAAACEAcXLSxLgBAAC5AwAADgAAAAAAAAAAAAAAAAAuAgAAZHJz&#10;L2Uyb0RvYy54bWxQSwECLQAUAAYACAAAACEAauCHV+AAAAAJAQAADwAAAAAAAAAAAAAAAAASBAAA&#10;ZHJzL2Rvd25yZXYueG1sUEsFBgAAAAAEAAQA8wAAAB8FAAAAAA==&#10;" strokecolor="black [3200]" strokeweight="1.5pt">
                <v:stroke joinstyle="miter"/>
              </v:line>
            </w:pict>
          </mc:Fallback>
        </mc:AlternateContent>
      </w:r>
      <w:r w:rsidR="00002446" w:rsidRPr="00F25150">
        <w:rPr>
          <w:rFonts w:ascii="Palatino Linotype" w:hAnsi="Palatino Linotype"/>
        </w:rPr>
        <w:t xml:space="preserve">Por lo anteriormente expuesto y fundado se determina como procedente </w:t>
      </w:r>
      <w:r w:rsidR="00002446" w:rsidRPr="00F25150">
        <w:rPr>
          <w:rFonts w:ascii="Palatino Linotype" w:hAnsi="Palatino Linotype"/>
          <w:b/>
        </w:rPr>
        <w:t>revocar</w:t>
      </w:r>
      <w:r w:rsidR="00002446" w:rsidRPr="00F25150">
        <w:rPr>
          <w:rFonts w:ascii="Palatino Linotype" w:hAnsi="Palatino Linotype"/>
        </w:rPr>
        <w:t xml:space="preserve"> la pretendida declinación de incompetencia y ordenar la entrega de la información de referencia al </w:t>
      </w:r>
      <w:r w:rsidR="00002446" w:rsidRPr="00F25150">
        <w:rPr>
          <w:rFonts w:ascii="Palatino Linotype" w:hAnsi="Palatino Linotype" w:cs="Arial"/>
        </w:rPr>
        <w:t>mayor</w:t>
      </w:r>
      <w:r w:rsidR="00002446" w:rsidRPr="00F25150">
        <w:rPr>
          <w:rFonts w:ascii="Palatino Linotype" w:hAnsi="Palatino Linotype"/>
        </w:rPr>
        <w:t xml:space="preserve"> grado de desagregación posible, generada al día </w:t>
      </w:r>
      <w:r w:rsidR="00002446" w:rsidRPr="00F25150">
        <w:rPr>
          <w:rFonts w:ascii="Palatino Linotype" w:hAnsi="Palatino Linotype"/>
          <w:b/>
        </w:rPr>
        <w:t>nueve (09) de febrero de dos mil veintidós</w:t>
      </w:r>
      <w:r w:rsidR="00002446" w:rsidRPr="00F25150">
        <w:rPr>
          <w:rFonts w:ascii="Palatino Linotype" w:hAnsi="Palatino Linotype"/>
        </w:rPr>
        <w:t xml:space="preserve">, fecha en que se interpuso la solicitud de información; toda vez </w:t>
      </w:r>
      <w:r w:rsidR="00792EE6" w:rsidRPr="00F25150">
        <w:rPr>
          <w:rFonts w:ascii="Palatino Linotype" w:hAnsi="Palatino Linotype"/>
        </w:rPr>
        <w:t>que,</w:t>
      </w:r>
      <w:r w:rsidR="00002446" w:rsidRPr="00F25150">
        <w:rPr>
          <w:rFonts w:ascii="Palatino Linotype" w:hAnsi="Palatino Linotype"/>
        </w:rPr>
        <w:t xml:space="preserve"> de la lectura a la misma, se advierte que carece de lapso temporal especifico</w:t>
      </w:r>
      <w:r w:rsidR="00792EE6" w:rsidRPr="00F25150">
        <w:rPr>
          <w:rFonts w:ascii="Palatino Linotype" w:hAnsi="Palatino Linotype"/>
        </w:rPr>
        <w:t>;</w:t>
      </w:r>
      <w:r w:rsidR="00002446" w:rsidRPr="00F25150">
        <w:rPr>
          <w:rFonts w:ascii="Palatino Linotype" w:hAnsi="Palatino Linotype"/>
        </w:rPr>
        <w:t xml:space="preserve"> </w:t>
      </w:r>
      <w:r w:rsidR="00792EE6" w:rsidRPr="00F25150">
        <w:rPr>
          <w:rFonts w:ascii="Palatino Linotype" w:hAnsi="Palatino Linotype"/>
        </w:rPr>
        <w:t xml:space="preserve">asimismo, al corresponder a información meramente </w:t>
      </w:r>
      <w:r w:rsidR="00792EE6" w:rsidRPr="00F25150">
        <w:rPr>
          <w:rFonts w:ascii="Palatino Linotype" w:hAnsi="Palatino Linotype"/>
          <w:b/>
        </w:rPr>
        <w:t>estadística</w:t>
      </w:r>
      <w:r w:rsidR="00792EE6" w:rsidRPr="00F25150">
        <w:rPr>
          <w:rFonts w:ascii="Palatino Linotype" w:hAnsi="Palatino Linotype"/>
        </w:rPr>
        <w:t>, no es necesario que sean elaboradas versiones públicas, en virtud de que no serán revelados datos personales susceptibles de ser protegidos</w:t>
      </w:r>
      <w:r w:rsidRPr="00F25150">
        <w:rPr>
          <w:rFonts w:ascii="Palatino Linotype" w:hAnsi="Palatino Linotype"/>
        </w:rPr>
        <w:t xml:space="preserve">, </w:t>
      </w:r>
      <w:r w:rsidRPr="00F25150">
        <w:rPr>
          <w:rFonts w:ascii="Palatino Linotype" w:eastAsia="Palatino Linotype" w:hAnsi="Palatino Linotype" w:cs="Palatino Linotype"/>
        </w:rPr>
        <w:t xml:space="preserve">ya que del diagrama que se inserta a continuación, dispone la manera en la que las Fiscalías Generales de las Entidades Federativas deberán suministrar la información correspondiente a la incidencia delictiva: </w:t>
      </w:r>
    </w:p>
    <w:p w:rsidR="00924A2D" w:rsidRPr="00F25150" w:rsidRDefault="00924A2D" w:rsidP="00924A2D">
      <w:pPr>
        <w:spacing w:before="240" w:after="240" w:line="360" w:lineRule="auto"/>
        <w:jc w:val="center"/>
        <w:rPr>
          <w:rFonts w:ascii="Palatino Linotype" w:eastAsia="Palatino Linotype" w:hAnsi="Palatino Linotype" w:cs="Palatino Linotype"/>
        </w:rPr>
      </w:pPr>
      <w:r w:rsidRPr="00F25150">
        <w:rPr>
          <w:rFonts w:ascii="Palatino Linotype" w:eastAsia="Palatino Linotype" w:hAnsi="Palatino Linotype" w:cs="Palatino Linotype"/>
          <w:noProof/>
          <w:lang w:val="es-MX" w:eastAsia="es-MX"/>
        </w:rPr>
        <w:lastRenderedPageBreak/>
        <w:drawing>
          <wp:inline distT="0" distB="0" distL="0" distR="0" wp14:anchorId="373D5D47" wp14:editId="48304BA7">
            <wp:extent cx="5404513" cy="5506136"/>
            <wp:effectExtent l="19050" t="19050" r="24765"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6630" cy="5508293"/>
                    </a:xfrm>
                    <a:prstGeom prst="rect">
                      <a:avLst/>
                    </a:prstGeom>
                    <a:noFill/>
                    <a:ln>
                      <a:solidFill>
                        <a:schemeClr val="tx1"/>
                      </a:solidFill>
                    </a:ln>
                  </pic:spPr>
                </pic:pic>
              </a:graphicData>
            </a:graphic>
          </wp:inline>
        </w:drawing>
      </w:r>
    </w:p>
    <w:p w:rsidR="00FB6D42" w:rsidRPr="00F25150" w:rsidRDefault="00FB6D42" w:rsidP="00FB6D42">
      <w:pPr>
        <w:pStyle w:val="Prrafodelista"/>
        <w:spacing w:line="360" w:lineRule="auto"/>
        <w:ind w:left="0"/>
        <w:jc w:val="both"/>
        <w:rPr>
          <w:rFonts w:ascii="Palatino Linotype" w:eastAsia="MS Mincho" w:hAnsi="Palatino Linotype" w:cs="Arial"/>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p>
    <w:p w:rsidR="009F09BC" w:rsidRPr="00F25150" w:rsidRDefault="009F09BC" w:rsidP="009F09BC">
      <w:pPr>
        <w:pStyle w:val="Ttulo2"/>
        <w:numPr>
          <w:ilvl w:val="0"/>
          <w:numId w:val="25"/>
        </w:numPr>
        <w:spacing w:line="259" w:lineRule="auto"/>
        <w:rPr>
          <w:rFonts w:ascii="Palatino Linotype" w:hAnsi="Palatino Linotype"/>
          <w:b/>
          <w:color w:val="000000" w:themeColor="text1"/>
          <w:sz w:val="24"/>
        </w:rPr>
      </w:pPr>
      <w:bookmarkStart w:id="167" w:name="_Toc70082953"/>
      <w:bookmarkStart w:id="168" w:name="_Toc70593361"/>
      <w:bookmarkStart w:id="169" w:name="_Toc71674125"/>
      <w:bookmarkStart w:id="170" w:name="_Toc8312859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F25150">
        <w:rPr>
          <w:rFonts w:ascii="Palatino Linotype" w:hAnsi="Palatino Linotype"/>
          <w:b/>
          <w:color w:val="000000" w:themeColor="text1"/>
          <w:sz w:val="24"/>
        </w:rPr>
        <w:t>Determinación</w:t>
      </w:r>
      <w:bookmarkEnd w:id="167"/>
      <w:bookmarkEnd w:id="168"/>
      <w:bookmarkEnd w:id="169"/>
      <w:bookmarkEnd w:id="170"/>
    </w:p>
    <w:p w:rsidR="009F09BC" w:rsidRPr="00F25150" w:rsidRDefault="009F09BC" w:rsidP="009F09BC">
      <w:pPr>
        <w:rPr>
          <w:lang w:val="es-MX" w:eastAsia="en-US"/>
        </w:rPr>
      </w:pPr>
    </w:p>
    <w:p w:rsidR="009F09BC" w:rsidRPr="00F25150" w:rsidRDefault="009F09BC" w:rsidP="00053FB7">
      <w:pPr>
        <w:numPr>
          <w:ilvl w:val="0"/>
          <w:numId w:val="15"/>
        </w:numPr>
        <w:spacing w:line="360" w:lineRule="auto"/>
        <w:ind w:left="0" w:firstLine="0"/>
        <w:contextualSpacing/>
        <w:jc w:val="both"/>
        <w:rPr>
          <w:rFonts w:ascii="Palatino Linotype" w:hAnsi="Palatino Linotype"/>
          <w:color w:val="000000" w:themeColor="text1"/>
        </w:rPr>
      </w:pPr>
      <w:r w:rsidRPr="00F25150">
        <w:rPr>
          <w:rFonts w:ascii="Palatino Linotype" w:hAnsi="Palatino Linotype"/>
        </w:rPr>
        <w:t xml:space="preserve">Por lo anteriormente expuesto, este Órgano Garante considera </w:t>
      </w:r>
      <w:r w:rsidR="009A2251" w:rsidRPr="00F25150">
        <w:rPr>
          <w:rFonts w:ascii="Palatino Linotype" w:hAnsi="Palatino Linotype"/>
        </w:rPr>
        <w:t xml:space="preserve">parcialmente </w:t>
      </w:r>
      <w:r w:rsidRPr="00F25150">
        <w:rPr>
          <w:rFonts w:ascii="Palatino Linotype" w:hAnsi="Palatino Linotype"/>
        </w:rPr>
        <w:t xml:space="preserve">fundadas </w:t>
      </w:r>
      <w:r w:rsidRPr="00F25150">
        <w:rPr>
          <w:rFonts w:ascii="Palatino Linotype" w:eastAsia="MS Gothic" w:hAnsi="Palatino Linotype" w:cs="Times New Roman"/>
        </w:rPr>
        <w:t>las</w:t>
      </w:r>
      <w:r w:rsidRPr="00F25150">
        <w:rPr>
          <w:rFonts w:ascii="Palatino Linotype" w:hAnsi="Palatino Linotype"/>
        </w:rPr>
        <w:t xml:space="preserve"> razones o motivos de inconformidad que plantea </w:t>
      </w:r>
      <w:r w:rsidR="009A2251" w:rsidRPr="00F25150">
        <w:rPr>
          <w:rFonts w:ascii="Palatino Linotype" w:hAnsi="Palatino Linotype"/>
        </w:rPr>
        <w:t>e</w:t>
      </w:r>
      <w:r w:rsidRPr="00F25150">
        <w:rPr>
          <w:rFonts w:ascii="Palatino Linotype" w:hAnsi="Palatino Linotype"/>
        </w:rPr>
        <w:t>l</w:t>
      </w:r>
      <w:r w:rsidRPr="00F25150">
        <w:rPr>
          <w:rFonts w:ascii="Palatino Linotype" w:hAnsi="Palatino Linotype"/>
          <w:b/>
        </w:rPr>
        <w:t xml:space="preserve"> RECURRENTE</w:t>
      </w:r>
      <w:r w:rsidRPr="00F25150">
        <w:rPr>
          <w:rFonts w:ascii="Palatino Linotype" w:hAnsi="Palatino Linotype"/>
        </w:rPr>
        <w:t xml:space="preserve">, determinando </w:t>
      </w:r>
      <w:r w:rsidRPr="00F25150">
        <w:rPr>
          <w:rFonts w:ascii="Palatino Linotype" w:hAnsi="Palatino Linotype"/>
          <w:b/>
        </w:rPr>
        <w:t>REVOCAR</w:t>
      </w:r>
      <w:r w:rsidRPr="00F25150">
        <w:rPr>
          <w:rFonts w:ascii="Palatino Linotype" w:hAnsi="Palatino Linotype"/>
        </w:rPr>
        <w:t xml:space="preserve"> la respuesta del </w:t>
      </w:r>
      <w:r w:rsidRPr="00F25150">
        <w:rPr>
          <w:rFonts w:ascii="Palatino Linotype" w:hAnsi="Palatino Linotype"/>
          <w:b/>
        </w:rPr>
        <w:t xml:space="preserve">SUJETO OBLIGADO al no ser </w:t>
      </w:r>
      <w:r w:rsidRPr="00F25150">
        <w:rPr>
          <w:rFonts w:ascii="Palatino Linotype" w:hAnsi="Palatino Linotype"/>
          <w:b/>
        </w:rPr>
        <w:lastRenderedPageBreak/>
        <w:t xml:space="preserve">procedente </w:t>
      </w:r>
      <w:r w:rsidR="00053FB7" w:rsidRPr="00F25150">
        <w:rPr>
          <w:rFonts w:ascii="Palatino Linotype" w:hAnsi="Palatino Linotype"/>
          <w:b/>
        </w:rPr>
        <w:t>la declaración de incompetencia por el sujeto obligado</w:t>
      </w:r>
      <w:r w:rsidRPr="00F25150">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F25150">
        <w:rPr>
          <w:rFonts w:ascii="Palatino Linotype" w:hAnsi="Palatino Linotype"/>
          <w:color w:val="000000" w:themeColor="text1"/>
          <w:lang w:val="es-ES" w:eastAsia="es-MX"/>
        </w:rPr>
        <w:t xml:space="preserve">este </w:t>
      </w:r>
      <w:r w:rsidRPr="00F25150">
        <w:rPr>
          <w:rFonts w:ascii="Palatino Linotype" w:hAnsi="Palatino Linotype"/>
          <w:b/>
          <w:bCs/>
          <w:color w:val="000000" w:themeColor="text1"/>
          <w:lang w:val="es-ES" w:eastAsia="es-MX"/>
        </w:rPr>
        <w:t>ÓRGANO GARANTE</w:t>
      </w:r>
      <w:r w:rsidRPr="00F25150">
        <w:rPr>
          <w:rFonts w:ascii="Palatino Linotype" w:hAnsi="Palatino Linotype"/>
          <w:color w:val="000000" w:themeColor="text1"/>
          <w:lang w:val="es-ES" w:eastAsia="es-MX"/>
        </w:rPr>
        <w:t xml:space="preserve"> emite los siguientes</w:t>
      </w:r>
      <w:r w:rsidRPr="00F25150">
        <w:rPr>
          <w:rFonts w:ascii="Palatino Linotype" w:hAnsi="Palatino Linotype"/>
          <w:color w:val="000000" w:themeColor="text1"/>
        </w:rPr>
        <w:t>.</w:t>
      </w:r>
    </w:p>
    <w:p w:rsidR="009F09BC" w:rsidRPr="00F25150" w:rsidRDefault="009F09BC" w:rsidP="009F09BC">
      <w:pPr>
        <w:spacing w:line="360" w:lineRule="auto"/>
        <w:contextualSpacing/>
        <w:jc w:val="both"/>
        <w:rPr>
          <w:rFonts w:ascii="Palatino Linotype" w:eastAsia="Calibri" w:hAnsi="Palatino Linotype" w:cs="Times New Roman"/>
        </w:rPr>
      </w:pPr>
    </w:p>
    <w:p w:rsidR="009F09BC" w:rsidRPr="00F25150"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71" w:name="_Toc504500693"/>
      <w:bookmarkStart w:id="172" w:name="_Toc534742545"/>
      <w:bookmarkStart w:id="173" w:name="_Toc2248738"/>
      <w:bookmarkStart w:id="174" w:name="_Toc34819440"/>
      <w:bookmarkStart w:id="175" w:name="_Toc51259595"/>
      <w:bookmarkStart w:id="176" w:name="_Toc83128595"/>
      <w:r w:rsidRPr="00F25150">
        <w:rPr>
          <w:rFonts w:ascii="Palatino Linotype" w:eastAsia="Calibri" w:hAnsi="Palatino Linotype"/>
          <w:b/>
          <w:color w:val="000000" w:themeColor="text1"/>
          <w:sz w:val="24"/>
          <w:szCs w:val="24"/>
          <w:lang w:val="es-ES"/>
        </w:rPr>
        <w:t>R E S O L U T I V O S</w:t>
      </w:r>
      <w:bookmarkEnd w:id="171"/>
      <w:bookmarkEnd w:id="172"/>
      <w:bookmarkEnd w:id="173"/>
      <w:bookmarkEnd w:id="174"/>
      <w:bookmarkEnd w:id="175"/>
      <w:bookmarkEnd w:id="176"/>
    </w:p>
    <w:p w:rsidR="00CE7B83" w:rsidRPr="00F25150" w:rsidRDefault="00CE7B83" w:rsidP="00CE7B83">
      <w:pPr>
        <w:rPr>
          <w:lang w:val="es-ES"/>
        </w:rPr>
      </w:pPr>
    </w:p>
    <w:p w:rsidR="009F09BC" w:rsidRPr="00F25150" w:rsidRDefault="009F09BC" w:rsidP="00CE7B83">
      <w:pPr>
        <w:spacing w:line="360" w:lineRule="auto"/>
        <w:jc w:val="both"/>
        <w:rPr>
          <w:rFonts w:ascii="Palatino Linotype" w:eastAsia="Times New Roman" w:hAnsi="Palatino Linotype" w:cs="Arial"/>
          <w:lang w:val="es-ES"/>
        </w:rPr>
      </w:pPr>
      <w:r w:rsidRPr="00F25150">
        <w:rPr>
          <w:rFonts w:ascii="Palatino Linotype" w:eastAsia="Times New Roman" w:hAnsi="Palatino Linotype" w:cs="Arial"/>
          <w:b/>
        </w:rPr>
        <w:t>PRIMERO</w:t>
      </w:r>
      <w:r w:rsidRPr="00F25150">
        <w:rPr>
          <w:rFonts w:ascii="Palatino Linotype" w:eastAsia="Times New Roman" w:hAnsi="Palatino Linotype" w:cs="Arial"/>
          <w:lang w:val="es-ES"/>
        </w:rPr>
        <w:t>. Resultan fundadas las razones o motivos de inconformidad hechos valer en</w:t>
      </w:r>
      <w:r w:rsidR="009A2251" w:rsidRPr="00F25150">
        <w:rPr>
          <w:rFonts w:ascii="Palatino Linotype" w:eastAsia="Times New Roman" w:hAnsi="Palatino Linotype" w:cs="Arial"/>
          <w:lang w:val="es-ES"/>
        </w:rPr>
        <w:t xml:space="preserve"> el</w:t>
      </w:r>
      <w:r w:rsidRPr="00F25150">
        <w:rPr>
          <w:rFonts w:ascii="Palatino Linotype" w:eastAsia="Times New Roman" w:hAnsi="Palatino Linotype" w:cs="Arial"/>
          <w:lang w:val="es-ES"/>
        </w:rPr>
        <w:t xml:space="preserve"> Recurso de Revisión </w:t>
      </w:r>
      <w:r w:rsidR="002D294C" w:rsidRPr="00F25150">
        <w:rPr>
          <w:rFonts w:ascii="Palatino Linotype" w:hAnsi="Palatino Linotype"/>
          <w:b/>
        </w:rPr>
        <w:t>01073/INFOEM/IP/RR/2022</w:t>
      </w:r>
      <w:r w:rsidRPr="00F25150">
        <w:rPr>
          <w:rFonts w:ascii="Palatino Linotype" w:hAnsi="Palatino Linotype"/>
        </w:rPr>
        <w:t>,</w:t>
      </w:r>
      <w:r w:rsidRPr="00F25150">
        <w:rPr>
          <w:rFonts w:ascii="Palatino Linotype" w:eastAsia="Times New Roman" w:hAnsi="Palatino Linotype" w:cs="Arial"/>
          <w:b/>
          <w:lang w:val="es-ES"/>
        </w:rPr>
        <w:t xml:space="preserve"> </w:t>
      </w:r>
      <w:r w:rsidRPr="00F25150">
        <w:rPr>
          <w:rFonts w:ascii="Palatino Linotype" w:eastAsia="Times New Roman" w:hAnsi="Palatino Linotype" w:cs="Arial"/>
          <w:lang w:val="es-ES"/>
        </w:rPr>
        <w:t xml:space="preserve">en términos de los Considerandos </w:t>
      </w:r>
      <w:r w:rsidRPr="00F25150">
        <w:rPr>
          <w:rFonts w:ascii="Palatino Linotype" w:eastAsia="Times New Roman" w:hAnsi="Palatino Linotype" w:cs="Arial"/>
          <w:b/>
          <w:lang w:val="es-ES"/>
        </w:rPr>
        <w:t xml:space="preserve">CUARTO </w:t>
      </w:r>
      <w:r w:rsidRPr="00F25150">
        <w:rPr>
          <w:rFonts w:ascii="Palatino Linotype" w:eastAsia="Times New Roman" w:hAnsi="Palatino Linotype" w:cs="Arial"/>
          <w:lang w:val="es-ES"/>
        </w:rPr>
        <w:t xml:space="preserve">de la presente resolución. </w:t>
      </w:r>
    </w:p>
    <w:p w:rsidR="00CE7B83" w:rsidRPr="00F25150" w:rsidRDefault="00CE7B83" w:rsidP="00CE7B83">
      <w:pPr>
        <w:spacing w:line="360" w:lineRule="auto"/>
        <w:jc w:val="both"/>
        <w:rPr>
          <w:rFonts w:ascii="Palatino Linotype" w:eastAsia="Times New Roman" w:hAnsi="Palatino Linotype" w:cs="Arial"/>
          <w:lang w:val="es-ES"/>
        </w:rPr>
      </w:pPr>
    </w:p>
    <w:p w:rsidR="009F09BC" w:rsidRPr="00F25150" w:rsidRDefault="009F09BC" w:rsidP="00CE7B83">
      <w:pPr>
        <w:spacing w:line="360" w:lineRule="auto"/>
        <w:jc w:val="both"/>
        <w:rPr>
          <w:rFonts w:ascii="Palatino Linotype" w:eastAsia="MS Mincho" w:hAnsi="Palatino Linotype" w:cs="Times New Roman"/>
          <w:color w:val="000000" w:themeColor="text1"/>
        </w:rPr>
      </w:pPr>
      <w:bookmarkStart w:id="177" w:name="_Toc503891607"/>
      <w:bookmarkStart w:id="178" w:name="_Toc511647757"/>
      <w:bookmarkStart w:id="179" w:name="_Toc511647818"/>
      <w:bookmarkStart w:id="180" w:name="_Toc477891768"/>
      <w:bookmarkStart w:id="181" w:name="_Toc477891858"/>
      <w:bookmarkStart w:id="182" w:name="_Toc481576259"/>
      <w:bookmarkStart w:id="183" w:name="_Toc492590391"/>
      <w:bookmarkStart w:id="184" w:name="_Toc462653937"/>
      <w:bookmarkStart w:id="185" w:name="_Toc453696502"/>
      <w:bookmarkStart w:id="186" w:name="_Toc454301155"/>
      <w:r w:rsidRPr="00F25150">
        <w:rPr>
          <w:rFonts w:ascii="Palatino Linotype" w:eastAsia="Times New Roman" w:hAnsi="Palatino Linotype" w:cs="Times New Roman"/>
          <w:b/>
        </w:rPr>
        <w:t>SEGUNDO.</w:t>
      </w:r>
      <w:bookmarkEnd w:id="177"/>
      <w:bookmarkEnd w:id="178"/>
      <w:bookmarkEnd w:id="179"/>
      <w:r w:rsidRPr="00F25150">
        <w:rPr>
          <w:rFonts w:ascii="Palatino Linotype" w:eastAsia="Times New Roman" w:hAnsi="Palatino Linotype" w:cs="Times New Roman"/>
          <w:b/>
        </w:rPr>
        <w:t xml:space="preserve"> </w:t>
      </w:r>
      <w:bookmarkEnd w:id="180"/>
      <w:bookmarkEnd w:id="181"/>
      <w:bookmarkEnd w:id="182"/>
      <w:bookmarkEnd w:id="183"/>
      <w:bookmarkEnd w:id="184"/>
      <w:bookmarkEnd w:id="185"/>
      <w:bookmarkEnd w:id="186"/>
      <w:r w:rsidRPr="00F25150">
        <w:rPr>
          <w:rFonts w:ascii="Palatino Linotype" w:eastAsia="MS Mincho" w:hAnsi="Palatino Linotype" w:cs="Times New Roman"/>
          <w:color w:val="000000" w:themeColor="text1"/>
        </w:rPr>
        <w:t xml:space="preserve">Se </w:t>
      </w:r>
      <w:r w:rsidRPr="00F25150">
        <w:rPr>
          <w:rFonts w:ascii="Palatino Linotype" w:eastAsia="MS Mincho" w:hAnsi="Palatino Linotype" w:cs="Times New Roman"/>
          <w:b/>
          <w:color w:val="000000" w:themeColor="text1"/>
        </w:rPr>
        <w:t xml:space="preserve">REVOCA </w:t>
      </w:r>
      <w:r w:rsidRPr="00F25150">
        <w:rPr>
          <w:rFonts w:ascii="Palatino Linotype" w:eastAsia="MS Mincho" w:hAnsi="Palatino Linotype" w:cs="Times New Roman"/>
          <w:color w:val="000000" w:themeColor="text1"/>
        </w:rPr>
        <w:t>la respuesta emitida por l</w:t>
      </w:r>
      <w:r w:rsidR="0086792A" w:rsidRPr="00F25150">
        <w:rPr>
          <w:rFonts w:ascii="Palatino Linotype" w:eastAsia="MS Mincho" w:hAnsi="Palatino Linotype" w:cs="Times New Roman"/>
          <w:color w:val="000000" w:themeColor="text1"/>
        </w:rPr>
        <w:t>a</w:t>
      </w:r>
      <w:r w:rsidRPr="00F25150">
        <w:rPr>
          <w:rFonts w:ascii="Palatino Linotype" w:eastAsia="MS Mincho" w:hAnsi="Palatino Linotype" w:cs="Times New Roman"/>
          <w:color w:val="000000" w:themeColor="text1"/>
        </w:rPr>
        <w:t xml:space="preserve"> </w:t>
      </w:r>
      <w:r w:rsidR="002D294C" w:rsidRPr="00F25150">
        <w:rPr>
          <w:rFonts w:ascii="Palatino Linotype" w:hAnsi="Palatino Linotype"/>
          <w:b/>
          <w:bCs/>
          <w:color w:val="000000"/>
        </w:rPr>
        <w:t>Fiscalía General de Justicia del Estado de México</w:t>
      </w:r>
      <w:r w:rsidRPr="00F25150">
        <w:rPr>
          <w:rFonts w:ascii="Palatino Linotype" w:eastAsia="MS Mincho" w:hAnsi="Palatino Linotype" w:cs="Times New Roman"/>
          <w:b/>
          <w:color w:val="000000" w:themeColor="text1"/>
        </w:rPr>
        <w:t xml:space="preserve"> </w:t>
      </w:r>
      <w:r w:rsidRPr="00F25150">
        <w:rPr>
          <w:rFonts w:ascii="Palatino Linotype" w:eastAsia="MS Mincho" w:hAnsi="Palatino Linotype" w:cs="Times New Roman"/>
          <w:color w:val="000000" w:themeColor="text1"/>
        </w:rPr>
        <w:t xml:space="preserve">y se </w:t>
      </w:r>
      <w:r w:rsidRPr="00F25150">
        <w:rPr>
          <w:rFonts w:ascii="Palatino Linotype" w:eastAsia="MS Mincho" w:hAnsi="Palatino Linotype" w:cs="Times New Roman"/>
          <w:b/>
          <w:color w:val="000000" w:themeColor="text1"/>
        </w:rPr>
        <w:t>ORDENA</w:t>
      </w:r>
      <w:r w:rsidRPr="00F25150">
        <w:rPr>
          <w:rFonts w:ascii="Palatino Linotype" w:eastAsia="MS Mincho" w:hAnsi="Palatino Linotype" w:cs="Times New Roman"/>
          <w:color w:val="000000" w:themeColor="text1"/>
        </w:rPr>
        <w:t xml:space="preserve"> entregar vía Sistema de Acceso a la Información Mexiquense </w:t>
      </w:r>
      <w:r w:rsidRPr="00F25150">
        <w:rPr>
          <w:rFonts w:ascii="Palatino Linotype" w:eastAsia="MS Mincho" w:hAnsi="Palatino Linotype" w:cs="Times New Roman"/>
          <w:b/>
          <w:color w:val="000000" w:themeColor="text1"/>
        </w:rPr>
        <w:t>(SAIMEX)</w:t>
      </w:r>
      <w:r w:rsidRPr="00F25150">
        <w:rPr>
          <w:rFonts w:ascii="Palatino Linotype" w:eastAsia="MS Mincho" w:hAnsi="Palatino Linotype" w:cs="Times New Roman"/>
          <w:color w:val="000000" w:themeColor="text1"/>
        </w:rPr>
        <w:t xml:space="preserve">, </w:t>
      </w:r>
      <w:r w:rsidR="00792EE6" w:rsidRPr="00F25150">
        <w:rPr>
          <w:rFonts w:ascii="Palatino Linotype" w:eastAsia="MS Mincho" w:hAnsi="Palatino Linotype" w:cs="Times New Roman"/>
          <w:color w:val="000000" w:themeColor="text1"/>
        </w:rPr>
        <w:t>el soporte documental donde conste o se advierta</w:t>
      </w:r>
      <w:r w:rsidRPr="00F25150">
        <w:rPr>
          <w:rFonts w:ascii="Palatino Linotype" w:eastAsia="MS Mincho" w:hAnsi="Palatino Linotype" w:cs="Times New Roman"/>
          <w:color w:val="000000" w:themeColor="text1"/>
        </w:rPr>
        <w:t xml:space="preserve">, </w:t>
      </w:r>
      <w:r w:rsidR="0074110E" w:rsidRPr="00F25150">
        <w:rPr>
          <w:rFonts w:ascii="Palatino Linotype" w:eastAsia="MS Mincho" w:hAnsi="Palatino Linotype" w:cs="Times New Roman"/>
          <w:color w:val="000000" w:themeColor="text1"/>
        </w:rPr>
        <w:t>la siguiente información</w:t>
      </w:r>
      <w:r w:rsidR="000A4C7A" w:rsidRPr="00F25150">
        <w:rPr>
          <w:rFonts w:ascii="Palatino Linotype" w:eastAsia="MS Mincho" w:hAnsi="Palatino Linotype" w:cs="Times New Roman"/>
          <w:color w:val="000000" w:themeColor="text1"/>
        </w:rPr>
        <w:t xml:space="preserve"> estadística</w:t>
      </w:r>
      <w:r w:rsidR="001E755B" w:rsidRPr="00F25150">
        <w:rPr>
          <w:rFonts w:ascii="Palatino Linotype" w:eastAsia="MS Mincho" w:hAnsi="Palatino Linotype" w:cs="Times New Roman"/>
          <w:color w:val="000000" w:themeColor="text1"/>
        </w:rPr>
        <w:t xml:space="preserve"> generada al </w:t>
      </w:r>
      <w:r w:rsidR="001E755B" w:rsidRPr="00F25150">
        <w:rPr>
          <w:rFonts w:ascii="Palatino Linotype" w:eastAsia="MS Mincho" w:hAnsi="Palatino Linotype" w:cs="Times New Roman"/>
          <w:b/>
          <w:color w:val="000000" w:themeColor="text1"/>
        </w:rPr>
        <w:t>9 de febrero de 2022</w:t>
      </w:r>
      <w:r w:rsidR="00CE7B83" w:rsidRPr="00F25150">
        <w:rPr>
          <w:rFonts w:ascii="Palatino Linotype" w:eastAsia="MS Mincho" w:hAnsi="Palatino Linotype" w:cs="Times New Roman"/>
          <w:color w:val="000000" w:themeColor="text1"/>
        </w:rPr>
        <w:t>:</w:t>
      </w:r>
    </w:p>
    <w:p w:rsidR="00CE7B83" w:rsidRPr="00F25150" w:rsidRDefault="00CE7B83" w:rsidP="00CE7B83">
      <w:pPr>
        <w:spacing w:line="360" w:lineRule="auto"/>
        <w:jc w:val="both"/>
        <w:rPr>
          <w:rFonts w:ascii="Palatino Linotype" w:eastAsia="MS Mincho" w:hAnsi="Palatino Linotype" w:cs="Times New Roman"/>
          <w:color w:val="000000" w:themeColor="text1"/>
        </w:rPr>
      </w:pPr>
    </w:p>
    <w:p w:rsidR="009A2251" w:rsidRPr="00F25150" w:rsidRDefault="001E755B" w:rsidP="001E755B">
      <w:pPr>
        <w:pStyle w:val="Prrafodelista"/>
        <w:numPr>
          <w:ilvl w:val="0"/>
          <w:numId w:val="35"/>
        </w:numPr>
        <w:spacing w:line="360" w:lineRule="auto"/>
        <w:ind w:left="993"/>
        <w:jc w:val="both"/>
        <w:rPr>
          <w:rFonts w:ascii="Palatino Linotype" w:hAnsi="Palatino Linotype" w:cs="Arial"/>
          <w:b/>
        </w:rPr>
      </w:pPr>
      <w:bookmarkStart w:id="187" w:name="_Toc503891610"/>
      <w:bookmarkStart w:id="188" w:name="_Toc453696503"/>
      <w:bookmarkStart w:id="189" w:name="_Toc454301156"/>
      <w:bookmarkStart w:id="190" w:name="_Toc462653938"/>
      <w:bookmarkStart w:id="191" w:name="_Toc477891769"/>
      <w:bookmarkStart w:id="192" w:name="_Toc477891859"/>
      <w:bookmarkStart w:id="193" w:name="_Toc481576260"/>
      <w:bookmarkStart w:id="194" w:name="_Toc492590392"/>
      <w:r w:rsidRPr="00F25150">
        <w:rPr>
          <w:rFonts w:ascii="Palatino Linotype" w:hAnsi="Palatino Linotype" w:cs="Arial"/>
          <w:b/>
        </w:rPr>
        <w:t>Incidencia delictiva en el Estado de México, por municipio, región o al mayor grado de desagregación posible.</w:t>
      </w:r>
    </w:p>
    <w:p w:rsidR="00CE7B83" w:rsidRPr="00F25150" w:rsidRDefault="00CE7B83" w:rsidP="00CE7B83">
      <w:pPr>
        <w:spacing w:line="360" w:lineRule="auto"/>
        <w:jc w:val="both"/>
        <w:rPr>
          <w:rFonts w:ascii="Palatino Linotype" w:hAnsi="Palatino Linotype" w:cs="Arial"/>
          <w:b/>
        </w:rPr>
      </w:pPr>
    </w:p>
    <w:p w:rsidR="009F09BC" w:rsidRPr="00F25150"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95" w:name="_Toc511647758"/>
      <w:bookmarkStart w:id="196" w:name="_Toc511647819"/>
      <w:r w:rsidRPr="00F25150">
        <w:rPr>
          <w:rFonts w:ascii="Palatino Linotype" w:eastAsia="Times New Roman" w:hAnsi="Palatino Linotype" w:cs="Times New Roman"/>
          <w:b/>
        </w:rPr>
        <w:t>TERCERO.</w:t>
      </w:r>
      <w:bookmarkEnd w:id="187"/>
      <w:bookmarkEnd w:id="195"/>
      <w:bookmarkEnd w:id="196"/>
      <w:r w:rsidRPr="00F25150">
        <w:rPr>
          <w:rFonts w:ascii="Palatino Linotype" w:eastAsia="Times New Roman" w:hAnsi="Palatino Linotype" w:cs="Times New Roman"/>
          <w:b/>
        </w:rPr>
        <w:t xml:space="preserve"> </w:t>
      </w:r>
      <w:bookmarkEnd w:id="188"/>
      <w:bookmarkEnd w:id="189"/>
      <w:bookmarkEnd w:id="190"/>
      <w:bookmarkEnd w:id="191"/>
      <w:bookmarkEnd w:id="192"/>
      <w:bookmarkEnd w:id="193"/>
      <w:bookmarkEnd w:id="194"/>
      <w:r w:rsidRPr="00F25150">
        <w:rPr>
          <w:rFonts w:ascii="Palatino Linotype" w:eastAsia="Palatino Linotype" w:hAnsi="Palatino Linotype" w:cs="Palatino Linotype"/>
          <w:b/>
        </w:rPr>
        <w:t xml:space="preserve">Notifíquese </w:t>
      </w:r>
      <w:r w:rsidRPr="00F25150">
        <w:rPr>
          <w:rFonts w:ascii="Palatino Linotype" w:eastAsia="Palatino Linotype" w:hAnsi="Palatino Linotype" w:cs="Palatino Linotype"/>
        </w:rPr>
        <w:t xml:space="preserve">al Titular de la Unidad de Transparencia del </w:t>
      </w:r>
      <w:r w:rsidRPr="00F25150">
        <w:rPr>
          <w:rFonts w:ascii="Palatino Linotype" w:eastAsia="Palatino Linotype" w:hAnsi="Palatino Linotype" w:cs="Palatino Linotype"/>
          <w:b/>
        </w:rPr>
        <w:t>SUJETO OBLIGADO</w:t>
      </w:r>
      <w:r w:rsidR="00CE7B83" w:rsidRPr="00F25150">
        <w:rPr>
          <w:rFonts w:ascii="Palatino Linotype" w:eastAsia="Palatino Linotype" w:hAnsi="Palatino Linotype" w:cs="Palatino Linotype"/>
          <w:b/>
        </w:rPr>
        <w:t xml:space="preserve"> </w:t>
      </w:r>
      <w:r w:rsidR="00CE7B83" w:rsidRPr="00F25150">
        <w:rPr>
          <w:rFonts w:ascii="Palatino Linotype" w:eastAsia="Palatino Linotype" w:hAnsi="Palatino Linotype" w:cs="Palatino Linotype"/>
        </w:rPr>
        <w:t>vía SAIMEX</w:t>
      </w:r>
      <w:r w:rsidRPr="00F2515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25150">
        <w:rPr>
          <w:rFonts w:ascii="Palatino Linotype" w:eastAsia="Times New Roman" w:hAnsi="Palatino Linotype" w:cs="Times New Roman"/>
          <w:shd w:val="clear" w:color="auto" w:fill="FFFFFF"/>
        </w:rPr>
        <w:t xml:space="preserve">vigente, dé cumplimiento a lo ordenado dentro </w:t>
      </w:r>
      <w:r w:rsidRPr="00F25150">
        <w:rPr>
          <w:rFonts w:ascii="Palatino Linotype" w:eastAsia="Times New Roman" w:hAnsi="Palatino Linotype" w:cs="Times New Roman"/>
          <w:shd w:val="clear" w:color="auto" w:fill="FFFFFF"/>
        </w:rPr>
        <w:lastRenderedPageBreak/>
        <w:t xml:space="preserve">del plazo de </w:t>
      </w:r>
      <w:r w:rsidR="00782A12" w:rsidRPr="00F25150">
        <w:rPr>
          <w:rFonts w:ascii="Palatino Linotype" w:eastAsia="Times New Roman" w:hAnsi="Palatino Linotype" w:cs="Times New Roman"/>
          <w:b/>
          <w:shd w:val="clear" w:color="auto" w:fill="FFFFFF"/>
        </w:rPr>
        <w:t>diez</w:t>
      </w:r>
      <w:r w:rsidRPr="00F25150">
        <w:rPr>
          <w:rFonts w:ascii="Palatino Linotype" w:eastAsia="Times New Roman" w:hAnsi="Palatino Linotype" w:cs="Times New Roman"/>
          <w:b/>
          <w:shd w:val="clear" w:color="auto" w:fill="FFFFFF"/>
        </w:rPr>
        <w:t xml:space="preserve"> días hábiles</w:t>
      </w:r>
      <w:r w:rsidRPr="00F25150">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F25150" w:rsidRDefault="0057514F" w:rsidP="00CE7B83">
      <w:pPr>
        <w:spacing w:line="360" w:lineRule="auto"/>
        <w:jc w:val="both"/>
        <w:rPr>
          <w:rFonts w:ascii="Palatino Linotype" w:hAnsi="Palatino Linotype" w:cs="Arial"/>
          <w:b/>
          <w:sz w:val="20"/>
        </w:rPr>
      </w:pPr>
    </w:p>
    <w:p w:rsidR="0057514F" w:rsidRPr="00F25150" w:rsidRDefault="0057514F" w:rsidP="00CE7B83">
      <w:pPr>
        <w:spacing w:line="360" w:lineRule="auto"/>
        <w:jc w:val="both"/>
        <w:rPr>
          <w:rFonts w:ascii="Palatino Linotype" w:eastAsia="Calibri" w:hAnsi="Palatino Linotype" w:cs="Arial"/>
          <w:bCs/>
        </w:rPr>
      </w:pPr>
      <w:r w:rsidRPr="00F25150">
        <w:rPr>
          <w:rFonts w:ascii="Palatino Linotype" w:hAnsi="Palatino Linotype" w:cs="Arial"/>
          <w:b/>
        </w:rPr>
        <w:t xml:space="preserve">CUARTO. </w:t>
      </w:r>
      <w:r w:rsidRPr="00F25150">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F25150">
        <w:rPr>
          <w:rFonts w:ascii="Palatino Linotype" w:eastAsia="Calibri" w:hAnsi="Palatino Linotype" w:cs="Arial"/>
          <w:b/>
          <w:bCs/>
        </w:rPr>
        <w:t>SUJETO OBLIGADO</w:t>
      </w:r>
      <w:r w:rsidRPr="00F25150">
        <w:rPr>
          <w:rFonts w:ascii="Palatino Linotype" w:eastAsia="Calibri" w:hAnsi="Palatino Linotype" w:cs="Arial"/>
          <w:bCs/>
        </w:rPr>
        <w:t xml:space="preserve"> de manera fundada y motivada, podrá solicitar una ampliación de plazo para el cumplimiento de la presente resolución.</w:t>
      </w:r>
    </w:p>
    <w:p w:rsidR="00CE7B83" w:rsidRPr="00F25150" w:rsidRDefault="00CE7B83" w:rsidP="00CE7B83">
      <w:pPr>
        <w:spacing w:line="360" w:lineRule="auto"/>
        <w:jc w:val="both"/>
        <w:rPr>
          <w:rFonts w:ascii="Palatino Linotype" w:eastAsia="Calibri" w:hAnsi="Palatino Linotype" w:cs="Arial"/>
          <w:bCs/>
        </w:rPr>
      </w:pPr>
    </w:p>
    <w:p w:rsidR="009F09BC" w:rsidRPr="00F25150"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197" w:name="_Toc492590393"/>
      <w:bookmarkStart w:id="198" w:name="_Toc503891611"/>
      <w:bookmarkStart w:id="199" w:name="_Toc511647759"/>
      <w:bookmarkStart w:id="200" w:name="_Toc511647820"/>
      <w:r w:rsidRPr="00F25150">
        <w:rPr>
          <w:rFonts w:ascii="Palatino Linotype" w:eastAsia="Times New Roman" w:hAnsi="Palatino Linotype" w:cs="Times New Roman"/>
          <w:b/>
        </w:rPr>
        <w:t>QUIN</w:t>
      </w:r>
      <w:r w:rsidR="009F09BC" w:rsidRPr="00F25150">
        <w:rPr>
          <w:rFonts w:ascii="Palatino Linotype" w:eastAsia="Times New Roman" w:hAnsi="Palatino Linotype" w:cs="Times New Roman"/>
          <w:b/>
        </w:rPr>
        <w:t xml:space="preserve">TO. </w:t>
      </w:r>
      <w:r w:rsidR="009F09BC" w:rsidRPr="00F25150">
        <w:rPr>
          <w:rFonts w:ascii="Palatino Linotype" w:eastAsia="Times New Roman" w:hAnsi="Palatino Linotype" w:cs="Times New Roman"/>
        </w:rPr>
        <w:t>Notifíquese</w:t>
      </w:r>
      <w:bookmarkEnd w:id="197"/>
      <w:bookmarkEnd w:id="198"/>
      <w:bookmarkEnd w:id="199"/>
      <w:bookmarkEnd w:id="200"/>
      <w:r w:rsidR="009F09BC" w:rsidRPr="00F25150">
        <w:rPr>
          <w:rFonts w:ascii="Palatino Linotype" w:eastAsia="Times New Roman" w:hAnsi="Palatino Linotype" w:cs="Times New Roman"/>
        </w:rPr>
        <w:t xml:space="preserve"> a </w:t>
      </w:r>
      <w:r w:rsidR="009F09BC" w:rsidRPr="00F25150">
        <w:rPr>
          <w:rFonts w:ascii="Palatino Linotype" w:eastAsia="Times New Roman" w:hAnsi="Palatino Linotype" w:cs="Times New Roman"/>
          <w:b/>
        </w:rPr>
        <w:t>EL RECURRENTE</w:t>
      </w:r>
      <w:r w:rsidR="009F09BC" w:rsidRPr="00F25150">
        <w:rPr>
          <w:rFonts w:ascii="Palatino Linotype" w:eastAsia="Times New Roman" w:hAnsi="Palatino Linotype" w:cs="Times New Roman"/>
        </w:rPr>
        <w:t xml:space="preserve"> la presente</w:t>
      </w:r>
      <w:r w:rsidR="009F09BC" w:rsidRPr="00F25150">
        <w:rPr>
          <w:rFonts w:ascii="Palatino Linotype" w:eastAsia="Times New Roman" w:hAnsi="Palatino Linotype" w:cs="Times New Roman"/>
          <w:lang w:val="es-ES" w:eastAsia="es-MX"/>
        </w:rPr>
        <w:t xml:space="preserve"> resolución</w:t>
      </w:r>
      <w:r w:rsidR="00CE7B83" w:rsidRPr="00F25150">
        <w:rPr>
          <w:rFonts w:ascii="Palatino Linotype" w:eastAsia="Times New Roman" w:hAnsi="Palatino Linotype" w:cs="Times New Roman"/>
          <w:lang w:val="es-ES" w:eastAsia="es-MX"/>
        </w:rPr>
        <w:t>, vía SAIMEX</w:t>
      </w:r>
      <w:r w:rsidR="006D15D0" w:rsidRPr="00F25150">
        <w:rPr>
          <w:rFonts w:ascii="Palatino Linotype" w:eastAsia="Times New Roman" w:hAnsi="Palatino Linotype" w:cs="Times New Roman"/>
          <w:lang w:val="es-ES" w:eastAsia="es-MX"/>
        </w:rPr>
        <w:t>.</w:t>
      </w:r>
    </w:p>
    <w:p w:rsidR="00CE7B83" w:rsidRPr="00F25150"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F25150"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F25150">
        <w:rPr>
          <w:rFonts w:ascii="Palatino Linotype" w:eastAsia="Calibri" w:hAnsi="Palatino Linotype" w:cs="Times New Roman"/>
          <w:b/>
          <w:lang w:val="es-MX" w:eastAsia="en-US"/>
        </w:rPr>
        <w:t>SEX</w:t>
      </w:r>
      <w:r w:rsidR="009F09BC" w:rsidRPr="00F25150">
        <w:rPr>
          <w:rFonts w:ascii="Palatino Linotype" w:eastAsia="Calibri" w:hAnsi="Palatino Linotype" w:cs="Times New Roman"/>
          <w:b/>
          <w:lang w:val="es-MX" w:eastAsia="en-US"/>
        </w:rPr>
        <w:t>TO.</w:t>
      </w:r>
      <w:r w:rsidR="009F09BC" w:rsidRPr="00F25150">
        <w:rPr>
          <w:rFonts w:ascii="Palatino Linotype" w:eastAsia="Calibri" w:hAnsi="Palatino Linotype" w:cs="Times New Roman"/>
          <w:lang w:val="es-MX" w:eastAsia="en-US"/>
        </w:rPr>
        <w:t xml:space="preserve"> </w:t>
      </w:r>
      <w:r w:rsidR="009F09BC" w:rsidRPr="00F25150">
        <w:rPr>
          <w:rFonts w:ascii="Palatino Linotype" w:eastAsia="Times New Roman" w:hAnsi="Palatino Linotype" w:cs="Times New Roman"/>
          <w:lang w:val="es-ES" w:eastAsia="es-MX"/>
        </w:rPr>
        <w:t xml:space="preserve">Se hace del conocimiento de </w:t>
      </w:r>
      <w:r w:rsidR="009F09BC" w:rsidRPr="00F25150">
        <w:rPr>
          <w:rFonts w:ascii="Palatino Linotype" w:eastAsia="Times New Roman" w:hAnsi="Palatino Linotype" w:cs="Times New Roman"/>
          <w:b/>
          <w:lang w:val="es-ES" w:eastAsia="es-MX"/>
        </w:rPr>
        <w:t>EL RECURRENTE</w:t>
      </w:r>
      <w:r w:rsidR="009F09BC" w:rsidRPr="00F25150">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F25150">
        <w:rPr>
          <w:rFonts w:ascii="Palatino Linotype" w:eastAsia="Times New Roman" w:hAnsi="Palatino Linotype" w:cs="Times New Roman"/>
          <w:bCs/>
          <w:lang w:val="es-ES" w:eastAsia="es-MX"/>
        </w:rPr>
        <w:t>vía juicio de amparo</w:t>
      </w:r>
      <w:r w:rsidR="009F09BC" w:rsidRPr="00F25150">
        <w:rPr>
          <w:rFonts w:ascii="Palatino Linotype" w:eastAsia="Times New Roman" w:hAnsi="Palatino Linotype" w:cs="Times New Roman"/>
          <w:lang w:val="es-ES" w:eastAsia="es-MX"/>
        </w:rPr>
        <w:t> en los términos de las leyes aplicables.</w:t>
      </w:r>
    </w:p>
    <w:p w:rsidR="00053FB7" w:rsidRPr="00F25150"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F25150" w:rsidRDefault="00F25150" w:rsidP="00F25150">
      <w:pPr>
        <w:spacing w:before="240" w:after="240" w:line="360" w:lineRule="auto"/>
        <w:ind w:firstLine="1"/>
        <w:jc w:val="both"/>
        <w:rPr>
          <w:rFonts w:ascii="Palatino Linotype" w:hAnsi="Palatino Linotype"/>
        </w:rPr>
      </w:pPr>
      <w:r w:rsidRPr="00F2515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w:t>
      </w:r>
      <w:r w:rsidRPr="00F25150">
        <w:rPr>
          <w:rFonts w:ascii="Palatino Linotype" w:hAnsi="Palatino Linotype"/>
        </w:rPr>
        <w:lastRenderedPageBreak/>
        <w:t>EL DIECIOCHO (18) DE MAYO DE DOS MIL VEINTIDÓS, ANTE EL SECRETARIO TÉCNICO DEL PLENO ALEXIS TAPIA RAMÍREZ.</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E61C13">
      <w:headerReference w:type="even" r:id="rId13"/>
      <w:headerReference w:type="default" r:id="rId14"/>
      <w:footerReference w:type="default" r:id="rId15"/>
      <w:headerReference w:type="first" r:id="rId16"/>
      <w:footerReference w:type="first" r:id="rId17"/>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D55" w:rsidRDefault="00795D55" w:rsidP="003B7751">
      <w:r>
        <w:separator/>
      </w:r>
    </w:p>
  </w:endnote>
  <w:endnote w:type="continuationSeparator" w:id="0">
    <w:p w:rsidR="00795D55" w:rsidRDefault="00795D5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80C93" w:rsidRPr="002D6DD8" w:rsidRDefault="00680C9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81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811">
              <w:rPr>
                <w:rFonts w:ascii="Palatino Linotype" w:hAnsi="Palatino Linotype"/>
                <w:bCs/>
                <w:noProof/>
                <w:sz w:val="20"/>
              </w:rPr>
              <w:t>32</w:t>
            </w:r>
            <w:r>
              <w:rPr>
                <w:rFonts w:ascii="Palatino Linotype" w:hAnsi="Palatino Linotype"/>
                <w:bCs/>
                <w:noProof/>
                <w:sz w:val="20"/>
              </w:rPr>
              <w:fldChar w:fldCharType="end"/>
            </w:r>
          </w:p>
        </w:sdtContent>
      </w:sdt>
    </w:sdtContent>
  </w:sdt>
  <w:p w:rsidR="00680C93" w:rsidRDefault="00680C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3" w:rsidRPr="000B69FA" w:rsidRDefault="00680C9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8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811">
      <w:rPr>
        <w:rFonts w:ascii="Palatino Linotype" w:hAnsi="Palatino Linotype"/>
        <w:bCs/>
        <w:noProof/>
        <w:sz w:val="20"/>
      </w:rPr>
      <w:t>32</w:t>
    </w:r>
    <w:r>
      <w:rPr>
        <w:rFonts w:ascii="Palatino Linotype" w:hAnsi="Palatino Linotype"/>
        <w:bCs/>
        <w:noProof/>
        <w:sz w:val="20"/>
      </w:rPr>
      <w:fldChar w:fldCharType="end"/>
    </w:r>
  </w:p>
  <w:p w:rsidR="00680C93" w:rsidRDefault="00680C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D55" w:rsidRDefault="00795D55" w:rsidP="003B7751">
      <w:r>
        <w:separator/>
      </w:r>
    </w:p>
  </w:footnote>
  <w:footnote w:type="continuationSeparator" w:id="0">
    <w:p w:rsidR="00795D55" w:rsidRDefault="00795D55" w:rsidP="003B7751">
      <w:r>
        <w:continuationSeparator/>
      </w:r>
    </w:p>
  </w:footnote>
  <w:footnote w:id="1">
    <w:p w:rsidR="00680C93" w:rsidRPr="009C43C2" w:rsidRDefault="00680C93"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680C93" w:rsidRPr="009C43C2" w:rsidRDefault="00680C93"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680C93" w:rsidRPr="009C43C2" w:rsidRDefault="00680C93"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680C93" w:rsidRDefault="00680C93"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680C93" w:rsidRDefault="00680C93" w:rsidP="00680C93">
      <w:pPr>
        <w:pStyle w:val="Textonotapie"/>
      </w:pPr>
      <w:r>
        <w:rPr>
          <w:rStyle w:val="Refdenotaalpie"/>
        </w:rPr>
        <w:footnoteRef/>
      </w:r>
      <w:r>
        <w:t xml:space="preserve"> Consultable en: </w:t>
      </w:r>
      <w:hyperlink r:id="rId1" w:history="1">
        <w:r w:rsidRPr="006A4718">
          <w:rPr>
            <w:rStyle w:val="Hipervnculo"/>
          </w:rPr>
          <w:t>http://legislacion.edomex.gob.mx/sites/legislacion.edomex.gob.mx/files/files/pdf/gct/2016/jun174.pdf</w:t>
        </w:r>
      </w:hyperlink>
      <w:r>
        <w:t xml:space="preserve"> </w:t>
      </w:r>
    </w:p>
  </w:footnote>
  <w:footnote w:id="6">
    <w:p w:rsidR="00680C93" w:rsidRDefault="00680C93" w:rsidP="00680C93">
      <w:pPr>
        <w:pStyle w:val="Textonotapie"/>
      </w:pPr>
      <w:r>
        <w:rPr>
          <w:rStyle w:val="Refdenotaalpie"/>
        </w:rPr>
        <w:footnoteRef/>
      </w:r>
      <w:r>
        <w:t xml:space="preserve"> Consultable en: </w:t>
      </w:r>
      <w:hyperlink r:id="rId2" w:history="1">
        <w:r w:rsidRPr="006A4718">
          <w:rPr>
            <w:rStyle w:val="Hipervnculo"/>
          </w:rPr>
          <w:t>http://legislacion.edomex.gob.mx/sites/legislacion.edomex.gob.mx/files/files/pdf/gct/2018/may033.pdf</w:t>
        </w:r>
      </w:hyperlink>
      <w:r>
        <w:t xml:space="preserve"> </w:t>
      </w:r>
    </w:p>
  </w:footnote>
  <w:footnote w:id="7">
    <w:p w:rsidR="00680C93" w:rsidRDefault="00680C93" w:rsidP="00680C93">
      <w:pPr>
        <w:pStyle w:val="Textonotapie"/>
      </w:pPr>
      <w:r>
        <w:rPr>
          <w:rStyle w:val="Refdenotaalpie"/>
        </w:rPr>
        <w:footnoteRef/>
      </w:r>
      <w:r>
        <w:t xml:space="preserve"> Consultable en: </w:t>
      </w:r>
      <w:r w:rsidRPr="00BD3E90">
        <w:t>http://www.dof.gob.mx/nota_detalle.php?codigo=5436056&amp;fecha=04/05/2016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3" w:rsidRDefault="00795D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80C93" w:rsidTr="006A04B6">
      <w:trPr>
        <w:trHeight w:val="227"/>
      </w:trPr>
      <w:tc>
        <w:tcPr>
          <w:tcW w:w="2976" w:type="dxa"/>
          <w:vAlign w:val="center"/>
          <w:hideMark/>
        </w:tcPr>
        <w:p w:rsidR="00680C93" w:rsidRPr="00674A46" w:rsidRDefault="00680C9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680C93" w:rsidRPr="00485ED8" w:rsidRDefault="00680C93" w:rsidP="002650A0">
          <w:pPr>
            <w:pStyle w:val="Encabezado"/>
            <w:rPr>
              <w:rFonts w:ascii="Palatino Linotype" w:hAnsi="Palatino Linotype"/>
              <w:b/>
              <w:sz w:val="22"/>
              <w:szCs w:val="22"/>
            </w:rPr>
          </w:pPr>
          <w:r>
            <w:rPr>
              <w:rFonts w:ascii="Palatino Linotype" w:hAnsi="Palatino Linotype" w:cs="Arial"/>
              <w:b/>
              <w:bCs/>
              <w:sz w:val="22"/>
              <w:szCs w:val="22"/>
              <w:lang w:eastAsia="es-MX"/>
            </w:rPr>
            <w:t>01073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680C93" w:rsidTr="006A04B6">
      <w:trPr>
        <w:trHeight w:val="242"/>
      </w:trPr>
      <w:tc>
        <w:tcPr>
          <w:tcW w:w="2976" w:type="dxa"/>
          <w:vAlign w:val="center"/>
          <w:hideMark/>
        </w:tcPr>
        <w:p w:rsidR="00680C93" w:rsidRPr="00674A46" w:rsidRDefault="00680C9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680C93" w:rsidRPr="00485ED8" w:rsidRDefault="00680C93" w:rsidP="009F09BC">
          <w:pPr>
            <w:pStyle w:val="Encabezado"/>
            <w:jc w:val="both"/>
            <w:rPr>
              <w:rFonts w:ascii="Palatino Linotype" w:hAnsi="Palatino Linotype"/>
              <w:b/>
              <w:sz w:val="22"/>
              <w:szCs w:val="22"/>
            </w:rPr>
          </w:pPr>
          <w:r w:rsidRPr="002D294C">
            <w:rPr>
              <w:rFonts w:ascii="Palatino Linotype" w:hAnsi="Palatino Linotype"/>
              <w:b/>
              <w:bCs/>
              <w:color w:val="000000"/>
              <w:sz w:val="22"/>
              <w:szCs w:val="22"/>
            </w:rPr>
            <w:t>Fiscalía General de Justicia del Estado de México</w:t>
          </w:r>
        </w:p>
      </w:tc>
    </w:tr>
    <w:tr w:rsidR="00680C93" w:rsidTr="006A04B6">
      <w:trPr>
        <w:trHeight w:val="342"/>
      </w:trPr>
      <w:tc>
        <w:tcPr>
          <w:tcW w:w="2976" w:type="dxa"/>
          <w:vAlign w:val="center"/>
          <w:hideMark/>
        </w:tcPr>
        <w:p w:rsidR="00680C93" w:rsidRPr="00674A46" w:rsidRDefault="00680C9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680C93" w:rsidRPr="00485ED8" w:rsidRDefault="00680C93"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680C93" w:rsidRPr="00AE046A" w:rsidRDefault="00795D5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80C93" w:rsidTr="006A04B6">
      <w:trPr>
        <w:trHeight w:val="227"/>
      </w:trPr>
      <w:tc>
        <w:tcPr>
          <w:tcW w:w="2977" w:type="dxa"/>
          <w:vAlign w:val="center"/>
          <w:hideMark/>
        </w:tcPr>
        <w:p w:rsidR="00680C93" w:rsidRPr="00674A46" w:rsidRDefault="00680C93"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680C93" w:rsidRPr="00485ED8" w:rsidRDefault="00680C93" w:rsidP="008A699B">
          <w:pPr>
            <w:pStyle w:val="Encabezado"/>
            <w:rPr>
              <w:rFonts w:ascii="Palatino Linotype" w:hAnsi="Palatino Linotype"/>
              <w:b/>
              <w:sz w:val="22"/>
              <w:szCs w:val="22"/>
            </w:rPr>
          </w:pPr>
          <w:r>
            <w:rPr>
              <w:rFonts w:ascii="Palatino Linotype" w:hAnsi="Palatino Linotype" w:cs="Arial"/>
              <w:b/>
              <w:bCs/>
              <w:sz w:val="22"/>
              <w:szCs w:val="22"/>
              <w:lang w:eastAsia="es-MX"/>
            </w:rPr>
            <w:t>01073</w:t>
          </w:r>
          <w:r w:rsidRPr="00DE2F5A">
            <w:rPr>
              <w:rFonts w:ascii="Palatino Linotype" w:hAnsi="Palatino Linotype" w:cs="Arial"/>
              <w:b/>
              <w:bCs/>
              <w:sz w:val="22"/>
              <w:szCs w:val="22"/>
              <w:lang w:eastAsia="es-MX"/>
            </w:rPr>
            <w:t>/INFOEM/IP/RR/2022</w:t>
          </w:r>
        </w:p>
      </w:tc>
    </w:tr>
    <w:tr w:rsidR="00680C93" w:rsidTr="006A04B6">
      <w:trPr>
        <w:trHeight w:val="242"/>
      </w:trPr>
      <w:tc>
        <w:tcPr>
          <w:tcW w:w="2977" w:type="dxa"/>
          <w:vAlign w:val="center"/>
          <w:hideMark/>
        </w:tcPr>
        <w:p w:rsidR="00680C93" w:rsidRPr="00674A46" w:rsidRDefault="00680C93"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680C93" w:rsidRPr="00B75F20" w:rsidRDefault="003A5811"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680C93" w:rsidTr="006A04B6">
      <w:trPr>
        <w:trHeight w:val="342"/>
      </w:trPr>
      <w:tc>
        <w:tcPr>
          <w:tcW w:w="2977" w:type="dxa"/>
          <w:vAlign w:val="center"/>
        </w:tcPr>
        <w:p w:rsidR="00680C93" w:rsidRPr="00674A46" w:rsidRDefault="00680C93"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680C93" w:rsidRPr="00674A46" w:rsidRDefault="00680C93" w:rsidP="009F09BC">
          <w:pPr>
            <w:pStyle w:val="Encabezado"/>
            <w:jc w:val="both"/>
            <w:rPr>
              <w:rFonts w:ascii="Palatino Linotype" w:hAnsi="Palatino Linotype"/>
              <w:b/>
              <w:sz w:val="22"/>
              <w:szCs w:val="22"/>
            </w:rPr>
          </w:pPr>
          <w:r w:rsidRPr="002D294C">
            <w:rPr>
              <w:rFonts w:ascii="Palatino Linotype" w:hAnsi="Palatino Linotype"/>
              <w:b/>
              <w:bCs/>
              <w:color w:val="000000"/>
              <w:sz w:val="22"/>
              <w:szCs w:val="22"/>
            </w:rPr>
            <w:t>Fiscalía General de Justicia del Estado de México</w:t>
          </w:r>
        </w:p>
      </w:tc>
    </w:tr>
    <w:tr w:rsidR="00680C93" w:rsidTr="006A04B6">
      <w:trPr>
        <w:trHeight w:val="342"/>
      </w:trPr>
      <w:tc>
        <w:tcPr>
          <w:tcW w:w="2977" w:type="dxa"/>
          <w:vAlign w:val="center"/>
        </w:tcPr>
        <w:p w:rsidR="00680C93" w:rsidRPr="00674A46" w:rsidRDefault="00680C93"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680C93" w:rsidRPr="00674A46" w:rsidRDefault="00680C93"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680C93" w:rsidRPr="00C222C0" w:rsidRDefault="00795D5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30"/>
  </w:num>
  <w:num w:numId="10">
    <w:abstractNumId w:val="18"/>
  </w:num>
  <w:num w:numId="11">
    <w:abstractNumId w:val="12"/>
  </w:num>
  <w:num w:numId="12">
    <w:abstractNumId w:val="22"/>
  </w:num>
  <w:num w:numId="13">
    <w:abstractNumId w:val="31"/>
  </w:num>
  <w:num w:numId="14">
    <w:abstractNumId w:val="3"/>
  </w:num>
  <w:num w:numId="15">
    <w:abstractNumId w:val="15"/>
  </w:num>
  <w:num w:numId="16">
    <w:abstractNumId w:val="27"/>
  </w:num>
  <w:num w:numId="17">
    <w:abstractNumId w:val="8"/>
  </w:num>
  <w:num w:numId="18">
    <w:abstractNumId w:val="24"/>
  </w:num>
  <w:num w:numId="19">
    <w:abstractNumId w:val="32"/>
  </w:num>
  <w:num w:numId="20">
    <w:abstractNumId w:val="16"/>
  </w:num>
  <w:num w:numId="21">
    <w:abstractNumId w:val="21"/>
  </w:num>
  <w:num w:numId="22">
    <w:abstractNumId w:val="13"/>
  </w:num>
  <w:num w:numId="23">
    <w:abstractNumId w:val="35"/>
  </w:num>
  <w:num w:numId="24">
    <w:abstractNumId w:val="6"/>
  </w:num>
  <w:num w:numId="25">
    <w:abstractNumId w:val="28"/>
  </w:num>
  <w:num w:numId="26">
    <w:abstractNumId w:val="20"/>
  </w:num>
  <w:num w:numId="27">
    <w:abstractNumId w:val="4"/>
  </w:num>
  <w:num w:numId="28">
    <w:abstractNumId w:val="29"/>
  </w:num>
  <w:num w:numId="29">
    <w:abstractNumId w:val="26"/>
  </w:num>
  <w:num w:numId="30">
    <w:abstractNumId w:val="23"/>
  </w:num>
  <w:num w:numId="31">
    <w:abstractNumId w:val="34"/>
  </w:num>
  <w:num w:numId="32">
    <w:abstractNumId w:val="17"/>
  </w:num>
  <w:num w:numId="33">
    <w:abstractNumId w:val="7"/>
  </w:num>
  <w:num w:numId="34">
    <w:abstractNumId w:val="11"/>
  </w:num>
  <w:num w:numId="35">
    <w:abstractNumId w:val="5"/>
  </w:num>
  <w:num w:numId="36">
    <w:abstractNumId w:val="33"/>
  </w:num>
  <w:num w:numId="37">
    <w:abstractNumId w:val="2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73F6"/>
    <w:rsid w:val="00051287"/>
    <w:rsid w:val="00053FB7"/>
    <w:rsid w:val="0008243D"/>
    <w:rsid w:val="000A4C7A"/>
    <w:rsid w:val="000E1A02"/>
    <w:rsid w:val="000E4891"/>
    <w:rsid w:val="00114502"/>
    <w:rsid w:val="001352F5"/>
    <w:rsid w:val="001A18E7"/>
    <w:rsid w:val="001C4290"/>
    <w:rsid w:val="001D23C1"/>
    <w:rsid w:val="001D373F"/>
    <w:rsid w:val="001D5404"/>
    <w:rsid w:val="001D630C"/>
    <w:rsid w:val="001E755B"/>
    <w:rsid w:val="00223C06"/>
    <w:rsid w:val="00237FA4"/>
    <w:rsid w:val="00264C9A"/>
    <w:rsid w:val="002650A0"/>
    <w:rsid w:val="00272CA2"/>
    <w:rsid w:val="00277FAC"/>
    <w:rsid w:val="002901F4"/>
    <w:rsid w:val="00291500"/>
    <w:rsid w:val="002A3B71"/>
    <w:rsid w:val="002C0D3C"/>
    <w:rsid w:val="002C4997"/>
    <w:rsid w:val="002D294C"/>
    <w:rsid w:val="0030094A"/>
    <w:rsid w:val="00312281"/>
    <w:rsid w:val="00323FFD"/>
    <w:rsid w:val="003437D9"/>
    <w:rsid w:val="00353F1D"/>
    <w:rsid w:val="0037157C"/>
    <w:rsid w:val="003833B3"/>
    <w:rsid w:val="003933C4"/>
    <w:rsid w:val="003A15C8"/>
    <w:rsid w:val="003A5811"/>
    <w:rsid w:val="003B7751"/>
    <w:rsid w:val="003C13F1"/>
    <w:rsid w:val="003E66D2"/>
    <w:rsid w:val="00403D64"/>
    <w:rsid w:val="00407FDA"/>
    <w:rsid w:val="004118FA"/>
    <w:rsid w:val="00425842"/>
    <w:rsid w:val="00437672"/>
    <w:rsid w:val="00456CFF"/>
    <w:rsid w:val="004E4EE6"/>
    <w:rsid w:val="004E6CE4"/>
    <w:rsid w:val="004F34D1"/>
    <w:rsid w:val="005331D8"/>
    <w:rsid w:val="00541549"/>
    <w:rsid w:val="005432D0"/>
    <w:rsid w:val="00546076"/>
    <w:rsid w:val="00547ACE"/>
    <w:rsid w:val="005507B0"/>
    <w:rsid w:val="00554A21"/>
    <w:rsid w:val="00556E0A"/>
    <w:rsid w:val="00563F2E"/>
    <w:rsid w:val="0057514F"/>
    <w:rsid w:val="00575E75"/>
    <w:rsid w:val="00583A39"/>
    <w:rsid w:val="005B076D"/>
    <w:rsid w:val="005B6702"/>
    <w:rsid w:val="005C5021"/>
    <w:rsid w:val="005D2F1C"/>
    <w:rsid w:val="005D4C57"/>
    <w:rsid w:val="0062406B"/>
    <w:rsid w:val="00647F7C"/>
    <w:rsid w:val="00657639"/>
    <w:rsid w:val="006672E1"/>
    <w:rsid w:val="00680C93"/>
    <w:rsid w:val="006A04B6"/>
    <w:rsid w:val="006A6390"/>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92EE6"/>
    <w:rsid w:val="00795D55"/>
    <w:rsid w:val="007A460E"/>
    <w:rsid w:val="007A6A1A"/>
    <w:rsid w:val="00804DAA"/>
    <w:rsid w:val="0082142B"/>
    <w:rsid w:val="008227A9"/>
    <w:rsid w:val="008526F4"/>
    <w:rsid w:val="008563C8"/>
    <w:rsid w:val="008573BF"/>
    <w:rsid w:val="0086792A"/>
    <w:rsid w:val="00873EB6"/>
    <w:rsid w:val="008A699B"/>
    <w:rsid w:val="008B0637"/>
    <w:rsid w:val="008C1ED7"/>
    <w:rsid w:val="008E330F"/>
    <w:rsid w:val="008E6574"/>
    <w:rsid w:val="008F6D18"/>
    <w:rsid w:val="00911A75"/>
    <w:rsid w:val="009126F1"/>
    <w:rsid w:val="00924A2D"/>
    <w:rsid w:val="009335F9"/>
    <w:rsid w:val="00945135"/>
    <w:rsid w:val="009972BB"/>
    <w:rsid w:val="009A2251"/>
    <w:rsid w:val="009D5A32"/>
    <w:rsid w:val="009F09BC"/>
    <w:rsid w:val="00A23E82"/>
    <w:rsid w:val="00A626EB"/>
    <w:rsid w:val="00AD316E"/>
    <w:rsid w:val="00AD63B4"/>
    <w:rsid w:val="00AF4BBC"/>
    <w:rsid w:val="00B07BF8"/>
    <w:rsid w:val="00B11CDD"/>
    <w:rsid w:val="00B530E8"/>
    <w:rsid w:val="00B86242"/>
    <w:rsid w:val="00BF3FB5"/>
    <w:rsid w:val="00C00CA8"/>
    <w:rsid w:val="00C03BA3"/>
    <w:rsid w:val="00C0715F"/>
    <w:rsid w:val="00C105CC"/>
    <w:rsid w:val="00C14F2A"/>
    <w:rsid w:val="00C21FAE"/>
    <w:rsid w:val="00C242A7"/>
    <w:rsid w:val="00C41B2B"/>
    <w:rsid w:val="00C47C3D"/>
    <w:rsid w:val="00C54D99"/>
    <w:rsid w:val="00C85E64"/>
    <w:rsid w:val="00C87396"/>
    <w:rsid w:val="00C90814"/>
    <w:rsid w:val="00C91F0F"/>
    <w:rsid w:val="00CA1063"/>
    <w:rsid w:val="00CB757D"/>
    <w:rsid w:val="00CC5B2F"/>
    <w:rsid w:val="00CE7B83"/>
    <w:rsid w:val="00CF0D2B"/>
    <w:rsid w:val="00D021A5"/>
    <w:rsid w:val="00D16FC7"/>
    <w:rsid w:val="00D47231"/>
    <w:rsid w:val="00D6224B"/>
    <w:rsid w:val="00D81329"/>
    <w:rsid w:val="00D868CC"/>
    <w:rsid w:val="00D96104"/>
    <w:rsid w:val="00DA6D37"/>
    <w:rsid w:val="00DB753F"/>
    <w:rsid w:val="00DE2F5A"/>
    <w:rsid w:val="00DE3979"/>
    <w:rsid w:val="00DF03A5"/>
    <w:rsid w:val="00E118BA"/>
    <w:rsid w:val="00E17429"/>
    <w:rsid w:val="00E56172"/>
    <w:rsid w:val="00E5636B"/>
    <w:rsid w:val="00E566C9"/>
    <w:rsid w:val="00E61C13"/>
    <w:rsid w:val="00E61DA9"/>
    <w:rsid w:val="00E92E04"/>
    <w:rsid w:val="00ED1D6B"/>
    <w:rsid w:val="00ED3A35"/>
    <w:rsid w:val="00ED6E75"/>
    <w:rsid w:val="00F24A04"/>
    <w:rsid w:val="00F25150"/>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8/may033.pdf" TargetMode="External"/><Relationship Id="rId1" Type="http://schemas.openxmlformats.org/officeDocument/2006/relationships/hyperlink" Target="http://legislacion.edomex.gob.mx/sites/legislacion.edomex.gob.mx/files/files/pdf/gct/2016/jun1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FDD8-9D81-4987-9B38-B8A20101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32</Pages>
  <Words>6425</Words>
  <Characters>35343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22</cp:revision>
  <dcterms:created xsi:type="dcterms:W3CDTF">2022-04-05T17:31:00Z</dcterms:created>
  <dcterms:modified xsi:type="dcterms:W3CDTF">2022-06-02T17:03:00Z</dcterms:modified>
</cp:coreProperties>
</file>