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C9E391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5C58E4">
        <w:rPr>
          <w:rFonts w:ascii="Palatino Linotype" w:eastAsia="Palatino Linotype" w:hAnsi="Palatino Linotype" w:cs="Palatino Linotype"/>
          <w:color w:val="000000"/>
          <w:sz w:val="24"/>
          <w:szCs w:val="24"/>
        </w:rPr>
        <w:t>México, a veintitrés de febrero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5D26B59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3B7A34">
        <w:rPr>
          <w:rFonts w:ascii="Palatino Linotype" w:eastAsia="Palatino Linotype" w:hAnsi="Palatino Linotype" w:cs="Palatino Linotype"/>
          <w:b/>
          <w:color w:val="000000"/>
          <w:sz w:val="24"/>
          <w:szCs w:val="24"/>
        </w:rPr>
        <w:t>00220/INFOEM/IP/RR/2022</w:t>
      </w:r>
      <w:r>
        <w:rPr>
          <w:rFonts w:ascii="Palatino Linotype" w:eastAsia="Palatino Linotype" w:hAnsi="Palatino Linotype" w:cs="Palatino Linotype"/>
          <w:color w:val="000000"/>
          <w:sz w:val="24"/>
          <w:szCs w:val="24"/>
        </w:rPr>
        <w:t xml:space="preserve">, interpuesto por </w:t>
      </w:r>
      <w:r w:rsidR="003B7A34">
        <w:rPr>
          <w:rFonts w:ascii="Palatino Linotype" w:eastAsia="Palatino Linotype" w:hAnsi="Palatino Linotype" w:cs="Palatino Linotype"/>
          <w:color w:val="000000"/>
          <w:sz w:val="24"/>
          <w:szCs w:val="24"/>
        </w:rPr>
        <w:t>una persona de manera anónima</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sidR="003B7A34">
        <w:rPr>
          <w:rFonts w:ascii="Palatino Linotype" w:eastAsia="Palatino Linotype" w:hAnsi="Palatino Linotype" w:cs="Palatino Linotype"/>
          <w:color w:val="000000"/>
          <w:sz w:val="24"/>
          <w:szCs w:val="24"/>
        </w:rPr>
        <w:t>, en contra de la</w:t>
      </w:r>
      <w:r w:rsidR="00CC2A2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respuesta del </w:t>
      </w:r>
      <w:r w:rsidR="003B7A34">
        <w:rPr>
          <w:rFonts w:ascii="Palatino Linotype" w:eastAsia="Palatino Linotype" w:hAnsi="Palatino Linotype" w:cs="Palatino Linotype"/>
          <w:b/>
          <w:color w:val="000000"/>
          <w:sz w:val="24"/>
          <w:szCs w:val="24"/>
        </w:rPr>
        <w:t>Ayuntamiento de Chimalhuacán</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bookmarkStart w:id="0" w:name="_GoBack"/>
      <w:bookmarkEnd w:id="0"/>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AECB8B6" w:rsidR="00663A37"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quince de diciembre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sidR="00C57E04">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3B7A34">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sidR="00C57E04">
        <w:rPr>
          <w:rFonts w:ascii="Palatino Linotype" w:eastAsia="Palatino Linotype" w:hAnsi="Palatino Linotype" w:cs="Palatino Linotype"/>
          <w:color w:val="000000"/>
          <w:sz w:val="24"/>
          <w:szCs w:val="24"/>
        </w:rPr>
        <w:t xml:space="preserve">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3B7A34">
        <w:rPr>
          <w:rFonts w:ascii="Palatino Linotype" w:eastAsia="Palatino Linotype" w:hAnsi="Palatino Linotype" w:cs="Palatino Linotype"/>
          <w:b/>
          <w:bCs/>
          <w:color w:val="000000"/>
          <w:sz w:val="24"/>
          <w:szCs w:val="24"/>
        </w:rPr>
        <w:t>00314/CHIMALHU/IP/2021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02192ECC"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B7A34" w:rsidRPr="003B7A34">
        <w:rPr>
          <w:rFonts w:ascii="Palatino Linotype" w:eastAsia="Palatino Linotype" w:hAnsi="Palatino Linotype" w:cs="Palatino Linotype"/>
          <w:i/>
          <w:color w:val="000000"/>
        </w:rPr>
        <w:t>1- hablando jurídica y administrativamente, de que maneras se puede subdividir una cuenta predial? que documentos son validos para presentar en el municipio e iniciar la subdivisión de una cuenta predial? 2- Requisitos para subdividir una cuenta predial 3- en un periodo comprendido entre enero de 2021 a noviembre de 2021, requiero el número total de subdivisiones hechas por la unidad administrativa responsable así como los números de expedientes que se hayan generado derivado de dicha subdivisión.</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5EBDBA35" w:rsidR="00663A37" w:rsidRPr="00CC2A20"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sidRPr="003B7A3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269848"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36ACF339" w14:textId="5A53A879"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veinte de enero de dos mil veintidós, el Sujeto Obligado dio respuesta a la solicitud de información, manifestando lo siguiente:</w:t>
      </w:r>
    </w:p>
    <w:p w14:paraId="23FBAF4B"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EA77AB" w14:textId="77777777" w:rsid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9A560F">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2690AA" w14:textId="77777777" w:rsidR="009A560F" w:rsidRP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4FD9604" w14:textId="77777777" w:rsid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A560F">
        <w:rPr>
          <w:rFonts w:ascii="Palatino Linotype" w:eastAsia="Palatino Linotype" w:hAnsi="Palatino Linotype" w:cs="Palatino Linotype"/>
          <w:i/>
          <w:color w:val="000000"/>
        </w:rPr>
        <w:t>SE ANEXA DOCUMENTO SCANEADO</w:t>
      </w:r>
    </w:p>
    <w:p w14:paraId="0F889224" w14:textId="77777777" w:rsidR="009A560F" w:rsidRP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70E874" w14:textId="77777777" w:rsidR="009A560F" w:rsidRP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A560F">
        <w:rPr>
          <w:rFonts w:ascii="Palatino Linotype" w:eastAsia="Palatino Linotype" w:hAnsi="Palatino Linotype" w:cs="Palatino Linotype"/>
          <w:i/>
          <w:color w:val="000000"/>
        </w:rPr>
        <w:t>ATENTAMENTE</w:t>
      </w:r>
    </w:p>
    <w:p w14:paraId="65BAC071" w14:textId="49926B2E" w:rsidR="009A560F" w:rsidRDefault="009A560F" w:rsidP="009A560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A560F">
        <w:rPr>
          <w:rFonts w:ascii="Palatino Linotype" w:eastAsia="Palatino Linotype" w:hAnsi="Palatino Linotype" w:cs="Palatino Linotype"/>
          <w:i/>
          <w:color w:val="000000"/>
        </w:rPr>
        <w:t>C. DIANA KAREN GRACIA HERNANDEZ</w:t>
      </w:r>
      <w:r>
        <w:rPr>
          <w:rFonts w:ascii="Palatino Linotype" w:eastAsia="Palatino Linotype" w:hAnsi="Palatino Linotype" w:cs="Palatino Linotype"/>
          <w:i/>
          <w:color w:val="000000"/>
        </w:rPr>
        <w:t>” (Sic)</w:t>
      </w:r>
    </w:p>
    <w:p w14:paraId="65DDD1CE" w14:textId="77777777" w:rsidR="007E09F5"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5B3464" w14:textId="43149D29" w:rsidR="009A560F"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el Sujeto Obligado no remitió ningún documento anexo a su respuesta.</w:t>
      </w:r>
    </w:p>
    <w:p w14:paraId="16F5947B" w14:textId="77777777" w:rsidR="009A560F"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6BE42ECE" w:rsidR="00663A37" w:rsidRDefault="002415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Pr>
          <w:rFonts w:ascii="Palatino Linotype" w:eastAsia="Palatino Linotype" w:hAnsi="Palatino Linotype" w:cs="Palatino Linotype"/>
          <w:b/>
          <w:color w:val="000000"/>
          <w:sz w:val="26"/>
          <w:szCs w:val="26"/>
        </w:rPr>
        <w:t>Del recurso de revisión.</w:t>
      </w:r>
    </w:p>
    <w:p w14:paraId="7F8982C5" w14:textId="74576A4A" w:rsidR="00663A37"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w:t>
      </w:r>
      <w:r w:rsidR="00EE7F97">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color w:val="000000"/>
          <w:sz w:val="24"/>
          <w:szCs w:val="24"/>
        </w:rPr>
        <w:t xml:space="preserve">respuesta por </w:t>
      </w:r>
      <w:r w:rsidR="00EE7F97">
        <w:rPr>
          <w:rFonts w:ascii="Palatino Linotype" w:eastAsia="Palatino Linotype" w:hAnsi="Palatino Linotype" w:cs="Palatino Linotype"/>
          <w:color w:val="000000"/>
          <w:sz w:val="24"/>
          <w:szCs w:val="24"/>
        </w:rPr>
        <w:t>parte d</w:t>
      </w:r>
      <w:r w:rsidR="00663A37">
        <w:rPr>
          <w:rFonts w:ascii="Palatino Linotype" w:eastAsia="Palatino Linotype" w:hAnsi="Palatino Linotype" w:cs="Palatino Linotype"/>
          <w:color w:val="000000"/>
          <w:sz w:val="24"/>
          <w:szCs w:val="24"/>
        </w:rPr>
        <w:t>el Sujeto Obligado, el Recurrente interpuso el presente recurso de re</w:t>
      </w:r>
      <w:r>
        <w:rPr>
          <w:rFonts w:ascii="Palatino Linotype" w:eastAsia="Palatino Linotype" w:hAnsi="Palatino Linotype" w:cs="Palatino Linotype"/>
          <w:color w:val="000000"/>
          <w:sz w:val="24"/>
          <w:szCs w:val="24"/>
        </w:rPr>
        <w:t>visión el día veinte de enero de dos mil veintidós</w:t>
      </w:r>
      <w:r w:rsidR="00663A37">
        <w:rPr>
          <w:rFonts w:ascii="Palatino Linotype" w:eastAsia="Palatino Linotype" w:hAnsi="Palatino Linotype" w:cs="Palatino Linotype"/>
          <w:color w:val="000000"/>
          <w:sz w:val="24"/>
          <w:szCs w:val="24"/>
        </w:rPr>
        <w:t xml:space="preserve">, el cual se registró con el expediente número </w:t>
      </w:r>
      <w:r>
        <w:rPr>
          <w:rFonts w:ascii="Palatino Linotype" w:eastAsia="Palatino Linotype" w:hAnsi="Palatino Linotype" w:cs="Palatino Linotype"/>
          <w:b/>
          <w:color w:val="000000"/>
          <w:sz w:val="24"/>
          <w:szCs w:val="24"/>
        </w:rPr>
        <w:t>00220/INFOEM/IP/RR/2022</w:t>
      </w:r>
      <w:r w:rsidR="00663A37">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36F48F67" w:rsidR="00663A37" w:rsidRPr="009A560F" w:rsidRDefault="00663A37" w:rsidP="009A560F">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r w:rsidRPr="008F4B33">
        <w:rPr>
          <w:rFonts w:ascii="Palatino Linotype" w:eastAsia="Palatino Linotype" w:hAnsi="Palatino Linotype" w:cs="Palatino Linotype"/>
          <w:i/>
        </w:rPr>
        <w:t>“</w:t>
      </w:r>
      <w:r w:rsidR="009A560F" w:rsidRPr="009A560F">
        <w:rPr>
          <w:rFonts w:ascii="Palatino Linotype" w:eastAsia="Palatino Linotype" w:hAnsi="Palatino Linotype" w:cs="Palatino Linotype"/>
          <w:i/>
        </w:rPr>
        <w:t>la negativa de entregar la información requerida</w:t>
      </w:r>
      <w:r w:rsidRPr="008F4B33">
        <w:rPr>
          <w:rFonts w:ascii="Palatino Linotype" w:eastAsia="Palatino Linotype" w:hAnsi="Palatino Linotype" w:cs="Palatino Linotype"/>
          <w:i/>
        </w:rPr>
        <w:t>"</w:t>
      </w:r>
      <w:r w:rsidR="00A05FD1">
        <w:rPr>
          <w:rFonts w:ascii="Palatino Linotype" w:eastAsia="Palatino Linotype" w:hAnsi="Palatino Linotype" w:cs="Palatino Linotype"/>
          <w:i/>
        </w:rPr>
        <w:t xml:space="preserve"> </w:t>
      </w:r>
      <w:r w:rsidRPr="008F4B33">
        <w:rPr>
          <w:rFonts w:ascii="Palatino Linotype" w:eastAsia="Palatino Linotype" w:hAnsi="Palatino Linotype" w:cs="Palatino Linotype"/>
          <w:i/>
        </w:rPr>
        <w:t>(Sic)</w:t>
      </w:r>
    </w:p>
    <w:p w14:paraId="50F81DF4" w14:textId="77777777" w:rsidR="00663A37" w:rsidRPr="009374CF" w:rsidRDefault="00663A37" w:rsidP="00663A37">
      <w:pPr>
        <w:spacing w:after="0" w:line="360" w:lineRule="auto"/>
        <w:contextualSpacing/>
        <w:jc w:val="both"/>
        <w:rPr>
          <w:rFonts w:ascii="Palatino Linotype" w:eastAsia="Palatino Linotype" w:hAnsi="Palatino Linotype" w:cs="Palatino Linotype"/>
          <w:sz w:val="24"/>
          <w:szCs w:val="24"/>
        </w:rPr>
      </w:pPr>
    </w:p>
    <w:p w14:paraId="59A1F67A" w14:textId="53E7483B" w:rsidR="00663A37" w:rsidRPr="008F4B33" w:rsidRDefault="00663A37" w:rsidP="009A560F">
      <w:pPr>
        <w:spacing w:before="240" w:line="24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lastRenderedPageBreak/>
        <w:t>Razones o Motivos de Inconformidad</w:t>
      </w:r>
      <w:r w:rsidRPr="006377A9">
        <w:rPr>
          <w:rFonts w:ascii="Palatino Linotype" w:eastAsia="Palatino Linotype" w:hAnsi="Palatino Linotype" w:cs="Palatino Linotype"/>
          <w:sz w:val="24"/>
          <w:szCs w:val="24"/>
        </w:rPr>
        <w:t xml:space="preserve">: </w:t>
      </w:r>
      <w:r w:rsidRPr="008F4B33">
        <w:rPr>
          <w:rFonts w:ascii="Palatino Linotype" w:eastAsia="Palatino Linotype" w:hAnsi="Palatino Linotype" w:cs="Palatino Linotype"/>
          <w:i/>
        </w:rPr>
        <w:t>“</w:t>
      </w:r>
      <w:r w:rsidR="009374CF" w:rsidRPr="009374CF">
        <w:rPr>
          <w:rFonts w:ascii="Palatino Linotype" w:eastAsia="Palatino Linotype" w:hAnsi="Palatino Linotype" w:cs="Palatino Linotype"/>
          <w:i/>
        </w:rPr>
        <w:t>la negativa de entregar la información requerida</w:t>
      </w:r>
      <w:r w:rsidRPr="008F4B33">
        <w:rPr>
          <w:rFonts w:ascii="Palatino Linotype" w:eastAsia="Palatino Linotype" w:hAnsi="Palatino Linotype" w:cs="Palatino Linotype"/>
          <w:i/>
        </w:rPr>
        <w:t>” (Sic)</w:t>
      </w:r>
    </w:p>
    <w:p w14:paraId="11841314" w14:textId="77777777" w:rsidR="00663A37" w:rsidRPr="008F4B3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DC9D1E" w14:textId="48B31641" w:rsidR="00663A37" w:rsidRPr="005C6947"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2094C03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9374CF">
        <w:rPr>
          <w:rFonts w:ascii="Palatino Linotype" w:eastAsia="Palatino Linotype" w:hAnsi="Palatino Linotype" w:cs="Palatino Linotype"/>
          <w:color w:val="000000"/>
          <w:sz w:val="24"/>
          <w:szCs w:val="24"/>
        </w:rPr>
        <w:t>n en fecha veinticinco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75A76772" w14:textId="77777777" w:rsidR="009A560F" w:rsidRPr="006377A9"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32E7776B" w14:textId="77777777" w:rsidR="00CC2A20"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CA204C" w14:textId="34BDC875" w:rsidR="00620C8A"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SEXTO. Del </w:t>
      </w:r>
      <w:r w:rsidR="00620C8A">
        <w:rPr>
          <w:rFonts w:ascii="Palatino Linotype" w:eastAsia="Palatino Linotype" w:hAnsi="Palatino Linotype" w:cs="Palatino Linotype"/>
          <w:b/>
          <w:color w:val="000000"/>
          <w:sz w:val="26"/>
          <w:szCs w:val="26"/>
        </w:rPr>
        <w:t>desistimiento del Recurrente.</w:t>
      </w:r>
    </w:p>
    <w:p w14:paraId="6FC00E63" w14:textId="3B445DBB" w:rsidR="00620C8A"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treinta</w:t>
      </w:r>
      <w:r w:rsidR="009374CF">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 xml:space="preserve">, el Recurrente expresó su voluntad de desistimiento en el recurso de revisión al rubro especificado, manifestando </w:t>
      </w:r>
      <w:r w:rsidR="00DB36CA">
        <w:rPr>
          <w:rFonts w:ascii="Palatino Linotype" w:eastAsia="Palatino Linotype" w:hAnsi="Palatino Linotype" w:cs="Palatino Linotype"/>
          <w:color w:val="000000"/>
          <w:sz w:val="24"/>
          <w:szCs w:val="24"/>
        </w:rPr>
        <w:t>lo siguiente:</w:t>
      </w:r>
    </w:p>
    <w:p w14:paraId="6742B09D" w14:textId="4DD15912" w:rsidR="00DB36CA" w:rsidRDefault="00DB36C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352F36F" w14:textId="3CC9FAD7" w:rsidR="00DB36CA" w:rsidRPr="00DB36CA" w:rsidRDefault="00DB36CA" w:rsidP="00DB36C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DB36CA">
        <w:rPr>
          <w:rFonts w:ascii="Palatino Linotype" w:eastAsia="Palatino Linotype" w:hAnsi="Palatino Linotype" w:cs="Palatino Linotype"/>
          <w:i/>
          <w:color w:val="000000"/>
        </w:rPr>
        <w:t>“</w:t>
      </w:r>
      <w:r w:rsidR="009374CF" w:rsidRPr="009374CF">
        <w:rPr>
          <w:rFonts w:ascii="Palatino Linotype" w:eastAsia="Palatino Linotype" w:hAnsi="Palatino Linotype" w:cs="Palatino Linotype"/>
          <w:i/>
          <w:color w:val="000000"/>
        </w:rPr>
        <w:t>COMO YA LO HABÍA MANIFESTADO, ME DESISTO DE LOS RECURSOS DE REVISIÓN INTERPUESTOS POR ASÍ CONVENIR A MIS INTERESESE.</w:t>
      </w:r>
      <w:r w:rsidRPr="00DB36CA">
        <w:rPr>
          <w:rFonts w:ascii="Palatino Linotype" w:eastAsia="Palatino Linotype" w:hAnsi="Palatino Linotype" w:cs="Palatino Linotype"/>
          <w:i/>
          <w:color w:val="000000"/>
        </w:rPr>
        <w:t>”</w:t>
      </w:r>
      <w:r w:rsidR="00FA48CD">
        <w:rPr>
          <w:rFonts w:ascii="Palatino Linotype" w:eastAsia="Palatino Linotype" w:hAnsi="Palatino Linotype" w:cs="Palatino Linotype"/>
          <w:i/>
          <w:color w:val="000000"/>
        </w:rPr>
        <w:t xml:space="preserve"> (Sic)</w:t>
      </w:r>
    </w:p>
    <w:p w14:paraId="14923330" w14:textId="77777777" w:rsidR="00620C8A" w:rsidRPr="009374CF"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BA8CEF7" w14:textId="77777777" w:rsidR="009374CF" w:rsidRPr="009374CF"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618B0CD" w14:textId="77777777" w:rsidR="009374CF" w:rsidRPr="009374CF"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94B5FC6" w:rsidR="00663A37" w:rsidRPr="005C6947"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SÉPTIMO. Del </w:t>
      </w:r>
      <w:r w:rsidR="00663A37" w:rsidRPr="005C6947">
        <w:rPr>
          <w:rFonts w:ascii="Palatino Linotype" w:eastAsia="Palatino Linotype" w:hAnsi="Palatino Linotype" w:cs="Palatino Linotype"/>
          <w:b/>
          <w:color w:val="000000"/>
          <w:sz w:val="26"/>
          <w:szCs w:val="26"/>
        </w:rPr>
        <w:t>cierre de instrucción.</w:t>
      </w:r>
    </w:p>
    <w:p w14:paraId="783BD187" w14:textId="1A18998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w:t>
      </w:r>
      <w:r w:rsidR="00DB36CA">
        <w:rPr>
          <w:rFonts w:ascii="Palatino Linotype" w:eastAsia="Palatino Linotype" w:hAnsi="Palatino Linotype" w:cs="Palatino Linotype"/>
          <w:color w:val="000000"/>
          <w:sz w:val="24"/>
          <w:szCs w:val="24"/>
        </w:rPr>
        <w:t xml:space="preserve">instrucción en fecha </w:t>
      </w:r>
      <w:r w:rsidR="009374CF">
        <w:rPr>
          <w:rFonts w:ascii="Palatino Linotype" w:eastAsia="Palatino Linotype" w:hAnsi="Palatino Linotype" w:cs="Palatino Linotype"/>
          <w:color w:val="000000"/>
          <w:sz w:val="24"/>
          <w:szCs w:val="24"/>
        </w:rPr>
        <w:t>cuatro de febrero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C6343F" w14:textId="77777777" w:rsidR="009374CF"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6A03E8F9"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00094710">
        <w:rPr>
          <w:rFonts w:ascii="Palatino Linotype" w:eastAsia="Palatino Linotype" w:hAnsi="Palatino Linotype" w:cs="Palatino Linotype"/>
          <w:b/>
          <w:color w:val="000000"/>
          <w:sz w:val="26"/>
          <w:szCs w:val="26"/>
        </w:rPr>
        <w:t>Análisis de las causales de sobreseimiento.</w:t>
      </w:r>
    </w:p>
    <w:p w14:paraId="505292EF" w14:textId="60AB82C2" w:rsidR="00663A37"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Este Órgano Colegiado advierte que, en el presente caso, se actualiza la causal de sobreseimiento prevista en la fracción I del artículo 192 de la Ley de Transparencia y Acceso a la Información Pública del Estad</w:t>
      </w:r>
      <w:r w:rsidR="009374CF">
        <w:rPr>
          <w:rFonts w:ascii="Palatino Linotype" w:eastAsia="Palatino Linotype" w:hAnsi="Palatino Linotype" w:cs="Palatino Linotype"/>
          <w:color w:val="000000"/>
          <w:sz w:val="24"/>
          <w:szCs w:val="24"/>
        </w:rPr>
        <w:t>o de México y Municipios, la cual dispone</w:t>
      </w:r>
      <w:r w:rsidRPr="00094710">
        <w:rPr>
          <w:rFonts w:ascii="Palatino Linotype" w:eastAsia="Palatino Linotype" w:hAnsi="Palatino Linotype" w:cs="Palatino Linotype"/>
          <w:color w:val="000000"/>
          <w:sz w:val="24"/>
          <w:szCs w:val="24"/>
        </w:rPr>
        <w:t xml:space="preserve"> lo siguiente:</w:t>
      </w:r>
    </w:p>
    <w:p w14:paraId="097AB050" w14:textId="5A79C936"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37BE" w14:textId="01ED2506" w:rsidR="00094710" w:rsidRPr="00094710"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094710">
        <w:rPr>
          <w:rFonts w:ascii="Palatino Linotype" w:eastAsia="Palatino Linotype" w:hAnsi="Palatino Linotype" w:cs="Palatino Linotype"/>
          <w:b/>
          <w:i/>
          <w:color w:val="000000"/>
        </w:rPr>
        <w:t>Artículo 192.</w:t>
      </w:r>
      <w:r w:rsidRPr="00094710">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01B20F15" w14:textId="77777777" w:rsidR="00094710" w:rsidRPr="00094710"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F6A37D5" w14:textId="1A48E6E9" w:rsidR="00094710" w:rsidRPr="00094710" w:rsidRDefault="004C590D"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w:t>
      </w:r>
      <w:r w:rsidR="00094710" w:rsidRPr="00094710">
        <w:rPr>
          <w:rFonts w:ascii="Palatino Linotype" w:eastAsia="Palatino Linotype" w:hAnsi="Palatino Linotype" w:cs="Palatino Linotype"/>
          <w:i/>
          <w:color w:val="000000"/>
        </w:rPr>
        <w:t xml:space="preserve"> recurrente se desista expresamente del recurso;</w:t>
      </w:r>
    </w:p>
    <w:p w14:paraId="0D290D17" w14:textId="60D1828A" w:rsidR="00094710" w:rsidRPr="00094710" w:rsidRDefault="00094710"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rPr>
      </w:pPr>
      <w:r w:rsidRPr="00094710">
        <w:rPr>
          <w:rFonts w:ascii="Palatino Linotype" w:eastAsia="Palatino Linotype" w:hAnsi="Palatino Linotype" w:cs="Palatino Linotype"/>
          <w:i/>
          <w:color w:val="000000"/>
        </w:rPr>
        <w:t>(…)</w:t>
      </w:r>
    </w:p>
    <w:p w14:paraId="6C58431C" w14:textId="5DAF0CBD"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89F81" w14:textId="41185929" w:rsidR="00094710" w:rsidRPr="00094710" w:rsidRDefault="00094710" w:rsidP="000947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 xml:space="preserve">Para ilustrar lo anterior, en primer término, de manera preliminar en el caso en concreto conviene analizar si se actualiza alguna de las causales de sobreseimiento, </w:t>
      </w:r>
      <w:r w:rsidRPr="00094710">
        <w:rPr>
          <w:rFonts w:ascii="Palatino Linotype" w:eastAsia="Palatino Linotype" w:hAnsi="Palatino Linotype" w:cs="Palatino Linotype"/>
          <w:color w:val="000000"/>
          <w:sz w:val="24"/>
          <w:szCs w:val="24"/>
        </w:rPr>
        <w:lastRenderedPageBreak/>
        <w:t>motivo por el cual este Órgano Garante procede al estudio y análisis de las constancias que integran el recurso de revisión al rubro anotado.</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AED265" w14:textId="16861EA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4C590D">
        <w:rPr>
          <w:rFonts w:ascii="Palatino Linotype" w:eastAsia="Palatino Linotype" w:hAnsi="Palatino Linotype" w:cs="Palatino Linotype"/>
          <w:color w:val="000000"/>
          <w:sz w:val="24"/>
          <w:szCs w:val="24"/>
        </w:rPr>
        <w:t xml:space="preserve">que le informara de qué manera se puede subdividir </w:t>
      </w:r>
      <w:r w:rsidR="00A41276">
        <w:rPr>
          <w:rFonts w:ascii="Palatino Linotype" w:eastAsia="Palatino Linotype" w:hAnsi="Palatino Linotype" w:cs="Palatino Linotype"/>
          <w:color w:val="000000"/>
          <w:sz w:val="24"/>
          <w:szCs w:val="24"/>
        </w:rPr>
        <w:t>una cuenta predial, los documentos que se requiere presentar para iniciar la subdivisión de la cuenta predial; requisitos para subdividir una cuenta predial; del periodo comprendido de enero a noviembre de dos mil veintiuno, requirió el número total de subdivisiones realizada por la unidad administrativa responsable y los números de expedientes generados por dichas subdivisiones.</w:t>
      </w:r>
    </w:p>
    <w:p w14:paraId="5097E3CB" w14:textId="25548442"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F65EBF" w14:textId="5FEF589C" w:rsidR="00053D12" w:rsidRDefault="00663A37" w:rsidP="00A412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053D12">
        <w:rPr>
          <w:rFonts w:ascii="Palatino Linotype" w:eastAsia="Palatino Linotype" w:hAnsi="Palatino Linotype" w:cs="Palatino Linotype"/>
          <w:color w:val="000000"/>
          <w:sz w:val="24"/>
          <w:szCs w:val="24"/>
        </w:rPr>
        <w:t>l respecto, el Sujeto Ob</w:t>
      </w:r>
      <w:r w:rsidR="00CF4FD2">
        <w:rPr>
          <w:rFonts w:ascii="Palatino Linotype" w:eastAsia="Palatino Linotype" w:hAnsi="Palatino Linotype" w:cs="Palatino Linotype"/>
          <w:color w:val="000000"/>
          <w:sz w:val="24"/>
          <w:szCs w:val="24"/>
        </w:rPr>
        <w:t>ligado, en respuesta, manifestó que se remitía un documento escaneado, sin que se haya anexado documento alguno a la respuesta.</w:t>
      </w:r>
    </w:p>
    <w:p w14:paraId="36B16405" w14:textId="215C4D6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12610D" w14:textId="75491605" w:rsidR="00053D12" w:rsidRDefault="00CF4FD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respuesta</w:t>
      </w:r>
      <w:r w:rsidR="00557C8F">
        <w:rPr>
          <w:rFonts w:ascii="Palatino Linotype" w:eastAsia="Palatino Linotype" w:hAnsi="Palatino Linotype" w:cs="Palatino Linotype"/>
          <w:color w:val="000000"/>
          <w:sz w:val="24"/>
          <w:szCs w:val="24"/>
        </w:rPr>
        <w:t xml:space="preserve"> del S</w:t>
      </w:r>
      <w:r>
        <w:rPr>
          <w:rFonts w:ascii="Palatino Linotype" w:eastAsia="Palatino Linotype" w:hAnsi="Palatino Linotype" w:cs="Palatino Linotype"/>
          <w:color w:val="000000"/>
          <w:sz w:val="24"/>
          <w:szCs w:val="24"/>
        </w:rPr>
        <w:t>ujeto Obligado</w:t>
      </w:r>
      <w:r w:rsidR="00053D12">
        <w:rPr>
          <w:rFonts w:ascii="Palatino Linotype" w:eastAsia="Palatino Linotype" w:hAnsi="Palatino Linotype" w:cs="Palatino Linotype"/>
          <w:color w:val="000000"/>
          <w:sz w:val="24"/>
          <w:szCs w:val="24"/>
        </w:rPr>
        <w:t>, el hoy Recurrente interpuso su medio de impugnación señalando, sustancialmente, como acto impug</w:t>
      </w:r>
      <w:r>
        <w:rPr>
          <w:rFonts w:ascii="Palatino Linotype" w:eastAsia="Palatino Linotype" w:hAnsi="Palatino Linotype" w:cs="Palatino Linotype"/>
          <w:color w:val="000000"/>
          <w:sz w:val="24"/>
          <w:szCs w:val="24"/>
        </w:rPr>
        <w:t>nado y razones de inconformidad, la negativa a entregar la información requerida.</w:t>
      </w:r>
    </w:p>
    <w:p w14:paraId="127AF576" w14:textId="5E787381"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DC5338" w14:textId="770CB208" w:rsidR="00053D12" w:rsidRDefault="00053D12" w:rsidP="00EB0AFA">
      <w:pPr>
        <w:pStyle w:val="Sinespaciado"/>
        <w:spacing w:line="360" w:lineRule="auto"/>
        <w:jc w:val="both"/>
        <w:rPr>
          <w:rFonts w:ascii="Palatino Linotype" w:hAnsi="Palatino Linotype"/>
        </w:rPr>
      </w:pPr>
      <w:r>
        <w:rPr>
          <w:rFonts w:ascii="Palatino Linotype" w:hAnsi="Palatino Linotype"/>
        </w:rPr>
        <w:t xml:space="preserve">Durante la etapa de instrucción, se tiene </w:t>
      </w:r>
      <w:r w:rsidR="00CF4FD2" w:rsidRPr="00E6674B">
        <w:rPr>
          <w:rFonts w:ascii="Palatino Linotype" w:eastAsiaTheme="minorHAnsi" w:hAnsi="Palatino Linotype" w:cstheme="minorBidi"/>
          <w:lang w:eastAsia="en-US"/>
        </w:rPr>
        <w:t xml:space="preserve">que el Recurrente no realizó manifestaciones, vertió alegatos o presentó pruebas que a su derecho convinieran; del mismo modo, el Sujeto Obligado omitió rendir su Informe Justificado. En consecuencia, es necesario precisar que, toda vez que el Sujeto Obligado fue omiso de enviar el Informe Justificado en el término establecido por este Órgano Garante para manifestar lo que a derecho le </w:t>
      </w:r>
      <w:r w:rsidR="00CF4FD2" w:rsidRPr="00E6674B">
        <w:rPr>
          <w:rFonts w:ascii="Palatino Linotype" w:eastAsiaTheme="minorHAnsi" w:hAnsi="Palatino Linotype" w:cstheme="minorBidi"/>
          <w:lang w:eastAsia="en-US"/>
        </w:rPr>
        <w:lastRenderedPageBreak/>
        <w:t>asistiera y conviniera, dejó de justificar las razo</w:t>
      </w:r>
      <w:r w:rsidR="00CF4FD2">
        <w:rPr>
          <w:rFonts w:ascii="Palatino Linotype" w:eastAsiaTheme="minorHAnsi" w:hAnsi="Palatino Linotype" w:cstheme="minorBidi"/>
          <w:lang w:eastAsia="en-US"/>
        </w:rPr>
        <w:t xml:space="preserve">nes o motivos que lo llevaron a </w:t>
      </w:r>
      <w:r w:rsidR="00CF4FD2" w:rsidRPr="00E6674B">
        <w:rPr>
          <w:rFonts w:ascii="Palatino Linotype" w:eastAsiaTheme="minorHAnsi" w:hAnsi="Palatino Linotype" w:cstheme="minorBidi"/>
          <w:lang w:eastAsia="en-US"/>
        </w:rPr>
        <w:t xml:space="preserve">emitir </w:t>
      </w:r>
      <w:r w:rsidR="00CF4FD2">
        <w:rPr>
          <w:rFonts w:ascii="Palatino Linotype" w:eastAsiaTheme="minorHAnsi" w:hAnsi="Palatino Linotype" w:cstheme="minorBidi"/>
          <w:lang w:eastAsia="en-US"/>
        </w:rPr>
        <w:t>la respuesta. No obstante, l</w:t>
      </w:r>
      <w:r w:rsidR="00CF4FD2" w:rsidRPr="00E6674B">
        <w:rPr>
          <w:rFonts w:ascii="Palatino Linotype" w:eastAsiaTheme="minorHAnsi" w:hAnsi="Palatino Linotype" w:cstheme="minorBidi"/>
          <w:lang w:eastAsia="en-US"/>
        </w:rPr>
        <w:t xml:space="preserve">a falta de informe justificado no impide que este Órgano Garante conozca y resuelva </w:t>
      </w:r>
      <w:r w:rsidR="00CF4FD2">
        <w:rPr>
          <w:rFonts w:ascii="Palatino Linotype" w:eastAsiaTheme="minorHAnsi" w:hAnsi="Palatino Linotype" w:cstheme="minorBidi"/>
          <w:lang w:eastAsia="en-US"/>
        </w:rPr>
        <w:t>el presente medio de impugnación.</w:t>
      </w:r>
    </w:p>
    <w:p w14:paraId="7621AA3C" w14:textId="77777777" w:rsidR="00053D12" w:rsidRDefault="00053D12" w:rsidP="00EB0AFA">
      <w:pPr>
        <w:pStyle w:val="Sinespaciado"/>
        <w:spacing w:line="360" w:lineRule="auto"/>
        <w:jc w:val="both"/>
        <w:rPr>
          <w:rFonts w:ascii="Palatino Linotype" w:hAnsi="Palatino Linotype"/>
        </w:rPr>
      </w:pPr>
    </w:p>
    <w:p w14:paraId="660B5BC6" w14:textId="2C360409" w:rsidR="00053D12" w:rsidRDefault="00FA48CD" w:rsidP="00EB0AFA">
      <w:pPr>
        <w:pStyle w:val="Sinespaciado"/>
        <w:spacing w:line="360" w:lineRule="auto"/>
        <w:jc w:val="both"/>
        <w:rPr>
          <w:rFonts w:ascii="Palatino Linotype" w:hAnsi="Palatino Linotype"/>
        </w:rPr>
      </w:pPr>
      <w:r>
        <w:rPr>
          <w:rFonts w:ascii="Palatino Linotype" w:hAnsi="Palatino Linotype"/>
        </w:rPr>
        <w:t>Ahora bien, se tiene que el día treinta</w:t>
      </w:r>
      <w:r w:rsidR="006E6519">
        <w:rPr>
          <w:rFonts w:ascii="Palatino Linotype" w:hAnsi="Palatino Linotype"/>
        </w:rPr>
        <w:t xml:space="preserve"> de enero de dos mil veintidós</w:t>
      </w:r>
      <w:r>
        <w:rPr>
          <w:rFonts w:ascii="Palatino Linotype" w:hAnsi="Palatino Linotype"/>
        </w:rPr>
        <w:t xml:space="preserve">, en el expediente del recurso de revisión materia de esta resolución, el Recurrente manifestó expresamente su voluntad de desistirse de su medio de impugnación, </w:t>
      </w:r>
      <w:r w:rsidR="00557C8F">
        <w:rPr>
          <w:rFonts w:ascii="Palatino Linotype" w:hAnsi="Palatino Linotype"/>
        </w:rPr>
        <w:t>señalando</w:t>
      </w:r>
      <w:r w:rsidR="006E6519">
        <w:rPr>
          <w:rFonts w:ascii="Palatino Linotype" w:hAnsi="Palatino Linotype"/>
        </w:rPr>
        <w:t xml:space="preserve"> que se desistía de los recursos de revisión interpuestos por así convenir a sus intereses</w:t>
      </w:r>
      <w:r>
        <w:rPr>
          <w:rFonts w:ascii="Palatino Linotype" w:hAnsi="Palatino Linotype"/>
        </w:rPr>
        <w:t>. Dicho desistimient</w:t>
      </w:r>
      <w:r w:rsidR="006E6519">
        <w:rPr>
          <w:rFonts w:ascii="Palatino Linotype" w:hAnsi="Palatino Linotype"/>
        </w:rPr>
        <w:t>o quedó registrado en el SAIMEX</w:t>
      </w:r>
      <w:r>
        <w:rPr>
          <w:rFonts w:ascii="Palatino Linotype" w:hAnsi="Palatino Linotype"/>
        </w:rPr>
        <w:t xml:space="preserve"> como se observa a continuación: </w:t>
      </w:r>
    </w:p>
    <w:p w14:paraId="7801AE32" w14:textId="76D613D0" w:rsidR="00FA48CD" w:rsidRDefault="00FA48CD" w:rsidP="00EB0AFA">
      <w:pPr>
        <w:pStyle w:val="Sinespaciado"/>
        <w:spacing w:line="360" w:lineRule="auto"/>
        <w:jc w:val="both"/>
        <w:rPr>
          <w:rFonts w:ascii="Palatino Linotype" w:hAnsi="Palatino Linotype"/>
        </w:rPr>
      </w:pPr>
    </w:p>
    <w:p w14:paraId="0DC2FCBD" w14:textId="73053E2C" w:rsidR="00FA48CD" w:rsidRDefault="006E6519" w:rsidP="00FA48CD">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72576" behindDoc="0" locked="0" layoutInCell="1" allowOverlap="1" wp14:anchorId="54EA88D6" wp14:editId="151EA738">
                <wp:simplePos x="0" y="0"/>
                <wp:positionH relativeFrom="column">
                  <wp:posOffset>272415</wp:posOffset>
                </wp:positionH>
                <wp:positionV relativeFrom="paragraph">
                  <wp:posOffset>2077720</wp:posOffset>
                </wp:positionV>
                <wp:extent cx="5257800" cy="2667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5257800"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50E22" id="Rectángulo 11" o:spid="_x0000_s1026" style="position:absolute;margin-left:21.45pt;margin-top:163.6pt;width:414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" filled="f" strokecolor="red" strokeweight="2.25pt"/>
            </w:pict>
          </mc:Fallback>
        </mc:AlternateContent>
      </w:r>
      <w:r>
        <w:rPr>
          <w:noProof/>
          <w:lang w:eastAsia="es-MX"/>
        </w:rPr>
        <w:drawing>
          <wp:inline distT="0" distB="0" distL="0" distR="0" wp14:anchorId="7F168265" wp14:editId="2B2F13D9">
            <wp:extent cx="5391928"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85" t="25434" r="33560" b="45917"/>
                    <a:stretch/>
                  </pic:blipFill>
                  <pic:spPr bwMode="auto">
                    <a:xfrm>
                      <a:off x="0" y="0"/>
                      <a:ext cx="5422032" cy="2643577"/>
                    </a:xfrm>
                    <a:prstGeom prst="rect">
                      <a:avLst/>
                    </a:prstGeom>
                    <a:ln>
                      <a:noFill/>
                    </a:ln>
                    <a:extLst>
                      <a:ext uri="{53640926-AAD7-44D8-BBD7-CCE9431645EC}">
                        <a14:shadowObscured xmlns:a14="http://schemas.microsoft.com/office/drawing/2010/main"/>
                      </a:ext>
                    </a:extLst>
                  </pic:spPr>
                </pic:pic>
              </a:graphicData>
            </a:graphic>
          </wp:inline>
        </w:drawing>
      </w:r>
    </w:p>
    <w:p w14:paraId="038282EA" w14:textId="12F768D8" w:rsidR="00FA48CD" w:rsidRDefault="00FA48CD" w:rsidP="007C6D94">
      <w:pPr>
        <w:pStyle w:val="Sinespaciado"/>
        <w:spacing w:line="360" w:lineRule="auto"/>
        <w:jc w:val="both"/>
        <w:rPr>
          <w:rFonts w:ascii="Palatino Linotype" w:hAnsi="Palatino Linotype"/>
        </w:rPr>
      </w:pPr>
    </w:p>
    <w:p w14:paraId="2C6C106E" w14:textId="724116E2" w:rsidR="007C6D94" w:rsidRPr="006405B7" w:rsidRDefault="007C6D94" w:rsidP="006405B7">
      <w:pPr>
        <w:pStyle w:val="Sinespaciado"/>
        <w:spacing w:line="360" w:lineRule="auto"/>
        <w:jc w:val="both"/>
        <w:rPr>
          <w:rFonts w:ascii="Palatino Linotype" w:hAnsi="Palatino Linotype"/>
        </w:rPr>
      </w:pPr>
      <w:r w:rsidRPr="007C6D94">
        <w:rPr>
          <w:rFonts w:ascii="Palatino Linotype" w:hAnsi="Palatino Linotype"/>
        </w:rPr>
        <w:t xml:space="preserve">Cabe agregar que el desistimiento sólo puede ser activado por la parte recurrente mediante el acceso al sistema con su respectiva clave de usuario y contraseña, de ahí que se tenga la seguridad que fue el Recurrente la misma persona que expresó su </w:t>
      </w:r>
      <w:r w:rsidRPr="007C6D94">
        <w:rPr>
          <w:rFonts w:ascii="Palatino Linotype" w:hAnsi="Palatino Linotype"/>
        </w:rPr>
        <w:lastRenderedPageBreak/>
        <w:t>voluntad de renunciar al ejercicio de su derecho de recurrir la respuesta otorgada por el Sujeto Obligado, razón por la cual se actualiza la causal de sobreseimiento prevista en la fracción I del artículo, 192 de la Ley de Transparencia y Acceso a la Información Pública del Estado de México y Municipios, argumento que encuentra apoyo en la tesis aislada 1a. III/2013 (10a.), Décima Época, sustentada por la Primera Sala de la Suprema Corte de Justicia de la Nación, visible en la página 629, Tomo 1, Libro XVI, del Semanario Judicial de la Federación, del mes de enero de 2013</w:t>
      </w:r>
      <w:r>
        <w:rPr>
          <w:rFonts w:ascii="Palatino Linotype" w:hAnsi="Palatino Linotype"/>
        </w:rPr>
        <w:t>, cuyo rubro y texto dispone lo siguiente:</w:t>
      </w:r>
    </w:p>
    <w:p w14:paraId="3C35CF1C" w14:textId="77777777" w:rsidR="007C6D94" w:rsidRPr="007C6D94" w:rsidRDefault="007C6D94" w:rsidP="007C6D94">
      <w:pPr>
        <w:pStyle w:val="Sinespaciado"/>
        <w:ind w:left="567" w:right="616"/>
        <w:jc w:val="both"/>
        <w:rPr>
          <w:rFonts w:ascii="Palatino Linotype" w:hAnsi="Palatino Linotype"/>
          <w:sz w:val="22"/>
          <w:szCs w:val="22"/>
        </w:rPr>
      </w:pPr>
    </w:p>
    <w:p w14:paraId="4A68CDB8" w14:textId="0DB5C876"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b/>
          <w:i/>
          <w:sz w:val="22"/>
          <w:szCs w:val="22"/>
        </w:rPr>
        <w:t>DESISTIMIENTO EN EL JUICIO DE AMPARO Y EN EL RECURSO DE REVISIÓN. SUS EFECTOS</w:t>
      </w:r>
      <w:r w:rsidRPr="007C6D94">
        <w:rPr>
          <w:rFonts w:ascii="Palatino Linotype" w:hAnsi="Palatino Linotype"/>
          <w:i/>
          <w:sz w:val="22"/>
          <w:szCs w:val="22"/>
        </w:rPr>
        <w:t>.</w:t>
      </w:r>
    </w:p>
    <w:p w14:paraId="31A8D5B9" w14:textId="77777777"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520B3D24" w14:textId="58CFAE2F" w:rsidR="00FA48CD" w:rsidRDefault="00FA48CD" w:rsidP="00EB0AFA">
      <w:pPr>
        <w:pStyle w:val="Sinespaciado"/>
        <w:spacing w:line="360" w:lineRule="auto"/>
        <w:jc w:val="both"/>
        <w:rPr>
          <w:rFonts w:ascii="Palatino Linotype" w:hAnsi="Palatino Linotype"/>
        </w:rPr>
      </w:pPr>
    </w:p>
    <w:p w14:paraId="02136DF1" w14:textId="77777777" w:rsidR="007C6D94" w:rsidRDefault="007C6D94" w:rsidP="00EB0AFA">
      <w:pPr>
        <w:pStyle w:val="Sinespaciado"/>
        <w:spacing w:line="360" w:lineRule="auto"/>
        <w:jc w:val="both"/>
        <w:rPr>
          <w:rFonts w:ascii="Palatino Linotype" w:hAnsi="Palatino Linotype"/>
        </w:rPr>
      </w:pPr>
      <w:r w:rsidRPr="007C6D94">
        <w:rPr>
          <w:rFonts w:ascii="Palatino Linotype" w:hAnsi="Palatino Linotype"/>
        </w:rPr>
        <w:t xml:space="preserve">De esta manera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w:t>
      </w:r>
      <w:r w:rsidRPr="007C6D94">
        <w:rPr>
          <w:rFonts w:ascii="Palatino Linotype" w:hAnsi="Palatino Linotype"/>
        </w:rPr>
        <w:lastRenderedPageBreak/>
        <w:t>de revisión, lo anteri</w:t>
      </w:r>
      <w:r>
        <w:rPr>
          <w:rFonts w:ascii="Palatino Linotype" w:hAnsi="Palatino Linotype"/>
        </w:rPr>
        <w:t>or con apoyo en la jurisprudencia con número de registro digital 220705, en la que se dispone lo siguiente:</w:t>
      </w:r>
    </w:p>
    <w:p w14:paraId="6870AC39" w14:textId="7BC3BB6E" w:rsidR="00053D12" w:rsidRDefault="00053D12" w:rsidP="00EB0AFA">
      <w:pPr>
        <w:pStyle w:val="Sinespaciado"/>
        <w:spacing w:line="360" w:lineRule="auto"/>
        <w:jc w:val="both"/>
        <w:rPr>
          <w:rFonts w:ascii="Palatino Linotype" w:hAnsi="Palatino Linotype"/>
        </w:rPr>
      </w:pPr>
    </w:p>
    <w:p w14:paraId="1EF47818" w14:textId="50F100D0" w:rsidR="007C6D94" w:rsidRDefault="007C6D94" w:rsidP="007C6D94">
      <w:pPr>
        <w:pStyle w:val="Sinespaciado"/>
        <w:ind w:left="567" w:right="616"/>
        <w:jc w:val="both"/>
        <w:rPr>
          <w:rFonts w:ascii="Palatino Linotype" w:hAnsi="Palatino Linotype"/>
          <w:b/>
          <w:i/>
          <w:sz w:val="22"/>
          <w:szCs w:val="22"/>
        </w:rPr>
      </w:pPr>
      <w:r>
        <w:rPr>
          <w:rFonts w:ascii="Palatino Linotype" w:hAnsi="Palatino Linotype"/>
          <w:b/>
          <w:i/>
          <w:sz w:val="22"/>
          <w:szCs w:val="22"/>
        </w:rPr>
        <w:t>SOBRESEIMIENTO. IMPIDE EL ESTUDIO DE LAS CUESTIONES DE FONDO.</w:t>
      </w:r>
    </w:p>
    <w:p w14:paraId="48B9131D" w14:textId="2EB8064A" w:rsidR="007C6D94" w:rsidRPr="007C6D94" w:rsidRDefault="007C6D94" w:rsidP="007C6D94">
      <w:pPr>
        <w:pStyle w:val="Sinespaciado"/>
        <w:ind w:left="567" w:right="616"/>
        <w:jc w:val="both"/>
        <w:rPr>
          <w:rFonts w:ascii="Palatino Linotype" w:hAnsi="Palatino Linotype"/>
          <w:i/>
          <w:sz w:val="22"/>
          <w:szCs w:val="22"/>
        </w:rPr>
      </w:pPr>
      <w:r>
        <w:rPr>
          <w:rFonts w:ascii="Palatino Linotype" w:hAnsi="Palatino Linotype"/>
          <w:i/>
          <w:sz w:val="22"/>
          <w:szCs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reclamando, ya que tal cuestión constituye el problema de fondo planteado.</w:t>
      </w:r>
    </w:p>
    <w:p w14:paraId="2575E7AD" w14:textId="69C1B222" w:rsidR="007C6D94" w:rsidRDefault="007C6D94" w:rsidP="00EB0AFA">
      <w:pPr>
        <w:pStyle w:val="Sinespaciado"/>
        <w:spacing w:line="360" w:lineRule="auto"/>
        <w:jc w:val="both"/>
        <w:rPr>
          <w:rFonts w:ascii="Palatino Linotype" w:hAnsi="Palatino Linotype"/>
        </w:rPr>
      </w:pPr>
    </w:p>
    <w:p w14:paraId="46DBC327" w14:textId="2B9D52E4" w:rsidR="007C6D94" w:rsidRDefault="005B68C2" w:rsidP="00EB0AFA">
      <w:pPr>
        <w:pStyle w:val="Sinespaciado"/>
        <w:spacing w:line="360" w:lineRule="auto"/>
        <w:jc w:val="both"/>
        <w:rPr>
          <w:rFonts w:ascii="Palatino Linotype" w:hAnsi="Palatino Linotype"/>
        </w:rPr>
      </w:pPr>
      <w:r>
        <w:rPr>
          <w:rFonts w:ascii="Palatino Linotype" w:hAnsi="Palatino Linotype"/>
        </w:rPr>
        <w:t>Así, toda vez que ha quedado establecido que el Recurrente se desistió expresamente en su recurso de revisión, es procedente el sobreseimiento del mismo.</w:t>
      </w:r>
    </w:p>
    <w:p w14:paraId="4D81C719" w14:textId="50E70A7F" w:rsidR="005B68C2" w:rsidRDefault="005B68C2" w:rsidP="00EB0AFA">
      <w:pPr>
        <w:pStyle w:val="Sinespaciado"/>
        <w:spacing w:line="360" w:lineRule="auto"/>
        <w:jc w:val="both"/>
        <w:rPr>
          <w:rFonts w:ascii="Palatino Linotype" w:hAnsi="Palatino Linotype"/>
        </w:rPr>
      </w:pPr>
    </w:p>
    <w:p w14:paraId="4A8A81F4" w14:textId="4315B5E2" w:rsidR="005B68C2" w:rsidRDefault="005B68C2" w:rsidP="00EB0AFA">
      <w:pPr>
        <w:pStyle w:val="Sinespaciado"/>
        <w:spacing w:line="360" w:lineRule="auto"/>
        <w:jc w:val="both"/>
        <w:rPr>
          <w:rFonts w:ascii="Palatino Linotype" w:hAnsi="Palatino Linotype"/>
        </w:rPr>
      </w:pPr>
      <w:r w:rsidRPr="005B68C2">
        <w:rPr>
          <w:rFonts w:ascii="Palatino Linotype" w:hAnsi="Palatino Linotype"/>
        </w:rPr>
        <w:t>Así,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6C422A18" w14:textId="386FAFEA" w:rsidR="005B68C2" w:rsidRDefault="005B68C2" w:rsidP="00EB0AFA">
      <w:pPr>
        <w:pStyle w:val="Sinespaciado"/>
        <w:spacing w:line="360" w:lineRule="auto"/>
        <w:jc w:val="both"/>
        <w:rPr>
          <w:rFonts w:ascii="Palatino Linotype" w:hAnsi="Palatino Linotype"/>
        </w:rPr>
      </w:pPr>
    </w:p>
    <w:p w14:paraId="390F9F80" w14:textId="6297B75E"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R E S U E L V E</w:t>
      </w:r>
    </w:p>
    <w:p w14:paraId="2766C186"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C1B0B38" w14:textId="2AF4A959"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color w:val="000000"/>
          <w:sz w:val="24"/>
          <w:szCs w:val="24"/>
        </w:rPr>
        <w:t xml:space="preserve">Se </w:t>
      </w:r>
      <w:r w:rsidR="005B68C2" w:rsidRPr="005B68C2">
        <w:rPr>
          <w:rFonts w:ascii="Palatino Linotype" w:eastAsia="Palatino Linotype" w:hAnsi="Palatino Linotype" w:cs="Palatino Linotype"/>
          <w:b/>
          <w:color w:val="000000"/>
          <w:sz w:val="24"/>
          <w:szCs w:val="24"/>
        </w:rPr>
        <w:t xml:space="preserve">SOBRESEE </w:t>
      </w:r>
      <w:r w:rsidR="005B68C2" w:rsidRPr="005B68C2">
        <w:rPr>
          <w:rFonts w:ascii="Palatino Linotype" w:eastAsia="Palatino Linotype" w:hAnsi="Palatino Linotype" w:cs="Palatino Linotype"/>
          <w:color w:val="000000"/>
          <w:sz w:val="24"/>
          <w:szCs w:val="24"/>
        </w:rPr>
        <w:t xml:space="preserve">el recurso de revisión </w:t>
      </w:r>
      <w:r w:rsidR="005B68C2" w:rsidRPr="005B68C2">
        <w:rPr>
          <w:rFonts w:ascii="Palatino Linotype" w:eastAsia="Palatino Linotype" w:hAnsi="Palatino Linotype" w:cs="Palatino Linotype"/>
          <w:b/>
          <w:color w:val="000000"/>
          <w:sz w:val="24"/>
          <w:szCs w:val="24"/>
        </w:rPr>
        <w:t>0</w:t>
      </w:r>
      <w:r w:rsidR="006405B7">
        <w:rPr>
          <w:rFonts w:ascii="Palatino Linotype" w:eastAsia="Palatino Linotype" w:hAnsi="Palatino Linotype" w:cs="Palatino Linotype"/>
          <w:b/>
          <w:color w:val="000000"/>
          <w:sz w:val="24"/>
          <w:szCs w:val="24"/>
        </w:rPr>
        <w:t>0220/INFOEM/IP/RR/2022</w:t>
      </w:r>
      <w:r w:rsidR="005B68C2" w:rsidRPr="005B68C2">
        <w:rPr>
          <w:rFonts w:ascii="Palatino Linotype" w:eastAsia="Palatino Linotype" w:hAnsi="Palatino Linotype" w:cs="Palatino Linotype"/>
          <w:b/>
          <w:color w:val="000000"/>
          <w:sz w:val="24"/>
          <w:szCs w:val="24"/>
        </w:rPr>
        <w:t xml:space="preserve">, </w:t>
      </w:r>
      <w:r w:rsidR="005B68C2" w:rsidRPr="005B68C2">
        <w:rPr>
          <w:rFonts w:ascii="Palatino Linotype" w:eastAsia="Palatino Linotype" w:hAnsi="Palatino Linotype" w:cs="Palatino Linotype"/>
          <w:color w:val="000000"/>
          <w:sz w:val="24"/>
          <w:szCs w:val="24"/>
        </w:rPr>
        <w:t>por haberse desistido expresamente e</w:t>
      </w:r>
      <w:r w:rsidR="005B68C2">
        <w:rPr>
          <w:rFonts w:ascii="Palatino Linotype" w:eastAsia="Palatino Linotype" w:hAnsi="Palatino Linotype" w:cs="Palatino Linotype"/>
          <w:color w:val="000000"/>
          <w:sz w:val="24"/>
          <w:szCs w:val="24"/>
        </w:rPr>
        <w:t>l R</w:t>
      </w:r>
      <w:r w:rsidR="005B68C2" w:rsidRPr="005B68C2">
        <w:rPr>
          <w:rFonts w:ascii="Palatino Linotype" w:eastAsia="Palatino Linotype" w:hAnsi="Palatino Linotype" w:cs="Palatino Linotype"/>
          <w:color w:val="000000"/>
          <w:sz w:val="24"/>
          <w:szCs w:val="24"/>
        </w:rPr>
        <w:t xml:space="preserve">ecurrente, en términos del </w:t>
      </w:r>
      <w:r w:rsidR="005B68C2" w:rsidRPr="005B68C2">
        <w:rPr>
          <w:rFonts w:ascii="Palatino Linotype" w:eastAsia="Palatino Linotype" w:hAnsi="Palatino Linotype" w:cs="Palatino Linotype"/>
          <w:b/>
          <w:color w:val="000000"/>
          <w:sz w:val="24"/>
          <w:szCs w:val="24"/>
        </w:rPr>
        <w:t>Considerando</w:t>
      </w:r>
      <w:r w:rsidR="005B68C2" w:rsidRPr="005B68C2">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 xml:space="preserve">TERCERO </w:t>
      </w:r>
      <w:r w:rsidR="005B68C2">
        <w:rPr>
          <w:rFonts w:ascii="Palatino Linotype" w:eastAsia="Palatino Linotype" w:hAnsi="Palatino Linotype" w:cs="Palatino Linotype"/>
          <w:color w:val="000000"/>
          <w:sz w:val="24"/>
          <w:szCs w:val="24"/>
        </w:rPr>
        <w:t>de la presente resolución.</w:t>
      </w:r>
    </w:p>
    <w:p w14:paraId="248A3F82"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CB6ECA" w14:textId="77777777" w:rsidR="005B68C2" w:rsidRPr="005B68C2" w:rsidRDefault="002B5F48" w:rsidP="005B68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lastRenderedPageBreak/>
        <w:t>SEGUNDO.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Notifíquese</w:t>
      </w:r>
      <w:r w:rsidR="005B68C2" w:rsidRPr="005B68C2">
        <w:rPr>
          <w:rFonts w:ascii="Palatino Linotype" w:eastAsia="Palatino Linotype" w:hAnsi="Palatino Linotype" w:cs="Palatino Linotype"/>
          <w:color w:val="000000"/>
          <w:sz w:val="24"/>
          <w:szCs w:val="24"/>
        </w:rPr>
        <w:t xml:space="preserve"> la presente resolución al Titular de la Unidad de Transparencia del Sujeto Obligado mediante el Sistema de Acceso a la Información Mexiquense (SAIMEX).</w:t>
      </w:r>
    </w:p>
    <w:p w14:paraId="66B321BC" w14:textId="363971B1"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13ACDF4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color w:val="000000"/>
          <w:sz w:val="24"/>
          <w:szCs w:val="24"/>
        </w:rPr>
        <w:t xml:space="preserve"> </w:t>
      </w:r>
      <w:r w:rsidR="00A51EAB" w:rsidRPr="00A51EAB">
        <w:rPr>
          <w:rFonts w:ascii="Palatino Linotype" w:eastAsia="Palatino Linotype" w:hAnsi="Palatino Linotype" w:cs="Palatino Linotype"/>
          <w:color w:val="000000"/>
          <w:sz w:val="24"/>
          <w:szCs w:val="24"/>
        </w:rPr>
        <w:t xml:space="preserve">la presente resolución al Recurrente mediante el Sistema de Acceso a la Información </w:t>
      </w:r>
      <w:r w:rsidR="00A51EAB">
        <w:rPr>
          <w:rFonts w:ascii="Palatino Linotype" w:eastAsia="Palatino Linotype" w:hAnsi="Palatino Linotype" w:cs="Palatino Linotype"/>
          <w:color w:val="000000"/>
          <w:sz w:val="24"/>
          <w:szCs w:val="24"/>
        </w:rPr>
        <w:t>Mexiquense (SAIMEX) y hágase de su</w:t>
      </w:r>
      <w:r w:rsidR="00A51EAB" w:rsidRPr="00A51EAB">
        <w:rPr>
          <w:rFonts w:ascii="Palatino Linotype" w:eastAsia="Palatino Linotype" w:hAnsi="Palatino Linotype" w:cs="Palatino Linotype"/>
          <w:color w:val="000000"/>
          <w:sz w:val="24"/>
          <w:szCs w:val="24"/>
        </w:rPr>
        <w:t xml:space="preserve">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53918E56"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C58E4">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w:t>
      </w:r>
      <w:r w:rsidR="005C58E4">
        <w:rPr>
          <w:rFonts w:ascii="Palatino Linotype" w:eastAsia="Palatino Linotype" w:hAnsi="Palatino Linotype" w:cs="Palatino Linotype"/>
          <w:color w:val="000000"/>
          <w:sz w:val="24"/>
          <w:szCs w:val="24"/>
        </w:rPr>
        <w:t>PEÑA, EN LA SÉPTIMA</w:t>
      </w:r>
      <w:r>
        <w:rPr>
          <w:rFonts w:ascii="Palatino Linotype" w:eastAsia="Palatino Linotype" w:hAnsi="Palatino Linotype" w:cs="Palatino Linotype"/>
          <w:color w:val="000000"/>
          <w:sz w:val="24"/>
          <w:szCs w:val="24"/>
        </w:rPr>
        <w:t xml:space="preserve"> SESIÓN ORDINARIA CELEBRADA EL </w:t>
      </w:r>
      <w:r w:rsidR="005C58E4">
        <w:rPr>
          <w:rFonts w:ascii="Palatino Linotype" w:eastAsia="Palatino Linotype" w:hAnsi="Palatino Linotype" w:cs="Palatino Linotype"/>
          <w:color w:val="000000"/>
          <w:sz w:val="24"/>
          <w:szCs w:val="24"/>
        </w:rPr>
        <w:t>VEINTITRÉS DE FEBRERO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D437A7">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FFE1" w14:textId="77777777" w:rsidR="00C530B3" w:rsidRDefault="00C530B3" w:rsidP="00F2498E">
      <w:pPr>
        <w:spacing w:after="0" w:line="240" w:lineRule="auto"/>
      </w:pPr>
      <w:r>
        <w:separator/>
      </w:r>
    </w:p>
  </w:endnote>
  <w:endnote w:type="continuationSeparator" w:id="0">
    <w:p w14:paraId="13DDD6F8" w14:textId="77777777" w:rsidR="00C530B3" w:rsidRDefault="00C530B3"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EBB855D"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0B6C">
      <w:rPr>
        <w:rFonts w:ascii="Palatino Linotype" w:hAnsi="Palatino Linotype"/>
        <w:b/>
        <w:bCs/>
        <w:noProof/>
        <w:sz w:val="20"/>
      </w:rPr>
      <w:t>11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0B6C">
      <w:rPr>
        <w:rFonts w:ascii="Palatino Linotype" w:hAnsi="Palatino Linotype"/>
        <w:b/>
        <w:bCs/>
        <w:noProof/>
        <w:sz w:val="20"/>
      </w:rPr>
      <w:t>11</w:t>
    </w:r>
    <w:r w:rsidRPr="00713DD5">
      <w:rPr>
        <w:rFonts w:ascii="Palatino Linotype" w:hAnsi="Palatino Linotype"/>
        <w:b/>
        <w:bCs/>
        <w:sz w:val="20"/>
      </w:rPr>
      <w:fldChar w:fldCharType="end"/>
    </w:r>
  </w:p>
  <w:p w14:paraId="0DA4C4E6" w14:textId="77777777" w:rsidR="00FA48CD" w:rsidRPr="000B69FA" w:rsidRDefault="00FA48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1AE5A6C4"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0B6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0B6C">
      <w:rPr>
        <w:rFonts w:ascii="Palatino Linotype" w:hAnsi="Palatino Linotype"/>
        <w:b/>
        <w:bCs/>
        <w:noProof/>
        <w:sz w:val="20"/>
      </w:rPr>
      <w:t>11</w:t>
    </w:r>
    <w:r w:rsidRPr="00713DD5">
      <w:rPr>
        <w:rFonts w:ascii="Palatino Linotype" w:hAnsi="Palatino Linotype"/>
        <w:b/>
        <w:bCs/>
        <w:sz w:val="20"/>
      </w:rPr>
      <w:fldChar w:fldCharType="end"/>
    </w:r>
  </w:p>
  <w:p w14:paraId="58082FE6" w14:textId="77777777" w:rsidR="00FA48CD" w:rsidRPr="000B69FA" w:rsidRDefault="00FA48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DC77" w14:textId="77777777" w:rsidR="00C530B3" w:rsidRDefault="00C530B3" w:rsidP="00F2498E">
      <w:pPr>
        <w:spacing w:after="0" w:line="240" w:lineRule="auto"/>
      </w:pPr>
      <w:r>
        <w:separator/>
      </w:r>
    </w:p>
  </w:footnote>
  <w:footnote w:type="continuationSeparator" w:id="0">
    <w:p w14:paraId="40D07D52" w14:textId="77777777" w:rsidR="00C530B3" w:rsidRDefault="00C530B3"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A48CD" w:rsidRDefault="00D20B6C">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A48CD" w:rsidRPr="00B17577" w14:paraId="37B9EBDE" w14:textId="77777777" w:rsidTr="00713DD5">
      <w:trPr>
        <w:trHeight w:val="227"/>
      </w:trPr>
      <w:tc>
        <w:tcPr>
          <w:tcW w:w="5103" w:type="dxa"/>
          <w:hideMark/>
        </w:tcPr>
        <w:p w14:paraId="4964FBC5" w14:textId="54CDA645"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D154B36" w:rsidR="00FA48CD" w:rsidRPr="00096248" w:rsidRDefault="00FA48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0220/INFOEM/IP/RR/2022</w:t>
          </w:r>
        </w:p>
      </w:tc>
    </w:tr>
    <w:tr w:rsidR="00FA48CD" w14:paraId="7591D3C9" w14:textId="77777777" w:rsidTr="00713DD5">
      <w:trPr>
        <w:trHeight w:val="242"/>
      </w:trPr>
      <w:tc>
        <w:tcPr>
          <w:tcW w:w="5103" w:type="dxa"/>
          <w:hideMark/>
        </w:tcPr>
        <w:p w14:paraId="729A65A8" w14:textId="77777777"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9F4A5A8" w:rsidR="00FA48CD" w:rsidRPr="00096248" w:rsidRDefault="00FA48CD"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Ayu</w:t>
          </w:r>
          <w:r w:rsidR="005C58E4">
            <w:rPr>
              <w:rFonts w:ascii="Palatino Linotype" w:hAnsi="Palatino Linotype" w:cs="Arial"/>
              <w:sz w:val="24"/>
              <w:szCs w:val="24"/>
            </w:rPr>
            <w:t>ntamiento de Chimalhuacán</w:t>
          </w:r>
        </w:p>
      </w:tc>
    </w:tr>
    <w:tr w:rsidR="00FA48CD" w:rsidRPr="00F63239" w14:paraId="037E914D" w14:textId="77777777" w:rsidTr="00713DD5">
      <w:trPr>
        <w:trHeight w:val="342"/>
      </w:trPr>
      <w:tc>
        <w:tcPr>
          <w:tcW w:w="5103" w:type="dxa"/>
          <w:hideMark/>
        </w:tcPr>
        <w:p w14:paraId="7676B68F" w14:textId="64D69EAF" w:rsidR="00FA48CD" w:rsidRPr="00096248" w:rsidRDefault="00FA48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A48CD" w:rsidRPr="00096248" w:rsidRDefault="00FA48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A48CD" w:rsidRDefault="00D20B6C">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75pt;margin-top:-143.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A48CD" w14:paraId="0F9FE9B6" w14:textId="77777777" w:rsidTr="00096248">
      <w:trPr>
        <w:trHeight w:val="227"/>
      </w:trPr>
      <w:tc>
        <w:tcPr>
          <w:tcW w:w="5245" w:type="dxa"/>
          <w:hideMark/>
        </w:tcPr>
        <w:p w14:paraId="6D1D9D71" w14:textId="11150E5A" w:rsidR="00FA48CD" w:rsidRPr="00663A37" w:rsidRDefault="00FA48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D39B833" w:rsidR="00FA48CD" w:rsidRPr="00096248" w:rsidRDefault="00FA48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0220/INFOEM/IP/RR/2022</w:t>
          </w:r>
        </w:p>
      </w:tc>
    </w:tr>
    <w:tr w:rsidR="00FA48CD" w:rsidRPr="001F57CD" w14:paraId="1377D264" w14:textId="77777777" w:rsidTr="00096248">
      <w:trPr>
        <w:trHeight w:val="196"/>
      </w:trPr>
      <w:tc>
        <w:tcPr>
          <w:tcW w:w="5245" w:type="dxa"/>
          <w:hideMark/>
        </w:tcPr>
        <w:p w14:paraId="04D597A1"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4978B9A" w:rsidR="00FA48CD" w:rsidRPr="00663A37" w:rsidRDefault="00D20B6C"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FA48CD" w14:paraId="4DC11993" w14:textId="77777777" w:rsidTr="00096248">
      <w:trPr>
        <w:trHeight w:val="242"/>
      </w:trPr>
      <w:tc>
        <w:tcPr>
          <w:tcW w:w="5245" w:type="dxa"/>
          <w:hideMark/>
        </w:tcPr>
        <w:p w14:paraId="76CEF1B5"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C58942F" w:rsidR="00FA48CD" w:rsidRPr="00663A37" w:rsidRDefault="00FA48CD"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w:t>
          </w:r>
          <w:r w:rsidR="005C58E4">
            <w:rPr>
              <w:rFonts w:ascii="Palatino Linotype" w:hAnsi="Palatino Linotype" w:cs="Arial"/>
              <w:sz w:val="24"/>
              <w:szCs w:val="24"/>
            </w:rPr>
            <w:t>ntamiento de Chimalhuacán</w:t>
          </w:r>
        </w:p>
      </w:tc>
    </w:tr>
    <w:tr w:rsidR="00FA48CD" w14:paraId="5C2B511D" w14:textId="77777777" w:rsidTr="00096248">
      <w:trPr>
        <w:trHeight w:val="342"/>
      </w:trPr>
      <w:tc>
        <w:tcPr>
          <w:tcW w:w="5245" w:type="dxa"/>
          <w:hideMark/>
        </w:tcPr>
        <w:p w14:paraId="03FEF68C" w14:textId="45E91CF4" w:rsidR="00FA48CD" w:rsidRPr="00663A37" w:rsidRDefault="00FA48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A48CD" w:rsidRPr="00663A37" w:rsidRDefault="00FA48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A48CD" w:rsidRDefault="00D20B6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7pt;margin-top:-144.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3"/>
  </w:num>
  <w:num w:numId="3">
    <w:abstractNumId w:val="17"/>
  </w:num>
  <w:num w:numId="4">
    <w:abstractNumId w:val="14"/>
  </w:num>
  <w:num w:numId="5">
    <w:abstractNumId w:val="40"/>
  </w:num>
  <w:num w:numId="6">
    <w:abstractNumId w:val="11"/>
  </w:num>
  <w:num w:numId="7">
    <w:abstractNumId w:val="1"/>
  </w:num>
  <w:num w:numId="8">
    <w:abstractNumId w:val="7"/>
  </w:num>
  <w:num w:numId="9">
    <w:abstractNumId w:val="41"/>
  </w:num>
  <w:num w:numId="10">
    <w:abstractNumId w:val="10"/>
  </w:num>
  <w:num w:numId="11">
    <w:abstractNumId w:val="27"/>
  </w:num>
  <w:num w:numId="12">
    <w:abstractNumId w:val="13"/>
  </w:num>
  <w:num w:numId="13">
    <w:abstractNumId w:val="0"/>
  </w:num>
  <w:num w:numId="14">
    <w:abstractNumId w:val="4"/>
  </w:num>
  <w:num w:numId="15">
    <w:abstractNumId w:val="22"/>
  </w:num>
  <w:num w:numId="16">
    <w:abstractNumId w:val="25"/>
  </w:num>
  <w:num w:numId="17">
    <w:abstractNumId w:val="37"/>
  </w:num>
  <w:num w:numId="18">
    <w:abstractNumId w:val="5"/>
  </w:num>
  <w:num w:numId="19">
    <w:abstractNumId w:val="19"/>
  </w:num>
  <w:num w:numId="20">
    <w:abstractNumId w:val="39"/>
  </w:num>
  <w:num w:numId="21">
    <w:abstractNumId w:val="2"/>
  </w:num>
  <w:num w:numId="22">
    <w:abstractNumId w:val="29"/>
  </w:num>
  <w:num w:numId="23">
    <w:abstractNumId w:val="12"/>
  </w:num>
  <w:num w:numId="24">
    <w:abstractNumId w:val="45"/>
  </w:num>
  <w:num w:numId="25">
    <w:abstractNumId w:val="30"/>
  </w:num>
  <w:num w:numId="26">
    <w:abstractNumId w:val="15"/>
  </w:num>
  <w:num w:numId="27">
    <w:abstractNumId w:val="16"/>
  </w:num>
  <w:num w:numId="28">
    <w:abstractNumId w:val="26"/>
  </w:num>
  <w:num w:numId="29">
    <w:abstractNumId w:val="28"/>
  </w:num>
  <w:num w:numId="30">
    <w:abstractNumId w:val="38"/>
  </w:num>
  <w:num w:numId="31">
    <w:abstractNumId w:val="21"/>
  </w:num>
  <w:num w:numId="32">
    <w:abstractNumId w:val="44"/>
  </w:num>
  <w:num w:numId="33">
    <w:abstractNumId w:val="24"/>
  </w:num>
  <w:num w:numId="34">
    <w:abstractNumId w:val="20"/>
  </w:num>
  <w:num w:numId="35">
    <w:abstractNumId w:val="18"/>
  </w:num>
  <w:num w:numId="36">
    <w:abstractNumId w:val="35"/>
  </w:num>
  <w:num w:numId="37">
    <w:abstractNumId w:val="3"/>
  </w:num>
  <w:num w:numId="38">
    <w:abstractNumId w:val="42"/>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3D1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435"/>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B7A34"/>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590D"/>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58E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5B7"/>
    <w:rsid w:val="00640E61"/>
    <w:rsid w:val="00642A8B"/>
    <w:rsid w:val="006468ED"/>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519"/>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4CF"/>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560F"/>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5FD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1276"/>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60841"/>
    <w:rsid w:val="00A61A4E"/>
    <w:rsid w:val="00A63700"/>
    <w:rsid w:val="00A64575"/>
    <w:rsid w:val="00A65A26"/>
    <w:rsid w:val="00A671F2"/>
    <w:rsid w:val="00A67625"/>
    <w:rsid w:val="00A67EF4"/>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2EB5"/>
    <w:rsid w:val="00BD3ECE"/>
    <w:rsid w:val="00BD47D1"/>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0B3"/>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4FD2"/>
    <w:rsid w:val="00CF6431"/>
    <w:rsid w:val="00CF6E52"/>
    <w:rsid w:val="00D01DCF"/>
    <w:rsid w:val="00D04514"/>
    <w:rsid w:val="00D076D9"/>
    <w:rsid w:val="00D11A35"/>
    <w:rsid w:val="00D11E06"/>
    <w:rsid w:val="00D1224D"/>
    <w:rsid w:val="00D1259C"/>
    <w:rsid w:val="00D13846"/>
    <w:rsid w:val="00D20835"/>
    <w:rsid w:val="00D20B6C"/>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37A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6CA"/>
    <w:rsid w:val="00DB3AE6"/>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47E0-6B0C-442A-99DD-A5DFA30D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2022-02-02T20:18:00Z</dcterms:created>
  <dcterms:modified xsi:type="dcterms:W3CDTF">2022-03-05T03:48:00Z</dcterms:modified>
</cp:coreProperties>
</file>