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712175">
        <w:rPr>
          <w:rStyle w:val="apple-converted-space"/>
          <w:rFonts w:ascii="Palatino Linotype" w:hAnsi="Palatino Linotype" w:cs="Arial"/>
        </w:rPr>
        <w:t xml:space="preserve"> diecinueve</w:t>
      </w:r>
      <w:r w:rsidR="00AB6EE2">
        <w:rPr>
          <w:rStyle w:val="apple-converted-space"/>
          <w:rFonts w:ascii="Palatino Linotype" w:hAnsi="Palatino Linotype" w:cs="Arial"/>
        </w:rPr>
        <w:t xml:space="preserve"> de enero</w:t>
      </w:r>
      <w:r w:rsidR="003823C8" w:rsidRPr="00716D67">
        <w:rPr>
          <w:rStyle w:val="apple-converted-space"/>
          <w:rFonts w:ascii="Palatino Linotype" w:hAnsi="Palatino Linotype" w:cs="Arial"/>
        </w:rPr>
        <w:t xml:space="preserve"> </w:t>
      </w:r>
      <w:r w:rsidR="00AB6EE2">
        <w:rPr>
          <w:rStyle w:val="normaltextrun"/>
          <w:rFonts w:ascii="Palatino Linotype" w:hAnsi="Palatino Linotype" w:cs="Arial"/>
        </w:rPr>
        <w:t>de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00712175">
        <w:rPr>
          <w:rFonts w:ascii="Palatino Linotype" w:hAnsi="Palatino Linotype" w:cs="Arial"/>
        </w:rPr>
        <w:t xml:space="preserve"> el</w:t>
      </w:r>
      <w:r w:rsidRPr="00911351">
        <w:rPr>
          <w:rFonts w:ascii="Palatino Linotype" w:hAnsi="Palatino Linotype" w:cs="Arial"/>
        </w:rPr>
        <w:t xml:space="preserve"> expediente relativo</w:t>
      </w:r>
      <w:r w:rsidR="00712175">
        <w:rPr>
          <w:rFonts w:ascii="Palatino Linotype" w:hAnsi="Palatino Linotype" w:cs="Arial"/>
        </w:rPr>
        <w:t xml:space="preserve"> al</w:t>
      </w:r>
      <w:r w:rsidRPr="00911351">
        <w:rPr>
          <w:rFonts w:ascii="Palatino Linotype" w:hAnsi="Palatino Linotype" w:cs="Arial"/>
        </w:rPr>
        <w:t xml:space="preserve"> recurso de revisión </w:t>
      </w:r>
      <w:r w:rsidR="00712175">
        <w:rPr>
          <w:rFonts w:ascii="Palatino Linotype" w:hAnsi="Palatino Linotype" w:cs="Arial"/>
          <w:b/>
          <w:bCs/>
        </w:rPr>
        <w:t>05539</w:t>
      </w:r>
      <w:r w:rsidR="006A3CB6">
        <w:rPr>
          <w:rFonts w:ascii="Palatino Linotype" w:hAnsi="Palatino Linotype" w:cs="Arial"/>
          <w:b/>
          <w:bCs/>
        </w:rPr>
        <w:t>/INFOEM/IP/RR/2021</w:t>
      </w:r>
      <w:r w:rsidR="00A143E1">
        <w:rPr>
          <w:rFonts w:ascii="Palatino Linotype" w:hAnsi="Palatino Linotype" w:cs="Arial"/>
          <w:b/>
          <w:bCs/>
        </w:rPr>
        <w:t xml:space="preserve">, </w:t>
      </w:r>
      <w:r w:rsidRPr="00911351">
        <w:rPr>
          <w:rFonts w:ascii="Palatino Linotype" w:hAnsi="Palatino Linotype" w:cs="Arial"/>
        </w:rPr>
        <w:t xml:space="preserve">interpuesto por </w:t>
      </w:r>
      <w:r w:rsidR="00A143E1">
        <w:rPr>
          <w:rFonts w:ascii="Palatino Linotype" w:hAnsi="Palatino Linotype" w:cs="Arial"/>
          <w:b/>
        </w:rPr>
        <w:t>un particular que no proporciono nombre o seudónimo</w:t>
      </w:r>
      <w:r w:rsidRPr="00911351">
        <w:rPr>
          <w:rFonts w:ascii="Palatino Linotype" w:hAnsi="Palatino Linotype" w:cs="Arial"/>
        </w:rPr>
        <w:t xml:space="preserve">, en lo sucesivo </w:t>
      </w:r>
      <w:r w:rsidR="006A3CB6">
        <w:rPr>
          <w:rFonts w:ascii="Palatino Linotype" w:hAnsi="Palatino Linotype" w:cs="Arial"/>
        </w:rPr>
        <w:t>el</w:t>
      </w:r>
      <w:r w:rsidRPr="00911351">
        <w:rPr>
          <w:rFonts w:ascii="Palatino Linotype" w:hAnsi="Palatino Linotype" w:cs="Arial"/>
        </w:rPr>
        <w:t xml:space="preserve"> </w:t>
      </w:r>
      <w:r w:rsidR="00712175"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712175" w:rsidRPr="00712175">
        <w:rPr>
          <w:rFonts w:ascii="Palatino Linotype" w:hAnsi="Palatino Linotype" w:cs="Arial"/>
          <w:b/>
        </w:rPr>
        <w:t>00153/ALMOAL/IP/2021,</w:t>
      </w:r>
      <w:r w:rsidRPr="00911351">
        <w:rPr>
          <w:rFonts w:ascii="Palatino Linotype" w:hAnsi="Palatino Linotype" w:cs="Arial"/>
        </w:rPr>
        <w:t xml:space="preserve"> por parte de</w:t>
      </w:r>
      <w:r>
        <w:rPr>
          <w:rFonts w:ascii="Palatino Linotype" w:hAnsi="Palatino Linotype" w:cs="Arial"/>
        </w:rPr>
        <w:t>l</w:t>
      </w:r>
      <w:r w:rsidR="006A3CB6">
        <w:rPr>
          <w:rFonts w:ascii="Palatino Linotype" w:hAnsi="Palatino Linotype" w:cs="Arial"/>
        </w:rPr>
        <w:t xml:space="preserve"> </w:t>
      </w:r>
      <w:r w:rsidR="00AB6EE2">
        <w:rPr>
          <w:rFonts w:ascii="Palatino Linotype" w:hAnsi="Palatino Linotype" w:cs="Arial"/>
          <w:b/>
        </w:rPr>
        <w:t>Ayuntamiento de Almoloya de Alquisiras</w:t>
      </w:r>
      <w:r w:rsidR="00520A87">
        <w:rPr>
          <w:rFonts w:ascii="Palatino Linotype" w:hAnsi="Palatino Linotype" w:cs="Arial"/>
          <w:b/>
        </w:rPr>
        <w:t>,</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AB6EE2">
        <w:rPr>
          <w:rFonts w:ascii="Palatino Linotype" w:hAnsi="Palatino Linotype" w:cs="Arial"/>
        </w:rPr>
        <w:t>doce</w:t>
      </w:r>
      <w:r w:rsidRPr="00911351">
        <w:rPr>
          <w:rFonts w:ascii="Palatino Linotype" w:hAnsi="Palatino Linotype" w:cs="Arial"/>
        </w:rPr>
        <w:t xml:space="preserve"> de </w:t>
      </w:r>
      <w:r w:rsidR="00AB6EE2">
        <w:rPr>
          <w:rFonts w:ascii="Palatino Linotype" w:hAnsi="Palatino Linotype" w:cs="Arial"/>
        </w:rPr>
        <w:t>octubre</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00712175"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00712175" w:rsidRPr="00911351">
        <w:rPr>
          <w:rFonts w:ascii="Palatino Linotype" w:hAnsi="Palatino Linotype" w:cs="Arial"/>
          <w:b/>
        </w:rPr>
        <w:t>SUJETO OBLIGADO</w:t>
      </w:r>
      <w:r w:rsidR="00712175" w:rsidRPr="00911351">
        <w:rPr>
          <w:rFonts w:ascii="Palatino Linotype" w:hAnsi="Palatino Linotype" w:cs="Arial"/>
        </w:rPr>
        <w:t xml:space="preserve"> </w:t>
      </w:r>
      <w:r w:rsidRPr="00911351">
        <w:rPr>
          <w:rFonts w:ascii="Palatino Linotype" w:hAnsi="Palatino Linotype" w:cs="Arial"/>
        </w:rPr>
        <w:t xml:space="preserve">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712175" w:rsidRDefault="00C77F9C" w:rsidP="00712175">
      <w:pPr>
        <w:spacing w:before="240" w:after="240" w:line="360" w:lineRule="auto"/>
        <w:jc w:val="center"/>
        <w:rPr>
          <w:rFonts w:ascii="Palatino Linotype" w:hAnsi="Palatino Linotype" w:cs="Arial"/>
          <w:i/>
          <w:sz w:val="22"/>
          <w:szCs w:val="22"/>
        </w:rPr>
      </w:pPr>
      <w:r w:rsidRPr="00712175">
        <w:rPr>
          <w:rFonts w:ascii="Palatino Linotype" w:hAnsi="Palatino Linotype" w:cs="Arial"/>
          <w:i/>
          <w:sz w:val="22"/>
          <w:szCs w:val="22"/>
        </w:rPr>
        <w:t>“</w:t>
      </w:r>
      <w:r w:rsidR="00712175" w:rsidRPr="00712175">
        <w:rPr>
          <w:rFonts w:ascii="Palatino Linotype" w:hAnsi="Palatino Linotype" w:cs="Arial"/>
          <w:i/>
          <w:sz w:val="22"/>
          <w:szCs w:val="22"/>
        </w:rPr>
        <w:t>Solicito el número de cuenta bancaria del municipio.</w:t>
      </w:r>
      <w:r w:rsidR="005A3389" w:rsidRPr="00712175">
        <w:rPr>
          <w:rFonts w:ascii="Palatino Linotype" w:hAnsi="Palatino Linotype" w:cs="Arial"/>
          <w:i/>
          <w:sz w:val="22"/>
          <w:szCs w:val="22"/>
        </w:rPr>
        <w:t>”</w:t>
      </w:r>
      <w:r w:rsidR="00AC3C64" w:rsidRPr="00712175">
        <w:rPr>
          <w:rFonts w:ascii="Palatino Linotype" w:hAnsi="Palatino Linotype" w:cs="Arial"/>
          <w:i/>
          <w:sz w:val="22"/>
          <w:szCs w:val="22"/>
        </w:rPr>
        <w:t xml:space="preserve"> (</w:t>
      </w:r>
      <w:r w:rsidR="005A3389" w:rsidRPr="00712175">
        <w:rPr>
          <w:rFonts w:ascii="Palatino Linotype" w:hAnsi="Palatino Linotype" w:cs="Arial"/>
          <w:i/>
          <w:sz w:val="22"/>
          <w:szCs w:val="22"/>
        </w:rPr>
        <w:t>Sic</w:t>
      </w:r>
      <w:r w:rsidR="00AC3C64" w:rsidRPr="00712175">
        <w:rPr>
          <w:rFonts w:ascii="Palatino Linotype" w:hAnsi="Palatino Linotype" w:cs="Arial"/>
          <w:i/>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2. Respuesta. </w:t>
      </w:r>
      <w:r w:rsidRPr="00911351">
        <w:rPr>
          <w:rFonts w:ascii="Palatino Linotype" w:hAnsi="Palatino Linotype" w:cs="Arial"/>
        </w:rPr>
        <w:t xml:space="preserve">Con fecha </w:t>
      </w:r>
      <w:r w:rsidR="00780737">
        <w:rPr>
          <w:rFonts w:ascii="Palatino Linotype" w:hAnsi="Palatino Linotype" w:cs="Arial"/>
        </w:rPr>
        <w:t xml:space="preserve">cinco </w:t>
      </w:r>
      <w:r w:rsidR="00AB6EE2">
        <w:rPr>
          <w:rFonts w:ascii="Palatino Linotype" w:hAnsi="Palatino Linotype" w:cs="Arial"/>
        </w:rPr>
        <w:t>de noviembre</w:t>
      </w:r>
      <w:r w:rsidRPr="00FD47D2">
        <w:rPr>
          <w:rFonts w:ascii="Palatino Linotype" w:hAnsi="Palatino Linotype" w:cs="Arial"/>
        </w:rPr>
        <w:t xml:space="preserve"> de dos </w:t>
      </w:r>
      <w:r w:rsidR="00B761F4">
        <w:rPr>
          <w:rFonts w:ascii="Palatino Linotype" w:hAnsi="Palatino Linotype" w:cs="Arial"/>
        </w:rPr>
        <w:t>mil veintiuno</w:t>
      </w:r>
      <w:r w:rsidRPr="00911351">
        <w:rPr>
          <w:rFonts w:ascii="Palatino Linotype" w:hAnsi="Palatino Linotype" w:cs="Arial"/>
        </w:rPr>
        <w:t xml:space="preserve"> el </w:t>
      </w:r>
      <w:r w:rsidR="00712175"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AB6EE2" w:rsidRDefault="00712175" w:rsidP="003823C8">
      <w:pPr>
        <w:spacing w:before="240" w:after="240"/>
        <w:ind w:left="851" w:right="902"/>
        <w:contextualSpacing/>
        <w:jc w:val="both"/>
        <w:rPr>
          <w:rFonts w:ascii="Verdana" w:hAnsi="Verdana"/>
          <w:color w:val="000000"/>
          <w:sz w:val="18"/>
          <w:szCs w:val="18"/>
        </w:rPr>
      </w:pPr>
      <w:r w:rsidRPr="00520A87">
        <w:rPr>
          <w:rFonts w:ascii="Palatino Linotype" w:hAnsi="Palatino Linotype"/>
          <w:i/>
          <w:color w:val="000000"/>
          <w:sz w:val="22"/>
          <w:szCs w:val="22"/>
        </w:rPr>
        <w:lastRenderedPageBreak/>
        <w:t xml:space="preserve"> </w:t>
      </w:r>
      <w:r w:rsidR="00AC3C64" w:rsidRPr="00520A87">
        <w:rPr>
          <w:rFonts w:ascii="Palatino Linotype" w:hAnsi="Palatino Linotype"/>
          <w:i/>
          <w:color w:val="000000"/>
          <w:sz w:val="22"/>
          <w:szCs w:val="22"/>
        </w:rPr>
        <w:t>“</w:t>
      </w:r>
      <w:r w:rsidRPr="00712175">
        <w:rPr>
          <w:rFonts w:ascii="Palatino Linotype" w:hAnsi="Palatino Linotype"/>
          <w:i/>
          <w:color w:val="000000"/>
          <w:sz w:val="22"/>
          <w:szCs w:val="22"/>
        </w:rPr>
        <w:t>RESPUESTA A LA SOLICITUD 00153/AMOAL/IP/2021</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AB6EE2" w:rsidP="003823C8">
      <w:pPr>
        <w:spacing w:before="240" w:after="240"/>
        <w:ind w:left="851" w:right="902"/>
        <w:contextualSpacing/>
        <w:jc w:val="both"/>
        <w:rPr>
          <w:rFonts w:ascii="Palatino Linotype" w:hAnsi="Palatino Linotype"/>
          <w:i/>
          <w:color w:val="000000"/>
          <w:sz w:val="22"/>
          <w:szCs w:val="22"/>
        </w:rPr>
      </w:pPr>
      <w:r w:rsidRPr="00AB6EE2">
        <w:rPr>
          <w:rFonts w:ascii="Palatino Linotype" w:hAnsi="Palatino Linotype"/>
          <w:i/>
          <w:color w:val="000000"/>
          <w:sz w:val="22"/>
          <w:szCs w:val="22"/>
        </w:rPr>
        <w:t>L.C. ANAYELI MENDEZ GOMEZ</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C77F9C" w:rsidRDefault="00C77F9C" w:rsidP="00AC3C64">
      <w:pPr>
        <w:spacing w:before="240" w:after="240" w:line="360" w:lineRule="auto"/>
        <w:jc w:val="both"/>
        <w:rPr>
          <w:rFonts w:ascii="Palatino Linotype" w:hAnsi="Palatino Linotype" w:cs="Arial"/>
        </w:rPr>
      </w:pPr>
      <w:r w:rsidRPr="001741D4">
        <w:rPr>
          <w:rFonts w:ascii="Palatino Linotype" w:hAnsi="Palatino Linotype" w:cs="Arial"/>
        </w:rPr>
        <w:t>Adjuntando a su r</w:t>
      </w:r>
      <w:r w:rsidR="00AB6EE2">
        <w:rPr>
          <w:rFonts w:ascii="Palatino Linotype" w:hAnsi="Palatino Linotype" w:cs="Arial"/>
        </w:rPr>
        <w:t>espuesta el</w:t>
      </w:r>
      <w:r w:rsidR="00520A87">
        <w:rPr>
          <w:rFonts w:ascii="Palatino Linotype" w:hAnsi="Palatino Linotype" w:cs="Arial"/>
        </w:rPr>
        <w:t xml:space="preserve"> archivo electrónico</w:t>
      </w:r>
      <w:r w:rsidR="00AB6EE2">
        <w:rPr>
          <w:rFonts w:ascii="Palatino Linotype" w:hAnsi="Palatino Linotype" w:cs="Arial"/>
        </w:rPr>
        <w:t xml:space="preserve"> denominado</w:t>
      </w:r>
      <w:r w:rsidR="006A3CB6">
        <w:rPr>
          <w:rFonts w:ascii="Palatino Linotype" w:hAnsi="Palatino Linotype" w:cs="Arial"/>
        </w:rPr>
        <w:t>:</w:t>
      </w:r>
      <w:r>
        <w:rPr>
          <w:rFonts w:ascii="Palatino Linotype" w:hAnsi="Palatino Linotype" w:cs="Arial"/>
        </w:rPr>
        <w:t xml:space="preserve"> “</w:t>
      </w:r>
      <w:hyperlink r:id="rId8" w:tgtFrame="_blank" w:history="1">
        <w:r w:rsidR="00712175" w:rsidRPr="00712175">
          <w:rPr>
            <w:rFonts w:ascii="Palatino Linotype" w:hAnsi="Palatino Linotype"/>
          </w:rPr>
          <w:t>153-2021.jpg</w:t>
        </w:r>
      </w:hyperlink>
      <w:r w:rsidR="006A3CB6" w:rsidRPr="006A3CB6">
        <w:rPr>
          <w:rFonts w:ascii="Palatino Linotype" w:hAnsi="Palatino Linotype" w:cs="Arial"/>
        </w:rPr>
        <w:t>”</w:t>
      </w:r>
      <w:r w:rsidR="00AB6EE2">
        <w:rPr>
          <w:rFonts w:ascii="Palatino Linotype" w:hAnsi="Palatino Linotype" w:cs="Arial"/>
        </w:rPr>
        <w:t>, el</w:t>
      </w:r>
      <w:r>
        <w:rPr>
          <w:rFonts w:ascii="Palatino Linotype" w:hAnsi="Palatino Linotype" w:cs="Arial"/>
        </w:rPr>
        <w:t xml:space="preserve"> cual será</w:t>
      </w:r>
      <w:r w:rsidR="006A3CB6">
        <w:rPr>
          <w:rFonts w:ascii="Palatino Linotype" w:hAnsi="Palatino Linotype" w:cs="Arial"/>
        </w:rPr>
        <w:t>n</w:t>
      </w:r>
      <w:r>
        <w:rPr>
          <w:rFonts w:ascii="Palatino Linotype" w:hAnsi="Palatino Linotype" w:cs="Arial"/>
        </w:rPr>
        <w:t xml:space="preserve"> analizado y detallado en el apartado </w:t>
      </w:r>
      <w:r w:rsidR="006A3CB6">
        <w:rPr>
          <w:rFonts w:ascii="Palatino Linotype" w:hAnsi="Palatino Linotype" w:cs="Arial"/>
        </w:rPr>
        <w:t xml:space="preserve">de estudio </w:t>
      </w:r>
      <w:r>
        <w:rPr>
          <w:rFonts w:ascii="Palatino Linotype" w:hAnsi="Palatino Linotype" w:cs="Arial"/>
        </w:rPr>
        <w:t>correspondiente.</w:t>
      </w:r>
    </w:p>
    <w:p w:rsidR="00AC3C64" w:rsidRDefault="00712175" w:rsidP="00AC3C64">
      <w:pPr>
        <w:spacing w:before="240" w:after="240" w:line="360" w:lineRule="auto"/>
        <w:jc w:val="both"/>
        <w:rPr>
          <w:rFonts w:ascii="Palatino Linotype" w:hAnsi="Palatino Linotype" w:cs="Arial"/>
        </w:rPr>
      </w:pPr>
      <w:r>
        <w:rPr>
          <w:rFonts w:ascii="Palatino Linotype" w:hAnsi="Palatino Linotype" w:cs="Arial"/>
          <w:b/>
        </w:rPr>
        <w:t>3. Interposición del</w:t>
      </w:r>
      <w:r w:rsidR="00AC3C64" w:rsidRPr="00911351">
        <w:rPr>
          <w:rFonts w:ascii="Palatino Linotype" w:hAnsi="Palatino Linotype" w:cs="Arial"/>
          <w:b/>
        </w:rPr>
        <w:t xml:space="preserve"> recurso de revisión. </w:t>
      </w:r>
      <w:r w:rsidR="00AC3C64" w:rsidRPr="00911351">
        <w:rPr>
          <w:rFonts w:ascii="Palatino Linotype" w:hAnsi="Palatino Linotype" w:cs="Arial"/>
        </w:rPr>
        <w:t xml:space="preserve">Inconforme </w:t>
      </w:r>
      <w:r w:rsidR="00AC3C64">
        <w:rPr>
          <w:rFonts w:ascii="Palatino Linotype" w:hAnsi="Palatino Linotype" w:cs="Arial"/>
        </w:rPr>
        <w:t>el</w:t>
      </w:r>
      <w:r w:rsidR="00AC3C64"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w:t>
      </w:r>
      <w:r w:rsidR="00AC3C64" w:rsidRPr="00911351">
        <w:rPr>
          <w:rFonts w:ascii="Palatino Linotype" w:hAnsi="Palatino Linotype" w:cs="Arial"/>
        </w:rPr>
        <w:t xml:space="preserve">interpuso </w:t>
      </w:r>
      <w:r>
        <w:rPr>
          <w:rFonts w:ascii="Palatino Linotype" w:hAnsi="Palatino Linotype" w:cs="Arial"/>
        </w:rPr>
        <w:t>el</w:t>
      </w:r>
      <w:r w:rsidR="00780737">
        <w:rPr>
          <w:rFonts w:ascii="Palatino Linotype" w:hAnsi="Palatino Linotype" w:cs="Arial"/>
        </w:rPr>
        <w:t xml:space="preserve"> </w:t>
      </w:r>
      <w:r w:rsidR="00AC3C64" w:rsidRPr="00911351">
        <w:rPr>
          <w:rFonts w:ascii="Palatino Linotype" w:hAnsi="Palatino Linotype" w:cs="Arial"/>
        </w:rPr>
        <w:t xml:space="preserve">recurso de revisión a través del SAIMEX en fecha </w:t>
      </w:r>
      <w:r w:rsidR="00AB6EE2">
        <w:rPr>
          <w:rFonts w:ascii="Palatino Linotype" w:hAnsi="Palatino Linotype" w:cs="Arial"/>
        </w:rPr>
        <w:t>once</w:t>
      </w:r>
      <w:r w:rsidR="00AC3C64" w:rsidRPr="00911351">
        <w:rPr>
          <w:rFonts w:ascii="Palatino Linotype" w:hAnsi="Palatino Linotype" w:cs="Arial"/>
        </w:rPr>
        <w:t xml:space="preserve"> de </w:t>
      </w:r>
      <w:r w:rsidR="00AB6EE2">
        <w:rPr>
          <w:rFonts w:ascii="Palatino Linotype" w:hAnsi="Palatino Linotype" w:cs="Arial"/>
        </w:rPr>
        <w:t>noviembre</w:t>
      </w:r>
      <w:r w:rsidR="00AC3C64" w:rsidRPr="00911351">
        <w:rPr>
          <w:rFonts w:ascii="Palatino Linotype" w:hAnsi="Palatino Linotype" w:cs="Arial"/>
        </w:rPr>
        <w:t xml:space="preserve"> de dos mil </w:t>
      </w:r>
      <w:r w:rsidR="006A3CB6">
        <w:rPr>
          <w:rFonts w:ascii="Palatino Linotype" w:hAnsi="Palatino Linotype" w:cs="Arial"/>
        </w:rPr>
        <w:t>veintiuno</w:t>
      </w:r>
      <w:r w:rsidR="00AC3C64" w:rsidRPr="00911351">
        <w:rPr>
          <w:rFonts w:ascii="Palatino Linotype" w:hAnsi="Palatino Linotype" w:cs="Arial"/>
        </w:rPr>
        <w:t>, a través del cual expresó lo</w:t>
      </w:r>
      <w:r w:rsidR="00471FBC">
        <w:rPr>
          <w:rFonts w:ascii="Palatino Linotype" w:hAnsi="Palatino Linotype" w:cs="Arial"/>
        </w:rPr>
        <w:t xml:space="preserve"> mismo en cada recurso, como sigue</w:t>
      </w:r>
      <w:r w:rsidR="00AC3C64" w:rsidRPr="00911351">
        <w:rPr>
          <w:rFonts w:ascii="Palatino Linotype" w:hAnsi="Palatino Linotype" w:cs="Arial"/>
        </w:rPr>
        <w:t>:</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AB6EE2" w:rsidRPr="00AB6EE2">
        <w:rPr>
          <w:rFonts w:ascii="Palatino Linotype" w:hAnsi="Palatino Linotype"/>
          <w:i/>
          <w:color w:val="000000"/>
          <w:sz w:val="22"/>
          <w:szCs w:val="22"/>
        </w:rPr>
        <w:t xml:space="preserve">Solicito recurso de revisión por la forma de clasificación de la </w:t>
      </w:r>
      <w:proofErr w:type="spellStart"/>
      <w:r w:rsidR="00AB6EE2" w:rsidRPr="00AB6EE2">
        <w:rPr>
          <w:rFonts w:ascii="Palatino Linotype" w:hAnsi="Palatino Linotype"/>
          <w:i/>
          <w:color w:val="000000"/>
          <w:sz w:val="22"/>
          <w:szCs w:val="22"/>
        </w:rPr>
        <w:t>informacion</w:t>
      </w:r>
      <w:proofErr w:type="spellEnd"/>
      <w:r w:rsidR="00AB6EE2" w:rsidRPr="00AB6EE2">
        <w:rPr>
          <w:rFonts w:ascii="Palatino Linotype" w:hAnsi="Palatino Linotype"/>
          <w:i/>
          <w:color w:val="000000"/>
          <w:sz w:val="22"/>
          <w:szCs w:val="22"/>
        </w:rPr>
        <w:t>.</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520A87" w:rsidRDefault="00AC3C64" w:rsidP="00520A87">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AB6EE2" w:rsidRPr="00AB6EE2">
        <w:rPr>
          <w:rFonts w:ascii="Palatino Linotype" w:hAnsi="Palatino Linotype"/>
          <w:i/>
          <w:color w:val="000000"/>
          <w:sz w:val="22"/>
          <w:szCs w:val="22"/>
        </w:rPr>
        <w:t xml:space="preserve">Solicito recurso de revisión por la forma de clasificación de la </w:t>
      </w:r>
      <w:proofErr w:type="spellStart"/>
      <w:r w:rsidR="00AB6EE2" w:rsidRPr="00AB6EE2">
        <w:rPr>
          <w:rFonts w:ascii="Palatino Linotype" w:hAnsi="Palatino Linotype"/>
          <w:i/>
          <w:color w:val="000000"/>
          <w:sz w:val="22"/>
          <w:szCs w:val="22"/>
        </w:rPr>
        <w:t>informacion</w:t>
      </w:r>
      <w:proofErr w:type="spellEnd"/>
      <w:r w:rsidR="00AB6EE2" w:rsidRPr="00AB6EE2">
        <w:rPr>
          <w:rFonts w:ascii="Palatino Linotype" w:hAnsi="Palatino Linotype"/>
          <w:i/>
          <w:color w:val="000000"/>
          <w:sz w:val="22"/>
          <w:szCs w:val="22"/>
        </w:rPr>
        <w:t>.</w:t>
      </w:r>
      <w:r w:rsidR="00520A87" w:rsidRPr="009A3844">
        <w:rPr>
          <w:rFonts w:ascii="Palatino Linotype" w:hAnsi="Palatino Linotype"/>
          <w:i/>
          <w:color w:val="000000"/>
          <w:sz w:val="22"/>
          <w:szCs w:val="22"/>
        </w:rPr>
        <w:t>”</w:t>
      </w:r>
      <w:r w:rsid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9A3844" w:rsidRDefault="009A3844" w:rsidP="009A3844">
      <w:pPr>
        <w:spacing w:before="240" w:after="240" w:line="360" w:lineRule="auto"/>
        <w:contextualSpacing/>
        <w:jc w:val="both"/>
        <w:rPr>
          <w:rFonts w:ascii="Palatino Linotype" w:hAnsi="Palatino Linotype"/>
          <w:b/>
        </w:rPr>
      </w:pP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712175">
        <w:rPr>
          <w:rFonts w:ascii="Palatino Linotype" w:hAnsi="Palatino Linotype" w:cs="Arial"/>
          <w:b/>
        </w:rPr>
        <w:t>05539</w:t>
      </w:r>
      <w:r w:rsidR="00BB2163">
        <w:rPr>
          <w:rFonts w:ascii="Palatino Linotype" w:hAnsi="Palatino Linotype" w:cs="Arial"/>
          <w:b/>
        </w:rPr>
        <w:t>/INFOEM/IP/RR/2021</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471FBC">
        <w:rPr>
          <w:rFonts w:ascii="Palatino Linotype" w:eastAsia="Calibri" w:hAnsi="Palatino Linotype" w:cs="Arial"/>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471FBC" w:rsidRDefault="00471FBC" w:rsidP="009A3844">
      <w:pPr>
        <w:spacing w:before="240" w:after="240" w:line="360" w:lineRule="auto"/>
        <w:contextualSpacing/>
        <w:jc w:val="both"/>
        <w:rPr>
          <w:rFonts w:ascii="Palatino Linotype" w:eastAsia="Calibri" w:hAnsi="Palatino Linotype" w:cs="Arial"/>
        </w:rPr>
      </w:pPr>
    </w:p>
    <w:p w:rsidR="00AC3C64" w:rsidRPr="00911351" w:rsidRDefault="00712175" w:rsidP="00AC3C64">
      <w:pPr>
        <w:spacing w:before="240" w:after="240" w:line="360" w:lineRule="auto"/>
        <w:jc w:val="both"/>
        <w:rPr>
          <w:rFonts w:ascii="Palatino Linotype" w:hAnsi="Palatino Linotype" w:cs="Arial"/>
        </w:rPr>
      </w:pPr>
      <w:r>
        <w:rPr>
          <w:rFonts w:ascii="Palatino Linotype" w:hAnsi="Palatino Linotype" w:cs="Arial"/>
          <w:b/>
        </w:rPr>
        <w:t>5. Admisión del</w:t>
      </w:r>
      <w:r w:rsidR="00471FBC">
        <w:rPr>
          <w:rFonts w:ascii="Palatino Linotype" w:hAnsi="Palatino Linotype" w:cs="Arial"/>
          <w:b/>
        </w:rPr>
        <w:t xml:space="preserve"> </w:t>
      </w:r>
      <w:r w:rsidR="00AC3C64" w:rsidRPr="00911351">
        <w:rPr>
          <w:rFonts w:ascii="Palatino Linotype" w:hAnsi="Palatino Linotype" w:cs="Arial"/>
          <w:b/>
        </w:rPr>
        <w:t xml:space="preserve">recurso de revisión: </w:t>
      </w:r>
      <w:r w:rsidR="00AC3C64" w:rsidRPr="00911351">
        <w:rPr>
          <w:rFonts w:ascii="Palatino Linotype" w:hAnsi="Palatino Linotype" w:cs="Arial"/>
        </w:rPr>
        <w:t>En fecha</w:t>
      </w:r>
      <w:r w:rsidR="00471FBC">
        <w:rPr>
          <w:rFonts w:ascii="Palatino Linotype" w:hAnsi="Palatino Linotype" w:cs="Arial"/>
        </w:rPr>
        <w:t xml:space="preserve"> </w:t>
      </w:r>
      <w:r w:rsidR="00AB6EE2">
        <w:rPr>
          <w:rFonts w:ascii="Palatino Linotype" w:hAnsi="Palatino Linotype" w:cs="Arial"/>
        </w:rPr>
        <w:t>dieciocho</w:t>
      </w:r>
      <w:r w:rsidR="00AC3C64">
        <w:rPr>
          <w:rFonts w:ascii="Palatino Linotype" w:hAnsi="Palatino Linotype" w:cs="Arial"/>
        </w:rPr>
        <w:t xml:space="preserve"> </w:t>
      </w:r>
      <w:r w:rsidR="00AB6EE2">
        <w:rPr>
          <w:rFonts w:ascii="Palatino Linotype" w:hAnsi="Palatino Linotype" w:cs="Arial"/>
        </w:rPr>
        <w:t>de noviembre</w:t>
      </w:r>
      <w:r w:rsidR="00520A87">
        <w:rPr>
          <w:rFonts w:ascii="Palatino Linotype" w:hAnsi="Palatino Linotype" w:cs="Arial"/>
        </w:rPr>
        <w:t xml:space="preserve"> d</w:t>
      </w:r>
      <w:r w:rsidR="00BB2163">
        <w:rPr>
          <w:rFonts w:ascii="Palatino Linotype" w:hAnsi="Palatino Linotype" w:cs="Arial"/>
        </w:rPr>
        <w:t>e dos mil veintiuno, la Comisionada</w:t>
      </w:r>
      <w:r>
        <w:rPr>
          <w:rFonts w:ascii="Palatino Linotype" w:hAnsi="Palatino Linotype" w:cs="Arial"/>
        </w:rPr>
        <w:t xml:space="preserve"> ponente, admitió a trámite el</w:t>
      </w:r>
      <w:r w:rsidR="00AC3C64" w:rsidRPr="00911351">
        <w:rPr>
          <w:rFonts w:ascii="Palatino Linotype" w:hAnsi="Palatino Linotype" w:cs="Arial"/>
        </w:rPr>
        <w:t xml:space="preserve"> recurso de revisión que </w:t>
      </w:r>
      <w:r w:rsidR="00AC3C64" w:rsidRPr="00911351">
        <w:rPr>
          <w:rFonts w:ascii="Palatino Linotype" w:hAnsi="Palatino Linotype" w:cs="Arial"/>
        </w:rPr>
        <w:lastRenderedPageBreak/>
        <w:t>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6F1E06" w:rsidRDefault="00712175"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5</w:t>
      </w:r>
      <w:r w:rsidR="006F1E06">
        <w:rPr>
          <w:rFonts w:ascii="Palatino Linotype" w:hAnsi="Palatino Linotype" w:cs="Arial"/>
          <w:b/>
          <w:sz w:val="24"/>
          <w:szCs w:val="24"/>
        </w:rPr>
        <w:t>. Manifestaciones</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w:t>
      </w:r>
      <w:r w:rsidR="00471FBC">
        <w:rPr>
          <w:rFonts w:ascii="Palatino Linotype" w:hAnsi="Palatino Linotype" w:cs="Arial"/>
          <w:sz w:val="24"/>
          <w:szCs w:val="24"/>
        </w:rPr>
        <w:t xml:space="preserve"> las constancias que integran los</w:t>
      </w:r>
      <w:r w:rsidR="006F1E06" w:rsidRPr="00B42F8D">
        <w:rPr>
          <w:rFonts w:ascii="Palatino Linotype" w:hAnsi="Palatino Linotype" w:cs="Arial"/>
          <w:sz w:val="24"/>
          <w:szCs w:val="24"/>
        </w:rPr>
        <w:t xml:space="preserve"> expediente</w:t>
      </w:r>
      <w:r w:rsidR="00471FBC">
        <w:rPr>
          <w:rFonts w:ascii="Palatino Linotype" w:hAnsi="Palatino Linotype" w:cs="Arial"/>
          <w:sz w:val="24"/>
          <w:szCs w:val="24"/>
        </w:rPr>
        <w:t>s</w:t>
      </w:r>
      <w:r w:rsidR="006F1E06" w:rsidRPr="00B42F8D">
        <w:rPr>
          <w:rFonts w:ascii="Palatino Linotype" w:hAnsi="Palatino Linotype" w:cs="Arial"/>
          <w:sz w:val="24"/>
          <w:szCs w:val="24"/>
        </w:rPr>
        <w:t xml:space="preserve"> en</w:t>
      </w:r>
      <w:r w:rsidR="006F1E06">
        <w:rPr>
          <w:rFonts w:ascii="Palatino Linotype" w:hAnsi="Palatino Linotype" w:cs="Arial"/>
          <w:sz w:val="24"/>
          <w:szCs w:val="24"/>
        </w:rPr>
        <w:t xml:space="preserve"> que se actúa se advierte que </w:t>
      </w:r>
      <w:r w:rsidR="006A3CB6">
        <w:rPr>
          <w:rFonts w:ascii="Palatino Linotype" w:hAnsi="Palatino Linotype" w:cs="Arial"/>
          <w:sz w:val="24"/>
          <w:szCs w:val="24"/>
        </w:rPr>
        <w:t>el recurrente</w:t>
      </w:r>
      <w:r w:rsidR="006F1E06">
        <w:rPr>
          <w:rFonts w:ascii="Palatino Linotype" w:hAnsi="Palatino Linotype" w:cs="Arial"/>
          <w:sz w:val="24"/>
          <w:szCs w:val="24"/>
        </w:rPr>
        <w:t xml:space="preserve"> fue </w:t>
      </w:r>
      <w:r w:rsidR="00B761F4">
        <w:rPr>
          <w:rFonts w:ascii="Palatino Linotype" w:hAnsi="Palatino Linotype" w:cs="Arial"/>
          <w:sz w:val="24"/>
          <w:szCs w:val="24"/>
        </w:rPr>
        <w:t>omiso</w:t>
      </w:r>
      <w:r w:rsidR="006F1E06" w:rsidRPr="00B42F8D">
        <w:rPr>
          <w:rFonts w:ascii="Palatino Linotype" w:hAnsi="Palatino Linotype" w:cs="Arial"/>
          <w:sz w:val="24"/>
          <w:szCs w:val="24"/>
        </w:rPr>
        <w:t xml:space="preserve"> en ofrecer pruebas o expresar alegatos; en términos del artículo 185 fracciones II de la ley que nos ocupa. Por su parte, </w:t>
      </w:r>
      <w:r w:rsidR="006F1E06">
        <w:rPr>
          <w:rFonts w:ascii="Palatino Linotype" w:hAnsi="Palatino Linotype" w:cs="Arial"/>
          <w:sz w:val="24"/>
          <w:szCs w:val="24"/>
        </w:rPr>
        <w:t>e</w:t>
      </w:r>
      <w:r w:rsidR="006F1E06" w:rsidRPr="00EB01FE">
        <w:rPr>
          <w:rFonts w:ascii="Palatino Linotype" w:hAnsi="Palatino Linotype" w:cs="Arial"/>
          <w:sz w:val="24"/>
          <w:szCs w:val="24"/>
        </w:rPr>
        <w:t>l Sujeto Obligado</w:t>
      </w:r>
      <w:r w:rsidR="006F1E06" w:rsidRPr="00B42F8D">
        <w:rPr>
          <w:rFonts w:ascii="Palatino Linotype" w:hAnsi="Palatino Linotype" w:cs="Arial"/>
          <w:b/>
          <w:sz w:val="24"/>
          <w:szCs w:val="24"/>
        </w:rPr>
        <w:t xml:space="preserve"> </w:t>
      </w:r>
      <w:r w:rsidR="006F1E06" w:rsidRPr="00B42F8D">
        <w:rPr>
          <w:rFonts w:ascii="Palatino Linotype" w:hAnsi="Palatino Linotype" w:cs="Arial"/>
          <w:sz w:val="24"/>
          <w:szCs w:val="24"/>
        </w:rPr>
        <w:t xml:space="preserve">de igual forma, fue omiso en presentar el Informe </w:t>
      </w:r>
      <w:r w:rsidR="004D6A83">
        <w:rPr>
          <w:rFonts w:ascii="Palatino Linotype" w:hAnsi="Palatino Linotype" w:cs="Arial"/>
          <w:sz w:val="24"/>
          <w:szCs w:val="24"/>
        </w:rPr>
        <w:t>Justificado correspondiente, como así se observa en la siguiente imagen del seguimiento del expediente en el SAIMEX:</w:t>
      </w:r>
    </w:p>
    <w:p w:rsidR="004D6A83" w:rsidRDefault="004D6A83"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noProof/>
          <w:lang w:val="es-MX" w:eastAsia="es-MX"/>
        </w:rPr>
        <w:drawing>
          <wp:inline distT="0" distB="0" distL="0" distR="0" wp14:anchorId="7AA16D9B" wp14:editId="696296AC">
            <wp:extent cx="5581650" cy="21358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04" t="31346" r="23988" b="40752"/>
                    <a:stretch/>
                  </pic:blipFill>
                  <pic:spPr bwMode="auto">
                    <a:xfrm>
                      <a:off x="0" y="0"/>
                      <a:ext cx="5604972" cy="2144799"/>
                    </a:xfrm>
                    <a:prstGeom prst="rect">
                      <a:avLst/>
                    </a:prstGeom>
                    <a:ln>
                      <a:noFill/>
                    </a:ln>
                    <a:extLst>
                      <a:ext uri="{53640926-AAD7-44D8-BBD7-CCE9431645EC}">
                        <a14:shadowObscured xmlns:a14="http://schemas.microsoft.com/office/drawing/2010/main"/>
                      </a:ext>
                    </a:extLst>
                  </pic:spPr>
                </pic:pic>
              </a:graphicData>
            </a:graphic>
          </wp:inline>
        </w:drawing>
      </w:r>
    </w:p>
    <w:p w:rsidR="00AC3C64" w:rsidRDefault="00712175" w:rsidP="00B1241C">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eastAsia="Palatino Linotype" w:hAnsi="Palatino Linotype" w:cs="Palatino Linotype"/>
          <w:b/>
        </w:rPr>
        <w:t>6</w:t>
      </w:r>
      <w:r w:rsidR="00520A87">
        <w:rPr>
          <w:rFonts w:ascii="Palatino Linotype" w:eastAsia="Palatino Linotype" w:hAnsi="Palatino Linotype" w:cs="Palatino Linotype"/>
          <w:b/>
        </w:rPr>
        <w:t>.-</w:t>
      </w:r>
      <w:r w:rsidR="00520A87">
        <w:rPr>
          <w:rFonts w:ascii="Palatino Linotype" w:eastAsia="Palatino Linotype" w:hAnsi="Palatino Linotype" w:cs="Palatino Linotype"/>
        </w:rPr>
        <w:t xml:space="preserve"> </w:t>
      </w:r>
      <w:r w:rsidR="00AC3C64" w:rsidRPr="00911351">
        <w:rPr>
          <w:rFonts w:ascii="Palatino Linotype" w:hAnsi="Palatino Linotype"/>
          <w:b/>
        </w:rPr>
        <w:t xml:space="preserve">Cierre de instrucción. </w:t>
      </w:r>
      <w:r w:rsidR="00AC3C64" w:rsidRPr="00911351">
        <w:rPr>
          <w:rFonts w:ascii="Palatino Linotype" w:hAnsi="Palatino Linotype"/>
        </w:rPr>
        <w:t xml:space="preserve">En </w:t>
      </w:r>
      <w:r w:rsidR="006F1E06">
        <w:rPr>
          <w:rFonts w:ascii="Palatino Linotype" w:hAnsi="Palatino Linotype"/>
        </w:rPr>
        <w:t xml:space="preserve">fecha </w:t>
      </w:r>
      <w:r>
        <w:rPr>
          <w:rFonts w:ascii="Palatino Linotype" w:hAnsi="Palatino Linotype"/>
        </w:rPr>
        <w:t>doce de enero de dos mil veintidós</w:t>
      </w:r>
      <w:r w:rsidR="00471FBC">
        <w:rPr>
          <w:rFonts w:ascii="Palatino Linotype" w:hAnsi="Palatino Linotype"/>
        </w:rPr>
        <w:t xml:space="preserve"> </w:t>
      </w:r>
      <w:r w:rsidR="00BB2163">
        <w:rPr>
          <w:rFonts w:ascii="Palatino Linotype" w:hAnsi="Palatino Linotype"/>
        </w:rPr>
        <w:t>la Comisionada</w:t>
      </w:r>
      <w:r w:rsidR="00AC3C64" w:rsidRPr="00716D67">
        <w:rPr>
          <w:rFonts w:ascii="Palatino Linotype" w:hAnsi="Palatino Linotype"/>
        </w:rPr>
        <w:t xml:space="preserve"> ponente determinó el cierre de instrucción en términos de la fracción </w:t>
      </w:r>
      <w:r w:rsidR="00AD0AB9" w:rsidRPr="00716D67">
        <w:rPr>
          <w:rFonts w:ascii="Palatino Linotype" w:hAnsi="Palatino Linotype"/>
        </w:rPr>
        <w:t>VI del</w:t>
      </w:r>
      <w:r w:rsidR="00AC3C64" w:rsidRPr="00716D67">
        <w:rPr>
          <w:rFonts w:ascii="Palatino Linotype" w:hAnsi="Palatino Linotype"/>
        </w:rPr>
        <w:t xml:space="preserve"> artículo 185 de la Ley de Transparencia y Acceso a la Información Pública</w:t>
      </w:r>
      <w:r w:rsidR="00AC3C64" w:rsidRPr="00911351">
        <w:rPr>
          <w:rFonts w:ascii="Palatino Linotype" w:hAnsi="Palatino Linotype"/>
        </w:rPr>
        <w:t xml:space="preserve"> del Estado de México y Municipios.</w:t>
      </w:r>
    </w:p>
    <w:p w:rsidR="003174A5" w:rsidRDefault="003174A5" w:rsidP="00B1241C">
      <w:pPr>
        <w:widowControl w:val="0"/>
        <w:autoSpaceDE w:val="0"/>
        <w:autoSpaceDN w:val="0"/>
        <w:adjustRightInd w:val="0"/>
        <w:spacing w:before="240" w:after="240" w:line="360" w:lineRule="auto"/>
        <w:contextualSpacing/>
        <w:jc w:val="both"/>
        <w:rPr>
          <w:rFonts w:ascii="Palatino Linotype" w:hAnsi="Palatino Linotype"/>
        </w:rPr>
      </w:pP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FC17BE">
        <w:rPr>
          <w:rFonts w:ascii="Palatino Linotype" w:hAnsi="Palatino Linotype" w:cs="Arial"/>
          <w:b/>
        </w:rPr>
        <w:lastRenderedPageBreak/>
        <w:t xml:space="preserve">Primero. Competencia. </w:t>
      </w:r>
      <w:r w:rsidRPr="00FC17BE">
        <w:rPr>
          <w:rFonts w:ascii="Palatino Linotype" w:hAnsi="Palatino Linotype"/>
          <w:shd w:val="clear" w:color="auto" w:fill="FFFFFF"/>
        </w:rPr>
        <w:t xml:space="preserve">El Instituto de Transparencia, Acceso a la Información Pública y Protección de </w:t>
      </w:r>
      <w:r w:rsidRPr="00911351">
        <w:rPr>
          <w:rFonts w:ascii="Palatino Linotype" w:hAnsi="Palatino Linotype"/>
          <w:shd w:val="clear" w:color="auto" w:fill="FFFFFF"/>
        </w:rPr>
        <w:t>Datos Personales del Estado de México y Municipios, es compe</w:t>
      </w:r>
      <w:r w:rsidR="00260DDF">
        <w:rPr>
          <w:rFonts w:ascii="Palatino Linotype" w:hAnsi="Palatino Linotype"/>
          <w:shd w:val="clear" w:color="auto" w:fill="FFFFFF"/>
        </w:rPr>
        <w:t>t</w:t>
      </w:r>
      <w:r w:rsidR="00712175">
        <w:rPr>
          <w:rFonts w:ascii="Palatino Linotype" w:hAnsi="Palatino Linotype"/>
          <w:shd w:val="clear" w:color="auto" w:fill="FFFFFF"/>
        </w:rPr>
        <w:t>ente para conocer y resolver el</w:t>
      </w:r>
      <w:r w:rsidRPr="00911351">
        <w:rPr>
          <w:rFonts w:ascii="Palatino Linotype" w:hAnsi="Palatino Linotype"/>
          <w:shd w:val="clear" w:color="auto" w:fill="FFFFFF"/>
        </w:rPr>
        <w:t xml:space="preserve"> presente recurso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653FC" w:rsidRDefault="00AC3C64" w:rsidP="00C16F76">
      <w:pPr>
        <w:spacing w:before="240" w:after="240" w:line="360" w:lineRule="auto"/>
        <w:jc w:val="both"/>
        <w:rPr>
          <w:rFonts w:ascii="Palatino Linotype" w:hAnsi="Palatino Linotype" w:cs="Arial"/>
        </w:rPr>
      </w:pPr>
      <w:r w:rsidRPr="00911351">
        <w:rPr>
          <w:rFonts w:ascii="Palatino Linotype" w:hAnsi="Palatino Linotype" w:cs="Arial"/>
          <w:b/>
        </w:rPr>
        <w:t>Segundo. O</w:t>
      </w:r>
      <w:r w:rsidR="00260DDF">
        <w:rPr>
          <w:rFonts w:ascii="Palatino Linotype" w:hAnsi="Palatino Linotype" w:cs="Arial"/>
          <w:b/>
        </w:rPr>
        <w:t xml:space="preserve">portunidad y Procedibilidad de los </w:t>
      </w:r>
      <w:r w:rsidR="00F535D9" w:rsidRPr="00911351">
        <w:rPr>
          <w:rFonts w:ascii="Palatino Linotype" w:hAnsi="Palatino Linotype" w:cs="Arial"/>
          <w:b/>
        </w:rPr>
        <w:t>Recurso</w:t>
      </w:r>
      <w:r w:rsidR="00260DDF">
        <w:rPr>
          <w:rFonts w:ascii="Palatino Linotype" w:hAnsi="Palatino Linotype" w:cs="Arial"/>
          <w:b/>
        </w:rPr>
        <w:t>s</w:t>
      </w:r>
      <w:r w:rsidR="00F535D9" w:rsidRPr="00911351">
        <w:rPr>
          <w:rFonts w:ascii="Palatino Linotype" w:hAnsi="Palatino Linotype" w:cs="Arial"/>
          <w:b/>
        </w:rPr>
        <w:t xml:space="preserve"> de</w:t>
      </w:r>
      <w:r w:rsidRPr="00911351">
        <w:rPr>
          <w:rFonts w:ascii="Palatino Linotype" w:hAnsi="Palatino Linotype" w:cs="Arial"/>
          <w:b/>
        </w:rPr>
        <w:t xml:space="preserve"> Revisión</w:t>
      </w:r>
      <w:r w:rsidRPr="00911351">
        <w:rPr>
          <w:rFonts w:ascii="Palatino Linotype" w:hAnsi="Palatino Linotype" w:cs="Arial"/>
        </w:rPr>
        <w:t xml:space="preserve">. </w:t>
      </w:r>
    </w:p>
    <w:p w:rsidR="00C16F76" w:rsidRDefault="00AC3C64" w:rsidP="00C16F76">
      <w:pPr>
        <w:spacing w:before="240" w:after="240" w:line="360" w:lineRule="auto"/>
        <w:jc w:val="both"/>
        <w:rPr>
          <w:rFonts w:ascii="Palatino Linotype" w:eastAsia="Palatino Linotype" w:hAnsi="Palatino Linotype" w:cs="Palatino Linotype"/>
          <w:lang w:eastAsia="es-MX"/>
        </w:rPr>
      </w:pPr>
      <w:r w:rsidRPr="00911351">
        <w:rPr>
          <w:rFonts w:ascii="Palatino Linotype" w:hAnsi="Palatino Linotype" w:cs="Arial"/>
        </w:rPr>
        <w:t>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004D6A83">
        <w:rPr>
          <w:rFonts w:ascii="Palatino Linotype" w:hAnsi="Palatino Linotype" w:cs="Arial"/>
        </w:rPr>
        <w:t xml:space="preserve"> que debe reunir el recurso de revisión interpuesto</w:t>
      </w:r>
      <w:r w:rsidRPr="00911351">
        <w:rPr>
          <w:rFonts w:ascii="Palatino Linotype" w:hAnsi="Palatino Linotype" w:cs="Arial"/>
        </w:rPr>
        <w:t xml:space="preserve">, previstos en los artículos 178 y 180 de la </w:t>
      </w:r>
      <w:r w:rsidRPr="00911351">
        <w:rPr>
          <w:rFonts w:ascii="Palatino Linotype" w:hAnsi="Palatino Linotype" w:cs="Arial"/>
          <w:lang w:eastAsia="es-MX"/>
        </w:rPr>
        <w:t>Ley de Transparencia y Acceso a la Información Pública del Estado de México y Municipios; en la e</w:t>
      </w:r>
      <w:r w:rsidRPr="00510F8E">
        <w:rPr>
          <w:rFonts w:ascii="Palatino Linotype" w:hAnsi="Palatino Linotype" w:cs="Arial"/>
          <w:lang w:eastAsia="es-MX"/>
        </w:rPr>
        <w:t xml:space="preserve">specie </w:t>
      </w:r>
      <w:r w:rsidR="00712175">
        <w:rPr>
          <w:rFonts w:ascii="Palatino Linotype" w:hAnsi="Palatino Linotype" w:cs="Arial"/>
          <w:lang w:eastAsia="es-MX"/>
        </w:rPr>
        <w:t>se advierte que el</w:t>
      </w:r>
      <w:r w:rsidRPr="00911351">
        <w:rPr>
          <w:rFonts w:ascii="Palatino Linotype" w:hAnsi="Palatino Linotype" w:cs="Arial"/>
          <w:lang w:eastAsia="es-MX"/>
        </w:rPr>
        <w:t xml:space="preserve"> presente medio de impugnación fue interpuesto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w:t>
      </w:r>
      <w:r w:rsidR="00451483" w:rsidRPr="00451483">
        <w:rPr>
          <w:rFonts w:ascii="Palatino Linotype" w:hAnsi="Palatino Linotype" w:cs="Arial"/>
          <w:b/>
          <w:lang w:eastAsia="es-MX"/>
        </w:rPr>
        <w:t>SUJETO OBLIGADO</w:t>
      </w:r>
      <w:r w:rsidR="00451483">
        <w:rPr>
          <w:rFonts w:ascii="Palatino Linotype" w:hAnsi="Palatino Linotype" w:cs="Arial"/>
          <w:lang w:eastAsia="es-MX"/>
        </w:rPr>
        <w:t xml:space="preserve"> </w:t>
      </w:r>
      <w:r w:rsidR="00174388">
        <w:rPr>
          <w:rFonts w:ascii="Palatino Linotype" w:hAnsi="Palatino Linotype" w:cs="Arial"/>
          <w:lang w:eastAsia="es-MX"/>
        </w:rPr>
        <w:t>emitió su respuesta a la solicitud planteada por</w:t>
      </w:r>
      <w:r w:rsidR="00C16F76">
        <w:rPr>
          <w:rFonts w:ascii="Palatino Linotype" w:hAnsi="Palatino Linotype" w:cs="Arial"/>
          <w:lang w:eastAsia="es-MX"/>
        </w:rPr>
        <w:t xml:space="preserve"> el s</w:t>
      </w:r>
      <w:r w:rsidR="00FC17BE">
        <w:rPr>
          <w:rFonts w:ascii="Palatino Linotype" w:hAnsi="Palatino Linotype" w:cs="Arial"/>
          <w:lang w:eastAsia="es-MX"/>
        </w:rPr>
        <w:t>olicitante en fecha</w:t>
      </w:r>
      <w:r w:rsidR="00510F8E">
        <w:rPr>
          <w:rFonts w:ascii="Palatino Linotype" w:hAnsi="Palatino Linotype" w:cs="Arial"/>
          <w:lang w:eastAsia="es-MX"/>
        </w:rPr>
        <w:t xml:space="preserve">s cinco </w:t>
      </w:r>
      <w:r w:rsidR="00FC17BE">
        <w:rPr>
          <w:rFonts w:ascii="Palatino Linotype" w:hAnsi="Palatino Linotype" w:cs="Arial"/>
          <w:lang w:eastAsia="es-MX"/>
        </w:rPr>
        <w:t>de noviembre</w:t>
      </w:r>
      <w:r w:rsidR="00BB2163">
        <w:rPr>
          <w:rFonts w:ascii="Palatino Linotype" w:hAnsi="Palatino Linotype" w:cs="Arial"/>
          <w:lang w:eastAsia="es-MX"/>
        </w:rPr>
        <w:t xml:space="preserve"> del año dos mil veintiuno</w:t>
      </w:r>
      <w:r w:rsidR="00174388">
        <w:rPr>
          <w:rFonts w:ascii="Palatino Linotype" w:hAnsi="Palatino Linotype" w:cs="Arial"/>
          <w:lang w:eastAsia="es-MX"/>
        </w:rPr>
        <w:t xml:space="preserve"> y </w:t>
      </w:r>
      <w:r w:rsidR="006A3CB6">
        <w:rPr>
          <w:rFonts w:ascii="Palatino Linotype" w:hAnsi="Palatino Linotype" w:cs="Arial"/>
          <w:lang w:eastAsia="es-MX"/>
        </w:rPr>
        <w:t xml:space="preserve">el </w:t>
      </w:r>
      <w:r w:rsidR="004D6A83" w:rsidRPr="004D6A83">
        <w:rPr>
          <w:rFonts w:ascii="Palatino Linotype" w:hAnsi="Palatino Linotype" w:cs="Arial"/>
          <w:b/>
          <w:lang w:eastAsia="es-MX"/>
        </w:rPr>
        <w:t>RECURRENTE</w:t>
      </w:r>
      <w:r w:rsidR="00174388">
        <w:rPr>
          <w:rFonts w:ascii="Palatino Linotype" w:hAnsi="Palatino Linotype" w:cs="Arial"/>
          <w:lang w:eastAsia="es-MX"/>
        </w:rPr>
        <w:t xml:space="preserve"> presentó </w:t>
      </w:r>
      <w:r w:rsidR="00712175">
        <w:rPr>
          <w:rFonts w:ascii="Palatino Linotype" w:hAnsi="Palatino Linotype" w:cs="Arial"/>
          <w:lang w:eastAsia="es-MX"/>
        </w:rPr>
        <w:t xml:space="preserve">su </w:t>
      </w:r>
      <w:r w:rsidR="00174388">
        <w:rPr>
          <w:rFonts w:ascii="Palatino Linotype" w:hAnsi="Palatino Linotype" w:cs="Arial"/>
          <w:lang w:eastAsia="es-MX"/>
        </w:rPr>
        <w:t xml:space="preserve">recurso de revisión </w:t>
      </w:r>
      <w:r w:rsidR="00FC17BE">
        <w:rPr>
          <w:rFonts w:ascii="Palatino Linotype" w:hAnsi="Palatino Linotype" w:cs="Arial"/>
          <w:lang w:eastAsia="es-MX"/>
        </w:rPr>
        <w:t>el once</w:t>
      </w:r>
      <w:r w:rsidR="00C16F76">
        <w:rPr>
          <w:rFonts w:ascii="Palatino Linotype" w:hAnsi="Palatino Linotype" w:cs="Arial"/>
          <w:lang w:eastAsia="es-MX"/>
        </w:rPr>
        <w:t xml:space="preserve"> del mismo </w:t>
      </w:r>
      <w:r w:rsidR="00BB2163">
        <w:rPr>
          <w:rFonts w:ascii="Palatino Linotype" w:hAnsi="Palatino Linotype" w:cs="Arial"/>
          <w:lang w:eastAsia="es-MX"/>
        </w:rPr>
        <w:t xml:space="preserve">mes y </w:t>
      </w:r>
      <w:r w:rsidR="00C16F76">
        <w:rPr>
          <w:rFonts w:ascii="Palatino Linotype" w:hAnsi="Palatino Linotype" w:cs="Arial"/>
          <w:lang w:eastAsia="es-MX"/>
        </w:rPr>
        <w:t xml:space="preserve">año, </w:t>
      </w:r>
      <w:r w:rsidR="00BB2163">
        <w:rPr>
          <w:rFonts w:ascii="Palatino Linotype" w:eastAsia="Palatino Linotype" w:hAnsi="Palatino Linotype" w:cs="Palatino Linotype"/>
        </w:rPr>
        <w:t>esto es al tercer</w:t>
      </w:r>
      <w:r w:rsidR="00510F8E">
        <w:rPr>
          <w:rFonts w:ascii="Palatino Linotype" w:eastAsia="Palatino Linotype" w:hAnsi="Palatino Linotype" w:cs="Palatino Linotype"/>
        </w:rPr>
        <w:t xml:space="preserve"> </w:t>
      </w:r>
      <w:r w:rsidR="00C16F76">
        <w:rPr>
          <w:rFonts w:ascii="Palatino Linotype" w:eastAsia="Palatino Linotype" w:hAnsi="Palatino Linotype" w:cs="Palatino Linotype"/>
        </w:rPr>
        <w:t>día hábil siguiente de aquel en que tuvo conocimiento de la respuesta</w:t>
      </w:r>
      <w:r w:rsidR="00C16F76">
        <w:rPr>
          <w:rFonts w:ascii="Palatino Linotype" w:eastAsia="Palatino Linotype" w:hAnsi="Palatino Linotype" w:cs="Palatino Linotype"/>
          <w:highlight w:val="white"/>
        </w:rPr>
        <w:t>;</w:t>
      </w:r>
      <w:r w:rsidR="00C16F76">
        <w:rPr>
          <w:rFonts w:ascii="Palatino Linotype" w:eastAsia="Palatino Linotype" w:hAnsi="Palatino Linotype" w:cs="Palatino Linotype"/>
        </w:rPr>
        <w:t xml:space="preserve"> evidenc</w:t>
      </w:r>
      <w:r w:rsidR="00510F8E">
        <w:rPr>
          <w:rFonts w:ascii="Palatino Linotype" w:eastAsia="Palatino Linotype" w:hAnsi="Palatino Linotype" w:cs="Palatino Linotype"/>
        </w:rPr>
        <w:t>ián</w:t>
      </w:r>
      <w:r w:rsidR="00712175">
        <w:rPr>
          <w:rFonts w:ascii="Palatino Linotype" w:eastAsia="Palatino Linotype" w:hAnsi="Palatino Linotype" w:cs="Palatino Linotype"/>
        </w:rPr>
        <w:t>dose que la interposición del</w:t>
      </w:r>
      <w:r w:rsidR="00C16F76">
        <w:rPr>
          <w:rFonts w:ascii="Palatino Linotype" w:eastAsia="Palatino Linotype" w:hAnsi="Palatino Linotype" w:cs="Palatino Linotype"/>
        </w:rPr>
        <w:t xml:space="preserve"> recurso se encuentra dentro de los márgenes temporales previstos en el citado precepto legal.</w:t>
      </w: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olor w:val="000000"/>
        </w:rPr>
        <w:lastRenderedPageBreak/>
        <w:t xml:space="preserve">Al mismo tiempo, </w:t>
      </w:r>
      <w:r>
        <w:rPr>
          <w:rFonts w:ascii="Palatino Linotype" w:hAnsi="Palatino Linotype" w:cs="Arial"/>
        </w:rPr>
        <w:t>por cua</w:t>
      </w:r>
      <w:r w:rsidR="00510F8E">
        <w:rPr>
          <w:rFonts w:ascii="Palatino Linotype" w:hAnsi="Palatino Linotype" w:cs="Arial"/>
        </w:rPr>
        <w:t>nto</w:t>
      </w:r>
      <w:r w:rsidR="00712175">
        <w:rPr>
          <w:rFonts w:ascii="Palatino Linotype" w:hAnsi="Palatino Linotype" w:cs="Arial"/>
        </w:rPr>
        <w:t xml:space="preserve"> hace a la procedibilidad del</w:t>
      </w:r>
      <w:r>
        <w:rPr>
          <w:rFonts w:ascii="Palatino Linotype" w:hAnsi="Palatino Linotype" w:cs="Arial"/>
        </w:rPr>
        <w:t xml:space="preserve"> recurso de revisión, es de suma importancia señalar que la parte recurrente se identifica como "</w:t>
      </w:r>
      <w:r w:rsidR="003174A5">
        <w:rPr>
          <w:rFonts w:ascii="Palatino Linotype" w:hAnsi="Palatino Linotype" w:cs="Arial"/>
          <w:b/>
        </w:rPr>
        <w:t>no proporciono nombre o seudónimo</w:t>
      </w:r>
      <w:r w:rsidR="003174A5">
        <w:rPr>
          <w:rFonts w:ascii="Palatino Linotype" w:hAnsi="Palatino Linotype" w:cs="Arial"/>
        </w:rPr>
        <w:t xml:space="preserve"> </w:t>
      </w:r>
      <w:r>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9089F" w:rsidRDefault="0069089F" w:rsidP="0069089F">
      <w:pPr>
        <w:spacing w:before="240" w:after="240"/>
        <w:ind w:left="567" w:right="474"/>
        <w:contextualSpacing/>
        <w:jc w:val="both"/>
        <w:rPr>
          <w:rFonts w:ascii="Palatino Linotype" w:hAnsi="Palatino Linotype" w:cs="Arial"/>
          <w:i/>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69089F" w:rsidRDefault="0069089F" w:rsidP="0069089F">
      <w:pPr>
        <w:spacing w:before="240" w:after="240" w:line="360" w:lineRule="auto"/>
        <w:contextualSpacing/>
        <w:jc w:val="both"/>
        <w:rPr>
          <w:rFonts w:eastAsiaTheme="minorHAnsi"/>
          <w:i/>
          <w:iCs/>
          <w:color w:val="1F1F1F"/>
          <w:w w:val="95"/>
          <w:sz w:val="22"/>
          <w:szCs w:val="22"/>
          <w:lang w:val="es-MX" w:eastAsia="en-US"/>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rsidR="0069089F" w:rsidRDefault="0069089F" w:rsidP="0069089F">
      <w:pPr>
        <w:spacing w:before="240" w:after="240"/>
        <w:ind w:right="474"/>
        <w:contextualSpacing/>
        <w:jc w:val="both"/>
        <w:rPr>
          <w:rFonts w:ascii="Palatino Linotype" w:hAnsi="Palatino Linotype" w:cs="Arial"/>
          <w:i/>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Así como el artículo 5 fracción III, párrafo </w:t>
      </w:r>
      <w:r w:rsidR="00712175">
        <w:rPr>
          <w:rFonts w:ascii="Palatino Linotype" w:hAnsi="Palatino Linotype" w:cs="Arial"/>
        </w:rPr>
        <w:t>trigésimo,</w:t>
      </w:r>
      <w:r>
        <w:rPr>
          <w:rFonts w:ascii="Palatino Linotype" w:hAnsi="Palatino Linotype" w:cs="Arial"/>
        </w:rPr>
        <w:t xml:space="preserve"> trigésimo primero</w:t>
      </w:r>
      <w:r w:rsidR="00712175">
        <w:rPr>
          <w:rFonts w:ascii="Palatino Linotype" w:hAnsi="Palatino Linotype" w:cs="Arial"/>
        </w:rPr>
        <w:t xml:space="preserve"> y trigésimo segundo</w:t>
      </w:r>
      <w:r>
        <w:rPr>
          <w:rFonts w:ascii="Palatino Linotype" w:hAnsi="Palatino Linotype" w:cs="Arial"/>
        </w:rPr>
        <w:t>, de la Constitución Política del Estado Libre y Soberano de México, que determina lo siguiente:</w:t>
      </w:r>
    </w:p>
    <w:p w:rsidR="0069089F" w:rsidRDefault="0069089F" w:rsidP="0069089F">
      <w:pPr>
        <w:spacing w:before="240" w:after="240"/>
        <w:ind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69089F" w:rsidRDefault="0069089F" w:rsidP="0069089F">
      <w:pPr>
        <w:spacing w:before="240" w:after="240"/>
        <w:ind w:left="567" w:right="474"/>
        <w:contextualSpacing/>
        <w:jc w:val="both"/>
        <w:rPr>
          <w:rFonts w:ascii="Palatino Linotype" w:hAnsi="Palatino Linotype" w:cs="Arial"/>
          <w:i/>
          <w:sz w:val="22"/>
          <w:szCs w:val="22"/>
        </w:rPr>
      </w:pP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69089F" w:rsidRDefault="0069089F" w:rsidP="0069089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9089F" w:rsidRDefault="0069089F" w:rsidP="0069089F">
      <w:pPr>
        <w:spacing w:before="240" w:after="240" w:line="360" w:lineRule="auto"/>
        <w:contextualSpacing/>
        <w:jc w:val="both"/>
        <w:rPr>
          <w:rFonts w:eastAsiaTheme="minorHAnsi"/>
          <w:i/>
          <w:iCs/>
          <w:sz w:val="23"/>
          <w:szCs w:val="23"/>
          <w:lang w:val="es-MX" w:eastAsia="en-US"/>
        </w:rPr>
      </w:pPr>
    </w:p>
    <w:p w:rsidR="0069089F" w:rsidRDefault="0069089F" w:rsidP="0069089F">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9089F" w:rsidRDefault="0069089F" w:rsidP="0069089F">
      <w:pPr>
        <w:spacing w:line="360" w:lineRule="auto"/>
        <w:jc w:val="both"/>
        <w:rPr>
          <w:rFonts w:ascii="Palatino Linotype" w:hAnsi="Palatino Linotype" w:cs="Arial"/>
        </w:rPr>
      </w:pPr>
    </w:p>
    <w:p w:rsidR="0069089F" w:rsidRDefault="0069089F" w:rsidP="0069089F">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69089F" w:rsidRDefault="0069089F" w:rsidP="0069089F">
      <w:pPr>
        <w:ind w:left="851" w:right="758"/>
        <w:contextualSpacing/>
        <w:jc w:val="both"/>
        <w:rPr>
          <w:rFonts w:ascii="Palatino Linotype" w:hAnsi="Palatino Linotype"/>
          <w:i/>
        </w:rPr>
      </w:pPr>
    </w:p>
    <w:p w:rsidR="0069089F" w:rsidRPr="003174A5" w:rsidRDefault="0069089F" w:rsidP="0069089F">
      <w:pPr>
        <w:ind w:left="851" w:right="758"/>
        <w:contextualSpacing/>
        <w:jc w:val="both"/>
        <w:rPr>
          <w:rFonts w:ascii="Palatino Linotype" w:hAnsi="Palatino Linotype"/>
          <w:i/>
          <w:sz w:val="22"/>
          <w:szCs w:val="22"/>
        </w:rPr>
      </w:pPr>
      <w:r w:rsidRPr="003174A5">
        <w:rPr>
          <w:rFonts w:ascii="Palatino Linotype" w:hAnsi="Palatino Linotype"/>
          <w:i/>
          <w:sz w:val="22"/>
          <w:szCs w:val="22"/>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w:t>
      </w:r>
      <w:r w:rsidRPr="003174A5">
        <w:rPr>
          <w:rFonts w:ascii="Palatino Linotype" w:hAnsi="Palatino Linotype"/>
          <w:i/>
          <w:sz w:val="22"/>
          <w:szCs w:val="22"/>
        </w:rPr>
        <w:lastRenderedPageBreak/>
        <w:t>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3174A5" w:rsidRDefault="003174A5" w:rsidP="0069089F">
      <w:pPr>
        <w:spacing w:line="360" w:lineRule="auto"/>
        <w:jc w:val="both"/>
        <w:rPr>
          <w:rFonts w:ascii="Palatino Linotype" w:hAnsi="Palatino Linotype"/>
        </w:rPr>
      </w:pPr>
    </w:p>
    <w:p w:rsidR="0069089F" w:rsidRDefault="0069089F" w:rsidP="0069089F">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9089F" w:rsidRDefault="0069089F"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69089F" w:rsidRPr="009F13BD" w:rsidRDefault="0069089F" w:rsidP="0069089F">
      <w:pPr>
        <w:autoSpaceDE w:val="0"/>
        <w:autoSpaceDN w:val="0"/>
        <w:adjustRightInd w:val="0"/>
        <w:spacing w:line="360" w:lineRule="auto"/>
        <w:jc w:val="both"/>
        <w:rPr>
          <w:rFonts w:ascii="Palatino Linotype" w:hAnsi="Palatino Linotype" w:cs="Arial"/>
        </w:rPr>
      </w:pPr>
      <w:r w:rsidRPr="009F13BD">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9089F" w:rsidRDefault="00DF3A3E" w:rsidP="0069089F">
      <w:pPr>
        <w:autoSpaceDE w:val="0"/>
        <w:autoSpaceDN w:val="0"/>
        <w:adjustRightInd w:val="0"/>
        <w:spacing w:before="240" w:after="240" w:line="360" w:lineRule="auto"/>
        <w:jc w:val="both"/>
        <w:rPr>
          <w:rFonts w:ascii="Palatino Linotype" w:hAnsi="Palatino Linotype" w:cs="Arial"/>
          <w:b/>
        </w:rPr>
      </w:pPr>
      <w:r w:rsidRPr="008B38A0">
        <w:rPr>
          <w:rFonts w:ascii="Palatino Linotype" w:hAnsi="Palatino Linotype" w:cs="Arial"/>
          <w:b/>
        </w:rPr>
        <w:lastRenderedPageBreak/>
        <w:t xml:space="preserve">Tercero. </w:t>
      </w:r>
      <w:r w:rsidR="0069089F" w:rsidRPr="008D1148">
        <w:rPr>
          <w:rFonts w:ascii="Palatino Linotype" w:hAnsi="Palatino Linotype" w:cs="Arial"/>
          <w:b/>
        </w:rPr>
        <w:t>Análisis de las causales de improcedencia y sobreseimiento.</w:t>
      </w:r>
      <w:r w:rsidR="00134728">
        <w:rPr>
          <w:rFonts w:ascii="Palatino Linotype" w:hAnsi="Palatino Linotype" w:cs="Arial"/>
          <w:b/>
        </w:rPr>
        <w:t xml:space="preserve"> </w:t>
      </w: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r w:rsidRPr="009F13BD">
        <w:rPr>
          <w:rFonts w:ascii="Palatino Linotype" w:eastAsiaTheme="minorEastAsia" w:hAnsi="Palatino Linotype" w:cs="Arial"/>
          <w:lang w:val="es-ES_tradnl"/>
        </w:rPr>
        <w:t xml:space="preserve">Es menester resaltar que en el procedimiento de acceso a la información pública y de </w:t>
      </w:r>
      <w:r w:rsidRPr="00F1546C">
        <w:rPr>
          <w:rFonts w:ascii="Palatino Linotype" w:eastAsiaTheme="minorEastAsia" w:hAnsi="Palatino Linotype" w:cs="Arial"/>
          <w:lang w:val="es-ES_tradnl"/>
        </w:rPr>
        <w:t xml:space="preserve">los medios de impugnación de la materia, se advierten diversos supuestos de procedibilidad que deben estudiarse </w:t>
      </w:r>
      <w:r w:rsidRPr="009F13BD">
        <w:rPr>
          <w:rFonts w:ascii="Palatino Linotype" w:eastAsiaTheme="minorEastAsia" w:hAnsi="Palatino Linotype" w:cs="Arial"/>
          <w:lang w:val="es-ES_tradnl"/>
        </w:rPr>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p>
    <w:p w:rsidR="0069089F" w:rsidRPr="009F13BD"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r w:rsidRPr="009F13BD">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w:t>
      </w:r>
      <w:r>
        <w:rPr>
          <w:rFonts w:ascii="Palatino Linotype" w:eastAsiaTheme="minorEastAsia" w:hAnsi="Palatino Linotype" w:cs="Arial"/>
          <w:lang w:val="es-ES_tradnl"/>
        </w:rPr>
        <w:t>Instituto</w:t>
      </w:r>
      <w:r w:rsidRPr="009F13BD">
        <w:rPr>
          <w:rFonts w:ascii="Palatino Linotype" w:eastAsiaTheme="minorEastAsia" w:hAnsi="Palatino Linotype" w:cs="Arial"/>
          <w:lang w:val="es-ES_tradn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69089F" w:rsidRPr="0047590A" w:rsidRDefault="0069089F" w:rsidP="0069089F">
      <w:pPr>
        <w:autoSpaceDE w:val="0"/>
        <w:autoSpaceDN w:val="0"/>
        <w:adjustRightInd w:val="0"/>
        <w:spacing w:line="360" w:lineRule="auto"/>
        <w:contextualSpacing/>
        <w:jc w:val="both"/>
        <w:rPr>
          <w:rFonts w:ascii="Palatino Linotype" w:eastAsiaTheme="minorEastAsia" w:hAnsi="Palatino Linotype" w:cs="Arial"/>
          <w:lang w:val="es-ES_tradnl"/>
        </w:rPr>
      </w:pPr>
    </w:p>
    <w:p w:rsidR="0069089F" w:rsidRPr="00D53885" w:rsidRDefault="0069089F" w:rsidP="0069089F">
      <w:pPr>
        <w:pStyle w:val="Prrafodelista"/>
        <w:spacing w:line="360" w:lineRule="auto"/>
        <w:ind w:left="0" w:right="49"/>
        <w:jc w:val="both"/>
        <w:rPr>
          <w:rFonts w:ascii="Palatino Linotype" w:hAnsi="Palatino Linotype" w:cs="Arial"/>
          <w:color w:val="000000" w:themeColor="text1"/>
          <w:sz w:val="24"/>
          <w:szCs w:val="24"/>
        </w:rPr>
      </w:pPr>
      <w:r w:rsidRPr="00D53885">
        <w:rPr>
          <w:rFonts w:ascii="Palatino Linotype" w:hAnsi="Palatino Linotype"/>
          <w:bCs/>
          <w:sz w:val="24"/>
          <w:szCs w:val="24"/>
        </w:rPr>
        <w:t xml:space="preserve">Por lo que se advierte del contenido de la solicitud de información el </w:t>
      </w:r>
      <w:r w:rsidR="00451483" w:rsidRPr="00D53885">
        <w:rPr>
          <w:rFonts w:ascii="Palatino Linotype" w:hAnsi="Palatino Linotype"/>
          <w:b/>
          <w:bCs/>
          <w:sz w:val="24"/>
          <w:szCs w:val="24"/>
        </w:rPr>
        <w:t>RECURRENTE</w:t>
      </w:r>
      <w:r w:rsidRPr="00D53885">
        <w:rPr>
          <w:rFonts w:ascii="Palatino Linotype" w:hAnsi="Palatino Linotype"/>
          <w:b/>
          <w:bCs/>
          <w:sz w:val="24"/>
          <w:szCs w:val="24"/>
        </w:rPr>
        <w:t xml:space="preserve"> </w:t>
      </w:r>
      <w:r w:rsidRPr="00D53885">
        <w:rPr>
          <w:rFonts w:ascii="Palatino Linotype" w:hAnsi="Palatino Linotype"/>
          <w:bCs/>
          <w:sz w:val="24"/>
          <w:szCs w:val="24"/>
        </w:rPr>
        <w:t>peticiona lo siguiente:</w:t>
      </w:r>
    </w:p>
    <w:p w:rsidR="00F1546C" w:rsidRPr="00712175" w:rsidRDefault="00F1546C" w:rsidP="00F1546C">
      <w:pPr>
        <w:spacing w:before="240" w:after="240" w:line="360" w:lineRule="auto"/>
        <w:jc w:val="center"/>
        <w:rPr>
          <w:rFonts w:ascii="Palatino Linotype" w:hAnsi="Palatino Linotype" w:cs="Arial"/>
          <w:i/>
          <w:sz w:val="22"/>
          <w:szCs w:val="22"/>
        </w:rPr>
      </w:pPr>
      <w:r w:rsidRPr="00712175">
        <w:rPr>
          <w:rFonts w:ascii="Palatino Linotype" w:hAnsi="Palatino Linotype" w:cs="Arial"/>
          <w:i/>
          <w:sz w:val="22"/>
          <w:szCs w:val="22"/>
        </w:rPr>
        <w:t>“Solicito el número de cuenta bancaria del municipio.” (Sic)</w:t>
      </w:r>
    </w:p>
    <w:p w:rsidR="0069089F" w:rsidRPr="00FA085D" w:rsidRDefault="0069089F" w:rsidP="00510F8E">
      <w:pPr>
        <w:spacing w:line="360" w:lineRule="auto"/>
        <w:contextualSpacing/>
        <w:jc w:val="both"/>
        <w:rPr>
          <w:rFonts w:ascii="Palatino Linotype" w:hAnsi="Palatino Linotype"/>
          <w:bCs/>
        </w:rPr>
      </w:pPr>
      <w:r w:rsidRPr="00FA085D">
        <w:rPr>
          <w:rFonts w:ascii="Palatino Linotype" w:hAnsi="Palatino Linotype" w:cs="Arial"/>
          <w:color w:val="000000" w:themeColor="text1"/>
        </w:rPr>
        <w:lastRenderedPageBreak/>
        <w:t>Acotado lo anterior, de</w:t>
      </w:r>
      <w:r w:rsidR="00510F8E">
        <w:rPr>
          <w:rFonts w:ascii="Palatino Linotype" w:hAnsi="Palatino Linotype" w:cs="Arial"/>
          <w:color w:val="000000" w:themeColor="text1"/>
        </w:rPr>
        <w:t xml:space="preserve"> </w:t>
      </w:r>
      <w:r w:rsidR="00F1546C">
        <w:rPr>
          <w:rFonts w:ascii="Palatino Linotype" w:hAnsi="Palatino Linotype" w:cs="Arial"/>
          <w:color w:val="000000" w:themeColor="text1"/>
        </w:rPr>
        <w:t>las constancias que integran el</w:t>
      </w:r>
      <w:r w:rsidRPr="00FA085D">
        <w:rPr>
          <w:rFonts w:ascii="Palatino Linotype" w:hAnsi="Palatino Linotype" w:cs="Arial"/>
          <w:color w:val="000000" w:themeColor="text1"/>
        </w:rPr>
        <w:t xml:space="preserve"> expediente, se observa que el </w:t>
      </w:r>
      <w:r w:rsidR="00451483" w:rsidRPr="00FA085D">
        <w:rPr>
          <w:rFonts w:ascii="Palatino Linotype" w:hAnsi="Palatino Linotype" w:cs="Arial"/>
          <w:b/>
          <w:color w:val="000000" w:themeColor="text1"/>
        </w:rPr>
        <w:t>SUJETO OBLIGADO</w:t>
      </w:r>
      <w:r w:rsidR="00451483" w:rsidRPr="00FA085D">
        <w:rPr>
          <w:rFonts w:ascii="Palatino Linotype" w:hAnsi="Palatino Linotype" w:cs="Arial"/>
          <w:color w:val="000000" w:themeColor="text1"/>
        </w:rPr>
        <w:t xml:space="preserve"> </w:t>
      </w:r>
      <w:r w:rsidR="00D53885">
        <w:rPr>
          <w:rFonts w:ascii="Palatino Linotype" w:hAnsi="Palatino Linotype" w:cs="Arial"/>
          <w:color w:val="000000" w:themeColor="text1"/>
        </w:rPr>
        <w:t>dio su respuesta</w:t>
      </w:r>
      <w:r w:rsidR="00510F8E">
        <w:rPr>
          <w:rFonts w:ascii="Palatino Linotype" w:hAnsi="Palatino Linotype" w:cs="Arial"/>
          <w:color w:val="000000" w:themeColor="text1"/>
        </w:rPr>
        <w:t xml:space="preserve"> a</w:t>
      </w:r>
      <w:r w:rsidR="00F1546C">
        <w:rPr>
          <w:rFonts w:ascii="Palatino Linotype" w:hAnsi="Palatino Linotype" w:cs="Arial"/>
          <w:color w:val="000000" w:themeColor="text1"/>
        </w:rPr>
        <w:t xml:space="preserve"> través del</w:t>
      </w:r>
      <w:r w:rsidR="00D53885">
        <w:rPr>
          <w:rFonts w:ascii="Palatino Linotype" w:hAnsi="Palatino Linotype" w:cs="Arial"/>
          <w:color w:val="000000" w:themeColor="text1"/>
        </w:rPr>
        <w:t xml:space="preserve"> archivo electrónico siguiente</w:t>
      </w:r>
      <w:r w:rsidRPr="00FA085D">
        <w:rPr>
          <w:rFonts w:ascii="Palatino Linotype" w:hAnsi="Palatino Linotype"/>
          <w:bCs/>
        </w:rPr>
        <w:t>:</w:t>
      </w:r>
    </w:p>
    <w:p w:rsidR="00D53885" w:rsidRDefault="00D53885" w:rsidP="0069089F">
      <w:pPr>
        <w:spacing w:line="360" w:lineRule="auto"/>
        <w:jc w:val="both"/>
        <w:rPr>
          <w:rFonts w:ascii="Palatino Linotype" w:hAnsi="Palatino Linotype" w:cs="Arial"/>
        </w:rPr>
      </w:pPr>
    </w:p>
    <w:p w:rsidR="00510F8E" w:rsidRDefault="00F1546C" w:rsidP="0069089F">
      <w:pPr>
        <w:spacing w:line="360" w:lineRule="auto"/>
        <w:jc w:val="both"/>
        <w:rPr>
          <w:rFonts w:ascii="Palatino Linotype" w:hAnsi="Palatino Linotype" w:cs="Arial"/>
        </w:rPr>
      </w:pPr>
      <w:r>
        <w:rPr>
          <w:rFonts w:ascii="Palatino Linotype" w:hAnsi="Palatino Linotype" w:cs="Arial"/>
        </w:rPr>
        <w:t>“</w:t>
      </w:r>
      <w:hyperlink r:id="rId10" w:tgtFrame="_blank" w:history="1">
        <w:r w:rsidRPr="00712175">
          <w:rPr>
            <w:rFonts w:ascii="Palatino Linotype" w:hAnsi="Palatino Linotype"/>
          </w:rPr>
          <w:t>153-2021.jpg</w:t>
        </w:r>
      </w:hyperlink>
      <w:r w:rsidR="00D53885">
        <w:rPr>
          <w:rFonts w:ascii="Palatino Linotype" w:hAnsi="Palatino Linotype" w:cs="Arial"/>
          <w:color w:val="000000" w:themeColor="text1"/>
        </w:rPr>
        <w:t xml:space="preserve">”, </w:t>
      </w:r>
      <w:r w:rsidR="00510F8E">
        <w:rPr>
          <w:rFonts w:ascii="Palatino Linotype" w:hAnsi="Palatino Linotype" w:cs="Arial"/>
        </w:rPr>
        <w:t xml:space="preserve">el cual contiene una imagen de la respuesta del </w:t>
      </w:r>
      <w:r>
        <w:rPr>
          <w:rFonts w:ascii="Palatino Linotype" w:hAnsi="Palatino Linotype" w:cs="Arial"/>
        </w:rPr>
        <w:t>Tesorero Municipal</w:t>
      </w:r>
      <w:r w:rsidR="004854F2">
        <w:rPr>
          <w:rFonts w:ascii="Palatino Linotype" w:hAnsi="Palatino Linotype" w:cs="Arial"/>
        </w:rPr>
        <w:t xml:space="preserve"> del Sujeto Obl</w:t>
      </w:r>
      <w:r>
        <w:rPr>
          <w:rFonts w:ascii="Palatino Linotype" w:hAnsi="Palatino Linotype" w:cs="Arial"/>
        </w:rPr>
        <w:t>igado, a través del cual proporcionó</w:t>
      </w:r>
      <w:r w:rsidR="004854F2">
        <w:rPr>
          <w:rFonts w:ascii="Palatino Linotype" w:hAnsi="Palatino Linotype" w:cs="Arial"/>
        </w:rPr>
        <w:t xml:space="preserve"> al Titular de la Unidad de Transparencia y Acceso a la Información, también del Ayuntamiento de Almoloya de Alquisiras, </w:t>
      </w:r>
      <w:r>
        <w:rPr>
          <w:rFonts w:ascii="Palatino Linotype" w:hAnsi="Palatino Linotype" w:cs="Arial"/>
        </w:rPr>
        <w:t>el número de cuenta bancaria de los ingresos propios del Mu</w:t>
      </w:r>
      <w:r w:rsidR="004D6A83">
        <w:rPr>
          <w:rFonts w:ascii="Palatino Linotype" w:hAnsi="Palatino Linotype" w:cs="Arial"/>
        </w:rPr>
        <w:t>nicipio, de la Sucursal Banorte, como se distingue en la siguiente imagen:</w:t>
      </w:r>
    </w:p>
    <w:p w:rsidR="004D6A83" w:rsidRDefault="004D6A83" w:rsidP="0069089F">
      <w:pPr>
        <w:spacing w:line="360" w:lineRule="auto"/>
        <w:jc w:val="both"/>
        <w:rPr>
          <w:rFonts w:ascii="Palatino Linotype" w:hAnsi="Palatino Linotype" w:cs="Arial"/>
        </w:rPr>
      </w:pPr>
      <w:r>
        <w:rPr>
          <w:noProof/>
          <w:lang w:val="es-MX" w:eastAsia="es-MX"/>
        </w:rPr>
        <w:drawing>
          <wp:inline distT="0" distB="0" distL="0" distR="0" wp14:anchorId="1FC54C75" wp14:editId="7BDC918C">
            <wp:extent cx="5130684" cy="46948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5576" t="13187" r="12319" b="8547"/>
                    <a:stretch/>
                  </pic:blipFill>
                  <pic:spPr bwMode="auto">
                    <a:xfrm>
                      <a:off x="0" y="0"/>
                      <a:ext cx="5157303" cy="4719186"/>
                    </a:xfrm>
                    <a:prstGeom prst="rect">
                      <a:avLst/>
                    </a:prstGeom>
                    <a:ln>
                      <a:noFill/>
                    </a:ln>
                    <a:extLst>
                      <a:ext uri="{53640926-AAD7-44D8-BBD7-CCE9431645EC}">
                        <a14:shadowObscured xmlns:a14="http://schemas.microsoft.com/office/drawing/2010/main"/>
                      </a:ext>
                    </a:extLst>
                  </pic:spPr>
                </pic:pic>
              </a:graphicData>
            </a:graphic>
          </wp:inline>
        </w:drawing>
      </w:r>
    </w:p>
    <w:p w:rsidR="00F1546C" w:rsidRDefault="00F1546C" w:rsidP="0069089F">
      <w:pPr>
        <w:spacing w:line="360" w:lineRule="auto"/>
        <w:jc w:val="both"/>
        <w:rPr>
          <w:rFonts w:ascii="Palatino Linotype" w:hAnsi="Palatino Linotype" w:cs="Arial"/>
        </w:rPr>
      </w:pPr>
    </w:p>
    <w:p w:rsidR="0069089F" w:rsidRDefault="0069089F" w:rsidP="0069089F">
      <w:pPr>
        <w:spacing w:line="360" w:lineRule="auto"/>
        <w:jc w:val="both"/>
        <w:rPr>
          <w:rFonts w:ascii="Palatino Linotype" w:hAnsi="Palatino Linotype"/>
          <w:bCs/>
        </w:rPr>
      </w:pPr>
      <w:r w:rsidRPr="00A62780">
        <w:rPr>
          <w:rFonts w:ascii="Palatino Linotype" w:hAnsi="Palatino Linotype"/>
          <w:bCs/>
        </w:rPr>
        <w:lastRenderedPageBreak/>
        <w:t xml:space="preserve">Ahora bien, inconforme con la </w:t>
      </w:r>
      <w:r w:rsidR="00D06FD7">
        <w:rPr>
          <w:rFonts w:ascii="Palatino Linotype" w:hAnsi="Palatino Linotype"/>
          <w:bCs/>
        </w:rPr>
        <w:t>respuesta</w:t>
      </w:r>
      <w:r w:rsidRPr="00A62780">
        <w:rPr>
          <w:rFonts w:ascii="Palatino Linotype" w:hAnsi="Palatino Linotype"/>
          <w:bCs/>
        </w:rPr>
        <w:t xml:space="preserve">, el </w:t>
      </w:r>
      <w:r w:rsidR="00451483" w:rsidRPr="00A62780">
        <w:rPr>
          <w:rFonts w:ascii="Palatino Linotype" w:hAnsi="Palatino Linotype"/>
          <w:b/>
          <w:bCs/>
        </w:rPr>
        <w:t>RECURRENTE</w:t>
      </w:r>
      <w:r w:rsidR="00F1546C">
        <w:rPr>
          <w:rFonts w:ascii="Palatino Linotype" w:hAnsi="Palatino Linotype"/>
          <w:bCs/>
        </w:rPr>
        <w:t xml:space="preserve"> interpone el</w:t>
      </w:r>
      <w:r w:rsidRPr="00A62780">
        <w:rPr>
          <w:rFonts w:ascii="Palatino Linotype" w:hAnsi="Palatino Linotype"/>
          <w:bCs/>
        </w:rPr>
        <w:t xml:space="preserve"> presente recurso de revisión, señalando como acto impugnado y razones o motivos de inconformidad: </w:t>
      </w:r>
      <w:r w:rsidRPr="00A62780">
        <w:rPr>
          <w:rFonts w:ascii="Palatino Linotype" w:hAnsi="Palatino Linotype"/>
          <w:bCs/>
          <w:i/>
        </w:rPr>
        <w:t xml:space="preserve">“Solicito recurso de revisión por la forma de clasificación de la </w:t>
      </w:r>
      <w:proofErr w:type="spellStart"/>
      <w:r w:rsidRPr="00A62780">
        <w:rPr>
          <w:rFonts w:ascii="Palatino Linotype" w:hAnsi="Palatino Linotype"/>
          <w:bCs/>
          <w:i/>
        </w:rPr>
        <w:t>informacion</w:t>
      </w:r>
      <w:proofErr w:type="spellEnd"/>
      <w:r w:rsidRPr="00A62780">
        <w:rPr>
          <w:rFonts w:ascii="Palatino Linotype" w:hAnsi="Palatino Linotype"/>
          <w:bCs/>
          <w:i/>
        </w:rPr>
        <w:t>”</w:t>
      </w:r>
      <w:r w:rsidRPr="00A62780">
        <w:rPr>
          <w:rFonts w:ascii="Palatino Linotype" w:hAnsi="Palatino Linotype"/>
          <w:bCs/>
        </w:rPr>
        <w:t xml:space="preserve"> (sic), razones o motivos de inconformidad que encuadran en</w:t>
      </w:r>
      <w:r w:rsidR="004854F2">
        <w:rPr>
          <w:rFonts w:ascii="Palatino Linotype" w:hAnsi="Palatino Linotype"/>
          <w:bCs/>
        </w:rPr>
        <w:t xml:space="preserve"> lo establecido en la fracción II</w:t>
      </w:r>
      <w:r w:rsidRPr="00A62780">
        <w:rPr>
          <w:rFonts w:ascii="Palatino Linotype" w:hAnsi="Palatino Linotype"/>
          <w:bCs/>
        </w:rPr>
        <w:t xml:space="preserve"> del artículo 179 de la Ley de Transparencia y Acceso a la Información Pública del Estado de México y Municipios, los cuales establecen lo siguiente:</w:t>
      </w:r>
    </w:p>
    <w:p w:rsidR="004854F2" w:rsidRPr="00A62780" w:rsidRDefault="004854F2" w:rsidP="0069089F">
      <w:pPr>
        <w:spacing w:line="360" w:lineRule="auto"/>
        <w:jc w:val="both"/>
        <w:rPr>
          <w:rFonts w:ascii="Palatino Linotype" w:hAnsi="Palatino Linotype"/>
          <w:bCs/>
        </w:rPr>
      </w:pPr>
    </w:p>
    <w:p w:rsidR="0069089F" w:rsidRPr="00DE5D50" w:rsidRDefault="0069089F" w:rsidP="0069089F">
      <w:pPr>
        <w:ind w:left="567" w:right="616"/>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69089F" w:rsidRPr="008223B3" w:rsidRDefault="0069089F" w:rsidP="0069089F">
      <w:pPr>
        <w:ind w:left="567" w:right="616"/>
        <w:jc w:val="both"/>
        <w:rPr>
          <w:rFonts w:ascii="Palatino Linotype" w:hAnsi="Palatino Linotype"/>
          <w:bCs/>
          <w:i/>
        </w:rPr>
      </w:pPr>
      <w:r w:rsidRPr="008223B3">
        <w:rPr>
          <w:rFonts w:ascii="Palatino Linotype" w:hAnsi="Palatino Linotype"/>
          <w:bCs/>
          <w:i/>
        </w:rPr>
        <w:t>(…)</w:t>
      </w:r>
    </w:p>
    <w:p w:rsidR="0069089F" w:rsidRDefault="0069089F" w:rsidP="0069089F">
      <w:pPr>
        <w:ind w:left="567" w:right="616"/>
        <w:jc w:val="both"/>
        <w:rPr>
          <w:rFonts w:ascii="Palatino Linotype" w:hAnsi="Palatino Linotype"/>
          <w:bCs/>
          <w:i/>
        </w:rPr>
      </w:pPr>
      <w:r w:rsidRPr="00604DA7">
        <w:rPr>
          <w:rFonts w:ascii="Palatino Linotype" w:hAnsi="Palatino Linotype"/>
          <w:b/>
          <w:bCs/>
          <w:i/>
        </w:rPr>
        <w:t xml:space="preserve">II. </w:t>
      </w:r>
      <w:r w:rsidRPr="00604DA7">
        <w:rPr>
          <w:rFonts w:ascii="Palatino Linotype" w:hAnsi="Palatino Linotype"/>
          <w:bCs/>
          <w:i/>
        </w:rPr>
        <w:t>La c</w:t>
      </w:r>
      <w:r w:rsidR="00D06FD7">
        <w:rPr>
          <w:rFonts w:ascii="Palatino Linotype" w:hAnsi="Palatino Linotype"/>
          <w:bCs/>
          <w:i/>
        </w:rPr>
        <w:t>lasificación de la información</w:t>
      </w:r>
      <w:r w:rsidR="004854F2">
        <w:rPr>
          <w:rFonts w:ascii="Palatino Linotype" w:hAnsi="Palatino Linotype"/>
          <w:bCs/>
          <w:i/>
        </w:rPr>
        <w:t>… (</w:t>
      </w:r>
      <w:r w:rsidR="00D06FD7">
        <w:rPr>
          <w:rFonts w:ascii="Palatino Linotype" w:hAnsi="Palatino Linotype"/>
          <w:bCs/>
          <w:i/>
        </w:rPr>
        <w:t>Sic)</w:t>
      </w:r>
    </w:p>
    <w:p w:rsidR="0069089F" w:rsidRPr="009506F0" w:rsidRDefault="0069089F" w:rsidP="0069089F">
      <w:pPr>
        <w:ind w:left="567" w:right="616"/>
        <w:jc w:val="both"/>
        <w:rPr>
          <w:rFonts w:ascii="Palatino Linotype" w:hAnsi="Palatino Linotype"/>
          <w:bCs/>
          <w:i/>
        </w:rPr>
      </w:pPr>
    </w:p>
    <w:p w:rsidR="0069089F" w:rsidRPr="009506F0" w:rsidRDefault="0069089F" w:rsidP="0069089F">
      <w:pPr>
        <w:spacing w:line="360" w:lineRule="auto"/>
        <w:jc w:val="both"/>
        <w:rPr>
          <w:rFonts w:ascii="Palatino Linotype" w:hAnsi="Palatino Linotype"/>
          <w:bCs/>
        </w:rPr>
      </w:pPr>
      <w:r>
        <w:rPr>
          <w:rFonts w:ascii="Palatino Linotype" w:hAnsi="Palatino Linotype"/>
          <w:bCs/>
        </w:rPr>
        <w:t xml:space="preserve">Atentos a las razones </w:t>
      </w:r>
      <w:r w:rsidRPr="009506F0">
        <w:rPr>
          <w:rFonts w:ascii="Palatino Linotype" w:hAnsi="Palatino Linotype"/>
          <w:bCs/>
        </w:rPr>
        <w:t>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69089F" w:rsidRDefault="0069089F" w:rsidP="0069089F">
      <w:pPr>
        <w:spacing w:line="360" w:lineRule="auto"/>
        <w:jc w:val="both"/>
        <w:rPr>
          <w:rFonts w:ascii="Palatino Linotype" w:hAnsi="Palatino Linotype"/>
          <w:bCs/>
        </w:rPr>
      </w:pPr>
    </w:p>
    <w:p w:rsidR="0069089F" w:rsidRDefault="0069089F" w:rsidP="0069089F">
      <w:pPr>
        <w:ind w:left="567" w:right="616"/>
        <w:jc w:val="both"/>
        <w:rPr>
          <w:rFonts w:ascii="Palatino Linotype" w:hAnsi="Palatino Linotype"/>
          <w:bCs/>
          <w:i/>
        </w:rPr>
      </w:pPr>
      <w:r>
        <w:rPr>
          <w:rFonts w:ascii="Palatino Linotype" w:hAnsi="Palatino Linotype"/>
          <w:bCs/>
          <w:i/>
        </w:rPr>
        <w:t>“</w:t>
      </w: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69089F" w:rsidRDefault="0069089F" w:rsidP="0069089F">
      <w:pPr>
        <w:ind w:left="567" w:right="616"/>
        <w:jc w:val="both"/>
        <w:rPr>
          <w:rFonts w:ascii="Palatino Linotype" w:hAnsi="Palatino Linotype"/>
          <w:bCs/>
          <w:i/>
        </w:rPr>
      </w:pPr>
      <w:r>
        <w:rPr>
          <w:rFonts w:ascii="Palatino Linotype" w:hAnsi="Palatino Linotype"/>
          <w:bCs/>
          <w:i/>
        </w:rPr>
        <w:t>(…)</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lastRenderedPageBreak/>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69089F" w:rsidRDefault="0069089F" w:rsidP="0069089F">
      <w:pPr>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BD6A98" w:rsidRDefault="00BD6A98" w:rsidP="0069089F">
      <w:pPr>
        <w:ind w:left="567" w:right="616"/>
        <w:jc w:val="both"/>
        <w:rPr>
          <w:rFonts w:ascii="Palatino Linotype" w:hAnsi="Palatino Linotype"/>
          <w:b/>
          <w:bCs/>
          <w:i/>
        </w:rPr>
      </w:pPr>
      <w:r>
        <w:rPr>
          <w:rFonts w:ascii="Palatino Linotype" w:hAnsi="Palatino Linotype"/>
          <w:b/>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 xml:space="preserve">información en su poder </w:t>
      </w:r>
      <w:proofErr w:type="spellStart"/>
      <w:r w:rsidRPr="00C47688">
        <w:rPr>
          <w:rFonts w:ascii="Palatino Linotype" w:hAnsi="Palatino Linotype"/>
          <w:bCs/>
          <w:i/>
        </w:rPr>
        <w:t>actualiza</w:t>
      </w:r>
      <w:proofErr w:type="spellEnd"/>
      <w:r w:rsidRPr="00C47688">
        <w:rPr>
          <w:rFonts w:ascii="Palatino Linotype" w:hAnsi="Palatino Linotype"/>
          <w:bCs/>
          <w:i/>
        </w:rPr>
        <w:t xml:space="preserve">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r w:rsidR="00BD6A98">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 xml:space="preserve">correspondiente al Instituto, debidamente fundada y motivada, </w:t>
      </w:r>
      <w:r w:rsidRPr="00C47688">
        <w:rPr>
          <w:rFonts w:ascii="Palatino Linotype" w:hAnsi="Palatino Linotype"/>
          <w:bCs/>
          <w:i/>
        </w:rPr>
        <w:lastRenderedPageBreak/>
        <w:t>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BD6A98" w:rsidRDefault="00BD6A98" w:rsidP="0069089F">
      <w:pPr>
        <w:ind w:left="567" w:right="616"/>
        <w:jc w:val="both"/>
        <w:rPr>
          <w:rFonts w:ascii="Palatino Linotype" w:hAnsi="Palatino Linotype"/>
          <w:b/>
          <w:bCs/>
          <w:i/>
        </w:rPr>
      </w:pPr>
      <w:r>
        <w:rPr>
          <w:rFonts w:ascii="Palatino Linotype" w:hAnsi="Palatino Linotype"/>
          <w:b/>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69089F" w:rsidRDefault="00BD6A98" w:rsidP="0069089F">
      <w:pPr>
        <w:ind w:left="567" w:right="616"/>
        <w:jc w:val="both"/>
        <w:rPr>
          <w:rFonts w:ascii="Palatino Linotype" w:hAnsi="Palatino Linotype"/>
          <w:bCs/>
          <w:i/>
        </w:rPr>
      </w:pPr>
      <w:r>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69089F" w:rsidRDefault="00BD6A98" w:rsidP="0069089F">
      <w:pPr>
        <w:ind w:left="567" w:right="616"/>
        <w:jc w:val="both"/>
        <w:rPr>
          <w:rFonts w:ascii="Palatino Linotype" w:hAnsi="Palatino Linotype"/>
          <w:bCs/>
          <w:i/>
        </w:rPr>
      </w:pPr>
      <w:r>
        <w:rPr>
          <w:rFonts w:ascii="Palatino Linotype" w:hAnsi="Palatino Linotype"/>
          <w:bCs/>
          <w:i/>
        </w:rPr>
        <w:t>…</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r w:rsidR="00BD6A98">
        <w:rPr>
          <w:rFonts w:ascii="Palatino Linotype" w:hAnsi="Palatino Linotype"/>
          <w:bCs/>
          <w:i/>
        </w:rPr>
        <w:t>…</w:t>
      </w:r>
    </w:p>
    <w:p w:rsidR="0069089F" w:rsidRDefault="0069089F" w:rsidP="0069089F">
      <w:pPr>
        <w:ind w:left="567" w:right="616"/>
        <w:jc w:val="both"/>
        <w:rPr>
          <w:rFonts w:ascii="Palatino Linotype" w:hAnsi="Palatino Linotype"/>
          <w:bCs/>
          <w:i/>
        </w:rPr>
      </w:pPr>
      <w:r w:rsidRPr="00D874E6">
        <w:rPr>
          <w:rFonts w:ascii="Palatino Linotype" w:hAnsi="Palatino Linotype"/>
          <w:b/>
          <w:bCs/>
          <w:i/>
        </w:rPr>
        <w:lastRenderedPageBreak/>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69089F" w:rsidRDefault="0069089F" w:rsidP="0069089F">
      <w:pPr>
        <w:ind w:left="567" w:right="616"/>
        <w:jc w:val="both"/>
        <w:rPr>
          <w:rFonts w:ascii="Palatino Linotype" w:hAnsi="Palatino Linotype"/>
          <w:bCs/>
          <w:i/>
        </w:rPr>
      </w:pP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Capítulo II</w:t>
      </w: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De la Información Reservada</w:t>
      </w:r>
    </w:p>
    <w:p w:rsidR="0069089F" w:rsidRDefault="0069089F" w:rsidP="0069089F">
      <w:pPr>
        <w:ind w:left="567" w:right="616"/>
        <w:jc w:val="both"/>
        <w:rPr>
          <w:rFonts w:ascii="Palatino Linotype" w:hAnsi="Palatino Linotype"/>
          <w:bCs/>
          <w:i/>
        </w:rPr>
      </w:pPr>
    </w:p>
    <w:p w:rsidR="0069089F" w:rsidRPr="00C47688" w:rsidRDefault="0069089F" w:rsidP="0069089F">
      <w:pPr>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rsidR="0069089F" w:rsidRPr="00C47688" w:rsidRDefault="0069089F" w:rsidP="0069089F">
      <w:pPr>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69089F" w:rsidRPr="00C47688" w:rsidRDefault="0069089F" w:rsidP="0069089F">
      <w:pPr>
        <w:ind w:left="993" w:right="616"/>
        <w:jc w:val="both"/>
        <w:rPr>
          <w:rFonts w:ascii="Palatino Linotype" w:hAnsi="Palatino Linotype"/>
          <w:bCs/>
          <w:i/>
        </w:rPr>
      </w:pPr>
      <w:r w:rsidRPr="00C47688">
        <w:rPr>
          <w:rFonts w:ascii="Palatino Linotype" w:hAnsi="Palatino Linotype"/>
          <w:bCs/>
          <w:i/>
        </w:rPr>
        <w:t>2. La recaudación de las contribuciones.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lastRenderedPageBreak/>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69089F" w:rsidRPr="00C47688" w:rsidRDefault="0069089F" w:rsidP="0069089F">
      <w:pPr>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69089F" w:rsidRDefault="0069089F" w:rsidP="0069089F">
      <w:pPr>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69089F" w:rsidRDefault="0069089F" w:rsidP="0069089F">
      <w:pPr>
        <w:ind w:left="567" w:right="616"/>
        <w:jc w:val="both"/>
        <w:rPr>
          <w:rFonts w:ascii="Palatino Linotype" w:hAnsi="Palatino Linotype"/>
          <w:bCs/>
          <w:i/>
        </w:rPr>
      </w:pP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Capítulo III</w:t>
      </w:r>
    </w:p>
    <w:p w:rsidR="0069089F" w:rsidRPr="00D874E6" w:rsidRDefault="0069089F" w:rsidP="0069089F">
      <w:pPr>
        <w:ind w:left="567" w:right="616"/>
        <w:jc w:val="center"/>
        <w:rPr>
          <w:rFonts w:ascii="Palatino Linotype" w:hAnsi="Palatino Linotype"/>
          <w:b/>
          <w:bCs/>
          <w:i/>
        </w:rPr>
      </w:pPr>
      <w:r w:rsidRPr="00D874E6">
        <w:rPr>
          <w:rFonts w:ascii="Palatino Linotype" w:hAnsi="Palatino Linotype"/>
          <w:b/>
          <w:bCs/>
          <w:i/>
        </w:rPr>
        <w:t>De la Información Confidencial</w:t>
      </w:r>
    </w:p>
    <w:p w:rsidR="0069089F" w:rsidRPr="003B54C3" w:rsidRDefault="0069089F" w:rsidP="0069089F">
      <w:pPr>
        <w:ind w:left="567" w:right="616"/>
        <w:jc w:val="both"/>
        <w:rPr>
          <w:rFonts w:ascii="Palatino Linotype" w:hAnsi="Palatino Linotype"/>
          <w:bCs/>
          <w:i/>
        </w:rPr>
      </w:pPr>
      <w:r w:rsidRPr="00D874E6">
        <w:rPr>
          <w:rFonts w:ascii="Palatino Linotype" w:hAnsi="Palatino Linotype"/>
          <w:b/>
          <w:bCs/>
          <w:i/>
        </w:rPr>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proofErr w:type="gramStart"/>
      <w:r w:rsidRPr="003B54C3">
        <w:rPr>
          <w:rFonts w:ascii="Palatino Linotype" w:hAnsi="Palatino Linotype"/>
          <w:bCs/>
          <w:i/>
        </w:rPr>
        <w:t>jurídico</w:t>
      </w:r>
      <w:proofErr w:type="gramEnd"/>
      <w:r w:rsidRPr="003B54C3">
        <w:rPr>
          <w:rFonts w:ascii="Palatino Linotype" w:hAnsi="Palatino Linotype"/>
          <w:bCs/>
          <w:i/>
        </w:rPr>
        <w:t xml:space="preserve"> colectiva identificada o identificable;</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69089F" w:rsidRPr="003B54C3" w:rsidRDefault="0069089F" w:rsidP="0069089F">
      <w:pPr>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69089F" w:rsidRPr="00C47688" w:rsidRDefault="0069089F" w:rsidP="0069089F">
      <w:pPr>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r>
        <w:rPr>
          <w:rFonts w:ascii="Palatino Linotype" w:hAnsi="Palatino Linotype"/>
          <w:bCs/>
          <w:i/>
        </w:rPr>
        <w:t>”</w:t>
      </w:r>
    </w:p>
    <w:p w:rsidR="0069089F" w:rsidRDefault="0069089F"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lastRenderedPageBreak/>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BD6A98" w:rsidRPr="0053005B" w:rsidRDefault="00BD6A98" w:rsidP="0069089F">
      <w:pPr>
        <w:spacing w:line="360" w:lineRule="auto"/>
        <w:jc w:val="both"/>
        <w:rPr>
          <w:rFonts w:ascii="Palatino Linotype" w:hAnsi="Palatino Linotype"/>
          <w:bCs/>
        </w:rPr>
      </w:pPr>
    </w:p>
    <w:p w:rsidR="004854F2" w:rsidRDefault="0069089F" w:rsidP="0069089F">
      <w:pPr>
        <w:spacing w:line="360" w:lineRule="auto"/>
        <w:jc w:val="both"/>
        <w:rPr>
          <w:rFonts w:ascii="Palatino Linotype" w:hAnsi="Palatino Linotype"/>
          <w:bCs/>
        </w:rPr>
      </w:pPr>
      <w:r w:rsidRPr="0053005B">
        <w:rPr>
          <w:rFonts w:ascii="Palatino Linotype" w:hAnsi="Palatino Linotype"/>
          <w:bCs/>
        </w:rPr>
        <w:t xml:space="preserve">Ahora bien, en el caso particular, como quedó precisado en párrafos anteriores, el </w:t>
      </w:r>
      <w:r w:rsidR="00451483" w:rsidRPr="0053005B">
        <w:rPr>
          <w:rFonts w:ascii="Palatino Linotype" w:hAnsi="Palatino Linotype"/>
          <w:b/>
          <w:bCs/>
        </w:rPr>
        <w:t>SUJETO OBLIGADO</w:t>
      </w:r>
      <w:r w:rsidR="00451483" w:rsidRPr="0053005B">
        <w:rPr>
          <w:rFonts w:ascii="Palatino Linotype" w:hAnsi="Palatino Linotype"/>
          <w:bCs/>
        </w:rPr>
        <w:t xml:space="preserve"> </w:t>
      </w:r>
      <w:r w:rsidR="00BD6A98">
        <w:rPr>
          <w:rFonts w:ascii="Palatino Linotype" w:hAnsi="Palatino Linotype"/>
          <w:bCs/>
        </w:rPr>
        <w:t>en su respuesta entregó</w:t>
      </w:r>
      <w:r w:rsidR="004854F2">
        <w:rPr>
          <w:rFonts w:ascii="Palatino Linotype" w:hAnsi="Palatino Linotype"/>
          <w:bCs/>
        </w:rPr>
        <w:t>:</w:t>
      </w:r>
    </w:p>
    <w:p w:rsidR="00F1546C" w:rsidRDefault="00F1546C" w:rsidP="0069089F">
      <w:pPr>
        <w:spacing w:line="360" w:lineRule="auto"/>
        <w:jc w:val="both"/>
        <w:rPr>
          <w:rFonts w:ascii="Palatino Linotype" w:hAnsi="Palatino Linotype"/>
          <w:bCs/>
        </w:rPr>
      </w:pPr>
    </w:p>
    <w:p w:rsidR="00F1546C" w:rsidRDefault="00F1546C" w:rsidP="0069089F">
      <w:pPr>
        <w:spacing w:line="360" w:lineRule="auto"/>
        <w:jc w:val="both"/>
        <w:rPr>
          <w:rFonts w:ascii="Palatino Linotype" w:hAnsi="Palatino Linotype"/>
          <w:bCs/>
        </w:rPr>
      </w:pPr>
      <w:r>
        <w:rPr>
          <w:rFonts w:ascii="Palatino Linotype" w:hAnsi="Palatino Linotype"/>
          <w:bCs/>
        </w:rPr>
        <w:t xml:space="preserve">-El número de cuenta bancaria de los ingresos del municipio y la sucursal bancaria </w:t>
      </w:r>
    </w:p>
    <w:p w:rsidR="004854F2" w:rsidRDefault="004854F2" w:rsidP="0069089F">
      <w:pPr>
        <w:spacing w:line="360" w:lineRule="auto"/>
        <w:jc w:val="both"/>
        <w:rPr>
          <w:rFonts w:ascii="Verdana" w:hAnsi="Verdana"/>
          <w:color w:val="000000"/>
          <w:sz w:val="14"/>
          <w:szCs w:val="14"/>
        </w:rPr>
      </w:pPr>
    </w:p>
    <w:p w:rsidR="0069089F" w:rsidRDefault="00C50F0F" w:rsidP="0069089F">
      <w:pPr>
        <w:spacing w:line="360" w:lineRule="auto"/>
        <w:jc w:val="both"/>
        <w:rPr>
          <w:rFonts w:ascii="Palatino Linotype" w:hAnsi="Palatino Linotype"/>
          <w:bCs/>
        </w:rPr>
      </w:pPr>
      <w:r>
        <w:rPr>
          <w:rFonts w:ascii="Palatino Linotype" w:hAnsi="Palatino Linotype"/>
          <w:bCs/>
        </w:rPr>
        <w:t>Y</w:t>
      </w:r>
      <w:r w:rsidR="00BD6A98">
        <w:rPr>
          <w:rFonts w:ascii="Palatino Linotype" w:hAnsi="Palatino Linotype"/>
          <w:bCs/>
        </w:rPr>
        <w:t xml:space="preserve"> no </w:t>
      </w:r>
      <w:r w:rsidR="004D6A83">
        <w:rPr>
          <w:rFonts w:ascii="Palatino Linotype" w:hAnsi="Palatino Linotype"/>
          <w:bCs/>
        </w:rPr>
        <w:t xml:space="preserve">se </w:t>
      </w:r>
      <w:r w:rsidR="00BD6A98">
        <w:rPr>
          <w:rFonts w:ascii="Palatino Linotype" w:hAnsi="Palatino Linotype"/>
          <w:bCs/>
        </w:rPr>
        <w:t xml:space="preserve">aprecia que el </w:t>
      </w:r>
      <w:r w:rsidR="00451483" w:rsidRPr="00451483">
        <w:rPr>
          <w:rFonts w:ascii="Palatino Linotype" w:hAnsi="Palatino Linotype"/>
          <w:b/>
          <w:bCs/>
        </w:rPr>
        <w:t>SUJETO OBLIGADO</w:t>
      </w:r>
      <w:r w:rsidR="00451483">
        <w:rPr>
          <w:rFonts w:ascii="Palatino Linotype" w:hAnsi="Palatino Linotype"/>
          <w:bCs/>
        </w:rPr>
        <w:t xml:space="preserve"> </w:t>
      </w:r>
      <w:r w:rsidR="004D6A83">
        <w:rPr>
          <w:rFonts w:ascii="Palatino Linotype" w:hAnsi="Palatino Linotype"/>
          <w:bCs/>
        </w:rPr>
        <w:t>en su respuesta</w:t>
      </w:r>
      <w:r>
        <w:rPr>
          <w:rFonts w:ascii="Palatino Linotype" w:hAnsi="Palatino Linotype"/>
          <w:bCs/>
        </w:rPr>
        <w:t xml:space="preserve"> </w:t>
      </w:r>
      <w:r w:rsidR="0069089F" w:rsidRPr="0053005B">
        <w:rPr>
          <w:rFonts w:ascii="Palatino Linotype" w:hAnsi="Palatino Linotype"/>
          <w:bCs/>
        </w:rPr>
        <w:t xml:space="preserve">pretenda clasificar la información como reservada o confidencial, como lo refiere en sus motivos de inconformidad el </w:t>
      </w:r>
      <w:r w:rsidR="004D6A83" w:rsidRPr="004D6A83">
        <w:rPr>
          <w:rFonts w:ascii="Palatino Linotype" w:hAnsi="Palatino Linotype"/>
          <w:b/>
          <w:bCs/>
        </w:rPr>
        <w:t>RECURRENTE</w:t>
      </w:r>
      <w:r w:rsidR="0069089F" w:rsidRPr="0053005B">
        <w:rPr>
          <w:rFonts w:ascii="Palatino Linotype" w:hAnsi="Palatino Linotype"/>
          <w:bCs/>
        </w:rPr>
        <w:t xml:space="preserve">. </w:t>
      </w:r>
    </w:p>
    <w:p w:rsidR="00BD6A98" w:rsidRDefault="00BD6A98"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En esa virtud, si bien las razones o motivos de inconformidad se encuentran fundados para la pro</w:t>
      </w:r>
      <w:r w:rsidR="00C50F0F">
        <w:rPr>
          <w:rFonts w:ascii="Palatino Linotype" w:hAnsi="Palatino Linotype"/>
          <w:bCs/>
        </w:rPr>
        <w:t>ced</w:t>
      </w:r>
      <w:r w:rsidR="004D6A83">
        <w:rPr>
          <w:rFonts w:ascii="Palatino Linotype" w:hAnsi="Palatino Linotype"/>
          <w:bCs/>
        </w:rPr>
        <w:t>encia de la interposición del</w:t>
      </w:r>
      <w:r w:rsidRPr="0053005B">
        <w:rPr>
          <w:rFonts w:ascii="Palatino Linotype" w:hAnsi="Palatino Linotype"/>
          <w:bCs/>
        </w:rPr>
        <w:t xml:space="preserve"> recurso de revisión, al encuadrar en la hipótesis normativa de la fracción II del artículo 179 de la Ley de Transparencia </w:t>
      </w:r>
      <w:r w:rsidR="00C50F0F">
        <w:rPr>
          <w:rFonts w:ascii="Palatino Linotype" w:hAnsi="Palatino Linotype"/>
          <w:bCs/>
        </w:rPr>
        <w:t>Loc</w:t>
      </w:r>
      <w:r w:rsidR="004D6A83">
        <w:rPr>
          <w:rFonts w:ascii="Palatino Linotype" w:hAnsi="Palatino Linotype"/>
          <w:bCs/>
        </w:rPr>
        <w:t>al, para la interposición del</w:t>
      </w:r>
      <w:r w:rsidRPr="0053005B">
        <w:rPr>
          <w:rFonts w:ascii="Palatino Linotype" w:hAnsi="Palatino Linotype"/>
          <w:bCs/>
        </w:rPr>
        <w:t xml:space="preserve"> recurso de revisión, cuando se impugne la clasificación de la información; también lo es que los mismos resultan inoperantes en el caso particular, toda vez que como quedó acreditado en párrafos anteriores, de la respuesta del </w:t>
      </w:r>
      <w:r w:rsidR="00451483" w:rsidRPr="0053005B">
        <w:rPr>
          <w:rFonts w:ascii="Palatino Linotype" w:hAnsi="Palatino Linotype"/>
          <w:b/>
          <w:bCs/>
        </w:rPr>
        <w:t>SUJETO OBLIGADO</w:t>
      </w:r>
      <w:r w:rsidRPr="0053005B">
        <w:rPr>
          <w:rFonts w:ascii="Palatino Linotype" w:hAnsi="Palatino Linotype"/>
          <w:bCs/>
        </w:rPr>
        <w:t xml:space="preserve">, no se advierte que pretenda </w:t>
      </w:r>
      <w:r w:rsidRPr="0053005B">
        <w:rPr>
          <w:rFonts w:ascii="Palatino Linotype" w:hAnsi="Palatino Linotype"/>
          <w:bCs/>
        </w:rPr>
        <w:lastRenderedPageBreak/>
        <w:t>clasificar la informació</w:t>
      </w:r>
      <w:r w:rsidR="00C50F0F">
        <w:rPr>
          <w:rFonts w:ascii="Palatino Linotype" w:hAnsi="Palatino Linotype"/>
          <w:bCs/>
        </w:rPr>
        <w:t>n como confidencial o reservada</w:t>
      </w:r>
      <w:r w:rsidRPr="0053005B">
        <w:rPr>
          <w:rFonts w:ascii="Palatino Linotype" w:hAnsi="Palatino Linotype"/>
          <w:bCs/>
        </w:rPr>
        <w:t xml:space="preserve">. En ese orden de ideas, podemos llegar a la conclusión de la inexistencia del acto reclamado, al acreditarse con las constancias que integran el expediente, que el </w:t>
      </w:r>
      <w:r w:rsidR="00451483" w:rsidRPr="0053005B">
        <w:rPr>
          <w:rFonts w:ascii="Palatino Linotype" w:hAnsi="Palatino Linotype"/>
          <w:b/>
          <w:bCs/>
        </w:rPr>
        <w:t>SUJETO OBLIGADO</w:t>
      </w:r>
      <w:r w:rsidR="00451483" w:rsidRPr="0053005B">
        <w:rPr>
          <w:rFonts w:ascii="Palatino Linotype" w:hAnsi="Palatino Linotype"/>
          <w:bCs/>
        </w:rPr>
        <w:t xml:space="preserve"> </w:t>
      </w:r>
      <w:r w:rsidRPr="0053005B">
        <w:rPr>
          <w:rFonts w:ascii="Palatino Linotype" w:hAnsi="Palatino Linotype"/>
          <w:bCs/>
        </w:rPr>
        <w:t xml:space="preserve">no pretende clasificar la información, quedando sin materia el presente asunto. </w:t>
      </w:r>
    </w:p>
    <w:p w:rsidR="00BD6A98" w:rsidRPr="0053005B" w:rsidRDefault="00BD6A98"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 xml:space="preserve">Por consiguiente, en estricto derecho la alegación del </w:t>
      </w:r>
      <w:r w:rsidR="00451483" w:rsidRPr="0053005B">
        <w:rPr>
          <w:rFonts w:ascii="Palatino Linotype" w:hAnsi="Palatino Linotype"/>
          <w:b/>
          <w:bCs/>
        </w:rPr>
        <w:t>RECURRENTE</w:t>
      </w:r>
      <w:r w:rsidRPr="0053005B">
        <w:rPr>
          <w:rFonts w:ascii="Palatino Linotype" w:hAnsi="Palatino Linotype"/>
          <w:bCs/>
        </w:rPr>
        <w:t xml:space="preserve"> se limita a realizar manifestaciones sin sustento, las cuales han quedado demostradas, por ello se califican de inop</w:t>
      </w:r>
      <w:r w:rsidR="00C50F0F">
        <w:rPr>
          <w:rFonts w:ascii="Palatino Linotype" w:hAnsi="Palatino Linotype"/>
          <w:bCs/>
        </w:rPr>
        <w:t>e</w:t>
      </w:r>
      <w:r w:rsidR="004D6A83">
        <w:rPr>
          <w:rFonts w:ascii="Palatino Linotype" w:hAnsi="Palatino Linotype"/>
          <w:bCs/>
        </w:rPr>
        <w:t>rantes; quedando sin materia el</w:t>
      </w:r>
      <w:r w:rsidRPr="0053005B">
        <w:rPr>
          <w:rFonts w:ascii="Palatino Linotype" w:hAnsi="Palatino Linotype"/>
          <w:bCs/>
        </w:rPr>
        <w:t xml:space="preserve"> presente recurso de revisión, resultando necesario traer</w:t>
      </w:r>
      <w:bookmarkStart w:id="0" w:name="_GoBack"/>
      <w:bookmarkEnd w:id="0"/>
      <w:r w:rsidRPr="0053005B">
        <w:rPr>
          <w:rFonts w:ascii="Palatino Linotype" w:hAnsi="Palatino Linotype"/>
          <w:bCs/>
        </w:rPr>
        <w:t xml:space="preserve">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53005B">
        <w:rPr>
          <w:rStyle w:val="Refdenotaalpie"/>
          <w:rFonts w:ascii="Palatino Linotype" w:hAnsi="Palatino Linotype"/>
          <w:bCs/>
        </w:rPr>
        <w:footnoteReference w:id="1"/>
      </w:r>
      <w:r w:rsidRPr="0053005B">
        <w:rPr>
          <w:rFonts w:ascii="Palatino Linotype" w:hAnsi="Palatino Linotype"/>
          <w:bCs/>
        </w:rPr>
        <w:t xml:space="preserve">, la cual constituye un criterio orientador para este Órgano Garante, que pone en aptitudes de poder sobreseer el presente recurso de revisión, lo que en el caso </w:t>
      </w:r>
      <w:r w:rsidRPr="0053005B">
        <w:rPr>
          <w:rFonts w:ascii="Palatino Linotype" w:hAnsi="Palatino Linotype"/>
          <w:bCs/>
        </w:rPr>
        <w:lastRenderedPageBreak/>
        <w:t>particular, se tiene por acreditada la inexistencia del acto reclamado, quedando sin materia el presente asunto.</w:t>
      </w:r>
    </w:p>
    <w:p w:rsidR="00BD6A98" w:rsidRPr="0053005B" w:rsidRDefault="00BD6A98" w:rsidP="0069089F">
      <w:pPr>
        <w:spacing w:line="360" w:lineRule="auto"/>
        <w:jc w:val="both"/>
        <w:rPr>
          <w:rFonts w:ascii="Palatino Linotype" w:hAnsi="Palatino Linotype"/>
          <w:bCs/>
        </w:rPr>
      </w:pPr>
    </w:p>
    <w:p w:rsidR="0069089F" w:rsidRPr="0053005B" w:rsidRDefault="0069089F" w:rsidP="0069089F">
      <w:pPr>
        <w:spacing w:line="360" w:lineRule="auto"/>
        <w:jc w:val="both"/>
        <w:rPr>
          <w:rFonts w:ascii="Palatino Linotype" w:hAnsi="Palatino Linotype"/>
          <w:bCs/>
        </w:rPr>
      </w:pPr>
      <w:r w:rsidRPr="0053005B">
        <w:rPr>
          <w:rFonts w:ascii="Palatino Linotype" w:hAnsi="Palatino Linotype"/>
          <w:bCs/>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69089F" w:rsidRDefault="0069089F" w:rsidP="0069089F">
      <w:pPr>
        <w:spacing w:line="360" w:lineRule="auto"/>
        <w:jc w:val="both"/>
        <w:rPr>
          <w:rFonts w:ascii="Palatino Linotype" w:hAnsi="Palatino Linotype"/>
          <w:bCs/>
        </w:rPr>
      </w:pPr>
    </w:p>
    <w:p w:rsidR="0069089F" w:rsidRPr="001B5F43" w:rsidRDefault="0069089F" w:rsidP="0069089F">
      <w:pPr>
        <w:ind w:left="567" w:right="616"/>
        <w:jc w:val="both"/>
        <w:rPr>
          <w:rFonts w:ascii="Palatino Linotype" w:hAnsi="Palatino Linotype"/>
          <w:bCs/>
          <w:i/>
        </w:rPr>
      </w:pPr>
      <w:r>
        <w:rPr>
          <w:rFonts w:ascii="Palatino Linotype" w:hAnsi="Palatino Linotype"/>
          <w:bCs/>
          <w:i/>
        </w:rPr>
        <w:t>“</w:t>
      </w: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69089F" w:rsidRPr="001B5F43" w:rsidRDefault="0069089F" w:rsidP="0069089F">
      <w:pPr>
        <w:ind w:left="567" w:right="616"/>
        <w:jc w:val="both"/>
        <w:rPr>
          <w:rFonts w:ascii="Palatino Linotype" w:hAnsi="Palatino Linotype"/>
          <w:bCs/>
          <w:i/>
        </w:rPr>
      </w:pPr>
      <w:r>
        <w:rPr>
          <w:rFonts w:ascii="Palatino Linotype" w:hAnsi="Palatino Linotype"/>
          <w:bCs/>
          <w:i/>
        </w:rPr>
        <w:t>(…)</w:t>
      </w:r>
    </w:p>
    <w:p w:rsidR="0069089F" w:rsidRDefault="0069089F" w:rsidP="0069089F">
      <w:pPr>
        <w:ind w:left="567" w:right="616"/>
        <w:jc w:val="both"/>
        <w:rPr>
          <w:rFonts w:ascii="Palatino Linotype" w:hAnsi="Palatino Linotype"/>
          <w:bCs/>
        </w:rPr>
      </w:pPr>
      <w:r w:rsidRPr="00961C21">
        <w:rPr>
          <w:rFonts w:ascii="Palatino Linotype" w:hAnsi="Palatino Linotype"/>
          <w:bCs/>
          <w:i/>
        </w:rPr>
        <w:t>V. Cuando por cualquier motiv</w:t>
      </w:r>
      <w:r w:rsidR="00A653FC">
        <w:rPr>
          <w:rFonts w:ascii="Palatino Linotype" w:hAnsi="Palatino Linotype"/>
          <w:bCs/>
          <w:i/>
        </w:rPr>
        <w:t>o quede sin materia el recurso…</w:t>
      </w:r>
      <w:r w:rsidRPr="00961C21">
        <w:rPr>
          <w:rFonts w:ascii="Palatino Linotype" w:hAnsi="Palatino Linotype"/>
          <w:bCs/>
          <w:i/>
        </w:rPr>
        <w:t xml:space="preserve"> </w:t>
      </w:r>
      <w:r w:rsidR="00A653FC">
        <w:rPr>
          <w:rFonts w:ascii="Palatino Linotype" w:hAnsi="Palatino Linotype"/>
          <w:bCs/>
          <w:i/>
        </w:rPr>
        <w:t>(Sic</w:t>
      </w:r>
      <w:r>
        <w:rPr>
          <w:rFonts w:ascii="Palatino Linotype" w:hAnsi="Palatino Linotype"/>
          <w:bCs/>
          <w:i/>
        </w:rPr>
        <w:t>)”</w:t>
      </w:r>
    </w:p>
    <w:p w:rsidR="0069089F" w:rsidRPr="00B34AEC" w:rsidRDefault="0069089F" w:rsidP="0069089F">
      <w:pPr>
        <w:ind w:left="567" w:right="616"/>
        <w:jc w:val="right"/>
        <w:rPr>
          <w:rFonts w:ascii="Palatino Linotype" w:hAnsi="Palatino Linotype"/>
          <w:bCs/>
        </w:rPr>
      </w:pPr>
    </w:p>
    <w:p w:rsidR="0069089F" w:rsidRDefault="0069089F" w:rsidP="0069089F">
      <w:pPr>
        <w:spacing w:line="360" w:lineRule="auto"/>
        <w:jc w:val="both"/>
        <w:rPr>
          <w:rFonts w:ascii="Palatino Linotype" w:hAnsi="Palatino Linotype"/>
          <w:bCs/>
        </w:rPr>
      </w:pPr>
      <w:r w:rsidRPr="0053005B">
        <w:rPr>
          <w:rFonts w:ascii="Palatino Linotype" w:hAnsi="Palatino Linotype"/>
          <w:bCs/>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00451483" w:rsidRPr="00451483">
        <w:rPr>
          <w:rFonts w:ascii="Palatino Linotype" w:hAnsi="Palatino Linotype"/>
          <w:b/>
          <w:bCs/>
        </w:rPr>
        <w:t>SUJETO OBLIGADO</w:t>
      </w:r>
      <w:r w:rsidR="00451483" w:rsidRPr="0053005B">
        <w:rPr>
          <w:rFonts w:ascii="Palatino Linotype" w:hAnsi="Palatino Linotype"/>
          <w:b/>
          <w:bCs/>
        </w:rPr>
        <w:t xml:space="preserve"> </w:t>
      </w:r>
      <w:r>
        <w:rPr>
          <w:rFonts w:ascii="Palatino Linotype" w:hAnsi="Palatino Linotype"/>
          <w:bCs/>
        </w:rPr>
        <w:t>en ningún momento pretendió</w:t>
      </w:r>
      <w:r w:rsidRPr="0053005B">
        <w:rPr>
          <w:rFonts w:ascii="Palatino Linotype" w:hAnsi="Palatino Linotype"/>
          <w:bCs/>
        </w:rPr>
        <w:t xml:space="preserve"> clasificar como reservada o confidencial la información peticionada</w:t>
      </w:r>
      <w:r>
        <w:rPr>
          <w:rFonts w:ascii="Palatino Linotype" w:hAnsi="Palatino Linotype"/>
          <w:bCs/>
        </w:rPr>
        <w:t>.</w:t>
      </w:r>
    </w:p>
    <w:p w:rsidR="00A653FC" w:rsidRPr="0053005B" w:rsidRDefault="00A653FC" w:rsidP="0069089F">
      <w:pPr>
        <w:spacing w:line="360" w:lineRule="auto"/>
        <w:jc w:val="both"/>
        <w:rPr>
          <w:rFonts w:ascii="Palatino Linotype" w:hAnsi="Palatino Linotype"/>
          <w:bCs/>
        </w:rPr>
      </w:pPr>
    </w:p>
    <w:p w:rsidR="0069089F" w:rsidRDefault="0069089F" w:rsidP="0069089F">
      <w:pPr>
        <w:spacing w:line="360" w:lineRule="auto"/>
        <w:jc w:val="both"/>
        <w:rPr>
          <w:rFonts w:ascii="Palatino Linotype" w:eastAsiaTheme="minorEastAsia" w:hAnsi="Palatino Linotype"/>
          <w:lang w:val="es-ES_tradnl"/>
        </w:rPr>
      </w:pPr>
      <w:r w:rsidRPr="0053005B">
        <w:rPr>
          <w:rFonts w:ascii="Palatino Linotype" w:hAnsi="Palatino Linotype"/>
          <w:bCs/>
        </w:rPr>
        <w:t xml:space="preserve">Por lo que </w:t>
      </w:r>
      <w:r w:rsidRPr="0053005B">
        <w:rPr>
          <w:rFonts w:ascii="Palatino Linotype" w:eastAsiaTheme="minorEastAsia" w:hAnsi="Palatino Linotype" w:cs="Arial"/>
          <w:b/>
          <w:lang w:val="es-ES_tradnl"/>
        </w:rPr>
        <w:t xml:space="preserve">con fundamento en la segunda hipótesis de la fracción I del artículo 186, </w:t>
      </w:r>
      <w:r w:rsidRPr="0053005B">
        <w:rPr>
          <w:rFonts w:ascii="Palatino Linotype" w:eastAsiaTheme="minorEastAsia" w:hAnsi="Palatino Linotype" w:cs="Arial"/>
          <w:lang w:val="es-ES_tradnl"/>
        </w:rPr>
        <w:t xml:space="preserve">de la Ley de Transparencia y Acceso a la Información Pública del Estado de México y Municipios, se </w:t>
      </w:r>
      <w:r w:rsidRPr="0053005B">
        <w:rPr>
          <w:rFonts w:ascii="Palatino Linotype" w:eastAsiaTheme="minorEastAsia" w:hAnsi="Palatino Linotype" w:cs="Arial"/>
          <w:b/>
          <w:lang w:val="es-ES_tradnl"/>
        </w:rPr>
        <w:t xml:space="preserve">SOBRESEE </w:t>
      </w:r>
      <w:r w:rsidR="00451483">
        <w:rPr>
          <w:rFonts w:ascii="Palatino Linotype" w:eastAsiaTheme="minorEastAsia" w:hAnsi="Palatino Linotype" w:cs="Arial"/>
          <w:lang w:val="es-ES_tradnl"/>
        </w:rPr>
        <w:t>el</w:t>
      </w:r>
      <w:r w:rsidRPr="0053005B">
        <w:rPr>
          <w:rFonts w:ascii="Palatino Linotype" w:eastAsiaTheme="minorEastAsia" w:hAnsi="Palatino Linotype" w:cs="Arial"/>
          <w:lang w:val="es-ES_tradnl"/>
        </w:rPr>
        <w:t xml:space="preserve"> recurso de revisión </w:t>
      </w:r>
      <w:r w:rsidRPr="0053005B">
        <w:rPr>
          <w:rFonts w:ascii="Palatino Linotype" w:hAnsi="Palatino Linotype"/>
          <w:b/>
          <w:bCs/>
        </w:rPr>
        <w:t>055</w:t>
      </w:r>
      <w:r w:rsidR="00451483">
        <w:rPr>
          <w:rFonts w:ascii="Palatino Linotype" w:hAnsi="Palatino Linotype"/>
          <w:b/>
          <w:bCs/>
        </w:rPr>
        <w:t>39</w:t>
      </w:r>
      <w:r w:rsidRPr="0053005B">
        <w:rPr>
          <w:rFonts w:ascii="Palatino Linotype" w:hAnsi="Palatino Linotype"/>
          <w:b/>
          <w:bCs/>
        </w:rPr>
        <w:t>/INFOEM/IP/RR/2021</w:t>
      </w:r>
      <w:r w:rsidRPr="0053005B">
        <w:rPr>
          <w:rFonts w:ascii="Palatino Linotype" w:eastAsiaTheme="minorEastAsia" w:hAnsi="Palatino Linotype" w:cs="Arial"/>
          <w:lang w:val="es-ES_tradnl"/>
        </w:rPr>
        <w:t>,</w:t>
      </w:r>
      <w:r w:rsidRPr="0053005B">
        <w:rPr>
          <w:rFonts w:ascii="Palatino Linotype" w:eastAsiaTheme="minorEastAsia" w:hAnsi="Palatino Linotype"/>
          <w:lang w:val="es-ES_tradnl"/>
        </w:rPr>
        <w:t xml:space="preserve"> que ha </w:t>
      </w:r>
      <w:r>
        <w:rPr>
          <w:rFonts w:ascii="Palatino Linotype" w:eastAsiaTheme="minorEastAsia" w:hAnsi="Palatino Linotype"/>
          <w:lang w:val="es-ES_tradnl"/>
        </w:rPr>
        <w:t>sido materia del presente fallo dejándose a salvo sus derechos para presentar nuevamente su solicitud de Acceso a la Información Pública.</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lastRenderedPageBreak/>
        <w:t xml:space="preserve">Así, con fundamento en lo prescrito en los artículos 5 párrafos </w:t>
      </w:r>
      <w:r w:rsidR="00D30935">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A653FC" w:rsidRPr="00A653FC" w:rsidRDefault="00A653FC" w:rsidP="00A653FC">
      <w:pPr>
        <w:tabs>
          <w:tab w:val="left" w:pos="8647"/>
        </w:tabs>
        <w:spacing w:line="360" w:lineRule="auto"/>
        <w:ind w:right="51"/>
        <w:jc w:val="both"/>
        <w:rPr>
          <w:rFonts w:ascii="Palatino Linotype" w:eastAsiaTheme="minorEastAsia" w:hAnsi="Palatino Linotype" w:cs="Arial"/>
          <w:lang w:val="es-ES_tradnl"/>
        </w:rPr>
      </w:pPr>
      <w:r w:rsidRPr="00A653FC">
        <w:rPr>
          <w:rFonts w:ascii="Palatino Linotype" w:eastAsiaTheme="minorEastAsia" w:hAnsi="Palatino Linotype" w:cs="Arial"/>
          <w:b/>
          <w:lang w:val="es-ES_tradnl"/>
        </w:rPr>
        <w:t>PRIMERO.</w:t>
      </w:r>
      <w:r w:rsidRPr="00A653FC">
        <w:rPr>
          <w:rFonts w:ascii="Palatino Linotype" w:eastAsiaTheme="minorEastAsia" w:hAnsi="Palatino Linotype" w:cs="Arial"/>
          <w:lang w:val="es-ES_tradnl"/>
        </w:rPr>
        <w:t xml:space="preserve"> Se </w:t>
      </w:r>
      <w:r w:rsidRPr="00A653FC">
        <w:rPr>
          <w:rFonts w:ascii="Palatino Linotype" w:eastAsiaTheme="minorEastAsia" w:hAnsi="Palatino Linotype" w:cs="Arial"/>
          <w:b/>
          <w:lang w:val="es-ES_tradnl"/>
        </w:rPr>
        <w:t>SOBRESEE</w:t>
      </w:r>
      <w:r w:rsidR="00451483">
        <w:rPr>
          <w:rFonts w:ascii="Palatino Linotype" w:eastAsiaTheme="minorEastAsia" w:hAnsi="Palatino Linotype" w:cs="Arial"/>
          <w:lang w:val="es-ES_tradnl"/>
        </w:rPr>
        <w:t xml:space="preserve"> el</w:t>
      </w:r>
      <w:r w:rsidRPr="00A653FC">
        <w:rPr>
          <w:rFonts w:ascii="Palatino Linotype" w:eastAsiaTheme="minorEastAsia" w:hAnsi="Palatino Linotype" w:cs="Arial"/>
          <w:lang w:val="es-ES_tradnl"/>
        </w:rPr>
        <w:t xml:space="preserve"> recurso de revisión </w:t>
      </w:r>
      <w:r w:rsidR="00451483">
        <w:rPr>
          <w:rFonts w:ascii="Palatino Linotype" w:eastAsiaTheme="minorEastAsia" w:hAnsi="Palatino Linotype" w:cs="Arial"/>
          <w:b/>
          <w:lang w:val="es-ES_tradnl"/>
        </w:rPr>
        <w:t>05539</w:t>
      </w:r>
      <w:r w:rsidRPr="00A653FC">
        <w:rPr>
          <w:rFonts w:ascii="Palatino Linotype" w:eastAsiaTheme="minorEastAsia" w:hAnsi="Palatino Linotype" w:cs="Arial"/>
          <w:b/>
          <w:lang w:val="es-ES_tradnl"/>
        </w:rPr>
        <w:t>/INFOEM/IP/RR/2021</w:t>
      </w:r>
      <w:r w:rsidR="00C50F0F">
        <w:rPr>
          <w:rFonts w:ascii="Palatino Linotype" w:hAnsi="Palatino Linotype" w:cs="Arial"/>
          <w:b/>
          <w:bCs/>
        </w:rPr>
        <w:t>,</w:t>
      </w:r>
      <w:r w:rsidRPr="00A653FC">
        <w:rPr>
          <w:rFonts w:ascii="Palatino Linotype" w:eastAsiaTheme="minorEastAsia" w:hAnsi="Palatino Linotype" w:cs="Arial"/>
          <w:lang w:val="es-ES_tradnl"/>
        </w:rPr>
        <w:t xml:space="preserve"> por quedarse sin materia, en términos de lo expuesto en el Considerando </w:t>
      </w:r>
      <w:r w:rsidRPr="00A653FC">
        <w:rPr>
          <w:rFonts w:ascii="Palatino Linotype" w:eastAsiaTheme="minorEastAsia" w:hAnsi="Palatino Linotype" w:cs="Arial"/>
          <w:b/>
          <w:lang w:val="es-ES_tradnl"/>
        </w:rPr>
        <w:t>Tercero</w:t>
      </w:r>
      <w:r w:rsidRPr="00A653FC">
        <w:rPr>
          <w:rFonts w:ascii="Palatino Linotype" w:eastAsiaTheme="minorEastAsia" w:hAnsi="Palatino Linotype" w:cs="Arial"/>
          <w:lang w:val="es-ES_tradnl"/>
        </w:rPr>
        <w:t xml:space="preserve"> de la presente resolución.</w:t>
      </w:r>
    </w:p>
    <w:p w:rsidR="00A653FC" w:rsidRPr="00A653FC" w:rsidRDefault="00A653FC" w:rsidP="00A653FC">
      <w:pPr>
        <w:pStyle w:val="Prrafodelista"/>
        <w:tabs>
          <w:tab w:val="left" w:pos="8647"/>
        </w:tabs>
        <w:spacing w:line="360" w:lineRule="auto"/>
        <w:ind w:left="1080" w:right="51"/>
        <w:jc w:val="both"/>
        <w:rPr>
          <w:rFonts w:ascii="Palatino Linotype" w:eastAsiaTheme="minorEastAsia" w:hAnsi="Palatino Linotype" w:cs="Arial"/>
          <w:lang w:val="es-ES_tradnl"/>
        </w:rPr>
      </w:pPr>
    </w:p>
    <w:p w:rsidR="00A653FC" w:rsidRDefault="00A653FC" w:rsidP="00A653FC">
      <w:pPr>
        <w:tabs>
          <w:tab w:val="left" w:pos="8647"/>
        </w:tabs>
        <w:spacing w:line="360" w:lineRule="auto"/>
        <w:ind w:right="51"/>
        <w:jc w:val="both"/>
        <w:rPr>
          <w:rFonts w:ascii="Palatino Linotype" w:eastAsiaTheme="minorEastAsia" w:hAnsi="Palatino Linotype" w:cs="Arial"/>
          <w:lang w:val="es-ES_tradnl"/>
        </w:rPr>
      </w:pPr>
      <w:r w:rsidRPr="00A653FC">
        <w:rPr>
          <w:rFonts w:ascii="Palatino Linotype" w:eastAsiaTheme="minorEastAsia" w:hAnsi="Palatino Linotype" w:cs="Arial"/>
          <w:b/>
          <w:lang w:val="es-ES_tradnl"/>
        </w:rPr>
        <w:t>SEGUNDO.</w:t>
      </w:r>
      <w:r w:rsidRPr="00A653FC">
        <w:rPr>
          <w:rFonts w:ascii="Palatino Linotype" w:eastAsiaTheme="minorEastAsia" w:hAnsi="Palatino Linotype" w:cs="Arial"/>
          <w:lang w:val="es-ES_tradnl"/>
        </w:rPr>
        <w:t xml:space="preserve"> </w:t>
      </w:r>
      <w:r w:rsidRPr="00A653FC">
        <w:rPr>
          <w:rFonts w:ascii="Palatino Linotype" w:eastAsiaTheme="minorEastAsia" w:hAnsi="Palatino Linotype" w:cs="Arial"/>
          <w:b/>
          <w:lang w:val="es-ES_tradnl"/>
        </w:rPr>
        <w:t>Notifíquese</w:t>
      </w:r>
      <w:r w:rsidRPr="00A653FC">
        <w:rPr>
          <w:rFonts w:ascii="Palatino Linotype" w:eastAsiaTheme="minorEastAsia" w:hAnsi="Palatino Linotype" w:cs="Arial"/>
          <w:lang w:val="es-ES_tradnl"/>
        </w:rPr>
        <w:t xml:space="preserve"> vía SAIMEX la presente resolución al Titular de la Unidad de Transparencia del </w:t>
      </w:r>
      <w:r w:rsidR="00451483" w:rsidRPr="00A653FC">
        <w:rPr>
          <w:rFonts w:ascii="Palatino Linotype" w:eastAsiaTheme="minorEastAsia" w:hAnsi="Palatino Linotype" w:cs="Arial"/>
          <w:b/>
          <w:lang w:val="es-ES_tradnl"/>
        </w:rPr>
        <w:t>SUJETO OBLIGADO</w:t>
      </w:r>
      <w:r w:rsidR="00451483" w:rsidRPr="00A653FC">
        <w:rPr>
          <w:rFonts w:ascii="Palatino Linotype" w:eastAsiaTheme="minorEastAsia" w:hAnsi="Palatino Linotype" w:cs="Arial"/>
          <w:lang w:val="es-ES_tradnl"/>
        </w:rPr>
        <w:t>.</w:t>
      </w:r>
    </w:p>
    <w:p w:rsidR="00A653FC" w:rsidRPr="00A653FC" w:rsidRDefault="00A653FC" w:rsidP="00A653FC">
      <w:pPr>
        <w:tabs>
          <w:tab w:val="left" w:pos="8647"/>
        </w:tabs>
        <w:spacing w:line="360" w:lineRule="auto"/>
        <w:ind w:right="51"/>
        <w:jc w:val="both"/>
        <w:rPr>
          <w:rFonts w:ascii="Palatino Linotype" w:eastAsiaTheme="minorEastAsia" w:hAnsi="Palatino Linotype" w:cs="Arial"/>
          <w:lang w:val="es-ES_tradnl"/>
        </w:rPr>
      </w:pPr>
    </w:p>
    <w:p w:rsidR="00A653FC" w:rsidRPr="00A653FC" w:rsidRDefault="00A653FC" w:rsidP="00A653FC">
      <w:pPr>
        <w:spacing w:line="360" w:lineRule="auto"/>
        <w:jc w:val="both"/>
        <w:rPr>
          <w:rFonts w:ascii="Palatino Linotype" w:hAnsi="Palatino Linotype" w:cs="Arial"/>
        </w:rPr>
      </w:pPr>
      <w:r w:rsidRPr="00A653FC">
        <w:rPr>
          <w:rFonts w:ascii="Palatino Linotype" w:hAnsi="Palatino Linotype" w:cs="Arial"/>
          <w:b/>
        </w:rPr>
        <w:t>TERCERO.</w:t>
      </w:r>
      <w:r w:rsidRPr="00A653FC">
        <w:rPr>
          <w:rFonts w:ascii="Palatino Linotype" w:hAnsi="Palatino Linotype" w:cs="Arial"/>
        </w:rPr>
        <w:t xml:space="preserve"> </w:t>
      </w:r>
      <w:r w:rsidRPr="00A653FC">
        <w:rPr>
          <w:rFonts w:ascii="Palatino Linotype" w:hAnsi="Palatino Linotype" w:cs="Arial"/>
          <w:b/>
        </w:rPr>
        <w:t>NOTIFÍQUESE</w:t>
      </w:r>
      <w:r w:rsidRPr="00A653FC">
        <w:rPr>
          <w:rFonts w:ascii="Palatino Linotype" w:hAnsi="Palatino Linotype" w:cs="Arial"/>
        </w:rPr>
        <w:t xml:space="preserve"> vía SAIMEX al </w:t>
      </w:r>
      <w:r w:rsidR="00451483" w:rsidRPr="00A653FC">
        <w:rPr>
          <w:rFonts w:ascii="Palatino Linotype" w:hAnsi="Palatino Linotype" w:cs="Arial"/>
          <w:b/>
        </w:rPr>
        <w:t>RECURRENTE</w:t>
      </w:r>
      <w:r w:rsidRPr="00A653FC">
        <w:rPr>
          <w:rFonts w:ascii="Palatino Linotype" w:hAnsi="Palatino Linotype" w:cs="Arial"/>
          <w:b/>
        </w:rPr>
        <w:t xml:space="preserve"> </w:t>
      </w:r>
      <w:r w:rsidRPr="00A653FC">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EB1456" w:rsidRDefault="00025B60" w:rsidP="00EB1456">
      <w:pPr>
        <w:spacing w:before="240" w:after="240" w:line="360" w:lineRule="auto"/>
        <w:jc w:val="both"/>
        <w:rPr>
          <w:rFonts w:ascii="Palatino Linotype" w:hAnsi="Palatino Linotype"/>
        </w:rPr>
        <w:sectPr w:rsidR="00EB1456" w:rsidSect="00CA6FB7">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w:t>
      </w:r>
      <w:r w:rsidRPr="00057382">
        <w:rPr>
          <w:rFonts w:ascii="Palatino Linotype" w:hAnsi="Palatino Linotype"/>
          <w:color w:val="222222"/>
          <w:shd w:val="clear" w:color="auto" w:fill="FFFFFF"/>
        </w:rPr>
        <w:lastRenderedPageBreak/>
        <w:t>MORALES MARTÍNEZ</w:t>
      </w:r>
      <w:r w:rsidR="00A653FC">
        <w:rPr>
          <w:rFonts w:ascii="Palatino Linotype" w:hAnsi="Palatino Linotype"/>
          <w:color w:val="222222"/>
          <w:shd w:val="clear" w:color="auto" w:fill="FFFFFF"/>
        </w:rPr>
        <w:t xml:space="preserve"> (CON AUSENCIA JUSTIFICADA)</w:t>
      </w:r>
      <w:r w:rsidR="00A653FC" w:rsidRPr="00057382">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LUIS GUSTAVO PARRA NORIEGA Y GUADALUPE RAMÍREZ PEÑA; EN </w:t>
      </w:r>
      <w:r w:rsidR="00C50F0F">
        <w:rPr>
          <w:rFonts w:ascii="Palatino Linotype" w:hAnsi="Palatino Linotype"/>
          <w:color w:val="222222"/>
          <w:shd w:val="clear" w:color="auto" w:fill="FFFFFF"/>
        </w:rPr>
        <w:t>LA SEGUNDA</w:t>
      </w:r>
      <w:r>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CELEBRADA EL </w:t>
      </w:r>
      <w:r w:rsidR="00C50F0F">
        <w:rPr>
          <w:rFonts w:ascii="Palatino Linotype" w:hAnsi="Palatino Linotype"/>
          <w:color w:val="222222"/>
          <w:shd w:val="clear" w:color="auto" w:fill="FFFFFF"/>
        </w:rPr>
        <w:t>DIECINUEVE</w:t>
      </w:r>
      <w:r w:rsidR="00A653FC">
        <w:rPr>
          <w:rFonts w:ascii="Palatino Linotype" w:hAnsi="Palatino Linotype"/>
        </w:rPr>
        <w:t xml:space="preserve"> DE ENERO</w:t>
      </w:r>
      <w:r>
        <w:rPr>
          <w:rFonts w:ascii="Palatino Linotype" w:hAnsi="Palatino Linotype"/>
        </w:rPr>
        <w:t xml:space="preserve"> </w:t>
      </w:r>
      <w:r w:rsidRPr="00C16B45">
        <w:rPr>
          <w:rFonts w:ascii="Palatino Linotype" w:hAnsi="Palatino Linotype"/>
        </w:rPr>
        <w:t>DE</w:t>
      </w:r>
      <w:r>
        <w:rPr>
          <w:rFonts w:ascii="Palatino Linotype" w:hAnsi="Palatino Linotype"/>
        </w:rPr>
        <w:t>L</w:t>
      </w:r>
      <w:r w:rsidRPr="00C16B45">
        <w:rPr>
          <w:rFonts w:ascii="Palatino Linotype" w:hAnsi="Palatino Linotype"/>
        </w:rPr>
        <w:t xml:space="preserve"> </w:t>
      </w:r>
      <w:r w:rsidR="00A653FC">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RAMÍREZ</w:t>
      </w:r>
      <w:r w:rsidR="00EB1456">
        <w:rPr>
          <w:rFonts w:ascii="Palatino Linotype" w:hAnsi="Palatino Linotype"/>
        </w:rPr>
        <w:t>.</w:t>
      </w:r>
    </w:p>
    <w:p w:rsidR="00025B60" w:rsidRPr="00226479" w:rsidRDefault="00025B60" w:rsidP="00EB1456">
      <w:pPr>
        <w:spacing w:before="240" w:after="240" w:line="360" w:lineRule="auto"/>
        <w:jc w:val="both"/>
        <w:rPr>
          <w:rFonts w:ascii="Palatino Linotype" w:hAnsi="Palatino Linotype" w:cs="Arial"/>
        </w:rPr>
      </w:pPr>
    </w:p>
    <w:sectPr w:rsidR="00025B60" w:rsidRPr="00226479" w:rsidSect="00CA6FB7">
      <w:head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515" w:rsidRDefault="00C74515" w:rsidP="00AC3C64">
      <w:r>
        <w:separator/>
      </w:r>
    </w:p>
  </w:endnote>
  <w:endnote w:type="continuationSeparator" w:id="0">
    <w:p w:rsidR="00C74515" w:rsidRDefault="00C74515"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D6A83">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D6A83">
      <w:rPr>
        <w:rFonts w:ascii="Arial" w:hAnsi="Arial" w:cs="Arial"/>
        <w:b/>
        <w:bCs/>
        <w:noProof/>
        <w:sz w:val="20"/>
        <w:szCs w:val="20"/>
      </w:rPr>
      <w:t>21</w:t>
    </w:r>
    <w:r>
      <w:rPr>
        <w:rFonts w:ascii="Arial" w:hAnsi="Arial" w:cs="Arial"/>
        <w:b/>
        <w:bCs/>
        <w:sz w:val="20"/>
        <w:szCs w:val="20"/>
      </w:rPr>
      <w:fldChar w:fldCharType="end"/>
    </w:r>
  </w:p>
  <w:p w:rsidR="003174A5" w:rsidRDefault="003174A5" w:rsidP="00CA6FB7">
    <w:pPr>
      <w:pStyle w:val="Piedepgina"/>
      <w:rPr>
        <w:rFonts w:ascii="Times New Roman" w:hAnsi="Times New Roman" w:cs="Times New Roman"/>
      </w:rPr>
    </w:pPr>
  </w:p>
  <w:p w:rsidR="003174A5" w:rsidRDefault="003174A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D6A8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D6A83">
      <w:rPr>
        <w:rFonts w:ascii="Arial" w:hAnsi="Arial" w:cs="Arial"/>
        <w:b/>
        <w:bCs/>
        <w:noProof/>
        <w:sz w:val="20"/>
        <w:szCs w:val="20"/>
      </w:rPr>
      <w:t>21</w:t>
    </w:r>
    <w:r>
      <w:rPr>
        <w:rFonts w:ascii="Arial" w:hAnsi="Arial" w:cs="Arial"/>
        <w:b/>
        <w:bCs/>
        <w:sz w:val="20"/>
        <w:szCs w:val="20"/>
      </w:rPr>
      <w:fldChar w:fldCharType="end"/>
    </w:r>
  </w:p>
  <w:p w:rsidR="003174A5" w:rsidRDefault="003174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515" w:rsidRDefault="00C74515" w:rsidP="00AC3C64">
      <w:r>
        <w:separator/>
      </w:r>
    </w:p>
  </w:footnote>
  <w:footnote w:type="continuationSeparator" w:id="0">
    <w:p w:rsidR="00C74515" w:rsidRDefault="00C74515" w:rsidP="00AC3C64">
      <w:r>
        <w:continuationSeparator/>
      </w:r>
    </w:p>
  </w:footnote>
  <w:footnote w:id="1">
    <w:p w:rsidR="003174A5" w:rsidRPr="009640FB" w:rsidRDefault="003174A5" w:rsidP="0069089F">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3174A5" w:rsidRPr="009640FB" w:rsidRDefault="003174A5" w:rsidP="0069089F">
      <w:pPr>
        <w:pStyle w:val="Textonotapie"/>
        <w:jc w:val="both"/>
        <w:rPr>
          <w:rFonts w:ascii="Palatino Linotype" w:hAnsi="Palatino Linotype"/>
        </w:rPr>
      </w:pPr>
    </w:p>
    <w:p w:rsidR="003174A5" w:rsidRPr="009640FB" w:rsidRDefault="003174A5" w:rsidP="0069089F">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3174A5" w:rsidRPr="009640FB" w:rsidRDefault="003174A5" w:rsidP="0069089F">
      <w:pPr>
        <w:pStyle w:val="Textonotapie"/>
        <w:jc w:val="both"/>
        <w:rPr>
          <w:rFonts w:ascii="Palatino Linotype" w:hAnsi="Palatino Linotype"/>
        </w:rPr>
      </w:pPr>
    </w:p>
    <w:p w:rsidR="003174A5" w:rsidRPr="009640FB" w:rsidRDefault="003174A5" w:rsidP="0069089F">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3174A5" w:rsidTr="00CA6FB7">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3174A5" w:rsidRDefault="00712175" w:rsidP="00CA6FB7">
          <w:pPr>
            <w:jc w:val="both"/>
            <w:rPr>
              <w:rFonts w:ascii="Palatino Linotype" w:hAnsi="Palatino Linotype"/>
              <w:b/>
              <w:sz w:val="22"/>
              <w:szCs w:val="22"/>
              <w:lang w:val="es-ES_tradnl"/>
            </w:rPr>
          </w:pPr>
          <w:r>
            <w:rPr>
              <w:rFonts w:ascii="Palatino Linotype" w:hAnsi="Palatino Linotype"/>
              <w:b/>
              <w:sz w:val="22"/>
              <w:szCs w:val="22"/>
              <w:lang w:val="es-ES_tradnl"/>
            </w:rPr>
            <w:t>05539</w:t>
          </w:r>
          <w:r w:rsidR="003174A5">
            <w:rPr>
              <w:rFonts w:ascii="Palatino Linotype" w:hAnsi="Palatino Linotype"/>
              <w:b/>
              <w:sz w:val="22"/>
              <w:szCs w:val="22"/>
              <w:lang w:val="es-ES_tradnl"/>
            </w:rPr>
            <w:t>/INFOEM/IP/RR/2021</w:t>
          </w:r>
        </w:p>
      </w:tc>
    </w:tr>
    <w:tr w:rsidR="003174A5" w:rsidTr="00CA6FB7">
      <w:trPr>
        <w:trHeight w:val="228"/>
      </w:trPr>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3174A5" w:rsidRPr="00C16F76" w:rsidRDefault="003174A5" w:rsidP="002A48A3">
          <w:pPr>
            <w:jc w:val="both"/>
            <w:rPr>
              <w:rFonts w:ascii="Palatino Linotype" w:hAnsi="Palatino Linotype"/>
              <w:b/>
              <w:sz w:val="22"/>
              <w:szCs w:val="22"/>
              <w:lang w:val="es-ES_tradnl"/>
            </w:rPr>
          </w:pPr>
          <w:r>
            <w:rPr>
              <w:rFonts w:ascii="Palatino Linotype" w:hAnsi="Palatino Linotype" w:cs="Arial"/>
              <w:b/>
              <w:sz w:val="22"/>
              <w:szCs w:val="22"/>
            </w:rPr>
            <w:t>Ayuntamiento de Almoloya de Alquisiras</w:t>
          </w:r>
          <w:r w:rsidRPr="00C16F76">
            <w:rPr>
              <w:rFonts w:ascii="Palatino Linotype" w:hAnsi="Palatino Linotype"/>
              <w:b/>
              <w:sz w:val="22"/>
              <w:szCs w:val="22"/>
              <w:lang w:val="es-ES_tradnl"/>
            </w:rPr>
            <w:t>.</w:t>
          </w:r>
        </w:p>
      </w:tc>
    </w:tr>
    <w:tr w:rsidR="003174A5" w:rsidTr="00CA6FB7">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3174A5" w:rsidRDefault="003174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174A5" w:rsidRDefault="003174A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3784519" wp14:editId="77FFADBD">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A28B5F0" wp14:editId="76D87626">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3174A5" w:rsidTr="00AB6EE2">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3174A5" w:rsidRDefault="00712175" w:rsidP="00CA6FB7">
          <w:pPr>
            <w:jc w:val="both"/>
            <w:rPr>
              <w:rFonts w:ascii="Palatino Linotype" w:hAnsi="Palatino Linotype"/>
              <w:b/>
              <w:sz w:val="22"/>
              <w:szCs w:val="22"/>
              <w:lang w:val="es-ES_tradnl"/>
            </w:rPr>
          </w:pPr>
          <w:r>
            <w:rPr>
              <w:rFonts w:ascii="Palatino Linotype" w:hAnsi="Palatino Linotype"/>
              <w:b/>
              <w:sz w:val="22"/>
              <w:szCs w:val="22"/>
              <w:lang w:val="es-ES_tradnl"/>
            </w:rPr>
            <w:t>05539</w:t>
          </w:r>
          <w:r w:rsidR="003174A5">
            <w:rPr>
              <w:rFonts w:ascii="Palatino Linotype" w:hAnsi="Palatino Linotype"/>
              <w:b/>
              <w:sz w:val="22"/>
              <w:szCs w:val="22"/>
              <w:lang w:val="es-ES_tradnl"/>
            </w:rPr>
            <w:t xml:space="preserve">/INFOEM/IP/RR/2021. </w:t>
          </w:r>
        </w:p>
      </w:tc>
    </w:tr>
    <w:tr w:rsidR="003174A5" w:rsidTr="00AB6EE2">
      <w:tc>
        <w:tcPr>
          <w:tcW w:w="2551" w:type="dxa"/>
          <w:vAlign w:val="center"/>
          <w:hideMark/>
        </w:tcPr>
        <w:p w:rsidR="003174A5" w:rsidRDefault="003174A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3174A5" w:rsidRDefault="003174A5" w:rsidP="00CA6FB7">
          <w:pPr>
            <w:jc w:val="both"/>
            <w:rPr>
              <w:rFonts w:ascii="Palatino Linotype" w:hAnsi="Palatino Linotype"/>
              <w:b/>
              <w:sz w:val="22"/>
              <w:szCs w:val="22"/>
              <w:lang w:val="es-ES_tradnl"/>
            </w:rPr>
          </w:pPr>
        </w:p>
      </w:tc>
    </w:tr>
    <w:tr w:rsidR="003174A5" w:rsidTr="00AB6EE2">
      <w:trPr>
        <w:trHeight w:val="228"/>
      </w:trPr>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3174A5" w:rsidRDefault="003174A5"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Almoloya de</w:t>
          </w:r>
        </w:p>
        <w:p w:rsidR="003174A5" w:rsidRDefault="003174A5" w:rsidP="00003995">
          <w:pPr>
            <w:ind w:right="-533"/>
            <w:jc w:val="both"/>
            <w:rPr>
              <w:rFonts w:ascii="Palatino Linotype" w:hAnsi="Palatino Linotype"/>
              <w:b/>
              <w:sz w:val="22"/>
              <w:szCs w:val="22"/>
              <w:lang w:val="es-ES_tradnl"/>
            </w:rPr>
          </w:pPr>
          <w:r>
            <w:rPr>
              <w:rFonts w:ascii="Palatino Linotype" w:hAnsi="Palatino Linotype"/>
              <w:b/>
              <w:sz w:val="22"/>
              <w:szCs w:val="22"/>
              <w:lang w:val="es-ES_tradnl"/>
            </w:rPr>
            <w:t>Alquisiras.</w:t>
          </w:r>
        </w:p>
      </w:tc>
    </w:tr>
    <w:tr w:rsidR="003174A5" w:rsidTr="00AB6EE2">
      <w:tc>
        <w:tcPr>
          <w:tcW w:w="2551" w:type="dxa"/>
          <w:vAlign w:val="center"/>
          <w:hideMark/>
        </w:tcPr>
        <w:p w:rsidR="003174A5" w:rsidRDefault="003174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3174A5" w:rsidRDefault="003174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3174A5" w:rsidRDefault="003174A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A5" w:rsidRDefault="003174A5" w:rsidP="00CA6FB7">
    <w:pPr>
      <w:pStyle w:val="Encabezado"/>
      <w:jc w:val="both"/>
    </w:pPr>
  </w:p>
  <w:p w:rsidR="003174A5" w:rsidRDefault="003174A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3"/>
  </w:num>
  <w:num w:numId="5">
    <w:abstractNumId w:val="12"/>
  </w:num>
  <w:num w:numId="6">
    <w:abstractNumId w:val="11"/>
  </w:num>
  <w:num w:numId="7">
    <w:abstractNumId w:val="1"/>
  </w:num>
  <w:num w:numId="8">
    <w:abstractNumId w:val="6"/>
  </w:num>
  <w:num w:numId="9">
    <w:abstractNumId w:val="2"/>
  </w:num>
  <w:num w:numId="10">
    <w:abstractNumId w:val="0"/>
  </w:num>
  <w:num w:numId="11">
    <w:abstractNumId w:val="8"/>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35D2D"/>
    <w:rsid w:val="000469AE"/>
    <w:rsid w:val="00053CFF"/>
    <w:rsid w:val="00057F4F"/>
    <w:rsid w:val="00061572"/>
    <w:rsid w:val="000634D5"/>
    <w:rsid w:val="000756A1"/>
    <w:rsid w:val="00075746"/>
    <w:rsid w:val="00092DFF"/>
    <w:rsid w:val="00095AB1"/>
    <w:rsid w:val="000A673D"/>
    <w:rsid w:val="000C56A4"/>
    <w:rsid w:val="000E1326"/>
    <w:rsid w:val="001013A9"/>
    <w:rsid w:val="001118AA"/>
    <w:rsid w:val="00134728"/>
    <w:rsid w:val="00146FFB"/>
    <w:rsid w:val="00153F55"/>
    <w:rsid w:val="00156F39"/>
    <w:rsid w:val="00170894"/>
    <w:rsid w:val="00170B2B"/>
    <w:rsid w:val="00174388"/>
    <w:rsid w:val="00180662"/>
    <w:rsid w:val="001933A6"/>
    <w:rsid w:val="001A2D4B"/>
    <w:rsid w:val="001A4B0E"/>
    <w:rsid w:val="001B6476"/>
    <w:rsid w:val="001C4714"/>
    <w:rsid w:val="001D1499"/>
    <w:rsid w:val="001D6D81"/>
    <w:rsid w:val="001E791F"/>
    <w:rsid w:val="00202E5C"/>
    <w:rsid w:val="00212FA3"/>
    <w:rsid w:val="0023267A"/>
    <w:rsid w:val="002341AB"/>
    <w:rsid w:val="00235389"/>
    <w:rsid w:val="002512AC"/>
    <w:rsid w:val="00260DDF"/>
    <w:rsid w:val="002701F7"/>
    <w:rsid w:val="00273D23"/>
    <w:rsid w:val="00274C2A"/>
    <w:rsid w:val="00276AF3"/>
    <w:rsid w:val="00277ED6"/>
    <w:rsid w:val="00285F75"/>
    <w:rsid w:val="002A48A3"/>
    <w:rsid w:val="002B3327"/>
    <w:rsid w:val="002C2CE8"/>
    <w:rsid w:val="002C6C73"/>
    <w:rsid w:val="002D2EAC"/>
    <w:rsid w:val="002D63E5"/>
    <w:rsid w:val="002E10FD"/>
    <w:rsid w:val="003174A5"/>
    <w:rsid w:val="00335C38"/>
    <w:rsid w:val="003514A6"/>
    <w:rsid w:val="00351F59"/>
    <w:rsid w:val="003535D6"/>
    <w:rsid w:val="003574E4"/>
    <w:rsid w:val="00370D1D"/>
    <w:rsid w:val="00376932"/>
    <w:rsid w:val="003823C8"/>
    <w:rsid w:val="00384598"/>
    <w:rsid w:val="003A7EF4"/>
    <w:rsid w:val="003B2721"/>
    <w:rsid w:val="003D4EB7"/>
    <w:rsid w:val="003F5CB7"/>
    <w:rsid w:val="00401D37"/>
    <w:rsid w:val="004053EE"/>
    <w:rsid w:val="00406F15"/>
    <w:rsid w:val="004073AA"/>
    <w:rsid w:val="00412AD6"/>
    <w:rsid w:val="0041470D"/>
    <w:rsid w:val="00415BF7"/>
    <w:rsid w:val="004171D9"/>
    <w:rsid w:val="00430382"/>
    <w:rsid w:val="00447BCB"/>
    <w:rsid w:val="00450820"/>
    <w:rsid w:val="00451483"/>
    <w:rsid w:val="004532C1"/>
    <w:rsid w:val="00453F78"/>
    <w:rsid w:val="004560BD"/>
    <w:rsid w:val="004714B0"/>
    <w:rsid w:val="00471FBC"/>
    <w:rsid w:val="004854F2"/>
    <w:rsid w:val="00491059"/>
    <w:rsid w:val="004A0D58"/>
    <w:rsid w:val="004C11AB"/>
    <w:rsid w:val="004D4903"/>
    <w:rsid w:val="004D5AC3"/>
    <w:rsid w:val="004D6A83"/>
    <w:rsid w:val="004F4663"/>
    <w:rsid w:val="004F4F59"/>
    <w:rsid w:val="00510E32"/>
    <w:rsid w:val="00510F8E"/>
    <w:rsid w:val="00512D5C"/>
    <w:rsid w:val="00515FAA"/>
    <w:rsid w:val="00516141"/>
    <w:rsid w:val="00516180"/>
    <w:rsid w:val="005176F7"/>
    <w:rsid w:val="00520A87"/>
    <w:rsid w:val="00522861"/>
    <w:rsid w:val="005247CF"/>
    <w:rsid w:val="00546029"/>
    <w:rsid w:val="0054680C"/>
    <w:rsid w:val="00556760"/>
    <w:rsid w:val="0057019A"/>
    <w:rsid w:val="00570E5C"/>
    <w:rsid w:val="005A3389"/>
    <w:rsid w:val="005A6CFB"/>
    <w:rsid w:val="005B1093"/>
    <w:rsid w:val="005C52F3"/>
    <w:rsid w:val="005C58FB"/>
    <w:rsid w:val="005D082A"/>
    <w:rsid w:val="005E79E7"/>
    <w:rsid w:val="005F4F02"/>
    <w:rsid w:val="00605EA1"/>
    <w:rsid w:val="006154F4"/>
    <w:rsid w:val="0062630E"/>
    <w:rsid w:val="00647E02"/>
    <w:rsid w:val="00654351"/>
    <w:rsid w:val="00662E06"/>
    <w:rsid w:val="00663EE9"/>
    <w:rsid w:val="00664BD3"/>
    <w:rsid w:val="00675163"/>
    <w:rsid w:val="0069089F"/>
    <w:rsid w:val="006912F8"/>
    <w:rsid w:val="00694BE8"/>
    <w:rsid w:val="00696421"/>
    <w:rsid w:val="006A3CB6"/>
    <w:rsid w:val="006B5E44"/>
    <w:rsid w:val="006C39BD"/>
    <w:rsid w:val="006D4B6F"/>
    <w:rsid w:val="006F1E06"/>
    <w:rsid w:val="006F3C93"/>
    <w:rsid w:val="00712175"/>
    <w:rsid w:val="00716D67"/>
    <w:rsid w:val="007226CF"/>
    <w:rsid w:val="0073071C"/>
    <w:rsid w:val="0073316E"/>
    <w:rsid w:val="00744577"/>
    <w:rsid w:val="0074718F"/>
    <w:rsid w:val="00751A12"/>
    <w:rsid w:val="00756876"/>
    <w:rsid w:val="00760FF7"/>
    <w:rsid w:val="0076279F"/>
    <w:rsid w:val="0077716F"/>
    <w:rsid w:val="00780737"/>
    <w:rsid w:val="00783547"/>
    <w:rsid w:val="007A718C"/>
    <w:rsid w:val="007B2696"/>
    <w:rsid w:val="007B7A34"/>
    <w:rsid w:val="007C6E7E"/>
    <w:rsid w:val="007D012C"/>
    <w:rsid w:val="007F6734"/>
    <w:rsid w:val="007F7346"/>
    <w:rsid w:val="00813EA7"/>
    <w:rsid w:val="00814B3D"/>
    <w:rsid w:val="00821072"/>
    <w:rsid w:val="00823669"/>
    <w:rsid w:val="00824589"/>
    <w:rsid w:val="0083445E"/>
    <w:rsid w:val="00835A40"/>
    <w:rsid w:val="00847472"/>
    <w:rsid w:val="00851545"/>
    <w:rsid w:val="00860CD5"/>
    <w:rsid w:val="00867824"/>
    <w:rsid w:val="008A3EF4"/>
    <w:rsid w:val="008A6570"/>
    <w:rsid w:val="008B190F"/>
    <w:rsid w:val="008B3B6F"/>
    <w:rsid w:val="008B610B"/>
    <w:rsid w:val="008D13D2"/>
    <w:rsid w:val="008D2B3C"/>
    <w:rsid w:val="008E206F"/>
    <w:rsid w:val="008E70D5"/>
    <w:rsid w:val="008F742E"/>
    <w:rsid w:val="009046F3"/>
    <w:rsid w:val="009075CE"/>
    <w:rsid w:val="00910E63"/>
    <w:rsid w:val="00913545"/>
    <w:rsid w:val="009412A1"/>
    <w:rsid w:val="00941C12"/>
    <w:rsid w:val="00943101"/>
    <w:rsid w:val="00951FE9"/>
    <w:rsid w:val="0095406D"/>
    <w:rsid w:val="00980CD3"/>
    <w:rsid w:val="00983E59"/>
    <w:rsid w:val="00984378"/>
    <w:rsid w:val="00995060"/>
    <w:rsid w:val="009A3844"/>
    <w:rsid w:val="009C2C0B"/>
    <w:rsid w:val="009C7267"/>
    <w:rsid w:val="009D106B"/>
    <w:rsid w:val="009D5385"/>
    <w:rsid w:val="009D56ED"/>
    <w:rsid w:val="009D6488"/>
    <w:rsid w:val="009E7F55"/>
    <w:rsid w:val="00A028BB"/>
    <w:rsid w:val="00A037B6"/>
    <w:rsid w:val="00A143E1"/>
    <w:rsid w:val="00A16A36"/>
    <w:rsid w:val="00A222E5"/>
    <w:rsid w:val="00A24144"/>
    <w:rsid w:val="00A24E74"/>
    <w:rsid w:val="00A41315"/>
    <w:rsid w:val="00A467F8"/>
    <w:rsid w:val="00A47580"/>
    <w:rsid w:val="00A653FC"/>
    <w:rsid w:val="00A655A8"/>
    <w:rsid w:val="00A71E6B"/>
    <w:rsid w:val="00A87A68"/>
    <w:rsid w:val="00A92AA5"/>
    <w:rsid w:val="00A956FB"/>
    <w:rsid w:val="00A95DC6"/>
    <w:rsid w:val="00AB6EE2"/>
    <w:rsid w:val="00AC003C"/>
    <w:rsid w:val="00AC1195"/>
    <w:rsid w:val="00AC3C64"/>
    <w:rsid w:val="00AC7729"/>
    <w:rsid w:val="00AD0AB9"/>
    <w:rsid w:val="00AF5151"/>
    <w:rsid w:val="00B00356"/>
    <w:rsid w:val="00B006A1"/>
    <w:rsid w:val="00B00EEC"/>
    <w:rsid w:val="00B018AC"/>
    <w:rsid w:val="00B02990"/>
    <w:rsid w:val="00B05932"/>
    <w:rsid w:val="00B1241C"/>
    <w:rsid w:val="00B146C6"/>
    <w:rsid w:val="00B37652"/>
    <w:rsid w:val="00B43AA8"/>
    <w:rsid w:val="00B61EBD"/>
    <w:rsid w:val="00B724C0"/>
    <w:rsid w:val="00B761F4"/>
    <w:rsid w:val="00B94319"/>
    <w:rsid w:val="00BA44E3"/>
    <w:rsid w:val="00BB2163"/>
    <w:rsid w:val="00BB4179"/>
    <w:rsid w:val="00BB542C"/>
    <w:rsid w:val="00BC2193"/>
    <w:rsid w:val="00BC43E8"/>
    <w:rsid w:val="00BD172D"/>
    <w:rsid w:val="00BD6A98"/>
    <w:rsid w:val="00BE0058"/>
    <w:rsid w:val="00BE2CCF"/>
    <w:rsid w:val="00BE5560"/>
    <w:rsid w:val="00C11AC9"/>
    <w:rsid w:val="00C16F76"/>
    <w:rsid w:val="00C23F33"/>
    <w:rsid w:val="00C27107"/>
    <w:rsid w:val="00C321F6"/>
    <w:rsid w:val="00C32BDB"/>
    <w:rsid w:val="00C50F0F"/>
    <w:rsid w:val="00C52D2A"/>
    <w:rsid w:val="00C53485"/>
    <w:rsid w:val="00C63B97"/>
    <w:rsid w:val="00C678ED"/>
    <w:rsid w:val="00C74515"/>
    <w:rsid w:val="00C7588F"/>
    <w:rsid w:val="00C76DCC"/>
    <w:rsid w:val="00C77F9C"/>
    <w:rsid w:val="00C931C4"/>
    <w:rsid w:val="00C95103"/>
    <w:rsid w:val="00C97B1B"/>
    <w:rsid w:val="00CA6FB7"/>
    <w:rsid w:val="00CA7900"/>
    <w:rsid w:val="00CB2A8F"/>
    <w:rsid w:val="00CC0778"/>
    <w:rsid w:val="00CD2038"/>
    <w:rsid w:val="00CE2CFE"/>
    <w:rsid w:val="00CE4FF5"/>
    <w:rsid w:val="00D05647"/>
    <w:rsid w:val="00D06FD7"/>
    <w:rsid w:val="00D16391"/>
    <w:rsid w:val="00D16BCF"/>
    <w:rsid w:val="00D2494B"/>
    <w:rsid w:val="00D30935"/>
    <w:rsid w:val="00D30A46"/>
    <w:rsid w:val="00D42E99"/>
    <w:rsid w:val="00D53885"/>
    <w:rsid w:val="00D5398F"/>
    <w:rsid w:val="00D7036D"/>
    <w:rsid w:val="00D7072F"/>
    <w:rsid w:val="00D8379C"/>
    <w:rsid w:val="00D87AAD"/>
    <w:rsid w:val="00D939AD"/>
    <w:rsid w:val="00DA29F9"/>
    <w:rsid w:val="00DB0611"/>
    <w:rsid w:val="00DC0D4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41901"/>
    <w:rsid w:val="00E50E9F"/>
    <w:rsid w:val="00E622EB"/>
    <w:rsid w:val="00E77294"/>
    <w:rsid w:val="00E77C2D"/>
    <w:rsid w:val="00E9188C"/>
    <w:rsid w:val="00EA25E8"/>
    <w:rsid w:val="00EB1456"/>
    <w:rsid w:val="00EB2C58"/>
    <w:rsid w:val="00EB645E"/>
    <w:rsid w:val="00EB78D1"/>
    <w:rsid w:val="00EC47A9"/>
    <w:rsid w:val="00ED0ADC"/>
    <w:rsid w:val="00ED7CD8"/>
    <w:rsid w:val="00EE1690"/>
    <w:rsid w:val="00EE288F"/>
    <w:rsid w:val="00EE3663"/>
    <w:rsid w:val="00F10EDC"/>
    <w:rsid w:val="00F137E3"/>
    <w:rsid w:val="00F14FF7"/>
    <w:rsid w:val="00F1546C"/>
    <w:rsid w:val="00F33D43"/>
    <w:rsid w:val="00F35077"/>
    <w:rsid w:val="00F37A45"/>
    <w:rsid w:val="00F51343"/>
    <w:rsid w:val="00F535D9"/>
    <w:rsid w:val="00F75B93"/>
    <w:rsid w:val="00F76AC4"/>
    <w:rsid w:val="00F83AD6"/>
    <w:rsid w:val="00F86B69"/>
    <w:rsid w:val="00F90A91"/>
    <w:rsid w:val="00F9570E"/>
    <w:rsid w:val="00FA4E5B"/>
    <w:rsid w:val="00FA6E88"/>
    <w:rsid w:val="00FB60E7"/>
    <w:rsid w:val="00FB6205"/>
    <w:rsid w:val="00FC17BE"/>
    <w:rsid w:val="00FC3875"/>
    <w:rsid w:val="00FC702A"/>
    <w:rsid w:val="00FD47D2"/>
    <w:rsid w:val="00FD4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0950.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50950.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66AB-0179-43BA-ADFB-2BF6124A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4954</Words>
  <Characters>27249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8</cp:revision>
  <cp:lastPrinted>2022-01-12T22:56:00Z</cp:lastPrinted>
  <dcterms:created xsi:type="dcterms:W3CDTF">2022-01-12T21:08:00Z</dcterms:created>
  <dcterms:modified xsi:type="dcterms:W3CDTF">2022-01-13T00:15:00Z</dcterms:modified>
</cp:coreProperties>
</file>