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quince de junio del dos mil veintidós.</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03489/INFOEM/IP/RR/2022</w:t>
      </w:r>
      <w:r>
        <w:rPr>
          <w:rFonts w:ascii="Palatino Linotype" w:eastAsia="Palatino Linotype" w:hAnsi="Palatino Linotype" w:cs="Palatino Linotype"/>
        </w:rPr>
        <w:t xml:space="preserve">, interpuesto por </w:t>
      </w:r>
      <w:r w:rsidR="00590D4E">
        <w:rPr>
          <w:rFonts w:ascii="Palatino Linotype" w:eastAsia="Palatino Linotype" w:hAnsi="Palatino Linotype" w:cs="Palatino Linotype"/>
          <w:b/>
        </w:rPr>
        <w:t>XXXXX XXXXX XXXX 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00023/MELOCAM/IP/2022,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Melchor Ocampo,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w:t>
      </w:r>
      <w:bookmarkStart w:id="0" w:name="_GoBack"/>
      <w:bookmarkEnd w:id="0"/>
      <w:r>
        <w:rPr>
          <w:rFonts w:ascii="Palatino Linotype" w:eastAsia="Palatino Linotype" w:hAnsi="Palatino Linotype" w:cs="Palatino Linotype"/>
        </w:rPr>
        <w:t>ente resolución, con base en los siguientes:</w:t>
      </w:r>
    </w:p>
    <w:p w:rsidR="00BF0353" w:rsidRDefault="009A01CD">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nueve de febrero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BF0353" w:rsidRDefault="009A01CD">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EL TABULADOR DE SUELDOS Y LOS RECIBOS DE NOMINA DE LOS DIRECTORES, JEFES DE DEPARTAMENTO Y EN GENERAL DEL PERSONAL QUE CUENTE CON NOMBRAMIENTO DE LA PRIMERA QUINCENA DE ENERO DE 2022.” (Sic)</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tres de marzo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BF0353" w:rsidRDefault="009A01CD">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F0353" w:rsidRDefault="009A01CD">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Estando en tiempo y forma en términos de los artículos 12, 150, 157, 163 y demás relativos de la Ley de Transparencia y Acceso a la Información Pública del Estado de México y Municipios vigente, con respecto a su petición 00023/MELOCAM/IP/2022 mediante el sistema SAIMEX, se le informa: La información solicitada se encuentra aún en creación, en breve podrá ser consultada en el ipomex.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rsidR="00BF0353" w:rsidRDefault="009A01CD">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BF0353" w:rsidRDefault="009A01CD">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MUNICIPIO DE MELCHOR OCAMPO” (Sic)</w:t>
      </w:r>
    </w:p>
    <w:p w:rsidR="00BF0353" w:rsidRDefault="00BF0353">
      <w:pPr>
        <w:ind w:left="851" w:right="902"/>
        <w:jc w:val="both"/>
        <w:rPr>
          <w:rFonts w:ascii="Palatino Linotype" w:eastAsia="Palatino Linotype" w:hAnsi="Palatino Linotype" w:cs="Palatino Linotype"/>
          <w:i/>
          <w:color w:val="000000"/>
          <w:sz w:val="22"/>
          <w:szCs w:val="22"/>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siete de marzo del dos mil veintidós, a través del cual expresó lo siguiente:</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BF0353" w:rsidRDefault="009A01CD">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se entrega la información requerida, además de excusarse de manera irrisoria, violando mi derecho humano de acceso a la información pública.” (Sic)</w:t>
      </w:r>
    </w:p>
    <w:p w:rsidR="00BF0353" w:rsidRDefault="009A01C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BF0353" w:rsidRDefault="009A01CD">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“Resulta evidente que quien funge como titular de la unidad de transparencia no cuenta con los conocimientos básicos en la materia, pues el argumento utilizado para no proporcionar la información requerida resulta absurdo e irrisorio, además de no fundamentar ni motivar su respuesta, violando flagrantemente las funciones que la misma Ley de Transparencia establece como funciones del titular de la unidad de transparencia, y más específicamente el articulo 19, que dice "Se presume </w:t>
      </w:r>
      <w:r>
        <w:rPr>
          <w:rFonts w:ascii="Palatino Linotype" w:eastAsia="Palatino Linotype" w:hAnsi="Palatino Linotype" w:cs="Palatino Linotype"/>
          <w:i/>
          <w:color w:val="000000"/>
        </w:rPr>
        <w:lastRenderedPageBreak/>
        <w:t>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Entonces, además de demostrar incompetencia el titular de la unidad de transparencia evidencia que la dirección de administración o el área que genera la información no esta llevando debidamente sus funciones, pues la información requerida es generada día a día y es de suma importancia contar con esta pues es parte del informe mensual o trimestral que se entrega al Órgano Superior de Fiscalización. por lo que solicito me sea entregada la información según se requirió, y de ser el caso se atienda el grave problema que existe en la Unidad de Transparencia, pues el personal encargado debe estar certificado, cosa que es puesta en duda por el tipo de respuestas que permite se entreguen.” (Sic)</w:t>
      </w:r>
    </w:p>
    <w:p w:rsidR="00BF0353" w:rsidRDefault="009A01CD">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03489/INFOEM/IP/RR/2022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diez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BF0353" w:rsidRDefault="009A01CD">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w:t>
      </w:r>
      <w:r>
        <w:rPr>
          <w:rFonts w:ascii="Palatino Linotype" w:eastAsia="Palatino Linotype" w:hAnsi="Palatino Linotype" w:cs="Palatino Linotype"/>
          <w:color w:val="000000"/>
        </w:rPr>
        <w:lastRenderedPageBreak/>
        <w:t>advierte que el recurrente fue omiso en ofrecer pruebas o expresar alegatos; en términos del artículo 185 fracciones II de la ley que nos ocupa. Por su parte, el Sujeto Obligado de igual forma, fue omiso en presentar el Informe Justificado correspondiente.</w:t>
      </w:r>
    </w:p>
    <w:p w:rsidR="00BF0353" w:rsidRDefault="009A01CD">
      <w:pPr>
        <w:spacing w:line="360" w:lineRule="auto"/>
        <w:jc w:val="both"/>
        <w:rPr>
          <w:rFonts w:ascii="Palatino Linotype" w:eastAsia="Palatino Linotype" w:hAnsi="Palatino Linotype" w:cs="Palatino Linotype"/>
        </w:rPr>
      </w:pPr>
      <w:r>
        <w:rPr>
          <w:noProof/>
          <w:lang w:val="es-MX" w:eastAsia="es-MX"/>
        </w:rPr>
        <w:drawing>
          <wp:inline distT="0" distB="0" distL="0" distR="0">
            <wp:extent cx="5560251" cy="1577731"/>
            <wp:effectExtent l="0" t="0" r="0" b="0"/>
            <wp:docPr id="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3565" t="39875" r="14476" b="26733"/>
                    <a:stretch>
                      <a:fillRect/>
                    </a:stretch>
                  </pic:blipFill>
                  <pic:spPr>
                    <a:xfrm>
                      <a:off x="0" y="0"/>
                      <a:ext cx="5560251" cy="1577731"/>
                    </a:xfrm>
                    <a:prstGeom prst="rect">
                      <a:avLst/>
                    </a:prstGeom>
                    <a:ln/>
                  </pic:spPr>
                </pic:pic>
              </a:graphicData>
            </a:graphic>
          </wp:inline>
        </w:drawing>
      </w:r>
    </w:p>
    <w:p w:rsidR="00BF0353" w:rsidRDefault="009A01C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En fecha diecinueve de mayo del dos mil veintidós la Comisionada ponente determinó el cierre de instrucción en términos de la fracción VI del artículo 185 de la Ley de Transparencia y Acceso a la Información Pública del Estado de México y Municipios. </w:t>
      </w:r>
    </w:p>
    <w:p w:rsidR="00BF0353" w:rsidRDefault="009A01CD">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primero de junio del año dos mil veintidós, con fundamento en el artículo 181, párrafo tercero de la Ley de Transparencia y Acceso a la Información Pública del Estado de México y Municipios, se acordó la ampliación del plazo para su resolución.</w:t>
      </w:r>
      <w:r>
        <w:rPr>
          <w:rFonts w:ascii="Palatino Linotype" w:eastAsia="Palatino Linotype" w:hAnsi="Palatino Linotype" w:cs="Palatino Linotype"/>
          <w:b/>
        </w:rPr>
        <w:t xml:space="preserve"> </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BF0353" w:rsidRDefault="009A01CD">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BF0353" w:rsidRDefault="009A01CD">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tres de marzo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siete de marzo del mismo año, 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BF0353" w:rsidRDefault="009A01CD">
      <w:pPr>
        <w:pBdr>
          <w:top w:val="nil"/>
          <w:left w:val="nil"/>
          <w:bottom w:val="nil"/>
          <w:right w:val="nil"/>
          <w:between w:val="nil"/>
        </w:pBd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BF0353" w:rsidRDefault="00BF035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BF0353" w:rsidRDefault="009A01CD">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su acto impugnado como en sus motivos de inconformidad, de acuerdo al artículo 179 fracción I y XIII de la Ley de Transparencia y Acceso a la Información Pública del Estado de México y Municipios; que a la letra dice:</w:t>
      </w:r>
    </w:p>
    <w:p w:rsidR="00BF0353" w:rsidRDefault="00BF035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BF0353" w:rsidRDefault="009A01CD">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BF0353" w:rsidRDefault="00BF035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BF0353" w:rsidRDefault="009A01CD">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La negativa de la información solicitada</w:t>
      </w:r>
    </w:p>
    <w:p w:rsidR="00BF0353" w:rsidRDefault="009A01CD">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BF0353" w:rsidRDefault="009A01CD">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XIII. La falta, deficiencia o insuficiencia de la fundamentación y/o motivación en la respuesta…” (Sic)</w:t>
      </w:r>
    </w:p>
    <w:p w:rsidR="00BF0353" w:rsidRDefault="00BF035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BF0353" w:rsidRDefault="009A01C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BF0353" w:rsidRDefault="009A01CD">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 fondo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Ayuntamiento de Melchor Ocampo, lo siguiente:</w:t>
      </w:r>
    </w:p>
    <w:p w:rsidR="00BF0353" w:rsidRDefault="009A01CD">
      <w:pPr>
        <w:numPr>
          <w:ilvl w:val="0"/>
          <w:numId w:val="1"/>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TABULADOR DE SUELDOS Y LOS RECIBOS DE NOMINA DE LOS DIRECTORES, JEFES DE DEPARTAMENTO Y EN GENERAL DEL PERSONAL QUE CUENTE CON NOMBRAMIENTO DE LA PRIMERA QUINCENA DE ENERO DE 2022.</w:t>
      </w: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sentido que la información solicitada se encuentra aún en creación, en breve podrá ser consultada en el IPOMEX, en virtud de lo anterior la presente solicitud se archiva como concluida, y en términos del artículo 176, 177 y 178 de la Ley de Transparencia y Acceso a la Información del Estado de México y Municipios.</w:t>
      </w:r>
    </w:p>
    <w:p w:rsidR="00BF0353" w:rsidRDefault="00BF0353">
      <w:pPr>
        <w:spacing w:line="360" w:lineRule="auto"/>
        <w:jc w:val="both"/>
        <w:rPr>
          <w:rFonts w:ascii="Verdana" w:eastAsia="Verdana" w:hAnsi="Verdana" w:cs="Verdana"/>
          <w:color w:val="000000"/>
          <w:sz w:val="18"/>
          <w:szCs w:val="18"/>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por la negativa de la información solicitada y por no fundamentar ni motivar su respuesta.</w:t>
      </w: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rendir su informe justificado.</w:t>
      </w: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w:t>
      </w:r>
      <w:r>
        <w:rPr>
          <w:rFonts w:ascii="Palatino Linotype" w:eastAsia="Palatino Linotype" w:hAnsi="Palatino Linotype" w:cs="Palatino Linotype"/>
        </w:rPr>
        <w:lastRenderedPageBreak/>
        <w:t>ordenar la entrega de la información en versión pública de ser procedente, en razón de las consideraciones de derecho que a continuación se exponen:</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F0353" w:rsidRDefault="009A01CD">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F0353" w:rsidRDefault="009A01CD">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F0353" w:rsidRDefault="009A01CD">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BF0353" w:rsidRDefault="00BF0353">
      <w:pPr>
        <w:ind w:left="709" w:right="760"/>
        <w:jc w:val="both"/>
        <w:rPr>
          <w:rFonts w:ascii="Palatino Linotype" w:eastAsia="Palatino Linotype" w:hAnsi="Palatino Linotype" w:cs="Palatino Linotype"/>
          <w:i/>
          <w:sz w:val="22"/>
          <w:szCs w:val="22"/>
        </w:rPr>
      </w:pP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BF0353" w:rsidRDefault="009A01CD">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F0353" w:rsidRDefault="00BF0353">
      <w:pPr>
        <w:ind w:left="567" w:right="758"/>
        <w:jc w:val="both"/>
        <w:rPr>
          <w:rFonts w:ascii="Palatino Linotype" w:eastAsia="Palatino Linotype" w:hAnsi="Palatino Linotype" w:cs="Palatino Linotype"/>
          <w:i/>
          <w:sz w:val="22"/>
          <w:szCs w:val="22"/>
        </w:rPr>
      </w:pPr>
    </w:p>
    <w:p w:rsidR="00BF0353" w:rsidRDefault="009A01CD">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F0353" w:rsidRDefault="00BF0353">
      <w:pPr>
        <w:spacing w:line="360" w:lineRule="auto"/>
        <w:ind w:right="-93"/>
        <w:jc w:val="both"/>
        <w:rPr>
          <w:rFonts w:ascii="Palatino Linotype" w:eastAsia="Palatino Linotype" w:hAnsi="Palatino Linotype" w:cs="Palatino Linotype"/>
          <w:color w:val="000000"/>
        </w:rPr>
      </w:pPr>
    </w:p>
    <w:p w:rsidR="00BF0353" w:rsidRDefault="009A01CD">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BF0353" w:rsidRDefault="009A01CD">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BF0353" w:rsidRDefault="00BF0353">
      <w:pPr>
        <w:ind w:left="851" w:right="850"/>
        <w:jc w:val="both"/>
        <w:rPr>
          <w:rFonts w:ascii="Palatino Linotype" w:eastAsia="Palatino Linotype" w:hAnsi="Palatino Linotype" w:cs="Palatino Linotype"/>
          <w:color w:val="000000"/>
        </w:rPr>
      </w:pPr>
    </w:p>
    <w:p w:rsidR="00BF0353" w:rsidRDefault="009A01CD">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Pr>
          <w:rFonts w:ascii="Palatino Linotype" w:eastAsia="Palatino Linotype" w:hAnsi="Palatino Linotype" w:cs="Palatino Linotype"/>
          <w:i/>
          <w:color w:val="000000"/>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F0353" w:rsidRDefault="009A01CD">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BF0353" w:rsidRDefault="009A01CD">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BF0353" w:rsidRDefault="009A01CD">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BF0353" w:rsidRDefault="009A01CD">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BF0353" w:rsidRDefault="00BF0353">
      <w:pPr>
        <w:spacing w:line="360" w:lineRule="auto"/>
        <w:jc w:val="both"/>
        <w:rPr>
          <w:rFonts w:ascii="Palatino Linotype" w:eastAsia="Palatino Linotype" w:hAnsi="Palatino Linotype" w:cs="Palatino Linotype"/>
          <w:color w:val="000000"/>
        </w:rPr>
      </w:pPr>
    </w:p>
    <w:p w:rsidR="00BF0353" w:rsidRDefault="009A01C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F0353" w:rsidRDefault="00BF0353">
      <w:pPr>
        <w:ind w:left="851" w:right="899"/>
        <w:jc w:val="both"/>
        <w:rPr>
          <w:rFonts w:ascii="Palatino Linotype" w:eastAsia="Palatino Linotype" w:hAnsi="Palatino Linotype" w:cs="Palatino Linotype"/>
          <w:i/>
          <w:sz w:val="22"/>
          <w:szCs w:val="22"/>
        </w:rPr>
      </w:pP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BF0353" w:rsidRDefault="00BF0353">
      <w:pPr>
        <w:ind w:left="851" w:right="899"/>
        <w:jc w:val="both"/>
        <w:rPr>
          <w:rFonts w:ascii="Palatino Linotype" w:eastAsia="Palatino Linotype" w:hAnsi="Palatino Linotype" w:cs="Palatino Linotype"/>
          <w:sz w:val="22"/>
          <w:szCs w:val="22"/>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F0353" w:rsidRDefault="00BF0353">
      <w:pPr>
        <w:ind w:left="851" w:right="899"/>
        <w:jc w:val="both"/>
        <w:rPr>
          <w:rFonts w:ascii="Palatino Linotype" w:eastAsia="Palatino Linotype" w:hAnsi="Palatino Linotype" w:cs="Palatino Linotype"/>
        </w:rPr>
      </w:pPr>
    </w:p>
    <w:p w:rsidR="00BF0353" w:rsidRDefault="009A01C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w:t>
      </w:r>
      <w:r>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BF0353" w:rsidRDefault="009A01C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F0353" w:rsidRDefault="009A01C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BF0353" w:rsidRDefault="00BF0353">
      <w:pPr>
        <w:spacing w:line="360" w:lineRule="auto"/>
        <w:ind w:right="-93"/>
        <w:jc w:val="both"/>
        <w:rPr>
          <w:rFonts w:ascii="Palatino Linotype" w:eastAsia="Palatino Linotype" w:hAnsi="Palatino Linotype" w:cs="Palatino Linotype"/>
          <w:color w:val="000000"/>
        </w:rPr>
      </w:pPr>
    </w:p>
    <w:p w:rsidR="00BF0353" w:rsidRDefault="009A01CD">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de la Ley de Transparencia y Acceso a la Información Pública del Estado de México y Municipios.</w:t>
      </w:r>
    </w:p>
    <w:p w:rsidR="00BF0353" w:rsidRDefault="00BF0353">
      <w:pPr>
        <w:spacing w:line="360" w:lineRule="auto"/>
        <w:ind w:right="-93"/>
        <w:jc w:val="both"/>
        <w:rPr>
          <w:rFonts w:ascii="Palatino Linotype" w:eastAsia="Palatino Linotype" w:hAnsi="Palatino Linotype" w:cs="Palatino Linotype"/>
        </w:rPr>
      </w:pPr>
    </w:p>
    <w:p w:rsidR="00BF0353" w:rsidRDefault="009A01CD">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es necesario establecer como se encuentra conformada la Administración Pública del Ayuntamiento de Melchor Ocampo 2022-2024, el cual en términos del artículo 48 del Bando Municipal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el año 2022, es la siguiente:</w:t>
      </w:r>
    </w:p>
    <w:p w:rsidR="00BF0353" w:rsidRDefault="00BF0353">
      <w:pPr>
        <w:spacing w:line="360" w:lineRule="auto"/>
        <w:ind w:right="-93"/>
        <w:jc w:val="both"/>
        <w:rPr>
          <w:rFonts w:ascii="Palatino Linotype" w:eastAsia="Palatino Linotype" w:hAnsi="Palatino Linotype" w:cs="Palatino Linotype"/>
        </w:rPr>
      </w:pP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48.- Para el despacho de los asuntos municipales, el Ayuntamiento se auxiliará con las siguientes direcciones y entidades de la Administración Pública: I. Secretaría del Ayuntamiento;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Secretaría Técnica;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Tesorería Municipal;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Contraloría Interna Municipal;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Dirección de Administración;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Dirección Jurídica;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 Dirección de Servicios Públicos;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Dirección de Desarrollo Social;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Dirección de Desarrollo Económico y Fomento al Empleo;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Dirección de Agua Potable, Drenaje y Alcantarillado;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Dirección de Atención a la Mujer;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Dirección de Obras Públicas, Desarrollo Urbano y Medio Ambiente;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Dirección de Seguridad Ciudadana y Movilidad;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Coordinación Municipal de Gestión integral de Riesgos, Protección Civil y Bomberos;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Unidad de Información, Planeación, Programación y Evaluación;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Unidad de Transparencia y Acceso a la Información Pública;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Defensoría Municipal de Derechos Humanos;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Oficialías Mediadora-Conciliadora y Calificadora; </w:t>
      </w:r>
    </w:p>
    <w:p w:rsidR="00BF0353" w:rsidRDefault="009A01C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Sistema Municipal para el Desarrollo Integral de la Familia (DIF).”(Sic)</w:t>
      </w:r>
    </w:p>
    <w:p w:rsidR="00BF0353" w:rsidRDefault="00BF0353">
      <w:pPr>
        <w:spacing w:line="360" w:lineRule="auto"/>
        <w:ind w:right="-93"/>
        <w:jc w:val="both"/>
        <w:rPr>
          <w:rFonts w:ascii="Palatino Linotype" w:eastAsia="Palatino Linotype" w:hAnsi="Palatino Linotype" w:cs="Palatino Linotype"/>
        </w:rPr>
      </w:pPr>
    </w:p>
    <w:p w:rsidR="00BF0353" w:rsidRDefault="009A01C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Señalada la estructura orgánica del </w:t>
      </w:r>
      <w:r>
        <w:rPr>
          <w:rFonts w:ascii="Palatino Linotype" w:eastAsia="Palatino Linotype" w:hAnsi="Palatino Linotype" w:cs="Palatino Linotype"/>
          <w:b/>
        </w:rPr>
        <w:t>SUJETO OBLIGADO</w:t>
      </w:r>
      <w:r>
        <w:rPr>
          <w:rFonts w:ascii="Palatino Linotype" w:eastAsia="Palatino Linotype" w:hAnsi="Palatino Linotype" w:cs="Palatino Linotype"/>
        </w:rPr>
        <w:t>, este cuenta con el deber de satisfacer las solicitudes de acceso a la información que le sean formuladas y entregar la información pública que obre en sus archivos; más aún si la misma se trata de obligaciones de transparencia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actividades que llevan a cabo los Sujetos </w:t>
      </w:r>
      <w:r>
        <w:rPr>
          <w:rFonts w:ascii="Palatino Linotype" w:eastAsia="Palatino Linotype" w:hAnsi="Palatino Linotype" w:cs="Palatino Linotype"/>
        </w:rPr>
        <w:lastRenderedPageBreak/>
        <w:t>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el Tabulador de Sueldos.</w:t>
      </w:r>
    </w:p>
    <w:p w:rsidR="00BF0353" w:rsidRDefault="007353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18509</wp:posOffset>
                </wp:positionH>
                <wp:positionV relativeFrom="paragraph">
                  <wp:posOffset>3034542</wp:posOffset>
                </wp:positionV>
                <wp:extent cx="5411337" cy="2968388"/>
                <wp:effectExtent l="0" t="0" r="37465" b="22860"/>
                <wp:wrapNone/>
                <wp:docPr id="1" name="Conector recto 1"/>
                <wp:cNvGraphicFramePr/>
                <a:graphic xmlns:a="http://schemas.openxmlformats.org/drawingml/2006/main">
                  <a:graphicData uri="http://schemas.microsoft.com/office/word/2010/wordprocessingShape">
                    <wps:wsp>
                      <wps:cNvCnPr/>
                      <wps:spPr>
                        <a:xfrm>
                          <a:off x="0" y="0"/>
                          <a:ext cx="5411337" cy="2968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D7CBD9B"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5pt,238.95pt" to="427.55pt,4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" strokecolor="black [3200]" strokeweight=".5pt">
                <v:stroke joinstyle="miter"/>
              </v:line>
            </w:pict>
          </mc:Fallback>
        </mc:AlternateContent>
      </w:r>
      <w:r w:rsidR="009A01CD">
        <w:rPr>
          <w:rFonts w:ascii="Palatino Linotype" w:eastAsia="Palatino Linotype" w:hAnsi="Palatino Linotype" w:cs="Palatino Linotype"/>
        </w:rPr>
        <w:t>Discernimiento que tiene sustento en lo previsto por los “</w:t>
      </w:r>
      <w:r w:rsidR="009A01CD" w:rsidRPr="0073535C">
        <w:rPr>
          <w:rFonts w:ascii="Palatino Linotype" w:eastAsia="Palatino Linotype" w:hAnsi="Palatino Linotype" w:cs="Palatino Linotype"/>
          <w:color w:val="000000"/>
        </w:rPr>
        <w:t xml:space="preserve">Lineamientos </w:t>
      </w:r>
      <w:r w:rsidR="009A01CD" w:rsidRPr="0073535C">
        <w:rPr>
          <w:rFonts w:ascii="Palatino Linotype" w:eastAsia="Palatino Linotype" w:hAnsi="Palatino Linotype" w:cs="Palatino Linotype"/>
        </w:rPr>
        <w:t>Integración del Informe Trimestral de los Sujetos de Fiscalización Munici</w:t>
      </w:r>
      <w:r w:rsidRPr="0073535C">
        <w:rPr>
          <w:rFonts w:ascii="Palatino Linotype" w:eastAsia="Palatino Linotype" w:hAnsi="Palatino Linotype" w:cs="Palatino Linotype"/>
        </w:rPr>
        <w:t xml:space="preserve">pales para el Ejercicio 2022”, </w:t>
      </w:r>
      <w:r w:rsidR="009A01CD" w:rsidRPr="0073535C">
        <w:rPr>
          <w:rFonts w:ascii="Palatino Linotype" w:eastAsia="Palatino Linotype" w:hAnsi="Palatino Linotype" w:cs="Palatino Linotype"/>
        </w:rPr>
        <w:t>emitidos por el Órgano Superior de Fiscalización del Estado</w:t>
      </w:r>
      <w:r w:rsidR="009A01CD">
        <w:rPr>
          <w:rFonts w:ascii="Palatino Linotype" w:eastAsia="Palatino Linotype" w:hAnsi="Palatino Linotype" w:cs="Palatino Linotype"/>
        </w:rPr>
        <w:t xml:space="preserve"> de México “OSFEM”, los cuales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que se envía al OSFEM en 4 módulos,  dentro del que se destaca el módulo 4 que contiene lo siguiente:</w:t>
      </w:r>
    </w:p>
    <w:p w:rsidR="00BF0353" w:rsidRDefault="00BF0353">
      <w:pPr>
        <w:spacing w:line="360" w:lineRule="auto"/>
        <w:ind w:right="-93"/>
        <w:jc w:val="both"/>
        <w:rPr>
          <w:rFonts w:ascii="Palatino Linotype" w:eastAsia="Palatino Linotype" w:hAnsi="Palatino Linotype" w:cs="Palatino Linotype"/>
        </w:rPr>
      </w:pPr>
    </w:p>
    <w:p w:rsidR="00BF0353" w:rsidRDefault="00BF0353">
      <w:pPr>
        <w:spacing w:line="360" w:lineRule="auto"/>
        <w:ind w:right="-93"/>
        <w:jc w:val="both"/>
      </w:pPr>
    </w:p>
    <w:p w:rsidR="00BF0353" w:rsidRDefault="009A01CD">
      <w:pPr>
        <w:spacing w:line="360" w:lineRule="auto"/>
        <w:ind w:right="-93"/>
        <w:jc w:val="both"/>
        <w:rPr>
          <w:rFonts w:ascii="Palatino Linotype" w:eastAsia="Palatino Linotype" w:hAnsi="Palatino Linotype" w:cs="Palatino Linotype"/>
        </w:rPr>
      </w:pPr>
      <w:r>
        <w:rPr>
          <w:noProof/>
          <w:lang w:val="es-MX" w:eastAsia="es-MX"/>
        </w:rPr>
        <w:lastRenderedPageBreak/>
        <w:drawing>
          <wp:inline distT="0" distB="0" distL="0" distR="0">
            <wp:extent cx="5554194" cy="6836622"/>
            <wp:effectExtent l="0" t="0" r="0" b="0"/>
            <wp:docPr id="1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42443" t="23356" r="20714" b="1572"/>
                    <a:stretch>
                      <a:fillRect/>
                    </a:stretch>
                  </pic:blipFill>
                  <pic:spPr>
                    <a:xfrm>
                      <a:off x="0" y="0"/>
                      <a:ext cx="5554194" cy="6836622"/>
                    </a:xfrm>
                    <a:prstGeom prst="rect">
                      <a:avLst/>
                    </a:prstGeom>
                    <a:ln/>
                  </pic:spPr>
                </pic:pic>
              </a:graphicData>
            </a:graphic>
          </wp:inline>
        </w:drawing>
      </w:r>
    </w:p>
    <w:p w:rsidR="00BF0353" w:rsidRDefault="009A01CD">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el que se observa el punto 10 lo relativo al tabulador de sueldos requerido por el particular, cuyo formato es el siguiente, conforme a los lineamientos referidos:</w:t>
      </w:r>
    </w:p>
    <w:p w:rsidR="00BF0353" w:rsidRDefault="009A01CD">
      <w:pPr>
        <w:spacing w:line="360" w:lineRule="auto"/>
        <w:ind w:right="-93"/>
        <w:jc w:val="both"/>
        <w:rPr>
          <w:rFonts w:ascii="Palatino Linotype" w:eastAsia="Palatino Linotype" w:hAnsi="Palatino Linotype" w:cs="Palatino Linotype"/>
        </w:rPr>
      </w:pPr>
      <w:r>
        <w:rPr>
          <w:noProof/>
          <w:lang w:val="es-MX" w:eastAsia="es-MX"/>
        </w:rPr>
        <w:lastRenderedPageBreak/>
        <w:drawing>
          <wp:inline distT="0" distB="0" distL="0" distR="0">
            <wp:extent cx="5573569" cy="3325721"/>
            <wp:effectExtent l="0" t="0" r="0" b="0"/>
            <wp:docPr id="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4786" t="17048" r="15598"/>
                    <a:stretch>
                      <a:fillRect/>
                    </a:stretch>
                  </pic:blipFill>
                  <pic:spPr>
                    <a:xfrm>
                      <a:off x="0" y="0"/>
                      <a:ext cx="5573569" cy="3325721"/>
                    </a:xfrm>
                    <a:prstGeom prst="rect">
                      <a:avLst/>
                    </a:prstGeom>
                    <a:ln/>
                  </pic:spPr>
                </pic:pic>
              </a:graphicData>
            </a:graphic>
          </wp:inline>
        </w:drawing>
      </w:r>
    </w:p>
    <w:p w:rsidR="00BF0353" w:rsidRDefault="00BF0353">
      <w:pPr>
        <w:spacing w:line="360" w:lineRule="auto"/>
        <w:ind w:right="-93"/>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entregar al Órgano Superior de Fiscalización del Estado de México, la información relativa al Tabulador de Sueldo; consecuentemente la información solicitada por el hoy recurrente debe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conforme a lo previsto en el artículo 19, párrafo primero de la Ley de Transparencia y Acceso a la Información Pública de la entidad que ordena: </w:t>
      </w:r>
    </w:p>
    <w:p w:rsidR="00BF0353" w:rsidRDefault="00BF0353">
      <w:pPr>
        <w:spacing w:line="360" w:lineRule="auto"/>
        <w:ind w:left="851" w:right="902"/>
        <w:jc w:val="both"/>
        <w:rPr>
          <w:rFonts w:ascii="Palatino Linotype" w:eastAsia="Palatino Linotype" w:hAnsi="Palatino Linotype" w:cs="Palatino Linotype"/>
          <w:i/>
          <w:sz w:val="22"/>
          <w:szCs w:val="22"/>
        </w:rPr>
      </w:pP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obligados…”(Sic)</w:t>
      </w:r>
    </w:p>
    <w:p w:rsidR="00BF0353" w:rsidRDefault="00BF0353">
      <w:pPr>
        <w:spacing w:line="360" w:lineRule="auto"/>
        <w:jc w:val="both"/>
        <w:rPr>
          <w:rFonts w:ascii="Palatino Linotype" w:eastAsia="Palatino Linotype" w:hAnsi="Palatino Linotype" w:cs="Palatino Linotype"/>
          <w:color w:val="000000"/>
        </w:rPr>
      </w:pPr>
    </w:p>
    <w:p w:rsidR="00BF0353" w:rsidRDefault="009A01C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es pertinente mencionar que el “Manual para la Planeación, Programación y Presupuesto de Egresos Municipal para los Ejercicios Fiscales 2022”, prevé en su punto 3.4. “Presupuesto de Egresos aprobados (Tercera etapa) “, La </w:t>
      </w:r>
      <w:r>
        <w:rPr>
          <w:rFonts w:ascii="Palatino Linotype" w:eastAsia="Palatino Linotype" w:hAnsi="Palatino Linotype" w:cs="Palatino Linotype"/>
          <w:color w:val="000000"/>
        </w:rPr>
        <w:lastRenderedPageBreak/>
        <w:t xml:space="preserve">Constitución Política del Estado Libre y Soberano del México en su Artículo 125; considera que </w:t>
      </w:r>
      <w:r>
        <w:rPr>
          <w:rFonts w:ascii="Palatino Linotype" w:eastAsia="Palatino Linotype" w:hAnsi="Palatino Linotype" w:cs="Palatino Linotype"/>
          <w:b/>
          <w:color w:val="000000"/>
        </w:rPr>
        <w:t>Los Ayuntamientos podrán celebrar sesiones extraordinarias de cabildo cuando la Ley de Ingresos aprobada por la Legislatura, implique adecuaciones a su Presupuesto de Egresos, así como por la asignación de las participaciones y aportaciones federales y estatales</w:t>
      </w:r>
      <w:r>
        <w:rPr>
          <w:rFonts w:ascii="Palatino Linotype" w:eastAsia="Palatino Linotype" w:hAnsi="Palatino Linotype" w:cs="Palatino Linotype"/>
          <w:color w:val="000000"/>
        </w:rPr>
        <w:t xml:space="preserve">. Estas </w:t>
      </w:r>
      <w:r>
        <w:rPr>
          <w:rFonts w:ascii="Palatino Linotype" w:eastAsia="Palatino Linotype" w:hAnsi="Palatino Linotype" w:cs="Palatino Linotype"/>
          <w:b/>
          <w:color w:val="000000"/>
        </w:rPr>
        <w:t>sesiones tendrán como único objeto concorda</w:t>
      </w:r>
      <w:r w:rsidR="0073535C">
        <w:rPr>
          <w:rFonts w:ascii="Palatino Linotype" w:eastAsia="Palatino Linotype" w:hAnsi="Palatino Linotype" w:cs="Palatino Linotype"/>
          <w:b/>
          <w:color w:val="000000"/>
        </w:rPr>
        <w:t>r con el Presupuesto de Egresos</w:t>
      </w:r>
      <w:r w:rsidR="0073535C">
        <w:rPr>
          <w:rFonts w:ascii="Palatino Linotype" w:eastAsia="Palatino Linotype" w:hAnsi="Palatino Linotype" w:cs="Palatino Linotype"/>
          <w:color w:val="000000"/>
        </w:rPr>
        <w:t xml:space="preserve">, el cual se integra de diversos </w:t>
      </w:r>
      <w:r>
        <w:rPr>
          <w:rFonts w:ascii="Palatino Linotype" w:eastAsia="Palatino Linotype" w:hAnsi="Palatino Linotype" w:cs="Palatino Linotype"/>
          <w:color w:val="000000"/>
        </w:rPr>
        <w:t>formato</w:t>
      </w:r>
      <w:r w:rsidR="0073535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entre ellos el denominado “Tabulador de Sueldos (PbRM-05)”, mencionando que “El monto total de este formato debe coincidir con el Capítulo 1000 contenido en la Carátula de Presupuestos de Egresos (PbRM-04d)”.</w:t>
      </w:r>
    </w:p>
    <w:p w:rsidR="00BF0353" w:rsidRDefault="00BF0353">
      <w:pPr>
        <w:spacing w:line="360" w:lineRule="auto"/>
        <w:jc w:val="both"/>
        <w:rPr>
          <w:rFonts w:ascii="Palatino Linotype" w:eastAsia="Palatino Linotype" w:hAnsi="Palatino Linotype" w:cs="Palatino Linotype"/>
          <w:color w:val="000000"/>
        </w:rPr>
      </w:pPr>
    </w:p>
    <w:p w:rsidR="00BF0353" w:rsidRDefault="009A01CD">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resumen, la información requerida por el solicitante es generada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toda vez que se trata de información sobre servidores públicos, debe ser considerada como información pública, ya que es indispensable que la ciudadanía conozca a quiénes se les entregan recursos públicos; ello por disposición legal del artículo 147, fracción V de la Constitución Política del Estado Libre y Soberano de México, en relación con  el penúltimo párrafo del artículo 23 de la Ley de Transparencia y Acceso a la Información Pública de la entidad que ordenan:</w:t>
      </w:r>
    </w:p>
    <w:p w:rsidR="00BF0353" w:rsidRDefault="009A01CD">
      <w:pPr>
        <w:spacing w:before="240"/>
        <w:ind w:left="851"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De la Constitución Política de la entidad. </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Artículo 147.</w:t>
      </w:r>
      <w:r>
        <w:rPr>
          <w:rFonts w:ascii="Palatino Linotype" w:eastAsia="Palatino Linotype" w:hAnsi="Palatino Linotype" w:cs="Palatino Linotype"/>
          <w:i/>
          <w:sz w:val="22"/>
          <w:szCs w:val="22"/>
        </w:rPr>
        <w:t xml:space="preserve"> </w:t>
      </w:r>
    </w:p>
    <w:p w:rsidR="00BF0353" w:rsidRDefault="009A01CD">
      <w:pPr>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Las remuneraciones y sus tabuladores serán públicos, y deberán especificar y diferenciar la totalidad de sus elementos fijos y variables tanto en efectivo como en especie.”</w:t>
      </w:r>
    </w:p>
    <w:p w:rsidR="00BF0353" w:rsidRDefault="009A01CD">
      <w:pPr>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De la Ley de Transparencia vigente en el Estado de México.</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w:t>
      </w:r>
      <w:r>
        <w:rPr>
          <w:rFonts w:ascii="Palatino Linotype" w:eastAsia="Palatino Linotype" w:hAnsi="Palatino Linotype" w:cs="Palatino Linotype"/>
          <w:i/>
          <w:sz w:val="22"/>
          <w:szCs w:val="22"/>
        </w:rPr>
        <w:lastRenderedPageBreak/>
        <w:t>públicos, así como los informes que dichas personas les entreguen sobre el uso y destino de dichos recursos…”(Sic)</w:t>
      </w:r>
    </w:p>
    <w:p w:rsidR="00BF0353" w:rsidRDefault="00BF0353">
      <w:pPr>
        <w:spacing w:line="360" w:lineRule="auto"/>
        <w:jc w:val="both"/>
        <w:rPr>
          <w:rFonts w:ascii="Palatino Linotype" w:eastAsia="Palatino Linotype" w:hAnsi="Palatino Linotype" w:cs="Palatino Linotype"/>
          <w:color w:val="000000"/>
        </w:rPr>
      </w:pPr>
    </w:p>
    <w:p w:rsidR="00BF0353" w:rsidRDefault="009A01C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constituye interés público conocer cuánto dinero se destina al pago de los integrantes de la administración pública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considerarse servidores públicos y recibir dinero del erario público.</w:t>
      </w:r>
    </w:p>
    <w:p w:rsidR="00BF0353" w:rsidRDefault="00BF0353">
      <w:pPr>
        <w:spacing w:line="360" w:lineRule="auto"/>
        <w:jc w:val="both"/>
        <w:rPr>
          <w:rFonts w:ascii="Palatino Linotype" w:eastAsia="Palatino Linotype" w:hAnsi="Palatino Linotype" w:cs="Palatino Linotype"/>
          <w:color w:val="000000"/>
        </w:rPr>
      </w:pPr>
    </w:p>
    <w:p w:rsidR="00BF0353" w:rsidRDefault="009A01CD">
      <w:pPr>
        <w:spacing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pertinente mencionar que dentro del contenido del “Presupuesto de Egresos Municipal” se deberán incluir los tabuladores desglosados de las remuneraciones que perciban los servidores públicos municipales como lo dispone el penúltimo párrafo del artículo 125 de la Constitución Política de la entidad, que ordena: </w:t>
      </w:r>
    </w:p>
    <w:p w:rsidR="00BF0353" w:rsidRDefault="009A01CD">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125</w:t>
      </w:r>
      <w:r>
        <w:rPr>
          <w:rFonts w:ascii="Palatino Linotype" w:eastAsia="Palatino Linotype" w:hAnsi="Palatino Linotype" w:cs="Palatino Linotype"/>
          <w:i/>
          <w:sz w:val="22"/>
          <w:szCs w:val="22"/>
        </w:rPr>
        <w:t xml:space="preserve">. </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Presupuesto deberá incluir los tabuladores desglosados de las remuneraciones que perciban los servidores públicos municipales, sujetándose a lo dispuesto en el artículo 147 de esta Constitución…” (Sic)</w:t>
      </w:r>
    </w:p>
    <w:p w:rsidR="00BF0353" w:rsidRDefault="00BF0353">
      <w:pPr>
        <w:spacing w:line="360" w:lineRule="auto"/>
        <w:ind w:left="851" w:right="902"/>
        <w:jc w:val="both"/>
        <w:rPr>
          <w:rFonts w:ascii="Palatino Linotype" w:eastAsia="Palatino Linotype" w:hAnsi="Palatino Linotype" w:cs="Palatino Linotype"/>
          <w:i/>
          <w:sz w:val="22"/>
          <w:szCs w:val="22"/>
        </w:rPr>
      </w:pPr>
    </w:p>
    <w:p w:rsidR="00BF0353" w:rsidRDefault="009A01CD">
      <w:pPr>
        <w:spacing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tenor y considerando lo dispuesto en los artículos 31 y 99 de la Ley Orgánica Municipal de Estado de México</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en relación con el diverso 302, párrafo segundo </w:t>
      </w:r>
      <w:r>
        <w:rPr>
          <w:rFonts w:ascii="Palatino Linotype" w:eastAsia="Palatino Linotype" w:hAnsi="Palatino Linotype" w:cs="Palatino Linotype"/>
        </w:rPr>
        <w:lastRenderedPageBreak/>
        <w:t>del Código Financiero del Estado de México</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el Presupuesto de Egresos Municipal deberá ser presentado por el Presidente Municipal al Ayuntamiento, para su aprobación, </w:t>
      </w:r>
      <w:r w:rsidRPr="0073535C">
        <w:rPr>
          <w:rFonts w:ascii="Palatino Linotype" w:eastAsia="Palatino Linotype" w:hAnsi="Palatino Linotype" w:cs="Palatino Linotype"/>
        </w:rPr>
        <w:t>a más tardar el día veinte de diciembre de cada año, el</w:t>
      </w:r>
      <w:r>
        <w:rPr>
          <w:rFonts w:ascii="Palatino Linotype" w:eastAsia="Palatino Linotype" w:hAnsi="Palatino Linotype" w:cs="Palatino Linotype"/>
        </w:rPr>
        <w:t xml:space="preserve"> cual deberá incluir el tabula</w:t>
      </w:r>
      <w:r w:rsidR="0073535C">
        <w:rPr>
          <w:rFonts w:ascii="Palatino Linotype" w:eastAsia="Palatino Linotype" w:hAnsi="Palatino Linotype" w:cs="Palatino Linotype"/>
        </w:rPr>
        <w:t>dor de sueldos correspondiente</w:t>
      </w:r>
      <w:r>
        <w:rPr>
          <w:rFonts w:ascii="Palatino Linotype" w:eastAsia="Palatino Linotype" w:hAnsi="Palatino Linotype" w:cs="Palatino Linotype"/>
        </w:rPr>
        <w:t xml:space="preserve">, por lo que es indiscutible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generó, administra y posee dentro de sus archivos la información requerida. </w:t>
      </w:r>
    </w:p>
    <w:p w:rsidR="00312762" w:rsidRDefault="00312762">
      <w:pPr>
        <w:spacing w:after="36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no pasa desapercibido que el particular no señaló la temporalidad de la información solicitada; luego entonces, se entiende que requiere el tabulador de sueldos vigente al nueve de febrero del año 2022.</w:t>
      </w:r>
    </w:p>
    <w:p w:rsidR="00BF0353" w:rsidRDefault="009A01CD">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estas condiciones, resulta claro que la información de mérito fue generada en ejercicio de las atribuciones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acuerdo a lo dispuesto por los artículos 3, fracción XXII; 4, párrafo segundo y 12, párrafo segundo de la Ley de Transparencia y Acceso a la Información Pública del Estado de México y Municipios y que además debe obrar en sus archivos, por lo que se encuentra en posibilidad de entregarla, tal y como se observa de los referidos numerales que se citan a continuación:</w:t>
      </w:r>
    </w:p>
    <w:p w:rsidR="00BF0353" w:rsidRDefault="009A01CD">
      <w:pPr>
        <w:ind w:left="851" w:right="902"/>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F0353" w:rsidRDefault="009A01CD">
      <w:pPr>
        <w:ind w:left="851" w:right="902"/>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tabs>
          <w:tab w:val="left" w:pos="8505"/>
        </w:tabs>
        <w:ind w:left="851" w:right="902"/>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 xml:space="preserve">XXII. Información de interés público: </w:t>
      </w:r>
      <w:r>
        <w:rPr>
          <w:rFonts w:ascii="Palatino Linotype" w:eastAsia="Palatino Linotype" w:hAnsi="Palatino Linotype" w:cs="Palatino Linotype"/>
          <w:i/>
          <w:sz w:val="22"/>
          <w:szCs w:val="22"/>
        </w:rPr>
        <w:t>Se refiere a la información que resulta relevante o beneficiosa para la sociedad y no simplemente de interés individual, cuya divulgación resulta útil para que el público comprenda las actividades que llevan a cabo los sujetos obligados;</w:t>
      </w:r>
      <w:r>
        <w:rPr>
          <w:rFonts w:ascii="Palatino Linotype" w:eastAsia="Palatino Linotype" w:hAnsi="Palatino Linotype" w:cs="Palatino Linotype"/>
          <w:i/>
          <w:sz w:val="22"/>
          <w:szCs w:val="22"/>
          <w:u w:val="single"/>
        </w:rPr>
        <w:t>”</w:t>
      </w:r>
    </w:p>
    <w:p w:rsidR="00BF0353" w:rsidRDefault="009A01CD">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 …</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BF0353" w:rsidRDefault="009A01CD">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 …</w:t>
      </w:r>
    </w:p>
    <w:p w:rsidR="00BF0353" w:rsidRDefault="009A01CD">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BF0353" w:rsidRDefault="00BF0353">
      <w:pPr>
        <w:spacing w:line="360" w:lineRule="auto"/>
        <w:ind w:right="51"/>
        <w:jc w:val="both"/>
        <w:rPr>
          <w:rFonts w:ascii="Palatino Linotype" w:eastAsia="Palatino Linotype" w:hAnsi="Palatino Linotype" w:cs="Palatino Linotype"/>
          <w:highlight w:val="red"/>
        </w:rPr>
      </w:pPr>
    </w:p>
    <w:p w:rsidR="0073535C" w:rsidRDefault="0073535C" w:rsidP="00312762">
      <w:pPr>
        <w:spacing w:line="360" w:lineRule="auto"/>
        <w:ind w:right="51"/>
        <w:jc w:val="both"/>
        <w:rPr>
          <w:rFonts w:ascii="Palatino Linotype" w:eastAsia="Palatino Linotype" w:hAnsi="Palatino Linotype" w:cs="Palatino Linotype"/>
        </w:rPr>
      </w:pPr>
      <w:r w:rsidRPr="00312762">
        <w:rPr>
          <w:rFonts w:ascii="Palatino Linotype" w:eastAsia="Palatino Linotype" w:hAnsi="Palatino Linotype" w:cs="Palatino Linotype"/>
        </w:rPr>
        <w:t xml:space="preserve">Además, que se trata de una obligación de transparencia en términos de lo señalado por el artículo </w:t>
      </w:r>
      <w:r w:rsidR="00312762" w:rsidRPr="00312762">
        <w:rPr>
          <w:rFonts w:ascii="Palatino Linotype" w:eastAsia="Palatino Linotype" w:hAnsi="Palatino Linotype" w:cs="Palatino Linotype"/>
        </w:rPr>
        <w:t xml:space="preserve">92 fracción </w:t>
      </w:r>
      <w:r w:rsidR="00312762">
        <w:rPr>
          <w:rFonts w:ascii="Palatino Linotype" w:eastAsia="Palatino Linotype" w:hAnsi="Palatino Linotype" w:cs="Palatino Linotype"/>
        </w:rPr>
        <w:t>VIII de la Ley de Transparencia y Acceso a la Información Pública del Estado de México y Municipios, que señala:</w:t>
      </w:r>
    </w:p>
    <w:p w:rsidR="00312762" w:rsidRDefault="00312762" w:rsidP="00312762">
      <w:pPr>
        <w:spacing w:line="360" w:lineRule="auto"/>
        <w:ind w:right="51"/>
        <w:jc w:val="both"/>
        <w:rPr>
          <w:rFonts w:ascii="Palatino Linotype" w:eastAsia="Palatino Linotype" w:hAnsi="Palatino Linotype" w:cs="Palatino Linotype"/>
        </w:rPr>
      </w:pPr>
    </w:p>
    <w:p w:rsidR="00312762" w:rsidRPr="00312762" w:rsidRDefault="00312762" w:rsidP="0031276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312762">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12762" w:rsidRPr="00312762" w:rsidRDefault="00312762" w:rsidP="00312762">
      <w:pPr>
        <w:ind w:left="851" w:right="902"/>
        <w:jc w:val="both"/>
        <w:rPr>
          <w:rFonts w:ascii="Palatino Linotype" w:eastAsia="Palatino Linotype" w:hAnsi="Palatino Linotype" w:cs="Palatino Linotype"/>
          <w:i/>
          <w:sz w:val="22"/>
          <w:szCs w:val="22"/>
        </w:rPr>
      </w:pPr>
      <w:r w:rsidRPr="00312762">
        <w:rPr>
          <w:rFonts w:ascii="Palatino Linotype" w:eastAsia="Palatino Linotype" w:hAnsi="Palatino Linotype" w:cs="Palatino Linotype"/>
          <w:i/>
          <w:sz w:val="22"/>
          <w:szCs w:val="22"/>
        </w:rPr>
        <w:t>…</w:t>
      </w:r>
    </w:p>
    <w:p w:rsidR="00312762" w:rsidRPr="00312762" w:rsidRDefault="00312762" w:rsidP="00312762">
      <w:pPr>
        <w:ind w:left="851" w:right="902"/>
        <w:jc w:val="both"/>
        <w:rPr>
          <w:rFonts w:ascii="Palatino Linotype" w:eastAsia="Palatino Linotype" w:hAnsi="Palatino Linotype" w:cs="Palatino Linotype"/>
          <w:i/>
          <w:sz w:val="22"/>
          <w:szCs w:val="22"/>
        </w:rPr>
      </w:pPr>
      <w:r w:rsidRPr="00312762">
        <w:rPr>
          <w:rFonts w:ascii="Palatino Linotype" w:eastAsia="Palatino Linotype" w:hAnsi="Palatino Linotype" w:cs="Palatino Linotype"/>
          <w:i/>
          <w:sz w:val="22"/>
          <w:szCs w:val="22"/>
        </w:rPr>
        <w:t xml:space="preserve">VIII. La remuneración bruta y neta de todos los servidores públicos de base o de confianza, de todas las percepciones, </w:t>
      </w:r>
      <w:r w:rsidRPr="00312762">
        <w:rPr>
          <w:rFonts w:ascii="Palatino Linotype" w:eastAsia="Palatino Linotype" w:hAnsi="Palatino Linotype" w:cs="Palatino Linotype"/>
          <w:b/>
          <w:i/>
          <w:sz w:val="22"/>
          <w:szCs w:val="22"/>
        </w:rPr>
        <w:t>incluyendo sueldos</w:t>
      </w:r>
      <w:r w:rsidRPr="00312762">
        <w:rPr>
          <w:rFonts w:ascii="Palatino Linotype" w:eastAsia="Palatino Linotype" w:hAnsi="Palatino Linotype" w:cs="Palatino Linotype"/>
          <w:i/>
          <w:sz w:val="22"/>
          <w:szCs w:val="22"/>
        </w:rPr>
        <w:t xml:space="preserve">, prestaciones, </w:t>
      </w:r>
      <w:r w:rsidRPr="00312762">
        <w:rPr>
          <w:rFonts w:ascii="Palatino Linotype" w:eastAsia="Palatino Linotype" w:hAnsi="Palatino Linotype" w:cs="Palatino Linotype"/>
          <w:i/>
          <w:sz w:val="22"/>
          <w:szCs w:val="22"/>
        </w:rPr>
        <w:lastRenderedPageBreak/>
        <w:t>gratificaciones, primas, comisiones, dietas, bonos, estímulos, ingresos y sistemas de compensación, señalando la periodicidad de di</w:t>
      </w:r>
      <w:r>
        <w:rPr>
          <w:rFonts w:ascii="Palatino Linotype" w:eastAsia="Palatino Linotype" w:hAnsi="Palatino Linotype" w:cs="Palatino Linotype"/>
          <w:i/>
          <w:sz w:val="22"/>
          <w:szCs w:val="22"/>
        </w:rPr>
        <w:t>cha remuneración…”(Sic)</w:t>
      </w:r>
    </w:p>
    <w:p w:rsidR="0073535C" w:rsidRDefault="0073535C">
      <w:pPr>
        <w:spacing w:line="360" w:lineRule="auto"/>
        <w:ind w:right="51"/>
        <w:jc w:val="both"/>
        <w:rPr>
          <w:rFonts w:ascii="Palatino Linotype" w:eastAsia="Palatino Linotype" w:hAnsi="Palatino Linotype" w:cs="Palatino Linotype"/>
          <w:highlight w:val="red"/>
        </w:rPr>
      </w:pPr>
    </w:p>
    <w:p w:rsidR="00312762" w:rsidRDefault="00312762" w:rsidP="00312762">
      <w:pPr>
        <w:spacing w:line="360" w:lineRule="auto"/>
        <w:ind w:right="51"/>
        <w:jc w:val="both"/>
        <w:rPr>
          <w:rFonts w:ascii="Palatino Linotype" w:eastAsia="Palatino Linotype" w:hAnsi="Palatino Linotype" w:cs="Palatino Linotype"/>
        </w:rPr>
      </w:pPr>
      <w:r w:rsidRPr="00312762">
        <w:rPr>
          <w:rFonts w:ascii="Palatino Linotype" w:eastAsia="Palatino Linotype" w:hAnsi="Palatino Linotype" w:cs="Palatino Linotype"/>
        </w:rPr>
        <w:t>Lo que se robustece</w:t>
      </w:r>
      <w:r>
        <w:rPr>
          <w:rFonts w:ascii="Palatino Linotype" w:eastAsia="Palatino Linotype" w:hAnsi="Palatino Linotype" w:cs="Palatino Linotype"/>
        </w:rPr>
        <w:t>,</w:t>
      </w:r>
      <w:r w:rsidRPr="00312762">
        <w:rPr>
          <w:rFonts w:ascii="Palatino Linotype" w:eastAsia="Palatino Linotype" w:hAnsi="Palatino Linotype" w:cs="Palatino Linotype"/>
        </w:rPr>
        <w:t xml:space="preserv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rPr>
        <w:t>, en su fracción VIII, criterio 10, que señala:</w:t>
      </w:r>
    </w:p>
    <w:p w:rsidR="00312762" w:rsidRDefault="00312762" w:rsidP="00312762">
      <w:pPr>
        <w:spacing w:line="360" w:lineRule="auto"/>
        <w:ind w:right="51"/>
        <w:jc w:val="both"/>
        <w:rPr>
          <w:rFonts w:ascii="Palatino Linotype" w:eastAsia="Palatino Linotype" w:hAnsi="Palatino Linotype" w:cs="Palatino Linotype"/>
        </w:rPr>
      </w:pPr>
    </w:p>
    <w:p w:rsidR="00312762" w:rsidRPr="00312762" w:rsidRDefault="00312762" w:rsidP="00312762">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312762">
        <w:rPr>
          <w:rFonts w:ascii="Palatino Linotype" w:eastAsia="Palatino Linotype" w:hAnsi="Palatino Linotype" w:cs="Palatino Linotype"/>
          <w:i/>
          <w:sz w:val="22"/>
          <w:szCs w:val="22"/>
        </w:rPr>
        <w:t xml:space="preserve">Criterio 10 Monto de la remuneración mensual bruta, de conformidad al </w:t>
      </w:r>
      <w:r w:rsidRPr="00312762">
        <w:rPr>
          <w:rFonts w:ascii="Palatino Linotype" w:eastAsia="Palatino Linotype" w:hAnsi="Palatino Linotype" w:cs="Palatino Linotype"/>
          <w:b/>
          <w:i/>
          <w:sz w:val="22"/>
          <w:szCs w:val="22"/>
        </w:rPr>
        <w:t>Tabulador de sueldos</w:t>
      </w:r>
      <w:r w:rsidRPr="00312762">
        <w:rPr>
          <w:rFonts w:ascii="Palatino Linotype" w:eastAsia="Palatino Linotype" w:hAnsi="Palatino Linotype" w:cs="Palatino Linotype"/>
          <w:i/>
          <w:sz w:val="22"/>
          <w:szCs w:val="22"/>
        </w:rPr>
        <w:t xml:space="preserve"> y salarios que corresponda (se refiere a las percepciones totales sin descuento alguno)</w:t>
      </w:r>
      <w:r>
        <w:rPr>
          <w:rFonts w:ascii="Palatino Linotype" w:eastAsia="Palatino Linotype" w:hAnsi="Palatino Linotype" w:cs="Palatino Linotype"/>
          <w:i/>
          <w:sz w:val="22"/>
          <w:szCs w:val="22"/>
        </w:rPr>
        <w:t xml:space="preserve"> …” (Sic)</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spacing w:line="360" w:lineRule="auto"/>
        <w:ind w:right="51"/>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Razones por las cuales es dable ordenar al Ayuntamiento de Melchor Ocampo el Tabulador de </w:t>
      </w:r>
      <w:r w:rsidRPr="00312762">
        <w:rPr>
          <w:rFonts w:ascii="Palatino Linotype" w:eastAsia="Palatino Linotype" w:hAnsi="Palatino Linotype" w:cs="Palatino Linotype"/>
        </w:rPr>
        <w:t>Sueldos vigente al nueve de febrero del año 2022.</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Sobre los recibos de nómina, conviene a traer lo establecido por el artículo 804, fracción II, de la Ley Federal de Trabajo, el cual a la letra establece: </w:t>
      </w:r>
    </w:p>
    <w:p w:rsidR="00BF0353" w:rsidRDefault="00BF0353">
      <w:pPr>
        <w:ind w:left="851" w:right="851"/>
        <w:jc w:val="both"/>
        <w:rPr>
          <w:rFonts w:ascii="Palatino Linotype" w:eastAsia="Palatino Linotype" w:hAnsi="Palatino Linotype" w:cs="Palatino Linotype"/>
          <w:i/>
        </w:rPr>
      </w:pP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rsidR="00BF0353" w:rsidRDefault="00BF0353">
      <w:pPr>
        <w:ind w:left="851" w:right="851"/>
        <w:jc w:val="both"/>
        <w:rPr>
          <w:rFonts w:ascii="Palatino Linotype" w:eastAsia="Palatino Linotype" w:hAnsi="Palatino Linotype" w:cs="Palatino Linotype"/>
          <w:i/>
          <w:sz w:val="22"/>
          <w:szCs w:val="22"/>
        </w:rPr>
      </w:pP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rsidR="00BF0353" w:rsidRDefault="00BF0353">
      <w:pPr>
        <w:tabs>
          <w:tab w:val="right" w:pos="8505"/>
        </w:tabs>
        <w:spacing w:line="360" w:lineRule="auto"/>
        <w:jc w:val="both"/>
        <w:rPr>
          <w:rFonts w:ascii="Palatino Linotype" w:eastAsia="Palatino Linotype" w:hAnsi="Palatino Linotype" w:cs="Palatino Linotype"/>
        </w:rPr>
      </w:pP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BF0353" w:rsidRDefault="009A01CD">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ahí que, el artículo 50 de la Ley del Trabajo de los Servidores Públicos del Estado y Municipios, dispone literalmente lo siguiente:</w:t>
      </w:r>
    </w:p>
    <w:p w:rsidR="00BF0353" w:rsidRDefault="00BF0353">
      <w:pPr>
        <w:ind w:left="851" w:right="851"/>
        <w:jc w:val="both"/>
        <w:rPr>
          <w:rFonts w:ascii="Palatino Linotype" w:eastAsia="Palatino Linotype" w:hAnsi="Palatino Linotype" w:cs="Palatino Linotype"/>
          <w:i/>
          <w:sz w:val="22"/>
          <w:szCs w:val="22"/>
        </w:rPr>
      </w:pP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raya.”(Sic)</w:t>
      </w:r>
    </w:p>
    <w:p w:rsidR="00BF0353" w:rsidRDefault="00BF0353">
      <w:pPr>
        <w:spacing w:line="360" w:lineRule="auto"/>
        <w:ind w:right="49"/>
        <w:jc w:val="both"/>
        <w:rPr>
          <w:rFonts w:ascii="Palatino Linotype" w:eastAsia="Palatino Linotype" w:hAnsi="Palatino Linotype" w:cs="Palatino Linotype"/>
        </w:rPr>
      </w:pPr>
    </w:p>
    <w:p w:rsidR="00BF0353" w:rsidRDefault="009A01C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laboral entre un servidor público y el Estado se formaliza mediante nombramiento, contrato o formato único de movimientos de personal.</w:t>
      </w:r>
    </w:p>
    <w:p w:rsidR="00BF0353" w:rsidRDefault="009A01C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BF0353" w:rsidRDefault="009A01CD">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BF0353" w:rsidRDefault="009A01C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rsidR="00BF0353" w:rsidRDefault="009A01C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BF0353" w:rsidRDefault="009A01CD">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BF0353" w:rsidRDefault="00BF0353">
      <w:pPr>
        <w:tabs>
          <w:tab w:val="left" w:pos="9072"/>
        </w:tabs>
        <w:ind w:left="851" w:right="851"/>
        <w:jc w:val="both"/>
        <w:rPr>
          <w:rFonts w:ascii="Palatino Linotype" w:eastAsia="Palatino Linotype" w:hAnsi="Palatino Linotype" w:cs="Palatino Linotype"/>
          <w:i/>
          <w:sz w:val="22"/>
          <w:szCs w:val="22"/>
        </w:rPr>
      </w:pPr>
    </w:p>
    <w:p w:rsidR="00BF0353" w:rsidRDefault="009A01C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tabs>
          <w:tab w:val="right" w:pos="8505"/>
        </w:tabs>
        <w:spacing w:after="240" w:line="360" w:lineRule="auto"/>
        <w:jc w:val="both"/>
        <w:rPr>
          <w:color w:val="000000"/>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w:t>
      </w:r>
      <w:r>
        <w:rPr>
          <w:rFonts w:ascii="Palatino Linotype" w:eastAsia="Palatino Linotype" w:hAnsi="Palatino Linotype" w:cs="Palatino Linotype"/>
          <w:color w:val="000000"/>
        </w:rPr>
        <w:t xml:space="preserve">que los municipios que conforman el Estado de México, entre ellos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BF0353" w:rsidRDefault="009A01CD">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BF0353" w:rsidRDefault="009A01CD">
      <w:pPr>
        <w:ind w:left="851" w:right="851"/>
        <w:jc w:val="both"/>
        <w:rPr>
          <w:i/>
          <w:sz w:val="22"/>
          <w:szCs w:val="22"/>
        </w:rPr>
      </w:pPr>
      <w:r>
        <w:rPr>
          <w:rFonts w:ascii="Palatino Linotype" w:eastAsia="Palatino Linotype" w:hAnsi="Palatino Linotype" w:cs="Palatino Linotype"/>
          <w:i/>
          <w:sz w:val="22"/>
          <w:szCs w:val="22"/>
        </w:rPr>
        <w:t>…</w:t>
      </w:r>
    </w:p>
    <w:p w:rsidR="00BF0353" w:rsidRDefault="009A01CD">
      <w:pPr>
        <w:numPr>
          <w:ilvl w:val="0"/>
          <w:numId w:val="5"/>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 (Sic)</w:t>
      </w:r>
    </w:p>
    <w:p w:rsidR="00BF0353" w:rsidRDefault="00BF0353">
      <w:pPr>
        <w:spacing w:before="240"/>
        <w:ind w:left="851" w:right="851"/>
        <w:jc w:val="both"/>
        <w:rPr>
          <w:b/>
          <w:color w:val="000000"/>
          <w:sz w:val="22"/>
          <w:szCs w:val="22"/>
        </w:rPr>
      </w:pPr>
    </w:p>
    <w:p w:rsidR="00BF0353" w:rsidRDefault="009A01CD">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w:t>
      </w:r>
      <w:r>
        <w:rPr>
          <w:rFonts w:ascii="Palatino Linotype" w:eastAsia="Palatino Linotype" w:hAnsi="Palatino Linotype" w:cs="Palatino Linotype"/>
          <w:color w:val="000000"/>
        </w:rPr>
        <w:lastRenderedPageBreak/>
        <w:t xml:space="preserve">atribuciones el de emitir los Lineamientos </w:t>
      </w:r>
      <w:r>
        <w:rPr>
          <w:rFonts w:ascii="Palatino Linotype" w:eastAsia="Palatino Linotype" w:hAnsi="Palatino Linotype" w:cs="Palatino Linotype"/>
        </w:rPr>
        <w:t>Integración del Informe Trimestral de los Sujetos de Fiscalización Municipales para el Ejercicio 2022</w:t>
      </w:r>
      <w:r>
        <w:rPr>
          <w:rFonts w:ascii="Palatino Linotype" w:eastAsia="Palatino Linotype" w:hAnsi="Palatino Linotype" w:cs="Palatino Linotype"/>
          <w:color w:val="000000"/>
        </w:rPr>
        <w:t>, como así se advierte a continuación:</w:t>
      </w:r>
    </w:p>
    <w:p w:rsidR="00BF0353" w:rsidRDefault="00BF0353">
      <w:pPr>
        <w:spacing w:line="360" w:lineRule="auto"/>
        <w:ind w:right="49"/>
        <w:jc w:val="both"/>
        <w:rPr>
          <w:rFonts w:ascii="Palatino Linotype" w:eastAsia="Palatino Linotype" w:hAnsi="Palatino Linotype" w:cs="Palatino Linotype"/>
          <w:color w:val="000000"/>
        </w:rPr>
      </w:pPr>
    </w:p>
    <w:p w:rsidR="00BF0353" w:rsidRDefault="009A01CD">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BF0353" w:rsidRDefault="00BF0353">
      <w:pPr>
        <w:ind w:left="851" w:right="851"/>
        <w:jc w:val="both"/>
        <w:rPr>
          <w:rFonts w:ascii="Palatino Linotype" w:eastAsia="Palatino Linotype" w:hAnsi="Palatino Linotype" w:cs="Palatino Linotype"/>
          <w:b/>
          <w:i/>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BF0353" w:rsidRDefault="00BF0353">
      <w:pPr>
        <w:spacing w:line="360" w:lineRule="auto"/>
        <w:jc w:val="both"/>
      </w:pPr>
    </w:p>
    <w:p w:rsidR="00BF0353" w:rsidRDefault="009A01CD">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55816" cy="2691442"/>
            <wp:effectExtent l="0" t="0" r="0" b="0"/>
            <wp:docPr id="1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5982" t="17911" r="21361" b="2999"/>
                    <a:stretch>
                      <a:fillRect/>
                    </a:stretch>
                  </pic:blipFill>
                  <pic:spPr>
                    <a:xfrm>
                      <a:off x="0" y="0"/>
                      <a:ext cx="5455816" cy="2691442"/>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4457700</wp:posOffset>
                </wp:positionH>
                <wp:positionV relativeFrom="paragraph">
                  <wp:posOffset>787400</wp:posOffset>
                </wp:positionV>
                <wp:extent cx="571500" cy="844549"/>
                <wp:effectExtent l="0" t="0" r="0" b="0"/>
                <wp:wrapNone/>
                <wp:docPr id="148" name="Flecha a la derecha con bandas 148"/>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12762" w:rsidRDefault="0031276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48" o:spid="_x0000_s1026" type="#_x0000_t93" style="position:absolute;left:0;text-align:left;margin-left:351pt;margin-top:62pt;width:45pt;height:66.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" adj="10800" fillcolor="#5b9bd5 [3204]" strokecolor="#42719b" strokeweight="1pt">
                <v:stroke startarrowwidth="narrow" startarrowlength="short" endarrowwidth="narrow" endarrowlength="short"/>
                <v:textbox inset="2.53958mm,2.53958mm,2.53958mm,2.53958mm">
                  <w:txbxContent>
                    <w:p w:rsidR="00312762" w:rsidRDefault="00312762">
                      <w:pPr>
                        <w:textDirection w:val="btLr"/>
                      </w:pPr>
                    </w:p>
                  </w:txbxContent>
                </v:textbox>
              </v:shape>
            </w:pict>
          </mc:Fallback>
        </mc:AlternateConten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527688" cy="3462490"/>
            <wp:effectExtent l="0" t="0" r="0" b="0"/>
            <wp:docPr id="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2361" t="20325" r="3937" b="4205"/>
                    <a:stretch>
                      <a:fillRect/>
                    </a:stretch>
                  </pic:blipFill>
                  <pic:spPr>
                    <a:xfrm>
                      <a:off x="0" y="0"/>
                      <a:ext cx="5527688" cy="346249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2997200</wp:posOffset>
                </wp:positionH>
                <wp:positionV relativeFrom="paragraph">
                  <wp:posOffset>1308100</wp:posOffset>
                </wp:positionV>
                <wp:extent cx="730250" cy="812800"/>
                <wp:effectExtent l="0" t="0" r="0" b="0"/>
                <wp:wrapNone/>
                <wp:docPr id="147" name="Flecha izquierda 147"/>
                <wp:cNvGraphicFramePr/>
                <a:graphic xmlns:a="http://schemas.openxmlformats.org/drawingml/2006/main">
                  <a:graphicData uri="http://schemas.microsoft.com/office/word/2010/wordprocessingShape">
                    <wps:wsp>
                      <wps:cNvSpPr/>
                      <wps:spPr>
                        <a:xfrm>
                          <a:off x="4993575" y="3386300"/>
                          <a:ext cx="704850" cy="787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12762" w:rsidRDefault="0031276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7" o:spid="_x0000_s1027" type="#_x0000_t66" style="position:absolute;left:0;text-align:left;margin-left:236pt;margin-top:103pt;width:57.5pt;height: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" adj="10800" fillcolor="#5b9bd5 [3204]" strokecolor="#42719b" strokeweight="1pt">
                <v:stroke startarrowwidth="narrow" startarrowlength="short" endarrowwidth="narrow" endarrowlength="short"/>
                <v:textbox inset="2.53958mm,2.53958mm,2.53958mm,2.53958mm">
                  <w:txbxContent>
                    <w:p w:rsidR="00312762" w:rsidRDefault="00312762">
                      <w:pPr>
                        <w:textDirection w:val="btLr"/>
                      </w:pPr>
                    </w:p>
                  </w:txbxContent>
                </v:textbox>
              </v:shape>
            </w:pict>
          </mc:Fallback>
        </mc:AlternateConten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46499" cy="3095643"/>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3987" t="26966" r="3144" b="13260"/>
                    <a:stretch>
                      <a:fillRect/>
                    </a:stretch>
                  </pic:blipFill>
                  <pic:spPr>
                    <a:xfrm>
                      <a:off x="0" y="0"/>
                      <a:ext cx="5446499" cy="3095643"/>
                    </a:xfrm>
                    <a:prstGeom prst="rect">
                      <a:avLst/>
                    </a:prstGeom>
                    <a:ln/>
                  </pic:spPr>
                </pic:pic>
              </a:graphicData>
            </a:graphic>
          </wp:inline>
        </w:drawing>
      </w:r>
    </w:p>
    <w:p w:rsidR="00BF0353" w:rsidRDefault="00BF0353">
      <w:pPr>
        <w:spacing w:line="360" w:lineRule="auto"/>
        <w:jc w:val="both"/>
      </w:pPr>
    </w:p>
    <w:p w:rsidR="00BF0353" w:rsidRDefault="009A01CD">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353050" cy="3035300"/>
            <wp:effectExtent l="0" t="0" r="0" b="0"/>
            <wp:docPr id="1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2516" t="21936" r="4391" b="21511"/>
                    <a:stretch>
                      <a:fillRect/>
                    </a:stretch>
                  </pic:blipFill>
                  <pic:spPr>
                    <a:xfrm>
                      <a:off x="0" y="0"/>
                      <a:ext cx="5353050" cy="3035300"/>
                    </a:xfrm>
                    <a:prstGeom prst="rect">
                      <a:avLst/>
                    </a:prstGeom>
                    <a:ln/>
                  </pic:spPr>
                </pic:pic>
              </a:graphicData>
            </a:graphic>
          </wp:inline>
        </w:drawing>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92750" cy="3683000"/>
            <wp:effectExtent l="0" t="0" r="0" b="0"/>
            <wp:docPr id="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6206" t="14489" r="18081"/>
                    <a:stretch>
                      <a:fillRect/>
                    </a:stretch>
                  </pic:blipFill>
                  <pic:spPr>
                    <a:xfrm>
                      <a:off x="0" y="0"/>
                      <a:ext cx="5492750" cy="3683000"/>
                    </a:xfrm>
                    <a:prstGeom prst="rect">
                      <a:avLst/>
                    </a:prstGeom>
                    <a:ln/>
                  </pic:spPr>
                </pic:pic>
              </a:graphicData>
            </a:graphic>
          </wp:inline>
        </w:drawing>
      </w:r>
    </w:p>
    <w:p w:rsidR="00BF0353" w:rsidRDefault="009A01CD">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435600" cy="4070350"/>
            <wp:effectExtent l="0" t="0" r="0" b="0"/>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37792" t="16704" r="16949" b="2191"/>
                    <a:stretch>
                      <a:fillRect/>
                    </a:stretch>
                  </pic:blipFill>
                  <pic:spPr>
                    <a:xfrm>
                      <a:off x="0" y="0"/>
                      <a:ext cx="5435600" cy="407035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1206500</wp:posOffset>
                </wp:positionH>
                <wp:positionV relativeFrom="paragraph">
                  <wp:posOffset>3225800</wp:posOffset>
                </wp:positionV>
                <wp:extent cx="435098" cy="470724"/>
                <wp:effectExtent l="0" t="0" r="0" b="0"/>
                <wp:wrapNone/>
                <wp:docPr id="149" name="Flecha arriba 149"/>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12762" w:rsidRDefault="0031276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49" o:spid="_x0000_s1028" type="#_x0000_t68" style="position:absolute;left:0;text-align:left;margin-left:95pt;margin-top:254pt;width:34.25pt;height:3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9VZA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312762" w:rsidRDefault="00312762">
                      <w:pPr>
                        <w:textDirection w:val="btLr"/>
                      </w:pPr>
                    </w:p>
                  </w:txbxContent>
                </v:textbox>
              </v:shape>
            </w:pict>
          </mc:Fallback>
        </mc:AlternateContent>
      </w:r>
    </w:p>
    <w:p w:rsidR="00BF0353" w:rsidRDefault="009A01CD">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35600" cy="3073400"/>
            <wp:effectExtent l="0" t="0" r="0" b="0"/>
            <wp:docPr id="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43222" t="23949" r="22606" b="9437"/>
                    <a:stretch>
                      <a:fillRect/>
                    </a:stretch>
                  </pic:blipFill>
                  <pic:spPr>
                    <a:xfrm>
                      <a:off x="0" y="0"/>
                      <a:ext cx="5435600" cy="3073400"/>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1143000</wp:posOffset>
                </wp:positionH>
                <wp:positionV relativeFrom="paragraph">
                  <wp:posOffset>2120900</wp:posOffset>
                </wp:positionV>
                <wp:extent cx="435098" cy="470724"/>
                <wp:effectExtent l="0" t="0" r="0" b="0"/>
                <wp:wrapNone/>
                <wp:docPr id="150" name="Flecha arriba 150"/>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12762" w:rsidRDefault="00312762">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 id="Flecha arriba 150" o:spid="_x0000_s1029" type="#_x0000_t68" style="position:absolute;left:0;text-align:left;margin-left:90pt;margin-top:167pt;width:34.25pt;height:3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dTYw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312762" w:rsidRDefault="00312762">
                      <w:pPr>
                        <w:textDirection w:val="btLr"/>
                      </w:pPr>
                    </w:p>
                  </w:txbxContent>
                </v:textbox>
              </v:shape>
            </w:pict>
          </mc:Fallback>
        </mc:AlternateContent>
      </w: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relativa a los recibos de nómina solicitados; de manera mensual y remitirla al Órgano Superior de Fiscalización del Estado de México, para su respectiva revisión y fiscalización.</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los recibos de nómina, son el documento que contiene los salarios de todos los funcionarios de la administración pública del municipio de Melchor Ocampo, entre los que se destacan el salario de los directores, jefes de departamento y en general del personal que cuente con nombramiento, y que es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rsidR="00BF0353" w:rsidRDefault="00BF0353">
      <w:pPr>
        <w:spacing w:line="360" w:lineRule="auto"/>
        <w:jc w:val="both"/>
        <w:rPr>
          <w:rFonts w:ascii="Palatino Linotype" w:eastAsia="Palatino Linotype" w:hAnsi="Palatino Linotype" w:cs="Palatino Linotype"/>
        </w:rPr>
      </w:pPr>
    </w:p>
    <w:p w:rsidR="00BF0353" w:rsidRDefault="009A01CD">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F0353" w:rsidRDefault="009A01C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BF0353" w:rsidRDefault="00BF0353">
      <w:pPr>
        <w:spacing w:line="360" w:lineRule="auto"/>
        <w:jc w:val="both"/>
        <w:rPr>
          <w:rFonts w:ascii="Palatino Linotype" w:eastAsia="Palatino Linotype" w:hAnsi="Palatino Linotype" w:cs="Palatino Linotype"/>
        </w:rPr>
      </w:pPr>
    </w:p>
    <w:p w:rsidR="00BF0353" w:rsidRDefault="009A01CD">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BF0353" w:rsidRDefault="009A01CD">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BF0353" w:rsidRDefault="00BF0353">
      <w:pPr>
        <w:ind w:left="851" w:right="851"/>
        <w:jc w:val="both"/>
        <w:rPr>
          <w:rFonts w:ascii="Palatino Linotype" w:eastAsia="Palatino Linotype" w:hAnsi="Palatino Linotype" w:cs="Palatino Linotype"/>
          <w:i/>
          <w:sz w:val="22"/>
          <w:szCs w:val="22"/>
        </w:rPr>
      </w:pPr>
    </w:p>
    <w:p w:rsidR="00BF0353" w:rsidRDefault="009A01CD">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BF0353" w:rsidRDefault="009A01C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BF0353" w:rsidRDefault="00BF0353">
      <w:pPr>
        <w:spacing w:line="360" w:lineRule="auto"/>
        <w:ind w:right="-93"/>
        <w:jc w:val="both"/>
        <w:rPr>
          <w:rFonts w:ascii="Palatino Linotype" w:eastAsia="Palatino Linotype" w:hAnsi="Palatino Linotype" w:cs="Palatino Linotype"/>
        </w:rPr>
      </w:pPr>
    </w:p>
    <w:p w:rsidR="00BF0353" w:rsidRDefault="009A01CD">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Finalmente, sobre el motivo de inconformidad del recurrente en donde señaló “</w:t>
      </w:r>
      <w:r>
        <w:rPr>
          <w:rFonts w:ascii="Palatino Linotype" w:eastAsia="Palatino Linotype" w:hAnsi="Palatino Linotype" w:cs="Palatino Linotype"/>
          <w:i/>
        </w:rPr>
        <w:t>Resulta evidente que quien funge como titular de la unidad de transparencia no cuenta con los conocimientos básicos en la materia, pues el argumento utilizado para no proporcionar la información requerida resulta absurdo e irrisorio…</w:t>
      </w:r>
      <w:r>
        <w:rPr>
          <w:rFonts w:ascii="Verdana" w:eastAsia="Verdana" w:hAnsi="Verdana" w:cs="Verdana"/>
          <w:sz w:val="14"/>
          <w:szCs w:val="14"/>
        </w:rPr>
        <w:t xml:space="preserve"> </w:t>
      </w:r>
      <w:r>
        <w:rPr>
          <w:rFonts w:ascii="Palatino Linotype" w:eastAsia="Palatino Linotype" w:hAnsi="Palatino Linotype" w:cs="Palatino Linotype"/>
          <w:i/>
        </w:rPr>
        <w:t xml:space="preserve">además de demostrar incompetencia el titular de la unidad de transparencia evidencia…”, </w:t>
      </w:r>
      <w:r>
        <w:rPr>
          <w:rFonts w:ascii="Palatino Linotype" w:eastAsia="Palatino Linotype" w:hAnsi="Palatino Linotype" w:cs="Palatino Linotype"/>
        </w:rPr>
        <w:t xml:space="preserve">es de señalar que en el ejercicio del </w:t>
      </w:r>
      <w:r>
        <w:rPr>
          <w:rFonts w:ascii="Palatino Linotype" w:eastAsia="Palatino Linotype" w:hAnsi="Palatino Linotype" w:cs="Palatino Linotype"/>
        </w:rPr>
        <w:lastRenderedPageBreak/>
        <w:t>derecho de acceso a la información pública, la solicitud y en su caso, la impugnación, deben ejercerse de manera pacífica y respetuosa, absteniéndose el particular de proferir ofensas o recurrir a la violencia o amenazas para intimidad a la autoridad.</w:t>
      </w:r>
    </w:p>
    <w:p w:rsidR="00BF0353" w:rsidRDefault="009A01CD">
      <w:pPr>
        <w:pBdr>
          <w:top w:val="nil"/>
          <w:left w:val="nil"/>
          <w:bottom w:val="nil"/>
          <w:right w:val="nil"/>
          <w:between w:val="nil"/>
        </w:pBdr>
        <w:tabs>
          <w:tab w:val="left" w:pos="142"/>
          <w:tab w:val="left" w:pos="284"/>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Sustenta lo anterior la Tesis Aislada emitida por el Tercer Tribunal en materia Civil del Primer Circuito, misma que se anexa a continuación:</w:t>
      </w:r>
    </w:p>
    <w:p w:rsidR="00BF0353" w:rsidRDefault="009A01CD">
      <w:pPr>
        <w:pBdr>
          <w:top w:val="nil"/>
          <w:left w:val="nil"/>
          <w:bottom w:val="nil"/>
          <w:right w:val="nil"/>
          <w:between w:val="nil"/>
        </w:pBdr>
        <w:spacing w:line="276" w:lineRule="auto"/>
        <w:ind w:left="851" w:right="567"/>
        <w:jc w:val="both"/>
        <w:rPr>
          <w:rFonts w:ascii="Palatino Linotype" w:eastAsia="Palatino Linotype" w:hAnsi="Palatino Linotype" w:cs="Palatino Linotype"/>
          <w:i/>
          <w:color w:val="000000"/>
        </w:rPr>
      </w:pPr>
      <w:bookmarkStart w:id="1" w:name="_heading=h.1fob9te" w:colFirst="0" w:colLast="0"/>
      <w:bookmarkEnd w:id="1"/>
      <w:r>
        <w:rPr>
          <w:rFonts w:ascii="Palatino Linotype" w:eastAsia="Palatino Linotype" w:hAnsi="Palatino Linotype" w:cs="Palatino Linotype"/>
          <w:b/>
          <w:i/>
          <w:color w:val="000000"/>
        </w:rPr>
        <w:t>“DERECHO A LA INFORMACIÓN. NO DEBE REBASAR LOS LÍMITES PREVISTOS POR LOS ARTÍCULOS 6o., 7o. Y 24 CONSTITUCIONALES. “</w:t>
      </w:r>
      <w:r>
        <w:rPr>
          <w:rFonts w:ascii="Palatino Linotype" w:eastAsia="Palatino Linotype" w:hAnsi="Palatino Linotype" w:cs="Palatino Linotype"/>
          <w:i/>
          <w:color w:val="000000"/>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w:t>
      </w:r>
      <w:r>
        <w:rPr>
          <w:rFonts w:ascii="Palatino Linotype" w:eastAsia="Palatino Linotype" w:hAnsi="Palatino Linotype" w:cs="Palatino Linotype"/>
          <w:i/>
          <w:color w:val="000000"/>
        </w:rPr>
        <w:lastRenderedPageBreak/>
        <w:t xml:space="preserve">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w:t>
      </w:r>
      <w:r>
        <w:rPr>
          <w:rFonts w:ascii="Palatino Linotype" w:eastAsia="Palatino Linotype" w:hAnsi="Palatino Linotype" w:cs="Palatino Linotype"/>
          <w:i/>
          <w:color w:val="000000"/>
        </w:rPr>
        <w:lastRenderedPageBreak/>
        <w:t>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público.”(Sic)</w:t>
      </w:r>
    </w:p>
    <w:p w:rsidR="00BF0353" w:rsidRDefault="00BF0353">
      <w:pPr>
        <w:tabs>
          <w:tab w:val="left" w:pos="709"/>
        </w:tabs>
        <w:spacing w:line="360" w:lineRule="auto"/>
        <w:jc w:val="both"/>
        <w:rPr>
          <w:rFonts w:ascii="Palatino Linotype" w:eastAsia="Palatino Linotype" w:hAnsi="Palatino Linotype" w:cs="Palatino Linotype"/>
          <w:b/>
        </w:rPr>
      </w:pPr>
    </w:p>
    <w:p w:rsidR="00BF0353" w:rsidRDefault="009A01CD">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BF0353" w:rsidRDefault="00BF0353">
      <w:pPr>
        <w:tabs>
          <w:tab w:val="left" w:pos="709"/>
        </w:tabs>
        <w:spacing w:line="360" w:lineRule="auto"/>
        <w:jc w:val="both"/>
        <w:rPr>
          <w:rFonts w:ascii="Palatino Linotype" w:eastAsia="Palatino Linotype" w:hAnsi="Palatino Linotype" w:cs="Palatino Linotype"/>
        </w:rPr>
      </w:pP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BF0353" w:rsidRDefault="009A01CD">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BF0353" w:rsidRDefault="009A01CD">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BF0353" w:rsidRDefault="009A01CD">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BF0353" w:rsidRDefault="009A01CD">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BF0353" w:rsidRDefault="009A01CD">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BF0353" w:rsidRDefault="00BF0353">
      <w:pPr>
        <w:spacing w:line="360" w:lineRule="auto"/>
        <w:ind w:right="49"/>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BF0353" w:rsidRDefault="00BF0353">
      <w:pPr>
        <w:spacing w:line="360" w:lineRule="auto"/>
        <w:jc w:val="both"/>
        <w:rPr>
          <w:rFonts w:ascii="Palatino Linotype" w:eastAsia="Palatino Linotype" w:hAnsi="Palatino Linotype" w:cs="Palatino Linotype"/>
        </w:rPr>
      </w:pPr>
    </w:p>
    <w:p w:rsidR="00BF0353" w:rsidRDefault="009A01C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BF0353" w:rsidRDefault="009A01C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BF0353" w:rsidRDefault="009A01CD">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BF0353" w:rsidRDefault="009A01C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BF0353" w:rsidRDefault="009A01C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BF0353" w:rsidRDefault="009A01CD">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w:t>
      </w:r>
      <w:r>
        <w:rPr>
          <w:rFonts w:ascii="Palatino Linotype" w:eastAsia="Palatino Linotype" w:hAnsi="Palatino Linotype" w:cs="Palatino Linotype"/>
        </w:rPr>
        <w:lastRenderedPageBreak/>
        <w:t>señala la fracción XII del artículo 4 de la Ley de Protección de Datos Personales en Posesión de Sujetos Obligados del Estado de México.</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BF0353" w:rsidRDefault="009A01CD">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lastRenderedPageBreak/>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BF0353" w:rsidRDefault="009A01C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F0353" w:rsidRDefault="009A01C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BF0353" w:rsidRDefault="009A01CD">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w:t>
      </w:r>
      <w:r>
        <w:rPr>
          <w:rFonts w:ascii="Palatino Linotype" w:eastAsia="Palatino Linotype" w:hAnsi="Palatino Linotype" w:cs="Palatino Linotype"/>
        </w:rPr>
        <w:lastRenderedPageBreak/>
        <w:t>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BF0353" w:rsidRDefault="009A01CD">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BF0353" w:rsidRDefault="009A01C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rsidR="00BF0353" w:rsidRDefault="009A01C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BF0353" w:rsidRDefault="009A01C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Cuotas sindicales;</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BF0353" w:rsidRDefault="009A01CD">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BF0353" w:rsidRDefault="009A01CD">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BF0353" w:rsidRDefault="009A01CD">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BF0353" w:rsidRDefault="009A01C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BF0353" w:rsidRDefault="009A01C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BF0353" w:rsidRDefault="00BF035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BF0353" w:rsidRDefault="00BF0353">
      <w:pPr>
        <w:spacing w:line="360" w:lineRule="auto"/>
        <w:ind w:right="50"/>
        <w:jc w:val="both"/>
        <w:rPr>
          <w:rFonts w:ascii="Palatino Linotype" w:eastAsia="Palatino Linotype" w:hAnsi="Palatino Linotype" w:cs="Palatino Linotype"/>
        </w:rPr>
      </w:pPr>
    </w:p>
    <w:p w:rsidR="00BF0353" w:rsidRDefault="009A01C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BF0353" w:rsidRDefault="009A01C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BF0353" w:rsidRDefault="009A01C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BF0353" w:rsidRDefault="009A01C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BF0353" w:rsidRDefault="009A01C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BF0353" w:rsidRDefault="009A01CD">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BF0353" w:rsidRDefault="00BF0353">
      <w:pPr>
        <w:ind w:left="992" w:right="1043"/>
        <w:jc w:val="both"/>
        <w:rPr>
          <w:rFonts w:ascii="Palatino Linotype" w:eastAsia="Palatino Linotype" w:hAnsi="Palatino Linotype" w:cs="Palatino Linotype"/>
          <w:i/>
          <w:sz w:val="22"/>
          <w:szCs w:val="22"/>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BF0353" w:rsidRDefault="00BF0353">
      <w:pPr>
        <w:spacing w:line="360" w:lineRule="auto"/>
        <w:jc w:val="both"/>
        <w:rPr>
          <w:rFonts w:ascii="Palatino Linotype" w:eastAsia="Palatino Linotype" w:hAnsi="Palatino Linotype" w:cs="Palatino Linotype"/>
        </w:rPr>
      </w:pPr>
    </w:p>
    <w:p w:rsidR="00BF0353" w:rsidRDefault="009A01CD">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BF0353" w:rsidRDefault="00BF0353">
      <w:pPr>
        <w:spacing w:before="240" w:line="360" w:lineRule="auto"/>
        <w:ind w:right="51"/>
        <w:jc w:val="both"/>
        <w:rPr>
          <w:rFonts w:ascii="Palatino Linotype" w:eastAsia="Palatino Linotype" w:hAnsi="Palatino Linotype" w:cs="Palatino Linotype"/>
        </w:rPr>
      </w:pPr>
    </w:p>
    <w:p w:rsidR="00BF0353" w:rsidRDefault="009A01C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BF0353" w:rsidRDefault="00BF0353">
      <w:pPr>
        <w:spacing w:line="360" w:lineRule="auto"/>
        <w:ind w:right="51"/>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BF0353" w:rsidRDefault="00BF0353">
      <w:pPr>
        <w:spacing w:line="360" w:lineRule="auto"/>
        <w:jc w:val="both"/>
        <w:rPr>
          <w:rFonts w:ascii="Palatino Linotype" w:eastAsia="Palatino Linotype" w:hAnsi="Palatino Linotype" w:cs="Palatino Linotype"/>
        </w:rPr>
      </w:pPr>
    </w:p>
    <w:p w:rsidR="00BF0353" w:rsidRDefault="009A01CD">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BF0353" w:rsidRDefault="009A01CD">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BF0353" w:rsidRDefault="009A01CD">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8"/>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F0353">
        <w:trPr>
          <w:jc w:val="center"/>
        </w:trPr>
        <w:tc>
          <w:tcPr>
            <w:tcW w:w="1159" w:type="dxa"/>
            <w:tcBorders>
              <w:top w:val="nil"/>
              <w:left w:val="nil"/>
              <w:bottom w:val="single" w:sz="4" w:space="0" w:color="000000"/>
              <w:right w:val="single" w:sz="4" w:space="0" w:color="000000"/>
            </w:tcBorders>
          </w:tcPr>
          <w:p w:rsidR="00BF0353" w:rsidRDefault="00BF035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BF035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BF0353" w:rsidRDefault="009A01CD">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BF0353" w:rsidRDefault="009A01CD">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BF035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F0353" w:rsidRDefault="00BF035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F0353" w:rsidRDefault="009A01CD">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BF0353" w:rsidRDefault="009A01CD">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BF0353" w:rsidRDefault="00BF0353">
      <w:pPr>
        <w:spacing w:before="240" w:line="360" w:lineRule="auto"/>
        <w:ind w:right="51"/>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BF0353" w:rsidRDefault="009A01CD">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derivado de la información que se ordena entregar, pudiera existir información de la Dirección de la Seguridad Pública del Ayuntamiento Melchor Ocampo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asistencias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BF0353" w:rsidRDefault="00BF0353">
      <w:pPr>
        <w:spacing w:line="360" w:lineRule="auto"/>
        <w:jc w:val="both"/>
        <w:rPr>
          <w:rFonts w:ascii="Palatino Linotype" w:eastAsia="Palatino Linotype" w:hAnsi="Palatino Linotype" w:cs="Palatino Linotype"/>
        </w:rPr>
      </w:pP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mencionar que la causal de reserva antes señalada, puede ubicarse en los supuestos previstos por los artículos 140 fracción I y IV de la Ley de Transparencia y  Acceso a la Información Pública del Estado de México y Municipios, que a su vez se vincula con la diversa del artículo 113 fracción V de la </w:t>
      </w:r>
      <w:r>
        <w:rPr>
          <w:rFonts w:ascii="Palatino Linotype" w:eastAsia="Palatino Linotype" w:hAnsi="Palatino Linotype" w:cs="Palatino Linotype"/>
        </w:rPr>
        <w:lastRenderedPageBreak/>
        <w:t>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este Instituto advierte lo siguiente:</w:t>
      </w:r>
    </w:p>
    <w:p w:rsidR="00BF0353" w:rsidRDefault="00BF0353">
      <w:pPr>
        <w:spacing w:line="360" w:lineRule="auto"/>
        <w:jc w:val="both"/>
        <w:rPr>
          <w:rFonts w:ascii="Palatino Linotype" w:eastAsia="Palatino Linotype" w:hAnsi="Palatino Linotype" w:cs="Palatino Linotype"/>
        </w:rPr>
      </w:pPr>
    </w:p>
    <w:p w:rsidR="00BF0353" w:rsidRDefault="009A01CD">
      <w:pPr>
        <w:numPr>
          <w:ilvl w:val="1"/>
          <w:numId w:val="2"/>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rsidR="00BF0353" w:rsidRDefault="009A01CD">
      <w:pPr>
        <w:numPr>
          <w:ilvl w:val="1"/>
          <w:numId w:val="2"/>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BF0353" w:rsidRDefault="009A01CD">
      <w:pPr>
        <w:numPr>
          <w:ilvl w:val="1"/>
          <w:numId w:val="2"/>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rsidR="00BF0353" w:rsidRDefault="00BF0353">
      <w:pPr>
        <w:spacing w:line="360" w:lineRule="auto"/>
        <w:jc w:val="both"/>
        <w:rPr>
          <w:rFonts w:ascii="Palatino Linotype" w:eastAsia="Palatino Linotype" w:hAnsi="Palatino Linotype" w:cs="Palatino Linotype"/>
        </w:rPr>
      </w:pP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este respecto, de conformidad con los artículos </w:t>
      </w:r>
      <w:r w:rsidRPr="00B00055">
        <w:rPr>
          <w:rFonts w:ascii="Palatino Linotype" w:eastAsia="Palatino Linotype" w:hAnsi="Palatino Linotype" w:cs="Palatino Linotype"/>
        </w:rPr>
        <w:t>91 y 140, fracciones I y IV de</w:t>
      </w:r>
      <w:r>
        <w:rPr>
          <w:rFonts w:ascii="Palatino Linotype" w:eastAsia="Palatino Linotype" w:hAnsi="Palatino Linotype" w:cs="Palatino Linotype"/>
        </w:rPr>
        <w:t xml:space="preserv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BF0353" w:rsidRDefault="009A01CD">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BF0353" w:rsidRDefault="009A01CD">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140. </w:t>
      </w:r>
      <w:r>
        <w:rPr>
          <w:rFonts w:ascii="Palatino Linotype" w:eastAsia="Palatino Linotype" w:hAnsi="Palatino Linotype" w:cs="Palatino Linotype"/>
          <w:i/>
          <w:sz w:val="22"/>
          <w:szCs w:val="22"/>
        </w:rPr>
        <w:t xml:space="preserve">El acceso a la información pública será restringido excepcionalmente, cuando por razones de interés público, ésta sea clasificada como reservada, conforme a los criterios siguientes: </w:t>
      </w:r>
    </w:p>
    <w:p w:rsidR="00BF0353" w:rsidRDefault="009A01CD">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Comprometa la seguridad pública y cuente con un propósito genuino y un efecto demostrable;</w:t>
      </w:r>
    </w:p>
    <w:p w:rsidR="00BF0353" w:rsidRDefault="009A01CD">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F0353" w:rsidRDefault="009A01CD">
      <w:pPr>
        <w:spacing w:before="240" w:after="240"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Ponga en riesgo la vida, la seguridad o la salud de una persona física;…” (Sic)</w:t>
      </w:r>
    </w:p>
    <w:p w:rsidR="00BF0353" w:rsidRDefault="009A01CD">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Pr>
          <w:rFonts w:ascii="Palatino Linotype" w:eastAsia="Palatino Linotype" w:hAnsi="Palatino Linotype" w:cs="Palatino Linotype"/>
        </w:rPr>
        <w:lastRenderedPageBreak/>
        <w:t>de datos personales y sobre todo cuando traen implícito que se ponga en riesgo la vida o integridad de una persona.</w:t>
      </w:r>
    </w:p>
    <w:p w:rsidR="00BF0353" w:rsidRDefault="009A01CD">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BF0353" w:rsidRDefault="009A01CD">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rsidR="00BF0353" w:rsidRDefault="00BF0353">
      <w:pPr>
        <w:spacing w:before="120" w:after="120"/>
        <w:ind w:left="851" w:right="760"/>
        <w:jc w:val="both"/>
        <w:rPr>
          <w:rFonts w:ascii="Palatino Linotype" w:eastAsia="Palatino Linotype" w:hAnsi="Palatino Linotype" w:cs="Palatino Linotype"/>
          <w:i/>
          <w:sz w:val="20"/>
          <w:szCs w:val="20"/>
        </w:rPr>
      </w:pPr>
    </w:p>
    <w:p w:rsidR="00BF0353" w:rsidRDefault="009A01CD">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w:t>
      </w:r>
      <w:r>
        <w:rPr>
          <w:rFonts w:ascii="Palatino Linotype" w:eastAsia="Palatino Linotype" w:hAnsi="Palatino Linotype" w:cs="Palatino Linotype"/>
          <w:i/>
          <w:sz w:val="22"/>
          <w:szCs w:val="22"/>
        </w:rPr>
        <w:lastRenderedPageBreak/>
        <w:t xml:space="preserve">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general.”(Sic)</w:t>
      </w:r>
    </w:p>
    <w:p w:rsidR="00BF0353" w:rsidRDefault="00BF0353">
      <w:pPr>
        <w:spacing w:before="120" w:line="360" w:lineRule="auto"/>
        <w:jc w:val="both"/>
        <w:rPr>
          <w:rFonts w:ascii="Palatino Linotype" w:eastAsia="Palatino Linotype" w:hAnsi="Palatino Linotype" w:cs="Palatino Linotype"/>
        </w:rPr>
      </w:pPr>
    </w:p>
    <w:p w:rsidR="00BF0353" w:rsidRDefault="009A01C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BF0353" w:rsidRDefault="00BF0353">
      <w:pPr>
        <w:spacing w:line="360" w:lineRule="auto"/>
        <w:jc w:val="both"/>
        <w:rPr>
          <w:rFonts w:ascii="Palatino Linotype" w:eastAsia="Palatino Linotype" w:hAnsi="Palatino Linotype" w:cs="Palatino Linotype"/>
        </w:rPr>
      </w:pPr>
    </w:p>
    <w:p w:rsidR="00BF0353" w:rsidRDefault="009A01CD">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BF0353" w:rsidRDefault="00BF0353">
      <w:pPr>
        <w:spacing w:line="360" w:lineRule="auto"/>
        <w:jc w:val="center"/>
        <w:rPr>
          <w:rFonts w:ascii="Palatino Linotype" w:eastAsia="Palatino Linotype" w:hAnsi="Palatino Linotype" w:cs="Palatino Linotype"/>
          <w:b/>
        </w:rPr>
      </w:pPr>
    </w:p>
    <w:p w:rsidR="00BF0353" w:rsidRDefault="009A01C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03489/INFOEM/IP/RR/2022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F0353" w:rsidRDefault="009A01C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 del documento o documentos en donde conste lo siguiente:</w:t>
      </w:r>
    </w:p>
    <w:p w:rsidR="00BF0353" w:rsidRDefault="009A01CD">
      <w:pPr>
        <w:numPr>
          <w:ilvl w:val="0"/>
          <w:numId w:val="3"/>
        </w:numPr>
        <w:pBdr>
          <w:top w:val="nil"/>
          <w:left w:val="nil"/>
          <w:bottom w:val="nil"/>
          <w:right w:val="nil"/>
          <w:between w:val="nil"/>
        </w:pBdr>
        <w:spacing w:before="240" w:after="36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Tabulador de Sueldos vigente al nueve de febrero del año 2022.</w:t>
      </w:r>
    </w:p>
    <w:p w:rsidR="00BF0353" w:rsidRDefault="009A01C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versión pública:</w:t>
      </w:r>
    </w:p>
    <w:p w:rsidR="00BF0353" w:rsidRDefault="009A01CD">
      <w:pPr>
        <w:numPr>
          <w:ilvl w:val="0"/>
          <w:numId w:val="3"/>
        </w:numPr>
        <w:pBdr>
          <w:top w:val="nil"/>
          <w:left w:val="nil"/>
          <w:bottom w:val="nil"/>
          <w:right w:val="nil"/>
          <w:between w:val="nil"/>
        </w:pBdr>
        <w:spacing w:before="240" w:after="36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recibos de nómina de los directores, jefes de departamento y en general del personal que cuente con nombramiento de la primera quincena de enero de 2022.</w:t>
      </w:r>
    </w:p>
    <w:p w:rsidR="00BF0353" w:rsidRDefault="009A01CD">
      <w:pPr>
        <w:pBdr>
          <w:top w:val="nil"/>
          <w:left w:val="nil"/>
          <w:bottom w:val="nil"/>
          <w:right w:val="nil"/>
          <w:between w:val="nil"/>
        </w:pBdr>
        <w:spacing w:before="240" w:after="240" w:line="360" w:lineRule="auto"/>
        <w:ind w:left="360" w:right="49"/>
        <w:jc w:val="both"/>
        <w:rPr>
          <w:rFonts w:ascii="Palatino Linotype" w:eastAsia="Palatino Linotype" w:hAnsi="Palatino Linotype" w:cs="Palatino Linotype"/>
        </w:rPr>
      </w:pPr>
      <w:r>
        <w:rPr>
          <w:rFonts w:ascii="Palatino Linotype" w:eastAsia="Palatino Linotype" w:hAnsi="Palatino Linotype" w:cs="Palatino Linotype"/>
          <w:i/>
        </w:rPr>
        <w:t xml:space="preserve">Para la versión pública, el </w:t>
      </w:r>
      <w:r>
        <w:rPr>
          <w:rFonts w:ascii="Palatino Linotype" w:eastAsia="Palatino Linotype" w:hAnsi="Palatino Linotype" w:cs="Palatino Linotype"/>
          <w:b/>
          <w:i/>
        </w:rPr>
        <w:t>SUJETO OBLIGADO</w:t>
      </w:r>
      <w:r>
        <w:rPr>
          <w:rFonts w:ascii="Palatino Linotype" w:eastAsia="Palatino Linotype" w:hAnsi="Palatino Linotype" w:cs="Palatino Linotype"/>
          <w:i/>
        </w:rPr>
        <w:t xml:space="preserve"> deberá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rPr>
        <w:t>RECURRENTE</w:t>
      </w:r>
      <w:r>
        <w:rPr>
          <w:rFonts w:ascii="Palatino Linotype" w:eastAsia="Palatino Linotype" w:hAnsi="Palatino Linotype" w:cs="Palatino Linotype"/>
          <w:i/>
        </w:rPr>
        <w:t>, mismo que igualmente hará de su conocimiento</w:t>
      </w:r>
      <w:r>
        <w:rPr>
          <w:rFonts w:ascii="Palatino Linotype" w:eastAsia="Palatino Linotype" w:hAnsi="Palatino Linotype" w:cs="Palatino Linotype"/>
        </w:rPr>
        <w:t>.</w:t>
      </w:r>
    </w:p>
    <w:p w:rsidR="00BF0353" w:rsidRDefault="009A01CD">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F0353" w:rsidRDefault="009A01C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F0353" w:rsidRDefault="009A01CD">
      <w:pPr>
        <w:spacing w:after="240" w:line="360" w:lineRule="auto"/>
        <w:jc w:val="both"/>
        <w:rPr>
          <w:rFonts w:ascii="Palatino Linotype" w:eastAsia="Palatino Linotype" w:hAnsi="Palatino Linotype" w:cs="Palatino Linotype"/>
          <w:b/>
        </w:rPr>
      </w:pPr>
      <w:bookmarkStart w:id="2" w:name="_heading=h.30j0zll" w:colFirst="0" w:colLast="0"/>
      <w:bookmarkEnd w:id="2"/>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BF0353" w:rsidRDefault="009A01CD">
      <w:pPr>
        <w:spacing w:before="240" w:after="240" w:line="360" w:lineRule="auto"/>
        <w:jc w:val="both"/>
        <w:rPr>
          <w:rFonts w:ascii="Palatino Linotype" w:eastAsia="Palatino Linotype" w:hAnsi="Palatino Linotype" w:cs="Palatino Linotype"/>
        </w:rPr>
        <w:sectPr w:rsidR="00BF0353">
          <w:headerReference w:type="default" r:id="rId18"/>
          <w:footerReference w:type="default" r:id="rId19"/>
          <w:headerReference w:type="first" r:id="rId20"/>
          <w:footerReference w:type="first" r:id="rId21"/>
          <w:pgSz w:w="12240" w:h="15840"/>
          <w:pgMar w:top="1417" w:right="1701" w:bottom="1417" w:left="1701" w:header="709" w:footer="709" w:gutter="0"/>
          <w:pgNumType w:start="1"/>
          <w:cols w:space="720"/>
          <w:titlePg/>
        </w:sectPr>
      </w:pPr>
      <w:bookmarkStart w:id="3" w:name="_heading=h.gjdgxs" w:colFirst="0" w:colLast="0"/>
      <w:bookmarkEnd w:id="3"/>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DE JUNIO </w:t>
      </w:r>
      <w:r>
        <w:rPr>
          <w:rFonts w:ascii="Palatino Linotype" w:eastAsia="Palatino Linotype" w:hAnsi="Palatino Linotype" w:cs="Palatino Linotype"/>
        </w:rPr>
        <w:t>DE DOS MIL VEINTIDÓS, ANTE EL SECRETARIO TÉCNICO DEL PLENO ALEXIS TAPIA RAMÍREZ.</w:t>
      </w:r>
    </w:p>
    <w:p w:rsidR="00BF0353" w:rsidRDefault="00BF0353">
      <w:pPr>
        <w:spacing w:before="240" w:after="240" w:line="360" w:lineRule="auto"/>
        <w:jc w:val="both"/>
        <w:rPr>
          <w:rFonts w:ascii="Palatino Linotype" w:eastAsia="Palatino Linotype" w:hAnsi="Palatino Linotype" w:cs="Palatino Linotype"/>
        </w:rPr>
      </w:pPr>
    </w:p>
    <w:p w:rsidR="00BF0353" w:rsidRDefault="00BF0353">
      <w:pPr>
        <w:spacing w:before="240" w:after="240" w:line="360" w:lineRule="auto"/>
        <w:jc w:val="both"/>
        <w:rPr>
          <w:rFonts w:ascii="Palatino Linotype" w:eastAsia="Palatino Linotype" w:hAnsi="Palatino Linotype" w:cs="Palatino Linotype"/>
        </w:rPr>
      </w:pPr>
    </w:p>
    <w:p w:rsidR="00BF0353" w:rsidRDefault="00BF0353">
      <w:pPr>
        <w:spacing w:before="240" w:after="240" w:line="360" w:lineRule="auto"/>
        <w:jc w:val="both"/>
        <w:rPr>
          <w:rFonts w:ascii="Palatino Linotype" w:eastAsia="Palatino Linotype" w:hAnsi="Palatino Linotype" w:cs="Palatino Linotype"/>
        </w:rPr>
      </w:pPr>
    </w:p>
    <w:sectPr w:rsidR="00BF0353">
      <w:headerReference w:type="first" r:id="rId2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B96" w:rsidRDefault="006F1B96">
      <w:r>
        <w:separator/>
      </w:r>
    </w:p>
  </w:endnote>
  <w:endnote w:type="continuationSeparator" w:id="0">
    <w:p w:rsidR="006F1B96" w:rsidRDefault="006F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62" w:rsidRDefault="0031276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90D4E">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90D4E">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312762" w:rsidRDefault="0031276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62" w:rsidRDefault="0031276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90D4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90D4E">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312762" w:rsidRDefault="0031276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B96" w:rsidRDefault="006F1B96">
      <w:r>
        <w:separator/>
      </w:r>
    </w:p>
  </w:footnote>
  <w:footnote w:type="continuationSeparator" w:id="0">
    <w:p w:rsidR="006F1B96" w:rsidRDefault="006F1B96">
      <w:r>
        <w:continuationSeparator/>
      </w:r>
    </w:p>
  </w:footnote>
  <w:footnote w:id="1">
    <w:p w:rsidR="00312762" w:rsidRDefault="0031276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312762" w:rsidRDefault="00312762">
      <w:pPr>
        <w:pBdr>
          <w:top w:val="nil"/>
          <w:left w:val="nil"/>
          <w:bottom w:val="nil"/>
          <w:right w:val="nil"/>
          <w:between w:val="nil"/>
        </w:pBdr>
        <w:jc w:val="both"/>
        <w:rPr>
          <w:color w:val="000000"/>
          <w:sz w:val="20"/>
          <w:szCs w:val="20"/>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i/>
          <w:color w:val="000000"/>
          <w:sz w:val="19"/>
          <w:szCs w:val="19"/>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312762" w:rsidRDefault="00312762">
      <w:pPr>
        <w:pBdr>
          <w:top w:val="nil"/>
          <w:left w:val="nil"/>
          <w:bottom w:val="nil"/>
          <w:right w:val="nil"/>
          <w:between w:val="nil"/>
        </w:pBdr>
        <w:rPr>
          <w:rFonts w:ascii="Palatino Linotype" w:eastAsia="Palatino Linotype" w:hAnsi="Palatino Linotype" w:cs="Palatino Linotype"/>
          <w:i/>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b/>
          <w:i/>
          <w:color w:val="000000"/>
          <w:sz w:val="20"/>
          <w:szCs w:val="20"/>
        </w:rPr>
        <w:t>Ley Orgánica Municipal del Estado de México.</w:t>
      </w:r>
      <w:r>
        <w:rPr>
          <w:rFonts w:ascii="Palatino Linotype" w:eastAsia="Palatino Linotype" w:hAnsi="Palatino Linotype" w:cs="Palatino Linotype"/>
          <w:i/>
          <w:color w:val="000000"/>
          <w:sz w:val="20"/>
          <w:szCs w:val="20"/>
        </w:rPr>
        <w:t xml:space="preserve"> </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31</w:t>
      </w:r>
      <w:r>
        <w:rPr>
          <w:rFonts w:ascii="Palatino Linotype" w:eastAsia="Palatino Linotype" w:hAnsi="Palatino Linotype" w:cs="Palatino Linotype"/>
          <w:i/>
          <w:color w:val="000000"/>
          <w:sz w:val="20"/>
          <w:szCs w:val="20"/>
        </w:rPr>
        <w:t>.- Son atribuciones de los ayuntamientos:</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XIX</w:t>
      </w:r>
      <w:r>
        <w:rPr>
          <w:rFonts w:ascii="Palatino Linotype" w:eastAsia="Palatino Linotype" w:hAnsi="Palatino Linotype" w:cs="Palatino Linotype"/>
          <w:i/>
          <w:color w:val="000000"/>
          <w:sz w:val="20"/>
          <w:szCs w:val="20"/>
        </w:rPr>
        <w:t>.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municipales…”(Sic)</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99</w:t>
      </w:r>
      <w:r>
        <w:rPr>
          <w:rFonts w:ascii="Palatino Linotype" w:eastAsia="Palatino Linotype" w:hAnsi="Palatino Linotype" w:cs="Palatino Linotype"/>
          <w:i/>
          <w:color w:val="000000"/>
          <w:sz w:val="20"/>
          <w:szCs w:val="20"/>
        </w:rPr>
        <w:t>.- El presidente municipal presentará anualmente al ayuntamiento a más tardar el 20 de diciembre, el proyecto de presupuesto de egresos, para su consideración y aprobación.”</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p>
  </w:footnote>
  <w:footnote w:id="4">
    <w:p w:rsidR="00312762" w:rsidRDefault="00312762">
      <w:pPr>
        <w:pBdr>
          <w:top w:val="nil"/>
          <w:left w:val="nil"/>
          <w:bottom w:val="nil"/>
          <w:right w:val="nil"/>
          <w:between w:val="nil"/>
        </w:pBdr>
        <w:jc w:val="both"/>
        <w:rPr>
          <w:rFonts w:ascii="Palatino Linotype" w:eastAsia="Palatino Linotype" w:hAnsi="Palatino Linotype" w:cs="Palatino Linotype"/>
          <w:b/>
          <w:i/>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b/>
          <w:i/>
          <w:color w:val="000000"/>
          <w:sz w:val="20"/>
          <w:szCs w:val="20"/>
        </w:rPr>
        <w:t xml:space="preserve">Código Financiero del Estado de México. </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Artículo 302</w:t>
      </w:r>
      <w:r>
        <w:rPr>
          <w:rFonts w:ascii="Palatino Linotype" w:eastAsia="Palatino Linotype" w:hAnsi="Palatino Linotype" w:cs="Palatino Linotype"/>
          <w:i/>
          <w:color w:val="000000"/>
          <w:sz w:val="20"/>
          <w:szCs w:val="20"/>
        </w:rPr>
        <w:t>.- El Gobernador presentará a la Legislatura a más tardar el veintiuno de noviembre el Proyecto del Presupuesto de Egresos del Gobierno del Estado.</w:t>
      </w:r>
    </w:p>
    <w:p w:rsidR="00312762" w:rsidRDefault="00312762">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En el caso de los Municipios, el Presidente Municipal lo presentará al Ayuntamiento a más tardar el veinte de diciembre.”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62" w:rsidRDefault="00312762">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-665857</wp:posOffset>
          </wp:positionH>
          <wp:positionV relativeFrom="paragraph">
            <wp:posOffset>-453612</wp:posOffset>
          </wp:positionV>
          <wp:extent cx="7635600" cy="9943200"/>
          <wp:effectExtent l="0" t="0" r="0" b="0"/>
          <wp:wrapNone/>
          <wp:docPr id="15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5670" w:type="dxa"/>
      <w:tblInd w:w="3119" w:type="dxa"/>
      <w:tblLayout w:type="fixed"/>
      <w:tblLook w:val="0400" w:firstRow="0" w:lastRow="0" w:firstColumn="0" w:lastColumn="0" w:noHBand="0" w:noVBand="1"/>
    </w:tblPr>
    <w:tblGrid>
      <w:gridCol w:w="2551"/>
      <w:gridCol w:w="3119"/>
    </w:tblGrid>
    <w:tr w:rsidR="00312762">
      <w:tc>
        <w:tcPr>
          <w:tcW w:w="2551" w:type="dxa"/>
          <w:vAlign w:val="center"/>
        </w:tcPr>
        <w:p w:rsidR="00312762" w:rsidRDefault="003127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312762" w:rsidRDefault="0031276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03489/INFOEM/IP/RR/2022. </w:t>
          </w:r>
        </w:p>
      </w:tc>
    </w:tr>
    <w:tr w:rsidR="00312762">
      <w:trPr>
        <w:trHeight w:val="228"/>
      </w:trPr>
      <w:tc>
        <w:tcPr>
          <w:tcW w:w="2551" w:type="dxa"/>
          <w:vAlign w:val="center"/>
        </w:tcPr>
        <w:p w:rsidR="00312762" w:rsidRDefault="003127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312762" w:rsidRDefault="0031276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br/>
            <w:t>Melchor Ocampo.</w:t>
          </w:r>
        </w:p>
      </w:tc>
    </w:tr>
    <w:tr w:rsidR="00312762">
      <w:tc>
        <w:tcPr>
          <w:tcW w:w="2551" w:type="dxa"/>
          <w:vAlign w:val="center"/>
        </w:tcPr>
        <w:p w:rsidR="00312762" w:rsidRDefault="003127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312762" w:rsidRDefault="0031276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12762" w:rsidRDefault="0031276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62" w:rsidRDefault="00312762">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-680310</wp:posOffset>
          </wp:positionH>
          <wp:positionV relativeFrom="paragraph">
            <wp:posOffset>-168881</wp:posOffset>
          </wp:positionV>
          <wp:extent cx="7635600" cy="9943200"/>
          <wp:effectExtent l="0" t="0" r="0" b="0"/>
          <wp:wrapNone/>
          <wp:docPr id="1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5812" w:type="dxa"/>
      <w:tblInd w:w="3119" w:type="dxa"/>
      <w:tblLayout w:type="fixed"/>
      <w:tblLook w:val="0400" w:firstRow="0" w:lastRow="0" w:firstColumn="0" w:lastColumn="0" w:noHBand="0" w:noVBand="1"/>
    </w:tblPr>
    <w:tblGrid>
      <w:gridCol w:w="2551"/>
      <w:gridCol w:w="3261"/>
    </w:tblGrid>
    <w:tr w:rsidR="00312762">
      <w:tc>
        <w:tcPr>
          <w:tcW w:w="2551" w:type="dxa"/>
          <w:vAlign w:val="center"/>
        </w:tcPr>
        <w:p w:rsidR="00312762" w:rsidRDefault="003127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312762" w:rsidRDefault="0031276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03489/INFOEM/IP/RR/2022. </w:t>
          </w:r>
        </w:p>
      </w:tc>
    </w:tr>
    <w:tr w:rsidR="00312762">
      <w:tc>
        <w:tcPr>
          <w:tcW w:w="2551" w:type="dxa"/>
          <w:vAlign w:val="center"/>
        </w:tcPr>
        <w:p w:rsidR="00312762" w:rsidRDefault="0031276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312762" w:rsidRDefault="00590D4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r w:rsidR="00312762">
            <w:rPr>
              <w:rFonts w:ascii="Palatino Linotype" w:eastAsia="Palatino Linotype" w:hAnsi="Palatino Linotype" w:cs="Palatino Linotype"/>
              <w:b/>
              <w:sz w:val="22"/>
              <w:szCs w:val="22"/>
            </w:rPr>
            <w:t>.</w:t>
          </w:r>
        </w:p>
      </w:tc>
    </w:tr>
    <w:tr w:rsidR="00312762">
      <w:trPr>
        <w:trHeight w:val="228"/>
      </w:trPr>
      <w:tc>
        <w:tcPr>
          <w:tcW w:w="2551" w:type="dxa"/>
          <w:vAlign w:val="center"/>
        </w:tcPr>
        <w:p w:rsidR="00312762" w:rsidRDefault="003127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312762" w:rsidRDefault="0031276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Melchor Ocampo.</w:t>
          </w:r>
        </w:p>
      </w:tc>
    </w:tr>
    <w:tr w:rsidR="00312762">
      <w:tc>
        <w:tcPr>
          <w:tcW w:w="2551" w:type="dxa"/>
          <w:vAlign w:val="center"/>
        </w:tcPr>
        <w:p w:rsidR="00312762" w:rsidRDefault="003127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312762" w:rsidRDefault="0031276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12762" w:rsidRDefault="0031276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62" w:rsidRDefault="00312762">
    <w:pPr>
      <w:pBdr>
        <w:top w:val="nil"/>
        <w:left w:val="nil"/>
        <w:bottom w:val="nil"/>
        <w:right w:val="nil"/>
        <w:between w:val="nil"/>
      </w:pBdr>
      <w:tabs>
        <w:tab w:val="center" w:pos="4419"/>
        <w:tab w:val="right" w:pos="8838"/>
      </w:tabs>
      <w:jc w:val="both"/>
      <w:rPr>
        <w:color w:val="000000"/>
      </w:rPr>
    </w:pPr>
  </w:p>
  <w:p w:rsidR="00312762" w:rsidRDefault="0031276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BF2"/>
    <w:multiLevelType w:val="multilevel"/>
    <w:tmpl w:val="FDA08A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4225A5"/>
    <w:multiLevelType w:val="multilevel"/>
    <w:tmpl w:val="D5A84DB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3CE7334E"/>
    <w:multiLevelType w:val="multilevel"/>
    <w:tmpl w:val="FDFE96E2"/>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2026A9"/>
    <w:multiLevelType w:val="multilevel"/>
    <w:tmpl w:val="C60EC1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812A02"/>
    <w:multiLevelType w:val="multilevel"/>
    <w:tmpl w:val="B2C6F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353"/>
    <w:rsid w:val="00312762"/>
    <w:rsid w:val="00590D4E"/>
    <w:rsid w:val="006F1B96"/>
    <w:rsid w:val="0073535C"/>
    <w:rsid w:val="0090043B"/>
    <w:rsid w:val="009A01CD"/>
    <w:rsid w:val="00B00055"/>
    <w:rsid w:val="00BF0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03812-4E41-410B-9B5C-CC610C235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customStyle="1" w:styleId="Listavistosa-nfasis11">
    <w:name w:val="Lista vistosa - Énfasis 11"/>
    <w:basedOn w:val="Normal"/>
    <w:link w:val="Listavistosa-nfasis1Car"/>
    <w:uiPriority w:val="34"/>
    <w:qFormat/>
    <w:rsid w:val="001B10D5"/>
    <w:pPr>
      <w:ind w:left="708"/>
    </w:pPr>
  </w:style>
  <w:style w:type="character" w:customStyle="1" w:styleId="Listavistosa-nfasis1Car">
    <w:name w:val="Lista vistosa - Énfasis 1 Car"/>
    <w:link w:val="Listavistosa-nfasis11"/>
    <w:uiPriority w:val="34"/>
    <w:locked/>
    <w:rsid w:val="001B10D5"/>
    <w:rPr>
      <w:lang w:eastAsia="es-ES"/>
    </w:rPr>
  </w:style>
  <w:style w:type="paragraph" w:customStyle="1" w:styleId="Texto">
    <w:name w:val="Texto"/>
    <w:basedOn w:val="Normal"/>
    <w:link w:val="TextoCar"/>
    <w:rsid w:val="001B10D5"/>
    <w:pPr>
      <w:spacing w:after="101" w:line="216" w:lineRule="exact"/>
      <w:ind w:firstLine="288"/>
      <w:jc w:val="both"/>
    </w:pPr>
    <w:rPr>
      <w:rFonts w:ascii="Arial" w:hAnsi="Arial" w:cs="Arial"/>
      <w:sz w:val="18"/>
      <w:szCs w:val="18"/>
      <w:lang w:val="es-MX"/>
    </w:rPr>
  </w:style>
  <w:style w:type="paragraph" w:styleId="Textoindependiente2">
    <w:name w:val="Body Text 2"/>
    <w:basedOn w:val="Normal"/>
    <w:link w:val="Textoindependiente2Car"/>
    <w:uiPriority w:val="99"/>
    <w:unhideWhenUsed/>
    <w:rsid w:val="001B10D5"/>
    <w:pPr>
      <w:spacing w:after="120" w:line="480" w:lineRule="auto"/>
    </w:pPr>
  </w:style>
  <w:style w:type="character" w:customStyle="1" w:styleId="Textoindependiente2Car">
    <w:name w:val="Texto independiente 2 Car"/>
    <w:basedOn w:val="Fuentedeprrafopredeter"/>
    <w:link w:val="Textoindependiente2"/>
    <w:uiPriority w:val="99"/>
    <w:rsid w:val="001B10D5"/>
    <w:rPr>
      <w:lang w:eastAsia="es-ES"/>
    </w:rPr>
  </w:style>
  <w:style w:type="paragraph" w:styleId="Textosinformato">
    <w:name w:val="Plain Text"/>
    <w:basedOn w:val="Normal"/>
    <w:link w:val="TextosinformatoCar"/>
    <w:rsid w:val="001B10D5"/>
    <w:rPr>
      <w:rFonts w:ascii="Courier New" w:hAnsi="Courier New"/>
      <w:sz w:val="20"/>
      <w:szCs w:val="20"/>
    </w:rPr>
  </w:style>
  <w:style w:type="character" w:customStyle="1" w:styleId="TextosinformatoCar">
    <w:name w:val="Texto sin formato Car"/>
    <w:basedOn w:val="Fuentedeprrafopredeter"/>
    <w:link w:val="Textosinformato"/>
    <w:rsid w:val="001B10D5"/>
    <w:rPr>
      <w:rFonts w:ascii="Courier New" w:hAnsi="Courier New"/>
      <w:sz w:val="20"/>
      <w:szCs w:val="20"/>
      <w:lang w:eastAsia="es-ES"/>
    </w:rPr>
  </w:style>
  <w:style w:type="character" w:customStyle="1" w:styleId="negritas1">
    <w:name w:val="negritas1"/>
    <w:rsid w:val="001B10D5"/>
    <w:rPr>
      <w:rFonts w:ascii="Arial" w:hAnsi="Arial" w:cs="Arial" w:hint="default"/>
      <w:b/>
      <w:bCs/>
      <w:sz w:val="18"/>
      <w:szCs w:val="18"/>
    </w:rPr>
  </w:style>
  <w:style w:type="paragraph" w:customStyle="1" w:styleId="Pa2">
    <w:name w:val="Pa2"/>
    <w:basedOn w:val="Normal"/>
    <w:next w:val="Normal"/>
    <w:uiPriority w:val="99"/>
    <w:rsid w:val="001B10D5"/>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1B10D5"/>
    <w:pPr>
      <w:spacing w:before="100" w:beforeAutospacing="1" w:after="100" w:afterAutospacing="1"/>
    </w:pPr>
    <w:rPr>
      <w:lang w:val="es-MX" w:eastAsia="es-MX"/>
    </w:rPr>
  </w:style>
  <w:style w:type="character" w:customStyle="1" w:styleId="d">
    <w:name w:val="d"/>
    <w:basedOn w:val="Fuentedeprrafopredeter"/>
    <w:rsid w:val="001B10D5"/>
  </w:style>
  <w:style w:type="character" w:customStyle="1" w:styleId="b">
    <w:name w:val="b"/>
    <w:basedOn w:val="Fuentedeprrafopredeter"/>
    <w:rsid w:val="001B10D5"/>
  </w:style>
  <w:style w:type="character" w:customStyle="1" w:styleId="k">
    <w:name w:val="k"/>
    <w:basedOn w:val="Fuentedeprrafopredeter"/>
    <w:rsid w:val="001B10D5"/>
  </w:style>
  <w:style w:type="character" w:customStyle="1" w:styleId="h">
    <w:name w:val="h"/>
    <w:basedOn w:val="Fuentedeprrafopredeter"/>
    <w:rsid w:val="001B10D5"/>
  </w:style>
  <w:style w:type="character" w:styleId="CitaHTML">
    <w:name w:val="HTML Cite"/>
    <w:uiPriority w:val="99"/>
    <w:semiHidden/>
    <w:unhideWhenUsed/>
    <w:rsid w:val="001B10D5"/>
    <w:rPr>
      <w:i/>
      <w:iCs/>
    </w:rPr>
  </w:style>
  <w:style w:type="character" w:customStyle="1" w:styleId="medium">
    <w:name w:val="medium"/>
    <w:basedOn w:val="Fuentedeprrafopredeter"/>
    <w:rsid w:val="001B10D5"/>
  </w:style>
  <w:style w:type="character" w:customStyle="1" w:styleId="numeroconsecutivo">
    <w:name w:val="numeroconsecutivo"/>
    <w:basedOn w:val="Fuentedeprrafopredeter"/>
    <w:rsid w:val="001B10D5"/>
  </w:style>
  <w:style w:type="character" w:customStyle="1" w:styleId="titulorubrolgt">
    <w:name w:val="titulorubrolgt"/>
    <w:basedOn w:val="Fuentedeprrafopredeter"/>
    <w:rsid w:val="001B10D5"/>
  </w:style>
  <w:style w:type="character" w:customStyle="1" w:styleId="ctr">
    <w:name w:val="ctr"/>
    <w:basedOn w:val="Fuentedeprrafopredeter"/>
    <w:rsid w:val="001B10D5"/>
  </w:style>
  <w:style w:type="paragraph" w:styleId="Textonotaalfinal">
    <w:name w:val="endnote text"/>
    <w:basedOn w:val="Normal"/>
    <w:link w:val="TextonotaalfinalCar"/>
    <w:uiPriority w:val="99"/>
    <w:semiHidden/>
    <w:unhideWhenUsed/>
    <w:rsid w:val="001B10D5"/>
    <w:rPr>
      <w:sz w:val="20"/>
      <w:szCs w:val="20"/>
    </w:rPr>
  </w:style>
  <w:style w:type="character" w:customStyle="1" w:styleId="TextonotaalfinalCar">
    <w:name w:val="Texto nota al final Car"/>
    <w:basedOn w:val="Fuentedeprrafopredeter"/>
    <w:link w:val="Textonotaalfinal"/>
    <w:uiPriority w:val="99"/>
    <w:semiHidden/>
    <w:rsid w:val="001B10D5"/>
    <w:rPr>
      <w:sz w:val="20"/>
      <w:szCs w:val="20"/>
      <w:lang w:eastAsia="es-ES"/>
    </w:rPr>
  </w:style>
  <w:style w:type="character" w:styleId="Refdenotaalfinal">
    <w:name w:val="endnote reference"/>
    <w:basedOn w:val="Fuentedeprrafopredeter"/>
    <w:uiPriority w:val="99"/>
    <w:semiHidden/>
    <w:unhideWhenUsed/>
    <w:rsid w:val="001B10D5"/>
    <w:rPr>
      <w:vertAlign w:val="superscript"/>
    </w:rPr>
  </w:style>
  <w:style w:type="character" w:customStyle="1" w:styleId="A10">
    <w:name w:val="A1"/>
    <w:uiPriority w:val="99"/>
    <w:rsid w:val="001B10D5"/>
    <w:rPr>
      <w:rFonts w:ascii="Myriad Pro" w:hAnsi="Myriad Pro" w:cs="Myriad Pro" w:hint="default"/>
      <w:color w:val="000000"/>
      <w:sz w:val="22"/>
      <w:szCs w:val="22"/>
    </w:rPr>
  </w:style>
  <w:style w:type="paragraph" w:customStyle="1" w:styleId="Pa9">
    <w:name w:val="Pa9"/>
    <w:basedOn w:val="Normal"/>
    <w:next w:val="Normal"/>
    <w:uiPriority w:val="99"/>
    <w:rsid w:val="001B10D5"/>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1B10D5"/>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1B10D5"/>
    <w:pPr>
      <w:spacing w:before="100" w:beforeAutospacing="1" w:after="100" w:afterAutospacing="1"/>
    </w:pPr>
    <w:rPr>
      <w:lang w:val="es-MX" w:eastAsia="es-MX"/>
    </w:rPr>
  </w:style>
  <w:style w:type="character" w:customStyle="1" w:styleId="nombrefraccder">
    <w:name w:val="nombrefraccder"/>
    <w:basedOn w:val="Fuentedeprrafopredeter"/>
    <w:rsid w:val="001B10D5"/>
  </w:style>
  <w:style w:type="character" w:customStyle="1" w:styleId="numberfraccder">
    <w:name w:val="numberfraccder"/>
    <w:basedOn w:val="Fuentedeprrafopredeter"/>
    <w:rsid w:val="001B10D5"/>
  </w:style>
  <w:style w:type="character" w:customStyle="1" w:styleId="TextoCar">
    <w:name w:val="Texto Car"/>
    <w:link w:val="Texto"/>
    <w:locked/>
    <w:rsid w:val="001B10D5"/>
    <w:rPr>
      <w:rFonts w:ascii="Arial" w:hAnsi="Arial" w:cs="Arial"/>
      <w:sz w:val="18"/>
      <w:szCs w:val="18"/>
      <w:lang w:val="es-MX" w:eastAsia="es-ES"/>
    </w:rPr>
  </w:style>
  <w:style w:type="character" w:styleId="nfasis">
    <w:name w:val="Emphasis"/>
    <w:basedOn w:val="Fuentedeprrafopredeter"/>
    <w:uiPriority w:val="20"/>
    <w:qFormat/>
    <w:rsid w:val="001B10D5"/>
    <w:rPr>
      <w:i/>
      <w:iCs/>
    </w:rPr>
  </w:style>
  <w:style w:type="character" w:customStyle="1" w:styleId="m5127500252372250437gmail-normaltextrun">
    <w:name w:val="m_5127500252372250437gmail-normaltextrun"/>
    <w:basedOn w:val="Fuentedeprrafopredeter"/>
    <w:rsid w:val="001B10D5"/>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character" w:customStyle="1" w:styleId="TextonotapieCar1">
    <w:name w:val="Texto nota pie Car1"/>
    <w:uiPriority w:val="99"/>
    <w:rsid w:val="00886196"/>
    <w:rPr>
      <w:rFonts w:ascii="Times New Roman" w:eastAsia="Times New Roman" w:hAnsi="Times New Roman"/>
      <w:lang w:val="es-ES" w:eastAsia="es-ES"/>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ttTpLvmxUCHMJ086ujIj3jEjg==">AMUW2mVHnVT20+EnfVz612h6vN/hvxYr1KVRHD7v7rHK98sKZzfwuwYGeKwG3kfGe+/1TYuJX+be/vNqU8OqEohHW2ByLNrURU4FvqCXr+xZzl63LxaBZgR/JPTN4qT+R8kplsh7jwn04yefbohRdUD0S9y/z20dpA==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56</Pages>
  <Words>13921</Words>
  <Characters>76571</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4</cp:revision>
  <dcterms:created xsi:type="dcterms:W3CDTF">2022-06-09T15:42:00Z</dcterms:created>
  <dcterms:modified xsi:type="dcterms:W3CDTF">2022-07-07T16:34:00Z</dcterms:modified>
</cp:coreProperties>
</file>