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Resolución del Pleno del Instituto de Transparencia, Acceso a la Información Pública y Protección de Datos Personales del Estado de México y Municipios, con domicilio en Metepec, Estado de México, a dieciséis de marzo de dos mil veintidós.</w:t>
      </w:r>
    </w:p>
    <w:p w:rsidR="00000000" w:rsidDel="00000000" w:rsidP="00000000" w:rsidRDefault="00000000" w:rsidRPr="00000000" w14:paraId="00000002">
      <w:pPr>
        <w:spacing w:after="120" w:before="12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Visto </w:t>
      </w:r>
      <w:r w:rsidDel="00000000" w:rsidR="00000000" w:rsidRPr="00000000">
        <w:rPr>
          <w:rFonts w:ascii="Palatino Linotype" w:cs="Palatino Linotype" w:eastAsia="Palatino Linotype" w:hAnsi="Palatino Linotype"/>
          <w:sz w:val="24"/>
          <w:szCs w:val="24"/>
          <w:rtl w:val="0"/>
        </w:rPr>
        <w:t xml:space="preserve">el expediente relativo al recurso de revisión </w:t>
      </w:r>
      <w:r w:rsidDel="00000000" w:rsidR="00000000" w:rsidRPr="00000000">
        <w:rPr>
          <w:rFonts w:ascii="Palatino Linotype" w:cs="Palatino Linotype" w:eastAsia="Palatino Linotype" w:hAnsi="Palatino Linotype"/>
          <w:b w:val="1"/>
          <w:sz w:val="24"/>
          <w:szCs w:val="24"/>
          <w:rtl w:val="0"/>
        </w:rPr>
        <w:t xml:space="preserve">00494/INFOEM/IP/RR/2022</w:t>
      </w:r>
      <w:r w:rsidDel="00000000" w:rsidR="00000000" w:rsidRPr="00000000">
        <w:rPr>
          <w:rFonts w:ascii="Palatino Linotype" w:cs="Palatino Linotype" w:eastAsia="Palatino Linotype" w:hAnsi="Palatino Linotype"/>
          <w:sz w:val="24"/>
          <w:szCs w:val="24"/>
          <w:rtl w:val="0"/>
        </w:rPr>
        <w:t xml:space="preserve">, interpuesto por un por un particular que al momento de ingresar la solicitud de información e interponer el recurso de revisión, no señaló nombre o seudónimo con el cual desee ser identificado, al cual en lo sucesivo  se le denominara </w:t>
      </w:r>
      <w:r w:rsidDel="00000000" w:rsidR="00000000" w:rsidRPr="00000000">
        <w:rPr>
          <w:rFonts w:ascii="Palatino Linotype" w:cs="Palatino Linotype" w:eastAsia="Palatino Linotype" w:hAnsi="Palatino Linotype"/>
          <w:b w:val="1"/>
          <w:sz w:val="24"/>
          <w:szCs w:val="24"/>
          <w:rtl w:val="0"/>
        </w:rPr>
        <w:t xml:space="preserve">EL RECURRENTE</w:t>
      </w:r>
      <w:r w:rsidDel="00000000" w:rsidR="00000000" w:rsidRPr="00000000">
        <w:rPr>
          <w:rFonts w:ascii="Palatino Linotype" w:cs="Palatino Linotype" w:eastAsia="Palatino Linotype" w:hAnsi="Palatino Linotype"/>
          <w:sz w:val="24"/>
          <w:szCs w:val="24"/>
          <w:rtl w:val="0"/>
        </w:rPr>
        <w:t xml:space="preserve">, en contra de la respuesta a la solicitud de información con número de folio </w:t>
      </w:r>
      <w:r w:rsidDel="00000000" w:rsidR="00000000" w:rsidRPr="00000000">
        <w:rPr>
          <w:rFonts w:ascii="Palatino Linotype" w:cs="Palatino Linotype" w:eastAsia="Palatino Linotype" w:hAnsi="Palatino Linotype"/>
          <w:b w:val="1"/>
          <w:color w:val="000000"/>
          <w:sz w:val="24"/>
          <w:szCs w:val="24"/>
          <w:rtl w:val="0"/>
        </w:rPr>
        <w:t xml:space="preserve">00423/VACHASO/IP/2021</w:t>
      </w:r>
      <w:r w:rsidDel="00000000" w:rsidR="00000000" w:rsidRPr="00000000">
        <w:rPr>
          <w:rFonts w:ascii="Palatino Linotype" w:cs="Palatino Linotype" w:eastAsia="Palatino Linotype" w:hAnsi="Palatino Linotype"/>
          <w:b w:val="1"/>
          <w:sz w:val="24"/>
          <w:szCs w:val="24"/>
          <w:rtl w:val="0"/>
        </w:rPr>
        <w:t xml:space="preserve">,</w:t>
      </w:r>
      <w:r w:rsidDel="00000000" w:rsidR="00000000" w:rsidRPr="00000000">
        <w:rPr>
          <w:rFonts w:ascii="Palatino Linotype" w:cs="Palatino Linotype" w:eastAsia="Palatino Linotype" w:hAnsi="Palatino Linotype"/>
          <w:sz w:val="24"/>
          <w:szCs w:val="24"/>
          <w:rtl w:val="0"/>
        </w:rPr>
        <w:t xml:space="preserve"> por parte del</w:t>
      </w:r>
      <w:r w:rsidDel="00000000" w:rsidR="00000000" w:rsidRPr="00000000">
        <w:rPr>
          <w:rFonts w:ascii="Palatino Linotype" w:cs="Palatino Linotype" w:eastAsia="Palatino Linotype" w:hAnsi="Palatino Linotype"/>
          <w:b w:val="1"/>
          <w:sz w:val="24"/>
          <w:szCs w:val="24"/>
          <w:rtl w:val="0"/>
        </w:rPr>
        <w:t xml:space="preserve"> Ayuntamiento de Valle de Chalco Solidaridad</w:t>
      </w:r>
      <w:r w:rsidDel="00000000" w:rsidR="00000000" w:rsidRPr="00000000">
        <w:rPr>
          <w:rFonts w:ascii="Palatino Linotype" w:cs="Palatino Linotype" w:eastAsia="Palatino Linotype" w:hAnsi="Palatino Linotype"/>
          <w:sz w:val="24"/>
          <w:szCs w:val="24"/>
          <w:rtl w:val="0"/>
        </w:rPr>
        <w:t xml:space="preserve">, en lo sucesivo</w:t>
      </w:r>
      <w:r w:rsidDel="00000000" w:rsidR="00000000" w:rsidRPr="00000000">
        <w:rPr>
          <w:rFonts w:ascii="Palatino Linotype" w:cs="Palatino Linotype" w:eastAsia="Palatino Linotype" w:hAnsi="Palatino Linotype"/>
          <w:b w:val="1"/>
          <w:sz w:val="24"/>
          <w:szCs w:val="24"/>
          <w:rtl w:val="0"/>
        </w:rPr>
        <w:t xml:space="preserve"> EL SUJETO OBLIGADO; </w:t>
      </w:r>
      <w:r w:rsidDel="00000000" w:rsidR="00000000" w:rsidRPr="00000000">
        <w:rPr>
          <w:rFonts w:ascii="Palatino Linotype" w:cs="Palatino Linotype" w:eastAsia="Palatino Linotype" w:hAnsi="Palatino Linotype"/>
          <w:sz w:val="24"/>
          <w:szCs w:val="24"/>
          <w:rtl w:val="0"/>
        </w:rPr>
        <w:t xml:space="preserve">se procede a dictar la presente resolución, con base en lo siguiente. </w:t>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sz w:val="24"/>
          <w:szCs w:val="24"/>
        </w:rPr>
      </w:pPr>
      <w:bookmarkStart w:colFirst="0" w:colLast="0" w:name="_heading=h.gjdgxs" w:id="0"/>
      <w:bookmarkEnd w:id="0"/>
      <w:r w:rsidDel="00000000" w:rsidR="00000000" w:rsidRPr="00000000">
        <w:rPr>
          <w:rFonts w:ascii="Palatino Linotype" w:cs="Palatino Linotype" w:eastAsia="Palatino Linotype" w:hAnsi="Palatino Linotype"/>
          <w:b w:val="1"/>
          <w:sz w:val="24"/>
          <w:szCs w:val="24"/>
          <w:rtl w:val="0"/>
        </w:rPr>
        <w:t xml:space="preserve">AN T E C E D E N T E S   </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SOLICITUD DE INFORMACIÓN.</w:t>
      </w:r>
      <w:r w:rsidDel="00000000" w:rsidR="00000000" w:rsidRPr="00000000">
        <w:rPr>
          <w:rFonts w:ascii="Palatino Linotype" w:cs="Palatino Linotype" w:eastAsia="Palatino Linotype" w:hAnsi="Palatino Linotype"/>
          <w:sz w:val="24"/>
          <w:szCs w:val="24"/>
          <w:rtl w:val="0"/>
        </w:rPr>
        <w:t xml:space="preserve"> Con fecha veintidós de diciembre de dos mil veintiuno, </w:t>
      </w:r>
      <w:r w:rsidDel="00000000" w:rsidR="00000000" w:rsidRPr="00000000">
        <w:rPr>
          <w:rFonts w:ascii="Palatino Linotype" w:cs="Palatino Linotype" w:eastAsia="Palatino Linotype" w:hAnsi="Palatino Linotype"/>
          <w:b w:val="1"/>
          <w:sz w:val="24"/>
          <w:szCs w:val="24"/>
          <w:rtl w:val="0"/>
        </w:rPr>
        <w:t xml:space="preserve">EL RECURRENTE</w:t>
      </w:r>
      <w:r w:rsidDel="00000000" w:rsidR="00000000" w:rsidRPr="00000000">
        <w:rPr>
          <w:rFonts w:ascii="Palatino Linotype" w:cs="Palatino Linotype" w:eastAsia="Palatino Linotype" w:hAnsi="Palatino Linotype"/>
          <w:sz w:val="24"/>
          <w:szCs w:val="24"/>
          <w:rtl w:val="0"/>
        </w:rPr>
        <w:t xml:space="preserve">, presentó a través del Sistema de Acceso a la Información Mexiquense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ante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solicitud de acceso a la información pública, registrada bajo el número de expediente</w:t>
      </w:r>
      <w:r w:rsidDel="00000000" w:rsidR="00000000" w:rsidRPr="00000000">
        <w:rPr>
          <w:rFonts w:ascii="Verdana" w:cs="Verdana" w:eastAsia="Verdana" w:hAnsi="Verdana"/>
          <w:b w:val="1"/>
          <w:color w:val="ff0000"/>
          <w:rtl w:val="0"/>
        </w:rPr>
        <w:t xml:space="preserve"> </w:t>
      </w:r>
      <w:r w:rsidDel="00000000" w:rsidR="00000000" w:rsidRPr="00000000">
        <w:rPr>
          <w:rFonts w:ascii="Palatino Linotype" w:cs="Palatino Linotype" w:eastAsia="Palatino Linotype" w:hAnsi="Palatino Linotype"/>
          <w:b w:val="1"/>
          <w:color w:val="000000"/>
          <w:sz w:val="24"/>
          <w:szCs w:val="24"/>
          <w:rtl w:val="0"/>
        </w:rPr>
        <w:t xml:space="preserve">00423/VACHASO/IP/2021</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mediante la cual solicitó información en el tenor siguiente:</w:t>
      </w:r>
    </w:p>
    <w:p w:rsidR="00000000" w:rsidDel="00000000" w:rsidP="00000000" w:rsidRDefault="00000000" w:rsidRPr="00000000" w14:paraId="00000005">
      <w:pPr>
        <w:spacing w:before="240" w:line="276"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color w:val="000000"/>
          <w:rtl w:val="0"/>
        </w:rPr>
        <w:t xml:space="preserve">“En un periodo comprendido entre enero de 2021 a noviembre de 2021, requiero unicamente los números de expedientes concluidos que se hayan generado derivado de una asignación de una nueva cuenta catastral derivado de la adquisición de una fracción de terreno”. (Sic)</w:t>
      </w:r>
      <w:r w:rsidDel="00000000" w:rsidR="00000000" w:rsidRPr="00000000">
        <w:rPr>
          <w:rtl w:val="0"/>
        </w:rPr>
      </w:r>
    </w:p>
    <w:p w:rsidR="00000000" w:rsidDel="00000000" w:rsidP="00000000" w:rsidRDefault="00000000" w:rsidRPr="00000000" w14:paraId="00000006">
      <w:pPr>
        <w:spacing w:after="0" w:line="360" w:lineRule="auto"/>
        <w:ind w:right="85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Modalidad de entrega:</w:t>
      </w:r>
      <w:r w:rsidDel="00000000" w:rsidR="00000000" w:rsidRPr="00000000">
        <w:rPr>
          <w:rFonts w:ascii="Palatino Linotype" w:cs="Palatino Linotype" w:eastAsia="Palatino Linotype" w:hAnsi="Palatino Linotype"/>
          <w:sz w:val="24"/>
          <w:szCs w:val="24"/>
          <w:rtl w:val="0"/>
        </w:rPr>
        <w:t xml:space="preserve"> A través del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7">
      <w:pPr>
        <w:spacing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RESPUESTA. </w:t>
      </w:r>
      <w:r w:rsidDel="00000000" w:rsidR="00000000" w:rsidRPr="00000000">
        <w:rPr>
          <w:rFonts w:ascii="Palatino Linotype" w:cs="Palatino Linotype" w:eastAsia="Palatino Linotype" w:hAnsi="Palatino Linotype"/>
          <w:sz w:val="24"/>
          <w:szCs w:val="24"/>
          <w:rtl w:val="0"/>
        </w:rPr>
        <w:t xml:space="preserve">De las constancias del expediente electrónico del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se aprecia que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fue omiso en dar respuesta a la solicitud de información presentada por </w:t>
      </w:r>
      <w:r w:rsidDel="00000000" w:rsidR="00000000" w:rsidRPr="00000000">
        <w:rPr>
          <w:rFonts w:ascii="Palatino Linotype" w:cs="Palatino Linotype" w:eastAsia="Palatino Linotype" w:hAnsi="Palatino Linotype"/>
          <w:b w:val="1"/>
          <w:sz w:val="24"/>
          <w:szCs w:val="24"/>
          <w:rtl w:val="0"/>
        </w:rPr>
        <w:t xml:space="preserve">EL RECURRENTE.</w:t>
      </w:r>
      <w:r w:rsidDel="00000000" w:rsidR="00000000" w:rsidRPr="00000000">
        <w:rPr>
          <w:rtl w:val="0"/>
        </w:rPr>
      </w:r>
    </w:p>
    <w:p w:rsidR="00000000" w:rsidDel="00000000" w:rsidP="00000000" w:rsidRDefault="00000000" w:rsidRPr="00000000" w14:paraId="00000008">
      <w:pPr>
        <w:spacing w:after="120" w:before="120" w:line="360" w:lineRule="auto"/>
        <w:ind w:right="-234"/>
        <w:jc w:val="both"/>
        <w:rPr>
          <w:rFonts w:ascii="Palatino Linotype" w:cs="Palatino Linotype" w:eastAsia="Palatino Linotype" w:hAnsi="Palatino Linotype"/>
          <w:b w:val="1"/>
          <w:sz w:val="24"/>
          <w:szCs w:val="24"/>
        </w:rPr>
      </w:pPr>
      <w:bookmarkStart w:colFirst="0" w:colLast="0" w:name="_heading=h.30j0zll" w:id="1"/>
      <w:bookmarkEnd w:id="1"/>
      <w:r w:rsidDel="00000000" w:rsidR="00000000" w:rsidRPr="00000000">
        <w:rPr>
          <w:rFonts w:ascii="Palatino Linotype" w:cs="Palatino Linotype" w:eastAsia="Palatino Linotype" w:hAnsi="Palatino Linotype"/>
          <w:b w:val="1"/>
          <w:sz w:val="24"/>
          <w:szCs w:val="24"/>
          <w:rtl w:val="0"/>
        </w:rPr>
        <w:t xml:space="preserve">3. DEL RECURSO DE REVISIÓN. </w:t>
      </w:r>
      <w:r w:rsidDel="00000000" w:rsidR="00000000" w:rsidRPr="00000000">
        <w:rPr>
          <w:rFonts w:ascii="Palatino Linotype" w:cs="Palatino Linotype" w:eastAsia="Palatino Linotype" w:hAnsi="Palatino Linotype"/>
          <w:sz w:val="24"/>
          <w:szCs w:val="24"/>
          <w:rtl w:val="0"/>
        </w:rPr>
        <w:t xml:space="preserve">Inconforme con la falta de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EL RECURRENTE </w:t>
      </w:r>
      <w:r w:rsidDel="00000000" w:rsidR="00000000" w:rsidRPr="00000000">
        <w:rPr>
          <w:rFonts w:ascii="Palatino Linotype" w:cs="Palatino Linotype" w:eastAsia="Palatino Linotype" w:hAnsi="Palatino Linotype"/>
          <w:sz w:val="24"/>
          <w:szCs w:val="24"/>
          <w:rtl w:val="0"/>
        </w:rPr>
        <w:t xml:space="preserve">interpuso el recurso de revisión, en fecha uno de febrero de dos mil veintidós, el cual fue registrado</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en el sistema electrónico con el expediente número </w:t>
      </w:r>
      <w:r w:rsidDel="00000000" w:rsidR="00000000" w:rsidRPr="00000000">
        <w:rPr>
          <w:rFonts w:ascii="Palatino Linotype" w:cs="Palatino Linotype" w:eastAsia="Palatino Linotype" w:hAnsi="Palatino Linotype"/>
          <w:b w:val="1"/>
          <w:color w:val="000000"/>
          <w:sz w:val="24"/>
          <w:szCs w:val="24"/>
          <w:rtl w:val="0"/>
        </w:rPr>
        <w:t xml:space="preserve">00494/INFOEM/IP/RR/2022</w:t>
      </w:r>
      <w:r w:rsidDel="00000000" w:rsidR="00000000" w:rsidRPr="00000000">
        <w:rPr>
          <w:rFonts w:ascii="Palatino Linotype" w:cs="Palatino Linotype" w:eastAsia="Palatino Linotype" w:hAnsi="Palatino Linotype"/>
          <w:sz w:val="24"/>
          <w:szCs w:val="24"/>
          <w:rtl w:val="0"/>
        </w:rPr>
        <w:t xml:space="preserve">, en el cual manifiesta, lo siguiente: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Acto Impugnado: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720" w:right="0" w:firstLine="0"/>
        <w:jc w:val="both"/>
        <w:rPr>
          <w:rFonts w:ascii="Palatino Linotype" w:cs="Palatino Linotype" w:eastAsia="Palatino Linotype" w:hAnsi="Palatino Linotype"/>
          <w:b w:val="1"/>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“No se entrega la información solicitada” [Sic]</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Razones o Motivos de Inconformidad</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 “No se entrega la información solicitada” [Sic]</w:t>
      </w:r>
    </w:p>
    <w:p w:rsidR="00000000" w:rsidDel="00000000" w:rsidP="00000000" w:rsidRDefault="00000000" w:rsidRPr="00000000" w14:paraId="0000000D">
      <w:pPr>
        <w:spacing w:after="120" w:before="120" w:line="360" w:lineRule="auto"/>
        <w:jc w:val="both"/>
        <w:rPr>
          <w:rFonts w:ascii="Palatino Linotype" w:cs="Palatino Linotype" w:eastAsia="Palatino Linotype" w:hAnsi="Palatino Linotype"/>
          <w:b w:val="1"/>
          <w:sz w:val="28"/>
          <w:szCs w:val="28"/>
        </w:rPr>
      </w:pPr>
      <w:bookmarkStart w:colFirst="0" w:colLast="0" w:name="_heading=h.1fob9te" w:id="2"/>
      <w:bookmarkEnd w:id="2"/>
      <w:r w:rsidDel="00000000" w:rsidR="00000000" w:rsidRPr="00000000">
        <w:rPr>
          <w:rFonts w:ascii="Palatino Linotype" w:cs="Palatino Linotype" w:eastAsia="Palatino Linotype" w:hAnsi="Palatino Linotype"/>
          <w:b w:val="1"/>
          <w:sz w:val="28"/>
          <w:szCs w:val="28"/>
          <w:rtl w:val="0"/>
        </w:rPr>
        <w:t xml:space="preserve">4. TURNO. </w:t>
      </w:r>
      <w:r w:rsidDel="00000000" w:rsidR="00000000" w:rsidRPr="00000000">
        <w:rPr>
          <w:rFonts w:ascii="Palatino Linotype" w:cs="Palatino Linotype" w:eastAsia="Palatino Linotype" w:hAnsi="Palatino Linotype"/>
          <w:sz w:val="24"/>
          <w:szCs w:val="24"/>
          <w:rtl w:val="0"/>
        </w:rPr>
        <w:t xml:space="preserve">De conformidad con el artículo 185 Fracción I </w:t>
      </w:r>
      <w:r w:rsidDel="00000000" w:rsidR="00000000" w:rsidRPr="00000000">
        <w:rPr>
          <w:rFonts w:ascii="Palatino Linotype" w:cs="Palatino Linotype" w:eastAsia="Palatino Linotype" w:hAnsi="Palatino Linotype"/>
          <w:sz w:val="24"/>
          <w:szCs w:val="24"/>
          <w:highlight w:val="white"/>
          <w:rtl w:val="0"/>
        </w:rPr>
        <w:t xml:space="preserve">de la Ley Transparencia y Acceso a la Información Pública</w:t>
      </w:r>
      <w:r w:rsidDel="00000000" w:rsidR="00000000" w:rsidRPr="00000000">
        <w:rPr>
          <w:rFonts w:ascii="Palatino Linotype" w:cs="Palatino Linotype" w:eastAsia="Palatino Linotype" w:hAnsi="Palatino Linotype"/>
          <w:sz w:val="24"/>
          <w:szCs w:val="24"/>
          <w:rtl w:val="0"/>
        </w:rPr>
        <w:t xml:space="preserve">, el recurso de revisión número</w:t>
      </w:r>
      <w:r w:rsidDel="00000000" w:rsidR="00000000" w:rsidRPr="00000000">
        <w:rPr>
          <w:rFonts w:ascii="Palatino Linotype" w:cs="Palatino Linotype" w:eastAsia="Palatino Linotype" w:hAnsi="Palatino Linotype"/>
          <w:b w:val="1"/>
          <w:sz w:val="24"/>
          <w:szCs w:val="24"/>
          <w:rtl w:val="0"/>
        </w:rPr>
        <w:t xml:space="preserve"> 00494/INFOEM/IP/RR/2022 </w:t>
      </w:r>
      <w:r w:rsidDel="00000000" w:rsidR="00000000" w:rsidRPr="00000000">
        <w:rPr>
          <w:rFonts w:ascii="Palatino Linotype" w:cs="Palatino Linotype" w:eastAsia="Palatino Linotype" w:hAnsi="Palatino Linotype"/>
          <w:sz w:val="24"/>
          <w:szCs w:val="24"/>
          <w:rtl w:val="0"/>
        </w:rPr>
        <w:t xml:space="preserve">fue turnado en fecha primero de febrero de dos mil veintidós a la Comisionada Ponente </w:t>
      </w:r>
      <w:r w:rsidDel="00000000" w:rsidR="00000000" w:rsidRPr="00000000">
        <w:rPr>
          <w:rFonts w:ascii="Palatino Linotype" w:cs="Palatino Linotype" w:eastAsia="Palatino Linotype" w:hAnsi="Palatino Linotype"/>
          <w:b w:val="1"/>
          <w:sz w:val="24"/>
          <w:szCs w:val="24"/>
          <w:rtl w:val="0"/>
        </w:rPr>
        <w:t xml:space="preserve">Guadalupe Ramírez Peña</w:t>
      </w:r>
      <w:r w:rsidDel="00000000" w:rsidR="00000000" w:rsidRPr="00000000">
        <w:rPr>
          <w:rFonts w:ascii="Palatino Linotype" w:cs="Palatino Linotype" w:eastAsia="Palatino Linotype" w:hAnsi="Palatino Linotype"/>
          <w:sz w:val="24"/>
          <w:szCs w:val="24"/>
          <w:rtl w:val="0"/>
        </w:rPr>
        <w:t xml:space="preserve">; a efecto de presentar al Pleno el proyecto de resolución correspondiente.</w:t>
      </w:r>
      <w:r w:rsidDel="00000000" w:rsidR="00000000" w:rsidRPr="00000000">
        <w:rPr>
          <w:rtl w:val="0"/>
        </w:rPr>
      </w:r>
    </w:p>
    <w:p w:rsidR="00000000" w:rsidDel="00000000" w:rsidP="00000000" w:rsidRDefault="00000000" w:rsidRPr="00000000" w14:paraId="0000000E">
      <w:pPr>
        <w:spacing w:after="120" w:before="120" w:line="360" w:lineRule="auto"/>
        <w:jc w:val="both"/>
        <w:rPr>
          <w:rFonts w:ascii="Palatino Linotype" w:cs="Palatino Linotype" w:eastAsia="Palatino Linotype" w:hAnsi="Palatino Linotype"/>
          <w:b w:val="1"/>
          <w:sz w:val="24"/>
          <w:szCs w:val="24"/>
        </w:rPr>
      </w:pPr>
      <w:bookmarkStart w:colFirst="0" w:colLast="0" w:name="_heading=h.3znysh7" w:id="3"/>
      <w:bookmarkEnd w:id="3"/>
      <w:r w:rsidDel="00000000" w:rsidR="00000000" w:rsidRPr="00000000">
        <w:rPr>
          <w:rFonts w:ascii="Palatino Linotype" w:cs="Palatino Linotype" w:eastAsia="Palatino Linotype" w:hAnsi="Palatino Linotype"/>
          <w:b w:val="1"/>
          <w:sz w:val="24"/>
          <w:szCs w:val="24"/>
          <w:rtl w:val="0"/>
        </w:rPr>
        <w:t xml:space="preserve">5. ADMISIÓN. </w:t>
      </w:r>
      <w:r w:rsidDel="00000000" w:rsidR="00000000" w:rsidRPr="00000000">
        <w:rPr>
          <w:rFonts w:ascii="Palatino Linotype" w:cs="Palatino Linotype" w:eastAsia="Palatino Linotype" w:hAnsi="Palatino Linotype"/>
          <w:sz w:val="24"/>
          <w:szCs w:val="24"/>
          <w:rtl w:val="0"/>
        </w:rPr>
        <w:t xml:space="preserve">En fecha cuatro de febrero del año dos mil veintidós, en términos de lo dispuesto en el artículo 185 fracciones I, II y IV de la Ley de Transparencia y Acceso a la Información Pública del Estado de México y Municipios, se admitió a trámite el recurso de revisión al rubro indicado.</w:t>
      </w:r>
      <w:r w:rsidDel="00000000" w:rsidR="00000000" w:rsidRPr="00000000">
        <w:rPr>
          <w:rtl w:val="0"/>
        </w:rPr>
      </w:r>
    </w:p>
    <w:p w:rsidR="00000000" w:rsidDel="00000000" w:rsidP="00000000" w:rsidRDefault="00000000" w:rsidRPr="00000000" w14:paraId="0000000F">
      <w:pPr>
        <w:spacing w:after="240" w:before="240" w:line="360" w:lineRule="auto"/>
        <w:jc w:val="both"/>
        <w:rPr>
          <w:rFonts w:ascii="Palatino Linotype" w:cs="Palatino Linotype" w:eastAsia="Palatino Linotype" w:hAnsi="Palatino Linotype"/>
          <w:sz w:val="24"/>
          <w:szCs w:val="24"/>
        </w:rPr>
      </w:pPr>
      <w:bookmarkStart w:colFirst="0" w:colLast="0" w:name="_heading=h.2et92p0" w:id="4"/>
      <w:bookmarkEnd w:id="4"/>
      <w:r w:rsidDel="00000000" w:rsidR="00000000" w:rsidRPr="00000000">
        <w:rPr>
          <w:rFonts w:ascii="Palatino Linotype" w:cs="Palatino Linotype" w:eastAsia="Palatino Linotype" w:hAnsi="Palatino Linotype"/>
          <w:b w:val="1"/>
          <w:sz w:val="28"/>
          <w:szCs w:val="28"/>
          <w:rtl w:val="0"/>
        </w:rPr>
        <w:t xml:space="preserve">6. </w:t>
      </w:r>
      <w:r w:rsidDel="00000000" w:rsidR="00000000" w:rsidRPr="00000000">
        <w:rPr>
          <w:rFonts w:ascii="Palatino Linotype" w:cs="Palatino Linotype" w:eastAsia="Palatino Linotype" w:hAnsi="Palatino Linotype"/>
          <w:b w:val="1"/>
          <w:sz w:val="24"/>
          <w:szCs w:val="24"/>
          <w:rtl w:val="0"/>
        </w:rPr>
        <w:t xml:space="preserve">INFORME JUSTIFICADO O MANIFESTACIONES</w:t>
      </w:r>
      <w:r w:rsidDel="00000000" w:rsidR="00000000" w:rsidRPr="00000000">
        <w:rPr>
          <w:rFonts w:ascii="Palatino Linotype" w:cs="Palatino Linotype" w:eastAsia="Palatino Linotype" w:hAnsi="Palatino Linotype"/>
          <w:b w:val="1"/>
          <w:sz w:val="28"/>
          <w:szCs w:val="28"/>
          <w:rtl w:val="0"/>
        </w:rPr>
        <w:t xml:space="preserve">. </w:t>
      </w:r>
      <w:r w:rsidDel="00000000" w:rsidR="00000000" w:rsidRPr="00000000">
        <w:rPr>
          <w:rFonts w:ascii="Palatino Linotype" w:cs="Palatino Linotype" w:eastAsia="Palatino Linotype" w:hAnsi="Palatino Linotype"/>
          <w:sz w:val="24"/>
          <w:szCs w:val="24"/>
          <w:rtl w:val="0"/>
        </w:rPr>
        <w:t xml:space="preserve">De las constancias que obran en el expediente electrónico del SAIMEX se desprende que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no rindió su informe justificado, del mismo modo el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omitió realizar manifestaciones.</w:t>
      </w:r>
    </w:p>
    <w:p w:rsidR="00000000" w:rsidDel="00000000" w:rsidP="00000000" w:rsidRDefault="00000000" w:rsidRPr="00000000" w14:paraId="00000010">
      <w:pPr>
        <w:spacing w:after="240" w:before="240" w:line="360" w:lineRule="auto"/>
        <w:jc w:val="both"/>
        <w:rPr>
          <w:rFonts w:ascii="Palatino Linotype" w:cs="Palatino Linotype" w:eastAsia="Palatino Linotype" w:hAnsi="Palatino Linotype"/>
          <w:sz w:val="24"/>
          <w:szCs w:val="24"/>
        </w:rPr>
      </w:pPr>
      <w:r w:rsidDel="00000000" w:rsidR="00000000" w:rsidRPr="00000000">
        <w:rPr/>
        <w:drawing>
          <wp:inline distB="0" distT="0" distL="0" distR="0">
            <wp:extent cx="5612130" cy="1863090"/>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612130" cy="186309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360" w:lineRule="auto"/>
        <w:jc w:val="both"/>
        <w:rPr>
          <w:rFonts w:ascii="Palatino Linotype" w:cs="Palatino Linotype" w:eastAsia="Palatino Linotype" w:hAnsi="Palatino Linotype"/>
          <w:sz w:val="23"/>
          <w:szCs w:val="23"/>
        </w:rPr>
      </w:pPr>
      <w:bookmarkStart w:colFirst="0" w:colLast="0" w:name="_heading=h.tyjcwt" w:id="5"/>
      <w:bookmarkEnd w:id="5"/>
      <w:r w:rsidDel="00000000" w:rsidR="00000000" w:rsidRPr="00000000">
        <w:rPr>
          <w:rFonts w:ascii="Palatino Linotype" w:cs="Palatino Linotype" w:eastAsia="Palatino Linotype" w:hAnsi="Palatino Linotype"/>
          <w:b w:val="1"/>
          <w:sz w:val="26"/>
          <w:szCs w:val="26"/>
          <w:rtl w:val="0"/>
        </w:rPr>
        <w:t xml:space="preserve">7. DEL DESISTIMIENTO DEL RECURSO DE REVISIÓN. </w:t>
      </w:r>
      <w:r w:rsidDel="00000000" w:rsidR="00000000" w:rsidRPr="00000000">
        <w:rPr>
          <w:rFonts w:ascii="Palatino Linotype" w:cs="Palatino Linotype" w:eastAsia="Palatino Linotype" w:hAnsi="Palatino Linotype"/>
          <w:sz w:val="23"/>
          <w:szCs w:val="23"/>
          <w:rtl w:val="0"/>
        </w:rPr>
        <w:t xml:space="preserve">El día nueve de febrero del año en curso, en el detalle de seguimiento de solicitud, se aprecia que el hoy </w:t>
      </w:r>
      <w:r w:rsidDel="00000000" w:rsidR="00000000" w:rsidRPr="00000000">
        <w:rPr>
          <w:rFonts w:ascii="Palatino Linotype" w:cs="Palatino Linotype" w:eastAsia="Palatino Linotype" w:hAnsi="Palatino Linotype"/>
          <w:b w:val="1"/>
          <w:sz w:val="23"/>
          <w:szCs w:val="23"/>
          <w:rtl w:val="0"/>
        </w:rPr>
        <w:t xml:space="preserve">RECURRENTE</w:t>
      </w:r>
      <w:r w:rsidDel="00000000" w:rsidR="00000000" w:rsidRPr="00000000">
        <w:rPr>
          <w:rFonts w:ascii="Palatino Linotype" w:cs="Palatino Linotype" w:eastAsia="Palatino Linotype" w:hAnsi="Palatino Linotype"/>
          <w:sz w:val="23"/>
          <w:szCs w:val="23"/>
          <w:rtl w:val="0"/>
        </w:rPr>
        <w:t xml:space="preserve"> se desistió del recurso de revisión que nos ocupa, expresando lo siguiente:</w:t>
      </w:r>
    </w:p>
    <w:p w:rsidR="00000000" w:rsidDel="00000000" w:rsidP="00000000" w:rsidRDefault="00000000" w:rsidRPr="00000000" w14:paraId="00000012">
      <w:pPr>
        <w:spacing w:after="0" w:line="360" w:lineRule="auto"/>
        <w:jc w:val="both"/>
        <w:rPr>
          <w:rFonts w:ascii="Palatino Linotype" w:cs="Palatino Linotype" w:eastAsia="Palatino Linotype" w:hAnsi="Palatino Linotype"/>
          <w:sz w:val="23"/>
          <w:szCs w:val="23"/>
        </w:rPr>
      </w:pPr>
      <w:r w:rsidDel="00000000" w:rsidR="00000000" w:rsidRPr="00000000">
        <w:rPr/>
        <w:drawing>
          <wp:inline distB="0" distT="0" distL="0" distR="0">
            <wp:extent cx="5612130" cy="2444750"/>
            <wp:effectExtent b="0" l="0" r="0" t="0"/>
            <wp:docPr id="1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612130" cy="24447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120" w:before="120" w:line="360" w:lineRule="auto"/>
        <w:ind w:right="-234"/>
        <w:jc w:val="both"/>
        <w:rPr>
          <w:rFonts w:ascii="Palatino Linotype" w:cs="Palatino Linotype" w:eastAsia="Palatino Linotype" w:hAnsi="Palatino Linotype"/>
          <w:b w:val="1"/>
          <w:sz w:val="24"/>
          <w:szCs w:val="24"/>
        </w:rPr>
      </w:pPr>
      <w:r w:rsidDel="00000000" w:rsidR="00000000" w:rsidRPr="00000000">
        <w:rPr/>
        <w:drawing>
          <wp:inline distB="0" distT="0" distL="0" distR="0">
            <wp:extent cx="5612130" cy="1568450"/>
            <wp:effectExtent b="0" l="0" r="0" t="0"/>
            <wp:docPr id="1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612130" cy="156845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120" w:before="120" w:line="360" w:lineRule="auto"/>
        <w:ind w:right="-234"/>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8. DEL CIERRE DE INSTRUCCIÓN. </w:t>
      </w:r>
      <w:r w:rsidDel="00000000" w:rsidR="00000000" w:rsidRPr="00000000">
        <w:rPr>
          <w:rFonts w:ascii="Palatino Linotype" w:cs="Palatino Linotype" w:eastAsia="Palatino Linotype" w:hAnsi="Palatino Linotype"/>
          <w:sz w:val="24"/>
          <w:szCs w:val="24"/>
          <w:rtl w:val="0"/>
        </w:rPr>
        <w:t xml:space="preserve">El ocho de marzo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rsidR="00000000" w:rsidDel="00000000" w:rsidP="00000000" w:rsidRDefault="00000000" w:rsidRPr="00000000" w14:paraId="00000015">
      <w:pPr>
        <w:spacing w:after="120" w:before="120" w:line="36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CONSIDERANDOS:</w:t>
      </w:r>
    </w:p>
    <w:p w:rsidR="00000000" w:rsidDel="00000000" w:rsidP="00000000" w:rsidRDefault="00000000" w:rsidRPr="00000000" w14:paraId="00000016">
      <w:pPr>
        <w:spacing w:after="120" w:before="120" w:line="360" w:lineRule="auto"/>
        <w:jc w:val="center"/>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17">
      <w:pPr>
        <w:spacing w:after="120" w:before="120" w:line="360" w:lineRule="auto"/>
        <w:jc w:val="both"/>
        <w:rPr>
          <w:rFonts w:ascii="Palatino Linotype" w:cs="Palatino Linotype" w:eastAsia="Palatino Linotype" w:hAnsi="Palatino Linotype"/>
          <w:b w:val="1"/>
          <w:sz w:val="24"/>
          <w:szCs w:val="24"/>
        </w:rPr>
      </w:pPr>
      <w:bookmarkStart w:colFirst="0" w:colLast="0" w:name="_heading=h.3dy6vkm" w:id="6"/>
      <w:bookmarkEnd w:id="6"/>
      <w:r w:rsidDel="00000000" w:rsidR="00000000" w:rsidRPr="00000000">
        <w:rPr>
          <w:rFonts w:ascii="Palatino Linotype" w:cs="Palatino Linotype" w:eastAsia="Palatino Linotype" w:hAnsi="Palatino Linotype"/>
          <w:b w:val="1"/>
          <w:sz w:val="24"/>
          <w:szCs w:val="24"/>
          <w:rtl w:val="0"/>
        </w:rPr>
        <w:t xml:space="preserve">PRIMERO. COMPETENCIA. </w:t>
      </w:r>
      <w:r w:rsidDel="00000000" w:rsidR="00000000" w:rsidRPr="00000000">
        <w:rPr>
          <w:rFonts w:ascii="Palatino Linotype" w:cs="Palatino Linotype" w:eastAsia="Palatino Linotype" w:hAnsi="Palatino Linotype"/>
          <w:sz w:val="24"/>
          <w:szCs w:val="24"/>
          <w:highlight w:val="white"/>
          <w:rtl w:val="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Del="00000000" w:rsidR="00000000" w:rsidRPr="00000000">
        <w:rPr>
          <w:rFonts w:ascii="Palatino Linotype" w:cs="Palatino Linotype" w:eastAsia="Palatino Linotype" w:hAnsi="Palatino Linotype"/>
          <w:highlight w:val="white"/>
          <w:rtl w:val="0"/>
        </w:rPr>
        <w:t xml:space="preserve"> </w:t>
      </w:r>
      <w:r w:rsidDel="00000000" w:rsidR="00000000" w:rsidRPr="00000000">
        <w:rPr>
          <w:rFonts w:ascii="Palatino Linotype" w:cs="Palatino Linotype" w:eastAsia="Palatino Linotype" w:hAnsi="Palatino Linotype"/>
          <w:sz w:val="24"/>
          <w:szCs w:val="24"/>
          <w:rtl w:val="0"/>
        </w:rPr>
        <w:t xml:space="preserve">9, fracciones I y XXIV y 11 </w:t>
      </w:r>
      <w:r w:rsidDel="00000000" w:rsidR="00000000" w:rsidRPr="00000000">
        <w:rPr>
          <w:rFonts w:ascii="Palatino Linotype" w:cs="Palatino Linotype" w:eastAsia="Palatino Linotype" w:hAnsi="Palatino Linotype"/>
          <w:sz w:val="24"/>
          <w:szCs w:val="24"/>
          <w:highlight w:val="white"/>
          <w:rtl w:val="0"/>
        </w:rPr>
        <w:t xml:space="preserve">del Reglamento Interior del Instituto de Transparencia, Acceso a la Información Pública y Protección de Datos Personales del Estado de México y Municipios.</w:t>
      </w:r>
      <w:r w:rsidDel="00000000" w:rsidR="00000000" w:rsidRPr="00000000">
        <w:rPr>
          <w:rtl w:val="0"/>
        </w:rPr>
      </w:r>
    </w:p>
    <w:p w:rsidR="00000000" w:rsidDel="00000000" w:rsidP="00000000" w:rsidRDefault="00000000" w:rsidRPr="00000000" w14:paraId="00000018">
      <w:pPr>
        <w:spacing w:after="240" w:before="240" w:line="360" w:lineRule="auto"/>
        <w:jc w:val="both"/>
        <w:rPr>
          <w:rFonts w:ascii="Palatino Linotype" w:cs="Palatino Linotype" w:eastAsia="Palatino Linotype" w:hAnsi="Palatino Linotype"/>
          <w:sz w:val="24"/>
          <w:szCs w:val="24"/>
        </w:rPr>
      </w:pPr>
      <w:bookmarkStart w:colFirst="0" w:colLast="0" w:name="_heading=h.1t3h5sf" w:id="7"/>
      <w:bookmarkEnd w:id="7"/>
      <w:r w:rsidDel="00000000" w:rsidR="00000000" w:rsidRPr="00000000">
        <w:rPr>
          <w:rFonts w:ascii="Palatino Linotype" w:cs="Palatino Linotype" w:eastAsia="Palatino Linotype" w:hAnsi="Palatino Linotype"/>
          <w:b w:val="1"/>
          <w:sz w:val="24"/>
          <w:szCs w:val="24"/>
          <w:rtl w:val="0"/>
        </w:rPr>
        <w:t xml:space="preserve">SEGUNDO. OPORTUNIDAD Y PROCEDIBILIDAD DEL RECURSO DE REVISIÓN. </w:t>
      </w:r>
      <w:r w:rsidDel="00000000" w:rsidR="00000000" w:rsidRPr="00000000">
        <w:rPr>
          <w:rFonts w:ascii="Palatino Linotype" w:cs="Palatino Linotype" w:eastAsia="Palatino Linotype" w:hAnsi="Palatino Linotype"/>
          <w:sz w:val="24"/>
          <w:szCs w:val="24"/>
          <w:rtl w:val="0"/>
        </w:rPr>
        <w:t xml:space="preserve">Es de precisar que la</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Ley de Transparencia y Acceso a la Información Pública del Estado de México y Municipios, describe el mecanismo de procedencia de los recursos de revisión, como se dispone en los artículos 163 y 166, del tenor literal siguiente: </w:t>
      </w:r>
    </w:p>
    <w:p w:rsidR="00000000" w:rsidDel="00000000" w:rsidP="00000000" w:rsidRDefault="00000000" w:rsidRPr="00000000" w14:paraId="00000019">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163. </w:t>
      </w:r>
      <w:r w:rsidDel="00000000" w:rsidR="00000000" w:rsidRPr="00000000">
        <w:rPr>
          <w:rFonts w:ascii="Palatino Linotype" w:cs="Palatino Linotype" w:eastAsia="Palatino Linotype" w:hAnsi="Palatino Linotype"/>
          <w:i w:val="1"/>
          <w:rtl w:val="0"/>
        </w:rPr>
        <w:t xml:space="preserve">La Unidad de Transparencia deberá notificar la respuesta a la solicitud al interesado en el menor tiempo posible, que no podrá exceder de quince días hábiles, contados a partir del día siguiente a la presentación de aquélla. </w:t>
      </w:r>
    </w:p>
    <w:p w:rsidR="00000000" w:rsidDel="00000000" w:rsidP="00000000" w:rsidRDefault="00000000" w:rsidRPr="00000000" w14:paraId="0000001A">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1B">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166.-</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1C">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el sujeto obligado no entregue la respuesta a la solicitud dentro del plazo previsto en la Ley, la solicitud se entenderá negada y el solicitante podrá interponer el recurso de revisión previsto en este ordenamiento.</w:t>
      </w:r>
    </w:p>
    <w:p w:rsidR="00000000" w:rsidDel="00000000" w:rsidP="00000000" w:rsidRDefault="00000000" w:rsidRPr="00000000" w14:paraId="0000001D">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1E">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(Énfasis añadido)</w:t>
      </w:r>
    </w:p>
    <w:p w:rsidR="00000000" w:rsidDel="00000000" w:rsidP="00000000" w:rsidRDefault="00000000" w:rsidRPr="00000000" w14:paraId="0000001F">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sz w:val="24"/>
          <w:szCs w:val="24"/>
          <w:rtl w:val="0"/>
        </w:rPr>
        <w:t xml:space="preserve">Derivado de lo anterior, se constituye lo que en la doctrina se conoce como negativa ficta, figura jurídica cuya esencia consiste en atribuir un efecto negativo al silencio de la autoridad administrativa frente a las instancias y solicitudes que hagan los particulares.</w:t>
      </w:r>
      <w:r w:rsidDel="00000000" w:rsidR="00000000" w:rsidRPr="00000000">
        <w:rPr>
          <w:rtl w:val="0"/>
        </w:rPr>
      </w:r>
    </w:p>
    <w:p w:rsidR="00000000" w:rsidDel="00000000" w:rsidP="00000000" w:rsidRDefault="00000000" w:rsidRPr="00000000" w14:paraId="00000021">
      <w:pPr>
        <w:spacing w:after="240" w:before="240" w:line="360" w:lineRule="auto"/>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sz w:val="24"/>
          <w:szCs w:val="24"/>
          <w:rtl w:val="0"/>
        </w:rPr>
        <w:t xml:space="preserve">Por su parte, el artículo 178 del citado ordenamiento, establece:</w:t>
      </w:r>
      <w:r w:rsidDel="00000000" w:rsidR="00000000" w:rsidRPr="00000000">
        <w:rPr>
          <w:rtl w:val="0"/>
        </w:rPr>
      </w:r>
    </w:p>
    <w:p w:rsidR="00000000" w:rsidDel="00000000" w:rsidP="00000000" w:rsidRDefault="00000000" w:rsidRPr="00000000" w14:paraId="00000022">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178. </w:t>
      </w:r>
      <w:r w:rsidDel="00000000" w:rsidR="00000000" w:rsidRPr="00000000">
        <w:rPr>
          <w:rFonts w:ascii="Palatino Linotype" w:cs="Palatino Linotype" w:eastAsia="Palatino Linotype" w:hAnsi="Palatino Linotype"/>
          <w:i w:val="1"/>
          <w:rtl w:val="0"/>
        </w:rPr>
        <w:t xml:space="preserve">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tl w:val="0"/>
        </w:rPr>
      </w:r>
    </w:p>
    <w:p w:rsidR="00000000" w:rsidDel="00000000" w:rsidP="00000000" w:rsidRDefault="00000000" w:rsidRPr="00000000" w14:paraId="00000023">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lo anterior, se advierte que el recurso de revisión se ha de interponer dentro del plazo de quince días hábiles, a partir de la fecha en que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000000" w:rsidDel="00000000" w:rsidP="00000000" w:rsidRDefault="00000000" w:rsidRPr="00000000" w14:paraId="0000002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La negativa ficta constituye una presunción legal, en el entendido de que donde no hubo respuesta por parte del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000000" w:rsidDel="00000000" w:rsidP="00000000" w:rsidRDefault="00000000" w:rsidRPr="00000000" w14:paraId="00000025">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000000" w:rsidDel="00000000" w:rsidP="00000000" w:rsidRDefault="00000000" w:rsidRPr="00000000" w14:paraId="00000026">
      <w:pPr>
        <w:spacing w:after="240" w:before="240" w:line="360" w:lineRule="auto"/>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sz w:val="24"/>
          <w:szCs w:val="24"/>
          <w:rtl w:val="0"/>
        </w:rPr>
        <w:t xml:space="preserve">Por lo tanto, con la finalidad de no reducir ni limitar el derecho de acceso a la información y concederle una protección más eficaz al solicitante para impugnar el silencio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r w:rsidDel="00000000" w:rsidR="00000000" w:rsidRPr="00000000">
        <w:rPr>
          <w:rtl w:val="0"/>
        </w:rPr>
      </w:r>
    </w:p>
    <w:p w:rsidR="00000000" w:rsidDel="00000000" w:rsidP="00000000" w:rsidRDefault="00000000" w:rsidRPr="00000000" w14:paraId="00000027">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“CRITERIO 0001-15. NEGATIVA FICTA. PLAZO PARA INTERPONER EL RECURSO DE REVISIÓN TRATÁNDOSE DE</w:t>
      </w:r>
      <w:r w:rsidDel="00000000" w:rsidR="00000000" w:rsidRPr="00000000">
        <w:rPr>
          <w:rFonts w:ascii="Palatino Linotype" w:cs="Palatino Linotype" w:eastAsia="Palatino Linotype" w:hAnsi="Palatino Linotype"/>
          <w:i w:val="1"/>
          <w:rtl w:val="0"/>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rsidR="00000000" w:rsidDel="00000000" w:rsidP="00000000" w:rsidRDefault="00000000" w:rsidRPr="00000000" w14:paraId="00000028">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Del="00000000" w:rsidR="00000000" w:rsidRPr="00000000">
        <w:rPr>
          <w:rFonts w:ascii="Palatino Linotype" w:cs="Palatino Linotype" w:eastAsia="Palatino Linotype" w:hAnsi="Palatino Linotype"/>
          <w:b w:val="1"/>
          <w:sz w:val="24"/>
          <w:szCs w:val="24"/>
          <w:rtl w:val="0"/>
        </w:rPr>
        <w:t xml:space="preserve">en el SAIMEX.  </w:t>
      </w:r>
    </w:p>
    <w:p w:rsidR="00000000" w:rsidDel="00000000" w:rsidP="00000000" w:rsidRDefault="00000000" w:rsidRPr="00000000" w14:paraId="00000029">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000000" w:rsidDel="00000000" w:rsidP="00000000" w:rsidRDefault="00000000" w:rsidRPr="00000000" w14:paraId="0000002A">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179. </w:t>
      </w:r>
      <w:r w:rsidDel="00000000" w:rsidR="00000000" w:rsidRPr="00000000">
        <w:rPr>
          <w:rFonts w:ascii="Palatino Linotype" w:cs="Palatino Linotype" w:eastAsia="Palatino Linotype" w:hAnsi="Palatino Linotype"/>
          <w:i w:val="1"/>
          <w:rtl w:val="0"/>
        </w:rPr>
        <w:t xml:space="preserve">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2B">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C">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 </w:t>
      </w:r>
      <w:r w:rsidDel="00000000" w:rsidR="00000000" w:rsidRPr="00000000">
        <w:rPr>
          <w:rFonts w:ascii="Palatino Linotype" w:cs="Palatino Linotype" w:eastAsia="Palatino Linotype" w:hAnsi="Palatino Linotype"/>
          <w:i w:val="1"/>
          <w:rtl w:val="0"/>
        </w:rPr>
        <w:t xml:space="preserve">La falta de respuesta a una solicitud de acceso a la información;</w:t>
      </w:r>
    </w:p>
    <w:p w:rsidR="00000000" w:rsidDel="00000000" w:rsidP="00000000" w:rsidRDefault="00000000" w:rsidRPr="00000000" w14:paraId="0000002D">
      <w:pPr>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2E">
      <w:pPr>
        <w:spacing w:after="240" w:before="240" w:line="360" w:lineRule="auto"/>
        <w:jc w:val="both"/>
        <w:rPr>
          <w:rFonts w:ascii="Palatino Linotype" w:cs="Palatino Linotype" w:eastAsia="Palatino Linotype" w:hAnsi="Palatino Linotype"/>
          <w:sz w:val="24"/>
          <w:szCs w:val="24"/>
        </w:rPr>
      </w:pPr>
      <w:bookmarkStart w:colFirst="0" w:colLast="0" w:name="_heading=h.4d34og8" w:id="8"/>
      <w:bookmarkEnd w:id="8"/>
      <w:r w:rsidDel="00000000" w:rsidR="00000000" w:rsidRPr="00000000">
        <w:rPr>
          <w:rFonts w:ascii="Palatino Linotype" w:cs="Palatino Linotype" w:eastAsia="Palatino Linotype" w:hAnsi="Palatino Linotype"/>
          <w:sz w:val="24"/>
          <w:szCs w:val="24"/>
          <w:rtl w:val="0"/>
        </w:rPr>
        <w:t xml:space="preserve">El precepto legal citado, establece como supuesto de procedencia del recurso de revisión, en aquellos casos en que el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estime negado el acceso a la información por la falta de respuesta por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en este asunto se actualiza la hipótesis jurídica citada, en atención a que el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combate falta de trámite por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y expresa motivos de inconformidad en contra de ella.</w:t>
      </w:r>
    </w:p>
    <w:p w:rsidR="00000000" w:rsidDel="00000000" w:rsidP="00000000" w:rsidRDefault="00000000" w:rsidRPr="00000000" w14:paraId="0000002F">
      <w:pPr>
        <w:spacing w:after="0" w:line="360" w:lineRule="auto"/>
        <w:jc w:val="both"/>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b w:val="1"/>
          <w:sz w:val="28"/>
          <w:szCs w:val="28"/>
          <w:rtl w:val="0"/>
        </w:rPr>
        <w:t xml:space="preserve">TERCERO.</w:t>
      </w:r>
      <w:r w:rsidDel="00000000" w:rsidR="00000000" w:rsidRPr="00000000">
        <w:rPr>
          <w:rFonts w:ascii="Palatino Linotype" w:cs="Palatino Linotype" w:eastAsia="Palatino Linotype" w:hAnsi="Palatino Linotype"/>
          <w:b w:val="1"/>
          <w:sz w:val="24"/>
          <w:szCs w:val="24"/>
          <w:rtl w:val="0"/>
        </w:rPr>
        <w:t xml:space="preserve"> ANÁLISIS DE LAS CAUSALES DE SOBRESEIMIENTO DEL RECURSO DE REVISIÓN.</w:t>
      </w:r>
      <w:r w:rsidDel="00000000" w:rsidR="00000000" w:rsidRPr="00000000">
        <w:rPr>
          <w:sz w:val="24"/>
          <w:szCs w:val="24"/>
          <w:rtl w:val="0"/>
        </w:rPr>
        <w:t xml:space="preserve"> </w:t>
      </w:r>
      <w:r w:rsidDel="00000000" w:rsidR="00000000" w:rsidRPr="00000000">
        <w:rPr>
          <w:rFonts w:ascii="Palatino Linotype" w:cs="Palatino Linotype" w:eastAsia="Palatino Linotype" w:hAnsi="Palatino Linotype"/>
          <w:sz w:val="28"/>
          <w:szCs w:val="28"/>
          <w:rtl w:val="0"/>
        </w:rPr>
        <w:t xml:space="preserve"> </w:t>
      </w:r>
      <w:r w:rsidDel="00000000" w:rsidR="00000000" w:rsidRPr="00000000">
        <w:rPr>
          <w:rFonts w:ascii="Palatino Linotype" w:cs="Palatino Linotype" w:eastAsia="Palatino Linotype" w:hAnsi="Palatino Linotype"/>
          <w:sz w:val="24"/>
          <w:szCs w:val="24"/>
          <w:rtl w:val="0"/>
        </w:rPr>
        <w:t xml:space="preserve">Por otra parte, el artículo 192 de la </w:t>
      </w:r>
      <w:r w:rsidDel="00000000" w:rsidR="00000000" w:rsidRPr="00000000">
        <w:rPr>
          <w:rFonts w:ascii="Palatino Linotype" w:cs="Palatino Linotype" w:eastAsia="Palatino Linotype" w:hAnsi="Palatino Linotype"/>
          <w:color w:val="000000"/>
          <w:sz w:val="24"/>
          <w:szCs w:val="24"/>
          <w:rtl w:val="0"/>
        </w:rPr>
        <w:t xml:space="preserve">Ley de Transparencia y Acceso a la Información Pública del Estado de México y Municipios, señala que el Recurso de Revisión será sobreseído en todo o en parte, cuando, una vez admitido, se actualice alguno de los siguientes supuestos:</w:t>
      </w:r>
      <w:r w:rsidDel="00000000" w:rsidR="00000000" w:rsidRPr="00000000">
        <w:rPr>
          <w:rtl w:val="0"/>
        </w:rPr>
      </w:r>
    </w:p>
    <w:p w:rsidR="00000000" w:rsidDel="00000000" w:rsidP="00000000" w:rsidRDefault="00000000" w:rsidRPr="00000000" w14:paraId="00000030">
      <w:pPr>
        <w:numPr>
          <w:ilvl w:val="0"/>
          <w:numId w:val="2"/>
        </w:numPr>
        <w:spacing w:after="0" w:line="360" w:lineRule="auto"/>
        <w:ind w:left="567" w:hanging="87.00000000000003"/>
        <w:jc w:val="both"/>
        <w:rPr>
          <w:rFonts w:ascii="Palatino Linotype" w:cs="Palatino Linotype" w:eastAsia="Palatino Linotype" w:hAnsi="Palatino Linotype"/>
          <w:b w:val="1"/>
          <w:color w:val="000000"/>
          <w:sz w:val="24"/>
          <w:szCs w:val="24"/>
          <w:u w:val="single"/>
        </w:rPr>
      </w:pPr>
      <w:r w:rsidDel="00000000" w:rsidR="00000000" w:rsidRPr="00000000">
        <w:rPr>
          <w:rFonts w:ascii="Palatino Linotype" w:cs="Palatino Linotype" w:eastAsia="Palatino Linotype" w:hAnsi="Palatino Linotype"/>
          <w:b w:val="1"/>
          <w:color w:val="000000"/>
          <w:sz w:val="24"/>
          <w:szCs w:val="24"/>
          <w:u w:val="single"/>
          <w:rtl w:val="0"/>
        </w:rPr>
        <w:t xml:space="preserve">El Recurrente se desista expresamente;</w:t>
      </w:r>
    </w:p>
    <w:p w:rsidR="00000000" w:rsidDel="00000000" w:rsidP="00000000" w:rsidRDefault="00000000" w:rsidRPr="00000000" w14:paraId="00000031">
      <w:pPr>
        <w:numPr>
          <w:ilvl w:val="0"/>
          <w:numId w:val="2"/>
        </w:numPr>
        <w:spacing w:after="0" w:line="360" w:lineRule="auto"/>
        <w:ind w:left="567" w:hanging="87.00000000000003"/>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El Recurrente fallezca o, tratándose de personas morales se disuelva;</w:t>
      </w:r>
    </w:p>
    <w:p w:rsidR="00000000" w:rsidDel="00000000" w:rsidP="00000000" w:rsidRDefault="00000000" w:rsidRPr="00000000" w14:paraId="00000032">
      <w:pPr>
        <w:numPr>
          <w:ilvl w:val="0"/>
          <w:numId w:val="2"/>
        </w:numPr>
        <w:spacing w:after="0" w:line="360" w:lineRule="auto"/>
        <w:ind w:left="567" w:hanging="87.00000000000003"/>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El Sujeto Obligado modifique la respuesta o la revoque, de tal manera que el recurso de revisión quede sin materia;</w:t>
      </w:r>
    </w:p>
    <w:p w:rsidR="00000000" w:rsidDel="00000000" w:rsidP="00000000" w:rsidRDefault="00000000" w:rsidRPr="00000000" w14:paraId="00000033">
      <w:pPr>
        <w:numPr>
          <w:ilvl w:val="0"/>
          <w:numId w:val="2"/>
        </w:numPr>
        <w:spacing w:after="0" w:line="360" w:lineRule="auto"/>
        <w:ind w:left="567" w:hanging="87.00000000000003"/>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Admitido el recurso de revisión, aparezca alguna causal de improcedencia; y,</w:t>
      </w:r>
    </w:p>
    <w:p w:rsidR="00000000" w:rsidDel="00000000" w:rsidP="00000000" w:rsidRDefault="00000000" w:rsidRPr="00000000" w14:paraId="00000034">
      <w:pPr>
        <w:numPr>
          <w:ilvl w:val="0"/>
          <w:numId w:val="2"/>
        </w:numPr>
        <w:spacing w:after="0" w:line="360" w:lineRule="auto"/>
        <w:ind w:left="567" w:hanging="87.00000000000003"/>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Cuando por cualquier motivo quede sin materia el recurso de revisión.</w:t>
      </w:r>
    </w:p>
    <w:p w:rsidR="00000000" w:rsidDel="00000000" w:rsidP="00000000" w:rsidRDefault="00000000" w:rsidRPr="00000000" w14:paraId="00000035">
      <w:pPr>
        <w:spacing w:after="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6">
      <w:pPr>
        <w:spacing w:after="0" w:line="360" w:lineRule="auto"/>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En ese sentido, es susceptible de análisis la actualización del supuesto jurídico previsto en la fracción I, del artículo 192, de la Ley en cita, mismo que dispone que el Recurso de Revisión será sobreseído cuando </w:t>
      </w:r>
      <w:r w:rsidDel="00000000" w:rsidR="00000000" w:rsidRPr="00000000">
        <w:rPr>
          <w:rFonts w:ascii="Palatino Linotype" w:cs="Palatino Linotype" w:eastAsia="Palatino Linotype" w:hAnsi="Palatino Linotype"/>
          <w:b w:val="1"/>
          <w:sz w:val="24"/>
          <w:szCs w:val="24"/>
          <w:rtl w:val="0"/>
        </w:rPr>
        <w:t xml:space="preserve">el Recurrente se desista expresamente</w:t>
      </w:r>
      <w:r w:rsidDel="00000000" w:rsidR="00000000" w:rsidRPr="00000000">
        <w:rPr>
          <w:rFonts w:ascii="Palatino Linotype" w:cs="Palatino Linotype" w:eastAsia="Palatino Linotype" w:hAnsi="Palatino Linotype"/>
          <w:color w:val="000000"/>
          <w:sz w:val="24"/>
          <w:szCs w:val="24"/>
          <w:rtl w:val="0"/>
        </w:rPr>
        <w:t xml:space="preserve">. Ello, toda vez que </w:t>
      </w:r>
      <w:r w:rsidDel="00000000" w:rsidR="00000000" w:rsidRPr="00000000">
        <w:rPr>
          <w:rFonts w:ascii="Palatino Linotype" w:cs="Palatino Linotype" w:eastAsia="Palatino Linotype" w:hAnsi="Palatino Linotype"/>
          <w:b w:val="1"/>
          <w:color w:val="000000"/>
          <w:sz w:val="24"/>
          <w:szCs w:val="24"/>
          <w:rtl w:val="0"/>
        </w:rPr>
        <w:t xml:space="preserve">LA PARTE RECURRENTE</w:t>
      </w:r>
      <w:r w:rsidDel="00000000" w:rsidR="00000000" w:rsidRPr="00000000">
        <w:rPr>
          <w:rFonts w:ascii="Palatino Linotype" w:cs="Palatino Linotype" w:eastAsia="Palatino Linotype" w:hAnsi="Palatino Linotype"/>
          <w:color w:val="000000"/>
          <w:sz w:val="24"/>
          <w:szCs w:val="24"/>
          <w:rtl w:val="0"/>
        </w:rPr>
        <w:t xml:space="preserve"> en fecha nueve de febrero de dos mil veintidós, a través del Sistema de Acceso a la Información Mexiquense (SAIMEX), se desistió expresamente del presente Recurso de Revisión.</w:t>
      </w:r>
    </w:p>
    <w:p w:rsidR="00000000" w:rsidDel="00000000" w:rsidP="00000000" w:rsidRDefault="00000000" w:rsidRPr="00000000" w14:paraId="00000037">
      <w:pPr>
        <w:tabs>
          <w:tab w:val="left" w:pos="8647"/>
        </w:tabs>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000000"/>
          <w:sz w:val="24"/>
          <w:szCs w:val="24"/>
          <w:rtl w:val="0"/>
        </w:rPr>
        <w:t xml:space="preserve">En efecto, se aprecia que el Particular </w:t>
      </w:r>
      <w:r w:rsidDel="00000000" w:rsidR="00000000" w:rsidRPr="00000000">
        <w:rPr>
          <w:rFonts w:ascii="Palatino Linotype" w:cs="Palatino Linotype" w:eastAsia="Palatino Linotype" w:hAnsi="Palatino Linotype"/>
          <w:b w:val="1"/>
          <w:color w:val="000000"/>
          <w:sz w:val="24"/>
          <w:szCs w:val="24"/>
          <w:rtl w:val="0"/>
        </w:rPr>
        <w:t xml:space="preserve">manifestó expresamente su voluntad de desistirse del Recurso de Revisión</w:t>
      </w:r>
      <w:r w:rsidDel="00000000" w:rsidR="00000000" w:rsidRPr="00000000">
        <w:rPr>
          <w:rFonts w:ascii="Palatino Linotype" w:cs="Palatino Linotype" w:eastAsia="Palatino Linotype" w:hAnsi="Palatino Linotype"/>
          <w:sz w:val="28"/>
          <w:szCs w:val="28"/>
          <w:rtl w:val="0"/>
        </w:rPr>
        <w:t xml:space="preserve"> a</w:t>
      </w:r>
      <w:r w:rsidDel="00000000" w:rsidR="00000000" w:rsidRPr="00000000">
        <w:rPr>
          <w:rFonts w:ascii="Palatino Linotype" w:cs="Palatino Linotype" w:eastAsia="Palatino Linotype" w:hAnsi="Palatino Linotype"/>
          <w:sz w:val="24"/>
          <w:szCs w:val="24"/>
          <w:rtl w:val="0"/>
        </w:rPr>
        <w:t xml:space="preserve">l rubro anotado. </w:t>
      </w:r>
    </w:p>
    <w:p w:rsidR="00000000" w:rsidDel="00000000" w:rsidP="00000000" w:rsidRDefault="00000000" w:rsidRPr="00000000" w14:paraId="00000038">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consecuencia, se estima que se actualiza el supuesto previsto en el artículo 192 fracción I, de la Ley de Transparencia y Acceso a la Información Pública del Estado de México y Municipios.</w:t>
      </w:r>
    </w:p>
    <w:p w:rsidR="00000000" w:rsidDel="00000000" w:rsidP="00000000" w:rsidRDefault="00000000" w:rsidRPr="00000000" w14:paraId="00000039">
      <w:pPr>
        <w:spacing w:after="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A">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tenor, resulta aplicable la Jurisprudencia número 1a./J. 65/2005, Semanario Judicial de la Federación y su Gaceta, Novena Época, Tomo XXII, julio de dos mil cinco, página ciento sesenta y uno, que establece lo siguiente:</w:t>
      </w:r>
    </w:p>
    <w:p w:rsidR="00000000" w:rsidDel="00000000" w:rsidP="00000000" w:rsidRDefault="00000000" w:rsidRPr="00000000" w14:paraId="0000003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C">
      <w:pPr>
        <w:spacing w:after="0" w:line="276" w:lineRule="auto"/>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DESISTIMIENTO DE LA INSTANCIA. SURTE EFECTOS DESDE EL MOMENTO EN QUE SE PRESENTA EL ESCRITO CORRESPONDIENTE.</w:t>
      </w:r>
      <w:r w:rsidDel="00000000" w:rsidR="00000000" w:rsidRPr="00000000">
        <w:rPr>
          <w:rtl w:val="0"/>
        </w:rPr>
      </w:r>
    </w:p>
    <w:p w:rsidR="00000000" w:rsidDel="00000000" w:rsidP="00000000" w:rsidRDefault="00000000" w:rsidRPr="00000000" w14:paraId="0000003D">
      <w:pPr>
        <w:spacing w:after="0" w:line="276" w:lineRule="auto"/>
        <w:ind w:left="567" w:right="567"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rsidR="00000000" w:rsidDel="00000000" w:rsidP="00000000" w:rsidRDefault="00000000" w:rsidRPr="00000000" w14:paraId="0000003E">
      <w:pPr>
        <w:spacing w:after="0"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3F">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Conforme a lo citado se puede colegir que cuando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presente un escrito de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rsidR="00000000" w:rsidDel="00000000" w:rsidP="00000000" w:rsidRDefault="00000000" w:rsidRPr="00000000" w14:paraId="00000040">
      <w:pPr>
        <w:spacing w:after="0"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1">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ese sentido, toda vez que este Instituto constató que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se desistió por la vía idónea para realizar dicha acción, a saber, por el Sistema de Acceso a la Información Mexiquense (SAIMEX), resulta procedente </w:t>
      </w:r>
      <w:r w:rsidDel="00000000" w:rsidR="00000000" w:rsidRPr="00000000">
        <w:rPr>
          <w:rFonts w:ascii="Palatino Linotype" w:cs="Palatino Linotype" w:eastAsia="Palatino Linotype" w:hAnsi="Palatino Linotype"/>
          <w:b w:val="1"/>
          <w:sz w:val="24"/>
          <w:szCs w:val="24"/>
          <w:rtl w:val="0"/>
        </w:rPr>
        <w:t xml:space="preserve">SOBRESEER </w:t>
      </w:r>
      <w:r w:rsidDel="00000000" w:rsidR="00000000" w:rsidRPr="00000000">
        <w:rPr>
          <w:rFonts w:ascii="Palatino Linotype" w:cs="Palatino Linotype" w:eastAsia="Palatino Linotype" w:hAnsi="Palatino Linotype"/>
          <w:sz w:val="24"/>
          <w:szCs w:val="24"/>
          <w:rtl w:val="0"/>
        </w:rPr>
        <w:t xml:space="preserve">el Recurso de Revisión con número </w:t>
      </w:r>
      <w:r w:rsidDel="00000000" w:rsidR="00000000" w:rsidRPr="00000000">
        <w:rPr>
          <w:rFonts w:ascii="Palatino Linotype" w:cs="Palatino Linotype" w:eastAsia="Palatino Linotype" w:hAnsi="Palatino Linotype"/>
          <w:b w:val="1"/>
          <w:sz w:val="24"/>
          <w:szCs w:val="24"/>
          <w:rtl w:val="0"/>
        </w:rPr>
        <w:t xml:space="preserve">00494/INFOEM/IP/RR/2022 </w:t>
      </w:r>
      <w:r w:rsidDel="00000000" w:rsidR="00000000" w:rsidRPr="00000000">
        <w:rPr>
          <w:rFonts w:ascii="Palatino Linotype" w:cs="Palatino Linotype" w:eastAsia="Palatino Linotype" w:hAnsi="Palatino Linotype"/>
          <w:sz w:val="24"/>
          <w:szCs w:val="24"/>
          <w:rtl w:val="0"/>
        </w:rPr>
        <w:t xml:space="preserve">al actualizarse el supuesto previsto en el artículo 192, fracción I, de la Ley de Transparencia y Acceso a la Información Pública del Estado de México y Municipios, en relación con el 186, fracción I de ese ordenamiento legal.</w:t>
      </w:r>
    </w:p>
    <w:p w:rsidR="00000000" w:rsidDel="00000000" w:rsidP="00000000" w:rsidRDefault="00000000" w:rsidRPr="00000000" w14:paraId="00000042">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con fundamento en lo prescrito en los artículos 5 </w:t>
      </w:r>
      <w:r w:rsidDel="00000000" w:rsidR="00000000" w:rsidRPr="00000000">
        <w:rPr>
          <w:rFonts w:ascii="Palatino Linotype" w:cs="Palatino Linotype" w:eastAsia="Palatino Linotype" w:hAnsi="Palatino Linotype"/>
          <w:sz w:val="24"/>
          <w:szCs w:val="24"/>
          <w:highlight w:val="white"/>
          <w:rtl w:val="0"/>
        </w:rPr>
        <w:t xml:space="preserve">párrafos trigésimo, trigésimo primero y trigésimo segundo fracciones IV y V </w:t>
      </w:r>
      <w:r w:rsidDel="00000000" w:rsidR="00000000" w:rsidRPr="00000000">
        <w:rPr>
          <w:rFonts w:ascii="Palatino Linotype" w:cs="Palatino Linotype" w:eastAsia="Palatino Linotype" w:hAnsi="Palatino Linotype"/>
          <w:sz w:val="24"/>
          <w:szCs w:val="24"/>
          <w:rtl w:val="0"/>
        </w:rPr>
        <w:t xml:space="preserve">de la Constitución Política del Estado Libre y Soberano de México; 2, fracción II; 29, 36 fracciones I y II; 176, 178, 181, 185 de la Ley de Transparencia y Acceso a la Información Pública del Estado de México y Municipios, este Pleno:</w:t>
      </w:r>
    </w:p>
    <w:p w:rsidR="00000000" w:rsidDel="00000000" w:rsidP="00000000" w:rsidRDefault="00000000" w:rsidRPr="00000000" w14:paraId="00000043">
      <w:pPr>
        <w:spacing w:after="0" w:line="36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RESUELVE</w:t>
      </w:r>
    </w:p>
    <w:p w:rsidR="00000000" w:rsidDel="00000000" w:rsidP="00000000" w:rsidRDefault="00000000" w:rsidRPr="00000000" w14:paraId="00000044">
      <w:pPr>
        <w:spacing w:after="0" w:line="360" w:lineRule="auto"/>
        <w:jc w:val="center"/>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PRIMERO. </w:t>
      </w:r>
      <w:r w:rsidDel="00000000" w:rsidR="00000000" w:rsidRPr="00000000">
        <w:rPr>
          <w:rFonts w:ascii="Palatino Linotype" w:cs="Palatino Linotype" w:eastAsia="Palatino Linotype" w:hAnsi="Palatino Linotype"/>
          <w:sz w:val="24"/>
          <w:szCs w:val="24"/>
          <w:rtl w:val="0"/>
        </w:rPr>
        <w:t xml:space="preserve">Se </w:t>
      </w:r>
      <w:r w:rsidDel="00000000" w:rsidR="00000000" w:rsidRPr="00000000">
        <w:rPr>
          <w:rFonts w:ascii="Palatino Linotype" w:cs="Palatino Linotype" w:eastAsia="Palatino Linotype" w:hAnsi="Palatino Linotype"/>
          <w:b w:val="1"/>
          <w:sz w:val="24"/>
          <w:szCs w:val="24"/>
          <w:rtl w:val="0"/>
        </w:rPr>
        <w:t xml:space="preserve">SOBRESEE</w:t>
      </w:r>
      <w:r w:rsidDel="00000000" w:rsidR="00000000" w:rsidRPr="00000000">
        <w:rPr>
          <w:rFonts w:ascii="Palatino Linotype" w:cs="Palatino Linotype" w:eastAsia="Palatino Linotype" w:hAnsi="Palatino Linotype"/>
          <w:sz w:val="24"/>
          <w:szCs w:val="24"/>
          <w:rtl w:val="0"/>
        </w:rPr>
        <w:t xml:space="preserve"> el recurso de revisión número </w:t>
      </w:r>
      <w:r w:rsidDel="00000000" w:rsidR="00000000" w:rsidRPr="00000000">
        <w:rPr>
          <w:rFonts w:ascii="Palatino Linotype" w:cs="Palatino Linotype" w:eastAsia="Palatino Linotype" w:hAnsi="Palatino Linotype"/>
          <w:b w:val="1"/>
          <w:sz w:val="24"/>
          <w:szCs w:val="24"/>
          <w:rtl w:val="0"/>
        </w:rPr>
        <w:t xml:space="preserve">00494/INFOEM/IP/RR/2022</w:t>
      </w:r>
      <w:r w:rsidDel="00000000" w:rsidR="00000000" w:rsidRPr="00000000">
        <w:rPr>
          <w:rFonts w:ascii="Palatino Linotype" w:cs="Palatino Linotype" w:eastAsia="Palatino Linotype" w:hAnsi="Palatino Linotype"/>
          <w:sz w:val="24"/>
          <w:szCs w:val="24"/>
          <w:rtl w:val="0"/>
        </w:rPr>
        <w:t xml:space="preserve">, por haberse desistido expresamente </w:t>
      </w:r>
      <w:r w:rsidDel="00000000" w:rsidR="00000000" w:rsidRPr="00000000">
        <w:rPr>
          <w:rFonts w:ascii="Palatino Linotype" w:cs="Palatino Linotype" w:eastAsia="Palatino Linotype" w:hAnsi="Palatino Linotype"/>
          <w:b w:val="1"/>
          <w:sz w:val="24"/>
          <w:szCs w:val="24"/>
          <w:rtl w:val="0"/>
        </w:rPr>
        <w:t xml:space="preserve">EL RECURRENTE</w:t>
      </w:r>
      <w:r w:rsidDel="00000000" w:rsidR="00000000" w:rsidRPr="00000000">
        <w:rPr>
          <w:rFonts w:ascii="Palatino Linotype" w:cs="Palatino Linotype" w:eastAsia="Palatino Linotype" w:hAnsi="Palatino Linotype"/>
          <w:sz w:val="24"/>
          <w:szCs w:val="24"/>
          <w:rtl w:val="0"/>
        </w:rPr>
        <w:t xml:space="preserve">, en términos del Considerando </w:t>
      </w:r>
      <w:r w:rsidDel="00000000" w:rsidR="00000000" w:rsidRPr="00000000">
        <w:rPr>
          <w:rFonts w:ascii="Palatino Linotype" w:cs="Palatino Linotype" w:eastAsia="Palatino Linotype" w:hAnsi="Palatino Linotype"/>
          <w:b w:val="1"/>
          <w:sz w:val="24"/>
          <w:szCs w:val="24"/>
          <w:rtl w:val="0"/>
        </w:rPr>
        <w:t xml:space="preserve">TERCERO</w:t>
      </w:r>
      <w:r w:rsidDel="00000000" w:rsidR="00000000" w:rsidRPr="00000000">
        <w:rPr>
          <w:rFonts w:ascii="Palatino Linotype" w:cs="Palatino Linotype" w:eastAsia="Palatino Linotype" w:hAnsi="Palatino Linotype"/>
          <w:sz w:val="24"/>
          <w:szCs w:val="24"/>
          <w:rtl w:val="0"/>
        </w:rPr>
        <w:t xml:space="preserve"> de la presente resolución.</w:t>
      </w:r>
      <w:r w:rsidDel="00000000" w:rsidR="00000000" w:rsidRPr="00000000">
        <w:rPr>
          <w:rFonts w:ascii="Palatino Linotype" w:cs="Palatino Linotype" w:eastAsia="Palatino Linotype" w:hAnsi="Palatino Linotype"/>
          <w:b w:val="1"/>
          <w:sz w:val="24"/>
          <w:szCs w:val="24"/>
          <w:rtl w:val="0"/>
        </w:rPr>
        <w:t xml:space="preserve"> </w:t>
      </w:r>
    </w:p>
    <w:p w:rsidR="00000000" w:rsidDel="00000000" w:rsidP="00000000" w:rsidRDefault="00000000" w:rsidRPr="00000000" w14:paraId="00000046">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SEGUNDO. NOTIFÍQUESE</w:t>
      </w:r>
      <w:r w:rsidDel="00000000" w:rsidR="00000000" w:rsidRPr="00000000">
        <w:rPr>
          <w:rFonts w:ascii="Palatino Linotype" w:cs="Palatino Linotype" w:eastAsia="Palatino Linotype" w:hAnsi="Palatino Linotype"/>
          <w:sz w:val="24"/>
          <w:szCs w:val="24"/>
          <w:rtl w:val="0"/>
        </w:rPr>
        <w:t xml:space="preserve"> vía Sistema de Acceso a la Información Mexiquense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la presente resolución al Titular de la Unidad de Transparencia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para su conocimiento. </w:t>
      </w:r>
      <w:r w:rsidDel="00000000" w:rsidR="00000000" w:rsidRPr="00000000">
        <w:rPr>
          <w:rtl w:val="0"/>
        </w:rPr>
      </w:r>
    </w:p>
    <w:p w:rsidR="00000000" w:rsidDel="00000000" w:rsidP="00000000" w:rsidRDefault="00000000" w:rsidRPr="00000000" w14:paraId="00000048">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TERCERO. </w:t>
      </w:r>
      <w:r w:rsidDel="00000000" w:rsidR="00000000" w:rsidRPr="00000000">
        <w:rPr>
          <w:rFonts w:ascii="Palatino Linotype" w:cs="Palatino Linotype" w:eastAsia="Palatino Linotype" w:hAnsi="Palatino Linotype"/>
          <w:sz w:val="24"/>
          <w:szCs w:val="24"/>
          <w:rtl w:val="0"/>
        </w:rPr>
        <w:t xml:space="preserve">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spacing w:line="360" w:lineRule="auto"/>
        <w:jc w:val="both"/>
        <w:rPr>
          <w:sz w:val="24"/>
          <w:szCs w:val="24"/>
        </w:rPr>
      </w:pPr>
      <w:r w:rsidDel="00000000" w:rsidR="00000000" w:rsidRPr="00000000">
        <w:rPr>
          <w:rFonts w:ascii="Palatino Linotype" w:cs="Palatino Linotype" w:eastAsia="Palatino Linotype" w:hAnsi="Palatino Linotype"/>
          <w:sz w:val="24"/>
          <w:szCs w:val="24"/>
          <w:rtl w:val="0"/>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Del="00000000" w:rsidR="00000000" w:rsidRPr="00000000">
        <w:rPr>
          <w:rtl w:val="0"/>
        </w:rPr>
      </w:r>
    </w:p>
    <w:sectPr>
      <w:headerReference r:id="rId10" w:type="default"/>
      <w:footerReference r:id="rId11"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1"/>
      <w:tblW w:w="10302.0" w:type="dxa"/>
      <w:jc w:val="left"/>
      <w:tblInd w:w="-1281.0" w:type="dxa"/>
      <w:tblLayout w:type="fixed"/>
      <w:tblLook w:val="0400"/>
    </w:tblPr>
    <w:tblGrid>
      <w:gridCol w:w="5660"/>
      <w:gridCol w:w="4642"/>
      <w:tblGridChange w:id="0">
        <w:tblGrid>
          <w:gridCol w:w="5660"/>
          <w:gridCol w:w="4642"/>
        </w:tblGrid>
      </w:tblGridChange>
    </w:tblGrid>
    <w:tr>
      <w:trPr>
        <w:cantSplit w:val="0"/>
        <w:trHeight w:val="260" w:hRule="atLeast"/>
        <w:tblHeader w:val="0"/>
      </w:trPr>
      <w:tc>
        <w:tcPr/>
        <w:p w:rsidR="00000000" w:rsidDel="00000000" w:rsidP="00000000" w:rsidRDefault="00000000" w:rsidRPr="00000000" w14:paraId="0000004D">
          <w:pPr>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Recurso de Revisión N°:</w:t>
          </w:r>
        </w:p>
      </w:tc>
      <w:tc>
        <w:tcPr/>
        <w:p w:rsidR="00000000" w:rsidDel="00000000" w:rsidP="00000000" w:rsidRDefault="00000000" w:rsidRPr="00000000" w14:paraId="0000004E">
          <w:pPr>
            <w:spacing w:after="120" w:lineRule="auto"/>
            <w:ind w:left="-486" w:right="214" w:firstLine="1408"/>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00494/INFOEM/IP/RR/2022</w:t>
          </w:r>
        </w:p>
      </w:tc>
    </w:tr>
    <w:tr>
      <w:trPr>
        <w:cantSplit w:val="0"/>
        <w:trHeight w:val="224" w:hRule="atLeast"/>
        <w:tblHeader w:val="0"/>
      </w:trPr>
      <w:tc>
        <w:tcPr/>
        <w:p w:rsidR="00000000" w:rsidDel="00000000" w:rsidP="00000000" w:rsidRDefault="00000000" w:rsidRPr="00000000" w14:paraId="0000004F">
          <w:pPr>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Recurrente:</w:t>
          </w:r>
        </w:p>
      </w:tc>
      <w:tc>
        <w:tcPr/>
        <w:p w:rsidR="00000000" w:rsidDel="00000000" w:rsidP="00000000" w:rsidRDefault="00000000" w:rsidRPr="00000000" w14:paraId="00000050">
          <w:pPr>
            <w:spacing w:after="120" w:lineRule="auto"/>
            <w:ind w:left="-486" w:right="214" w:firstLine="567"/>
            <w:jc w:val="right"/>
            <w:rPr>
              <w:rFonts w:ascii="Palatino Linotype" w:cs="Palatino Linotype" w:eastAsia="Palatino Linotype" w:hAnsi="Palatino Linotype"/>
              <w:sz w:val="24"/>
              <w:szCs w:val="24"/>
            </w:rPr>
          </w:pPr>
          <w:r w:rsidDel="00000000" w:rsidR="00000000" w:rsidRPr="00000000">
            <w:rPr>
              <w:rtl w:val="0"/>
            </w:rPr>
          </w:r>
        </w:p>
      </w:tc>
    </w:tr>
    <w:tr>
      <w:trPr>
        <w:cantSplit w:val="0"/>
        <w:trHeight w:val="278" w:hRule="atLeast"/>
        <w:tblHeader w:val="0"/>
      </w:trPr>
      <w:tc>
        <w:tcPr/>
        <w:p w:rsidR="00000000" w:rsidDel="00000000" w:rsidP="00000000" w:rsidRDefault="00000000" w:rsidRPr="00000000" w14:paraId="00000051">
          <w:pPr>
            <w:spacing w:after="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Sujeto Obligado:</w:t>
          </w:r>
        </w:p>
      </w:tc>
      <w:tc>
        <w:tcPr/>
        <w:p w:rsidR="00000000" w:rsidDel="00000000" w:rsidP="00000000" w:rsidRDefault="00000000" w:rsidRPr="00000000" w14:paraId="00000052">
          <w:pPr>
            <w:spacing w:after="0" w:lineRule="auto"/>
            <w:ind w:left="-495" w:right="214" w:firstLine="567"/>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Ayuntamiento de Valle de Chalco Solidaridad</w:t>
          </w:r>
        </w:p>
      </w:tc>
    </w:tr>
    <w:tr>
      <w:trPr>
        <w:cantSplit w:val="0"/>
        <w:trHeight w:val="393" w:hRule="atLeast"/>
        <w:tblHeader w:val="0"/>
      </w:trPr>
      <w:tc>
        <w:tcPr/>
        <w:p w:rsidR="00000000" w:rsidDel="00000000" w:rsidP="00000000" w:rsidRDefault="00000000" w:rsidRPr="00000000" w14:paraId="00000053">
          <w:pPr>
            <w:tabs>
              <w:tab w:val="left" w:pos="4892"/>
            </w:tabs>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Comisionada Ponente:</w:t>
          </w:r>
        </w:p>
      </w:tc>
      <w:tc>
        <w:tcPr/>
        <w:p w:rsidR="00000000" w:rsidDel="00000000" w:rsidP="00000000" w:rsidRDefault="00000000" w:rsidRPr="00000000" w14:paraId="00000054">
          <w:pPr>
            <w:spacing w:after="120" w:lineRule="auto"/>
            <w:ind w:left="-486" w:right="214" w:firstLine="567"/>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Guadalupe Ramírez Peña</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-1786253</wp:posOffset>
          </wp:positionV>
          <wp:extent cx="7867650" cy="10133330"/>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67650" cy="101333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right"/>
      <w:pPr>
        <w:ind w:left="720" w:hanging="360"/>
      </w:pPr>
      <w:rPr>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672CC"/>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672C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672CC"/>
  </w:style>
  <w:style w:type="paragraph" w:styleId="Piedepgina">
    <w:name w:val="footer"/>
    <w:basedOn w:val="Normal"/>
    <w:link w:val="PiedepginaCar"/>
    <w:uiPriority w:val="99"/>
    <w:unhideWhenUsed w:val="1"/>
    <w:rsid w:val="007672C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672CC"/>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672CC"/>
    <w:pPr>
      <w:ind w:left="720"/>
      <w:contextualSpacing w:val="1"/>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9F10B8"/>
  </w:style>
  <w:style w:type="character" w:styleId="apple-converted-space" w:customStyle="1">
    <w:name w:val="apple-converted-space"/>
    <w:basedOn w:val="Fuentedeprrafopredeter"/>
    <w:rsid w:val="009F10B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FF54C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val="1"/>
    <w:rsid w:val="00FF54CA"/>
    <w:rPr>
      <w:color w:val="0563c1" w:themeColor="hyperlink"/>
      <w:u w:val="single"/>
    </w:rPr>
  </w:style>
  <w:style w:type="paragraph" w:styleId="Sinespaciado">
    <w:name w:val="No Spacing"/>
    <w:aliases w:val="Francesa,INAI"/>
    <w:link w:val="SinespaciadoCar"/>
    <w:uiPriority w:val="1"/>
    <w:qFormat w:val="1"/>
    <w:rsid w:val="00FF54CA"/>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INAI Car"/>
    <w:link w:val="Sinespaciado"/>
    <w:uiPriority w:val="1"/>
    <w:locked w:val="1"/>
    <w:rsid w:val="00FF54CA"/>
    <w:rPr>
      <w:rFonts w:ascii="Times New Roman" w:cs="Times New Roman" w:eastAsia="Times New Roman" w:hAnsi="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FF54CA"/>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54CA"/>
    <w:rPr>
      <w:sz w:val="20"/>
      <w:szCs w:val="20"/>
    </w:rPr>
  </w:style>
  <w:style w:type="paragraph" w:styleId="infoemcitas" w:customStyle="1">
    <w:name w:val="infoem citas"/>
    <w:basedOn w:val="Normal"/>
    <w:qFormat w:val="1"/>
    <w:rsid w:val="00FF54CA"/>
    <w:pPr>
      <w:spacing w:before="240" w:line="360" w:lineRule="auto"/>
      <w:ind w:left="851" w:right="851"/>
      <w:jc w:val="both"/>
    </w:pPr>
    <w:rPr>
      <w:rFonts w:ascii="Palatino Linotype" w:hAnsi="Palatino Linotype"/>
      <w:i w:val="1"/>
    </w:rPr>
  </w:style>
  <w:style w:type="paragraph" w:styleId="Citas" w:customStyle="1">
    <w:name w:val="Citas"/>
    <w:basedOn w:val="Normal"/>
    <w:qFormat w:val="1"/>
    <w:rsid w:val="00FF54CA"/>
    <w:pPr>
      <w:spacing w:before="240" w:line="360" w:lineRule="auto"/>
      <w:ind w:left="851" w:right="851"/>
      <w:jc w:val="both"/>
    </w:pPr>
    <w:rPr>
      <w:rFonts w:ascii="Palatino Linotype" w:cs="Arial" w:hAnsi="Palatino Linotype"/>
      <w:i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L+fDSzeh+dRN+x8BIdVgBdEVbA==">AMUW2mUvgoHTjSnrkEEBGNh2edo/RGadS5r5eeMenWWiAh51kaezJOawtFd8R2mtH/+wW4KX3mb4S1NnYxO6WG5fNncj+wzL0geNxEILQX5Qr43vhqV7g4UVIzCrDFBd+UG7QIjs7hKoWOvbaq93DEQbmsGPv7yT94vZWmTJPDrx1Ei81EqYpSuQzi/6j0d1k+aKkYEcqhsDxbibxIdmt0ZxTEN4LEqEOu8Z5IYH6Fq+sqKetr7MAVA=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2022-03-10T15:37:00Z</dcterms:created>
  <dc:creator>DIANA LAURA RENDON GARCIA</dc:creator>
</cp:coreProperties>
</file>