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0348F" w:rsidRDefault="009F09BC" w:rsidP="009F09BC">
      <w:pPr>
        <w:tabs>
          <w:tab w:val="left" w:pos="3465"/>
        </w:tabs>
        <w:spacing w:before="240" w:after="360" w:line="360" w:lineRule="auto"/>
        <w:jc w:val="both"/>
        <w:rPr>
          <w:rFonts w:ascii="Palatino Linotype" w:hAnsi="Palatino Linotype"/>
        </w:rPr>
      </w:pPr>
      <w:r w:rsidRPr="006034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699B" w:rsidRPr="0060348F">
        <w:rPr>
          <w:rFonts w:ascii="Palatino Linotype" w:hAnsi="Palatino Linotype"/>
        </w:rPr>
        <w:t>veinte</w:t>
      </w:r>
      <w:r w:rsidR="006A04B6" w:rsidRPr="0060348F">
        <w:rPr>
          <w:rFonts w:ascii="Palatino Linotype" w:hAnsi="Palatino Linotype"/>
        </w:rPr>
        <w:t xml:space="preserve"> (2</w:t>
      </w:r>
      <w:r w:rsidR="008A699B" w:rsidRPr="0060348F">
        <w:rPr>
          <w:rFonts w:ascii="Palatino Linotype" w:hAnsi="Palatino Linotype"/>
        </w:rPr>
        <w:t>0</w:t>
      </w:r>
      <w:r w:rsidRPr="0060348F">
        <w:rPr>
          <w:rFonts w:ascii="Palatino Linotype" w:hAnsi="Palatino Linotype"/>
        </w:rPr>
        <w:t xml:space="preserve">) de </w:t>
      </w:r>
      <w:r w:rsidR="008A699B" w:rsidRPr="0060348F">
        <w:rPr>
          <w:rFonts w:ascii="Palatino Linotype" w:hAnsi="Palatino Linotype"/>
        </w:rPr>
        <w:t>abril</w:t>
      </w:r>
      <w:r w:rsidR="004778E2">
        <w:rPr>
          <w:rFonts w:ascii="Palatino Linotype" w:hAnsi="Palatino Linotype"/>
        </w:rPr>
        <w:t xml:space="preserve"> de dos mil veintidós</w:t>
      </w:r>
      <w:r w:rsidRPr="0060348F">
        <w:rPr>
          <w:rFonts w:ascii="Palatino Linotype" w:hAnsi="Palatino Linotype"/>
        </w:rPr>
        <w:t>.</w:t>
      </w:r>
    </w:p>
    <w:p w:rsidR="009F09BC" w:rsidRPr="0060348F" w:rsidRDefault="009F09BC" w:rsidP="009F09BC">
      <w:pPr>
        <w:spacing w:before="240" w:after="360" w:line="360" w:lineRule="auto"/>
        <w:jc w:val="both"/>
        <w:rPr>
          <w:rFonts w:ascii="Palatino Linotype" w:hAnsi="Palatino Linotype"/>
          <w:b/>
        </w:rPr>
      </w:pPr>
      <w:r w:rsidRPr="0060348F">
        <w:rPr>
          <w:rFonts w:ascii="Palatino Linotype" w:hAnsi="Palatino Linotype"/>
          <w:b/>
        </w:rPr>
        <w:t>VISTO</w:t>
      </w:r>
      <w:r w:rsidRPr="0060348F">
        <w:rPr>
          <w:rFonts w:ascii="Palatino Linotype" w:hAnsi="Palatino Linotype"/>
        </w:rPr>
        <w:t xml:space="preserve"> </w:t>
      </w:r>
      <w:r w:rsidR="008A699B" w:rsidRPr="0060348F">
        <w:rPr>
          <w:rFonts w:ascii="Palatino Linotype" w:hAnsi="Palatino Linotype"/>
        </w:rPr>
        <w:t>e</w:t>
      </w:r>
      <w:r w:rsidRPr="0060348F">
        <w:rPr>
          <w:rFonts w:ascii="Palatino Linotype" w:hAnsi="Palatino Linotype"/>
        </w:rPr>
        <w:t xml:space="preserve">l expediente electrónico formado con motivo del recurso de revisión </w:t>
      </w:r>
      <w:r w:rsidR="006D15D0" w:rsidRPr="0060348F">
        <w:rPr>
          <w:rFonts w:ascii="Palatino Linotype" w:hAnsi="Palatino Linotype"/>
          <w:b/>
        </w:rPr>
        <w:t>0</w:t>
      </w:r>
      <w:r w:rsidR="008A699B" w:rsidRPr="0060348F">
        <w:rPr>
          <w:rFonts w:ascii="Palatino Linotype" w:hAnsi="Palatino Linotype"/>
          <w:b/>
        </w:rPr>
        <w:t>0278</w:t>
      </w:r>
      <w:r w:rsidR="006D15D0" w:rsidRPr="0060348F">
        <w:rPr>
          <w:rFonts w:ascii="Palatino Linotype" w:hAnsi="Palatino Linotype"/>
          <w:b/>
        </w:rPr>
        <w:t>/INFOEM/IP/RR/2021</w:t>
      </w:r>
      <w:r w:rsidRPr="0060348F">
        <w:rPr>
          <w:rFonts w:ascii="Palatino Linotype" w:hAnsi="Palatino Linotype"/>
        </w:rPr>
        <w:t>,</w:t>
      </w:r>
      <w:r w:rsidRPr="0060348F">
        <w:rPr>
          <w:rFonts w:ascii="Palatino Linotype" w:hAnsi="Palatino Linotype" w:cs="Arial"/>
          <w:b/>
          <w:bCs/>
        </w:rPr>
        <w:t xml:space="preserve"> </w:t>
      </w:r>
      <w:r w:rsidRPr="0060348F">
        <w:rPr>
          <w:rFonts w:ascii="Palatino Linotype" w:hAnsi="Palatino Linotype"/>
        </w:rPr>
        <w:t xml:space="preserve">promovido por </w:t>
      </w:r>
      <w:r w:rsidR="008A699B" w:rsidRPr="0060348F">
        <w:rPr>
          <w:rFonts w:ascii="Palatino Linotype" w:hAnsi="Palatino Linotype"/>
          <w:b/>
        </w:rPr>
        <w:t>una persona que no dejó datos de registro</w:t>
      </w:r>
      <w:r w:rsidRPr="0060348F">
        <w:rPr>
          <w:rFonts w:ascii="Palatino Linotype" w:hAnsi="Palatino Linotype"/>
        </w:rPr>
        <w:t xml:space="preserve">, a quien en lo sucesivo se le identificará como </w:t>
      </w:r>
      <w:r w:rsidRPr="0060348F">
        <w:rPr>
          <w:rFonts w:ascii="Palatino Linotype" w:hAnsi="Palatino Linotype"/>
          <w:b/>
        </w:rPr>
        <w:t>EL RECURRENTE</w:t>
      </w:r>
      <w:r w:rsidRPr="0060348F">
        <w:rPr>
          <w:rFonts w:ascii="Palatino Linotype" w:hAnsi="Palatino Linotype" w:cs="Arial"/>
        </w:rPr>
        <w:t xml:space="preserve">, en contra de las respuestas del </w:t>
      </w:r>
      <w:r w:rsidR="008A699B" w:rsidRPr="0060348F">
        <w:rPr>
          <w:rFonts w:ascii="Palatino Linotype" w:hAnsi="Palatino Linotype" w:cs="Arial"/>
          <w:b/>
        </w:rPr>
        <w:t>Comisión de Conciliación y Arbitraje Médico del Estado de México</w:t>
      </w:r>
      <w:r w:rsidRPr="0060348F">
        <w:rPr>
          <w:rFonts w:ascii="Palatino Linotype" w:hAnsi="Palatino Linotype" w:cs="Arial"/>
          <w:b/>
        </w:rPr>
        <w:t>,</w:t>
      </w:r>
      <w:r w:rsidRPr="0060348F">
        <w:rPr>
          <w:rFonts w:ascii="Palatino Linotype" w:hAnsi="Palatino Linotype"/>
          <w:b/>
        </w:rPr>
        <w:t xml:space="preserve"> </w:t>
      </w:r>
      <w:r w:rsidRPr="0060348F">
        <w:rPr>
          <w:rFonts w:ascii="Palatino Linotype" w:hAnsi="Palatino Linotype"/>
        </w:rPr>
        <w:t>en lo sucesivo el</w:t>
      </w:r>
      <w:r w:rsidRPr="0060348F">
        <w:rPr>
          <w:rFonts w:ascii="Palatino Linotype" w:hAnsi="Palatino Linotype"/>
          <w:b/>
        </w:rPr>
        <w:t xml:space="preserve"> SUJETO OBLIGADO</w:t>
      </w:r>
      <w:r w:rsidRPr="0060348F">
        <w:rPr>
          <w:rFonts w:ascii="Palatino Linotype" w:hAnsi="Palatino Linotype"/>
        </w:rPr>
        <w:t>, se procede a dictar la presente resolución, con base en los siguientes:</w:t>
      </w:r>
    </w:p>
    <w:p w:rsidR="009F09BC" w:rsidRPr="0060348F"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0348F">
        <w:rPr>
          <w:rFonts w:ascii="Palatino Linotype" w:hAnsi="Palatino Linotype"/>
          <w:b/>
          <w:color w:val="000000" w:themeColor="text1"/>
          <w:sz w:val="24"/>
          <w:szCs w:val="24"/>
        </w:rPr>
        <w:t>ANTECEDENTES</w:t>
      </w:r>
      <w:bookmarkEnd w:id="0"/>
      <w:bookmarkEnd w:id="1"/>
      <w:bookmarkEnd w:id="2"/>
    </w:p>
    <w:p w:rsidR="009F09BC" w:rsidRPr="0060348F"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60348F">
        <w:rPr>
          <w:rFonts w:ascii="Palatino Linotype" w:eastAsia="Calibri" w:hAnsi="Palatino Linotype" w:cs="Arial"/>
          <w:lang w:val="es-ES"/>
        </w:rPr>
        <w:t xml:space="preserve">El día </w:t>
      </w:r>
      <w:r w:rsidR="008A699B" w:rsidRPr="0060348F">
        <w:rPr>
          <w:rFonts w:ascii="Palatino Linotype" w:eastAsia="Calibri" w:hAnsi="Palatino Linotype" w:cs="Arial"/>
          <w:lang w:val="es-ES"/>
        </w:rPr>
        <w:t>tre</w:t>
      </w:r>
      <w:r w:rsidRPr="0060348F">
        <w:rPr>
          <w:rFonts w:ascii="Palatino Linotype" w:eastAsia="Calibri" w:hAnsi="Palatino Linotype" w:cs="Arial"/>
          <w:lang w:val="es-ES"/>
        </w:rPr>
        <w:t>ce (</w:t>
      </w:r>
      <w:r w:rsidR="008A699B" w:rsidRPr="0060348F">
        <w:rPr>
          <w:rFonts w:ascii="Palatino Linotype" w:eastAsia="Calibri" w:hAnsi="Palatino Linotype" w:cs="Arial"/>
          <w:lang w:val="es-ES"/>
        </w:rPr>
        <w:t>13</w:t>
      </w:r>
      <w:r w:rsidRPr="0060348F">
        <w:rPr>
          <w:rFonts w:ascii="Palatino Linotype" w:eastAsia="Calibri" w:hAnsi="Palatino Linotype" w:cs="Arial"/>
          <w:lang w:val="es-ES"/>
        </w:rPr>
        <w:t xml:space="preserve">) de </w:t>
      </w:r>
      <w:r w:rsidR="008A699B" w:rsidRPr="0060348F">
        <w:rPr>
          <w:rFonts w:ascii="Palatino Linotype" w:eastAsia="Calibri" w:hAnsi="Palatino Linotype" w:cs="Arial"/>
          <w:lang w:val="es-ES"/>
        </w:rPr>
        <w:t>diciembre</w:t>
      </w:r>
      <w:r w:rsidRPr="0060348F">
        <w:rPr>
          <w:rFonts w:ascii="Palatino Linotype" w:eastAsia="Calibri" w:hAnsi="Palatino Linotype" w:cs="Arial"/>
          <w:lang w:val="es-ES"/>
        </w:rPr>
        <w:t xml:space="preserve"> de dos mil veintiuno</w:t>
      </w:r>
      <w:r w:rsidRPr="0060348F">
        <w:rPr>
          <w:rFonts w:ascii="Palatino Linotype" w:hAnsi="Palatino Linotype"/>
          <w:b/>
        </w:rPr>
        <w:t xml:space="preserve">, </w:t>
      </w:r>
      <w:r w:rsidRPr="0060348F">
        <w:rPr>
          <w:rFonts w:ascii="Palatino Linotype" w:eastAsia="Calibri" w:hAnsi="Palatino Linotype" w:cs="Arial"/>
          <w:lang w:val="es-ES"/>
        </w:rPr>
        <w:t xml:space="preserve">se presentó ante el </w:t>
      </w:r>
      <w:r w:rsidRPr="0060348F">
        <w:rPr>
          <w:rFonts w:ascii="Palatino Linotype" w:eastAsia="Calibri" w:hAnsi="Palatino Linotype" w:cs="Arial"/>
          <w:b/>
          <w:lang w:val="es-ES"/>
        </w:rPr>
        <w:t>SUJETO OBLIGADO</w:t>
      </w:r>
      <w:r w:rsidRPr="0060348F">
        <w:rPr>
          <w:rFonts w:ascii="Palatino Linotype" w:eastAsia="Calibri" w:hAnsi="Palatino Linotype" w:cs="Arial"/>
        </w:rPr>
        <w:t xml:space="preserve"> vía </w:t>
      </w:r>
      <w:r w:rsidR="008A699B" w:rsidRPr="0060348F">
        <w:rPr>
          <w:rFonts w:ascii="Palatino Linotype" w:eastAsia="Calibri" w:hAnsi="Palatino Linotype" w:cs="Arial"/>
          <w:lang w:val="es-ES"/>
        </w:rPr>
        <w:t>SAIMEX, la solicitud</w:t>
      </w:r>
      <w:r w:rsidRPr="0060348F">
        <w:rPr>
          <w:rFonts w:ascii="Palatino Linotype" w:eastAsia="Calibri" w:hAnsi="Palatino Linotype" w:cs="Arial"/>
          <w:lang w:val="es-ES"/>
        </w:rPr>
        <w:t xml:space="preserve"> de información pública</w:t>
      </w:r>
      <w:r w:rsidR="008A699B" w:rsidRPr="0060348F">
        <w:rPr>
          <w:rFonts w:ascii="Palatino Linotype" w:eastAsia="Calibri" w:hAnsi="Palatino Linotype" w:cs="Arial"/>
          <w:lang w:val="es-ES"/>
        </w:rPr>
        <w:t xml:space="preserve"> registrada</w:t>
      </w:r>
      <w:r w:rsidRPr="0060348F">
        <w:rPr>
          <w:rFonts w:ascii="Palatino Linotype" w:eastAsia="Calibri" w:hAnsi="Palatino Linotype" w:cs="Arial"/>
          <w:lang w:val="es-ES"/>
        </w:rPr>
        <w:t xml:space="preserve"> con </w:t>
      </w:r>
      <w:r w:rsidR="008A699B" w:rsidRPr="0060348F">
        <w:rPr>
          <w:rFonts w:ascii="Palatino Linotype" w:eastAsia="Calibri" w:hAnsi="Palatino Linotype" w:cs="Arial"/>
          <w:lang w:val="es-ES"/>
        </w:rPr>
        <w:t xml:space="preserve">el </w:t>
      </w:r>
      <w:r w:rsidRPr="0060348F">
        <w:rPr>
          <w:rFonts w:ascii="Palatino Linotype" w:eastAsia="Calibri" w:hAnsi="Palatino Linotype" w:cs="Arial"/>
          <w:lang w:val="es-ES"/>
        </w:rPr>
        <w:t>número</w:t>
      </w:r>
      <w:r w:rsidRPr="0060348F">
        <w:rPr>
          <w:rFonts w:ascii="Palatino Linotype" w:hAnsi="Palatino Linotype"/>
          <w:b/>
          <w:bCs/>
          <w:color w:val="000000" w:themeColor="text1"/>
        </w:rPr>
        <w:t xml:space="preserve"> </w:t>
      </w:r>
      <w:r w:rsidR="008A699B" w:rsidRPr="0060348F">
        <w:rPr>
          <w:rFonts w:ascii="Palatino Linotype" w:hAnsi="Palatino Linotype"/>
          <w:b/>
          <w:bCs/>
          <w:color w:val="000000" w:themeColor="text1"/>
        </w:rPr>
        <w:t>00316/CAMEM/IP/2021</w:t>
      </w:r>
      <w:r w:rsidRPr="0060348F">
        <w:rPr>
          <w:rFonts w:ascii="Palatino Linotype" w:hAnsi="Palatino Linotype"/>
          <w:b/>
          <w:bCs/>
          <w:color w:val="000000" w:themeColor="text1"/>
        </w:rPr>
        <w:t xml:space="preserve">; </w:t>
      </w:r>
      <w:r w:rsidRPr="0060348F">
        <w:rPr>
          <w:rFonts w:ascii="Palatino Linotype" w:eastAsia="Calibri" w:hAnsi="Palatino Linotype" w:cs="Arial"/>
          <w:lang w:val="es-ES"/>
        </w:rPr>
        <w:t>mediante las cuales se solicitó la siguiente información:</w:t>
      </w:r>
    </w:p>
    <w:p w:rsidR="008A699B" w:rsidRPr="0060348F"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60348F" w:rsidRDefault="008A699B" w:rsidP="008A699B">
      <w:pPr>
        <w:pStyle w:val="Prrafodelista"/>
        <w:spacing w:line="360" w:lineRule="auto"/>
        <w:ind w:left="426" w:right="474"/>
        <w:jc w:val="both"/>
        <w:rPr>
          <w:rFonts w:ascii="Palatino Linotype" w:hAnsi="Palatino Linotype"/>
          <w:i/>
        </w:rPr>
      </w:pPr>
      <w:r w:rsidRPr="0060348F">
        <w:rPr>
          <w:rFonts w:ascii="Palatino Linotype" w:hAnsi="Palatino Linotype"/>
          <w:i/>
        </w:rPr>
        <w:t>“PERSONAL POR CONTRATO DE LA DEPENDENCIA 2021, REQUIERO NOMBRE, PUESTO Y ADSCRIPCIÓN, ADEMÁS DE CONTRATO Y OFICIOS DE AUTORIZACIÓN DE CONTRATACIÓN EMITIDOS POR EL SUBSECRETARIO DE ADMINISTRACIÓN DEL 2021 Y EL DEL 2022”</w:t>
      </w:r>
    </w:p>
    <w:p w:rsidR="008A699B" w:rsidRPr="0060348F" w:rsidRDefault="008A699B" w:rsidP="009F09BC">
      <w:pPr>
        <w:pStyle w:val="Prrafodelista"/>
        <w:spacing w:line="360" w:lineRule="auto"/>
        <w:ind w:left="851" w:right="34"/>
        <w:jc w:val="both"/>
        <w:rPr>
          <w:rFonts w:ascii="Palatino Linotype" w:hAnsi="Palatino Linotype"/>
        </w:rPr>
      </w:pPr>
    </w:p>
    <w:p w:rsidR="009F09BC" w:rsidRPr="0060348F" w:rsidRDefault="009F09BC" w:rsidP="009F09BC">
      <w:pPr>
        <w:pStyle w:val="Prrafodelista"/>
        <w:numPr>
          <w:ilvl w:val="0"/>
          <w:numId w:val="23"/>
        </w:numPr>
        <w:spacing w:line="360" w:lineRule="auto"/>
        <w:ind w:left="851" w:right="34"/>
        <w:jc w:val="both"/>
        <w:rPr>
          <w:rFonts w:ascii="Palatino Linotype" w:hAnsi="Palatino Linotype"/>
        </w:rPr>
      </w:pPr>
      <w:r w:rsidRPr="0060348F">
        <w:rPr>
          <w:rFonts w:ascii="Palatino Linotype" w:eastAsia="Times New Roman" w:hAnsi="Palatino Linotype" w:cs="Arial"/>
          <w:lang w:val="es-ES"/>
        </w:rPr>
        <w:lastRenderedPageBreak/>
        <w:t>Se eligió como modalidad de entrega de la información</w:t>
      </w:r>
      <w:r w:rsidRPr="0060348F">
        <w:rPr>
          <w:rFonts w:ascii="Palatino Linotype" w:hAnsi="Palatino Linotype"/>
        </w:rPr>
        <w:t xml:space="preserve">: A través del </w:t>
      </w:r>
      <w:r w:rsidRPr="0060348F">
        <w:rPr>
          <w:rFonts w:ascii="Palatino Linotype" w:hAnsi="Palatino Linotype"/>
          <w:b/>
        </w:rPr>
        <w:t>SAIMEX</w:t>
      </w:r>
    </w:p>
    <w:p w:rsidR="008A699B" w:rsidRPr="0060348F" w:rsidRDefault="008A699B" w:rsidP="008A699B">
      <w:pPr>
        <w:pStyle w:val="Prrafodelista"/>
        <w:spacing w:line="360" w:lineRule="auto"/>
        <w:ind w:left="851" w:right="34"/>
        <w:jc w:val="both"/>
        <w:rPr>
          <w:rFonts w:ascii="Palatino Linotype" w:hAnsi="Palatino Linotype"/>
        </w:rPr>
      </w:pPr>
    </w:p>
    <w:p w:rsidR="009F09BC" w:rsidRPr="0060348F" w:rsidRDefault="008A699B"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60348F">
        <w:rPr>
          <w:rFonts w:ascii="Palatino Linotype" w:hAnsi="Palatino Linotype" w:cs="Arial"/>
          <w:color w:val="000000" w:themeColor="text1"/>
        </w:rPr>
        <w:t>El diecisiete</w:t>
      </w:r>
      <w:r w:rsidR="009F09BC" w:rsidRPr="0060348F">
        <w:rPr>
          <w:rFonts w:ascii="Palatino Linotype" w:hAnsi="Palatino Linotype" w:cs="Arial"/>
          <w:color w:val="000000" w:themeColor="text1"/>
        </w:rPr>
        <w:t xml:space="preserve"> (</w:t>
      </w:r>
      <w:r w:rsidRPr="0060348F">
        <w:rPr>
          <w:rFonts w:ascii="Palatino Linotype" w:hAnsi="Palatino Linotype" w:cs="Arial"/>
          <w:color w:val="000000" w:themeColor="text1"/>
        </w:rPr>
        <w:t>17</w:t>
      </w:r>
      <w:r w:rsidR="009F09BC" w:rsidRPr="0060348F">
        <w:rPr>
          <w:rFonts w:ascii="Palatino Linotype" w:hAnsi="Palatino Linotype" w:cs="Arial"/>
          <w:color w:val="000000" w:themeColor="text1"/>
        </w:rPr>
        <w:t xml:space="preserve">) de </w:t>
      </w:r>
      <w:r w:rsidR="002C4997" w:rsidRPr="0060348F">
        <w:rPr>
          <w:rFonts w:ascii="Palatino Linotype" w:hAnsi="Palatino Linotype" w:cs="Arial"/>
          <w:color w:val="000000" w:themeColor="text1"/>
        </w:rPr>
        <w:t>enero de dos mil veintidós</w:t>
      </w:r>
      <w:r w:rsidR="009F09BC" w:rsidRPr="0060348F">
        <w:rPr>
          <w:rFonts w:ascii="Palatino Linotype" w:hAnsi="Palatino Linotype" w:cs="Arial"/>
          <w:color w:val="000000" w:themeColor="text1"/>
        </w:rPr>
        <w:t xml:space="preserve">, el </w:t>
      </w:r>
      <w:r w:rsidR="009F09BC" w:rsidRPr="0060348F">
        <w:rPr>
          <w:rFonts w:ascii="Palatino Linotype" w:hAnsi="Palatino Linotype" w:cs="Arial"/>
          <w:b/>
          <w:color w:val="000000" w:themeColor="text1"/>
        </w:rPr>
        <w:t>SUJETO OBLIGADO,</w:t>
      </w:r>
      <w:r w:rsidR="009F09BC" w:rsidRPr="0060348F">
        <w:rPr>
          <w:rFonts w:ascii="Palatino Linotype" w:hAnsi="Palatino Linotype" w:cs="Arial"/>
          <w:color w:val="000000" w:themeColor="text1"/>
        </w:rPr>
        <w:t xml:space="preserve"> dio respuesta a la solicitud de información </w:t>
      </w:r>
      <w:r w:rsidR="002C4997" w:rsidRPr="0060348F">
        <w:rPr>
          <w:rFonts w:ascii="Palatino Linotype" w:hAnsi="Palatino Linotype" w:cs="Arial"/>
          <w:color w:val="000000" w:themeColor="text1"/>
        </w:rPr>
        <w:t>en los siguientes términos</w:t>
      </w:r>
      <w:r w:rsidR="009F09BC" w:rsidRPr="0060348F">
        <w:rPr>
          <w:rFonts w:ascii="Palatino Linotype" w:hAnsi="Palatino Linotype" w:cs="Arial"/>
          <w:color w:val="000000" w:themeColor="text1"/>
        </w:rPr>
        <w:t>:</w:t>
      </w:r>
    </w:p>
    <w:p w:rsidR="002C4997" w:rsidRPr="0060348F" w:rsidRDefault="002C4997" w:rsidP="002C4997">
      <w:pPr>
        <w:pStyle w:val="Prrafodelista"/>
        <w:tabs>
          <w:tab w:val="left" w:pos="0"/>
        </w:tabs>
        <w:spacing w:line="360" w:lineRule="auto"/>
        <w:ind w:left="0" w:right="49"/>
        <w:jc w:val="both"/>
        <w:rPr>
          <w:rFonts w:ascii="Palatino Linotype" w:hAnsi="Palatino Linotype" w:cs="Arial"/>
          <w:i/>
          <w:color w:val="000000" w:themeColor="text1"/>
        </w:rPr>
      </w:pPr>
    </w:p>
    <w:p w:rsidR="009F09BC" w:rsidRPr="0060348F" w:rsidRDefault="002C4997" w:rsidP="002C4997">
      <w:pPr>
        <w:tabs>
          <w:tab w:val="left" w:pos="0"/>
        </w:tabs>
        <w:ind w:right="49"/>
        <w:jc w:val="center"/>
        <w:rPr>
          <w:rFonts w:ascii="Palatino Linotype" w:hAnsi="Palatino Linotype" w:cs="Arial"/>
          <w:i/>
          <w:color w:val="000000" w:themeColor="text1"/>
          <w:sz w:val="22"/>
          <w:lang w:val="es-MX"/>
        </w:rPr>
      </w:pPr>
      <w:r w:rsidRPr="0060348F">
        <w:rPr>
          <w:rFonts w:ascii="Palatino Linotype" w:hAnsi="Palatino Linotype" w:cs="Arial"/>
          <w:i/>
          <w:noProof/>
          <w:color w:val="000000" w:themeColor="text1"/>
          <w:sz w:val="22"/>
          <w:lang w:val="es-MX" w:eastAsia="es-MX"/>
        </w:rPr>
        <w:drawing>
          <wp:inline distT="0" distB="0" distL="0" distR="0">
            <wp:extent cx="5369323" cy="2760029"/>
            <wp:effectExtent l="19050" t="19050" r="22225"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1592" cy="2761195"/>
                    </a:xfrm>
                    <a:prstGeom prst="rect">
                      <a:avLst/>
                    </a:prstGeom>
                    <a:noFill/>
                    <a:ln>
                      <a:solidFill>
                        <a:schemeClr val="tx1"/>
                      </a:solidFill>
                    </a:ln>
                  </pic:spPr>
                </pic:pic>
              </a:graphicData>
            </a:graphic>
          </wp:inline>
        </w:drawing>
      </w:r>
    </w:p>
    <w:p w:rsidR="009F09BC" w:rsidRPr="0060348F" w:rsidRDefault="009F09BC" w:rsidP="009F09BC">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60348F"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60348F">
        <w:rPr>
          <w:rFonts w:ascii="Palatino Linotype" w:eastAsia="Times New Roman" w:hAnsi="Palatino Linotype" w:cs="Arial"/>
          <w:color w:val="000000" w:themeColor="text1"/>
          <w:lang w:val="es-ES"/>
        </w:rPr>
        <w:t>E</w:t>
      </w:r>
      <w:r w:rsidR="002C4997" w:rsidRPr="0060348F">
        <w:rPr>
          <w:rFonts w:ascii="Palatino Linotype" w:eastAsia="Times New Roman" w:hAnsi="Palatino Linotype" w:cs="Arial"/>
          <w:color w:val="000000" w:themeColor="text1"/>
          <w:lang w:val="es-ES"/>
        </w:rPr>
        <w:t>l veinti</w:t>
      </w:r>
      <w:r w:rsidR="00AF4BBC" w:rsidRPr="0060348F">
        <w:rPr>
          <w:rFonts w:ascii="Palatino Linotype" w:eastAsia="Times New Roman" w:hAnsi="Palatino Linotype" w:cs="Arial"/>
          <w:color w:val="000000" w:themeColor="text1"/>
          <w:lang w:val="es-ES"/>
        </w:rPr>
        <w:t>cuatro</w:t>
      </w:r>
      <w:r w:rsidR="002C4997" w:rsidRPr="0060348F">
        <w:rPr>
          <w:rFonts w:ascii="Palatino Linotype" w:eastAsia="Times New Roman" w:hAnsi="Palatino Linotype" w:cs="Arial"/>
          <w:color w:val="000000" w:themeColor="text1"/>
          <w:lang w:val="es-ES"/>
        </w:rPr>
        <w:t xml:space="preserve"> </w:t>
      </w:r>
      <w:r w:rsidRPr="0060348F">
        <w:rPr>
          <w:rFonts w:ascii="Palatino Linotype" w:eastAsia="Times New Roman" w:hAnsi="Palatino Linotype" w:cs="Arial"/>
          <w:color w:val="000000" w:themeColor="text1"/>
          <w:lang w:val="es-ES"/>
        </w:rPr>
        <w:t>(</w:t>
      </w:r>
      <w:r w:rsidR="002C4997" w:rsidRPr="0060348F">
        <w:rPr>
          <w:rFonts w:ascii="Palatino Linotype" w:eastAsia="Times New Roman" w:hAnsi="Palatino Linotype" w:cs="Arial"/>
          <w:color w:val="000000" w:themeColor="text1"/>
          <w:lang w:val="es-ES"/>
        </w:rPr>
        <w:t>2</w:t>
      </w:r>
      <w:r w:rsidR="00AF4BBC" w:rsidRPr="0060348F">
        <w:rPr>
          <w:rFonts w:ascii="Palatino Linotype" w:eastAsia="Times New Roman" w:hAnsi="Palatino Linotype" w:cs="Arial"/>
          <w:color w:val="000000" w:themeColor="text1"/>
          <w:lang w:val="es-ES"/>
        </w:rPr>
        <w:t>4</w:t>
      </w:r>
      <w:r w:rsidRPr="0060348F">
        <w:rPr>
          <w:rFonts w:ascii="Palatino Linotype" w:eastAsia="Times New Roman" w:hAnsi="Palatino Linotype" w:cs="Arial"/>
          <w:color w:val="000000" w:themeColor="text1"/>
          <w:lang w:val="es-ES"/>
        </w:rPr>
        <w:t xml:space="preserve">) de </w:t>
      </w:r>
      <w:r w:rsidR="002C4997" w:rsidRPr="0060348F">
        <w:rPr>
          <w:rFonts w:ascii="Palatino Linotype" w:eastAsia="Times New Roman" w:hAnsi="Palatino Linotype" w:cs="Arial"/>
          <w:color w:val="000000" w:themeColor="text1"/>
          <w:lang w:val="es-ES"/>
        </w:rPr>
        <w:t>ener</w:t>
      </w:r>
      <w:r w:rsidRPr="0060348F">
        <w:rPr>
          <w:rFonts w:ascii="Palatino Linotype" w:eastAsia="Times New Roman" w:hAnsi="Palatino Linotype" w:cs="Arial"/>
          <w:color w:val="000000" w:themeColor="text1"/>
          <w:lang w:val="es-ES"/>
        </w:rPr>
        <w:t xml:space="preserve">o de </w:t>
      </w:r>
      <w:r w:rsidR="00025C53" w:rsidRPr="0060348F">
        <w:rPr>
          <w:rFonts w:ascii="Palatino Linotype" w:eastAsia="Times New Roman" w:hAnsi="Palatino Linotype" w:cs="Arial"/>
          <w:color w:val="000000" w:themeColor="text1"/>
          <w:lang w:val="es-ES"/>
        </w:rPr>
        <w:t>dos mil veintidós</w:t>
      </w:r>
      <w:r w:rsidRPr="0060348F">
        <w:rPr>
          <w:rFonts w:ascii="Palatino Linotype" w:eastAsia="Times New Roman" w:hAnsi="Palatino Linotype" w:cs="Arial"/>
          <w:color w:val="000000" w:themeColor="text1"/>
          <w:lang w:val="es-ES"/>
        </w:rPr>
        <w:t xml:space="preserve">, el particular interpuso </w:t>
      </w:r>
      <w:r w:rsidR="002C4997" w:rsidRPr="0060348F">
        <w:rPr>
          <w:rFonts w:ascii="Palatino Linotype" w:eastAsia="Times New Roman" w:hAnsi="Palatino Linotype" w:cs="Arial"/>
          <w:color w:val="000000" w:themeColor="text1"/>
          <w:lang w:val="es-ES"/>
        </w:rPr>
        <w:t>e</w:t>
      </w:r>
      <w:r w:rsidRPr="0060348F">
        <w:rPr>
          <w:rFonts w:ascii="Palatino Linotype" w:eastAsia="Times New Roman" w:hAnsi="Palatino Linotype" w:cs="Arial"/>
          <w:color w:val="000000" w:themeColor="text1"/>
          <w:lang w:val="es-ES"/>
        </w:rPr>
        <w:t>l recurso de revisión en contra de la respuesta, manifestando l</w:t>
      </w:r>
      <w:r w:rsidR="002C4997" w:rsidRPr="0060348F">
        <w:rPr>
          <w:rFonts w:ascii="Palatino Linotype" w:eastAsia="Times New Roman" w:hAnsi="Palatino Linotype" w:cs="Arial"/>
          <w:color w:val="000000" w:themeColor="text1"/>
          <w:lang w:val="es-ES"/>
        </w:rPr>
        <w:t>a</w:t>
      </w:r>
      <w:r w:rsidRPr="0060348F">
        <w:rPr>
          <w:rFonts w:ascii="Palatino Linotype" w:eastAsia="Times New Roman" w:hAnsi="Palatino Linotype" w:cs="Arial"/>
          <w:color w:val="000000" w:themeColor="text1"/>
          <w:lang w:val="es-ES"/>
        </w:rPr>
        <w:t xml:space="preserve">s </w:t>
      </w:r>
      <w:r w:rsidR="002C4997" w:rsidRPr="0060348F">
        <w:rPr>
          <w:rFonts w:ascii="Palatino Linotype" w:eastAsia="Times New Roman" w:hAnsi="Palatino Linotype" w:cs="Arial"/>
          <w:color w:val="000000" w:themeColor="text1"/>
          <w:lang w:val="es-ES"/>
        </w:rPr>
        <w:t>siguientes</w:t>
      </w:r>
      <w:r w:rsidRPr="0060348F">
        <w:rPr>
          <w:rFonts w:ascii="Palatino Linotype" w:eastAsia="Times New Roman" w:hAnsi="Palatino Linotype" w:cs="Arial"/>
          <w:color w:val="000000" w:themeColor="text1"/>
          <w:lang w:val="es-ES"/>
        </w:rPr>
        <w:t xml:space="preserve"> razones o motivos de inconformidad:</w:t>
      </w:r>
    </w:p>
    <w:p w:rsidR="009F09BC" w:rsidRPr="0060348F"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60348F" w:rsidRDefault="009F09BC" w:rsidP="002C4997">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0348F">
        <w:rPr>
          <w:rStyle w:val="Ttulo2Car"/>
          <w:rFonts w:ascii="Palatino Linotype" w:hAnsi="Palatino Linotype"/>
          <w:b/>
          <w:color w:val="auto"/>
        </w:rPr>
        <w:t>Acto impugnado</w:t>
      </w:r>
      <w:bookmarkEnd w:id="3"/>
      <w:r w:rsidRPr="0060348F">
        <w:rPr>
          <w:rStyle w:val="Ttulo2Car"/>
          <w:rFonts w:ascii="Palatino Linotype" w:hAnsi="Palatino Linotype"/>
          <w:b/>
          <w:color w:val="000000" w:themeColor="text1"/>
        </w:rPr>
        <w:t xml:space="preserve">: </w:t>
      </w:r>
      <w:r w:rsidRPr="0060348F">
        <w:rPr>
          <w:rStyle w:val="Ttulo2Car"/>
          <w:rFonts w:ascii="Palatino Linotype" w:hAnsi="Palatino Linotype"/>
          <w:i/>
          <w:color w:val="000000" w:themeColor="text1"/>
        </w:rPr>
        <w:t>“</w:t>
      </w:r>
      <w:bookmarkEnd w:id="4"/>
      <w:bookmarkEnd w:id="5"/>
      <w:bookmarkEnd w:id="6"/>
      <w:bookmarkEnd w:id="7"/>
      <w:bookmarkEnd w:id="8"/>
      <w:bookmarkEnd w:id="9"/>
      <w:bookmarkEnd w:id="10"/>
      <w:r w:rsidR="002C4997" w:rsidRPr="0060348F">
        <w:rPr>
          <w:rStyle w:val="Ttulo2Car"/>
          <w:rFonts w:ascii="Palatino Linotype" w:hAnsi="Palatino Linotype"/>
          <w:i/>
          <w:color w:val="000000" w:themeColor="text1"/>
        </w:rPr>
        <w:t>No entrega la información requerida.</w:t>
      </w:r>
      <w:r w:rsidRPr="0060348F">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60348F" w:rsidRDefault="009F09BC" w:rsidP="009F09BC">
      <w:pPr>
        <w:pStyle w:val="Prrafodelista"/>
        <w:spacing w:line="360" w:lineRule="auto"/>
        <w:ind w:left="1004"/>
        <w:jc w:val="both"/>
        <w:rPr>
          <w:rFonts w:ascii="Palatino Linotype" w:hAnsi="Palatino Linotype"/>
          <w:i/>
          <w:color w:val="000000" w:themeColor="text1"/>
        </w:rPr>
      </w:pPr>
    </w:p>
    <w:p w:rsidR="009F09BC" w:rsidRPr="0060348F" w:rsidRDefault="009F09BC" w:rsidP="002C4997">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60348F">
        <w:rPr>
          <w:rStyle w:val="Ttulo2Car"/>
          <w:rFonts w:ascii="Palatino Linotype" w:hAnsi="Palatino Linotype"/>
          <w:b/>
          <w:color w:val="000000" w:themeColor="text1"/>
        </w:rPr>
        <w:t>Razones o Motivos de inconformidad:</w:t>
      </w:r>
      <w:bookmarkEnd w:id="68"/>
      <w:bookmarkEnd w:id="127"/>
      <w:bookmarkEnd w:id="128"/>
      <w:bookmarkEnd w:id="129"/>
      <w:bookmarkEnd w:id="130"/>
      <w:bookmarkEnd w:id="131"/>
      <w:bookmarkEnd w:id="132"/>
      <w:r w:rsidRPr="0060348F">
        <w:rPr>
          <w:rFonts w:ascii="Palatino Linotype" w:hAnsi="Palatino Linotype"/>
          <w:b/>
          <w:color w:val="000000" w:themeColor="text1"/>
        </w:rPr>
        <w:t xml:space="preserve"> </w:t>
      </w:r>
      <w:r w:rsidRPr="0060348F">
        <w:rPr>
          <w:rFonts w:ascii="Palatino Linotype" w:hAnsi="Palatino Linotype"/>
          <w:i/>
          <w:color w:val="000000" w:themeColor="text1"/>
        </w:rPr>
        <w:t>“</w:t>
      </w:r>
      <w:r w:rsidR="002C4997" w:rsidRPr="0060348F">
        <w:rPr>
          <w:rFonts w:ascii="Palatino Linotype" w:hAnsi="Palatino Linotype"/>
          <w:i/>
          <w:color w:val="000000" w:themeColor="text1"/>
        </w:rPr>
        <w:t xml:space="preserve">El responsable de Transparencia señala que se deberá acudir al Organismo por la información, pero la exijo </w:t>
      </w:r>
      <w:proofErr w:type="spellStart"/>
      <w:r w:rsidR="002C4997" w:rsidRPr="0060348F">
        <w:rPr>
          <w:rFonts w:ascii="Palatino Linotype" w:hAnsi="Palatino Linotype"/>
          <w:i/>
          <w:color w:val="000000" w:themeColor="text1"/>
        </w:rPr>
        <w:t>via</w:t>
      </w:r>
      <w:proofErr w:type="spellEnd"/>
      <w:r w:rsidR="002C4997" w:rsidRPr="0060348F">
        <w:rPr>
          <w:rFonts w:ascii="Palatino Linotype" w:hAnsi="Palatino Linotype"/>
          <w:i/>
          <w:color w:val="000000" w:themeColor="text1"/>
        </w:rPr>
        <w:t xml:space="preserve"> </w:t>
      </w:r>
      <w:r w:rsidR="002C4997" w:rsidRPr="0060348F">
        <w:rPr>
          <w:rFonts w:ascii="Palatino Linotype" w:hAnsi="Palatino Linotype"/>
          <w:i/>
          <w:color w:val="000000" w:themeColor="text1"/>
        </w:rPr>
        <w:lastRenderedPageBreak/>
        <w:t>SAIMEX porque es mi derecho y por eso se les paga, qué no, si no pueden con el cargo entonces renuncien. No les cuesta nada hacer su trabajo como se los manda la Ley.</w:t>
      </w:r>
      <w:r w:rsidRPr="0060348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60348F"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60348F">
        <w:rPr>
          <w:rFonts w:ascii="Palatino Linotype" w:eastAsia="Calibri" w:hAnsi="Palatino Linotype" w:cs="Arial"/>
          <w:lang w:val="es-ES"/>
        </w:rPr>
        <w:t>La Comisionada</w:t>
      </w:r>
      <w:r w:rsidR="009F09BC" w:rsidRPr="0060348F">
        <w:rPr>
          <w:rFonts w:ascii="Palatino Linotype" w:eastAsia="Calibri" w:hAnsi="Palatino Linotype" w:cs="Arial"/>
          <w:lang w:val="es-ES"/>
        </w:rPr>
        <w:t xml:space="preserve"> Ponente con fundamento en lo dispuesto por el artículo 185 fracción II de la ley de la materia, a través del acuerdo de admisión de fechas </w:t>
      </w:r>
      <w:r w:rsidR="002C4997" w:rsidRPr="0060348F">
        <w:rPr>
          <w:rFonts w:ascii="Palatino Linotype" w:eastAsia="Calibri" w:hAnsi="Palatino Linotype" w:cs="Arial"/>
          <w:lang w:val="es-ES"/>
        </w:rPr>
        <w:t>veintisiete</w:t>
      </w:r>
      <w:r w:rsidR="009F09BC" w:rsidRPr="0060348F">
        <w:rPr>
          <w:rFonts w:ascii="Palatino Linotype" w:eastAsia="Calibri" w:hAnsi="Palatino Linotype" w:cs="Arial"/>
          <w:lang w:val="es-ES"/>
        </w:rPr>
        <w:t xml:space="preserve"> (</w:t>
      </w:r>
      <w:r w:rsidR="002C4997" w:rsidRPr="0060348F">
        <w:rPr>
          <w:rFonts w:ascii="Palatino Linotype" w:eastAsia="Calibri" w:hAnsi="Palatino Linotype" w:cs="Arial"/>
          <w:lang w:val="es-ES"/>
        </w:rPr>
        <w:t>27</w:t>
      </w:r>
      <w:r w:rsidR="009F09BC" w:rsidRPr="0060348F">
        <w:rPr>
          <w:rFonts w:ascii="Palatino Linotype" w:eastAsia="Calibri" w:hAnsi="Palatino Linotype" w:cs="Arial"/>
          <w:lang w:val="es-ES"/>
        </w:rPr>
        <w:t xml:space="preserve">) de </w:t>
      </w:r>
      <w:r w:rsidR="002C4997" w:rsidRPr="0060348F">
        <w:rPr>
          <w:rFonts w:ascii="Palatino Linotype" w:eastAsia="Calibri" w:hAnsi="Palatino Linotype" w:cs="Arial"/>
          <w:lang w:val="es-ES"/>
        </w:rPr>
        <w:t>ener</w:t>
      </w:r>
      <w:r w:rsidR="009F09BC" w:rsidRPr="0060348F">
        <w:rPr>
          <w:rFonts w:ascii="Palatino Linotype" w:eastAsia="Calibri" w:hAnsi="Palatino Linotype" w:cs="Arial"/>
          <w:lang w:val="es-ES"/>
        </w:rPr>
        <w:t xml:space="preserve">o del año en curso, puso a disposición de las partes el expediente electrónico </w:t>
      </w:r>
      <w:r w:rsidR="009F09BC" w:rsidRPr="0060348F">
        <w:rPr>
          <w:rFonts w:ascii="Palatino Linotype" w:eastAsia="Calibri" w:hAnsi="Palatino Linotype" w:cs="Arial"/>
        </w:rPr>
        <w:t xml:space="preserve">vía </w:t>
      </w:r>
      <w:r w:rsidR="009F09BC" w:rsidRPr="0060348F">
        <w:rPr>
          <w:rFonts w:ascii="Palatino Linotype" w:eastAsia="Calibri" w:hAnsi="Palatino Linotype" w:cs="Arial"/>
          <w:b/>
          <w:lang w:val="es-ES"/>
        </w:rPr>
        <w:t xml:space="preserve">SAIMEX </w:t>
      </w:r>
      <w:r w:rsidR="009F09BC" w:rsidRPr="0060348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0348F">
        <w:rPr>
          <w:rFonts w:ascii="Palatino Linotype" w:eastAsia="Calibri" w:hAnsi="Palatino Linotype" w:cs="Arial"/>
          <w:b/>
          <w:lang w:val="es-ES"/>
        </w:rPr>
        <w:t>SUJETO OBLIGADO</w:t>
      </w:r>
      <w:r w:rsidR="009F09BC" w:rsidRPr="0060348F">
        <w:rPr>
          <w:rFonts w:ascii="Palatino Linotype" w:eastAsia="Calibri" w:hAnsi="Palatino Linotype" w:cs="Arial"/>
          <w:lang w:val="es-ES"/>
        </w:rPr>
        <w:t xml:space="preserve"> presentará el Informe Justificado procedente.</w:t>
      </w:r>
    </w:p>
    <w:p w:rsidR="009F09BC" w:rsidRPr="0060348F" w:rsidRDefault="009F09BC" w:rsidP="009F09BC">
      <w:pPr>
        <w:pStyle w:val="Prrafodelista"/>
        <w:spacing w:before="240" w:after="240" w:line="360" w:lineRule="auto"/>
        <w:ind w:left="0"/>
        <w:jc w:val="both"/>
        <w:rPr>
          <w:rFonts w:ascii="Palatino Linotype" w:hAnsi="Palatino Linotype"/>
        </w:rPr>
      </w:pPr>
    </w:p>
    <w:p w:rsidR="009F09BC" w:rsidRPr="0060348F" w:rsidRDefault="009F09BC" w:rsidP="00CF0D2B">
      <w:pPr>
        <w:pStyle w:val="Prrafodelista"/>
        <w:numPr>
          <w:ilvl w:val="0"/>
          <w:numId w:val="15"/>
        </w:numPr>
        <w:spacing w:before="240" w:after="240" w:line="360" w:lineRule="auto"/>
        <w:ind w:left="0" w:firstLine="0"/>
        <w:jc w:val="both"/>
        <w:rPr>
          <w:rFonts w:ascii="Palatino Linotype" w:hAnsi="Palatino Linotype"/>
        </w:rPr>
      </w:pPr>
      <w:r w:rsidRPr="0060348F">
        <w:rPr>
          <w:rFonts w:ascii="Palatino Linotype" w:hAnsi="Palatino Linotype"/>
          <w:color w:val="000000"/>
        </w:rPr>
        <w:t xml:space="preserve">El </w:t>
      </w:r>
      <w:r w:rsidRPr="0060348F">
        <w:rPr>
          <w:rFonts w:ascii="Palatino Linotype" w:hAnsi="Palatino Linotype"/>
          <w:b/>
          <w:color w:val="000000"/>
        </w:rPr>
        <w:t>SUJETO OBLIGADO</w:t>
      </w:r>
      <w:r w:rsidR="007A6A1A" w:rsidRPr="0060348F">
        <w:rPr>
          <w:rFonts w:ascii="Palatino Linotype" w:hAnsi="Palatino Linotype"/>
          <w:color w:val="000000"/>
        </w:rPr>
        <w:t xml:space="preserve"> </w:t>
      </w:r>
      <w:r w:rsidR="002C4997" w:rsidRPr="0060348F">
        <w:rPr>
          <w:rFonts w:ascii="Palatino Linotype" w:hAnsi="Palatino Linotype"/>
          <w:color w:val="000000"/>
        </w:rPr>
        <w:t xml:space="preserve">fue omiso en rendir el informe justificado correspondiente. </w:t>
      </w:r>
      <w:r w:rsidRPr="0060348F">
        <w:rPr>
          <w:rFonts w:ascii="Palatino Linotype" w:hAnsi="Palatino Linotype"/>
          <w:color w:val="000000"/>
        </w:rPr>
        <w:t xml:space="preserve">Por su parte </w:t>
      </w:r>
      <w:r w:rsidRPr="0060348F">
        <w:rPr>
          <w:rFonts w:ascii="Palatino Linotype" w:hAnsi="Palatino Linotype"/>
          <w:b/>
          <w:color w:val="000000"/>
        </w:rPr>
        <w:t xml:space="preserve">EL PARTICULAR </w:t>
      </w:r>
      <w:r w:rsidRPr="0060348F">
        <w:rPr>
          <w:rFonts w:ascii="Palatino Linotype" w:hAnsi="Palatino Linotype"/>
          <w:color w:val="000000"/>
        </w:rPr>
        <w:t>dejó de realizar manifestaciones que a su derecho conviniera y asistiera.</w:t>
      </w:r>
    </w:p>
    <w:p w:rsidR="00ED6E75" w:rsidRPr="0060348F" w:rsidRDefault="00ED6E75" w:rsidP="00ED6E75">
      <w:pPr>
        <w:pStyle w:val="Prrafodelista"/>
        <w:spacing w:before="240" w:after="240" w:line="360" w:lineRule="auto"/>
        <w:ind w:left="0"/>
        <w:jc w:val="both"/>
        <w:rPr>
          <w:rFonts w:ascii="Palatino Linotype" w:hAnsi="Palatino Linotype"/>
        </w:rPr>
      </w:pPr>
    </w:p>
    <w:p w:rsidR="009F09BC" w:rsidRPr="0060348F" w:rsidRDefault="0001674C"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60348F">
        <w:rPr>
          <w:rFonts w:ascii="Palatino Linotype" w:hAnsi="Palatino Linotype"/>
        </w:rPr>
        <w:t xml:space="preserve">El </w:t>
      </w:r>
      <w:r w:rsidR="00425842" w:rsidRPr="0060348F">
        <w:rPr>
          <w:rFonts w:ascii="Palatino Linotype" w:hAnsi="Palatino Linotype"/>
        </w:rPr>
        <w:t>veintiuno</w:t>
      </w:r>
      <w:r w:rsidRPr="0060348F">
        <w:rPr>
          <w:rFonts w:ascii="Palatino Linotype" w:hAnsi="Palatino Linotype"/>
        </w:rPr>
        <w:t xml:space="preserve"> (</w:t>
      </w:r>
      <w:r w:rsidR="00425842" w:rsidRPr="0060348F">
        <w:rPr>
          <w:rFonts w:ascii="Palatino Linotype" w:hAnsi="Palatino Linotype"/>
        </w:rPr>
        <w:t>2</w:t>
      </w:r>
      <w:r w:rsidRPr="0060348F">
        <w:rPr>
          <w:rFonts w:ascii="Palatino Linotype" w:hAnsi="Palatino Linotype"/>
        </w:rPr>
        <w:t xml:space="preserve">1) de </w:t>
      </w:r>
      <w:r w:rsidR="00425842" w:rsidRPr="0060348F">
        <w:rPr>
          <w:rFonts w:ascii="Palatino Linotype" w:hAnsi="Palatino Linotype"/>
        </w:rPr>
        <w:t>febrer</w:t>
      </w:r>
      <w:r w:rsidRPr="0060348F">
        <w:rPr>
          <w:rFonts w:ascii="Palatino Linotype" w:hAnsi="Palatino Linotype"/>
        </w:rPr>
        <w:t xml:space="preserve">o del año en curso, se decretó el cierre de instrucción; posteriormente se amplió el termino para resolver mediante Acuerdo de fecha </w:t>
      </w:r>
      <w:r w:rsidR="00425842" w:rsidRPr="0060348F">
        <w:rPr>
          <w:rFonts w:ascii="Palatino Linotype" w:hAnsi="Palatino Linotype"/>
        </w:rPr>
        <w:t>cinco (05</w:t>
      </w:r>
      <w:r w:rsidRPr="0060348F">
        <w:rPr>
          <w:rFonts w:ascii="Palatino Linotype" w:hAnsi="Palatino Linotype"/>
        </w:rPr>
        <w:t xml:space="preserve">) de </w:t>
      </w:r>
      <w:r w:rsidR="00425842" w:rsidRPr="0060348F">
        <w:rPr>
          <w:rFonts w:ascii="Palatino Linotype" w:hAnsi="Palatino Linotype"/>
        </w:rPr>
        <w:t>abril</w:t>
      </w:r>
      <w:r w:rsidRPr="0060348F">
        <w:rPr>
          <w:rFonts w:ascii="Palatino Linotype" w:hAnsi="Palatino Linotype"/>
        </w:rPr>
        <w:t xml:space="preserve"> de dos mil </w:t>
      </w:r>
      <w:r w:rsidR="00425842" w:rsidRPr="0060348F">
        <w:rPr>
          <w:rFonts w:ascii="Palatino Linotype" w:hAnsi="Palatino Linotype"/>
        </w:rPr>
        <w:t>veintidós</w:t>
      </w:r>
      <w:r w:rsidRPr="0060348F">
        <w:rPr>
          <w:rFonts w:ascii="Palatino Linotype" w:hAnsi="Palatino Linotype"/>
        </w:rPr>
        <w:t xml:space="preserve">, </w:t>
      </w:r>
      <w:r w:rsidR="009F09BC" w:rsidRPr="0060348F">
        <w:rPr>
          <w:rFonts w:ascii="Palatino Linotype" w:hAnsi="Palatino Linotype" w:cs="Arial"/>
        </w:rPr>
        <w:t>por lo que no habiendo más que hacer constar, y --------------------------</w:t>
      </w:r>
      <w:r w:rsidRPr="0060348F">
        <w:rPr>
          <w:rFonts w:ascii="Palatino Linotype" w:hAnsi="Palatino Linotype" w:cs="Arial"/>
        </w:rPr>
        <w:t>----------------------------------</w:t>
      </w:r>
      <w:r w:rsidR="00425842" w:rsidRPr="0060348F">
        <w:rPr>
          <w:rFonts w:ascii="Palatino Linotype" w:hAnsi="Palatino Linotype" w:cs="Arial"/>
        </w:rPr>
        <w:t>-----------------------------</w:t>
      </w:r>
    </w:p>
    <w:p w:rsidR="009F09BC" w:rsidRPr="0060348F"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60348F">
        <w:rPr>
          <w:rFonts w:ascii="Palatino Linotype" w:hAnsi="Palatino Linotype"/>
          <w:b/>
          <w:color w:val="000000" w:themeColor="text1"/>
          <w:sz w:val="24"/>
          <w:szCs w:val="24"/>
        </w:rPr>
        <w:t>CONSIDERANDO</w:t>
      </w:r>
      <w:bookmarkEnd w:id="133"/>
      <w:bookmarkEnd w:id="134"/>
    </w:p>
    <w:p w:rsidR="009F09BC" w:rsidRPr="0060348F" w:rsidRDefault="009F09BC" w:rsidP="009F09BC">
      <w:pPr>
        <w:rPr>
          <w:rFonts w:ascii="Palatino Linotype" w:hAnsi="Palatino Linotype"/>
          <w:lang w:val="es-MX" w:eastAsia="en-US"/>
        </w:rPr>
      </w:pPr>
    </w:p>
    <w:p w:rsidR="009F09BC" w:rsidRPr="0060348F" w:rsidRDefault="009F09BC" w:rsidP="009F09BC">
      <w:pPr>
        <w:pStyle w:val="Ttulo2"/>
        <w:rPr>
          <w:rFonts w:ascii="Palatino Linotype" w:hAnsi="Palatino Linotype"/>
          <w:b/>
          <w:color w:val="auto"/>
          <w:sz w:val="24"/>
          <w:szCs w:val="24"/>
        </w:rPr>
      </w:pPr>
      <w:bookmarkStart w:id="135" w:name="_Toc491791303"/>
      <w:bookmarkStart w:id="136" w:name="_Toc83128579"/>
      <w:r w:rsidRPr="0060348F">
        <w:rPr>
          <w:rFonts w:ascii="Palatino Linotype" w:hAnsi="Palatino Linotype"/>
          <w:b/>
          <w:color w:val="auto"/>
          <w:sz w:val="24"/>
          <w:szCs w:val="24"/>
        </w:rPr>
        <w:t>PRIMERO. De la competencia</w:t>
      </w:r>
      <w:bookmarkEnd w:id="135"/>
      <w:bookmarkEnd w:id="136"/>
    </w:p>
    <w:p w:rsidR="009F09BC" w:rsidRPr="0060348F" w:rsidRDefault="009F09BC" w:rsidP="009F09BC">
      <w:pPr>
        <w:rPr>
          <w:rFonts w:ascii="Palatino Linotype" w:hAnsi="Palatino Linotype"/>
          <w:lang w:val="es-MX" w:eastAsia="en-US"/>
        </w:rPr>
      </w:pPr>
    </w:p>
    <w:p w:rsidR="00353F1D" w:rsidRPr="0060348F"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60348F">
        <w:rPr>
          <w:rFonts w:ascii="Palatino Linotype" w:hAnsi="Palatino Linotype"/>
          <w:color w:val="000000" w:themeColor="text1"/>
        </w:rPr>
        <w:t xml:space="preserve">El </w:t>
      </w:r>
      <w:r w:rsidRPr="0060348F">
        <w:rPr>
          <w:rFonts w:ascii="Palatino Linotype" w:hAnsi="Palatino Linotype"/>
        </w:rPr>
        <w:t>Instituto</w:t>
      </w:r>
      <w:r w:rsidRPr="0060348F">
        <w:rPr>
          <w:rFonts w:ascii="Palatino Linotype" w:hAnsi="Palatino Linotype"/>
          <w:color w:val="000000" w:themeColor="text1"/>
        </w:rPr>
        <w:t xml:space="preserve"> de Transparencia, Acceso a la Información Pública y Protección de Datos Personales del Estado de México y Municipios, es competente para conocer </w:t>
      </w:r>
      <w:r w:rsidRPr="0060348F">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60348F"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60348F" w:rsidRDefault="009F09BC" w:rsidP="009F09BC">
      <w:pPr>
        <w:pStyle w:val="Ttulo2"/>
        <w:rPr>
          <w:rFonts w:ascii="Palatino Linotype" w:hAnsi="Palatino Linotype"/>
          <w:b/>
          <w:color w:val="auto"/>
          <w:sz w:val="24"/>
          <w:szCs w:val="24"/>
        </w:rPr>
      </w:pPr>
      <w:bookmarkStart w:id="137" w:name="_Toc491791304"/>
      <w:bookmarkStart w:id="138" w:name="_Toc83128580"/>
      <w:r w:rsidRPr="0060348F">
        <w:rPr>
          <w:rFonts w:ascii="Palatino Linotype" w:hAnsi="Palatino Linotype"/>
          <w:b/>
          <w:color w:val="auto"/>
          <w:sz w:val="24"/>
          <w:szCs w:val="24"/>
        </w:rPr>
        <w:t>SEGUNDO. De la oportunidad y procedencia.</w:t>
      </w:r>
      <w:bookmarkEnd w:id="137"/>
      <w:bookmarkEnd w:id="138"/>
    </w:p>
    <w:p w:rsidR="009F09BC" w:rsidRPr="0060348F" w:rsidRDefault="009F09BC" w:rsidP="009F09BC">
      <w:pPr>
        <w:rPr>
          <w:lang w:val="es-MX" w:eastAsia="en-US"/>
        </w:rPr>
      </w:pPr>
    </w:p>
    <w:p w:rsidR="009F09BC" w:rsidRPr="0060348F" w:rsidRDefault="00425842" w:rsidP="009F09BC">
      <w:pPr>
        <w:pStyle w:val="Prrafodelista"/>
        <w:numPr>
          <w:ilvl w:val="0"/>
          <w:numId w:val="15"/>
        </w:numPr>
        <w:spacing w:line="360" w:lineRule="auto"/>
        <w:ind w:left="0" w:firstLine="0"/>
        <w:jc w:val="both"/>
        <w:rPr>
          <w:rFonts w:ascii="Palatino Linotype" w:hAnsi="Palatino Linotype"/>
        </w:rPr>
      </w:pPr>
      <w:r w:rsidRPr="0060348F">
        <w:rPr>
          <w:rFonts w:ascii="Palatino Linotype" w:eastAsia="Calibri" w:hAnsi="Palatino Linotype" w:cs="Arial"/>
        </w:rPr>
        <w:t>El</w:t>
      </w:r>
      <w:r w:rsidR="00AD63B4" w:rsidRPr="0060348F">
        <w:rPr>
          <w:rFonts w:ascii="Palatino Linotype" w:eastAsia="Calibri" w:hAnsi="Palatino Linotype" w:cs="Arial"/>
        </w:rPr>
        <w:t xml:space="preserve"> </w:t>
      </w:r>
      <w:r w:rsidR="009F09BC" w:rsidRPr="0060348F">
        <w:rPr>
          <w:rFonts w:ascii="Palatino Linotype" w:eastAsia="Calibri" w:hAnsi="Palatino Linotype" w:cs="Arial"/>
        </w:rPr>
        <w:t xml:space="preserve">medio de impugnación fue presentado a través del </w:t>
      </w:r>
      <w:r w:rsidR="009F09BC" w:rsidRPr="0060348F">
        <w:rPr>
          <w:rFonts w:ascii="Palatino Linotype" w:eastAsia="Calibri" w:hAnsi="Palatino Linotype" w:cs="Arial"/>
          <w:b/>
        </w:rPr>
        <w:t>SAIMEX,</w:t>
      </w:r>
      <w:r w:rsidR="009F09BC" w:rsidRPr="0060348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60348F">
        <w:rPr>
          <w:rFonts w:ascii="Palatino Linotype" w:eastAsia="Calibri" w:hAnsi="Palatino Linotype" w:cs="Arial"/>
          <w:b/>
        </w:rPr>
        <w:t>SUJETO OBLIGADO</w:t>
      </w:r>
      <w:r w:rsidRPr="0060348F">
        <w:rPr>
          <w:rFonts w:ascii="Palatino Linotype" w:eastAsia="Calibri" w:hAnsi="Palatino Linotype" w:cs="Arial"/>
        </w:rPr>
        <w:t xml:space="preserve"> entregó su</w:t>
      </w:r>
      <w:r w:rsidR="009F09BC" w:rsidRPr="0060348F">
        <w:rPr>
          <w:rFonts w:ascii="Palatino Linotype" w:eastAsia="Calibri" w:hAnsi="Palatino Linotype" w:cs="Arial"/>
        </w:rPr>
        <w:t xml:space="preserve"> respuesta </w:t>
      </w:r>
      <w:r w:rsidRPr="0060348F">
        <w:rPr>
          <w:rFonts w:ascii="Palatino Linotype" w:eastAsia="Calibri" w:hAnsi="Palatino Linotype" w:cs="Arial"/>
        </w:rPr>
        <w:t>e</w:t>
      </w:r>
      <w:r w:rsidR="009F09BC" w:rsidRPr="0060348F">
        <w:rPr>
          <w:rFonts w:ascii="Palatino Linotype" w:eastAsia="Calibri" w:hAnsi="Palatino Linotype" w:cs="Arial"/>
        </w:rPr>
        <w:t>l d</w:t>
      </w:r>
      <w:r w:rsidRPr="0060348F">
        <w:rPr>
          <w:rFonts w:ascii="Palatino Linotype" w:eastAsia="Calibri" w:hAnsi="Palatino Linotype" w:cs="Arial"/>
        </w:rPr>
        <w:t>iecisiete (17</w:t>
      </w:r>
      <w:r w:rsidR="009F09BC" w:rsidRPr="0060348F">
        <w:rPr>
          <w:rFonts w:ascii="Palatino Linotype" w:eastAsia="Calibri" w:hAnsi="Palatino Linotype" w:cs="Arial"/>
        </w:rPr>
        <w:t xml:space="preserve">) de </w:t>
      </w:r>
      <w:r w:rsidRPr="0060348F">
        <w:rPr>
          <w:rFonts w:ascii="Palatino Linotype" w:eastAsia="Calibri" w:hAnsi="Palatino Linotype" w:cs="Arial"/>
        </w:rPr>
        <w:t>enero de dos mil veintidós</w:t>
      </w:r>
      <w:r w:rsidR="009F09BC" w:rsidRPr="0060348F">
        <w:rPr>
          <w:rFonts w:ascii="Palatino Linotype" w:eastAsia="Calibri" w:hAnsi="Palatino Linotype" w:cs="Arial"/>
        </w:rPr>
        <w:t xml:space="preserve">, </w:t>
      </w:r>
      <w:r w:rsidR="009F09BC" w:rsidRPr="0060348F">
        <w:rPr>
          <w:rFonts w:ascii="Palatino Linotype" w:hAnsi="Palatino Linotype" w:cs="Arial"/>
        </w:rPr>
        <w:t xml:space="preserve">de tal forma que </w:t>
      </w:r>
      <w:r w:rsidRPr="0060348F">
        <w:rPr>
          <w:rFonts w:ascii="Palatino Linotype" w:hAnsi="Palatino Linotype" w:cs="Arial"/>
        </w:rPr>
        <w:t>e</w:t>
      </w:r>
      <w:r w:rsidR="009F09BC" w:rsidRPr="0060348F">
        <w:rPr>
          <w:rFonts w:ascii="Palatino Linotype" w:hAnsi="Palatino Linotype" w:cs="Arial"/>
        </w:rPr>
        <w:t xml:space="preserve">l plazo para interponer </w:t>
      </w:r>
      <w:r w:rsidRPr="0060348F">
        <w:rPr>
          <w:rFonts w:ascii="Palatino Linotype" w:hAnsi="Palatino Linotype" w:cs="Arial"/>
        </w:rPr>
        <w:t>e</w:t>
      </w:r>
      <w:r w:rsidR="009F09BC" w:rsidRPr="0060348F">
        <w:rPr>
          <w:rFonts w:ascii="Palatino Linotype" w:hAnsi="Palatino Linotype" w:cs="Arial"/>
        </w:rPr>
        <w:t xml:space="preserve">l recurso de revisión </w:t>
      </w:r>
      <w:r w:rsidRPr="0060348F">
        <w:rPr>
          <w:rFonts w:ascii="Palatino Linotype" w:hAnsi="Palatino Linotype" w:cs="Arial"/>
        </w:rPr>
        <w:t>transcurrió</w:t>
      </w:r>
      <w:r w:rsidR="009F09BC" w:rsidRPr="0060348F">
        <w:rPr>
          <w:rFonts w:ascii="Palatino Linotype" w:hAnsi="Palatino Linotype" w:cs="Arial"/>
        </w:rPr>
        <w:t xml:space="preserve"> del día </w:t>
      </w:r>
      <w:r w:rsidRPr="0060348F">
        <w:rPr>
          <w:rFonts w:ascii="Palatino Linotype" w:hAnsi="Palatino Linotype" w:cs="Arial"/>
        </w:rPr>
        <w:t>dieciocho (18</w:t>
      </w:r>
      <w:r w:rsidR="009F09BC" w:rsidRPr="0060348F">
        <w:rPr>
          <w:rFonts w:ascii="Palatino Linotype" w:hAnsi="Palatino Linotype" w:cs="Arial"/>
        </w:rPr>
        <w:t xml:space="preserve">) de </w:t>
      </w:r>
      <w:r w:rsidRPr="0060348F">
        <w:rPr>
          <w:rFonts w:ascii="Palatino Linotype" w:hAnsi="Palatino Linotype" w:cs="Arial"/>
        </w:rPr>
        <w:t>enero</w:t>
      </w:r>
      <w:r w:rsidR="009F09BC" w:rsidRPr="0060348F">
        <w:rPr>
          <w:rFonts w:ascii="Palatino Linotype" w:hAnsi="Palatino Linotype" w:cs="Arial"/>
        </w:rPr>
        <w:t xml:space="preserve"> al o</w:t>
      </w:r>
      <w:r w:rsidRPr="0060348F">
        <w:rPr>
          <w:rFonts w:ascii="Palatino Linotype" w:hAnsi="Palatino Linotype" w:cs="Arial"/>
        </w:rPr>
        <w:t>cho</w:t>
      </w:r>
      <w:r w:rsidR="009F09BC" w:rsidRPr="0060348F">
        <w:rPr>
          <w:rFonts w:ascii="Palatino Linotype" w:hAnsi="Palatino Linotype" w:cs="Arial"/>
        </w:rPr>
        <w:t xml:space="preserve"> (</w:t>
      </w:r>
      <w:r w:rsidRPr="0060348F">
        <w:rPr>
          <w:rFonts w:ascii="Palatino Linotype" w:hAnsi="Palatino Linotype" w:cs="Arial"/>
        </w:rPr>
        <w:t>08</w:t>
      </w:r>
      <w:r w:rsidR="009F09BC" w:rsidRPr="0060348F">
        <w:rPr>
          <w:rFonts w:ascii="Palatino Linotype" w:hAnsi="Palatino Linotype" w:cs="Arial"/>
        </w:rPr>
        <w:t>)</w:t>
      </w:r>
      <w:r w:rsidR="0001674C" w:rsidRPr="0060348F">
        <w:rPr>
          <w:rFonts w:ascii="Palatino Linotype" w:hAnsi="Palatino Linotype" w:cs="Arial"/>
        </w:rPr>
        <w:t xml:space="preserve"> de </w:t>
      </w:r>
      <w:r w:rsidRPr="0060348F">
        <w:rPr>
          <w:rFonts w:ascii="Palatino Linotype" w:hAnsi="Palatino Linotype" w:cs="Arial"/>
        </w:rPr>
        <w:t>febrero</w:t>
      </w:r>
      <w:r w:rsidR="0001674C" w:rsidRPr="0060348F">
        <w:rPr>
          <w:rFonts w:ascii="Palatino Linotype" w:hAnsi="Palatino Linotype" w:cs="Arial"/>
        </w:rPr>
        <w:t xml:space="preserve"> de dos mil </w:t>
      </w:r>
      <w:r w:rsidRPr="0060348F">
        <w:rPr>
          <w:rFonts w:ascii="Palatino Linotype" w:hAnsi="Palatino Linotype" w:cs="Arial"/>
        </w:rPr>
        <w:t>veintidós</w:t>
      </w:r>
      <w:r w:rsidR="0001674C" w:rsidRPr="0060348F">
        <w:rPr>
          <w:rFonts w:ascii="Palatino Linotype" w:hAnsi="Palatino Linotype" w:cs="Arial"/>
        </w:rPr>
        <w:t>; e</w:t>
      </w:r>
      <w:r w:rsidR="009F09BC" w:rsidRPr="0060348F">
        <w:rPr>
          <w:rFonts w:ascii="Palatino Linotype" w:hAnsi="Palatino Linotype" w:cs="Arial"/>
        </w:rPr>
        <w:t xml:space="preserve">n consecuencia, el ahora </w:t>
      </w:r>
      <w:r w:rsidR="009F09BC" w:rsidRPr="0060348F">
        <w:rPr>
          <w:rFonts w:ascii="Palatino Linotype" w:hAnsi="Palatino Linotype" w:cs="Arial"/>
          <w:b/>
        </w:rPr>
        <w:t>RECURRENTE</w:t>
      </w:r>
      <w:r w:rsidR="009F09BC" w:rsidRPr="0060348F">
        <w:rPr>
          <w:rFonts w:ascii="Palatino Linotype" w:hAnsi="Palatino Linotype" w:cs="Arial"/>
        </w:rPr>
        <w:t xml:space="preserve"> presentó </w:t>
      </w:r>
      <w:r w:rsidR="00CA1063" w:rsidRPr="0060348F">
        <w:rPr>
          <w:rFonts w:ascii="Palatino Linotype" w:hAnsi="Palatino Linotype" w:cs="Arial"/>
        </w:rPr>
        <w:t xml:space="preserve">su inconformidad el día </w:t>
      </w:r>
      <w:r w:rsidRPr="0060348F">
        <w:rPr>
          <w:rFonts w:ascii="Palatino Linotype" w:hAnsi="Palatino Linotype" w:cs="Arial"/>
        </w:rPr>
        <w:t>veinticuatro</w:t>
      </w:r>
      <w:r w:rsidR="009F09BC" w:rsidRPr="0060348F">
        <w:rPr>
          <w:rFonts w:ascii="Palatino Linotype" w:hAnsi="Palatino Linotype" w:cs="Arial"/>
        </w:rPr>
        <w:t xml:space="preserve"> (</w:t>
      </w:r>
      <w:r w:rsidRPr="0060348F">
        <w:rPr>
          <w:rFonts w:ascii="Palatino Linotype" w:hAnsi="Palatino Linotype" w:cs="Arial"/>
        </w:rPr>
        <w:t>24</w:t>
      </w:r>
      <w:r w:rsidR="009F09BC" w:rsidRPr="0060348F">
        <w:rPr>
          <w:rFonts w:ascii="Palatino Linotype" w:hAnsi="Palatino Linotype" w:cs="Arial"/>
        </w:rPr>
        <w:t xml:space="preserve">) de </w:t>
      </w:r>
      <w:r w:rsidRPr="0060348F">
        <w:rPr>
          <w:rFonts w:ascii="Palatino Linotype" w:hAnsi="Palatino Linotype" w:cs="Arial"/>
        </w:rPr>
        <w:t xml:space="preserve">enero de dos mil veintidós, toda vez que el veintidós (22) del mismo mes y año, fecha en se materializo </w:t>
      </w:r>
      <w:r w:rsidR="00CF0D2B" w:rsidRPr="0060348F">
        <w:rPr>
          <w:rFonts w:ascii="Palatino Linotype" w:hAnsi="Palatino Linotype" w:cs="Arial"/>
        </w:rPr>
        <w:t>fue inhábil</w:t>
      </w:r>
      <w:r w:rsidR="009F09BC" w:rsidRPr="0060348F">
        <w:rPr>
          <w:rFonts w:ascii="Palatino Linotype" w:hAnsi="Palatino Linotype" w:cs="Arial"/>
        </w:rPr>
        <w:t>; por lo que el medio de impugnación se encuentran dentro del lapso legalmente establecido para tal efecto.</w:t>
      </w:r>
    </w:p>
    <w:p w:rsidR="009F09BC" w:rsidRPr="0060348F" w:rsidRDefault="009F09BC" w:rsidP="009F09BC">
      <w:pPr>
        <w:pStyle w:val="Prrafodelista"/>
        <w:rPr>
          <w:rFonts w:ascii="Palatino Linotype" w:hAnsi="Palatino Linotype"/>
        </w:rPr>
      </w:pPr>
    </w:p>
    <w:p w:rsidR="009F09BC" w:rsidRPr="0060348F" w:rsidRDefault="009F09BC" w:rsidP="00CF0D2B">
      <w:pPr>
        <w:pStyle w:val="Prrafodelista"/>
        <w:numPr>
          <w:ilvl w:val="0"/>
          <w:numId w:val="15"/>
        </w:numPr>
        <w:spacing w:line="360" w:lineRule="auto"/>
        <w:ind w:left="0" w:firstLine="0"/>
        <w:jc w:val="both"/>
        <w:rPr>
          <w:rFonts w:ascii="Palatino Linotype" w:hAnsi="Palatino Linotype"/>
        </w:rPr>
      </w:pPr>
      <w:r w:rsidRPr="0060348F">
        <w:rPr>
          <w:rFonts w:ascii="Palatino Linotype" w:eastAsia="Calibri" w:hAnsi="Palatino Linotype" w:cs="Arial"/>
        </w:rPr>
        <w:lastRenderedPageBreak/>
        <w:t xml:space="preserve">Asimismo, </w:t>
      </w:r>
      <w:r w:rsidR="00CF0D2B" w:rsidRPr="0060348F">
        <w:rPr>
          <w:rFonts w:ascii="Palatino Linotype" w:eastAsia="Calibri" w:hAnsi="Palatino Linotype" w:cs="Arial"/>
        </w:rPr>
        <w:t>e</w:t>
      </w:r>
      <w:r w:rsidRPr="0060348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60348F" w:rsidRDefault="00CF0D2B" w:rsidP="00CF0D2B">
      <w:pPr>
        <w:pStyle w:val="Prrafodelista"/>
        <w:rPr>
          <w:rFonts w:ascii="Palatino Linotype" w:hAnsi="Palatino Linotype"/>
        </w:rPr>
      </w:pPr>
    </w:p>
    <w:p w:rsidR="009F09BC" w:rsidRPr="0060348F"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60348F">
        <w:rPr>
          <w:rFonts w:ascii="Palatino Linotype" w:hAnsi="Palatino Linotype"/>
          <w:b/>
          <w:color w:val="000000" w:themeColor="text1"/>
          <w:sz w:val="24"/>
          <w:szCs w:val="24"/>
        </w:rPr>
        <w:t xml:space="preserve">TERCERO. </w:t>
      </w:r>
      <w:bookmarkStart w:id="143" w:name="_Toc501021589"/>
      <w:r w:rsidRPr="0060348F">
        <w:rPr>
          <w:rFonts w:ascii="Palatino Linotype" w:hAnsi="Palatino Linotype"/>
          <w:b/>
          <w:color w:val="000000" w:themeColor="text1"/>
          <w:sz w:val="24"/>
          <w:szCs w:val="24"/>
        </w:rPr>
        <w:t xml:space="preserve">Del planteamiento de la </w:t>
      </w:r>
      <w:r w:rsidRPr="0060348F">
        <w:rPr>
          <w:rFonts w:ascii="Palatino Linotype" w:hAnsi="Palatino Linotype"/>
          <w:b/>
          <w:i/>
          <w:color w:val="000000" w:themeColor="text1"/>
          <w:sz w:val="24"/>
          <w:szCs w:val="24"/>
        </w:rPr>
        <w:t>Litis</w:t>
      </w:r>
      <w:r w:rsidRPr="0060348F">
        <w:rPr>
          <w:rFonts w:ascii="Palatino Linotype" w:hAnsi="Palatino Linotype"/>
          <w:b/>
          <w:color w:val="000000" w:themeColor="text1"/>
          <w:sz w:val="24"/>
          <w:szCs w:val="24"/>
        </w:rPr>
        <w:t>.</w:t>
      </w:r>
      <w:bookmarkEnd w:id="139"/>
      <w:bookmarkEnd w:id="140"/>
      <w:bookmarkEnd w:id="141"/>
      <w:bookmarkEnd w:id="142"/>
      <w:bookmarkEnd w:id="143"/>
    </w:p>
    <w:p w:rsidR="009F09BC" w:rsidRPr="0060348F" w:rsidRDefault="009F09BC" w:rsidP="009F09BC">
      <w:pPr>
        <w:rPr>
          <w:lang w:val="es-MX" w:eastAsia="en-US"/>
        </w:rPr>
      </w:pPr>
    </w:p>
    <w:p w:rsidR="009F09BC" w:rsidRPr="0060348F" w:rsidRDefault="009F09BC" w:rsidP="009F09BC">
      <w:pPr>
        <w:pStyle w:val="Prrafodelista"/>
        <w:numPr>
          <w:ilvl w:val="0"/>
          <w:numId w:val="15"/>
        </w:numPr>
        <w:spacing w:line="360" w:lineRule="auto"/>
        <w:ind w:left="0" w:firstLine="0"/>
        <w:jc w:val="both"/>
        <w:rPr>
          <w:rFonts w:ascii="Palatino Linotype" w:hAnsi="Palatino Linotype" w:cs="Arial"/>
        </w:rPr>
      </w:pPr>
      <w:r w:rsidRPr="0060348F">
        <w:rPr>
          <w:rFonts w:ascii="Palatino Linotype" w:hAnsi="Palatino Linotype" w:cs="Arial"/>
        </w:rPr>
        <w:t xml:space="preserve">Se </w:t>
      </w:r>
      <w:r w:rsidRPr="0060348F">
        <w:rPr>
          <w:rFonts w:ascii="Palatino Linotype" w:eastAsia="Calibri" w:hAnsi="Palatino Linotype" w:cs="Arial"/>
        </w:rPr>
        <w:t>solicitó</w:t>
      </w:r>
      <w:r w:rsidRPr="0060348F">
        <w:rPr>
          <w:rFonts w:ascii="Palatino Linotype" w:hAnsi="Palatino Linotype" w:cs="Arial"/>
        </w:rPr>
        <w:t xml:space="preserve"> </w:t>
      </w:r>
      <w:r w:rsidR="00AD63B4" w:rsidRPr="0060348F">
        <w:rPr>
          <w:rFonts w:ascii="Palatino Linotype" w:hAnsi="Palatino Linotype" w:cs="Arial"/>
        </w:rPr>
        <w:t xml:space="preserve">tener acceso, a la </w:t>
      </w:r>
      <w:r w:rsidRPr="0060348F">
        <w:rPr>
          <w:rFonts w:ascii="Palatino Linotype" w:hAnsi="Palatino Linotype" w:cs="Arial"/>
        </w:rPr>
        <w:t>información que a continuación se desagrega:</w:t>
      </w:r>
    </w:p>
    <w:p w:rsidR="009F09BC" w:rsidRPr="0060348F" w:rsidRDefault="009F09BC" w:rsidP="009F09BC">
      <w:pPr>
        <w:pStyle w:val="Prrafodelista"/>
        <w:spacing w:line="360" w:lineRule="auto"/>
        <w:ind w:left="0"/>
        <w:jc w:val="both"/>
        <w:rPr>
          <w:rFonts w:ascii="Palatino Linotype" w:hAnsi="Palatino Linotype" w:cs="Arial"/>
        </w:rPr>
      </w:pPr>
    </w:p>
    <w:p w:rsidR="00CF0D2B" w:rsidRPr="0060348F" w:rsidRDefault="00CF0D2B" w:rsidP="00CF0D2B">
      <w:pPr>
        <w:pStyle w:val="Prrafodelista"/>
        <w:numPr>
          <w:ilvl w:val="1"/>
          <w:numId w:val="27"/>
        </w:numPr>
        <w:spacing w:line="360" w:lineRule="auto"/>
        <w:ind w:left="709"/>
        <w:jc w:val="both"/>
        <w:rPr>
          <w:rFonts w:ascii="Palatino Linotype" w:hAnsi="Palatino Linotype" w:cs="Arial"/>
          <w:b/>
        </w:rPr>
      </w:pPr>
      <w:r w:rsidRPr="0060348F">
        <w:rPr>
          <w:rFonts w:ascii="Palatino Linotype" w:hAnsi="Palatino Linotype" w:cs="Arial"/>
          <w:b/>
        </w:rPr>
        <w:t>Nombre, cargo y adscripción del personal por contrato del año 2021; y</w:t>
      </w:r>
    </w:p>
    <w:p w:rsidR="009F09BC" w:rsidRPr="0060348F" w:rsidRDefault="00CF0D2B" w:rsidP="00CF0D2B">
      <w:pPr>
        <w:pStyle w:val="Prrafodelista"/>
        <w:numPr>
          <w:ilvl w:val="1"/>
          <w:numId w:val="27"/>
        </w:numPr>
        <w:spacing w:line="360" w:lineRule="auto"/>
        <w:ind w:left="709"/>
        <w:jc w:val="both"/>
        <w:rPr>
          <w:rFonts w:ascii="Palatino Linotype" w:hAnsi="Palatino Linotype" w:cs="Arial"/>
          <w:b/>
        </w:rPr>
      </w:pPr>
      <w:r w:rsidRPr="0060348F">
        <w:rPr>
          <w:rFonts w:ascii="Palatino Linotype" w:hAnsi="Palatino Linotype" w:cs="Arial"/>
          <w:b/>
        </w:rPr>
        <w:t>Contrato y oficios de autorización de contratación emitidos por el Subsecretario de Administración de los años 2021 y 2022.</w:t>
      </w:r>
    </w:p>
    <w:p w:rsidR="009F09BC" w:rsidRPr="0060348F" w:rsidRDefault="009F09BC" w:rsidP="009F09BC">
      <w:pPr>
        <w:pStyle w:val="Prrafodelista"/>
        <w:spacing w:line="360" w:lineRule="auto"/>
        <w:ind w:left="0"/>
        <w:jc w:val="both"/>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b/>
        </w:rPr>
        <w:t xml:space="preserve">EL PARTICULAR </w:t>
      </w:r>
      <w:r w:rsidRPr="0060348F">
        <w:rPr>
          <w:rFonts w:ascii="Palatino Linotype" w:hAnsi="Palatino Linotype" w:cs="Arial"/>
        </w:rPr>
        <w:t xml:space="preserve">inconforme con la respuesta, expuso </w:t>
      </w:r>
      <w:r w:rsidR="00CF0D2B" w:rsidRPr="0060348F">
        <w:rPr>
          <w:rFonts w:ascii="Palatino Linotype" w:hAnsi="Palatino Linotype" w:cs="Arial"/>
          <w:i/>
        </w:rPr>
        <w:t>grosso modo</w:t>
      </w:r>
      <w:r w:rsidR="00CF0D2B" w:rsidRPr="0060348F">
        <w:rPr>
          <w:rFonts w:ascii="Palatino Linotype" w:hAnsi="Palatino Linotype" w:cs="Arial"/>
        </w:rPr>
        <w:t xml:space="preserve"> </w:t>
      </w:r>
      <w:r w:rsidRPr="0060348F">
        <w:rPr>
          <w:rFonts w:ascii="Palatino Linotype" w:hAnsi="Palatino Linotype" w:cs="Arial"/>
        </w:rPr>
        <w:t>su desacuerdo con el cambio de modalidad a consulta directa.</w:t>
      </w:r>
    </w:p>
    <w:p w:rsidR="009F09BC" w:rsidRPr="0060348F" w:rsidRDefault="009F09BC" w:rsidP="009F09BC">
      <w:pPr>
        <w:pStyle w:val="Prrafodelista"/>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En </w:t>
      </w:r>
      <w:r w:rsidRPr="0060348F">
        <w:rPr>
          <w:rFonts w:ascii="Palatino Linotype" w:hAnsi="Palatino Linotype" w:cs="Arial"/>
          <w:lang w:eastAsia="es-MX"/>
        </w:rPr>
        <w:t>dichas</w:t>
      </w:r>
      <w:r w:rsidRPr="0060348F">
        <w:rPr>
          <w:rFonts w:ascii="Palatino Linotype" w:eastAsia="Times New Roman" w:hAnsi="Palatino Linotype" w:cs="Arial"/>
        </w:rPr>
        <w:t xml:space="preserve"> condiciones, la </w:t>
      </w:r>
      <w:r w:rsidRPr="0060348F">
        <w:rPr>
          <w:rFonts w:ascii="Palatino Linotype" w:eastAsia="Times New Roman" w:hAnsi="Palatino Linotype" w:cs="Arial"/>
          <w:i/>
        </w:rPr>
        <w:t>Litis</w:t>
      </w:r>
      <w:r w:rsidRPr="0060348F">
        <w:rPr>
          <w:rFonts w:ascii="Palatino Linotype" w:eastAsia="Times New Roman" w:hAnsi="Palatino Linotype" w:cs="Arial"/>
        </w:rPr>
        <w:t xml:space="preserve"> a resolver en este recurso se circunscribe a determinar si </w:t>
      </w:r>
      <w:r w:rsidRPr="0060348F">
        <w:rPr>
          <w:rFonts w:ascii="Palatino Linotype" w:eastAsia="MS Mincho" w:hAnsi="Palatino Linotype" w:cs="Arial"/>
        </w:rPr>
        <w:t xml:space="preserve">se actualizan la causales de procedencia prevista en el artículo 179, fracción VIII de la </w:t>
      </w:r>
      <w:r w:rsidRPr="0060348F">
        <w:rPr>
          <w:rFonts w:ascii="Palatino Linotype" w:eastAsia="MS Mincho" w:hAnsi="Palatino Linotype" w:cs="Arial"/>
          <w:b/>
        </w:rPr>
        <w:t>Ley de Transparencia y Acceso a la Información Pública del Estado de México y Municipios</w:t>
      </w:r>
      <w:r w:rsidRPr="0060348F">
        <w:rPr>
          <w:rFonts w:ascii="Palatino Linotype" w:eastAsia="MS Mincho" w:hAnsi="Palatino Linotype" w:cs="Arial"/>
        </w:rPr>
        <w:t xml:space="preserve">; </w:t>
      </w:r>
      <w:r w:rsidRPr="0060348F">
        <w:rPr>
          <w:rFonts w:ascii="Palatino Linotype" w:eastAsia="Times New Roman" w:hAnsi="Palatino Linotype" w:cs="Arial"/>
          <w:color w:val="000000" w:themeColor="text1"/>
          <w:lang w:val="es-ES" w:eastAsia="es-MX"/>
        </w:rPr>
        <w:t xml:space="preserve">fracción que determina las hipótesis jurídica relativa a entrega o puesta a disposición de información en una modalidad o formato distinto al solicitado; </w:t>
      </w:r>
      <w:r w:rsidRPr="0060348F">
        <w:rPr>
          <w:rFonts w:ascii="Palatino Linotype" w:eastAsia="MS Mincho" w:hAnsi="Palatino Linotype" w:cs="Arial"/>
        </w:rPr>
        <w:t xml:space="preserve">contexto del cual se dolió </w:t>
      </w:r>
      <w:r w:rsidRPr="0060348F">
        <w:rPr>
          <w:rFonts w:ascii="Palatino Linotype" w:eastAsia="MS Mincho" w:hAnsi="Palatino Linotype" w:cs="Arial"/>
          <w:b/>
        </w:rPr>
        <w:t xml:space="preserve">EL RECURRENTE </w:t>
      </w:r>
      <w:r w:rsidRPr="0060348F">
        <w:rPr>
          <w:rFonts w:ascii="Palatino Linotype" w:eastAsia="MS Mincho" w:hAnsi="Palatino Linotype" w:cs="Arial"/>
        </w:rPr>
        <w:t>al momento de interponer su inconformidad.</w:t>
      </w:r>
      <w:r w:rsidRPr="0060348F">
        <w:rPr>
          <w:rFonts w:ascii="Palatino Linotype" w:eastAsia="Times New Roman" w:hAnsi="Palatino Linotype" w:cs="Arial"/>
          <w:color w:val="000000" w:themeColor="text1"/>
          <w:lang w:val="es-ES" w:eastAsia="es-MX"/>
        </w:rPr>
        <w:t xml:space="preserve"> De modo tal </w:t>
      </w:r>
      <w:r w:rsidRPr="0060348F">
        <w:rPr>
          <w:rFonts w:ascii="Palatino Linotype" w:hAnsi="Palatino Linotype" w:cs="Arial"/>
          <w:color w:val="000000" w:themeColor="text1"/>
          <w:szCs w:val="23"/>
        </w:rPr>
        <w:t xml:space="preserve">que el presente recurso de revisión se abocara en determinar si el </w:t>
      </w:r>
      <w:r w:rsidRPr="0060348F">
        <w:rPr>
          <w:rFonts w:ascii="Palatino Linotype" w:hAnsi="Palatino Linotype" w:cs="Arial"/>
          <w:b/>
          <w:color w:val="000000" w:themeColor="text1"/>
          <w:szCs w:val="23"/>
        </w:rPr>
        <w:t>SUJETO</w:t>
      </w:r>
      <w:r w:rsidRPr="0060348F">
        <w:rPr>
          <w:rFonts w:ascii="Palatino Linotype" w:hAnsi="Palatino Linotype" w:cs="Arial"/>
          <w:color w:val="000000" w:themeColor="text1"/>
          <w:szCs w:val="23"/>
        </w:rPr>
        <w:t xml:space="preserve"> </w:t>
      </w:r>
      <w:r w:rsidRPr="0060348F">
        <w:rPr>
          <w:rFonts w:ascii="Palatino Linotype" w:hAnsi="Palatino Linotype" w:cs="Arial"/>
          <w:b/>
          <w:color w:val="000000" w:themeColor="text1"/>
          <w:szCs w:val="23"/>
        </w:rPr>
        <w:t>OBLIGADO</w:t>
      </w:r>
      <w:r w:rsidRPr="0060348F">
        <w:rPr>
          <w:rFonts w:ascii="Palatino Linotype" w:hAnsi="Palatino Linotype" w:cs="Arial"/>
          <w:color w:val="000000" w:themeColor="text1"/>
          <w:szCs w:val="23"/>
        </w:rPr>
        <w:t xml:space="preserve"> con su respuesta ciertamente </w:t>
      </w:r>
      <w:r w:rsidRPr="0060348F">
        <w:rPr>
          <w:rFonts w:ascii="Palatino Linotype" w:eastAsia="Times New Roman" w:hAnsi="Palatino Linotype"/>
          <w:color w:val="000000" w:themeColor="text1"/>
        </w:rPr>
        <w:t>actualiza la causal de procedencia</w:t>
      </w:r>
      <w:r w:rsidRPr="0060348F">
        <w:rPr>
          <w:rFonts w:ascii="Palatino Linotype" w:eastAsia="Times New Roman" w:hAnsi="Palatino Linotype"/>
          <w:b/>
          <w:color w:val="000000" w:themeColor="text1"/>
        </w:rPr>
        <w:t xml:space="preserve"> </w:t>
      </w:r>
      <w:r w:rsidRPr="0060348F">
        <w:rPr>
          <w:rFonts w:ascii="Palatino Linotype" w:eastAsia="Times New Roman" w:hAnsi="Palatino Linotype" w:cs="Arial"/>
          <w:color w:val="000000" w:themeColor="text1"/>
          <w:lang w:eastAsia="es-MX"/>
        </w:rPr>
        <w:t xml:space="preserve">antes señalada. Así como comprobar si la </w:t>
      </w:r>
      <w:r w:rsidRPr="0060348F">
        <w:rPr>
          <w:rFonts w:ascii="Palatino Linotype" w:eastAsia="Times New Roman" w:hAnsi="Palatino Linotype" w:cs="Arial"/>
          <w:color w:val="000000" w:themeColor="text1"/>
          <w:lang w:eastAsia="es-MX"/>
        </w:rPr>
        <w:lastRenderedPageBreak/>
        <w:t>respuesta emitida resulta congruente e integral en términos del artículo 11 de la ley de la materia.</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60348F">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9F09BC" w:rsidRPr="0060348F" w:rsidRDefault="009F09BC" w:rsidP="009F09BC">
      <w:pPr>
        <w:spacing w:line="360" w:lineRule="auto"/>
        <w:rPr>
          <w:rFonts w:ascii="Palatino Linotype" w:hAnsi="Palatino Linotype"/>
          <w:lang w:val="es-MX" w:eastAsia="en-US"/>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lang w:val="es-ES"/>
        </w:rPr>
      </w:pPr>
      <w:r w:rsidRPr="0060348F">
        <w:rPr>
          <w:rFonts w:ascii="Palatino Linotype" w:hAnsi="Palatino Linotype"/>
          <w:lang w:val="es-MX" w:eastAsia="en-US"/>
        </w:rPr>
        <w:t xml:space="preserve">Acotada la </w:t>
      </w:r>
      <w:r w:rsidRPr="0060348F">
        <w:rPr>
          <w:rFonts w:ascii="Palatino Linotype" w:hAnsi="Palatino Linotype"/>
          <w:i/>
          <w:lang w:val="es-MX" w:eastAsia="en-US"/>
        </w:rPr>
        <w:t>Litis</w:t>
      </w:r>
      <w:r w:rsidRPr="0060348F">
        <w:rPr>
          <w:rFonts w:ascii="Palatino Linotype" w:hAnsi="Palatino Linotype"/>
          <w:lang w:val="es-MX" w:eastAsia="en-US"/>
        </w:rPr>
        <w:t xml:space="preserve"> sobre la cual versará el presente estudio, se estima importante primeramente referir</w:t>
      </w:r>
      <w:r w:rsidRPr="0060348F">
        <w:rPr>
          <w:rFonts w:ascii="Palatino Linotype" w:hAnsi="Palatino Linotype"/>
          <w:lang w:val="es-ES"/>
        </w:rPr>
        <w:t xml:space="preserve">, que </w:t>
      </w:r>
      <w:r w:rsidRPr="0060348F">
        <w:rPr>
          <w:rFonts w:ascii="Palatino Linotype" w:hAnsi="Palatino Linotype"/>
          <w:b/>
          <w:bCs/>
          <w:lang w:val="es-ES"/>
        </w:rPr>
        <w:t>EL RECURRENTE</w:t>
      </w:r>
      <w:r w:rsidRPr="0060348F">
        <w:rPr>
          <w:rFonts w:ascii="Palatino Linotype" w:hAnsi="Palatino Linotype"/>
          <w:lang w:val="es-ES"/>
        </w:rPr>
        <w:t xml:space="preserve"> al momento de presentar las solicitudes de información que di</w:t>
      </w:r>
      <w:r w:rsidR="003E66D2" w:rsidRPr="0060348F">
        <w:rPr>
          <w:rFonts w:ascii="Palatino Linotype" w:hAnsi="Palatino Linotype"/>
          <w:lang w:val="es-ES"/>
        </w:rPr>
        <w:t>o</w:t>
      </w:r>
      <w:r w:rsidRPr="0060348F">
        <w:rPr>
          <w:rFonts w:ascii="Palatino Linotype" w:hAnsi="Palatino Linotype"/>
          <w:lang w:val="es-ES"/>
        </w:rPr>
        <w:t xml:space="preserve"> origen al recurso</w:t>
      </w:r>
      <w:r w:rsidR="003E66D2" w:rsidRPr="0060348F">
        <w:rPr>
          <w:rFonts w:ascii="Palatino Linotype" w:hAnsi="Palatino Linotype"/>
          <w:lang w:val="es-ES"/>
        </w:rPr>
        <w:t xml:space="preserve"> de revisión que nos ocupa</w:t>
      </w:r>
      <w:r w:rsidRPr="0060348F">
        <w:rPr>
          <w:rFonts w:ascii="Palatino Linotype" w:hAnsi="Palatino Linotype"/>
          <w:lang w:val="es-ES"/>
        </w:rPr>
        <w:t>,</w:t>
      </w:r>
      <w:r w:rsidR="003E66D2" w:rsidRPr="0060348F">
        <w:rPr>
          <w:rFonts w:ascii="Palatino Linotype" w:hAnsi="Palatino Linotype"/>
          <w:lang w:val="es-ES"/>
        </w:rPr>
        <w:t xml:space="preserve"> ciertamente</w:t>
      </w:r>
      <w:r w:rsidRPr="0060348F">
        <w:rPr>
          <w:rFonts w:ascii="Palatino Linotype" w:hAnsi="Palatino Linotype"/>
          <w:lang w:val="es-ES"/>
        </w:rPr>
        <w:t xml:space="preserve"> eligió como modalidad de entrega </w:t>
      </w:r>
      <w:r w:rsidRPr="0060348F">
        <w:rPr>
          <w:rFonts w:ascii="Palatino Linotype" w:hAnsi="Palatino Linotype"/>
          <w:b/>
          <w:bCs/>
          <w:lang w:val="es-ES"/>
        </w:rPr>
        <w:t>Vía SAIMEX</w:t>
      </w:r>
      <w:r w:rsidRPr="0060348F">
        <w:rPr>
          <w:rFonts w:ascii="Palatino Linotype" w:hAnsi="Palatino Linotype"/>
          <w:lang w:val="es-ES"/>
        </w:rPr>
        <w:t xml:space="preserve">, tal y como se </w:t>
      </w:r>
      <w:r w:rsidR="003E66D2" w:rsidRPr="0060348F">
        <w:rPr>
          <w:rFonts w:ascii="Palatino Linotype" w:hAnsi="Palatino Linotype"/>
          <w:lang w:val="es-ES"/>
        </w:rPr>
        <w:t>observa en la siguiente captura de pantalla</w:t>
      </w:r>
      <w:r w:rsidRPr="0060348F">
        <w:rPr>
          <w:rFonts w:ascii="Palatino Linotype" w:hAnsi="Palatino Linotype"/>
          <w:lang w:val="es-ES"/>
        </w:rPr>
        <w:t>:</w:t>
      </w:r>
    </w:p>
    <w:p w:rsidR="009F09BC" w:rsidRPr="0060348F" w:rsidRDefault="003E66D2" w:rsidP="003E66D2">
      <w:pPr>
        <w:spacing w:line="360" w:lineRule="auto"/>
        <w:contextualSpacing/>
        <w:jc w:val="center"/>
        <w:rPr>
          <w:rFonts w:ascii="Palatino Linotype" w:hAnsi="Palatino Linotype"/>
          <w:lang w:val="es-ES"/>
        </w:rPr>
      </w:pPr>
      <w:r w:rsidRPr="0060348F">
        <w:rPr>
          <w:rFonts w:ascii="Palatino Linotype" w:hAnsi="Palatino Linotype"/>
          <w:noProof/>
          <w:lang w:val="es-MX" w:eastAsia="es-MX"/>
        </w:rPr>
        <w:drawing>
          <wp:inline distT="0" distB="0" distL="0" distR="0">
            <wp:extent cx="5413472" cy="1798970"/>
            <wp:effectExtent l="19050" t="19050" r="1587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3288" cy="1802232"/>
                    </a:xfrm>
                    <a:prstGeom prst="rect">
                      <a:avLst/>
                    </a:prstGeom>
                    <a:noFill/>
                    <a:ln>
                      <a:solidFill>
                        <a:schemeClr val="tx1"/>
                      </a:solidFill>
                    </a:ln>
                  </pic:spPr>
                </pic:pic>
              </a:graphicData>
            </a:graphic>
          </wp:inline>
        </w:drawing>
      </w:r>
    </w:p>
    <w:p w:rsidR="009F09BC" w:rsidRPr="0060348F" w:rsidRDefault="009F09BC" w:rsidP="009F09BC">
      <w:pPr>
        <w:spacing w:line="360" w:lineRule="auto"/>
        <w:contextualSpacing/>
        <w:jc w:val="center"/>
        <w:rPr>
          <w:rFonts w:ascii="Palatino Linotype" w:hAnsi="Palatino Linotype"/>
          <w:lang w:val="es-ES"/>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rPr>
        <w:t xml:space="preserve">A lo anterior, queda evidente </w:t>
      </w:r>
      <w:r w:rsidR="00C25DE5" w:rsidRPr="0060348F">
        <w:rPr>
          <w:rFonts w:ascii="Palatino Linotype" w:hAnsi="Palatino Linotype"/>
        </w:rPr>
        <w:t xml:space="preserve">que la información se requirió </w:t>
      </w:r>
      <w:r w:rsidR="00C25DE5" w:rsidRPr="0060348F">
        <w:rPr>
          <w:rFonts w:ascii="Palatino Linotype" w:hAnsi="Palatino Linotype"/>
          <w:b/>
          <w:bCs/>
        </w:rPr>
        <w:t>Vía SAIMEX</w:t>
      </w:r>
      <w:r w:rsidR="00C25DE5" w:rsidRPr="0060348F">
        <w:rPr>
          <w:rFonts w:ascii="Palatino Linotype" w:hAnsi="Palatino Linotype"/>
        </w:rPr>
        <w:t>; por otra parte, si bien</w:t>
      </w:r>
      <w:r w:rsidR="00C25DE5" w:rsidRPr="0060348F">
        <w:rPr>
          <w:rFonts w:ascii="Palatino Linotype" w:hAnsi="Palatino Linotype"/>
          <w:b/>
          <w:bCs/>
        </w:rPr>
        <w:t xml:space="preserve"> </w:t>
      </w:r>
      <w:r w:rsidRPr="0060348F">
        <w:rPr>
          <w:rFonts w:ascii="Palatino Linotype" w:hAnsi="Palatino Linotype"/>
          <w:b/>
          <w:bCs/>
        </w:rPr>
        <w:t>EL SUJETO OBLIGADO</w:t>
      </w:r>
      <w:r w:rsidRPr="0060348F">
        <w:rPr>
          <w:rFonts w:ascii="Palatino Linotype" w:hAnsi="Palatino Linotype"/>
        </w:rPr>
        <w:t xml:space="preserve"> menciona </w:t>
      </w:r>
      <w:r w:rsidR="00025C53" w:rsidRPr="0060348F">
        <w:rPr>
          <w:rFonts w:ascii="Palatino Linotype" w:hAnsi="Palatino Linotype"/>
        </w:rPr>
        <w:t>que se</w:t>
      </w:r>
      <w:r w:rsidRPr="0060348F">
        <w:rPr>
          <w:rFonts w:ascii="Palatino Linotype" w:hAnsi="Palatino Linotype"/>
        </w:rPr>
        <w:t xml:space="preserve"> cambia la modalidad de entrega a consulta directa (</w:t>
      </w:r>
      <w:r w:rsidRPr="0060348F">
        <w:rPr>
          <w:rFonts w:ascii="Palatino Linotype" w:hAnsi="Palatino Linotype"/>
          <w:i/>
        </w:rPr>
        <w:t>In situ</w:t>
      </w:r>
      <w:r w:rsidRPr="0060348F">
        <w:rPr>
          <w:rFonts w:ascii="Palatino Linotype" w:hAnsi="Palatino Linotype"/>
        </w:rPr>
        <w:t xml:space="preserve">), </w:t>
      </w:r>
      <w:r w:rsidR="00010C43" w:rsidRPr="0060348F">
        <w:rPr>
          <w:rFonts w:ascii="Palatino Linotype" w:hAnsi="Palatino Linotype"/>
        </w:rPr>
        <w:t xml:space="preserve">en </w:t>
      </w:r>
      <w:r w:rsidRPr="0060348F">
        <w:rPr>
          <w:rFonts w:ascii="Palatino Linotype" w:hAnsi="Palatino Linotype"/>
        </w:rPr>
        <w:t xml:space="preserve">este </w:t>
      </w:r>
      <w:r w:rsidRPr="0060348F">
        <w:rPr>
          <w:rFonts w:ascii="Palatino Linotype" w:hAnsi="Palatino Linotype" w:cs="Arial"/>
        </w:rPr>
        <w:t>supuesto se debe</w:t>
      </w:r>
      <w:r w:rsidR="00010C43" w:rsidRPr="0060348F">
        <w:rPr>
          <w:rFonts w:ascii="Palatino Linotype" w:hAnsi="Palatino Linotype" w:cs="Arial"/>
        </w:rPr>
        <w:t>n</w:t>
      </w:r>
      <w:r w:rsidRPr="0060348F">
        <w:rPr>
          <w:rFonts w:ascii="Palatino Linotype" w:hAnsi="Palatino Linotype" w:cs="Arial"/>
        </w:rPr>
        <w:t xml:space="preserve"> fundar y motivar correctamente los motivos del cambio de modalidad</w:t>
      </w:r>
      <w:r w:rsidR="00010C43" w:rsidRPr="0060348F">
        <w:rPr>
          <w:rFonts w:ascii="Palatino Linotype" w:hAnsi="Palatino Linotype" w:cs="Arial"/>
        </w:rPr>
        <w:t>;</w:t>
      </w:r>
      <w:r w:rsidRPr="0060348F">
        <w:rPr>
          <w:rFonts w:ascii="Palatino Linotype" w:hAnsi="Palatino Linotype" w:cs="Arial"/>
        </w:rPr>
        <w:t xml:space="preserve"> por tanto, se tuvo afectado el derecho al acces</w:t>
      </w:r>
      <w:r w:rsidR="00025C53" w:rsidRPr="0060348F">
        <w:rPr>
          <w:rFonts w:ascii="Palatino Linotype" w:hAnsi="Palatino Linotype" w:cs="Arial"/>
        </w:rPr>
        <w:t>o a la información pública del</w:t>
      </w:r>
      <w:r w:rsidRPr="0060348F">
        <w:rPr>
          <w:rFonts w:ascii="Palatino Linotype" w:hAnsi="Palatino Linotype" w:cs="Arial"/>
        </w:rPr>
        <w:t xml:space="preserve"> particular.</w:t>
      </w:r>
    </w:p>
    <w:p w:rsidR="00010C43" w:rsidRPr="0060348F" w:rsidRDefault="00010C43" w:rsidP="00010C43">
      <w:pPr>
        <w:spacing w:line="360" w:lineRule="auto"/>
        <w:contextualSpacing/>
        <w:jc w:val="both"/>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lastRenderedPageBreak/>
        <w:t xml:space="preserve">Por tanto, la fundamentación y motivación consiste en la obligación que tiene todo </w:t>
      </w:r>
      <w:r w:rsidRPr="0060348F">
        <w:rPr>
          <w:rFonts w:ascii="Palatino Linotype" w:hAnsi="Palatino Linotype"/>
        </w:rPr>
        <w:t>ente</w:t>
      </w:r>
      <w:r w:rsidRPr="0060348F">
        <w:rPr>
          <w:rFonts w:ascii="Palatino Linotype" w:hAnsi="Palatino Linotype" w:cs="Arial"/>
        </w:rPr>
        <w:t xml:space="preserve"> público de expresar los preceptos jurídicos aplicables al asunto motivo del acto y las razones o argumentos de su actuar.</w:t>
      </w:r>
    </w:p>
    <w:p w:rsidR="00025C53" w:rsidRPr="0060348F" w:rsidRDefault="00025C53" w:rsidP="00025C53">
      <w:pPr>
        <w:pStyle w:val="Prrafodelista"/>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Al respecto, el máximo tribunal del País ha establecido jurisprudencia respecto a qué debe entenderse por fundamentación y motivación, en los siguientes términos:</w:t>
      </w: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sidRPr="0060348F">
        <w:rPr>
          <w:rFonts w:ascii="Palatino Linotype" w:hAnsi="Palatino Linotype" w:cs="Arial"/>
          <w:i/>
          <w:sz w:val="22"/>
          <w:szCs w:val="22"/>
        </w:rPr>
        <w:t>“</w:t>
      </w:r>
      <w:r w:rsidRPr="0060348F">
        <w:rPr>
          <w:rFonts w:ascii="Palatino Linotype" w:hAnsi="Palatino Linotype" w:cs="Arial"/>
          <w:b/>
          <w:i/>
          <w:sz w:val="22"/>
          <w:szCs w:val="22"/>
        </w:rPr>
        <w:t xml:space="preserve">FUNDAMENTACION Y MOTIVACION. </w:t>
      </w:r>
      <w:r w:rsidRPr="0060348F">
        <w:rPr>
          <w:rFonts w:ascii="Palatino Linotype" w:hAnsi="Palatino Linotype" w:cs="Arial"/>
          <w:i/>
          <w:sz w:val="22"/>
          <w:szCs w:val="22"/>
        </w:rPr>
        <w:t xml:space="preserve">La </w:t>
      </w:r>
      <w:r w:rsidRPr="0060348F">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0348F">
        <w:rPr>
          <w:rFonts w:ascii="Palatino Linotype" w:hAnsi="Palatino Linotype" w:cs="Arial"/>
          <w:i/>
          <w:sz w:val="22"/>
          <w:szCs w:val="22"/>
        </w:rPr>
        <w:t>.</w:t>
      </w: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sidRPr="0060348F">
        <w:rPr>
          <w:rFonts w:ascii="Palatino Linotype" w:hAnsi="Palatino Linotype" w:cs="Arial"/>
          <w:b/>
          <w:i/>
          <w:sz w:val="22"/>
          <w:szCs w:val="22"/>
        </w:rPr>
        <w:t xml:space="preserve">…” </w:t>
      </w:r>
      <w:r w:rsidRPr="0060348F">
        <w:rPr>
          <w:rFonts w:ascii="Palatino Linotype" w:hAnsi="Palatino Linotype" w:cs="Arial"/>
          <w:i/>
          <w:sz w:val="22"/>
          <w:szCs w:val="22"/>
        </w:rPr>
        <w:t>(Sic)</w:t>
      </w: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60348F" w:rsidRDefault="009F09BC" w:rsidP="009F09BC">
      <w:pPr>
        <w:pStyle w:val="Prrafodelista"/>
        <w:spacing w:line="360" w:lineRule="auto"/>
        <w:ind w:left="644" w:right="51"/>
        <w:jc w:val="both"/>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F09BC" w:rsidRPr="0060348F" w:rsidRDefault="009F09BC" w:rsidP="009F09BC">
      <w:pPr>
        <w:pStyle w:val="Prrafodelista"/>
        <w:rPr>
          <w:rFonts w:ascii="Palatino Linotype" w:hAnsi="Palatino Linotype" w:cs="Arial"/>
        </w:rPr>
      </w:pP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sidRPr="0060348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0348F">
        <w:rPr>
          <w:rFonts w:ascii="Palatino Linotype" w:hAnsi="Palatino Linotype" w:cs="Arial"/>
          <w:i/>
          <w:sz w:val="22"/>
          <w:szCs w:val="22"/>
        </w:rPr>
        <w:t xml:space="preserve">. El contenido formal de la garantía de legalidad prevista en el artículo 16 constitucional relativa a la </w:t>
      </w:r>
      <w:r w:rsidRPr="0060348F">
        <w:rPr>
          <w:rFonts w:ascii="Palatino Linotype" w:hAnsi="Palatino Linotype" w:cs="Arial"/>
          <w:b/>
          <w:i/>
          <w:sz w:val="22"/>
          <w:szCs w:val="22"/>
        </w:rPr>
        <w:t xml:space="preserve">fundamentación y motivación tiene como propósito primordial y ratio que el justiciable conozca el "para qué" de la </w:t>
      </w:r>
      <w:r w:rsidRPr="0060348F">
        <w:rPr>
          <w:rFonts w:ascii="Palatino Linotype" w:hAnsi="Palatino Linotype" w:cs="Arial"/>
          <w:b/>
          <w:i/>
          <w:sz w:val="22"/>
          <w:szCs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0348F">
        <w:rPr>
          <w:rFonts w:ascii="Palatino Linotype" w:hAnsi="Palatino Linotype" w:cs="Arial"/>
          <w:i/>
          <w:sz w:val="22"/>
          <w:szCs w:val="22"/>
        </w:rPr>
        <w:t xml:space="preserve">. Por tanto, </w:t>
      </w:r>
      <w:r w:rsidRPr="0060348F">
        <w:rPr>
          <w:rFonts w:ascii="Palatino Linotype" w:hAnsi="Palatino Linotype" w:cs="Arial"/>
          <w:b/>
          <w:i/>
          <w:sz w:val="22"/>
          <w:szCs w:val="22"/>
          <w:u w:val="single"/>
        </w:rPr>
        <w:t>no basta que el acto de autoridad apenas observe una motivación pro forma pero de una manera incongruente, insuficiente o imprecisa</w:t>
      </w:r>
      <w:r w:rsidRPr="0060348F">
        <w:rPr>
          <w:rFonts w:ascii="Palatino Linotype" w:hAnsi="Palatino Linotype" w:cs="Arial"/>
          <w:i/>
          <w:sz w:val="22"/>
          <w:szCs w:val="22"/>
        </w:rPr>
        <w:t>, que impida la finalidad del conocimiento, comprobación y defensa pertinente</w:t>
      </w:r>
      <w:r w:rsidRPr="0060348F">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0348F">
        <w:rPr>
          <w:rFonts w:ascii="Palatino Linotype" w:hAnsi="Palatino Linotype" w:cs="Arial"/>
          <w:i/>
          <w:sz w:val="22"/>
          <w:szCs w:val="22"/>
        </w:rPr>
        <w:t>.”</w:t>
      </w:r>
      <w:r w:rsidRPr="0060348F">
        <w:rPr>
          <w:rFonts w:ascii="Palatino Linotype" w:hAnsi="Palatino Linotype"/>
        </w:rPr>
        <w:t xml:space="preserve"> </w:t>
      </w:r>
      <w:r w:rsidRPr="0060348F">
        <w:rPr>
          <w:rFonts w:ascii="Palatino Linotype" w:hAnsi="Palatino Linotype" w:cs="Arial"/>
          <w:i/>
          <w:sz w:val="22"/>
          <w:szCs w:val="22"/>
        </w:rPr>
        <w:t>(Sic)</w:t>
      </w: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Pr="0060348F"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Pr="0060348F" w:rsidRDefault="009F09BC" w:rsidP="009F09BC">
      <w:pPr>
        <w:pStyle w:val="Prrafodelista"/>
        <w:numPr>
          <w:ilvl w:val="0"/>
          <w:numId w:val="15"/>
        </w:numPr>
        <w:spacing w:line="360" w:lineRule="auto"/>
        <w:ind w:left="0" w:right="49" w:firstLine="0"/>
        <w:jc w:val="both"/>
        <w:rPr>
          <w:rFonts w:ascii="Palatino Linotype" w:hAnsi="Palatino Linotype" w:cs="Arial"/>
        </w:rPr>
      </w:pPr>
      <w:r w:rsidRPr="0060348F">
        <w:rPr>
          <w:rFonts w:ascii="Palatino Linotype" w:hAnsi="Palatino Linotype" w:cs="Arial"/>
        </w:rPr>
        <w:t>En consecuencia, la fundamentación y motivación implica que, en el acto de autoridad, además de contenerse los supuestos jurídicos aplicabl</w:t>
      </w:r>
      <w:r w:rsidR="00F946B5" w:rsidRPr="0060348F">
        <w:rPr>
          <w:rFonts w:ascii="Palatino Linotype" w:hAnsi="Palatino Linotype" w:cs="Arial"/>
        </w:rPr>
        <w:t>es se expliquen claramente, porque</w:t>
      </w:r>
      <w:r w:rsidRPr="0060348F">
        <w:rPr>
          <w:rFonts w:ascii="Palatino Linotype" w:hAnsi="Palatino Linotype" w:cs="Arial"/>
        </w:rPr>
        <w:t>, a través de la utilización de la norma se emitió el acto. De este modo, la persona que se siente afectada pueda impugnar la decisión, permitiéndole una real y auténtica defensa. En razón de lo anterior, es que se procede a realizar un análisis para determinar si el cambio de modalidad es procedente en razón de encontrarse debidamente fundado y motivado.</w:t>
      </w:r>
    </w:p>
    <w:p w:rsidR="009F09BC" w:rsidRPr="0060348F" w:rsidRDefault="009F09BC" w:rsidP="009F09BC">
      <w:pPr>
        <w:pStyle w:val="Prrafodelista"/>
        <w:spacing w:line="360" w:lineRule="auto"/>
        <w:ind w:left="0" w:right="49"/>
        <w:jc w:val="both"/>
        <w:rPr>
          <w:rFonts w:ascii="Palatino Linotype" w:hAnsi="Palatino Linotype" w:cs="Arial"/>
        </w:rPr>
      </w:pPr>
    </w:p>
    <w:p w:rsidR="009F09BC" w:rsidRPr="0060348F" w:rsidRDefault="009F09BC" w:rsidP="009F09BC">
      <w:pPr>
        <w:pStyle w:val="Ttulo2"/>
        <w:numPr>
          <w:ilvl w:val="0"/>
          <w:numId w:val="28"/>
        </w:numPr>
        <w:spacing w:line="259" w:lineRule="auto"/>
        <w:rPr>
          <w:rFonts w:ascii="Palatino Linotype" w:hAnsi="Palatino Linotype"/>
          <w:b/>
          <w:color w:val="000000" w:themeColor="text1"/>
          <w:sz w:val="24"/>
        </w:rPr>
      </w:pPr>
      <w:bookmarkStart w:id="149" w:name="_Toc71674114"/>
      <w:bookmarkStart w:id="150" w:name="_Toc83128583"/>
      <w:r w:rsidRPr="0060348F">
        <w:rPr>
          <w:rFonts w:ascii="Palatino Linotype" w:hAnsi="Palatino Linotype"/>
          <w:b/>
          <w:color w:val="000000" w:themeColor="text1"/>
          <w:sz w:val="24"/>
        </w:rPr>
        <w:t>Del cambio de modalidad</w:t>
      </w:r>
      <w:bookmarkEnd w:id="149"/>
      <w:bookmarkEnd w:id="150"/>
    </w:p>
    <w:p w:rsidR="009F09BC" w:rsidRPr="0060348F" w:rsidRDefault="009F09BC" w:rsidP="009F09BC">
      <w:pPr>
        <w:spacing w:line="360" w:lineRule="auto"/>
        <w:contextualSpacing/>
        <w:jc w:val="both"/>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Primeramente subrayar que el </w:t>
      </w:r>
      <w:r w:rsidRPr="0060348F">
        <w:rPr>
          <w:rFonts w:ascii="Palatino Linotype" w:eastAsia="MS Mincho" w:hAnsi="Palatino Linotype" w:cs="Arial"/>
          <w:b/>
        </w:rPr>
        <w:t>SUJETO OBLIGADO</w:t>
      </w:r>
      <w:r w:rsidRPr="0060348F">
        <w:rPr>
          <w:rFonts w:ascii="Palatino Linotype" w:eastAsia="MS Mincho" w:hAnsi="Palatino Linotype" w:cs="Arial"/>
        </w:rPr>
        <w:t xml:space="preserve"> ya asumió que genera, posee o administra la información requerida, tan es así que la puso a disposición del parti</w:t>
      </w:r>
      <w:r w:rsidR="003E66D2" w:rsidRPr="0060348F">
        <w:rPr>
          <w:rFonts w:ascii="Palatino Linotype" w:eastAsia="MS Mincho" w:hAnsi="Palatino Linotype" w:cs="Arial"/>
        </w:rPr>
        <w:t xml:space="preserve">cular para su consulta directa, por lo que se estima ocioso realizar un estudio pormenorizado de la fuente obligacional de la Comisión para determinar si ha </w:t>
      </w:r>
      <w:r w:rsidR="003E66D2" w:rsidRPr="0060348F">
        <w:rPr>
          <w:rFonts w:ascii="Palatino Linotype" w:eastAsia="MS Mincho" w:hAnsi="Palatino Linotype" w:cs="Arial"/>
        </w:rPr>
        <w:lastRenderedPageBreak/>
        <w:t>generado, posee o administra lo requerido pues –se insiste– ya asumió de manera expresa que cuenta con ella.</w:t>
      </w:r>
    </w:p>
    <w:p w:rsidR="00010C43" w:rsidRPr="0060348F" w:rsidRDefault="00010C43" w:rsidP="00010C43">
      <w:pPr>
        <w:spacing w:line="360" w:lineRule="auto"/>
        <w:contextualSpacing/>
        <w:jc w:val="both"/>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Ahora bien, la modalidad de entrega como la forma de envío de la información se hará preferentemente como haya señalado el requirente; no obstante en los casos en que esto no sea posible, los sujetos obligados podrán garantizar la entrega a través de cualquier otro medio, siempre y cuando funde y motive la razón para hacerlo; nuevamente reiterando que la necesidad de fundar y motivar es imperante en todos los actos que emite cualquier autoridad. </w:t>
      </w:r>
    </w:p>
    <w:p w:rsidR="009F09BC" w:rsidRPr="0060348F" w:rsidRDefault="009F09BC" w:rsidP="009F09BC">
      <w:pPr>
        <w:pStyle w:val="Prrafodelista"/>
        <w:rPr>
          <w:rFonts w:ascii="Palatino Linotype" w:hAnsi="Palatino Linotype"/>
        </w:rPr>
      </w:pPr>
    </w:p>
    <w:p w:rsidR="009F09BC" w:rsidRPr="0060348F" w:rsidRDefault="009F09BC" w:rsidP="005432D0">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En los casos que ocupan la presente resolución, se ha pretendido realizar el cambio de modalidad, derivado de que el </w:t>
      </w:r>
      <w:r w:rsidR="008A699B" w:rsidRPr="0060348F">
        <w:rPr>
          <w:rFonts w:ascii="Palatino Linotype" w:hAnsi="Palatino Linotype"/>
          <w:b/>
          <w:bCs/>
          <w:color w:val="000000"/>
        </w:rPr>
        <w:t>Comisión de Conciliación y Arbitraje Médico del Estado de México</w:t>
      </w:r>
      <w:r w:rsidRPr="0060348F">
        <w:rPr>
          <w:rFonts w:ascii="Palatino Linotype" w:hAnsi="Palatino Linotype"/>
        </w:rPr>
        <w:t xml:space="preserve"> </w:t>
      </w:r>
      <w:r w:rsidR="005432D0" w:rsidRPr="0060348F">
        <w:rPr>
          <w:rFonts w:ascii="Palatino Linotype" w:hAnsi="Palatino Linotype"/>
        </w:rPr>
        <w:t>así lo estableció, a su decir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lo anterior sin mayor motivación.</w:t>
      </w:r>
    </w:p>
    <w:p w:rsidR="009F09BC" w:rsidRPr="0060348F" w:rsidRDefault="009F09BC" w:rsidP="009F09BC">
      <w:pPr>
        <w:pStyle w:val="Prrafodelista"/>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Times New Roman"/>
        </w:rPr>
        <w:t xml:space="preserve">En ese contexto, </w:t>
      </w:r>
      <w:r w:rsidR="005432D0" w:rsidRPr="0060348F">
        <w:rPr>
          <w:rFonts w:ascii="Palatino Linotype" w:eastAsia="MS Mincho" w:hAnsi="Palatino Linotype" w:cs="Times New Roman"/>
        </w:rPr>
        <w:t xml:space="preserve">se puede concluir que eventualmente </w:t>
      </w:r>
      <w:r w:rsidRPr="0060348F">
        <w:rPr>
          <w:rFonts w:ascii="Palatino Linotype" w:eastAsia="MS Mincho" w:hAnsi="Palatino Linotype" w:cs="Times New Roman"/>
        </w:rPr>
        <w:t>el</w:t>
      </w:r>
      <w:r w:rsidRPr="0060348F">
        <w:rPr>
          <w:rFonts w:ascii="Palatino Linotype" w:eastAsia="MS Mincho" w:hAnsi="Palatino Linotype" w:cs="Times New Roman"/>
          <w:b/>
        </w:rPr>
        <w:t xml:space="preserve"> SUJETO OBLIGADO </w:t>
      </w:r>
      <w:r w:rsidRPr="0060348F">
        <w:rPr>
          <w:rFonts w:ascii="Palatino Linotype" w:eastAsia="MS Mincho" w:hAnsi="Palatino Linotype" w:cs="Times New Roman"/>
        </w:rPr>
        <w:t>con la intención legítima de no</w:t>
      </w:r>
      <w:r w:rsidR="005432D0" w:rsidRPr="0060348F">
        <w:rPr>
          <w:rFonts w:ascii="Palatino Linotype" w:eastAsia="MS Mincho" w:hAnsi="Palatino Linotype" w:cs="Times New Roman"/>
        </w:rPr>
        <w:t xml:space="preserve"> lesionar el derecho humano, puso</w:t>
      </w:r>
      <w:r w:rsidRPr="0060348F">
        <w:rPr>
          <w:rFonts w:ascii="Palatino Linotype" w:eastAsia="MS Mincho" w:hAnsi="Palatino Linotype" w:cs="Times New Roman"/>
        </w:rPr>
        <w:t xml:space="preserve"> a </w:t>
      </w:r>
      <w:r w:rsidRPr="0060348F">
        <w:rPr>
          <w:rFonts w:ascii="Palatino Linotype" w:hAnsi="Palatino Linotype"/>
        </w:rPr>
        <w:lastRenderedPageBreak/>
        <w:t>disposición</w:t>
      </w:r>
      <w:r w:rsidRPr="0060348F">
        <w:rPr>
          <w:rFonts w:ascii="Palatino Linotype" w:eastAsia="MS Mincho" w:hAnsi="Palatino Linotype" w:cs="Times New Roman"/>
        </w:rPr>
        <w:t xml:space="preserve"> del solicitante los documentos solicitados en consulta directa, </w:t>
      </w:r>
      <w:r w:rsidR="005432D0" w:rsidRPr="0060348F">
        <w:rPr>
          <w:rFonts w:ascii="Palatino Linotype" w:eastAsia="MS Mincho" w:hAnsi="Palatino Linotype" w:cs="Times New Roman"/>
        </w:rPr>
        <w:t xml:space="preserve">lo cual debió ser </w:t>
      </w:r>
      <w:r w:rsidRPr="0060348F">
        <w:rPr>
          <w:rFonts w:ascii="Palatino Linotype" w:eastAsia="MS Mincho" w:hAnsi="Palatino Linotype" w:cs="Times New Roman"/>
        </w:rPr>
        <w:t xml:space="preserve">con fundamento en </w:t>
      </w:r>
      <w:r w:rsidRPr="0060348F">
        <w:rPr>
          <w:rFonts w:ascii="Palatino Linotype" w:eastAsia="MS Mincho" w:hAnsi="Palatino Linotype" w:cs="Arial"/>
        </w:rPr>
        <w:t xml:space="preserve">el artículo 158 y 164 de la Ley de Transparencia y Acceso a la Información Pública del Estado de México y Municipios, que establecen que </w:t>
      </w:r>
      <w:r w:rsidRPr="0060348F">
        <w:rPr>
          <w:rFonts w:ascii="Palatino Linotype" w:eastAsia="MS Mincho" w:hAnsi="Palatino Linotype" w:cs="Arial"/>
          <w:b/>
        </w:rPr>
        <w:t xml:space="preserve">excepcionalmente, de forma fundada y motivada, </w:t>
      </w:r>
      <w:r w:rsidRPr="0060348F">
        <w:rPr>
          <w:rFonts w:ascii="Palatino Linotype" w:eastAsia="MS Mincho" w:hAnsi="Palatino Linotype" w:cs="Arial"/>
        </w:rPr>
        <w:t xml:space="preserve">en el caso de que la información solicitada implique </w:t>
      </w:r>
      <w:r w:rsidRPr="0060348F">
        <w:rPr>
          <w:rFonts w:ascii="Palatino Linotype" w:eastAsia="MS Mincho" w:hAnsi="Palatino Linotype" w:cs="Arial"/>
          <w:b/>
        </w:rPr>
        <w:t xml:space="preserve">análisis, estudio o procesamiento de documentos, </w:t>
      </w:r>
      <w:r w:rsidRPr="0060348F">
        <w:rPr>
          <w:rFonts w:ascii="Palatino Linotype" w:eastAsia="MS Mincho" w:hAnsi="Palatino Linotype" w:cs="Arial"/>
        </w:rPr>
        <w:t xml:space="preserve">cuya entrega o reproducción </w:t>
      </w:r>
      <w:r w:rsidRPr="0060348F">
        <w:rPr>
          <w:rFonts w:ascii="Palatino Linotype" w:eastAsia="MS Mincho" w:hAnsi="Palatino Linotype" w:cs="Arial"/>
          <w:b/>
        </w:rPr>
        <w:t xml:space="preserve">sobrepase las capacidades técnicas, administrativas y humanas del sujeto obligado, </w:t>
      </w:r>
      <w:r w:rsidRPr="0060348F">
        <w:rPr>
          <w:rFonts w:ascii="Palatino Linotype" w:eastAsia="MS Mincho" w:hAnsi="Palatino Linotype" w:cs="Arial"/>
        </w:rPr>
        <w:t xml:space="preserve">se podrá poner a disposición del solicitante los documentos en consulta directa. </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 Es </w:t>
      </w:r>
      <w:r w:rsidRPr="0060348F">
        <w:rPr>
          <w:rFonts w:ascii="Palatino Linotype" w:eastAsia="MS Mincho" w:hAnsi="Palatino Linotype" w:cs="Times New Roman"/>
        </w:rPr>
        <w:t>d</w:t>
      </w:r>
      <w:r w:rsidRPr="0060348F">
        <w:rPr>
          <w:rFonts w:ascii="Palatino Linotype" w:eastAsia="MS Mincho" w:hAnsi="Palatino Linotype" w:cs="Arial"/>
        </w:rPr>
        <w:t xml:space="preserve">ecir, del artículo anterior se derivan tres hipótesis que en conjunto y de manera fundada y motivada, validan el cambio de modalidad de entrega de </w:t>
      </w:r>
      <w:r w:rsidR="00F946B5" w:rsidRPr="0060348F">
        <w:rPr>
          <w:rFonts w:ascii="Palatino Linotype" w:eastAsia="MS Mincho" w:hAnsi="Palatino Linotype" w:cs="Arial"/>
        </w:rPr>
        <w:t>la información y las cuales son:</w:t>
      </w:r>
      <w:r w:rsidRPr="0060348F">
        <w:rPr>
          <w:rFonts w:ascii="Palatino Linotype" w:eastAsia="MS Mincho" w:hAnsi="Palatino Linotype" w:cs="Arial"/>
        </w:rPr>
        <w:t xml:space="preserve"> que las documentales a proporcionar </w:t>
      </w:r>
      <w:r w:rsidRPr="0060348F">
        <w:rPr>
          <w:rFonts w:ascii="Palatino Linotype" w:eastAsia="MS Mincho" w:hAnsi="Palatino Linotype" w:cs="Arial"/>
          <w:b/>
        </w:rPr>
        <w:t>sobrepasen las capacidades técnicas, administrativas y humanas del sujeto obligado.</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En ese sentido, del</w:t>
      </w:r>
      <w:r w:rsidR="005432D0" w:rsidRPr="0060348F">
        <w:rPr>
          <w:rFonts w:ascii="Palatino Linotype" w:eastAsia="MS Mincho" w:hAnsi="Palatino Linotype" w:cs="Arial"/>
        </w:rPr>
        <w:t xml:space="preserve">  escrito</w:t>
      </w:r>
      <w:r w:rsidRPr="0060348F">
        <w:rPr>
          <w:rFonts w:ascii="Palatino Linotype" w:eastAsia="MS Mincho" w:hAnsi="Palatino Linotype" w:cs="Arial"/>
        </w:rPr>
        <w:t xml:space="preserve"> remitido en respuesta, se advierte que </w:t>
      </w:r>
      <w:r w:rsidR="005432D0" w:rsidRPr="0060348F">
        <w:rPr>
          <w:rFonts w:ascii="Palatino Linotype" w:eastAsia="MS Mincho" w:hAnsi="Palatino Linotype" w:cs="Arial"/>
        </w:rPr>
        <w:t xml:space="preserve">los argumentos </w:t>
      </w:r>
      <w:r w:rsidRPr="0060348F">
        <w:rPr>
          <w:rFonts w:ascii="Palatino Linotype" w:eastAsia="MS Mincho" w:hAnsi="Palatino Linotype" w:cs="Arial"/>
        </w:rPr>
        <w:t>son insuficientes para soportar y aceptar el cambio de modalidad pretendido; toda vez que no se abarcan los siguientes elementos.</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1" w:name="_Toc67312758"/>
      <w:bookmarkStart w:id="152" w:name="_Toc71674115"/>
      <w:bookmarkStart w:id="153" w:name="_Toc83128584"/>
      <w:r w:rsidRPr="0060348F">
        <w:rPr>
          <w:rFonts w:ascii="Palatino Linotype" w:eastAsia="MS Mincho" w:hAnsi="Palatino Linotype"/>
          <w:b/>
          <w:color w:val="000000" w:themeColor="text1"/>
          <w:sz w:val="24"/>
          <w:szCs w:val="24"/>
        </w:rPr>
        <w:t>Temporalidad de las solicitudes de información.</w:t>
      </w:r>
      <w:bookmarkEnd w:id="151"/>
      <w:bookmarkEnd w:id="152"/>
      <w:bookmarkEnd w:id="153"/>
    </w:p>
    <w:p w:rsidR="009F09BC" w:rsidRPr="0060348F" w:rsidRDefault="009F09BC" w:rsidP="009F09BC">
      <w:pPr>
        <w:rPr>
          <w:lang w:val="es-MX" w:eastAsia="en-US"/>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b/>
          <w:i/>
        </w:rPr>
      </w:pPr>
      <w:r w:rsidRPr="0060348F">
        <w:rPr>
          <w:rFonts w:ascii="Palatino Linotype" w:eastAsia="MS Mincho" w:hAnsi="Palatino Linotype" w:cs="Arial"/>
        </w:rPr>
        <w:t xml:space="preserve">En el Acuerdo que los sujetos obligados remitan para realizar el cambio de modalidad a </w:t>
      </w:r>
      <w:r w:rsidRPr="0060348F">
        <w:rPr>
          <w:rFonts w:ascii="Palatino Linotype" w:eastAsia="MS Mincho" w:hAnsi="Palatino Linotype" w:cs="Arial"/>
          <w:b/>
          <w:i/>
        </w:rPr>
        <w:t>In situ</w:t>
      </w:r>
      <w:r w:rsidRPr="0060348F">
        <w:rPr>
          <w:rFonts w:ascii="Palatino Linotype" w:eastAsia="MS Mincho" w:hAnsi="Palatino Linotype" w:cs="Arial"/>
        </w:rPr>
        <w:t xml:space="preserve">, </w:t>
      </w:r>
      <w:r w:rsidR="005432D0" w:rsidRPr="0060348F">
        <w:rPr>
          <w:rFonts w:ascii="Palatino Linotype" w:eastAsia="MS Mincho" w:hAnsi="Palatino Linotype" w:cs="Arial"/>
        </w:rPr>
        <w:t>(</w:t>
      </w:r>
      <w:r w:rsidRPr="0060348F">
        <w:rPr>
          <w:rFonts w:ascii="Palatino Linotype" w:eastAsia="MS Mincho" w:hAnsi="Palatino Linotype" w:cs="Arial"/>
        </w:rPr>
        <w:t>y que no fue generad</w:t>
      </w:r>
      <w:r w:rsidR="005432D0" w:rsidRPr="0060348F">
        <w:rPr>
          <w:rFonts w:ascii="Palatino Linotype" w:eastAsia="MS Mincho" w:hAnsi="Palatino Linotype" w:cs="Arial"/>
        </w:rPr>
        <w:t>o</w:t>
      </w:r>
      <w:r w:rsidRPr="0060348F">
        <w:rPr>
          <w:rFonts w:ascii="Palatino Linotype" w:eastAsia="MS Mincho" w:hAnsi="Palatino Linotype" w:cs="Arial"/>
        </w:rPr>
        <w:t xml:space="preserve"> para </w:t>
      </w:r>
      <w:r w:rsidR="005432D0" w:rsidRPr="0060348F">
        <w:rPr>
          <w:rFonts w:ascii="Palatino Linotype" w:eastAsia="MS Mincho" w:hAnsi="Palatino Linotype" w:cs="Arial"/>
        </w:rPr>
        <w:t>e</w:t>
      </w:r>
      <w:r w:rsidRPr="0060348F">
        <w:rPr>
          <w:rFonts w:ascii="Palatino Linotype" w:eastAsia="MS Mincho" w:hAnsi="Palatino Linotype" w:cs="Arial"/>
        </w:rPr>
        <w:t>l presente</w:t>
      </w:r>
      <w:r w:rsidR="005432D0" w:rsidRPr="0060348F">
        <w:rPr>
          <w:rFonts w:ascii="Palatino Linotype" w:eastAsia="MS Mincho" w:hAnsi="Palatino Linotype" w:cs="Arial"/>
        </w:rPr>
        <w:t xml:space="preserve"> asunto)</w:t>
      </w:r>
      <w:r w:rsidRPr="0060348F">
        <w:rPr>
          <w:rFonts w:ascii="Palatino Linotype" w:eastAsia="MS Mincho" w:hAnsi="Palatino Linotype" w:cs="Arial"/>
        </w:rPr>
        <w:t xml:space="preserve"> por parte del Comité de Transparencia del </w:t>
      </w:r>
      <w:r w:rsidR="008A699B" w:rsidRPr="0060348F">
        <w:rPr>
          <w:rFonts w:ascii="Palatino Linotype" w:hAnsi="Palatino Linotype"/>
          <w:bCs/>
          <w:color w:val="000000"/>
          <w:szCs w:val="22"/>
        </w:rPr>
        <w:t>Comisión de Conciliación y Arbitraje Médico del Estado de México</w:t>
      </w:r>
      <w:r w:rsidRPr="0060348F">
        <w:rPr>
          <w:rFonts w:ascii="Palatino Linotype" w:eastAsia="MS Mincho" w:hAnsi="Palatino Linotype" w:cs="Arial"/>
        </w:rPr>
        <w:t xml:space="preserve">, se deben identificar en que lapso temporal se interpusieron determinado número de solicitudes y recursos de revisión; es decir “de tal día a tal día” se estará identificado el intervalo de número de solicitudes de información e </w:t>
      </w:r>
      <w:r w:rsidRPr="0060348F">
        <w:rPr>
          <w:rFonts w:ascii="Palatino Linotype" w:eastAsia="MS Mincho" w:hAnsi="Palatino Linotype" w:cs="Arial"/>
        </w:rPr>
        <w:lastRenderedPageBreak/>
        <w:t xml:space="preserve">interposición de recursos de revisión, que </w:t>
      </w:r>
      <w:r w:rsidR="005432D0" w:rsidRPr="0060348F">
        <w:rPr>
          <w:rFonts w:ascii="Palatino Linotype" w:eastAsia="MS Mincho" w:hAnsi="Palatino Linotype" w:cs="Arial"/>
        </w:rPr>
        <w:t xml:space="preserve">probablemente </w:t>
      </w:r>
      <w:r w:rsidRPr="0060348F">
        <w:rPr>
          <w:rFonts w:ascii="Palatino Linotype" w:eastAsia="MS Mincho" w:hAnsi="Palatino Linotype" w:cs="Arial"/>
        </w:rPr>
        <w:t xml:space="preserve">les estén siendo remitidos </w:t>
      </w:r>
      <w:r w:rsidR="00025C53" w:rsidRPr="0060348F">
        <w:rPr>
          <w:rFonts w:ascii="Palatino Linotype" w:eastAsia="MS Mincho" w:hAnsi="Palatino Linotype" w:cs="Arial"/>
        </w:rPr>
        <w:t xml:space="preserve">o bien que el contenido de la solicitud de información ingresada es excesiva </w:t>
      </w:r>
      <w:r w:rsidRPr="0060348F">
        <w:rPr>
          <w:rFonts w:ascii="Palatino Linotype" w:eastAsia="MS Mincho" w:hAnsi="Palatino Linotype" w:cs="Arial"/>
        </w:rPr>
        <w:t>y que deben sustanciar en un mismo lapso de tiempo que la ley les obliga, de modo tal que determinando el número de asuntos que tiene que atender el sujeto obligado es visiblemente excesivo, y está soportando como se están sobrepasando sus  capacidades técnicas, administrativas y humanas.</w:t>
      </w:r>
    </w:p>
    <w:p w:rsidR="009F09BC" w:rsidRPr="0060348F" w:rsidRDefault="009F09BC" w:rsidP="009F09BC">
      <w:pPr>
        <w:spacing w:line="360" w:lineRule="auto"/>
        <w:contextualSpacing/>
        <w:jc w:val="both"/>
        <w:rPr>
          <w:rFonts w:ascii="Palatino Linotype" w:eastAsia="MS Mincho" w:hAnsi="Palatino Linotype" w:cs="Arial"/>
          <w:b/>
          <w:i/>
        </w:rPr>
      </w:pPr>
    </w:p>
    <w:p w:rsidR="005432D0" w:rsidRPr="0060348F" w:rsidRDefault="009F09BC" w:rsidP="005432D0">
      <w:pPr>
        <w:numPr>
          <w:ilvl w:val="0"/>
          <w:numId w:val="15"/>
        </w:numPr>
        <w:spacing w:line="360" w:lineRule="auto"/>
        <w:ind w:left="0" w:firstLine="0"/>
        <w:contextualSpacing/>
        <w:jc w:val="both"/>
        <w:rPr>
          <w:rFonts w:ascii="Palatino Linotype" w:eastAsia="MS Mincho" w:hAnsi="Palatino Linotype" w:cs="Arial"/>
          <w:b/>
        </w:rPr>
      </w:pPr>
      <w:r w:rsidRPr="0060348F">
        <w:rPr>
          <w:rFonts w:ascii="Palatino Linotype" w:eastAsia="MS Mincho" w:hAnsi="Palatino Linotype" w:cs="Arial"/>
        </w:rPr>
        <w:t>Contexto que en el presente asunto, no se ma</w:t>
      </w:r>
      <w:r w:rsidR="005432D0" w:rsidRPr="0060348F">
        <w:rPr>
          <w:rFonts w:ascii="Palatino Linotype" w:eastAsia="MS Mincho" w:hAnsi="Palatino Linotype" w:cs="Arial"/>
        </w:rPr>
        <w:t>terializó, como se desprende del escrito entregado en respuesta, donde además se reitera, no se vertieron argumentos que motivaran el cambio de modalidad; sino únicamente la transcripción de dos artículos de la Ley de Transparencia y Acceso a la Información Pública del Estado de México y Municipios.</w:t>
      </w:r>
    </w:p>
    <w:p w:rsidR="008573BF" w:rsidRPr="0060348F" w:rsidRDefault="008573BF" w:rsidP="009F09BC">
      <w:pPr>
        <w:spacing w:line="360" w:lineRule="auto"/>
        <w:contextualSpacing/>
        <w:jc w:val="center"/>
        <w:rPr>
          <w:rFonts w:ascii="Palatino Linotype" w:eastAsia="MS Mincho" w:hAnsi="Palatino Linotype" w:cs="Arial"/>
          <w:b/>
        </w:rPr>
      </w:pPr>
    </w:p>
    <w:p w:rsidR="009F09BC" w:rsidRPr="0060348F"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4" w:name="_Toc67312759"/>
      <w:bookmarkStart w:id="155" w:name="_Toc71674116"/>
      <w:bookmarkStart w:id="156" w:name="_Toc83128585"/>
      <w:r w:rsidRPr="0060348F">
        <w:rPr>
          <w:rFonts w:ascii="Palatino Linotype" w:eastAsia="MS Mincho" w:hAnsi="Palatino Linotype"/>
          <w:b/>
          <w:color w:val="000000" w:themeColor="text1"/>
          <w:sz w:val="24"/>
          <w:szCs w:val="24"/>
        </w:rPr>
        <w:t>Del solicitante.</w:t>
      </w:r>
      <w:bookmarkEnd w:id="154"/>
      <w:bookmarkEnd w:id="155"/>
      <w:bookmarkEnd w:id="156"/>
    </w:p>
    <w:p w:rsidR="009F09BC" w:rsidRPr="0060348F" w:rsidRDefault="009F09BC" w:rsidP="009F09BC">
      <w:pPr>
        <w:rPr>
          <w:lang w:val="es-MX" w:eastAsia="en-US"/>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i/>
        </w:rPr>
      </w:pPr>
      <w:r w:rsidRPr="0060348F">
        <w:rPr>
          <w:rFonts w:ascii="Palatino Linotype" w:eastAsia="MS Mincho" w:hAnsi="Palatino Linotype" w:cs="Arial"/>
        </w:rPr>
        <w:t>Por otro lado, se debe identificar que el solicitante o quejoso según sea el caso, sea el mismo que ha ingresado el mismo cumulo de solicitudes de inf</w:t>
      </w:r>
      <w:r w:rsidR="005432D0" w:rsidRPr="0060348F">
        <w:rPr>
          <w:rFonts w:ascii="Palatino Linotype" w:eastAsia="MS Mincho" w:hAnsi="Palatino Linotype" w:cs="Arial"/>
        </w:rPr>
        <w:t>ormación y recursos de revisión; o bien que la información que ha requerido en una sola solicitud de información es excesiva.</w:t>
      </w:r>
    </w:p>
    <w:p w:rsidR="009F09BC" w:rsidRPr="0060348F" w:rsidRDefault="009F09BC" w:rsidP="009F09BC">
      <w:pPr>
        <w:spacing w:line="360" w:lineRule="auto"/>
        <w:contextualSpacing/>
        <w:jc w:val="both"/>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Lo anterior, para poder arribar a la conclusión de que a todas luces resulta insuficiente el recurso humano con el que cuenta el </w:t>
      </w:r>
      <w:r w:rsidR="005432D0" w:rsidRPr="0060348F">
        <w:rPr>
          <w:rFonts w:ascii="Palatino Linotype" w:eastAsia="MS Mincho" w:hAnsi="Palatino Linotype" w:cs="Arial"/>
          <w:b/>
        </w:rPr>
        <w:t xml:space="preserve">SUJETO OBLIGADO </w:t>
      </w:r>
      <w:r w:rsidRPr="0060348F">
        <w:rPr>
          <w:rFonts w:ascii="Palatino Linotype" w:eastAsia="MS Mincho" w:hAnsi="Palatino Linotype" w:cs="Arial"/>
        </w:rPr>
        <w:t xml:space="preserve">para atender la cantidad de solicitudes cumpliendo con los plazos establecidos para tal efecto, </w:t>
      </w:r>
      <w:r w:rsidR="008573BF" w:rsidRPr="0060348F">
        <w:rPr>
          <w:rFonts w:ascii="Palatino Linotype" w:eastAsia="MS Mincho" w:hAnsi="Palatino Linotype" w:cs="Arial"/>
        </w:rPr>
        <w:t>más</w:t>
      </w:r>
      <w:r w:rsidRPr="0060348F">
        <w:rPr>
          <w:rFonts w:ascii="Palatino Linotype" w:eastAsia="MS Mincho" w:hAnsi="Palatino Linotype" w:cs="Arial"/>
        </w:rPr>
        <w:t xml:space="preserve"> aun cuando guardan identidad de parte; es decir, fueron interpuestas por un mismo solicitante, resultando inviable atender únicamente lo solicitado por </w:t>
      </w:r>
      <w:r w:rsidRPr="0060348F">
        <w:rPr>
          <w:rFonts w:ascii="Palatino Linotype" w:eastAsia="MS Mincho" w:hAnsi="Palatino Linotype" w:cs="Arial"/>
        </w:rPr>
        <w:lastRenderedPageBreak/>
        <w:t>un ciudadano, excluyendo las demás actividades encomendadas a los servidores públicos de</w:t>
      </w:r>
      <w:r w:rsidR="00775EB2" w:rsidRPr="0060348F">
        <w:rPr>
          <w:rFonts w:ascii="Palatino Linotype" w:eastAsia="MS Mincho" w:hAnsi="Palatino Linotype" w:cs="Arial"/>
        </w:rPr>
        <w:t xml:space="preserve"> </w:t>
      </w:r>
      <w:r w:rsidRPr="0060348F">
        <w:rPr>
          <w:rFonts w:ascii="Palatino Linotype" w:eastAsia="MS Mincho" w:hAnsi="Palatino Linotype" w:cs="Arial"/>
        </w:rPr>
        <w:t>l</w:t>
      </w:r>
      <w:r w:rsidR="00775EB2" w:rsidRPr="0060348F">
        <w:rPr>
          <w:rFonts w:ascii="Palatino Linotype" w:eastAsia="MS Mincho" w:hAnsi="Palatino Linotype" w:cs="Arial"/>
        </w:rPr>
        <w:t>a</w:t>
      </w:r>
      <w:r w:rsidRPr="0060348F">
        <w:rPr>
          <w:rFonts w:ascii="Palatino Linotype" w:eastAsia="MS Mincho" w:hAnsi="Palatino Linotype" w:cs="Arial"/>
        </w:rPr>
        <w:t xml:space="preserve"> </w:t>
      </w:r>
      <w:r w:rsidR="008A699B" w:rsidRPr="0060348F">
        <w:rPr>
          <w:rFonts w:ascii="Palatino Linotype" w:hAnsi="Palatino Linotype"/>
          <w:b/>
          <w:bCs/>
          <w:color w:val="000000"/>
        </w:rPr>
        <w:t>Comisión de Conciliación y Arbitraje Médico del Estado de México</w:t>
      </w:r>
      <w:r w:rsidRPr="0060348F">
        <w:rPr>
          <w:rFonts w:ascii="Palatino Linotype" w:eastAsia="MS Mincho" w:hAnsi="Palatino Linotype" w:cs="Arial"/>
        </w:rPr>
        <w:t>, en pro de la sociedad en general.</w:t>
      </w:r>
    </w:p>
    <w:p w:rsidR="008573BF" w:rsidRPr="0060348F" w:rsidRDefault="008573BF" w:rsidP="008573BF">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Contexto que como se aprecia del </w:t>
      </w:r>
      <w:r w:rsidR="00775EB2" w:rsidRPr="0060348F">
        <w:rPr>
          <w:rFonts w:ascii="Palatino Linotype" w:eastAsia="MS Mincho" w:hAnsi="Palatino Linotype" w:cs="Arial"/>
        </w:rPr>
        <w:t>escrito remitido</w:t>
      </w:r>
      <w:r w:rsidRPr="0060348F">
        <w:rPr>
          <w:rFonts w:ascii="Palatino Linotype" w:eastAsia="MS Mincho" w:hAnsi="Palatino Linotype" w:cs="Arial"/>
        </w:rPr>
        <w:t>, anteriormente trascrito, no se identifica al solicitante y el intervalo de fechas en que ingresó el cumul</w:t>
      </w:r>
      <w:r w:rsidR="00775EB2" w:rsidRPr="0060348F">
        <w:rPr>
          <w:rFonts w:ascii="Palatino Linotype" w:eastAsia="MS Mincho" w:hAnsi="Palatino Linotype" w:cs="Arial"/>
        </w:rPr>
        <w:t>o de solicitudes de información; o que la solicitud de mérito es excesiva.</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7" w:name="_Toc67312760"/>
      <w:bookmarkStart w:id="158" w:name="_Toc71674117"/>
      <w:bookmarkStart w:id="159" w:name="_Toc83128586"/>
      <w:r w:rsidRPr="0060348F">
        <w:rPr>
          <w:rFonts w:ascii="Palatino Linotype" w:eastAsia="MS Mincho" w:hAnsi="Palatino Linotype"/>
          <w:b/>
          <w:color w:val="000000" w:themeColor="text1"/>
          <w:sz w:val="24"/>
          <w:szCs w:val="24"/>
        </w:rPr>
        <w:t>El tiempo estimado de atención.</w:t>
      </w:r>
      <w:bookmarkEnd w:id="157"/>
      <w:bookmarkEnd w:id="158"/>
      <w:bookmarkEnd w:id="159"/>
    </w:p>
    <w:p w:rsidR="009F09BC" w:rsidRPr="0060348F" w:rsidRDefault="009F09BC" w:rsidP="009F09BC">
      <w:pPr>
        <w:rPr>
          <w:lang w:val="es-MX" w:eastAsia="en-US"/>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El </w:t>
      </w:r>
      <w:r w:rsidRPr="0060348F">
        <w:rPr>
          <w:rFonts w:ascii="Palatino Linotype" w:eastAsia="MS Mincho" w:hAnsi="Palatino Linotype" w:cs="Arial"/>
          <w:b/>
        </w:rPr>
        <w:t>SUJETO OBLIGADO</w:t>
      </w:r>
      <w:r w:rsidRPr="0060348F">
        <w:rPr>
          <w:rFonts w:ascii="Palatino Linotype" w:eastAsia="MS Mincho" w:hAnsi="Palatino Linotype" w:cs="Arial"/>
        </w:rPr>
        <w:t>, debe demostrar la temporalidad y fechas en que se turnaron las solicitudes de información a los servidores públicos habilitados competentes de dar atención a las solicitudes de información.</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Lo anterior</w:t>
      </w:r>
      <w:r w:rsidRPr="0060348F">
        <w:rPr>
          <w:rFonts w:ascii="Palatino Linotype" w:hAnsi="Palatino Linotype" w:cs="Arial"/>
        </w:rPr>
        <w:t xml:space="preserve">, para acreditar que se cumple a cabalidad con el </w:t>
      </w:r>
      <w:r w:rsidRPr="0060348F">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60348F">
        <w:rPr>
          <w:rFonts w:ascii="Palatino Linotype" w:eastAsia="MS Mincho" w:hAnsi="Palatino Linotype" w:cs="Arial"/>
          <w:i/>
        </w:rPr>
        <w:t xml:space="preserve">a todas las áreas competentes que cuenten con la información o deban tenerla de acuerdo a sus facultades, competencias y funciones, </w:t>
      </w:r>
      <w:r w:rsidRPr="0060348F">
        <w:rPr>
          <w:rFonts w:ascii="Palatino Linotype" w:eastAsia="MS Mincho" w:hAnsi="Palatino Linotype" w:cs="Arial"/>
          <w:b/>
          <w:i/>
          <w:u w:val="single"/>
        </w:rPr>
        <w:t>con el objeto de que realicen una búsqueda exhaustiva y razonable de la información solicitada</w:t>
      </w:r>
      <w:r w:rsidRPr="0060348F">
        <w:rPr>
          <w:rFonts w:ascii="Palatino Linotype" w:eastAsia="MS Mincho" w:hAnsi="Palatino Linotype" w:cs="Arial"/>
          <w:i/>
        </w:rPr>
        <w:t>,</w:t>
      </w:r>
      <w:r w:rsidRPr="0060348F">
        <w:rPr>
          <w:rFonts w:ascii="Palatino Linotype" w:eastAsia="MS Mincho" w:hAnsi="Palatino Linotype" w:cs="Arial"/>
        </w:rPr>
        <w:t xml:space="preserve"> según se asienta en el artículo 162 de la ley citada. </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 xml:space="preserve">Toda vez que es obligación de identificar la unidad administrativa que resguarda el documento al que una persona pretende acceder, es practicar una </w:t>
      </w:r>
      <w:r w:rsidRPr="0060348F">
        <w:rPr>
          <w:rFonts w:ascii="Palatino Linotype" w:eastAsia="MS Mincho" w:hAnsi="Palatino Linotype" w:cs="Arial"/>
        </w:rPr>
        <w:lastRenderedPageBreak/>
        <w:t>adecuada gestión documental que nos permite localizar el documento, como bien señala el artículo 159 de la Ley de Transparencia.</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El </w:t>
      </w:r>
      <w:r w:rsidRPr="0060348F">
        <w:rPr>
          <w:rFonts w:ascii="Palatino Linotype" w:eastAsia="MS Mincho" w:hAnsi="Palatino Linotype" w:cs="Arial"/>
        </w:rPr>
        <w:t>Titular</w:t>
      </w:r>
      <w:r w:rsidRPr="0060348F">
        <w:rPr>
          <w:rFonts w:ascii="Palatino Linotype" w:hAnsi="Palatino Linotype"/>
        </w:rPr>
        <w:t xml:space="preserve"> de la Unidad de Transparencia tiene la obligación de cumplir con lo </w:t>
      </w:r>
      <w:r w:rsidRPr="0060348F">
        <w:rPr>
          <w:rFonts w:ascii="Palatino Linotype" w:eastAsia="MS Mincho" w:hAnsi="Palatino Linotype" w:cs="Arial"/>
        </w:rPr>
        <w:t>que</w:t>
      </w:r>
      <w:r w:rsidRPr="0060348F">
        <w:rPr>
          <w:rFonts w:ascii="Palatino Linotype" w:hAnsi="Palatino Linotype"/>
        </w:rPr>
        <w:t xml:space="preserve"> dispone la normatividad aplicable que, en primera instancia implica que solicite a todas las áreas que pudieron haber generado o administrado la información requerida, la búsqueda de la misma.</w:t>
      </w:r>
    </w:p>
    <w:p w:rsidR="009F09BC" w:rsidRPr="0060348F" w:rsidRDefault="009F09BC" w:rsidP="009F09BC">
      <w:pPr>
        <w:pStyle w:val="Prrafodelista"/>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Atento a l</w:t>
      </w:r>
      <w:r w:rsidR="00B07BF8" w:rsidRPr="0060348F">
        <w:rPr>
          <w:rFonts w:ascii="Palatino Linotype" w:hAnsi="Palatino Linotype"/>
        </w:rPr>
        <w:t>o anterior, de la revisión al</w:t>
      </w:r>
      <w:r w:rsidRPr="0060348F">
        <w:rPr>
          <w:rFonts w:ascii="Palatino Linotype" w:hAnsi="Palatino Linotype"/>
        </w:rPr>
        <w:t xml:space="preserve"> expediente electrónico en que se ac</w:t>
      </w:r>
      <w:r w:rsidR="00B07BF8" w:rsidRPr="0060348F">
        <w:rPr>
          <w:rFonts w:ascii="Palatino Linotype" w:hAnsi="Palatino Linotype"/>
        </w:rPr>
        <w:t xml:space="preserve">túa, se advierte que si existe el </w:t>
      </w:r>
      <w:r w:rsidRPr="0060348F">
        <w:rPr>
          <w:rFonts w:ascii="Palatino Linotype" w:hAnsi="Palatino Linotype"/>
        </w:rPr>
        <w:t>registro de que la</w:t>
      </w:r>
      <w:r w:rsidR="00B07BF8" w:rsidRPr="0060348F">
        <w:rPr>
          <w:rFonts w:ascii="Palatino Linotype" w:hAnsi="Palatino Linotype"/>
        </w:rPr>
        <w:t xml:space="preserve"> solicitud</w:t>
      </w:r>
      <w:r w:rsidRPr="0060348F">
        <w:rPr>
          <w:rFonts w:ascii="Palatino Linotype" w:hAnsi="Palatino Linotype"/>
        </w:rPr>
        <w:t xml:space="preserve"> de información de la que se pretende el cambio de modalidad, </w:t>
      </w:r>
      <w:r w:rsidR="00B07BF8" w:rsidRPr="0060348F">
        <w:rPr>
          <w:rFonts w:ascii="Palatino Linotype" w:hAnsi="Palatino Linotype"/>
        </w:rPr>
        <w:t>si fue</w:t>
      </w:r>
      <w:r w:rsidRPr="0060348F">
        <w:rPr>
          <w:rFonts w:ascii="Palatino Linotype" w:hAnsi="Palatino Linotype"/>
        </w:rPr>
        <w:t xml:space="preserve"> turnada, como se advierte de la siguiente captura de pantalla:</w:t>
      </w:r>
    </w:p>
    <w:p w:rsidR="009F09BC" w:rsidRPr="0060348F" w:rsidRDefault="00B07BF8" w:rsidP="009F09BC">
      <w:pPr>
        <w:spacing w:line="360" w:lineRule="auto"/>
        <w:contextualSpacing/>
        <w:jc w:val="center"/>
        <w:rPr>
          <w:rFonts w:ascii="Palatino Linotype" w:hAnsi="Palatino Linotype"/>
        </w:rPr>
      </w:pPr>
      <w:r w:rsidRPr="0060348F">
        <w:rPr>
          <w:rFonts w:ascii="Palatino Linotype" w:hAnsi="Palatino Linotype"/>
          <w:noProof/>
          <w:lang w:val="es-MX" w:eastAsia="es-MX"/>
        </w:rPr>
        <w:drawing>
          <wp:inline distT="0" distB="0" distL="0" distR="0">
            <wp:extent cx="5402253" cy="1328423"/>
            <wp:effectExtent l="19050" t="19050" r="27305" b="241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6859" cy="1329556"/>
                    </a:xfrm>
                    <a:prstGeom prst="rect">
                      <a:avLst/>
                    </a:prstGeom>
                    <a:noFill/>
                    <a:ln>
                      <a:solidFill>
                        <a:schemeClr val="tx1"/>
                      </a:solidFill>
                    </a:ln>
                  </pic:spPr>
                </pic:pic>
              </a:graphicData>
            </a:graphic>
          </wp:inline>
        </w:drawing>
      </w:r>
    </w:p>
    <w:p w:rsidR="00B07BF8" w:rsidRPr="0060348F" w:rsidRDefault="00B07BF8" w:rsidP="009F09BC">
      <w:pPr>
        <w:spacing w:line="360" w:lineRule="auto"/>
        <w:contextualSpacing/>
        <w:jc w:val="center"/>
        <w:rPr>
          <w:rFonts w:ascii="Palatino Linotype" w:hAnsi="Palatino Linotype"/>
        </w:rPr>
      </w:pPr>
    </w:p>
    <w:p w:rsidR="009F09BC" w:rsidRPr="0060348F" w:rsidRDefault="00B07BF8"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De</w:t>
      </w:r>
      <w:r w:rsidR="009F09BC" w:rsidRPr="0060348F">
        <w:rPr>
          <w:rFonts w:ascii="Palatino Linotype" w:eastAsia="MS Mincho" w:hAnsi="Palatino Linotype" w:cs="Arial"/>
        </w:rPr>
        <w:t>l requerimiento realizado al servidor público habilitado, se des</w:t>
      </w:r>
      <w:r w:rsidRPr="0060348F">
        <w:rPr>
          <w:rFonts w:ascii="Palatino Linotype" w:eastAsia="MS Mincho" w:hAnsi="Palatino Linotype" w:cs="Arial"/>
        </w:rPr>
        <w:t>prende que este</w:t>
      </w:r>
      <w:r w:rsidR="009F09BC" w:rsidRPr="0060348F">
        <w:rPr>
          <w:rFonts w:ascii="Palatino Linotype" w:eastAsia="MS Mincho" w:hAnsi="Palatino Linotype" w:cs="Arial"/>
        </w:rPr>
        <w:t xml:space="preserve"> si di</w:t>
      </w:r>
      <w:r w:rsidRPr="0060348F">
        <w:rPr>
          <w:rFonts w:ascii="Palatino Linotype" w:eastAsia="MS Mincho" w:hAnsi="Palatino Linotype" w:cs="Arial"/>
        </w:rPr>
        <w:t>o</w:t>
      </w:r>
      <w:r w:rsidR="009F09BC" w:rsidRPr="0060348F">
        <w:rPr>
          <w:rFonts w:ascii="Palatino Linotype" w:eastAsia="MS Mincho" w:hAnsi="Palatino Linotype" w:cs="Arial"/>
        </w:rPr>
        <w:t xml:space="preserve"> respuesta; sin embargo se realizó únicamente </w:t>
      </w:r>
      <w:r w:rsidRPr="0060348F">
        <w:rPr>
          <w:rFonts w:ascii="Palatino Linotype" w:eastAsia="MS Mincho" w:hAnsi="Palatino Linotype" w:cs="Arial"/>
        </w:rPr>
        <w:t>el mismo argumento plasmado en la respuesta a</w:t>
      </w:r>
      <w:r w:rsidR="009F09BC" w:rsidRPr="0060348F">
        <w:rPr>
          <w:rFonts w:ascii="Palatino Linotype" w:eastAsia="MS Mincho" w:hAnsi="Palatino Linotype" w:cs="Arial"/>
        </w:rPr>
        <w:t xml:space="preserve"> efecto de requerir el cambio de modalidad, como se observa:</w:t>
      </w:r>
    </w:p>
    <w:p w:rsidR="009F09BC" w:rsidRPr="0060348F" w:rsidRDefault="00B07BF8" w:rsidP="009F09BC">
      <w:pPr>
        <w:spacing w:line="360" w:lineRule="auto"/>
        <w:contextualSpacing/>
        <w:jc w:val="both"/>
        <w:rPr>
          <w:rFonts w:ascii="Palatino Linotype" w:eastAsia="MS Mincho" w:hAnsi="Palatino Linotype" w:cs="Arial"/>
        </w:rPr>
      </w:pPr>
      <w:r w:rsidRPr="0060348F">
        <w:rPr>
          <w:rFonts w:ascii="Palatino Linotype" w:eastAsia="MS Mincho" w:hAnsi="Palatino Linotype" w:cs="Arial"/>
          <w:noProof/>
          <w:lang w:val="es-MX" w:eastAsia="es-MX"/>
        </w:rPr>
        <w:drawing>
          <wp:inline distT="0" distB="0" distL="0" distR="0">
            <wp:extent cx="5577840" cy="731520"/>
            <wp:effectExtent l="19050" t="19050" r="22860"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7840" cy="731520"/>
                    </a:xfrm>
                    <a:prstGeom prst="rect">
                      <a:avLst/>
                    </a:prstGeom>
                    <a:noFill/>
                    <a:ln>
                      <a:solidFill>
                        <a:schemeClr val="tx1"/>
                      </a:solidFill>
                    </a:ln>
                  </pic:spPr>
                </pic:pic>
              </a:graphicData>
            </a:graphic>
          </wp:inline>
        </w:drawing>
      </w:r>
    </w:p>
    <w:p w:rsidR="009F09BC" w:rsidRPr="0060348F" w:rsidRDefault="009F09BC" w:rsidP="009F09BC">
      <w:pPr>
        <w:spacing w:line="360" w:lineRule="auto"/>
        <w:contextualSpacing/>
        <w:jc w:val="center"/>
        <w:rPr>
          <w:rFonts w:ascii="Palatino Linotype" w:eastAsia="MS Mincho" w:hAnsi="Palatino Linotype" w:cs="Arial"/>
          <w:sz w:val="14"/>
        </w:rPr>
      </w:pPr>
    </w:p>
    <w:p w:rsidR="009F09BC" w:rsidRPr="0060348F" w:rsidRDefault="00B07BF8" w:rsidP="009F09BC">
      <w:pPr>
        <w:spacing w:line="360" w:lineRule="auto"/>
        <w:contextualSpacing/>
        <w:jc w:val="center"/>
        <w:rPr>
          <w:rFonts w:ascii="Palatino Linotype" w:eastAsia="MS Mincho" w:hAnsi="Palatino Linotype" w:cs="Arial"/>
        </w:rPr>
      </w:pPr>
      <w:r w:rsidRPr="0060348F">
        <w:rPr>
          <w:rFonts w:ascii="Palatino Linotype" w:eastAsia="MS Mincho" w:hAnsi="Palatino Linotype" w:cs="Arial"/>
          <w:noProof/>
          <w:lang w:val="es-MX" w:eastAsia="es-MX"/>
        </w:rPr>
        <w:lastRenderedPageBreak/>
        <w:drawing>
          <wp:inline distT="0" distB="0" distL="0" distR="0">
            <wp:extent cx="5577840" cy="1280160"/>
            <wp:effectExtent l="19050" t="19050" r="22860" b="152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7840" cy="1280160"/>
                    </a:xfrm>
                    <a:prstGeom prst="rect">
                      <a:avLst/>
                    </a:prstGeom>
                    <a:noFill/>
                    <a:ln>
                      <a:solidFill>
                        <a:schemeClr val="tx1"/>
                      </a:solidFill>
                    </a:ln>
                  </pic:spPr>
                </pic:pic>
              </a:graphicData>
            </a:graphic>
          </wp:inline>
        </w:drawing>
      </w:r>
    </w:p>
    <w:p w:rsidR="00B07BF8" w:rsidRPr="0060348F" w:rsidRDefault="00B07BF8" w:rsidP="009F09BC">
      <w:pPr>
        <w:spacing w:line="360" w:lineRule="auto"/>
        <w:contextualSpacing/>
        <w:jc w:val="center"/>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hAnsi="Palatino Linotype"/>
        </w:rPr>
        <w:t>En ese sentido</w:t>
      </w:r>
      <w:r w:rsidRPr="0060348F">
        <w:rPr>
          <w:rFonts w:ascii="Palatino Linotype" w:eastAsia="MS Mincho" w:hAnsi="Palatino Linotype" w:cs="Arial"/>
        </w:rPr>
        <w:t>, los servidores públicos habilitados, deben acusar de recibo de</w:t>
      </w:r>
      <w:r w:rsidR="00B07BF8" w:rsidRPr="0060348F">
        <w:rPr>
          <w:rFonts w:ascii="Palatino Linotype" w:eastAsia="MS Mincho" w:hAnsi="Palatino Linotype" w:cs="Arial"/>
        </w:rPr>
        <w:t xml:space="preserve"> </w:t>
      </w:r>
      <w:r w:rsidRPr="0060348F">
        <w:rPr>
          <w:rFonts w:ascii="Palatino Linotype" w:eastAsia="MS Mincho" w:hAnsi="Palatino Linotype" w:cs="Arial"/>
        </w:rPr>
        <w:t>l</w:t>
      </w:r>
      <w:r w:rsidR="00B07BF8" w:rsidRPr="0060348F">
        <w:rPr>
          <w:rFonts w:ascii="Palatino Linotype" w:eastAsia="MS Mincho" w:hAnsi="Palatino Linotype" w:cs="Arial"/>
        </w:rPr>
        <w:t>a</w:t>
      </w:r>
      <w:r w:rsidRPr="0060348F">
        <w:rPr>
          <w:rFonts w:ascii="Palatino Linotype" w:eastAsia="MS Mincho" w:hAnsi="Palatino Linotype" w:cs="Arial"/>
        </w:rPr>
        <w:t xml:space="preserve"> solicitud de información y den cuenta de todo el proceso de substanciación que deberán llevar a cabo, que de manera enunciativa mas no limitativa pueden ser: localización de la información, escaneo de documentación, elaboración de versiones públicas, puesta a disposición del Comité para hacer la aprobación de la clasificación </w:t>
      </w:r>
      <w:proofErr w:type="spellStart"/>
      <w:r w:rsidRPr="0060348F">
        <w:rPr>
          <w:rFonts w:ascii="Palatino Linotype" w:eastAsia="MS Mincho" w:hAnsi="Palatino Linotype" w:cs="Arial"/>
        </w:rPr>
        <w:t>etc</w:t>
      </w:r>
      <w:proofErr w:type="spellEnd"/>
      <w:r w:rsidRPr="0060348F">
        <w:rPr>
          <w:rFonts w:ascii="Palatino Linotype" w:eastAsia="MS Mincho" w:hAnsi="Palatino Linotype" w:cs="Arial"/>
        </w:rPr>
        <w:t>; es decir, acreditar que si bien se está buscando la información, y que se está realizando todo el procedimiento para el cumplimiento, también lo es que no se está negando la misma, pero ciertamente el lapso temporal es insuficiente para atender todas y cada una de las múltiples solicitudes de información en un mismo plazo.</w:t>
      </w:r>
    </w:p>
    <w:p w:rsidR="009F09BC" w:rsidRPr="0060348F" w:rsidRDefault="009F09BC" w:rsidP="009F09BC">
      <w:pPr>
        <w:spacing w:line="360" w:lineRule="auto"/>
        <w:contextualSpacing/>
        <w:jc w:val="both"/>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Contexto que en el p</w:t>
      </w:r>
      <w:r w:rsidR="005D2F1C" w:rsidRPr="0060348F">
        <w:rPr>
          <w:rFonts w:ascii="Palatino Linotype" w:eastAsia="MS Mincho" w:hAnsi="Palatino Linotype" w:cs="Arial"/>
        </w:rPr>
        <w:t xml:space="preserve">resente asunto, no se acreditó, </w:t>
      </w:r>
      <w:r w:rsidRPr="0060348F">
        <w:rPr>
          <w:rFonts w:ascii="Palatino Linotype" w:eastAsia="MS Mincho" w:hAnsi="Palatino Linotype" w:cs="Arial"/>
        </w:rPr>
        <w:t>sumado a que en la respuesta emitida no se generó ningún acta emitida por el Comité de Transparencia para sustentar el cambio de modalidad, únicamente se hizo mención por medio de</w:t>
      </w:r>
      <w:r w:rsidR="005D2F1C" w:rsidRPr="0060348F">
        <w:rPr>
          <w:rFonts w:ascii="Palatino Linotype" w:eastAsia="MS Mincho" w:hAnsi="Palatino Linotype" w:cs="Arial"/>
        </w:rPr>
        <w:t>l multicitado escrito del SAIMEX</w:t>
      </w:r>
      <w:r w:rsidRPr="0060348F">
        <w:rPr>
          <w:rFonts w:ascii="Palatino Linotype" w:eastAsia="MS Mincho" w:hAnsi="Palatino Linotype" w:cs="Arial"/>
        </w:rPr>
        <w:t>; luego entonces se concluye que tampoco se colman los requerimientos en comento.</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60" w:name="_Toc71674118"/>
      <w:bookmarkStart w:id="161" w:name="_Toc83128587"/>
      <w:r w:rsidRPr="0060348F">
        <w:rPr>
          <w:rFonts w:ascii="Palatino Linotype" w:eastAsia="MS Mincho" w:hAnsi="Palatino Linotype"/>
          <w:b/>
          <w:color w:val="000000" w:themeColor="text1"/>
          <w:sz w:val="24"/>
          <w:szCs w:val="24"/>
        </w:rPr>
        <w:t>Del reporte de incidencias</w:t>
      </w:r>
      <w:bookmarkEnd w:id="160"/>
      <w:bookmarkEnd w:id="161"/>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lastRenderedPageBreak/>
        <w:t xml:space="preserve">Por otro lado, es necesario subrayar, que no basta con que el </w:t>
      </w:r>
      <w:r w:rsidRPr="0060348F">
        <w:rPr>
          <w:rFonts w:ascii="Palatino Linotype" w:eastAsia="MS Mincho" w:hAnsi="Palatino Linotype" w:cs="Arial"/>
          <w:b/>
        </w:rPr>
        <w:t>SUJETO OBLIGADO</w:t>
      </w:r>
      <w:r w:rsidRPr="0060348F">
        <w:rPr>
          <w:rFonts w:ascii="Palatino Linotype" w:eastAsia="MS Mincho" w:hAnsi="Palatino Linotype" w:cs="Arial"/>
        </w:rPr>
        <w:t xml:space="preserve"> alegue que debido al volumen de la información no puede entregarla</w:t>
      </w:r>
      <w:r w:rsidRPr="0060348F">
        <w:rPr>
          <w:rFonts w:ascii="Palatino Linotype" w:eastAsia="MS Mincho" w:hAnsi="Palatino Linotype" w:cs="Arial"/>
          <w:u w:val="single"/>
        </w:rPr>
        <w:t xml:space="preserve"> </w:t>
      </w:r>
      <w:r w:rsidRPr="0060348F">
        <w:rPr>
          <w:rFonts w:ascii="Palatino Linotype" w:eastAsia="MS Mincho" w:hAnsi="Palatino Linotype" w:cs="Arial"/>
        </w:rPr>
        <w:t xml:space="preserve">vía electrónica, se requiere también generar previo a la respuesta un reporte de incidencias ante la Dirección de Informática de éste Instituto, de conformidad con el numeral CINCUENTA Y CUATRO DE LOS </w:t>
      </w:r>
      <w:r w:rsidRPr="0060348F">
        <w:rPr>
          <w:rFonts w:ascii="Palatino Linotype" w:eastAsia="MS Mincho" w:hAnsi="Palatino Linotype" w:cs="Times New Roman"/>
          <w:b/>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Pr="0060348F">
        <w:rPr>
          <w:rFonts w:ascii="Palatino Linotype" w:eastAsia="MS Mincho" w:hAnsi="Palatino Linotype" w:cs="Times New Roman"/>
        </w:rPr>
        <w:t>que a la letra señalan:</w:t>
      </w:r>
    </w:p>
    <w:p w:rsidR="009F09BC" w:rsidRPr="0060348F" w:rsidRDefault="009F09BC" w:rsidP="009F09BC">
      <w:pPr>
        <w:pStyle w:val="Prrafodelista"/>
        <w:rPr>
          <w:rFonts w:ascii="Palatino Linotype" w:eastAsia="MS Mincho" w:hAnsi="Palatino Linotype" w:cs="Arial"/>
        </w:rPr>
      </w:pPr>
    </w:p>
    <w:p w:rsidR="009F09BC" w:rsidRPr="0060348F" w:rsidRDefault="009F09BC" w:rsidP="009F09BC">
      <w:pPr>
        <w:spacing w:line="360" w:lineRule="auto"/>
        <w:ind w:left="567" w:right="567"/>
        <w:jc w:val="both"/>
        <w:rPr>
          <w:rFonts w:ascii="Palatino Linotype" w:eastAsia="MS Mincho" w:hAnsi="Palatino Linotype" w:cs="Times New Roman"/>
          <w:i/>
        </w:rPr>
      </w:pPr>
      <w:r w:rsidRPr="0060348F">
        <w:rPr>
          <w:rFonts w:ascii="Palatino Linotype" w:eastAsia="MS Mincho" w:hAnsi="Palatino Linotype" w:cs="Times New Roman"/>
          <w:b/>
          <w:i/>
        </w:rPr>
        <w:t>CINCUENTA Y CUATRO.-</w:t>
      </w:r>
      <w:r w:rsidRPr="0060348F">
        <w:rPr>
          <w:rFonts w:ascii="Palatino Linotype" w:eastAsia="MS Mincho" w:hAnsi="Palatino Linotype" w:cs="Times New Roman"/>
          <w:i/>
        </w:rPr>
        <w:t xml:space="preserve"> De acuerdo a lo dispuesto por el párrafo segundo del artículo 48 de la Ley, la información podrá ser entregada vía electrónica a través del SICOSIEM. </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spacing w:line="360" w:lineRule="auto"/>
        <w:ind w:left="567" w:right="567"/>
        <w:jc w:val="both"/>
        <w:rPr>
          <w:rFonts w:ascii="Palatino Linotype" w:eastAsia="MS Mincho" w:hAnsi="Palatino Linotype" w:cs="Times New Roman"/>
          <w:i/>
        </w:rPr>
      </w:pPr>
      <w:r w:rsidRPr="0060348F">
        <w:rPr>
          <w:rFonts w:ascii="Palatino Linotype" w:eastAsia="MS Mincho" w:hAnsi="Palatino Linotype" w:cs="Times New Roman"/>
          <w:i/>
        </w:rPr>
        <w:t>Es obligación del responsable de la Unidad de Información verificar que los archivos electrónicos que contengan la información entregada, se encuentra agregada al SICOSIEM.</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spacing w:line="360" w:lineRule="auto"/>
        <w:ind w:left="567" w:right="567"/>
        <w:jc w:val="both"/>
        <w:rPr>
          <w:rFonts w:ascii="Palatino Linotype" w:eastAsia="MS Mincho" w:hAnsi="Palatino Linotype" w:cs="Times New Roman"/>
          <w:b/>
          <w:i/>
        </w:rPr>
      </w:pPr>
      <w:r w:rsidRPr="0060348F">
        <w:rPr>
          <w:rFonts w:ascii="Palatino Linotype" w:eastAsia="MS Mincho" w:hAnsi="Palatino Linotype" w:cs="Times New Roman"/>
          <w:i/>
        </w:rPr>
        <w:t xml:space="preserve">En caso de que el responsable de la Unidad de Información no pueda agregar al SICOSIEM los archivos electrónicos que contengan la información por motivos técnicos, </w:t>
      </w:r>
      <w:r w:rsidRPr="0060348F">
        <w:rPr>
          <w:rFonts w:ascii="Palatino Linotype" w:eastAsia="MS Mincho" w:hAnsi="Palatino Linotype" w:cs="Times New Roman"/>
          <w:b/>
          <w:i/>
        </w:rPr>
        <w:t xml:space="preserve">debe avisar de inmediato al Instituto, a través del correo </w:t>
      </w:r>
      <w:r w:rsidRPr="0060348F">
        <w:rPr>
          <w:rFonts w:ascii="Palatino Linotype" w:eastAsia="MS Mincho" w:hAnsi="Palatino Linotype" w:cs="Times New Roman"/>
          <w:b/>
          <w:i/>
        </w:rPr>
        <w:lastRenderedPageBreak/>
        <w:t>electrónico institucional, Además de comunicarse vía telefónica de inmediato a efecto de que reciba el apoyo técnico correspondiente.</w:t>
      </w:r>
    </w:p>
    <w:p w:rsidR="009F09BC" w:rsidRPr="0060348F" w:rsidRDefault="009F09BC" w:rsidP="009F09BC">
      <w:pPr>
        <w:spacing w:line="360" w:lineRule="auto"/>
        <w:ind w:left="567" w:right="567"/>
        <w:jc w:val="both"/>
        <w:rPr>
          <w:rFonts w:ascii="Palatino Linotype" w:eastAsia="MS Mincho" w:hAnsi="Palatino Linotype" w:cs="Times New Roman"/>
          <w:b/>
          <w:i/>
        </w:rPr>
      </w:pPr>
      <w:r w:rsidRPr="0060348F">
        <w:rPr>
          <w:rFonts w:ascii="Palatino Linotype" w:eastAsia="MS Mincho" w:hAnsi="Palatino Linotype" w:cs="Times New Roman"/>
          <w:b/>
          <w:i/>
        </w:rPr>
        <w:t>La Dirección de Sistemas e Informática del Instituto, debe llevar un registro de incidencias en el cual se asienten todas las llamas referentes al apoyo técnico para agregar los archivos electrónicos al SICOSIEM.</w:t>
      </w:r>
    </w:p>
    <w:p w:rsidR="009F09BC" w:rsidRPr="0060348F" w:rsidRDefault="009F09BC" w:rsidP="009F09BC">
      <w:pPr>
        <w:spacing w:line="360" w:lineRule="auto"/>
        <w:ind w:left="567" w:right="567"/>
        <w:jc w:val="both"/>
        <w:rPr>
          <w:rFonts w:ascii="Palatino Linotype" w:eastAsia="MS Mincho" w:hAnsi="Palatino Linotype" w:cs="Times New Roman"/>
          <w:b/>
          <w:i/>
        </w:rPr>
      </w:pPr>
    </w:p>
    <w:p w:rsidR="009F09BC" w:rsidRPr="0060348F" w:rsidRDefault="009F09BC" w:rsidP="009F09BC">
      <w:pPr>
        <w:spacing w:line="360" w:lineRule="auto"/>
        <w:ind w:left="567" w:right="567"/>
        <w:jc w:val="both"/>
        <w:rPr>
          <w:rFonts w:ascii="Palatino Linotype" w:eastAsia="MS Mincho" w:hAnsi="Palatino Linotype" w:cs="Times New Roman"/>
          <w:b/>
          <w:i/>
        </w:rPr>
      </w:pPr>
      <w:r w:rsidRPr="0060348F">
        <w:rPr>
          <w:rFonts w:ascii="Palatino Linotype" w:eastAsia="MS Mincho" w:hAnsi="Palatino Linotype" w:cs="Times New Roman"/>
          <w:b/>
          <w:i/>
        </w:rPr>
        <w:t xml:space="preserve">La omisión por parte del responsable de la Unidad de Información del procedimiento antes descrito presume la negativa de la entrega de la Información. </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spacing w:line="360" w:lineRule="auto"/>
        <w:ind w:left="567" w:right="567"/>
        <w:jc w:val="both"/>
        <w:rPr>
          <w:rFonts w:ascii="Palatino Linotype" w:eastAsia="MS Mincho" w:hAnsi="Palatino Linotype" w:cs="Times New Roman"/>
          <w:i/>
        </w:rPr>
      </w:pPr>
      <w:r w:rsidRPr="0060348F">
        <w:rPr>
          <w:rFonts w:ascii="Palatino Linotype" w:eastAsia="MS Mincho" w:hAnsi="Palatino Linotype" w:cs="Times New Roman"/>
          <w:i/>
        </w:rPr>
        <w:t>Cuando la información no pueda ser remitida vía electrónica, se deberá fundar y motivar la resolución respectiva, explicando en todo momento las causas que impiden el envío de la información de forma electrónica.</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spacing w:line="360" w:lineRule="auto"/>
        <w:ind w:left="567" w:right="567"/>
        <w:jc w:val="both"/>
        <w:rPr>
          <w:rFonts w:ascii="Palatino Linotype" w:eastAsia="MS Mincho" w:hAnsi="Palatino Linotype" w:cs="Times New Roman"/>
          <w:i/>
        </w:rPr>
      </w:pPr>
      <w:r w:rsidRPr="0060348F">
        <w:rPr>
          <w:rFonts w:ascii="Palatino Linotype" w:eastAsia="MS Mincho" w:hAnsi="Palatino Linotype" w:cs="Times New Roman"/>
          <w:i/>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spacing w:line="360" w:lineRule="auto"/>
        <w:ind w:left="567" w:right="567"/>
        <w:jc w:val="both"/>
        <w:rPr>
          <w:rFonts w:ascii="Palatino Linotype" w:eastAsia="MS Mincho" w:hAnsi="Palatino Linotype" w:cs="Times New Roman"/>
          <w:i/>
        </w:rPr>
      </w:pPr>
      <w:r w:rsidRPr="0060348F">
        <w:rPr>
          <w:rFonts w:ascii="Palatino Linotype" w:eastAsia="MS Mincho" w:hAnsi="Palatino Linotype" w:cs="Times New Roman"/>
          <w:i/>
        </w:rPr>
        <w:t>El formato mencionado deberá estar agregado al expediente electrónico de la solicitud de información pública, en el estatus respectivo.</w:t>
      </w:r>
    </w:p>
    <w:p w:rsidR="009F09BC" w:rsidRPr="0060348F" w:rsidRDefault="009F09BC" w:rsidP="009F09BC">
      <w:pPr>
        <w:spacing w:line="360" w:lineRule="auto"/>
        <w:ind w:left="567" w:right="567"/>
        <w:jc w:val="both"/>
        <w:rPr>
          <w:rFonts w:ascii="Palatino Linotype" w:eastAsia="MS Mincho" w:hAnsi="Palatino Linotype" w:cs="Times New Roman"/>
          <w:i/>
        </w:rPr>
      </w:pPr>
    </w:p>
    <w:p w:rsidR="009F09BC" w:rsidRPr="0060348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lastRenderedPageBreak/>
        <w:t>En ese sentido, esta Ponencia que resuelve, solicitó vía correo electrónico a la Dirección de Informática</w:t>
      </w:r>
      <w:r w:rsidR="00025C53" w:rsidRPr="0060348F">
        <w:rPr>
          <w:rFonts w:ascii="Palatino Linotype" w:eastAsia="MS Mincho" w:hAnsi="Palatino Linotype" w:cs="Arial"/>
        </w:rPr>
        <w:t xml:space="preserve"> de este </w:t>
      </w:r>
      <w:r w:rsidR="00025C53" w:rsidRPr="0060348F">
        <w:rPr>
          <w:rFonts w:ascii="Palatino Linotype" w:eastAsia="MS Mincho" w:hAnsi="Palatino Linotype" w:cs="Arial"/>
        </w:rPr>
        <w:tab/>
        <w:t>Instituto</w:t>
      </w:r>
      <w:r w:rsidRPr="0060348F">
        <w:rPr>
          <w:rFonts w:ascii="Palatino Linotype" w:eastAsia="MS Mincho" w:hAnsi="Palatino Linotype" w:cs="Arial"/>
        </w:rPr>
        <w:t xml:space="preserve">, informara respecto a la capacidad máxima que soporta el </w:t>
      </w:r>
      <w:r w:rsidRPr="0060348F">
        <w:rPr>
          <w:rFonts w:ascii="Palatino Linotype" w:eastAsia="MS Mincho" w:hAnsi="Palatino Linotype" w:cs="Arial"/>
          <w:b/>
        </w:rPr>
        <w:t>SAIMEX</w:t>
      </w:r>
      <w:r w:rsidRPr="0060348F">
        <w:rPr>
          <w:rFonts w:ascii="Palatino Linotype" w:eastAsia="MS Mincho" w:hAnsi="Palatino Linotype" w:cs="Arial"/>
        </w:rPr>
        <w:t xml:space="preserve"> para adjuntar archivos electrónicos, y verificar si existió registro de incidencias por parte del </w:t>
      </w:r>
      <w:r w:rsidR="008A699B" w:rsidRPr="0060348F">
        <w:rPr>
          <w:rFonts w:ascii="Palatino Linotype" w:eastAsia="MS Mincho" w:hAnsi="Palatino Linotype" w:cs="Arial"/>
        </w:rPr>
        <w:t>Comisión de Conciliación y Arbitraje Médico del Estado de México</w:t>
      </w:r>
      <w:r w:rsidRPr="0060348F">
        <w:rPr>
          <w:rFonts w:ascii="Palatino Linotype" w:eastAsia="MS Mincho" w:hAnsi="Palatino Linotype" w:cs="Arial"/>
          <w:b/>
        </w:rPr>
        <w:t xml:space="preserve">, </w:t>
      </w:r>
      <w:r w:rsidRPr="0060348F">
        <w:rPr>
          <w:rFonts w:ascii="Palatino Linotype" w:eastAsia="MS Mincho" w:hAnsi="Palatino Linotype" w:cs="Arial"/>
        </w:rPr>
        <w:t xml:space="preserve">relativas a los asuntos de mérito </w:t>
      </w:r>
      <w:r w:rsidR="001D373F" w:rsidRPr="0060348F">
        <w:rPr>
          <w:rFonts w:ascii="Palatino Linotype" w:eastAsia="MS Mincho" w:hAnsi="Palatino Linotype" w:cs="Arial"/>
        </w:rPr>
        <w:t>donde</w:t>
      </w:r>
      <w:r w:rsidRPr="0060348F">
        <w:rPr>
          <w:rFonts w:ascii="Palatino Linotype" w:eastAsia="MS Mincho" w:hAnsi="Palatino Linotype" w:cs="Arial"/>
        </w:rPr>
        <w:t xml:space="preserve"> se pretende el cambio de modalidad, obteniendo la siguiente respuesta:</w:t>
      </w:r>
    </w:p>
    <w:p w:rsidR="009F09BC" w:rsidRPr="0060348F" w:rsidRDefault="005D2F1C" w:rsidP="009F09BC">
      <w:pPr>
        <w:spacing w:line="360" w:lineRule="auto"/>
        <w:contextualSpacing/>
        <w:jc w:val="both"/>
        <w:rPr>
          <w:rFonts w:ascii="Palatino Linotype" w:eastAsia="MS Mincho" w:hAnsi="Palatino Linotype" w:cs="Arial"/>
        </w:rPr>
      </w:pPr>
      <w:r w:rsidRPr="0060348F">
        <w:rPr>
          <w:rFonts w:ascii="Palatino Linotype" w:eastAsia="MS Mincho" w:hAnsi="Palatino Linotype" w:cs="Arial"/>
          <w:noProof/>
          <w:lang w:val="es-MX" w:eastAsia="es-MX"/>
        </w:rPr>
        <w:drawing>
          <wp:inline distT="0" distB="0" distL="0" distR="0">
            <wp:extent cx="5577840" cy="1463040"/>
            <wp:effectExtent l="19050" t="19050" r="22860" b="228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1463040"/>
                    </a:xfrm>
                    <a:prstGeom prst="rect">
                      <a:avLst/>
                    </a:prstGeom>
                    <a:noFill/>
                    <a:ln>
                      <a:solidFill>
                        <a:schemeClr val="tx1"/>
                      </a:solidFill>
                    </a:ln>
                  </pic:spPr>
                </pic:pic>
              </a:graphicData>
            </a:graphic>
          </wp:inline>
        </w:drawing>
      </w:r>
    </w:p>
    <w:p w:rsidR="005D4C57" w:rsidRPr="0060348F" w:rsidRDefault="005D4C57" w:rsidP="005D4C57">
      <w:pPr>
        <w:jc w:val="center"/>
        <w:rPr>
          <w:rFonts w:ascii="Palatino Linotype" w:eastAsia="MS Mincho" w:hAnsi="Palatino Linotype" w:cs="Arial"/>
        </w:rPr>
      </w:pPr>
    </w:p>
    <w:p w:rsidR="005D4C57" w:rsidRPr="0060348F" w:rsidRDefault="009F09BC" w:rsidP="00042C61">
      <w:pPr>
        <w:numPr>
          <w:ilvl w:val="0"/>
          <w:numId w:val="15"/>
        </w:numPr>
        <w:spacing w:line="360" w:lineRule="auto"/>
        <w:ind w:left="0" w:firstLine="0"/>
        <w:contextualSpacing/>
        <w:jc w:val="both"/>
        <w:rPr>
          <w:rFonts w:ascii="Palatino Linotype" w:eastAsia="MS Mincho" w:hAnsi="Palatino Linotype" w:cs="Arial"/>
        </w:rPr>
      </w:pPr>
      <w:r w:rsidRPr="0060348F">
        <w:rPr>
          <w:rFonts w:ascii="Palatino Linotype" w:eastAsia="MS Mincho" w:hAnsi="Palatino Linotype" w:cs="Arial"/>
        </w:rPr>
        <w:t>De lo anterior, se desprende que el máximo de archivos que soporta el SAIMEX para adjuntar información es de hasta 8,000 hojas o peso aproximado de 500Mb, en ese sentido el</w:t>
      </w:r>
      <w:r w:rsidRPr="0060348F">
        <w:rPr>
          <w:rFonts w:ascii="Palatino Linotype" w:eastAsia="MS Mincho" w:hAnsi="Palatino Linotype" w:cs="Arial"/>
          <w:b/>
        </w:rPr>
        <w:t xml:space="preserve"> SUJETO OBLIGADO </w:t>
      </w:r>
      <w:r w:rsidRPr="0060348F">
        <w:rPr>
          <w:rFonts w:ascii="Palatino Linotype" w:eastAsia="MS Mincho" w:hAnsi="Palatino Linotype" w:cs="Arial"/>
        </w:rPr>
        <w:t>no señaló con claridad a cuanto equivale el número de fojas o peso aproximado de megabytes, que imposibilite la entrega de la información por la vía solicitada; asimismo, se desprende con claridad que no se realizaron los reportes de incidencias correspondientes</w:t>
      </w:r>
      <w:r w:rsidR="005D2F1C" w:rsidRPr="0060348F">
        <w:rPr>
          <w:rFonts w:ascii="Palatino Linotype" w:eastAsia="MS Mincho" w:hAnsi="Palatino Linotype" w:cs="Arial"/>
        </w:rPr>
        <w:t xml:space="preserve"> ante el área competente de este Instituto en los términos anteriormente referidos.</w:t>
      </w:r>
    </w:p>
    <w:p w:rsidR="005D2F1C" w:rsidRPr="0060348F" w:rsidRDefault="005D2F1C" w:rsidP="005D2F1C">
      <w:pPr>
        <w:spacing w:line="360" w:lineRule="auto"/>
        <w:contextualSpacing/>
        <w:jc w:val="both"/>
        <w:rPr>
          <w:rFonts w:ascii="Palatino Linotype" w:eastAsia="MS Mincho" w:hAnsi="Palatino Linotype" w:cs="Arial"/>
        </w:rPr>
      </w:pPr>
    </w:p>
    <w:p w:rsidR="009F09BC" w:rsidRPr="0060348F" w:rsidRDefault="009F09BC" w:rsidP="009F09BC">
      <w:pPr>
        <w:pStyle w:val="Ttulo2"/>
        <w:numPr>
          <w:ilvl w:val="0"/>
          <w:numId w:val="28"/>
        </w:numPr>
        <w:spacing w:line="259" w:lineRule="auto"/>
        <w:rPr>
          <w:rFonts w:ascii="Palatino Linotype" w:hAnsi="Palatino Linotype"/>
          <w:b/>
          <w:color w:val="000000" w:themeColor="text1"/>
          <w:sz w:val="24"/>
        </w:rPr>
      </w:pPr>
      <w:bookmarkStart w:id="162" w:name="_Toc71674119"/>
      <w:bookmarkStart w:id="163" w:name="_Toc83128588"/>
      <w:r w:rsidRPr="0060348F">
        <w:rPr>
          <w:rFonts w:ascii="Palatino Linotype" w:hAnsi="Palatino Linotype"/>
          <w:b/>
          <w:color w:val="000000" w:themeColor="text1"/>
          <w:sz w:val="24"/>
        </w:rPr>
        <w:t>De la modalidad de entrega de la información elegida</w:t>
      </w:r>
      <w:bookmarkEnd w:id="162"/>
      <w:bookmarkEnd w:id="163"/>
    </w:p>
    <w:p w:rsidR="009F09BC" w:rsidRPr="0060348F" w:rsidRDefault="009F09BC" w:rsidP="009F09BC">
      <w:pPr>
        <w:rPr>
          <w:lang w:val="es-MX" w:eastAsia="en-US"/>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Como anteriormente se hiciera mención, de la solicitud de información se desprende que el particular eligió como </w:t>
      </w:r>
      <w:r w:rsidRPr="0060348F">
        <w:rPr>
          <w:rFonts w:ascii="Palatino Linotype" w:eastAsia="MS Mincho" w:hAnsi="Palatino Linotype" w:cs="Arial"/>
        </w:rPr>
        <w:t>modalidad</w:t>
      </w:r>
      <w:r w:rsidRPr="0060348F">
        <w:rPr>
          <w:rFonts w:ascii="Palatino Linotype" w:hAnsi="Palatino Linotype"/>
        </w:rPr>
        <w:t xml:space="preserve"> de entrega de la información vía </w:t>
      </w:r>
      <w:r w:rsidRPr="0060348F">
        <w:rPr>
          <w:rFonts w:ascii="Palatino Linotype" w:hAnsi="Palatino Linotype"/>
          <w:b/>
        </w:rPr>
        <w:lastRenderedPageBreak/>
        <w:t>SAIMEX</w:t>
      </w:r>
      <w:r w:rsidRPr="0060348F">
        <w:rPr>
          <w:rFonts w:ascii="Palatino Linotype" w:hAnsi="Palatino Linotype"/>
        </w:rPr>
        <w:t>; sistema que tiene como propósito fundamental, proveer el ejercicio del derecho de acceso a la información pública, de forma sencilla y gratuita.</w:t>
      </w:r>
    </w:p>
    <w:p w:rsidR="009F09BC" w:rsidRPr="0060348F" w:rsidRDefault="009F09BC" w:rsidP="009F09BC">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9F09BC" w:rsidRPr="0060348F" w:rsidRDefault="009F09BC" w:rsidP="009F09BC">
      <w:pPr>
        <w:pStyle w:val="Prrafodelista"/>
        <w:rPr>
          <w:rFonts w:ascii="Palatino Linotype" w:hAnsi="Palatino Linotype"/>
        </w:rPr>
      </w:pPr>
    </w:p>
    <w:p w:rsidR="009F09BC" w:rsidRPr="0060348F" w:rsidRDefault="009F09BC" w:rsidP="009F09BC">
      <w:pPr>
        <w:pStyle w:val="Prrafodelista"/>
        <w:autoSpaceDE w:val="0"/>
        <w:autoSpaceDN w:val="0"/>
        <w:adjustRightInd w:val="0"/>
        <w:spacing w:after="120"/>
        <w:ind w:left="644" w:right="902"/>
        <w:jc w:val="both"/>
        <w:rPr>
          <w:rFonts w:ascii="Palatino Linotype" w:hAnsi="Palatino Linotype"/>
          <w:i/>
          <w:sz w:val="22"/>
          <w:szCs w:val="20"/>
        </w:rPr>
      </w:pPr>
      <w:r w:rsidRPr="0060348F">
        <w:rPr>
          <w:rFonts w:ascii="Palatino Linotype" w:hAnsi="Palatino Linotype"/>
          <w:b/>
          <w:i/>
          <w:sz w:val="22"/>
          <w:szCs w:val="20"/>
        </w:rPr>
        <w:t>“Artículo 88.</w:t>
      </w:r>
      <w:r w:rsidRPr="0060348F">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9F09BC" w:rsidRPr="0060348F" w:rsidRDefault="009F09BC" w:rsidP="009F09BC">
      <w:pPr>
        <w:pStyle w:val="Prrafodelista"/>
        <w:autoSpaceDE w:val="0"/>
        <w:autoSpaceDN w:val="0"/>
        <w:adjustRightInd w:val="0"/>
        <w:spacing w:after="120"/>
        <w:ind w:left="644" w:right="902"/>
        <w:jc w:val="both"/>
        <w:rPr>
          <w:rFonts w:ascii="Palatino Linotype" w:hAnsi="Palatino Linotype"/>
          <w:i/>
          <w:sz w:val="22"/>
          <w:szCs w:val="20"/>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60348F">
        <w:rPr>
          <w:rFonts w:ascii="Palatino Linotype" w:hAnsi="Palatino Linotype"/>
        </w:rPr>
        <w:t>CD-Rom</w:t>
      </w:r>
      <w:proofErr w:type="spellEnd"/>
      <w:r w:rsidRPr="0060348F">
        <w:rPr>
          <w:rFonts w:ascii="Palatino Linotype" w:hAnsi="Palatino Linotype"/>
        </w:rPr>
        <w:t xml:space="preserve"> (con costo), copias simples (con costo), copias certificadas (con costo), consulta directa (sin costo) o disquete 3.5 (con costo), o bien, cualquier otro que determine el particular.</w:t>
      </w:r>
    </w:p>
    <w:p w:rsidR="009F09BC" w:rsidRPr="0060348F" w:rsidRDefault="009F09BC" w:rsidP="009F09BC">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rPr>
        <w:t xml:space="preserve">Luego entonces, el acceso a la información debe darse en la modalidad de entrega elegida por el solicitante, y sólo para los casos en que se encuentren </w:t>
      </w:r>
      <w:r w:rsidRPr="0060348F">
        <w:rPr>
          <w:rFonts w:ascii="Palatino Linotype" w:hAnsi="Palatino Linotype"/>
        </w:rPr>
        <w:lastRenderedPageBreak/>
        <w:t xml:space="preserve">impedidos los sujetos obligados podrán ofrecer otra u otras modalidades debiendo fundar y motivar </w:t>
      </w:r>
      <w:r w:rsidRPr="0060348F">
        <w:rPr>
          <w:rFonts w:ascii="Palatino Linotype" w:eastAsia="Calibri" w:hAnsi="Palatino Linotype" w:cs="Arial"/>
        </w:rPr>
        <w:t>adecuadamente el cambio de modalidad en la entrega de la información</w:t>
      </w:r>
      <w:r w:rsidRPr="0060348F">
        <w:rPr>
          <w:rStyle w:val="Refdenotaalpie"/>
        </w:rPr>
        <w:t xml:space="preserve"> </w:t>
      </w:r>
      <w:r w:rsidRPr="0060348F">
        <w:rPr>
          <w:rStyle w:val="Refdenotaalpie"/>
        </w:rPr>
        <w:footnoteReference w:id="1"/>
      </w:r>
      <w:r w:rsidRPr="0060348F">
        <w:rPr>
          <w:rFonts w:ascii="Palatino Linotype" w:hAnsi="Palatino Linotype"/>
        </w:rPr>
        <w:t xml:space="preserve">, en términos de lo dispuesto en el artículo 16 de la Constitución Política de los Estados Unidos Mexicanos, </w:t>
      </w:r>
      <w:r w:rsidRPr="0060348F">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9F09BC" w:rsidRPr="0060348F" w:rsidRDefault="009F09BC" w:rsidP="009F09BC">
      <w:pPr>
        <w:pStyle w:val="Prrafodelista"/>
        <w:ind w:left="644" w:right="851"/>
        <w:jc w:val="both"/>
        <w:rPr>
          <w:rFonts w:ascii="Palatino Linotype" w:hAnsi="Palatino Linotype" w:cs="Arial"/>
          <w:b/>
          <w:bCs/>
          <w:i/>
          <w:sz w:val="22"/>
          <w:szCs w:val="20"/>
        </w:rPr>
      </w:pPr>
    </w:p>
    <w:p w:rsidR="009F09BC" w:rsidRPr="0060348F" w:rsidRDefault="009F09BC" w:rsidP="009F09BC">
      <w:pPr>
        <w:pStyle w:val="Prrafodelista"/>
        <w:ind w:left="644" w:right="851"/>
        <w:jc w:val="both"/>
        <w:rPr>
          <w:rFonts w:ascii="Palatino Linotype" w:hAnsi="Palatino Linotype" w:cs="Arial"/>
          <w:i/>
          <w:sz w:val="22"/>
          <w:szCs w:val="20"/>
        </w:rPr>
      </w:pPr>
      <w:r w:rsidRPr="0060348F">
        <w:rPr>
          <w:rFonts w:ascii="Palatino Linotype" w:hAnsi="Palatino Linotype" w:cs="Arial"/>
          <w:b/>
          <w:bCs/>
          <w:i/>
          <w:sz w:val="22"/>
          <w:szCs w:val="20"/>
        </w:rPr>
        <w:t>“FUNDAMENTACIÓN Y MOTIVACIÓN DE LOS ACTOS ADMINISTRATIVOS</w:t>
      </w:r>
      <w:r w:rsidRPr="0060348F">
        <w:rPr>
          <w:rFonts w:ascii="Palatino Linotype" w:hAnsi="Palatino Linotype" w:cs="Arial"/>
          <w:i/>
          <w:sz w:val="22"/>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60348F">
        <w:rPr>
          <w:rFonts w:ascii="Palatino Linotype" w:hAnsi="Palatino Linotype" w:cs="Arial"/>
          <w:i/>
          <w:sz w:val="22"/>
          <w:szCs w:val="20"/>
        </w:rPr>
        <w:t>subincisos</w:t>
      </w:r>
      <w:proofErr w:type="spellEnd"/>
      <w:r w:rsidRPr="0060348F">
        <w:rPr>
          <w:rFonts w:ascii="Palatino Linotype" w:hAnsi="Palatino Linotype" w:cs="Arial"/>
          <w:i/>
          <w:sz w:val="22"/>
          <w:szCs w:val="20"/>
        </w:rPr>
        <w:t>, fracciones y preceptos aplicable, y b).- Los cuerpos legales y preceptos que otorgan competencia o facultades a las autoridades para emitir el acto en agravio del gobernado.”</w:t>
      </w:r>
    </w:p>
    <w:p w:rsidR="009F09BC" w:rsidRPr="0060348F" w:rsidRDefault="009F09BC" w:rsidP="009F09BC">
      <w:pPr>
        <w:numPr>
          <w:ilvl w:val="0"/>
          <w:numId w:val="15"/>
        </w:numPr>
        <w:spacing w:line="360" w:lineRule="auto"/>
        <w:ind w:left="0" w:firstLine="0"/>
        <w:contextualSpacing/>
        <w:jc w:val="both"/>
        <w:rPr>
          <w:rFonts w:ascii="Palatino Linotype" w:eastAsia="Calibri" w:hAnsi="Palatino Linotype" w:cs="Arial"/>
        </w:rPr>
      </w:pPr>
      <w:r w:rsidRPr="0060348F">
        <w:rPr>
          <w:rFonts w:ascii="Palatino Linotype" w:hAnsi="Palatino Linotype" w:cs="Arial"/>
        </w:rPr>
        <w:lastRenderedPageBreak/>
        <w:t xml:space="preserve">Por su parte, el artículo 158 </w:t>
      </w:r>
      <w:r w:rsidRPr="0060348F">
        <w:rPr>
          <w:rFonts w:ascii="Palatino Linotype" w:eastAsia="Calibri" w:hAnsi="Palatino Linotype" w:cs="Arial"/>
        </w:rPr>
        <w:t>de la Ley de Transparencia y Acceso a la Información Pública del Estado de México y Municipios, establece lo siguiente:</w:t>
      </w:r>
    </w:p>
    <w:p w:rsidR="009F09BC" w:rsidRPr="0060348F" w:rsidRDefault="009F09BC" w:rsidP="009F09BC">
      <w:pPr>
        <w:spacing w:line="360" w:lineRule="auto"/>
        <w:contextualSpacing/>
        <w:jc w:val="both"/>
        <w:rPr>
          <w:rFonts w:ascii="Palatino Linotype" w:eastAsia="Calibri" w:hAnsi="Palatino Linotype" w:cs="Arial"/>
        </w:rPr>
      </w:pPr>
    </w:p>
    <w:p w:rsidR="009F09BC" w:rsidRPr="0060348F" w:rsidRDefault="009F09BC" w:rsidP="009F09BC">
      <w:pPr>
        <w:pStyle w:val="Prrafodelista"/>
        <w:autoSpaceDE w:val="0"/>
        <w:autoSpaceDN w:val="0"/>
        <w:adjustRightInd w:val="0"/>
        <w:ind w:left="644" w:right="900"/>
        <w:jc w:val="both"/>
        <w:rPr>
          <w:rFonts w:ascii="Palatino Linotype" w:eastAsiaTheme="minorHAnsi" w:hAnsi="Palatino Linotype" w:cs="Arial"/>
          <w:i/>
          <w:sz w:val="22"/>
          <w:szCs w:val="20"/>
          <w:lang w:eastAsia="en-US"/>
        </w:rPr>
      </w:pPr>
      <w:r w:rsidRPr="0060348F">
        <w:rPr>
          <w:rFonts w:ascii="Palatino Linotype" w:eastAsiaTheme="minorHAnsi" w:hAnsi="Palatino Linotype" w:cs="Arial"/>
          <w:b/>
          <w:bCs/>
          <w:i/>
          <w:sz w:val="22"/>
          <w:szCs w:val="22"/>
          <w:lang w:eastAsia="en-US"/>
        </w:rPr>
        <w:t xml:space="preserve"> </w:t>
      </w:r>
      <w:r w:rsidRPr="0060348F">
        <w:rPr>
          <w:rFonts w:ascii="Palatino Linotype" w:eastAsiaTheme="minorHAnsi" w:hAnsi="Palatino Linotype" w:cs="Arial"/>
          <w:b/>
          <w:bCs/>
          <w:i/>
          <w:sz w:val="22"/>
          <w:szCs w:val="20"/>
          <w:lang w:eastAsia="en-US"/>
        </w:rPr>
        <w:t xml:space="preserve">“Artículo 158. </w:t>
      </w:r>
      <w:r w:rsidRPr="0060348F">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60348F">
        <w:rPr>
          <w:rFonts w:ascii="Palatino Linotype" w:eastAsiaTheme="minorHAnsi" w:hAnsi="Palatino Linotype" w:cs="Arial"/>
          <w:b/>
          <w:i/>
          <w:sz w:val="22"/>
          <w:szCs w:val="20"/>
          <w:lang w:eastAsia="en-US"/>
        </w:rPr>
        <w:t>documentos cuya entrega o reproducción sobrepase las capacidades técnicas administrativas y humana</w:t>
      </w:r>
      <w:r w:rsidRPr="0060348F">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rsidR="009F09BC" w:rsidRPr="0060348F" w:rsidRDefault="009F09BC" w:rsidP="009F09BC">
      <w:pPr>
        <w:pStyle w:val="Prrafodelista"/>
        <w:autoSpaceDE w:val="0"/>
        <w:autoSpaceDN w:val="0"/>
        <w:adjustRightInd w:val="0"/>
        <w:spacing w:before="120"/>
        <w:ind w:left="644" w:right="902"/>
        <w:jc w:val="both"/>
        <w:rPr>
          <w:rFonts w:ascii="Palatino Linotype" w:hAnsi="Palatino Linotype"/>
          <w:i/>
          <w:sz w:val="22"/>
          <w:szCs w:val="20"/>
        </w:rPr>
      </w:pPr>
    </w:p>
    <w:p w:rsidR="009F09BC" w:rsidRPr="0060348F"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r w:rsidRPr="0060348F">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60348F">
        <w:rPr>
          <w:rFonts w:ascii="Palatino Linotype" w:eastAsiaTheme="minorHAnsi" w:hAnsi="Palatino Linotype" w:cs="Arial"/>
          <w:b/>
          <w:i/>
          <w:sz w:val="22"/>
          <w:szCs w:val="20"/>
          <w:lang w:eastAsia="en-US"/>
        </w:rPr>
        <w:t>”</w:t>
      </w:r>
    </w:p>
    <w:p w:rsidR="009F09BC" w:rsidRPr="0060348F"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p>
    <w:p w:rsidR="009F09BC" w:rsidRPr="0060348F" w:rsidRDefault="009F09BC" w:rsidP="009F09BC">
      <w:pPr>
        <w:pStyle w:val="Prrafodelista"/>
        <w:autoSpaceDE w:val="0"/>
        <w:autoSpaceDN w:val="0"/>
        <w:adjustRightInd w:val="0"/>
        <w:spacing w:before="120"/>
        <w:ind w:left="644" w:right="902"/>
        <w:jc w:val="both"/>
        <w:rPr>
          <w:rFonts w:ascii="Palatino Linotype" w:eastAsia="Calibri" w:hAnsi="Palatino Linotype" w:cs="Arial"/>
          <w:b/>
          <w:i/>
          <w:sz w:val="22"/>
          <w:szCs w:val="20"/>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rsidR="005D2F1C" w:rsidRPr="0060348F" w:rsidRDefault="005D2F1C" w:rsidP="005D2F1C">
      <w:pPr>
        <w:spacing w:line="360" w:lineRule="auto"/>
        <w:contextualSpacing/>
        <w:jc w:val="both"/>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 xml:space="preserve">En ese contexto, los </w:t>
      </w:r>
      <w:r w:rsidRPr="0060348F">
        <w:rPr>
          <w:rFonts w:ascii="Palatino Linotype" w:hAnsi="Palatino Linotype"/>
          <w:i/>
        </w:rPr>
        <w:t xml:space="preserve">Lineamientos </w:t>
      </w:r>
      <w:r w:rsidRPr="0060348F">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60348F">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
          <w:bCs/>
          <w:i/>
          <w:noProof/>
          <w:sz w:val="22"/>
          <w:szCs w:val="22"/>
        </w:rPr>
        <w:lastRenderedPageBreak/>
        <w:t>“CINCUENTA Y CUATRO.-</w:t>
      </w:r>
      <w:r w:rsidRPr="0060348F">
        <w:rPr>
          <w:rFonts w:ascii="Palatino Linotype" w:hAnsi="Palatino Linotype" w:cs="Arial"/>
          <w:bCs/>
          <w:i/>
          <w:noProof/>
          <w:sz w:val="22"/>
          <w:szCs w:val="22"/>
        </w:rPr>
        <w:t xml:space="preserve"> De acuerdo a lo dispuesto por el párrafo segundo del artículo 48 de la Ley, la información podrá ser entregada vía electrónica a través del SICOSIEM. </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Cuando la información no pueda ser remitida vía electrónica, se deberá fundar y motivar la resolución respectiva, explicando en todo momento las causas que impiden el envío de la información de forma electrónica.</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r w:rsidRPr="0060348F">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9F09BC" w:rsidRPr="0060348F" w:rsidRDefault="009F09BC" w:rsidP="009F09BC">
      <w:pPr>
        <w:pStyle w:val="Prrafodelista"/>
        <w:spacing w:before="240" w:after="240"/>
        <w:ind w:left="644" w:right="900"/>
        <w:jc w:val="both"/>
        <w:rPr>
          <w:rFonts w:ascii="Palatino Linotype" w:hAnsi="Palatino Linotype" w:cs="Arial"/>
          <w:b/>
          <w:bCs/>
          <w:i/>
          <w:noProof/>
          <w:sz w:val="22"/>
          <w:szCs w:val="22"/>
        </w:rPr>
      </w:pPr>
      <w:r w:rsidRPr="0060348F">
        <w:rPr>
          <w:rFonts w:ascii="Palatino Linotype" w:hAnsi="Palatino Linotype" w:cs="Arial"/>
          <w:bCs/>
          <w:i/>
          <w:noProof/>
          <w:sz w:val="22"/>
          <w:szCs w:val="22"/>
        </w:rPr>
        <w:t>El formato mencionado deberá estar agregado al expediente electrónico de la solicitud de información pública, en el estatus respectivo.”.</w:t>
      </w:r>
      <w:r w:rsidRPr="0060348F">
        <w:rPr>
          <w:rFonts w:ascii="Palatino Linotype" w:hAnsi="Palatino Linotype" w:cs="Arial"/>
          <w:b/>
          <w:bCs/>
          <w:i/>
          <w:noProof/>
          <w:sz w:val="22"/>
          <w:szCs w:val="22"/>
        </w:rPr>
        <w:t>”</w:t>
      </w:r>
    </w:p>
    <w:p w:rsidR="009F09BC" w:rsidRPr="0060348F" w:rsidRDefault="009F09BC" w:rsidP="009F09BC">
      <w:pPr>
        <w:pStyle w:val="Prrafodelista"/>
        <w:spacing w:before="240" w:after="240"/>
        <w:ind w:left="644" w:right="900"/>
        <w:jc w:val="both"/>
        <w:rPr>
          <w:rFonts w:ascii="Palatino Linotype" w:hAnsi="Palatino Linotype" w:cs="Arial"/>
          <w:bCs/>
          <w:i/>
          <w:noProof/>
          <w:sz w:val="22"/>
          <w:szCs w:val="22"/>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60348F">
        <w:rPr>
          <w:rFonts w:ascii="Palatino Linotype" w:hAnsi="Palatino Linotype"/>
        </w:rPr>
        <w:t xml:space="preserve">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rsidR="009F09BC" w:rsidRPr="0060348F" w:rsidRDefault="009F09BC" w:rsidP="009F09BC">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lastRenderedPageBreak/>
        <w:t xml:space="preserve">Retomando el caso en concreto, se desprende de la respuesta inicial que el </w:t>
      </w:r>
      <w:r w:rsidRPr="0060348F">
        <w:rPr>
          <w:rFonts w:ascii="Palatino Linotype" w:hAnsi="Palatino Linotype" w:cs="Arial"/>
          <w:b/>
        </w:rPr>
        <w:t>SUJETO OBLIGADO</w:t>
      </w:r>
      <w:r w:rsidRPr="0060348F">
        <w:rPr>
          <w:rFonts w:ascii="Palatino Linotype" w:hAnsi="Palatino Linotype" w:cs="Arial"/>
        </w:rPr>
        <w:t xml:space="preserve"> determinó la procedencia del cambio en la modalidad de entrega, </w:t>
      </w:r>
      <w:r w:rsidR="005D2F1C" w:rsidRPr="0060348F">
        <w:rPr>
          <w:rFonts w:ascii="Palatino Linotype" w:hAnsi="Palatino Linotype" w:cs="Arial"/>
        </w:rPr>
        <w:t xml:space="preserve">sin que se adviertan argumentos referentes a que </w:t>
      </w:r>
      <w:r w:rsidRPr="0060348F">
        <w:rPr>
          <w:rFonts w:ascii="Palatino Linotype" w:hAnsi="Palatino Linotype" w:cs="Arial"/>
        </w:rPr>
        <w:t>se sobrepasan sus capacidades, técnicas</w:t>
      </w:r>
      <w:r w:rsidR="005D2F1C" w:rsidRPr="0060348F">
        <w:rPr>
          <w:rFonts w:ascii="Palatino Linotype" w:hAnsi="Palatino Linotype" w:cs="Arial"/>
        </w:rPr>
        <w:t xml:space="preserve"> y</w:t>
      </w:r>
      <w:r w:rsidRPr="0060348F">
        <w:rPr>
          <w:rFonts w:ascii="Palatino Linotype" w:hAnsi="Palatino Linotype" w:cs="Arial"/>
        </w:rPr>
        <w:t xml:space="preserve"> humanas</w:t>
      </w:r>
      <w:r w:rsidR="005D2F1C" w:rsidRPr="0060348F">
        <w:rPr>
          <w:rFonts w:ascii="Palatino Linotype" w:hAnsi="Palatino Linotype" w:cs="Arial"/>
        </w:rPr>
        <w:t>.</w:t>
      </w:r>
    </w:p>
    <w:p w:rsidR="009F09BC" w:rsidRPr="0060348F" w:rsidRDefault="009F09BC" w:rsidP="009F09BC">
      <w:pPr>
        <w:pStyle w:val="Prrafodelista"/>
        <w:rPr>
          <w:rFonts w:ascii="Palatino Linotype" w:hAnsi="Palatino Linotype" w:cs="Arial"/>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w:t>
      </w:r>
      <w:r w:rsidRPr="0060348F">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60348F">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9F09BC" w:rsidRPr="0060348F" w:rsidRDefault="009F09BC" w:rsidP="009F09BC">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bCs/>
        </w:rPr>
        <w:t xml:space="preserve">Bajo tales consideraciones, es que se reitera como improcedente el cambio de modalidad pretendida por el </w:t>
      </w:r>
      <w:r w:rsidRPr="0060348F">
        <w:rPr>
          <w:rFonts w:ascii="Palatino Linotype" w:hAnsi="Palatino Linotype"/>
          <w:b/>
          <w:bCs/>
        </w:rPr>
        <w:t>SUJETO OBLIGADO</w:t>
      </w:r>
      <w:r w:rsidRPr="0060348F">
        <w:rPr>
          <w:rFonts w:ascii="Palatino Linotype" w:hAnsi="Palatino Linotype"/>
          <w:bCs/>
        </w:rPr>
        <w:t xml:space="preserve"> para la entrega de la información a través de consulta directa ya que con la respuesta emitida se pudo </w:t>
      </w:r>
      <w:r w:rsidRPr="0060348F">
        <w:rPr>
          <w:rFonts w:ascii="Palatino Linotype" w:hAnsi="Palatino Linotype"/>
          <w:bCs/>
        </w:rPr>
        <w:lastRenderedPageBreak/>
        <w:t xml:space="preserve">advertir que la información de donde se desprende lo requerido </w:t>
      </w:r>
      <w:r w:rsidRPr="0060348F">
        <w:rPr>
          <w:rFonts w:ascii="Palatino Linotype" w:hAnsi="Palatino Linotype"/>
          <w:b/>
          <w:bCs/>
        </w:rPr>
        <w:t>obra en sus archivos</w:t>
      </w:r>
      <w:r w:rsidRPr="0060348F">
        <w:rPr>
          <w:rFonts w:ascii="Palatino Linotype" w:hAnsi="Palatino Linotype"/>
        </w:rPr>
        <w:t>,  por lo cual para tener por satisfecho cabalmente el derecho del particular se considera procedente ordenar la entrega de la información a través de la modalidad elegida por el particular.</w:t>
      </w:r>
    </w:p>
    <w:p w:rsidR="009F09BC" w:rsidRPr="0060348F" w:rsidRDefault="009F09BC" w:rsidP="009F09BC">
      <w:pPr>
        <w:pStyle w:val="Prrafodelista"/>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lang w:val="es-ES"/>
        </w:rPr>
      </w:pPr>
      <w:r w:rsidRPr="0060348F">
        <w:rPr>
          <w:rFonts w:ascii="Palatino Linotype" w:hAnsi="Palatino Linotype" w:cs="Arial"/>
        </w:rPr>
        <w:t xml:space="preserve">Ahora </w:t>
      </w:r>
      <w:r w:rsidRPr="0060348F">
        <w:rPr>
          <w:rFonts w:ascii="Palatino Linotype" w:hAnsi="Palatino Linotype"/>
        </w:rPr>
        <w:t>bien</w:t>
      </w:r>
      <w:r w:rsidRPr="0060348F">
        <w:rPr>
          <w:rFonts w:ascii="Palatino Linotype" w:hAnsi="Palatino Linotype" w:cs="Arial"/>
        </w:rPr>
        <w:t xml:space="preserve">, conforme a los argumentos expuestos con anterioridad, se observa que la información debe </w:t>
      </w:r>
      <w:r w:rsidR="00437672" w:rsidRPr="0060348F">
        <w:rPr>
          <w:rFonts w:ascii="Palatino Linotype" w:hAnsi="Palatino Linotype" w:cs="Arial"/>
        </w:rPr>
        <w:t>solicitarse</w:t>
      </w:r>
      <w:r w:rsidRPr="0060348F">
        <w:rPr>
          <w:rFonts w:ascii="Palatino Linotype" w:hAnsi="Palatino Linotype" w:cs="Arial"/>
        </w:rPr>
        <w:t xml:space="preserve"> a diferentes áreas, por lo cual se advierte que la Unidad de Transparencia debe de realizar el procedimiento de búsqueda, enmarcado en el artículo 162 de la Ley </w:t>
      </w:r>
      <w:r w:rsidRPr="0060348F">
        <w:rPr>
          <w:rFonts w:ascii="Palatino Linotype" w:hAnsi="Palatino Linotype" w:cs="Arial"/>
          <w:color w:val="000000"/>
        </w:rPr>
        <w:t>de Transparencia y Acceso a la Información Pública del</w:t>
      </w:r>
      <w:r w:rsidR="00437672" w:rsidRPr="0060348F">
        <w:rPr>
          <w:rFonts w:ascii="Palatino Linotype" w:hAnsi="Palatino Linotype" w:cs="Arial"/>
          <w:color w:val="000000"/>
        </w:rPr>
        <w:t xml:space="preserve"> Estado de México y Municipios; </w:t>
      </w:r>
      <w:r w:rsidRPr="0060348F">
        <w:rPr>
          <w:rFonts w:ascii="Palatino Linotype" w:hAnsi="Palatino Linotype"/>
        </w:rPr>
        <w:t>procedimiento de búsqueda de la información,</w:t>
      </w:r>
      <w:r w:rsidR="00437672" w:rsidRPr="0060348F">
        <w:rPr>
          <w:rFonts w:ascii="Palatino Linotype" w:hAnsi="Palatino Linotype"/>
        </w:rPr>
        <w:t xml:space="preserve"> que</w:t>
      </w:r>
      <w:r w:rsidRPr="0060348F">
        <w:rPr>
          <w:rFonts w:ascii="Palatino Linotype" w:hAnsi="Palatino Linotype"/>
        </w:rPr>
        <w:t xml:space="preserve"> inicia con</w:t>
      </w:r>
      <w:r w:rsidRPr="0060348F">
        <w:rPr>
          <w:rFonts w:ascii="Palatino Linotype" w:hAnsi="Palatino Linotype" w:cs="Arial"/>
          <w:color w:val="000000"/>
        </w:rPr>
        <w:t xml:space="preserve"> lo siguiente:</w:t>
      </w:r>
    </w:p>
    <w:p w:rsidR="009F09BC" w:rsidRPr="0060348F" w:rsidRDefault="009F09BC" w:rsidP="009F09BC">
      <w:pPr>
        <w:spacing w:line="360" w:lineRule="auto"/>
        <w:contextualSpacing/>
        <w:jc w:val="both"/>
        <w:rPr>
          <w:rFonts w:ascii="Palatino Linotype" w:hAnsi="Palatino Linotype" w:cs="Arial"/>
          <w:lang w:val="es-ES"/>
        </w:rPr>
      </w:pPr>
    </w:p>
    <w:p w:rsidR="009F09BC" w:rsidRPr="0060348F" w:rsidRDefault="009F09BC"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i/>
          <w:sz w:val="22"/>
          <w:szCs w:val="22"/>
        </w:rPr>
      </w:pPr>
      <w:r w:rsidRPr="0060348F">
        <w:rPr>
          <w:rStyle w:val="normaltextrun"/>
          <w:rFonts w:ascii="Palatino Linotype" w:hAnsi="Palatino Linotype" w:cs="Segoe UI"/>
          <w:b/>
          <w:bCs/>
          <w:i/>
          <w:sz w:val="22"/>
          <w:szCs w:val="22"/>
        </w:rPr>
        <w:t>“Artículo 162.</w:t>
      </w:r>
      <w:r w:rsidRPr="0060348F">
        <w:rPr>
          <w:rStyle w:val="normaltextrun"/>
          <w:rFonts w:ascii="Palatino Linotype" w:hAnsi="Palatino Linotype" w:cs="Segoe UI"/>
          <w:bCs/>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21FAE" w:rsidRPr="0060348F" w:rsidRDefault="00C21FAE"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i/>
          <w:sz w:val="22"/>
          <w:szCs w:val="22"/>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cs="Arial"/>
        </w:rPr>
      </w:pPr>
      <w:r w:rsidRPr="0060348F">
        <w:rPr>
          <w:rFonts w:ascii="Palatino Linotype" w:hAnsi="Palatino Linotype" w:cs="Arial"/>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60348F">
        <w:rPr>
          <w:rStyle w:val="Refdenotaalpie"/>
          <w:rFonts w:cs="Arial"/>
        </w:rPr>
        <w:footnoteReference w:id="2"/>
      </w:r>
      <w:r w:rsidRPr="0060348F">
        <w:rPr>
          <w:rFonts w:ascii="Palatino Linotype" w:hAnsi="Palatino Linotype" w:cs="Arial"/>
        </w:rPr>
        <w:t xml:space="preserve">, para ello la misma norma establece que los sujetos obligados deberán otorgar el acceso a los documentos que obren en sus archivos o que estén obligados </w:t>
      </w:r>
      <w:r w:rsidRPr="0060348F">
        <w:rPr>
          <w:rFonts w:ascii="Palatino Linotype" w:hAnsi="Palatino Linotype" w:cs="Arial"/>
        </w:rPr>
        <w:lastRenderedPageBreak/>
        <w:t>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
          <w:bCs/>
          <w:sz w:val="22"/>
          <w:szCs w:val="22"/>
        </w:rPr>
      </w:pP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60348F">
        <w:rPr>
          <w:rStyle w:val="normaltextrun"/>
          <w:rFonts w:ascii="Palatino Linotype" w:hAnsi="Palatino Linotype" w:cs="Segoe UI"/>
          <w:b/>
          <w:bCs/>
          <w:i/>
          <w:sz w:val="22"/>
          <w:szCs w:val="22"/>
        </w:rPr>
        <w:t>“Artículo 163.</w:t>
      </w:r>
      <w:r w:rsidRPr="0060348F">
        <w:rPr>
          <w:rStyle w:val="normaltextrun"/>
          <w:rFonts w:ascii="Palatino Linotype" w:hAnsi="Palatino Linotype" w:cs="Segoe UI"/>
          <w:bCs/>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sz w:val="22"/>
          <w:szCs w:val="22"/>
        </w:rPr>
      </w:pP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sz w:val="22"/>
          <w:szCs w:val="22"/>
        </w:rPr>
      </w:pPr>
      <w:r w:rsidRPr="0060348F">
        <w:rPr>
          <w:rStyle w:val="normaltextrun"/>
          <w:rFonts w:ascii="Palatino Linotype" w:hAnsi="Palatino Linotype" w:cs="Segoe UI"/>
          <w:bCs/>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60348F">
        <w:rPr>
          <w:rStyle w:val="normaltextrun"/>
          <w:rFonts w:ascii="Palatino Linotype" w:hAnsi="Palatino Linotype" w:cs="Segoe UI"/>
          <w:b/>
          <w:bCs/>
          <w:i/>
          <w:sz w:val="22"/>
          <w:szCs w:val="22"/>
        </w:rPr>
        <w:t>Artículo 165.</w:t>
      </w:r>
      <w:r w:rsidRPr="0060348F">
        <w:rPr>
          <w:rStyle w:val="normaltextrun"/>
          <w:rFonts w:ascii="Palatino Linotype" w:hAnsi="Palatino Linotype" w:cs="Segoe UI"/>
          <w:bCs/>
          <w:i/>
          <w:sz w:val="22"/>
          <w:szCs w:val="22"/>
        </w:rPr>
        <w:t xml:space="preserve"> Los sujetos obligados establecerán la forma y términos en que darán trámite interno a las solicitudes en materia de acceso a la información.</w:t>
      </w:r>
    </w:p>
    <w:p w:rsidR="009F09BC" w:rsidRPr="0060348F"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60348F">
        <w:rPr>
          <w:rStyle w:val="normaltextrun"/>
          <w:rFonts w:ascii="Palatino Linotype" w:hAnsi="Palatino Linotype" w:cs="Segoe UI"/>
          <w:bCs/>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rsidR="009F09BC" w:rsidRPr="0060348F" w:rsidRDefault="009F09BC"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sz w:val="22"/>
          <w:szCs w:val="22"/>
        </w:rPr>
      </w:pPr>
      <w:r w:rsidRPr="0060348F">
        <w:rPr>
          <w:rStyle w:val="normaltextrun"/>
          <w:rFonts w:ascii="Palatino Linotype" w:hAnsi="Palatino Linotype" w:cs="Segoe UI"/>
          <w:bCs/>
          <w:i/>
          <w:sz w:val="22"/>
          <w:szCs w:val="22"/>
        </w:rPr>
        <w:t>Ante la falta de respuesta a una solicitud en el plazo previsto y en caso de que proceda el acceso, los costos de reproducción y envío correrán a cargo del sujeto obligado</w:t>
      </w:r>
      <w:r w:rsidRPr="0060348F">
        <w:rPr>
          <w:rStyle w:val="normaltextrun"/>
          <w:rFonts w:ascii="Palatino Linotype" w:hAnsi="Palatino Linotype" w:cs="Segoe UI"/>
          <w:bCs/>
          <w:sz w:val="22"/>
          <w:szCs w:val="22"/>
        </w:rPr>
        <w:t>.”</w:t>
      </w:r>
    </w:p>
    <w:p w:rsidR="00D16FC7" w:rsidRPr="0060348F" w:rsidRDefault="00D16FC7" w:rsidP="00D16FC7">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cs="Arial"/>
        </w:rPr>
        <w:t xml:space="preserve">Asimismo, la Ley de Transparencia vigente determina que el procedimiento de acceso a la información pública se tendrá por cumplida cuando el solicitante tenga a su disposición la información requerida, o en su caso, cuando realice la </w:t>
      </w:r>
      <w:r w:rsidRPr="0060348F">
        <w:rPr>
          <w:rFonts w:ascii="Palatino Linotype" w:hAnsi="Palatino Linotype" w:cs="Arial"/>
        </w:rPr>
        <w:lastRenderedPageBreak/>
        <w:t>consulta de la misma en el que ésta se localice</w:t>
      </w:r>
      <w:r w:rsidRPr="0060348F">
        <w:rPr>
          <w:rStyle w:val="Refdenotaalpie"/>
          <w:rFonts w:cs="Arial"/>
        </w:rPr>
        <w:footnoteReference w:id="3"/>
      </w:r>
      <w:r w:rsidRPr="0060348F">
        <w:rPr>
          <w:rFonts w:ascii="Palatino Linotype" w:hAnsi="Palatino Linotype" w:cs="Arial"/>
        </w:rPr>
        <w:t>, situación que no se advierte en el presente caso, toda vez que el Sujeto Obligado,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r w:rsidRPr="0060348F">
        <w:rPr>
          <w:rFonts w:ascii="Palatino Linotype" w:hAnsi="Palatino Linotype"/>
        </w:rPr>
        <w:t>.</w:t>
      </w:r>
    </w:p>
    <w:p w:rsidR="009F09BC" w:rsidRPr="0060348F" w:rsidRDefault="009F09BC" w:rsidP="009F09BC">
      <w:pPr>
        <w:spacing w:line="360" w:lineRule="auto"/>
        <w:contextualSpacing/>
        <w:jc w:val="both"/>
        <w:rPr>
          <w:rFonts w:ascii="Palatino Linotype" w:hAnsi="Palatino Linotype"/>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No la </w:t>
      </w:r>
      <w:r w:rsidR="00C25DE5" w:rsidRPr="0060348F">
        <w:rPr>
          <w:rFonts w:ascii="Palatino Linotype" w:hAnsi="Palatino Linotype"/>
        </w:rPr>
        <w:t xml:space="preserve">obstante, toda vez que no se tiene </w:t>
      </w:r>
      <w:r w:rsidRPr="0060348F">
        <w:rPr>
          <w:rFonts w:ascii="Palatino Linotype" w:hAnsi="Palatino Linotype"/>
        </w:rPr>
        <w:t xml:space="preserve">certeza de la manera o el formato en que el </w:t>
      </w:r>
      <w:r w:rsidRPr="0060348F">
        <w:rPr>
          <w:rFonts w:ascii="Palatino Linotype" w:hAnsi="Palatino Linotype"/>
          <w:b/>
        </w:rPr>
        <w:t>SUJETO OBLIGADO</w:t>
      </w:r>
      <w:r w:rsidRPr="0060348F">
        <w:rPr>
          <w:rFonts w:ascii="Palatino Linotype" w:hAnsi="Palatino Linotype"/>
        </w:rPr>
        <w:t xml:space="preserve"> posee la información, se estima que se deberá privilegiar la entrega en medios electrónicos como lo es el SAIMEX, inicialmente elegido; sin embargo</w:t>
      </w:r>
      <w:r w:rsidRPr="0060348F">
        <w:rPr>
          <w:rFonts w:ascii="Palatino Linotype" w:hAnsi="Palatino Linotype"/>
          <w:b/>
        </w:rPr>
        <w:t xml:space="preserve">, si se acredita un impedimento justificado para atender esa modalidad en relación directa con </w:t>
      </w:r>
      <w:r w:rsidRPr="0060348F">
        <w:rPr>
          <w:rFonts w:ascii="Palatino Linotype" w:hAnsi="Palatino Linotype"/>
          <w:b/>
          <w:u w:val="single"/>
        </w:rPr>
        <w:t>el formato en el que obra la información</w:t>
      </w:r>
      <w:r w:rsidR="00FD2FA4" w:rsidRPr="0060348F">
        <w:rPr>
          <w:rFonts w:ascii="Palatino Linotype" w:hAnsi="Palatino Linotype"/>
          <w:b/>
          <w:u w:val="single"/>
        </w:rPr>
        <w:t xml:space="preserve"> en los archivos del SUJETO OBLIGADO</w:t>
      </w:r>
      <w:r w:rsidRPr="0060348F">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60348F">
        <w:rPr>
          <w:rFonts w:ascii="Palatino Linotype" w:hAnsi="Palatino Linotype"/>
        </w:rPr>
        <w:t xml:space="preserve"> además de consulta directa, </w:t>
      </w:r>
      <w:r w:rsidR="00FD2FA4" w:rsidRPr="0060348F">
        <w:rPr>
          <w:rFonts w:ascii="Palatino Linotype" w:eastAsia="Times New Roman" w:hAnsi="Palatino Linotype" w:cs="Times New Roman"/>
          <w:lang w:eastAsia="es-ES_tradnl"/>
        </w:rPr>
        <w:t xml:space="preserve">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w:t>
      </w:r>
      <w:r w:rsidR="00FD2FA4" w:rsidRPr="0060348F">
        <w:rPr>
          <w:rFonts w:ascii="Palatino Linotype" w:eastAsia="Times New Roman" w:hAnsi="Palatino Linotype" w:cs="Times New Roman"/>
          <w:lang w:eastAsia="es-ES_tradnl"/>
        </w:rPr>
        <w:lastRenderedPageBreak/>
        <w:t>medio de almacenamiento magnético, en el que se le proporcionarán los archivos electrónicos.</w:t>
      </w:r>
    </w:p>
    <w:p w:rsidR="009F09BC" w:rsidRPr="0060348F" w:rsidRDefault="009F09BC" w:rsidP="009F09BC">
      <w:pPr>
        <w:pStyle w:val="Prrafodelista"/>
        <w:rPr>
          <w:rFonts w:ascii="Palatino Linotype" w:eastAsia="Calibri" w:hAnsi="Palatino Linotype" w:cs="Tahoma"/>
          <w:bCs/>
          <w:iCs/>
          <w:szCs w:val="22"/>
          <w:lang w:eastAsia="en-US"/>
        </w:rPr>
      </w:pPr>
    </w:p>
    <w:p w:rsidR="009F09BC" w:rsidRPr="0060348F" w:rsidRDefault="009F09BC" w:rsidP="009F09BC">
      <w:pPr>
        <w:numPr>
          <w:ilvl w:val="0"/>
          <w:numId w:val="15"/>
        </w:numPr>
        <w:spacing w:line="360" w:lineRule="auto"/>
        <w:ind w:left="0" w:firstLine="0"/>
        <w:contextualSpacing/>
        <w:jc w:val="both"/>
        <w:rPr>
          <w:rFonts w:ascii="Palatino Linotype" w:hAnsi="Palatino Linotype"/>
        </w:rPr>
      </w:pPr>
      <w:r w:rsidRPr="0060348F">
        <w:rPr>
          <w:rFonts w:ascii="Palatino Linotype" w:hAnsi="Palatino Linotype"/>
        </w:rPr>
        <w:t xml:space="preserve">Asimismo, precisar que corresponder lo solicitado a </w:t>
      </w:r>
      <w:r w:rsidRPr="0060348F">
        <w:rPr>
          <w:rFonts w:ascii="Palatino Linotype" w:hAnsi="Palatino Linotype"/>
          <w:b/>
        </w:rPr>
        <w:t>oficios</w:t>
      </w:r>
      <w:r w:rsidR="000067B3" w:rsidRPr="0060348F">
        <w:rPr>
          <w:rFonts w:ascii="Palatino Linotype" w:hAnsi="Palatino Linotype"/>
          <w:b/>
        </w:rPr>
        <w:t xml:space="preserve"> y contratos</w:t>
      </w:r>
      <w:r w:rsidRPr="0060348F">
        <w:rPr>
          <w:rFonts w:ascii="Palatino Linotype" w:hAnsi="Palatino Linotype"/>
        </w:rPr>
        <w:t xml:space="preserve"> </w:t>
      </w:r>
      <w:r w:rsidR="000067B3" w:rsidRPr="0060348F">
        <w:rPr>
          <w:rFonts w:ascii="Palatino Linotype" w:hAnsi="Palatino Linotype"/>
        </w:rPr>
        <w:t xml:space="preserve">eventualmente </w:t>
      </w:r>
      <w:r w:rsidRPr="0060348F">
        <w:rPr>
          <w:rFonts w:ascii="Palatino Linotype" w:hAnsi="Palatino Linotype"/>
        </w:rPr>
        <w:t xml:space="preserve">pudieran contener información de </w:t>
      </w:r>
      <w:r w:rsidRPr="0060348F">
        <w:rPr>
          <w:rFonts w:ascii="Palatino Linotype" w:hAnsi="Palatino Linotype"/>
          <w:b/>
        </w:rPr>
        <w:t>carácter confidencial que por su naturaleza contenga datos personales susceptibles de ser resguardados por el SUJETO OBLIGADO</w:t>
      </w:r>
      <w:r w:rsidRPr="0060348F">
        <w:rPr>
          <w:rFonts w:ascii="Palatino Linotype" w:hAnsi="Palatino Linotype"/>
        </w:rPr>
        <w:t xml:space="preserve"> y para los cuales se deberá emitir una versión pública de los documentos con estricto apego al procedimiento del derecho de acceso a la información pública, ello en términos del Considerando que más adelante se precisara.</w:t>
      </w:r>
    </w:p>
    <w:p w:rsidR="009F09BC" w:rsidRPr="0060348F" w:rsidRDefault="009F09BC" w:rsidP="009F09BC">
      <w:pPr>
        <w:spacing w:line="360" w:lineRule="auto"/>
        <w:contextualSpacing/>
        <w:jc w:val="both"/>
        <w:rPr>
          <w:rFonts w:ascii="Palatino Linotype" w:hAnsi="Palatino Linotype" w:cs="Arial"/>
          <w:lang w:val="es-MX"/>
        </w:rPr>
      </w:pPr>
    </w:p>
    <w:p w:rsidR="000067B3" w:rsidRPr="0060348F" w:rsidRDefault="000067B3" w:rsidP="009A2251">
      <w:pPr>
        <w:pStyle w:val="Prrafodelista"/>
        <w:numPr>
          <w:ilvl w:val="0"/>
          <w:numId w:val="15"/>
        </w:numPr>
        <w:spacing w:after="160" w:line="360" w:lineRule="auto"/>
        <w:ind w:left="0" w:firstLine="0"/>
        <w:jc w:val="both"/>
        <w:rPr>
          <w:rFonts w:ascii="Palatino Linotype" w:hAnsi="Palatino Linotype"/>
          <w:i/>
        </w:rPr>
      </w:pPr>
      <w:bookmarkStart w:id="164" w:name="_Toc531859120"/>
      <w:bookmarkStart w:id="165" w:name="_Toc2871952"/>
      <w:bookmarkStart w:id="166" w:name="_Toc20246253"/>
      <w:bookmarkStart w:id="167" w:name="_Toc24023250"/>
      <w:bookmarkStart w:id="168" w:name="_Toc26461369"/>
      <w:bookmarkStart w:id="169" w:name="_Toc29481474"/>
      <w:bookmarkStart w:id="170" w:name="_Toc36648201"/>
      <w:bookmarkStart w:id="171" w:name="_Toc36732268"/>
      <w:bookmarkStart w:id="172" w:name="_Toc38560292"/>
      <w:bookmarkStart w:id="173" w:name="_Toc473799824"/>
      <w:bookmarkStart w:id="174" w:name="_Toc487025370"/>
      <w:bookmarkStart w:id="175" w:name="_Toc493790438"/>
      <w:bookmarkStart w:id="176" w:name="_Toc495606558"/>
      <w:bookmarkStart w:id="177" w:name="_Toc497297048"/>
      <w:bookmarkStart w:id="178" w:name="_Toc498503756"/>
      <w:bookmarkStart w:id="179" w:name="_Toc499201876"/>
      <w:bookmarkStart w:id="180" w:name="_Toc524000321"/>
      <w:r w:rsidRPr="0060348F">
        <w:rPr>
          <w:rFonts w:ascii="Palatino Linotype" w:hAnsi="Palatino Linotype"/>
        </w:rPr>
        <w:t xml:space="preserve">Ahora bien, retomando la respuesta inicial, si bien </w:t>
      </w:r>
      <w:r w:rsidRPr="0060348F">
        <w:rPr>
          <w:rFonts w:ascii="Palatino Linotype" w:eastAsia="MS Mincho" w:hAnsi="Palatino Linotype" w:cs="Arial"/>
        </w:rPr>
        <w:t xml:space="preserve">el </w:t>
      </w:r>
      <w:r w:rsidRPr="0060348F">
        <w:rPr>
          <w:rFonts w:ascii="Palatino Linotype" w:eastAsia="MS Mincho" w:hAnsi="Palatino Linotype" w:cs="Arial"/>
          <w:b/>
        </w:rPr>
        <w:t>SUJETO OBLIGADO</w:t>
      </w:r>
      <w:r w:rsidRPr="0060348F">
        <w:rPr>
          <w:rFonts w:ascii="Palatino Linotype" w:eastAsia="MS Mincho" w:hAnsi="Palatino Linotype" w:cs="Arial"/>
        </w:rPr>
        <w:t xml:space="preserve"> ya asumió que genera, posee o administra la información requerida, tan es así que la puso a disposición del particular para su consulta directa, no debe perderse de vista que se solicitó información del año 2022, aun y cuando de acuerdo a los registros del SAIMEX, la solicitud de información ingreso el día trece (13) de diciembre de dos mil veintiuno, toda vez que el día once (11) del mismo mes y año, fecha en que se materializó el registro de la solicitud fue inhábil.</w:t>
      </w:r>
    </w:p>
    <w:p w:rsidR="000067B3" w:rsidRPr="0060348F" w:rsidRDefault="000067B3" w:rsidP="000067B3">
      <w:pPr>
        <w:pStyle w:val="Prrafodelista"/>
        <w:rPr>
          <w:rFonts w:ascii="Palatino Linotype" w:hAnsi="Palatino Linotype"/>
          <w:i/>
        </w:rPr>
      </w:pPr>
    </w:p>
    <w:p w:rsidR="000067B3" w:rsidRPr="0060348F" w:rsidRDefault="000067B3" w:rsidP="009A2251">
      <w:pPr>
        <w:pStyle w:val="Prrafodelista"/>
        <w:numPr>
          <w:ilvl w:val="0"/>
          <w:numId w:val="15"/>
        </w:numPr>
        <w:spacing w:after="160" w:line="360" w:lineRule="auto"/>
        <w:ind w:left="0" w:firstLine="0"/>
        <w:jc w:val="both"/>
        <w:rPr>
          <w:rFonts w:ascii="Palatino Linotype" w:hAnsi="Palatino Linotype"/>
          <w:i/>
        </w:rPr>
      </w:pPr>
      <w:r w:rsidRPr="0060348F">
        <w:rPr>
          <w:rFonts w:ascii="Palatino Linotype" w:hAnsi="Palatino Linotype"/>
        </w:rPr>
        <w:t>Luego entonces, se solicitó información de un ejercicio fiscal posterior que aún</w:t>
      </w:r>
      <w:r w:rsidR="006E7C94" w:rsidRPr="0060348F">
        <w:rPr>
          <w:rFonts w:ascii="Palatino Linotype" w:hAnsi="Palatino Linotype"/>
        </w:rPr>
        <w:t xml:space="preserve"> no iniciaba. En ese sentido, la materia de </w:t>
      </w:r>
      <w:r w:rsidR="006E7C94" w:rsidRPr="0060348F">
        <w:rPr>
          <w:rFonts w:ascii="Palatino Linotype" w:hAnsi="Palatino Linotype" w:cs="Arial"/>
          <w:color w:val="000000"/>
        </w:rPr>
        <w:t xml:space="preserve">acceso a la información versa sobre los documentos generados, obtenidos, adquiridos, transformados, administrados o en posesión de los sujetos obligados, en el entendido de que dichos documentos deben obrar en sus archivos a la fecha de la solicitud y no así </w:t>
      </w:r>
      <w:r w:rsidR="006E7C94" w:rsidRPr="0060348F">
        <w:rPr>
          <w:rFonts w:ascii="Palatino Linotype" w:hAnsi="Palatino Linotype" w:cs="Arial"/>
          <w:b/>
          <w:color w:val="000000"/>
        </w:rPr>
        <w:t>sobre hechos futuros</w:t>
      </w:r>
      <w:r w:rsidR="006E7C94" w:rsidRPr="0060348F">
        <w:rPr>
          <w:rFonts w:ascii="Palatino Linotype" w:hAnsi="Palatino Linotype" w:cs="Arial"/>
          <w:color w:val="000000"/>
        </w:rPr>
        <w:t xml:space="preserve"> como es el presente caso pidiendo información de un año que aún no comenzaba, de tal </w:t>
      </w:r>
      <w:r w:rsidR="006E7C94" w:rsidRPr="0060348F">
        <w:rPr>
          <w:rFonts w:ascii="Palatino Linotype" w:hAnsi="Palatino Linotype" w:cs="Arial"/>
          <w:color w:val="000000"/>
        </w:rPr>
        <w:lastRenderedPageBreak/>
        <w:t>suerte que este Órgano Garante no puede pronunciarse respecto</w:t>
      </w:r>
      <w:r w:rsidR="00192AEA" w:rsidRPr="0060348F">
        <w:rPr>
          <w:rFonts w:ascii="Palatino Linotype" w:hAnsi="Palatino Linotype" w:cs="Arial"/>
          <w:color w:val="000000"/>
        </w:rPr>
        <w:t xml:space="preserve"> de la información de dicho año; asimismo, del año 2021, al ser la fecha de interposición de la solicitud de información el día trece (13) de diciembre de dos mil veintiuno</w:t>
      </w:r>
      <w:r w:rsidR="0049737D" w:rsidRPr="0060348F">
        <w:rPr>
          <w:rFonts w:ascii="Palatino Linotype" w:hAnsi="Palatino Linotype" w:cs="Arial"/>
          <w:color w:val="000000"/>
        </w:rPr>
        <w:t xml:space="preserve">, </w:t>
      </w:r>
      <w:r w:rsidR="00D4753D" w:rsidRPr="0060348F">
        <w:rPr>
          <w:rFonts w:ascii="Palatino Linotype" w:hAnsi="Palatino Linotype" w:cs="Arial"/>
          <w:color w:val="000000"/>
        </w:rPr>
        <w:t>será el lapso temporal del cual se ordene la informac</w:t>
      </w:r>
      <w:r w:rsidR="00E23936" w:rsidRPr="0060348F">
        <w:rPr>
          <w:rFonts w:ascii="Palatino Linotype" w:hAnsi="Palatino Linotype" w:cs="Arial"/>
          <w:color w:val="000000"/>
        </w:rPr>
        <w:t xml:space="preserve">ión para dicho ejercicio fiscal, procediendo ordenar la última quincena completa que haya trascurrido, esto es al 30 (treinta) de noviembre de dos mil veintiuno. </w:t>
      </w:r>
    </w:p>
    <w:p w:rsidR="000067B3" w:rsidRPr="0060348F" w:rsidRDefault="000067B3" w:rsidP="000067B3">
      <w:pPr>
        <w:pStyle w:val="Prrafodelista"/>
        <w:rPr>
          <w:rFonts w:ascii="Palatino Linotype" w:hAnsi="Palatino Linotype"/>
        </w:rPr>
      </w:pPr>
    </w:p>
    <w:p w:rsidR="009F09BC" w:rsidRPr="0060348F" w:rsidRDefault="00C21FAE" w:rsidP="009A2251">
      <w:pPr>
        <w:pStyle w:val="Prrafodelista"/>
        <w:numPr>
          <w:ilvl w:val="0"/>
          <w:numId w:val="15"/>
        </w:numPr>
        <w:spacing w:after="160" w:line="360" w:lineRule="auto"/>
        <w:ind w:left="0" w:firstLine="0"/>
        <w:jc w:val="both"/>
        <w:rPr>
          <w:rFonts w:ascii="Palatino Linotype" w:hAnsi="Palatino Linotype"/>
          <w:i/>
        </w:rPr>
      </w:pPr>
      <w:r w:rsidRPr="0060348F">
        <w:rPr>
          <w:rFonts w:ascii="Palatino Linotype" w:hAnsi="Palatino Linotype"/>
        </w:rPr>
        <w:t>Por otro lado</w:t>
      </w:r>
      <w:r w:rsidR="009F09BC" w:rsidRPr="0060348F">
        <w:rPr>
          <w:rFonts w:ascii="Palatino Linotype" w:hAnsi="Palatino Linotype"/>
        </w:rPr>
        <w:t xml:space="preserve">, </w:t>
      </w:r>
      <w:r w:rsidRPr="0060348F">
        <w:rPr>
          <w:rFonts w:ascii="Palatino Linotype" w:hAnsi="Palatino Linotype"/>
        </w:rPr>
        <w:t xml:space="preserve">no pasan desapercibidas las </w:t>
      </w:r>
      <w:r w:rsidR="009F09BC" w:rsidRPr="0060348F">
        <w:rPr>
          <w:rFonts w:ascii="Palatino Linotype" w:hAnsi="Palatino Linotype"/>
        </w:rPr>
        <w:t xml:space="preserve">manifestaciones consistentes en: </w:t>
      </w:r>
      <w:r w:rsidR="009F09BC" w:rsidRPr="0060348F">
        <w:rPr>
          <w:rFonts w:ascii="Palatino Linotype" w:hAnsi="Palatino Linotype"/>
          <w:i/>
        </w:rPr>
        <w:t>"...</w:t>
      </w:r>
      <w:r w:rsidR="009A2251" w:rsidRPr="0060348F">
        <w:rPr>
          <w:rFonts w:ascii="Palatino Linotype" w:hAnsi="Palatino Linotype" w:cs="Arial"/>
          <w:b/>
          <w:i/>
          <w:lang w:val="es-MX"/>
        </w:rPr>
        <w:t>por eso se les paga, qué no, si no pueden con el cargo entonces renuncien. No les cuesta nada hacer su trabajo como se los manda la Ley.</w:t>
      </w:r>
      <w:r w:rsidR="009F09BC" w:rsidRPr="0060348F">
        <w:rPr>
          <w:rFonts w:ascii="Palatino Linotype" w:hAnsi="Palatino Linotype"/>
          <w:i/>
        </w:rPr>
        <w:t>"</w:t>
      </w:r>
    </w:p>
    <w:p w:rsidR="006D15D0" w:rsidRPr="0060348F" w:rsidRDefault="006D15D0" w:rsidP="006D15D0">
      <w:pPr>
        <w:pStyle w:val="Prrafodelista"/>
        <w:spacing w:line="360" w:lineRule="auto"/>
        <w:ind w:left="0"/>
        <w:jc w:val="both"/>
        <w:rPr>
          <w:lang w:val="es-MX" w:eastAsia="en-US"/>
        </w:rPr>
      </w:pPr>
    </w:p>
    <w:p w:rsidR="009F09BC" w:rsidRPr="0060348F" w:rsidRDefault="009F09BC" w:rsidP="009F09BC">
      <w:pPr>
        <w:pStyle w:val="Prrafodelista"/>
        <w:numPr>
          <w:ilvl w:val="0"/>
          <w:numId w:val="15"/>
        </w:numPr>
        <w:spacing w:line="360" w:lineRule="auto"/>
        <w:ind w:left="0" w:firstLine="0"/>
        <w:jc w:val="both"/>
        <w:rPr>
          <w:lang w:val="es-MX" w:eastAsia="en-US"/>
        </w:rPr>
      </w:pPr>
      <w:r w:rsidRPr="0060348F">
        <w:rPr>
          <w:rFonts w:ascii="Palatino Linotype" w:hAnsi="Palatino Linotype"/>
        </w:rPr>
        <w:t xml:space="preserve">Corresponden a manifestaciones subjetivas y opiniones personales del particular en uso de su libre derecho de expresión. </w:t>
      </w:r>
      <w:r w:rsidRPr="0060348F">
        <w:rPr>
          <w:rFonts w:ascii="Palatino Linotype" w:hAnsi="Palatino Linotype"/>
          <w:lang w:val="es-MX" w:eastAsia="en-US"/>
        </w:rPr>
        <w:t xml:space="preserve">En ese sentido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o los recursos de revisión como es el caso. </w:t>
      </w:r>
    </w:p>
    <w:p w:rsidR="009F09BC" w:rsidRPr="0060348F" w:rsidRDefault="009F09BC" w:rsidP="009F09BC">
      <w:pPr>
        <w:pStyle w:val="Prrafodelista"/>
        <w:spacing w:before="240" w:after="240" w:line="360" w:lineRule="auto"/>
        <w:ind w:left="426"/>
        <w:jc w:val="both"/>
        <w:rPr>
          <w:lang w:val="es-MX" w:eastAsia="en-US"/>
        </w:rPr>
      </w:pPr>
    </w:p>
    <w:p w:rsidR="009F09BC" w:rsidRPr="0060348F" w:rsidRDefault="009F09BC" w:rsidP="009F09BC">
      <w:pPr>
        <w:pStyle w:val="Ttulo2"/>
        <w:rPr>
          <w:rFonts w:ascii="Palatino Linotype" w:hAnsi="Palatino Linotype"/>
          <w:b/>
          <w:color w:val="auto"/>
          <w:sz w:val="24"/>
        </w:rPr>
      </w:pPr>
      <w:bookmarkStart w:id="181" w:name="_Toc83128590"/>
      <w:r w:rsidRPr="0060348F">
        <w:rPr>
          <w:rFonts w:ascii="Palatino Linotype" w:hAnsi="Palatino Linotype"/>
          <w:b/>
          <w:color w:val="auto"/>
          <w:sz w:val="24"/>
        </w:rPr>
        <w:t xml:space="preserve">QUINTO. De la </w:t>
      </w:r>
      <w:bookmarkEnd w:id="164"/>
      <w:bookmarkEnd w:id="165"/>
      <w:r w:rsidRPr="0060348F">
        <w:rPr>
          <w:rFonts w:ascii="Palatino Linotype" w:hAnsi="Palatino Linotype"/>
          <w:b/>
          <w:color w:val="auto"/>
          <w:sz w:val="24"/>
        </w:rPr>
        <w:t>versión pública</w:t>
      </w:r>
      <w:bookmarkEnd w:id="166"/>
      <w:bookmarkEnd w:id="167"/>
      <w:bookmarkEnd w:id="168"/>
      <w:bookmarkEnd w:id="169"/>
      <w:bookmarkEnd w:id="170"/>
      <w:bookmarkEnd w:id="171"/>
      <w:bookmarkEnd w:id="172"/>
      <w:bookmarkEnd w:id="181"/>
    </w:p>
    <w:p w:rsidR="009F09BC" w:rsidRPr="0060348F" w:rsidRDefault="009F09BC" w:rsidP="009F09BC">
      <w:pPr>
        <w:rPr>
          <w:lang w:val="es-MX" w:eastAsia="en-US"/>
        </w:rPr>
      </w:pPr>
    </w:p>
    <w:bookmarkEnd w:id="173"/>
    <w:bookmarkEnd w:id="174"/>
    <w:bookmarkEnd w:id="175"/>
    <w:bookmarkEnd w:id="176"/>
    <w:bookmarkEnd w:id="177"/>
    <w:bookmarkEnd w:id="178"/>
    <w:bookmarkEnd w:id="179"/>
    <w:bookmarkEnd w:id="180"/>
    <w:p w:rsidR="009F09BC" w:rsidRPr="0060348F" w:rsidRDefault="009F09BC" w:rsidP="009F09BC">
      <w:pPr>
        <w:pStyle w:val="Prrafodelista"/>
        <w:numPr>
          <w:ilvl w:val="0"/>
          <w:numId w:val="15"/>
        </w:numPr>
        <w:spacing w:after="160" w:line="360" w:lineRule="auto"/>
        <w:ind w:left="0" w:firstLine="0"/>
        <w:jc w:val="both"/>
        <w:rPr>
          <w:rFonts w:ascii="Palatino Linotype" w:hAnsi="Palatino Linotype"/>
        </w:rPr>
      </w:pPr>
      <w:r w:rsidRPr="0060348F">
        <w:rPr>
          <w:rFonts w:ascii="Palatino Linotype" w:hAnsi="Palatino Linotype"/>
        </w:rPr>
        <w:lastRenderedPageBreak/>
        <w:t xml:space="preserve">Debe destacarse que la información que se ha tenido a bien ordenar, dada su propia y especial naturaleza, puede contener datos personales susceptibles de ser protegidos mediante una versión pública, la cual deberá estar soportada por el Acta del Comité de Transparencia que se emita para tal efecto, debiéndola poner a disposición del hoy </w:t>
      </w:r>
      <w:r w:rsidRPr="0060348F">
        <w:rPr>
          <w:rFonts w:ascii="Palatino Linotype" w:hAnsi="Palatino Linotype"/>
          <w:b/>
        </w:rPr>
        <w:t>RECURRENTE</w:t>
      </w:r>
      <w:r w:rsidR="009A2251" w:rsidRPr="0060348F">
        <w:rPr>
          <w:rFonts w:ascii="Palatino Linotype" w:hAnsi="Palatino Linotype"/>
        </w:rPr>
        <w:t>.</w:t>
      </w:r>
    </w:p>
    <w:p w:rsidR="00867317" w:rsidRPr="0060348F" w:rsidRDefault="00867317" w:rsidP="00867317">
      <w:pPr>
        <w:pStyle w:val="Prrafodelista"/>
        <w:spacing w:after="160" w:line="360" w:lineRule="auto"/>
        <w:ind w:left="0"/>
        <w:jc w:val="both"/>
        <w:rPr>
          <w:rFonts w:ascii="Palatino Linotype" w:hAnsi="Palatino Linotype"/>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0348F">
        <w:rPr>
          <w:rFonts w:ascii="Palatino Linotype" w:eastAsia="MS Gothic" w:hAnsi="Palatino Linotype" w:cs="Times New Roman"/>
          <w:szCs w:val="26"/>
          <w:vertAlign w:val="superscript"/>
        </w:rPr>
        <w:footnoteReference w:id="4"/>
      </w:r>
      <w:r w:rsidRPr="0060348F">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0348F">
        <w:rPr>
          <w:rFonts w:ascii="Palatino Linotype" w:eastAsia="MS Gothic" w:hAnsi="Palatino Linotype" w:cs="Times New Roman"/>
          <w:szCs w:val="26"/>
          <w:vertAlign w:val="superscript"/>
        </w:rPr>
        <w:footnoteReference w:id="5"/>
      </w:r>
      <w:r w:rsidRPr="0060348F">
        <w:rPr>
          <w:rFonts w:ascii="Palatino Linotype" w:eastAsia="MS Gothic" w:hAnsi="Palatino Linotype" w:cs="Times New Roman"/>
          <w:szCs w:val="26"/>
        </w:rPr>
        <w:t xml:space="preserve"> En este caso, la clasificación total o parcial de la información es un </w:t>
      </w:r>
      <w:r w:rsidRPr="0060348F">
        <w:rPr>
          <w:rFonts w:ascii="Palatino Linotype" w:eastAsia="MS Gothic" w:hAnsi="Palatino Linotype" w:cs="Times New Roman"/>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2" w:name="_Toc51863315"/>
      <w:bookmarkStart w:id="183" w:name="_Toc52444649"/>
      <w:bookmarkStart w:id="184" w:name="_Toc57154368"/>
      <w:bookmarkStart w:id="185" w:name="_Toc65170174"/>
      <w:bookmarkStart w:id="186" w:name="_Toc66371800"/>
      <w:bookmarkStart w:id="187" w:name="_Toc67584835"/>
      <w:bookmarkStart w:id="188" w:name="_Toc70070911"/>
      <w:bookmarkStart w:id="189" w:name="_Toc70593358"/>
      <w:bookmarkStart w:id="190" w:name="_Toc71290717"/>
      <w:bookmarkStart w:id="191" w:name="_Toc71291223"/>
      <w:bookmarkStart w:id="192" w:name="_Toc71674122"/>
      <w:bookmarkStart w:id="193" w:name="_Toc83128591"/>
      <w:r w:rsidRPr="0060348F">
        <w:rPr>
          <w:rFonts w:ascii="Palatino Linotype" w:hAnsi="Palatino Linotype" w:cs="Arial"/>
          <w:b/>
        </w:rPr>
        <w:t>Requisitos previos.</w:t>
      </w:r>
      <w:bookmarkEnd w:id="182"/>
      <w:bookmarkEnd w:id="183"/>
      <w:bookmarkEnd w:id="184"/>
      <w:bookmarkEnd w:id="185"/>
      <w:bookmarkEnd w:id="186"/>
      <w:bookmarkEnd w:id="187"/>
      <w:bookmarkEnd w:id="188"/>
      <w:bookmarkEnd w:id="189"/>
      <w:bookmarkEnd w:id="190"/>
      <w:bookmarkEnd w:id="191"/>
      <w:bookmarkEnd w:id="192"/>
      <w:bookmarkEnd w:id="193"/>
    </w:p>
    <w:p w:rsidR="009F09BC" w:rsidRPr="0060348F" w:rsidRDefault="009F09BC" w:rsidP="009F09BC">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60348F" w:rsidRDefault="009F09BC" w:rsidP="009F09BC">
      <w:pPr>
        <w:pStyle w:val="Prrafodelista"/>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 xml:space="preserve">El último </w:t>
      </w:r>
      <w:bookmarkStart w:id="194" w:name="_GoBack"/>
      <w:r w:rsidRPr="0060348F">
        <w:rPr>
          <w:rFonts w:ascii="Palatino Linotype" w:eastAsia="MS Gothic" w:hAnsi="Palatino Linotype" w:cs="Times New Roman"/>
          <w:szCs w:val="26"/>
        </w:rPr>
        <w:t xml:space="preserve">de estos requisitos previos consiste en que no se pueden emitir acuerdos de carácter general ni particular, según lo disponen los artículos 134 y 108 de la Ley Estatal y de la Ley General, respectivamente, esto es, </w:t>
      </w:r>
      <w:r w:rsidRPr="0060348F">
        <w:rPr>
          <w:rFonts w:ascii="Palatino Linotype" w:eastAsia="MS Gothic" w:hAnsi="Palatino Linotype" w:cs="Times New Roman"/>
          <w:b/>
          <w:szCs w:val="26"/>
          <w:u w:val="single"/>
        </w:rPr>
        <w:t>no se puede hacer un acuerdo para clasificar de manera general todos los documentos de un expediente o área</w:t>
      </w:r>
      <w:r w:rsidRPr="0060348F">
        <w:rPr>
          <w:rFonts w:ascii="Palatino Linotype" w:eastAsia="MS Gothic" w:hAnsi="Palatino Linotype" w:cs="Times New Roman"/>
          <w:b/>
          <w:szCs w:val="26"/>
        </w:rPr>
        <w:t xml:space="preserve">,  </w:t>
      </w:r>
      <w:r w:rsidRPr="0060348F">
        <w:rPr>
          <w:rFonts w:ascii="Palatino Linotype" w:eastAsia="MS Gothic" w:hAnsi="Palatino Linotype" w:cs="Times New Roman"/>
          <w:szCs w:val="26"/>
        </w:rPr>
        <w:t>sin individualizar su análisis y tampoco se puede hacer un acuerdo por cada dato que se vaya a clasifica</w:t>
      </w:r>
      <w:bookmarkEnd w:id="194"/>
      <w:r w:rsidRPr="0060348F">
        <w:rPr>
          <w:rFonts w:ascii="Palatino Linotype" w:eastAsia="MS Gothic" w:hAnsi="Palatino Linotype" w:cs="Times New Roman"/>
          <w:szCs w:val="26"/>
        </w:rPr>
        <w:t>r dentro de un documento con diez datos, por ejemplo, susceptibles de ser clasificados.</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95" w:name="_Toc51863316"/>
      <w:bookmarkStart w:id="196" w:name="_Toc52444650"/>
      <w:bookmarkStart w:id="197" w:name="_Toc57154369"/>
      <w:bookmarkStart w:id="198" w:name="_Toc65170175"/>
      <w:bookmarkStart w:id="199" w:name="_Toc66371801"/>
      <w:bookmarkStart w:id="200" w:name="_Toc67584836"/>
      <w:bookmarkStart w:id="201" w:name="_Toc70070912"/>
      <w:bookmarkStart w:id="202" w:name="_Toc70593359"/>
      <w:bookmarkStart w:id="203" w:name="_Toc71290718"/>
      <w:bookmarkStart w:id="204" w:name="_Toc71291224"/>
      <w:bookmarkStart w:id="205" w:name="_Toc71674123"/>
      <w:bookmarkStart w:id="206" w:name="_Toc83128592"/>
      <w:r w:rsidRPr="0060348F">
        <w:rPr>
          <w:rFonts w:ascii="Palatino Linotype" w:hAnsi="Palatino Linotype" w:cs="Arial"/>
          <w:b/>
        </w:rPr>
        <w:t>Supuestos de clasificación.</w:t>
      </w:r>
      <w:bookmarkEnd w:id="195"/>
      <w:bookmarkEnd w:id="196"/>
      <w:bookmarkEnd w:id="197"/>
      <w:bookmarkEnd w:id="198"/>
      <w:bookmarkEnd w:id="199"/>
      <w:bookmarkEnd w:id="200"/>
      <w:bookmarkEnd w:id="201"/>
      <w:bookmarkEnd w:id="202"/>
      <w:bookmarkEnd w:id="203"/>
      <w:bookmarkEnd w:id="204"/>
      <w:bookmarkEnd w:id="205"/>
      <w:bookmarkEnd w:id="206"/>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0348F">
        <w:rPr>
          <w:rFonts w:ascii="Palatino Linotype" w:hAnsi="Palatino Linotype" w:cs="Bookman Old Style"/>
          <w:bCs/>
          <w:i/>
          <w:color w:val="000000"/>
        </w:rPr>
        <w:t xml:space="preserve">“I. </w:t>
      </w:r>
      <w:r w:rsidRPr="0060348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60348F"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0348F">
        <w:rPr>
          <w:rFonts w:ascii="Palatino Linotype" w:hAnsi="Palatino Linotype" w:cs="Bookman Old Style"/>
          <w:bCs/>
          <w:i/>
          <w:color w:val="000000"/>
        </w:rPr>
        <w:lastRenderedPageBreak/>
        <w:t xml:space="preserve">II. </w:t>
      </w:r>
      <w:r w:rsidRPr="0060348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60348F"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0348F">
        <w:rPr>
          <w:rFonts w:ascii="Palatino Linotype" w:hAnsi="Palatino Linotype" w:cs="Bookman Old Style"/>
          <w:bCs/>
          <w:i/>
          <w:color w:val="000000"/>
        </w:rPr>
        <w:t xml:space="preserve">III. </w:t>
      </w:r>
      <w:r w:rsidRPr="0060348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60348F"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0348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60348F"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60348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60348F"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 xml:space="preserve">Como consecuencia de lo anterior, el </w:t>
      </w:r>
      <w:r w:rsidRPr="0060348F">
        <w:rPr>
          <w:rFonts w:ascii="Palatino Linotype" w:eastAsia="MS Gothic" w:hAnsi="Palatino Linotype" w:cs="Times New Roman"/>
          <w:b/>
          <w:szCs w:val="26"/>
        </w:rPr>
        <w:t>SUJETO OBLIGADO</w:t>
      </w:r>
      <w:r w:rsidRPr="0060348F">
        <w:rPr>
          <w:rFonts w:ascii="Palatino Linotype" w:eastAsia="MS Gothic" w:hAnsi="Palatino Linotype" w:cs="Times New Roman"/>
          <w:szCs w:val="26"/>
        </w:rPr>
        <w:t xml:space="preserve"> debe identificar claramente el tipo de información y hacer un juicio de subsunción o encaje</w:t>
      </w:r>
      <w:r w:rsidRPr="0060348F">
        <w:rPr>
          <w:rFonts w:ascii="Palatino Linotype" w:eastAsia="MS Gothic" w:hAnsi="Palatino Linotype" w:cs="Times New Roman"/>
          <w:szCs w:val="26"/>
          <w:vertAlign w:val="superscript"/>
        </w:rPr>
        <w:footnoteReference w:id="6"/>
      </w:r>
      <w:r w:rsidRPr="0060348F">
        <w:rPr>
          <w:rFonts w:ascii="Palatino Linotype" w:eastAsia="MS Gothic" w:hAnsi="Palatino Linotype" w:cs="Times New Roman"/>
          <w:szCs w:val="26"/>
        </w:rPr>
        <w:t xml:space="preserve"> para </w:t>
      </w:r>
      <w:r w:rsidRPr="0060348F">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9F09BC" w:rsidRPr="0060348F" w:rsidRDefault="009F09BC" w:rsidP="009F09BC">
      <w:pPr>
        <w:pStyle w:val="Prrafodelista"/>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60348F" w:rsidRDefault="009A2251" w:rsidP="009A2251">
      <w:pPr>
        <w:pStyle w:val="Prrafodelista"/>
        <w:rPr>
          <w:rFonts w:ascii="Palatino Linotype" w:hAnsi="Palatino Linotype" w:cs="Arial"/>
        </w:rPr>
      </w:pP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w:t>
      </w:r>
      <w:r w:rsidRPr="0060348F">
        <w:rPr>
          <w:rFonts w:ascii="Palatino Linotype" w:hAnsi="Palatino Linotype" w:cs="Arial"/>
          <w:b/>
          <w:i/>
        </w:rPr>
        <w:t>Quincuagésimo.</w:t>
      </w:r>
      <w:r w:rsidRPr="0060348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b/>
          <w:i/>
        </w:rPr>
        <w:t>Quincuagésimo primero.</w:t>
      </w:r>
      <w:r w:rsidRPr="0060348F">
        <w:rPr>
          <w:rFonts w:ascii="Palatino Linotype" w:hAnsi="Palatino Linotype" w:cs="Arial"/>
          <w:i/>
        </w:rPr>
        <w:t xml:space="preserve"> La leyenda en los documentos clasificados indicará:</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I. La fecha de sesión del Comité de Transparencia en donde se confirmó la clasificación, en su caso;</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II. El nombre del área;</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III. La palabra reservado o confidencial;</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IV. Las partes o secciones reservadas o confidenciales, en su caso;</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V. El fundamento legal;</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VI. El periodo de reserva, y</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VII. La rúbrica del titular del área.</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b/>
          <w:i/>
        </w:rPr>
        <w:t>Quincuagésimo segundo.</w:t>
      </w:r>
      <w:r w:rsidRPr="0060348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60348F">
        <w:rPr>
          <w:rFonts w:ascii="Palatino Linotype" w:hAnsi="Palatino Linotype" w:cs="Arial"/>
          <w:i/>
        </w:rPr>
        <w:lastRenderedPageBreak/>
        <w:t>o letras las partes testadas para que, en una hoja anexa, se desglose la referida leyenda con las acotaciones realizadas.</w:t>
      </w:r>
    </w:p>
    <w:p w:rsidR="009F09BC" w:rsidRPr="0060348F"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60348F">
        <w:rPr>
          <w:rFonts w:ascii="Palatino Linotype" w:hAnsi="Palatino Linotype" w:cs="Arial"/>
          <w:b/>
          <w:i/>
        </w:rPr>
        <w:t>Quincuagésimo tercero.</w:t>
      </w:r>
      <w:r w:rsidRPr="0060348F">
        <w:rPr>
          <w:rFonts w:ascii="Palatino Linotype" w:hAnsi="Palatino Linotype" w:cs="Arial"/>
          <w:i/>
        </w:rPr>
        <w:t xml:space="preserve"> El formato para señalar la clasificación parcial de un documento, es el siguiente:</w:t>
      </w:r>
    </w:p>
    <w:p w:rsidR="009F09BC" w:rsidRPr="0060348F"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60348F">
        <w:rPr>
          <w:rFonts w:ascii="Palatino Linotype" w:hAnsi="Palatino Linotype" w:cs="Arial"/>
          <w:i/>
          <w:noProof/>
          <w:lang w:val="es-MX" w:eastAsia="es-MX"/>
        </w:rPr>
        <w:drawing>
          <wp:inline distT="0" distB="0" distL="0" distR="0" wp14:anchorId="2E6835A7" wp14:editId="6EDF19F0">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9F09BC" w:rsidRPr="0060348F"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60348F"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07" w:name="_Toc51863317"/>
      <w:bookmarkStart w:id="208" w:name="_Toc52444651"/>
      <w:bookmarkStart w:id="209" w:name="_Toc57154370"/>
      <w:bookmarkStart w:id="210" w:name="_Toc65170176"/>
      <w:bookmarkStart w:id="211" w:name="_Toc66371802"/>
      <w:bookmarkStart w:id="212" w:name="_Toc67584837"/>
      <w:bookmarkStart w:id="213" w:name="_Toc70070913"/>
      <w:bookmarkStart w:id="214" w:name="_Toc70593360"/>
      <w:bookmarkStart w:id="215" w:name="_Toc71290719"/>
      <w:bookmarkStart w:id="216" w:name="_Toc71291225"/>
      <w:bookmarkStart w:id="217" w:name="_Toc71674124"/>
      <w:bookmarkStart w:id="218" w:name="_Toc83128593"/>
      <w:r w:rsidRPr="0060348F">
        <w:rPr>
          <w:rFonts w:ascii="Palatino Linotype" w:hAnsi="Palatino Linotype" w:cs="Arial"/>
          <w:b/>
        </w:rPr>
        <w:t>III. La intervención del Comité de Transparencia.</w:t>
      </w:r>
      <w:bookmarkEnd w:id="207"/>
      <w:bookmarkEnd w:id="208"/>
      <w:bookmarkEnd w:id="209"/>
      <w:bookmarkEnd w:id="210"/>
      <w:bookmarkEnd w:id="211"/>
      <w:bookmarkEnd w:id="212"/>
      <w:bookmarkEnd w:id="213"/>
      <w:bookmarkEnd w:id="214"/>
      <w:bookmarkEnd w:id="215"/>
      <w:bookmarkEnd w:id="216"/>
      <w:bookmarkEnd w:id="217"/>
      <w:bookmarkEnd w:id="218"/>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60348F">
        <w:rPr>
          <w:rFonts w:ascii="Palatino Linotype" w:hAnsi="Palatino Linotype" w:cs="Arial"/>
          <w:b/>
        </w:rPr>
        <w:lastRenderedPageBreak/>
        <w:t>a) Formalidades para emitir el Acuerdo de Clasificación.</w:t>
      </w: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0348F">
        <w:rPr>
          <w:rFonts w:ascii="Palatino Linotype" w:eastAsia="MS Gothic" w:hAnsi="Palatino Linotype" w:cs="Times New Roman"/>
          <w:b/>
          <w:szCs w:val="26"/>
          <w:u w:val="single"/>
        </w:rPr>
        <w:t>confirmar, modificar o revocar</w:t>
      </w:r>
      <w:r w:rsidRPr="0060348F">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60348F">
        <w:rPr>
          <w:rFonts w:ascii="Palatino Linotype" w:eastAsia="MS Gothic" w:hAnsi="Palatino Linotype" w:cs="Times New Roman"/>
          <w:b/>
          <w:szCs w:val="26"/>
          <w:u w:val="single"/>
        </w:rPr>
        <w:t>no aprueba</w:t>
      </w:r>
      <w:r w:rsidRPr="0060348F">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60348F">
        <w:rPr>
          <w:rFonts w:ascii="Palatino Linotype" w:eastAsia="MS Gothic" w:hAnsi="Palatino Linotype" w:cs="Times New Roman"/>
          <w:b/>
          <w:szCs w:val="26"/>
          <w:u w:val="single"/>
        </w:rPr>
        <w:t>el acto reúna con los requisitos elementales</w:t>
      </w:r>
      <w:r w:rsidRPr="0060348F">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60348F" w:rsidRDefault="006D15D0" w:rsidP="006D15D0">
      <w:pPr>
        <w:pStyle w:val="Prrafodelista"/>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60348F">
        <w:rPr>
          <w:rFonts w:ascii="Palatino Linotype" w:hAnsi="Palatino Linotype" w:cs="Arial"/>
          <w:b/>
        </w:rPr>
        <w:t>Requisitos de fondo del Acuerdo de Clasificación.</w:t>
      </w: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60348F"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09BC" w:rsidRPr="0060348F" w:rsidRDefault="009F09BC" w:rsidP="009F09BC">
      <w:pPr>
        <w:pStyle w:val="Prrafodelista"/>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60348F">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0348F">
        <w:rPr>
          <w:rFonts w:ascii="Palatino Linotype" w:eastAsia="MS Gothic" w:hAnsi="Palatino Linotype" w:cs="Times New Roman"/>
          <w:szCs w:val="26"/>
        </w:rPr>
        <w:t>....”</w:t>
      </w:r>
      <w:r w:rsidRPr="0060348F">
        <w:rPr>
          <w:rFonts w:ascii="Palatino Linotype" w:eastAsia="MS Gothic" w:hAnsi="Palatino Linotype" w:cs="Times New Roman"/>
          <w:szCs w:val="26"/>
          <w:vertAlign w:val="superscript"/>
        </w:rPr>
        <w:footnoteReference w:id="7"/>
      </w:r>
    </w:p>
    <w:p w:rsidR="009F09BC" w:rsidRPr="0060348F" w:rsidRDefault="009F09BC" w:rsidP="009F09BC">
      <w:pPr>
        <w:pStyle w:val="Prrafodelista"/>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spacing w:line="276" w:lineRule="auto"/>
        <w:ind w:left="851" w:right="618"/>
        <w:contextualSpacing/>
        <w:jc w:val="both"/>
        <w:rPr>
          <w:rFonts w:ascii="Palatino Linotype" w:hAnsi="Palatino Linotype" w:cs="Arial"/>
          <w:i/>
          <w:color w:val="000000"/>
        </w:rPr>
      </w:pPr>
      <w:r w:rsidRPr="0060348F">
        <w:rPr>
          <w:rFonts w:ascii="Palatino Linotype" w:hAnsi="Palatino Linotype" w:cs="Arial"/>
          <w:b/>
          <w:i/>
          <w:color w:val="000000"/>
        </w:rPr>
        <w:t>FUNDAMENTACIÓN Y MOTIVACIÓN.</w:t>
      </w:r>
      <w:r w:rsidRPr="0060348F">
        <w:rPr>
          <w:rFonts w:ascii="Palatino Linotype" w:hAnsi="Palatino Linotype" w:cs="Arial"/>
          <w:i/>
          <w:color w:val="000000"/>
        </w:rPr>
        <w:t xml:space="preserve"> “La </w:t>
      </w:r>
      <w:r w:rsidRPr="0060348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0348F">
        <w:rPr>
          <w:rFonts w:ascii="Palatino Linotype" w:hAnsi="Palatino Linotype" w:cs="Arial"/>
          <w:i/>
          <w:color w:val="000000"/>
        </w:rPr>
        <w:t>.”</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t>SEGUNDO TRIBUNAL COLEGIADO DEL SEXTO CIRCUITO.</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60348F">
        <w:rPr>
          <w:rFonts w:ascii="Palatino Linotype" w:hAnsi="Palatino Linotype" w:cs="Arial"/>
          <w:i/>
          <w:color w:val="000000"/>
        </w:rPr>
        <w:t>Esponda</w:t>
      </w:r>
      <w:proofErr w:type="spellEnd"/>
      <w:r w:rsidRPr="0060348F">
        <w:rPr>
          <w:rFonts w:ascii="Palatino Linotype" w:hAnsi="Palatino Linotype" w:cs="Arial"/>
          <w:i/>
          <w:color w:val="000000"/>
        </w:rPr>
        <w:t xml:space="preserve"> Rincón.</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t xml:space="preserve">Amparo en revisión 333/88. </w:t>
      </w:r>
      <w:proofErr w:type="spellStart"/>
      <w:r w:rsidRPr="0060348F">
        <w:rPr>
          <w:rFonts w:ascii="Palatino Linotype" w:hAnsi="Palatino Linotype" w:cs="Arial"/>
          <w:i/>
          <w:color w:val="000000"/>
        </w:rPr>
        <w:t>Adilia</w:t>
      </w:r>
      <w:proofErr w:type="spellEnd"/>
      <w:r w:rsidRPr="0060348F">
        <w:rPr>
          <w:rFonts w:ascii="Palatino Linotype" w:hAnsi="Palatino Linotype" w:cs="Arial"/>
          <w:i/>
          <w:color w:val="000000"/>
        </w:rPr>
        <w:t xml:space="preserve"> Romero. 26 de octubre de 1988. Unanimidad de votos. Ponente: Arnoldo Nájera Virgen. Secretario: Enrique Crispín Campos Ramírez.</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60348F">
        <w:rPr>
          <w:rFonts w:ascii="Palatino Linotype" w:hAnsi="Palatino Linotype" w:cs="Arial"/>
          <w:i/>
          <w:color w:val="000000"/>
        </w:rPr>
        <w:t>Goyzueta</w:t>
      </w:r>
      <w:proofErr w:type="spellEnd"/>
      <w:r w:rsidRPr="0060348F">
        <w:rPr>
          <w:rFonts w:ascii="Palatino Linotype" w:hAnsi="Palatino Linotype" w:cs="Arial"/>
          <w:i/>
          <w:color w:val="000000"/>
        </w:rPr>
        <w:t>. Secretario: Gonzalo Carrera Molina.</w:t>
      </w:r>
    </w:p>
    <w:p w:rsidR="009F09BC" w:rsidRPr="0060348F" w:rsidRDefault="009F09BC" w:rsidP="009F09BC">
      <w:pPr>
        <w:spacing w:line="360" w:lineRule="auto"/>
        <w:ind w:left="851" w:right="618"/>
        <w:contextualSpacing/>
        <w:jc w:val="both"/>
        <w:rPr>
          <w:rFonts w:ascii="Palatino Linotype" w:hAnsi="Palatino Linotype" w:cs="Arial"/>
          <w:i/>
          <w:color w:val="000000"/>
        </w:rPr>
      </w:pPr>
      <w:r w:rsidRPr="0060348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60348F">
        <w:rPr>
          <w:rFonts w:ascii="Palatino Linotype" w:hAnsi="Palatino Linotype" w:cs="Arial"/>
          <w:i/>
          <w:color w:val="000000"/>
        </w:rPr>
        <w:t>Baigts</w:t>
      </w:r>
      <w:proofErr w:type="spellEnd"/>
      <w:r w:rsidRPr="0060348F">
        <w:rPr>
          <w:rFonts w:ascii="Palatino Linotype" w:hAnsi="Palatino Linotype" w:cs="Arial"/>
          <w:i/>
          <w:color w:val="000000"/>
        </w:rPr>
        <w:t xml:space="preserve"> Muñoz.</w:t>
      </w:r>
    </w:p>
    <w:p w:rsidR="009F09BC" w:rsidRPr="0060348F" w:rsidRDefault="009F09BC" w:rsidP="009F09BC">
      <w:pPr>
        <w:spacing w:line="360" w:lineRule="auto"/>
        <w:ind w:left="851" w:right="618"/>
        <w:contextualSpacing/>
        <w:jc w:val="both"/>
        <w:rPr>
          <w:rFonts w:ascii="Palatino Linotype" w:hAnsi="Palatino Linotype" w:cs="Arial"/>
          <w:i/>
          <w:color w:val="000000"/>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60348F">
        <w:rPr>
          <w:rFonts w:ascii="Palatino Linotype" w:eastAsia="MS Gothic" w:hAnsi="Palatino Linotype" w:cs="Times New Roman"/>
        </w:rPr>
        <w:lastRenderedPageBreak/>
        <w:t>modo, la persona que se sienta afectada pueda impugnar la decisión, permitiéndole una real y auténtica defensa.</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rPr>
        <w:t xml:space="preserve">Ahora bien, </w:t>
      </w:r>
      <w:r w:rsidRPr="0060348F">
        <w:rPr>
          <w:rFonts w:ascii="Palatino Linotype" w:eastAsia="MS Gothic" w:hAnsi="Palatino Linotype" w:cs="Times New Roman"/>
          <w:b/>
          <w:u w:val="single"/>
        </w:rPr>
        <w:t>para cada caso además de fundar y motivar</w:t>
      </w:r>
      <w:r w:rsidRPr="0060348F">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0348F">
        <w:rPr>
          <w:rFonts w:ascii="Palatino Linotype" w:eastAsia="MS Gothic" w:hAnsi="Palatino Linotype" w:cs="Times New Roman"/>
          <w:vertAlign w:val="superscript"/>
        </w:rPr>
        <w:footnoteReference w:id="8"/>
      </w:r>
      <w:r w:rsidRPr="0060348F">
        <w:rPr>
          <w:rFonts w:ascii="Palatino Linotype" w:eastAsia="MS Gothic" w:hAnsi="Palatino Linotype" w:cs="Times New Roman"/>
        </w:rPr>
        <w:t xml:space="preserve"> del servidor público que no tienen ninguna injerencia en el tema de la transparencia y la rendición de cuentas, por ejemplo, </w:t>
      </w:r>
      <w:r w:rsidRPr="0060348F">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60348F"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0348F"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60348F">
        <w:rPr>
          <w:rFonts w:ascii="Palatino Linotype" w:eastAsia="MS Gothic" w:hAnsi="Palatino Linotype" w:cs="Times New Roman"/>
        </w:rPr>
        <w:t xml:space="preserve">Otro </w:t>
      </w:r>
      <w:r w:rsidRPr="0060348F">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Pr="0060348F">
        <w:rPr>
          <w:rFonts w:ascii="Palatino Linotype" w:eastAsia="MS Gothic" w:hAnsi="Palatino Linotype" w:cs="Times New Roman"/>
          <w:lang w:val="es-ES"/>
        </w:rPr>
        <w:lastRenderedPageBreak/>
        <w:t>cuando no involucren el ejercicio de recursos públicos, así lo define la fracción XXI del artículo 3 de la Ley Estatal.</w:t>
      </w:r>
    </w:p>
    <w:p w:rsidR="009F09BC" w:rsidRPr="0060348F" w:rsidRDefault="009F09BC" w:rsidP="009F09BC">
      <w:pPr>
        <w:pStyle w:val="Prrafodelista"/>
        <w:rPr>
          <w:rFonts w:ascii="Palatino Linotype" w:hAnsi="Palatino Linotype" w:cs="Arial"/>
        </w:rPr>
      </w:pPr>
    </w:p>
    <w:p w:rsidR="00C47C3D" w:rsidRPr="0060348F" w:rsidRDefault="00C47C3D" w:rsidP="009F09BC">
      <w:pPr>
        <w:pStyle w:val="Prrafodelista"/>
        <w:rPr>
          <w:rFonts w:ascii="Palatino Linotype" w:hAnsi="Palatino Linotype" w:cs="Arial"/>
        </w:rPr>
      </w:pPr>
    </w:p>
    <w:p w:rsidR="009F09BC" w:rsidRPr="0060348F" w:rsidRDefault="009F09BC" w:rsidP="009F09BC">
      <w:pPr>
        <w:pStyle w:val="Ttulo2"/>
        <w:numPr>
          <w:ilvl w:val="0"/>
          <w:numId w:val="25"/>
        </w:numPr>
        <w:spacing w:line="259" w:lineRule="auto"/>
        <w:rPr>
          <w:rFonts w:ascii="Palatino Linotype" w:hAnsi="Palatino Linotype"/>
          <w:b/>
          <w:color w:val="000000" w:themeColor="text1"/>
          <w:sz w:val="24"/>
        </w:rPr>
      </w:pPr>
      <w:bookmarkStart w:id="219" w:name="_Toc70082953"/>
      <w:bookmarkStart w:id="220" w:name="_Toc70593361"/>
      <w:bookmarkStart w:id="221" w:name="_Toc71674125"/>
      <w:bookmarkStart w:id="222" w:name="_Toc83128594"/>
      <w:r w:rsidRPr="0060348F">
        <w:rPr>
          <w:rFonts w:ascii="Palatino Linotype" w:hAnsi="Palatino Linotype"/>
          <w:b/>
          <w:color w:val="000000" w:themeColor="text1"/>
          <w:sz w:val="24"/>
        </w:rPr>
        <w:t>Determinación</w:t>
      </w:r>
      <w:bookmarkEnd w:id="219"/>
      <w:bookmarkEnd w:id="220"/>
      <w:bookmarkEnd w:id="221"/>
      <w:bookmarkEnd w:id="222"/>
    </w:p>
    <w:p w:rsidR="009F09BC" w:rsidRPr="0060348F" w:rsidRDefault="009F09BC" w:rsidP="009F09BC">
      <w:pPr>
        <w:rPr>
          <w:lang w:val="es-MX" w:eastAsia="en-US"/>
        </w:rPr>
      </w:pPr>
    </w:p>
    <w:p w:rsidR="009F09BC" w:rsidRPr="0060348F" w:rsidRDefault="009F09BC" w:rsidP="009F09BC">
      <w:pPr>
        <w:pStyle w:val="Prrafodelista"/>
        <w:numPr>
          <w:ilvl w:val="0"/>
          <w:numId w:val="15"/>
        </w:numPr>
        <w:spacing w:line="360" w:lineRule="auto"/>
        <w:ind w:left="0" w:right="34" w:firstLine="0"/>
        <w:jc w:val="both"/>
        <w:rPr>
          <w:rFonts w:ascii="Palatino Linotype" w:hAnsi="Palatino Linotype"/>
          <w:color w:val="000000" w:themeColor="text1"/>
        </w:rPr>
      </w:pPr>
      <w:r w:rsidRPr="0060348F">
        <w:rPr>
          <w:rFonts w:ascii="Palatino Linotype" w:hAnsi="Palatino Linotype"/>
        </w:rPr>
        <w:t xml:space="preserve">Por lo anteriormente expuesto, este Órgano Garante considera </w:t>
      </w:r>
      <w:r w:rsidR="009A2251" w:rsidRPr="0060348F">
        <w:rPr>
          <w:rFonts w:ascii="Palatino Linotype" w:hAnsi="Palatino Linotype"/>
        </w:rPr>
        <w:t xml:space="preserve">parcialmente </w:t>
      </w:r>
      <w:r w:rsidRPr="0060348F">
        <w:rPr>
          <w:rFonts w:ascii="Palatino Linotype" w:hAnsi="Palatino Linotype"/>
        </w:rPr>
        <w:t xml:space="preserve">fundadas las razones o motivos de inconformidad que plantea </w:t>
      </w:r>
      <w:r w:rsidR="009A2251" w:rsidRPr="0060348F">
        <w:rPr>
          <w:rFonts w:ascii="Palatino Linotype" w:hAnsi="Palatino Linotype"/>
        </w:rPr>
        <w:t>e</w:t>
      </w:r>
      <w:r w:rsidRPr="0060348F">
        <w:rPr>
          <w:rFonts w:ascii="Palatino Linotype" w:hAnsi="Palatino Linotype"/>
        </w:rPr>
        <w:t>l</w:t>
      </w:r>
      <w:r w:rsidRPr="0060348F">
        <w:rPr>
          <w:rFonts w:ascii="Palatino Linotype" w:hAnsi="Palatino Linotype"/>
          <w:b/>
        </w:rPr>
        <w:t xml:space="preserve"> RECURRENTE</w:t>
      </w:r>
      <w:r w:rsidRPr="0060348F">
        <w:rPr>
          <w:rFonts w:ascii="Palatino Linotype" w:hAnsi="Palatino Linotype"/>
        </w:rPr>
        <w:t xml:space="preserve">, determinando </w:t>
      </w:r>
      <w:r w:rsidRPr="0060348F">
        <w:rPr>
          <w:rFonts w:ascii="Palatino Linotype" w:hAnsi="Palatino Linotype"/>
          <w:b/>
        </w:rPr>
        <w:t>REVOCAR</w:t>
      </w:r>
      <w:r w:rsidRPr="0060348F">
        <w:rPr>
          <w:rFonts w:ascii="Palatino Linotype" w:hAnsi="Palatino Linotype"/>
        </w:rPr>
        <w:t xml:space="preserve"> la respuesta del </w:t>
      </w:r>
      <w:r w:rsidRPr="0060348F">
        <w:rPr>
          <w:rFonts w:ascii="Palatino Linotype" w:hAnsi="Palatino Linotype"/>
          <w:b/>
        </w:rPr>
        <w:t>SUJETO OBLIGADO al no ser procedente el cambio de modalidad de entrega de la información a consulta directa</w:t>
      </w:r>
      <w:r w:rsidRPr="0060348F">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0348F">
        <w:rPr>
          <w:rFonts w:ascii="Palatino Linotype" w:hAnsi="Palatino Linotype"/>
          <w:color w:val="000000" w:themeColor="text1"/>
          <w:lang w:val="es-ES" w:eastAsia="es-MX"/>
        </w:rPr>
        <w:t xml:space="preserve">este </w:t>
      </w:r>
      <w:r w:rsidRPr="0060348F">
        <w:rPr>
          <w:rFonts w:ascii="Palatino Linotype" w:hAnsi="Palatino Linotype"/>
          <w:b/>
          <w:bCs/>
          <w:color w:val="000000" w:themeColor="text1"/>
          <w:lang w:val="es-ES" w:eastAsia="es-MX"/>
        </w:rPr>
        <w:t>ÓRGANO GARANTE</w:t>
      </w:r>
      <w:r w:rsidRPr="0060348F">
        <w:rPr>
          <w:rFonts w:ascii="Palatino Linotype" w:hAnsi="Palatino Linotype"/>
          <w:color w:val="000000" w:themeColor="text1"/>
          <w:lang w:val="es-ES" w:eastAsia="es-MX"/>
        </w:rPr>
        <w:t xml:space="preserve"> emite los siguientes</w:t>
      </w:r>
      <w:r w:rsidRPr="0060348F">
        <w:rPr>
          <w:rFonts w:ascii="Palatino Linotype" w:hAnsi="Palatino Linotype"/>
          <w:color w:val="000000" w:themeColor="text1"/>
        </w:rPr>
        <w:t>.</w:t>
      </w:r>
    </w:p>
    <w:p w:rsidR="009F09BC" w:rsidRPr="0060348F" w:rsidRDefault="006D15D0" w:rsidP="009F09BC">
      <w:pPr>
        <w:spacing w:line="360" w:lineRule="auto"/>
        <w:contextualSpacing/>
        <w:jc w:val="both"/>
        <w:rPr>
          <w:rFonts w:ascii="Palatino Linotype" w:eastAsia="Calibri" w:hAnsi="Palatino Linotype" w:cs="Times New Roman"/>
        </w:rPr>
      </w:pPr>
      <w:r w:rsidRPr="0060348F">
        <w:rPr>
          <w:rFonts w:ascii="Palatino Linotype" w:eastAsia="Calibri" w:hAnsi="Palatino Linotype" w:cs="Times New Roman"/>
          <w:noProof/>
          <w:lang w:val="es-MX" w:eastAsia="es-MX"/>
        </w:rPr>
        <mc:AlternateContent>
          <mc:Choice Requires="wps">
            <w:drawing>
              <wp:anchor distT="0" distB="0" distL="114300" distR="114300" simplePos="0" relativeHeight="251669504" behindDoc="0" locked="0" layoutInCell="1" allowOverlap="1" wp14:anchorId="7FF2F6F5" wp14:editId="26F90F10">
                <wp:simplePos x="0" y="0"/>
                <wp:positionH relativeFrom="column">
                  <wp:posOffset>59896</wp:posOffset>
                </wp:positionH>
                <wp:positionV relativeFrom="paragraph">
                  <wp:posOffset>218877</wp:posOffset>
                </wp:positionV>
                <wp:extent cx="5462650" cy="2262249"/>
                <wp:effectExtent l="0" t="0" r="24130" b="24130"/>
                <wp:wrapNone/>
                <wp:docPr id="42" name="Conector recto 42"/>
                <wp:cNvGraphicFramePr/>
                <a:graphic xmlns:a="http://schemas.openxmlformats.org/drawingml/2006/main">
                  <a:graphicData uri="http://schemas.microsoft.com/office/word/2010/wordprocessingShape">
                    <wps:wsp>
                      <wps:cNvCnPr/>
                      <wps:spPr>
                        <a:xfrm>
                          <a:off x="0" y="0"/>
                          <a:ext cx="5462650" cy="22622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0BA8A" id="Conector recto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7.25pt" to="434.8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" strokecolor="black [3200]" strokeweight="1pt">
                <v:stroke joinstyle="miter"/>
              </v:line>
            </w:pict>
          </mc:Fallback>
        </mc:AlternateContent>
      </w: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spacing w:line="360" w:lineRule="auto"/>
        <w:contextualSpacing/>
        <w:jc w:val="both"/>
        <w:rPr>
          <w:rFonts w:ascii="Palatino Linotype" w:eastAsia="Calibri" w:hAnsi="Palatino Linotype" w:cs="Times New Roman"/>
        </w:rPr>
      </w:pPr>
    </w:p>
    <w:p w:rsidR="009F09BC" w:rsidRPr="0060348F" w:rsidRDefault="009F09BC" w:rsidP="009F09BC">
      <w:pPr>
        <w:pStyle w:val="Ttulo1"/>
        <w:spacing w:before="0" w:line="360" w:lineRule="auto"/>
        <w:jc w:val="center"/>
        <w:rPr>
          <w:rFonts w:ascii="Palatino Linotype" w:eastAsia="Calibri" w:hAnsi="Palatino Linotype"/>
          <w:b/>
          <w:color w:val="000000" w:themeColor="text1"/>
          <w:sz w:val="24"/>
          <w:szCs w:val="24"/>
          <w:lang w:val="es-ES"/>
        </w:rPr>
      </w:pPr>
      <w:bookmarkStart w:id="223" w:name="_Toc504500693"/>
      <w:bookmarkStart w:id="224" w:name="_Toc534742545"/>
      <w:bookmarkStart w:id="225" w:name="_Toc2248738"/>
      <w:bookmarkStart w:id="226" w:name="_Toc34819440"/>
      <w:bookmarkStart w:id="227" w:name="_Toc51259595"/>
      <w:bookmarkStart w:id="228" w:name="_Toc83128595"/>
      <w:r w:rsidRPr="0060348F">
        <w:rPr>
          <w:rFonts w:ascii="Palatino Linotype" w:eastAsia="Calibri" w:hAnsi="Palatino Linotype"/>
          <w:b/>
          <w:color w:val="000000" w:themeColor="text1"/>
          <w:sz w:val="24"/>
          <w:szCs w:val="24"/>
          <w:lang w:val="es-ES"/>
        </w:rPr>
        <w:t>R E S O L U T I V O S</w:t>
      </w:r>
      <w:bookmarkEnd w:id="223"/>
      <w:bookmarkEnd w:id="224"/>
      <w:bookmarkEnd w:id="225"/>
      <w:bookmarkEnd w:id="226"/>
      <w:bookmarkEnd w:id="227"/>
      <w:bookmarkEnd w:id="228"/>
      <w:r w:rsidRPr="0060348F">
        <w:rPr>
          <w:rFonts w:ascii="Palatino Linotype" w:eastAsia="Calibri" w:hAnsi="Palatino Linotype"/>
          <w:b/>
          <w:color w:val="000000" w:themeColor="text1"/>
          <w:sz w:val="24"/>
          <w:szCs w:val="24"/>
          <w:lang w:val="es-ES"/>
        </w:rPr>
        <w:t xml:space="preserve"> </w:t>
      </w:r>
    </w:p>
    <w:p w:rsidR="009F09BC" w:rsidRPr="0060348F" w:rsidRDefault="009F09BC" w:rsidP="009F09BC">
      <w:pPr>
        <w:spacing w:before="240" w:after="360" w:line="360" w:lineRule="auto"/>
        <w:jc w:val="both"/>
        <w:rPr>
          <w:rFonts w:ascii="Palatino Linotype" w:eastAsia="Times New Roman" w:hAnsi="Palatino Linotype" w:cs="Arial"/>
          <w:lang w:val="es-ES"/>
        </w:rPr>
      </w:pPr>
      <w:r w:rsidRPr="0060348F">
        <w:rPr>
          <w:rFonts w:ascii="Palatino Linotype" w:eastAsia="Times New Roman" w:hAnsi="Palatino Linotype" w:cs="Arial"/>
          <w:b/>
        </w:rPr>
        <w:t>PRIMERO</w:t>
      </w:r>
      <w:r w:rsidRPr="0060348F">
        <w:rPr>
          <w:rFonts w:ascii="Palatino Linotype" w:eastAsia="Times New Roman" w:hAnsi="Palatino Linotype" w:cs="Arial"/>
          <w:lang w:val="es-ES"/>
        </w:rPr>
        <w:t>. Resultan parcialmente fundadas las razones o motivos de inconformidad hechos valer en</w:t>
      </w:r>
      <w:r w:rsidR="009A2251" w:rsidRPr="0060348F">
        <w:rPr>
          <w:rFonts w:ascii="Palatino Linotype" w:eastAsia="Times New Roman" w:hAnsi="Palatino Linotype" w:cs="Arial"/>
          <w:lang w:val="es-ES"/>
        </w:rPr>
        <w:t xml:space="preserve"> el</w:t>
      </w:r>
      <w:r w:rsidRPr="0060348F">
        <w:rPr>
          <w:rFonts w:ascii="Palatino Linotype" w:eastAsia="Times New Roman" w:hAnsi="Palatino Linotype" w:cs="Arial"/>
          <w:lang w:val="es-ES"/>
        </w:rPr>
        <w:t xml:space="preserve"> Recurso de Revisión </w:t>
      </w:r>
      <w:r w:rsidR="006D15D0" w:rsidRPr="0060348F">
        <w:rPr>
          <w:rFonts w:ascii="Palatino Linotype" w:hAnsi="Palatino Linotype"/>
          <w:b/>
        </w:rPr>
        <w:t>0</w:t>
      </w:r>
      <w:r w:rsidR="009A2251" w:rsidRPr="0060348F">
        <w:rPr>
          <w:rFonts w:ascii="Palatino Linotype" w:hAnsi="Palatino Linotype"/>
          <w:b/>
        </w:rPr>
        <w:t>0278/INFOEM/IP/RR/202</w:t>
      </w:r>
      <w:r w:rsidR="00995772" w:rsidRPr="0060348F">
        <w:rPr>
          <w:rFonts w:ascii="Palatino Linotype" w:hAnsi="Palatino Linotype"/>
          <w:b/>
        </w:rPr>
        <w:t>2</w:t>
      </w:r>
      <w:r w:rsidRPr="0060348F">
        <w:rPr>
          <w:rFonts w:ascii="Palatino Linotype" w:hAnsi="Palatino Linotype"/>
        </w:rPr>
        <w:t>,</w:t>
      </w:r>
      <w:r w:rsidRPr="0060348F">
        <w:rPr>
          <w:rFonts w:ascii="Palatino Linotype" w:eastAsia="Times New Roman" w:hAnsi="Palatino Linotype" w:cs="Arial"/>
          <w:b/>
          <w:lang w:val="es-ES"/>
        </w:rPr>
        <w:t xml:space="preserve"> </w:t>
      </w:r>
      <w:r w:rsidRPr="0060348F">
        <w:rPr>
          <w:rFonts w:ascii="Palatino Linotype" w:eastAsia="Times New Roman" w:hAnsi="Palatino Linotype" w:cs="Arial"/>
          <w:lang w:val="es-ES"/>
        </w:rPr>
        <w:t xml:space="preserve">en términos de los Considerandos </w:t>
      </w:r>
      <w:r w:rsidRPr="0060348F">
        <w:rPr>
          <w:rFonts w:ascii="Palatino Linotype" w:eastAsia="Times New Roman" w:hAnsi="Palatino Linotype" w:cs="Arial"/>
          <w:b/>
          <w:lang w:val="es-ES"/>
        </w:rPr>
        <w:t xml:space="preserve">CUARTO </w:t>
      </w:r>
      <w:r w:rsidRPr="0060348F">
        <w:rPr>
          <w:rFonts w:ascii="Palatino Linotype" w:eastAsia="Times New Roman" w:hAnsi="Palatino Linotype" w:cs="Arial"/>
          <w:lang w:val="es-ES"/>
        </w:rPr>
        <w:t>y</w:t>
      </w:r>
      <w:r w:rsidRPr="0060348F">
        <w:rPr>
          <w:rFonts w:ascii="Palatino Linotype" w:eastAsia="Times New Roman" w:hAnsi="Palatino Linotype" w:cs="Arial"/>
          <w:b/>
          <w:lang w:val="es-ES"/>
        </w:rPr>
        <w:t xml:space="preserve"> QUINTO </w:t>
      </w:r>
      <w:r w:rsidRPr="0060348F">
        <w:rPr>
          <w:rFonts w:ascii="Palatino Linotype" w:eastAsia="Times New Roman" w:hAnsi="Palatino Linotype" w:cs="Arial"/>
          <w:lang w:val="es-ES"/>
        </w:rPr>
        <w:t xml:space="preserve">de la presente resolución. </w:t>
      </w:r>
    </w:p>
    <w:p w:rsidR="009F09BC" w:rsidRPr="0060348F" w:rsidRDefault="009F09BC" w:rsidP="009F09BC">
      <w:pPr>
        <w:spacing w:before="240" w:after="360" w:line="360" w:lineRule="auto"/>
        <w:jc w:val="both"/>
        <w:rPr>
          <w:rFonts w:ascii="Palatino Linotype" w:eastAsia="MS Mincho" w:hAnsi="Palatino Linotype" w:cs="Times New Roman"/>
          <w:color w:val="000000" w:themeColor="text1"/>
        </w:rPr>
      </w:pPr>
      <w:bookmarkStart w:id="229" w:name="_Toc503891607"/>
      <w:bookmarkStart w:id="230" w:name="_Toc511647757"/>
      <w:bookmarkStart w:id="231" w:name="_Toc511647818"/>
      <w:bookmarkStart w:id="232" w:name="_Toc477891768"/>
      <w:bookmarkStart w:id="233" w:name="_Toc477891858"/>
      <w:bookmarkStart w:id="234" w:name="_Toc481576259"/>
      <w:bookmarkStart w:id="235" w:name="_Toc492590391"/>
      <w:bookmarkStart w:id="236" w:name="_Toc462653937"/>
      <w:bookmarkStart w:id="237" w:name="_Toc453696502"/>
      <w:bookmarkStart w:id="238" w:name="_Toc454301155"/>
      <w:r w:rsidRPr="0060348F">
        <w:rPr>
          <w:rFonts w:ascii="Palatino Linotype" w:eastAsia="Times New Roman" w:hAnsi="Palatino Linotype" w:cs="Times New Roman"/>
          <w:b/>
        </w:rPr>
        <w:t>SEGUNDO.</w:t>
      </w:r>
      <w:bookmarkEnd w:id="229"/>
      <w:bookmarkEnd w:id="230"/>
      <w:bookmarkEnd w:id="231"/>
      <w:r w:rsidRPr="0060348F">
        <w:rPr>
          <w:rFonts w:ascii="Palatino Linotype" w:eastAsia="Times New Roman" w:hAnsi="Palatino Linotype" w:cs="Times New Roman"/>
          <w:b/>
        </w:rPr>
        <w:t xml:space="preserve"> </w:t>
      </w:r>
      <w:bookmarkEnd w:id="232"/>
      <w:bookmarkEnd w:id="233"/>
      <w:bookmarkEnd w:id="234"/>
      <w:bookmarkEnd w:id="235"/>
      <w:bookmarkEnd w:id="236"/>
      <w:bookmarkEnd w:id="237"/>
      <w:bookmarkEnd w:id="238"/>
      <w:r w:rsidRPr="0060348F">
        <w:rPr>
          <w:rFonts w:ascii="Palatino Linotype" w:eastAsia="MS Mincho" w:hAnsi="Palatino Linotype" w:cs="Times New Roman"/>
          <w:color w:val="000000" w:themeColor="text1"/>
        </w:rPr>
        <w:t xml:space="preserve">Se </w:t>
      </w:r>
      <w:r w:rsidRPr="0060348F">
        <w:rPr>
          <w:rFonts w:ascii="Palatino Linotype" w:eastAsia="MS Mincho" w:hAnsi="Palatino Linotype" w:cs="Times New Roman"/>
          <w:b/>
          <w:color w:val="000000" w:themeColor="text1"/>
        </w:rPr>
        <w:t xml:space="preserve">REVOCA </w:t>
      </w:r>
      <w:r w:rsidRPr="0060348F">
        <w:rPr>
          <w:rFonts w:ascii="Palatino Linotype" w:eastAsia="MS Mincho" w:hAnsi="Palatino Linotype" w:cs="Times New Roman"/>
          <w:color w:val="000000" w:themeColor="text1"/>
        </w:rPr>
        <w:t>la respuesta emitida por l</w:t>
      </w:r>
      <w:r w:rsidR="0086792A" w:rsidRPr="0060348F">
        <w:rPr>
          <w:rFonts w:ascii="Palatino Linotype" w:eastAsia="MS Mincho" w:hAnsi="Palatino Linotype" w:cs="Times New Roman"/>
          <w:color w:val="000000" w:themeColor="text1"/>
        </w:rPr>
        <w:t>a</w:t>
      </w:r>
      <w:r w:rsidRPr="0060348F">
        <w:rPr>
          <w:rFonts w:ascii="Palatino Linotype" w:eastAsia="MS Mincho" w:hAnsi="Palatino Linotype" w:cs="Times New Roman"/>
          <w:color w:val="000000" w:themeColor="text1"/>
        </w:rPr>
        <w:t xml:space="preserve"> </w:t>
      </w:r>
      <w:r w:rsidR="008A699B" w:rsidRPr="0060348F">
        <w:rPr>
          <w:rFonts w:ascii="Palatino Linotype" w:hAnsi="Palatino Linotype"/>
          <w:b/>
          <w:bCs/>
          <w:color w:val="000000"/>
        </w:rPr>
        <w:t>Comisión de Conciliación y Arbitraje Médico del Estado de México</w:t>
      </w:r>
      <w:r w:rsidRPr="0060348F">
        <w:rPr>
          <w:rFonts w:ascii="Palatino Linotype" w:eastAsia="MS Mincho" w:hAnsi="Palatino Linotype" w:cs="Times New Roman"/>
          <w:b/>
          <w:color w:val="000000" w:themeColor="text1"/>
        </w:rPr>
        <w:t xml:space="preserve"> </w:t>
      </w:r>
      <w:r w:rsidRPr="0060348F">
        <w:rPr>
          <w:rFonts w:ascii="Palatino Linotype" w:eastAsia="MS Mincho" w:hAnsi="Palatino Linotype" w:cs="Times New Roman"/>
          <w:color w:val="000000" w:themeColor="text1"/>
        </w:rPr>
        <w:t xml:space="preserve">y se </w:t>
      </w:r>
      <w:r w:rsidRPr="0060348F">
        <w:rPr>
          <w:rFonts w:ascii="Palatino Linotype" w:eastAsia="MS Mincho" w:hAnsi="Palatino Linotype" w:cs="Times New Roman"/>
          <w:b/>
          <w:color w:val="000000" w:themeColor="text1"/>
        </w:rPr>
        <w:t>ORDENA</w:t>
      </w:r>
      <w:r w:rsidRPr="0060348F">
        <w:rPr>
          <w:rFonts w:ascii="Palatino Linotype" w:eastAsia="MS Mincho" w:hAnsi="Palatino Linotype" w:cs="Times New Roman"/>
          <w:color w:val="000000" w:themeColor="text1"/>
        </w:rPr>
        <w:t xml:space="preserve"> entregar vía Sistema de Acceso a la Información Mexiquense </w:t>
      </w:r>
      <w:r w:rsidRPr="0060348F">
        <w:rPr>
          <w:rFonts w:ascii="Palatino Linotype" w:eastAsia="MS Mincho" w:hAnsi="Palatino Linotype" w:cs="Times New Roman"/>
          <w:b/>
          <w:color w:val="000000" w:themeColor="text1"/>
        </w:rPr>
        <w:t>(SAIMEX)</w:t>
      </w:r>
      <w:r w:rsidRPr="0060348F">
        <w:rPr>
          <w:rFonts w:ascii="Palatino Linotype" w:eastAsia="MS Mincho" w:hAnsi="Palatino Linotype" w:cs="Times New Roman"/>
          <w:color w:val="000000" w:themeColor="text1"/>
        </w:rPr>
        <w:t xml:space="preserve">, </w:t>
      </w:r>
      <w:r w:rsidR="0086792A" w:rsidRPr="0060348F">
        <w:rPr>
          <w:rFonts w:ascii="Palatino Linotype" w:eastAsia="MS Mincho" w:hAnsi="Palatino Linotype" w:cs="Times New Roman"/>
          <w:color w:val="000000" w:themeColor="text1"/>
        </w:rPr>
        <w:t xml:space="preserve">de ser el caso </w:t>
      </w:r>
      <w:r w:rsidRPr="0060348F">
        <w:rPr>
          <w:rFonts w:ascii="Palatino Linotype" w:eastAsia="MS Mincho" w:hAnsi="Palatino Linotype" w:cs="Times New Roman"/>
          <w:color w:val="000000" w:themeColor="text1"/>
        </w:rPr>
        <w:t>en versión pública, el soporte documental siguiente</w:t>
      </w:r>
      <w:r w:rsidR="00782A12" w:rsidRPr="0060348F">
        <w:rPr>
          <w:rFonts w:ascii="Palatino Linotype" w:eastAsia="MS Mincho" w:hAnsi="Palatino Linotype" w:cs="Times New Roman"/>
          <w:color w:val="000000" w:themeColor="text1"/>
        </w:rPr>
        <w:t xml:space="preserve">, </w:t>
      </w:r>
      <w:r w:rsidR="00E23936" w:rsidRPr="0060348F">
        <w:rPr>
          <w:rFonts w:ascii="Palatino Linotype" w:eastAsia="MS Mincho" w:hAnsi="Palatino Linotype" w:cs="Times New Roman"/>
          <w:b/>
          <w:color w:val="000000" w:themeColor="text1"/>
        </w:rPr>
        <w:t xml:space="preserve">al 30 de noviembre </w:t>
      </w:r>
      <w:r w:rsidR="00782A12" w:rsidRPr="0060348F">
        <w:rPr>
          <w:rFonts w:ascii="Palatino Linotype" w:eastAsia="MS Mincho" w:hAnsi="Palatino Linotype" w:cs="Times New Roman"/>
          <w:b/>
          <w:color w:val="000000" w:themeColor="text1"/>
        </w:rPr>
        <w:t>de 2021</w:t>
      </w:r>
      <w:r w:rsidRPr="0060348F">
        <w:rPr>
          <w:rFonts w:ascii="Palatino Linotype" w:eastAsia="MS Mincho" w:hAnsi="Palatino Linotype" w:cs="Times New Roman"/>
          <w:color w:val="000000" w:themeColor="text1"/>
        </w:rPr>
        <w:t xml:space="preserve">:   </w:t>
      </w:r>
    </w:p>
    <w:p w:rsidR="009A2251" w:rsidRPr="0060348F" w:rsidRDefault="009A2251" w:rsidP="009A2251">
      <w:pPr>
        <w:pStyle w:val="Prrafodelista"/>
        <w:numPr>
          <w:ilvl w:val="0"/>
          <w:numId w:val="35"/>
        </w:numPr>
        <w:spacing w:line="360" w:lineRule="auto"/>
        <w:ind w:left="709"/>
        <w:jc w:val="both"/>
        <w:rPr>
          <w:rFonts w:ascii="Palatino Linotype" w:hAnsi="Palatino Linotype" w:cs="Arial"/>
          <w:b/>
        </w:rPr>
      </w:pPr>
      <w:bookmarkStart w:id="239" w:name="_Toc503891610"/>
      <w:bookmarkStart w:id="240" w:name="_Toc453696503"/>
      <w:bookmarkStart w:id="241" w:name="_Toc454301156"/>
      <w:bookmarkStart w:id="242" w:name="_Toc462653938"/>
      <w:bookmarkStart w:id="243" w:name="_Toc477891769"/>
      <w:bookmarkStart w:id="244" w:name="_Toc477891859"/>
      <w:bookmarkStart w:id="245" w:name="_Toc481576260"/>
      <w:bookmarkStart w:id="246" w:name="_Toc492590392"/>
      <w:r w:rsidRPr="0060348F">
        <w:rPr>
          <w:rFonts w:ascii="Palatino Linotype" w:hAnsi="Palatino Linotype" w:cs="Arial"/>
          <w:b/>
        </w:rPr>
        <w:t>Nombre, cargo y adscripción del personal por contrato; y</w:t>
      </w:r>
    </w:p>
    <w:p w:rsidR="009A2251" w:rsidRPr="0060348F" w:rsidRDefault="009A2251" w:rsidP="009A2251">
      <w:pPr>
        <w:pStyle w:val="Prrafodelista"/>
        <w:numPr>
          <w:ilvl w:val="0"/>
          <w:numId w:val="35"/>
        </w:numPr>
        <w:spacing w:line="360" w:lineRule="auto"/>
        <w:ind w:left="709"/>
        <w:jc w:val="both"/>
        <w:rPr>
          <w:rFonts w:ascii="Palatino Linotype" w:hAnsi="Palatino Linotype" w:cs="Arial"/>
          <w:b/>
        </w:rPr>
      </w:pPr>
      <w:r w:rsidRPr="0060348F">
        <w:rPr>
          <w:rFonts w:ascii="Palatino Linotype" w:hAnsi="Palatino Linotype" w:cs="Arial"/>
          <w:b/>
        </w:rPr>
        <w:t>Contrato</w:t>
      </w:r>
      <w:r w:rsidR="00742823" w:rsidRPr="0060348F">
        <w:rPr>
          <w:rFonts w:ascii="Palatino Linotype" w:hAnsi="Palatino Linotype" w:cs="Arial"/>
          <w:b/>
        </w:rPr>
        <w:t>s</w:t>
      </w:r>
      <w:r w:rsidRPr="0060348F">
        <w:rPr>
          <w:rFonts w:ascii="Palatino Linotype" w:hAnsi="Palatino Linotype" w:cs="Arial"/>
          <w:b/>
        </w:rPr>
        <w:t xml:space="preserve"> y oficios de autorización de contratación emitidos por el Subsecretario de Administración</w:t>
      </w:r>
      <w:r w:rsidR="00782A12" w:rsidRPr="0060348F">
        <w:rPr>
          <w:rFonts w:ascii="Palatino Linotype" w:hAnsi="Palatino Linotype" w:cs="Arial"/>
          <w:b/>
        </w:rPr>
        <w:t>.</w:t>
      </w:r>
    </w:p>
    <w:p w:rsidR="009F09BC" w:rsidRPr="0060348F" w:rsidRDefault="009F09BC" w:rsidP="009F09BC">
      <w:pPr>
        <w:spacing w:before="240" w:after="240" w:line="360" w:lineRule="auto"/>
        <w:jc w:val="both"/>
        <w:rPr>
          <w:rFonts w:ascii="Palatino Linotype" w:eastAsia="Calibri" w:hAnsi="Palatino Linotype" w:cs="Arial"/>
          <w:b/>
        </w:rPr>
      </w:pPr>
      <w:r w:rsidRPr="0060348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0348F">
        <w:rPr>
          <w:rFonts w:ascii="Palatino Linotype" w:eastAsia="Calibri" w:hAnsi="Palatino Linotype" w:cs="Arial"/>
          <w:b/>
        </w:rPr>
        <w:t>EL RECURRENTE.</w:t>
      </w:r>
    </w:p>
    <w:p w:rsidR="009F09BC" w:rsidRPr="0060348F" w:rsidRDefault="009F09BC" w:rsidP="009F09BC">
      <w:pPr>
        <w:pStyle w:val="Prrafodelista"/>
        <w:shd w:val="clear" w:color="auto" w:fill="FFFFFF"/>
        <w:tabs>
          <w:tab w:val="left" w:pos="0"/>
        </w:tabs>
        <w:spacing w:before="240" w:after="150" w:line="360" w:lineRule="auto"/>
        <w:ind w:left="0" w:right="49"/>
        <w:jc w:val="both"/>
        <w:rPr>
          <w:rFonts w:ascii="Palatino Linotype" w:hAnsi="Palatino Linotype"/>
          <w:i/>
        </w:rPr>
      </w:pPr>
      <w:r w:rsidRPr="0060348F">
        <w:rPr>
          <w:rFonts w:ascii="Palatino Linotype" w:hAnsi="Palatino Linotype"/>
        </w:rPr>
        <w:t xml:space="preserve">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w:t>
      </w:r>
      <w:r w:rsidRPr="0060348F">
        <w:rPr>
          <w:rFonts w:ascii="Palatino Linotype" w:hAnsi="Palatino Linotype"/>
        </w:rPr>
        <w:lastRenderedPageBreak/>
        <w:t>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9F09BC" w:rsidRPr="0060348F" w:rsidRDefault="009F09BC" w:rsidP="009F09BC">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47" w:name="_Toc511647758"/>
      <w:bookmarkStart w:id="248" w:name="_Toc511647819"/>
      <w:r w:rsidRPr="0060348F">
        <w:rPr>
          <w:rFonts w:ascii="Palatino Linotype" w:eastAsia="Times New Roman" w:hAnsi="Palatino Linotype" w:cs="Times New Roman"/>
          <w:b/>
        </w:rPr>
        <w:t>TERCERO.</w:t>
      </w:r>
      <w:bookmarkEnd w:id="239"/>
      <w:bookmarkEnd w:id="247"/>
      <w:bookmarkEnd w:id="248"/>
      <w:r w:rsidRPr="0060348F">
        <w:rPr>
          <w:rFonts w:ascii="Palatino Linotype" w:eastAsia="Times New Roman" w:hAnsi="Palatino Linotype" w:cs="Times New Roman"/>
          <w:b/>
        </w:rPr>
        <w:t xml:space="preserve"> </w:t>
      </w:r>
      <w:bookmarkEnd w:id="240"/>
      <w:bookmarkEnd w:id="241"/>
      <w:bookmarkEnd w:id="242"/>
      <w:bookmarkEnd w:id="243"/>
      <w:bookmarkEnd w:id="244"/>
      <w:bookmarkEnd w:id="245"/>
      <w:bookmarkEnd w:id="246"/>
      <w:r w:rsidRPr="0060348F">
        <w:rPr>
          <w:rFonts w:ascii="Palatino Linotype" w:eastAsia="Palatino Linotype" w:hAnsi="Palatino Linotype" w:cs="Palatino Linotype"/>
          <w:b/>
        </w:rPr>
        <w:t xml:space="preserve">Notifíquese </w:t>
      </w:r>
      <w:r w:rsidRPr="0060348F">
        <w:rPr>
          <w:rFonts w:ascii="Palatino Linotype" w:eastAsia="Palatino Linotype" w:hAnsi="Palatino Linotype" w:cs="Palatino Linotype"/>
        </w:rPr>
        <w:t xml:space="preserve">al Titular de la Unidad de Transparencia del </w:t>
      </w:r>
      <w:r w:rsidRPr="0060348F">
        <w:rPr>
          <w:rFonts w:ascii="Palatino Linotype" w:eastAsia="Palatino Linotype" w:hAnsi="Palatino Linotype" w:cs="Palatino Linotype"/>
          <w:b/>
        </w:rPr>
        <w:t>SUJETO OBLIGADO</w:t>
      </w:r>
      <w:r w:rsidRPr="0060348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0348F">
        <w:rPr>
          <w:rFonts w:ascii="Palatino Linotype" w:eastAsia="Times New Roman" w:hAnsi="Palatino Linotype" w:cs="Times New Roman"/>
          <w:shd w:val="clear" w:color="auto" w:fill="FFFFFF"/>
        </w:rPr>
        <w:t xml:space="preserve">vigente, dé cumplimiento a lo ordenado dentro del plazo de </w:t>
      </w:r>
      <w:r w:rsidR="00782A12" w:rsidRPr="0060348F">
        <w:rPr>
          <w:rFonts w:ascii="Palatino Linotype" w:eastAsia="Times New Roman" w:hAnsi="Palatino Linotype" w:cs="Times New Roman"/>
          <w:b/>
          <w:shd w:val="clear" w:color="auto" w:fill="FFFFFF"/>
        </w:rPr>
        <w:t>diez</w:t>
      </w:r>
      <w:r w:rsidRPr="0060348F">
        <w:rPr>
          <w:rFonts w:ascii="Palatino Linotype" w:eastAsia="Times New Roman" w:hAnsi="Palatino Linotype" w:cs="Times New Roman"/>
          <w:b/>
          <w:shd w:val="clear" w:color="auto" w:fill="FFFFFF"/>
        </w:rPr>
        <w:t xml:space="preserve"> días hábiles</w:t>
      </w:r>
      <w:r w:rsidRPr="0060348F">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60348F" w:rsidRDefault="0057514F" w:rsidP="0057514F">
      <w:pPr>
        <w:spacing w:line="360" w:lineRule="auto"/>
        <w:jc w:val="both"/>
        <w:rPr>
          <w:rFonts w:ascii="Palatino Linotype" w:hAnsi="Palatino Linotype" w:cs="Arial"/>
          <w:b/>
          <w:sz w:val="20"/>
        </w:rPr>
      </w:pPr>
    </w:p>
    <w:p w:rsidR="0057514F" w:rsidRPr="0060348F" w:rsidRDefault="0057514F" w:rsidP="0057514F">
      <w:pPr>
        <w:spacing w:line="360" w:lineRule="auto"/>
        <w:jc w:val="both"/>
        <w:rPr>
          <w:rFonts w:ascii="Palatino Linotype" w:eastAsia="Calibri" w:hAnsi="Palatino Linotype" w:cs="Arial"/>
          <w:bCs/>
        </w:rPr>
      </w:pPr>
      <w:r w:rsidRPr="0060348F">
        <w:rPr>
          <w:rFonts w:ascii="Palatino Linotype" w:hAnsi="Palatino Linotype" w:cs="Arial"/>
          <w:b/>
        </w:rPr>
        <w:t xml:space="preserve">CUARTO. </w:t>
      </w:r>
      <w:r w:rsidRPr="0060348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60348F">
        <w:rPr>
          <w:rFonts w:ascii="Palatino Linotype" w:eastAsia="Calibri" w:hAnsi="Palatino Linotype" w:cs="Arial"/>
          <w:b/>
          <w:bCs/>
        </w:rPr>
        <w:t>SUJETO OBLIGADO</w:t>
      </w:r>
      <w:r w:rsidRPr="0060348F">
        <w:rPr>
          <w:rFonts w:ascii="Palatino Linotype" w:eastAsia="Calibri" w:hAnsi="Palatino Linotype" w:cs="Arial"/>
          <w:bCs/>
        </w:rPr>
        <w:t xml:space="preserve"> de manera fundada y motivada, podrá solicitar una ampliación de plazo para el cumplimiento de la presente resolución.</w:t>
      </w:r>
    </w:p>
    <w:p w:rsidR="009F09BC" w:rsidRPr="0060348F" w:rsidRDefault="0057514F" w:rsidP="009F09BC">
      <w:pPr>
        <w:tabs>
          <w:tab w:val="left" w:pos="8080"/>
        </w:tabs>
        <w:spacing w:before="240" w:line="360" w:lineRule="auto"/>
        <w:ind w:right="49"/>
        <w:jc w:val="both"/>
        <w:rPr>
          <w:rFonts w:ascii="Palatino Linotype" w:eastAsia="Times New Roman" w:hAnsi="Palatino Linotype" w:cs="Arial"/>
          <w:b/>
          <w:lang w:val="es-ES"/>
        </w:rPr>
      </w:pPr>
      <w:bookmarkStart w:id="249" w:name="_Toc492590393"/>
      <w:bookmarkStart w:id="250" w:name="_Toc503891611"/>
      <w:bookmarkStart w:id="251" w:name="_Toc511647759"/>
      <w:bookmarkStart w:id="252" w:name="_Toc511647820"/>
      <w:r w:rsidRPr="0060348F">
        <w:rPr>
          <w:rFonts w:ascii="Palatino Linotype" w:eastAsia="Times New Roman" w:hAnsi="Palatino Linotype" w:cs="Times New Roman"/>
          <w:b/>
        </w:rPr>
        <w:t>QUIN</w:t>
      </w:r>
      <w:r w:rsidR="009F09BC" w:rsidRPr="0060348F">
        <w:rPr>
          <w:rFonts w:ascii="Palatino Linotype" w:eastAsia="Times New Roman" w:hAnsi="Palatino Linotype" w:cs="Times New Roman"/>
          <w:b/>
        </w:rPr>
        <w:t xml:space="preserve">TO. </w:t>
      </w:r>
      <w:r w:rsidR="009F09BC" w:rsidRPr="0060348F">
        <w:rPr>
          <w:rFonts w:ascii="Palatino Linotype" w:eastAsia="Times New Roman" w:hAnsi="Palatino Linotype" w:cs="Times New Roman"/>
        </w:rPr>
        <w:t>Notifíquese</w:t>
      </w:r>
      <w:bookmarkEnd w:id="249"/>
      <w:bookmarkEnd w:id="250"/>
      <w:bookmarkEnd w:id="251"/>
      <w:bookmarkEnd w:id="252"/>
      <w:r w:rsidR="009F09BC" w:rsidRPr="0060348F">
        <w:rPr>
          <w:rFonts w:ascii="Palatino Linotype" w:eastAsia="Times New Roman" w:hAnsi="Palatino Linotype" w:cs="Times New Roman"/>
        </w:rPr>
        <w:t xml:space="preserve"> a </w:t>
      </w:r>
      <w:r w:rsidR="009F09BC" w:rsidRPr="0060348F">
        <w:rPr>
          <w:rFonts w:ascii="Palatino Linotype" w:eastAsia="Times New Roman" w:hAnsi="Palatino Linotype" w:cs="Times New Roman"/>
          <w:b/>
        </w:rPr>
        <w:t>EL RECURRENTE</w:t>
      </w:r>
      <w:r w:rsidR="009F09BC" w:rsidRPr="0060348F">
        <w:rPr>
          <w:rFonts w:ascii="Palatino Linotype" w:eastAsia="Times New Roman" w:hAnsi="Palatino Linotype" w:cs="Times New Roman"/>
        </w:rPr>
        <w:t xml:space="preserve"> la presente</w:t>
      </w:r>
      <w:r w:rsidR="009F09BC" w:rsidRPr="0060348F">
        <w:rPr>
          <w:rFonts w:ascii="Palatino Linotype" w:eastAsia="Times New Roman" w:hAnsi="Palatino Linotype" w:cs="Times New Roman"/>
          <w:lang w:val="es-ES" w:eastAsia="es-MX"/>
        </w:rPr>
        <w:t xml:space="preserve"> resolución</w:t>
      </w:r>
      <w:r w:rsidR="006D15D0" w:rsidRPr="0060348F">
        <w:rPr>
          <w:rFonts w:ascii="Palatino Linotype" w:eastAsia="Times New Roman" w:hAnsi="Palatino Linotype" w:cs="Times New Roman"/>
          <w:lang w:val="es-ES" w:eastAsia="es-MX"/>
        </w:rPr>
        <w:t>.</w:t>
      </w:r>
    </w:p>
    <w:p w:rsidR="009F09BC" w:rsidRPr="0060348F" w:rsidRDefault="0057514F" w:rsidP="009F09BC">
      <w:pPr>
        <w:shd w:val="clear" w:color="auto" w:fill="FFFFFF"/>
        <w:spacing w:before="240" w:after="360" w:line="360" w:lineRule="auto"/>
        <w:jc w:val="both"/>
        <w:rPr>
          <w:rFonts w:ascii="Palatino Linotype" w:eastAsia="Times New Roman" w:hAnsi="Palatino Linotype" w:cs="Times New Roman"/>
          <w:lang w:val="es-ES" w:eastAsia="es-MX"/>
        </w:rPr>
      </w:pPr>
      <w:r w:rsidRPr="0060348F">
        <w:rPr>
          <w:rFonts w:ascii="Palatino Linotype" w:eastAsia="Calibri" w:hAnsi="Palatino Linotype" w:cs="Times New Roman"/>
          <w:b/>
          <w:lang w:val="es-MX" w:eastAsia="en-US"/>
        </w:rPr>
        <w:t>SEX</w:t>
      </w:r>
      <w:r w:rsidR="009F09BC" w:rsidRPr="0060348F">
        <w:rPr>
          <w:rFonts w:ascii="Palatino Linotype" w:eastAsia="Calibri" w:hAnsi="Palatino Linotype" w:cs="Times New Roman"/>
          <w:b/>
          <w:lang w:val="es-MX" w:eastAsia="en-US"/>
        </w:rPr>
        <w:t>TO.</w:t>
      </w:r>
      <w:r w:rsidR="009F09BC" w:rsidRPr="0060348F">
        <w:rPr>
          <w:rFonts w:ascii="Palatino Linotype" w:eastAsia="Calibri" w:hAnsi="Palatino Linotype" w:cs="Times New Roman"/>
          <w:lang w:val="es-MX" w:eastAsia="en-US"/>
        </w:rPr>
        <w:t xml:space="preserve"> </w:t>
      </w:r>
      <w:r w:rsidR="009F09BC" w:rsidRPr="0060348F">
        <w:rPr>
          <w:rFonts w:ascii="Palatino Linotype" w:eastAsia="Times New Roman" w:hAnsi="Palatino Linotype" w:cs="Times New Roman"/>
          <w:lang w:val="es-ES" w:eastAsia="es-MX"/>
        </w:rPr>
        <w:t xml:space="preserve">Se hace del conocimiento de </w:t>
      </w:r>
      <w:r w:rsidR="009F09BC" w:rsidRPr="0060348F">
        <w:rPr>
          <w:rFonts w:ascii="Palatino Linotype" w:eastAsia="Times New Roman" w:hAnsi="Palatino Linotype" w:cs="Times New Roman"/>
          <w:b/>
          <w:lang w:val="es-ES" w:eastAsia="es-MX"/>
        </w:rPr>
        <w:t>EL RECURRENTE</w:t>
      </w:r>
      <w:r w:rsidR="009F09BC" w:rsidRPr="0060348F">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60348F">
        <w:rPr>
          <w:rFonts w:ascii="Palatino Linotype" w:eastAsia="Times New Roman" w:hAnsi="Palatino Linotype" w:cs="Times New Roman"/>
          <w:bCs/>
          <w:lang w:val="es-ES" w:eastAsia="es-MX"/>
        </w:rPr>
        <w:t>vía juicio de amparo</w:t>
      </w:r>
      <w:r w:rsidR="009F09BC" w:rsidRPr="0060348F">
        <w:rPr>
          <w:rFonts w:ascii="Palatino Linotype" w:eastAsia="Times New Roman" w:hAnsi="Palatino Linotype" w:cs="Times New Roman"/>
          <w:lang w:val="es-ES" w:eastAsia="es-MX"/>
        </w:rPr>
        <w:t> en los términos de las leyes aplicables.</w:t>
      </w:r>
    </w:p>
    <w:p w:rsidR="007D73BD" w:rsidRPr="00624AAD" w:rsidRDefault="007D73BD" w:rsidP="007D73BD">
      <w:pPr>
        <w:spacing w:before="240" w:after="240" w:line="360" w:lineRule="auto"/>
        <w:ind w:firstLine="1"/>
        <w:jc w:val="both"/>
        <w:rPr>
          <w:rFonts w:ascii="Palatino Linotype" w:hAnsi="Palatino Linotype"/>
        </w:rPr>
      </w:pPr>
      <w:bookmarkStart w:id="253" w:name="_Hlk99014733"/>
      <w:r w:rsidRPr="0060348F">
        <w:rPr>
          <w:rFonts w:ascii="Palatino Linotype" w:hAnsi="Palatino Linotype"/>
        </w:rPr>
        <w:t xml:space="preserve">ASÍ LO RESUELVE, POR UNANIMIDAD DE VOTOS, EL PLENO DEL INSTITUTO DE TRANSPARENCIA, ACCESO A LA INFORMACIÓN PÚBLICA Y </w:t>
      </w:r>
      <w:r w:rsidRPr="0060348F">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253"/>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Pr="009F09BC" w:rsidRDefault="009F09BC" w:rsidP="009F09BC">
      <w:pPr>
        <w:tabs>
          <w:tab w:val="left" w:pos="3374"/>
        </w:tabs>
      </w:pPr>
      <w:r>
        <w:tab/>
      </w:r>
    </w:p>
    <w:sectPr w:rsidR="009F09BC" w:rsidRPr="009F09BC" w:rsidSect="00025C53">
      <w:headerReference w:type="even" r:id="rId15"/>
      <w:headerReference w:type="default" r:id="rId16"/>
      <w:footerReference w:type="default" r:id="rId17"/>
      <w:headerReference w:type="first" r:id="rId18"/>
      <w:footerReference w:type="first" r:id="rId19"/>
      <w:pgSz w:w="12240" w:h="15840"/>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17F" w:rsidRDefault="0009517F" w:rsidP="003B7751">
      <w:r>
        <w:separator/>
      </w:r>
    </w:p>
  </w:endnote>
  <w:endnote w:type="continuationSeparator" w:id="0">
    <w:p w:rsidR="0009517F" w:rsidRDefault="0009517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5DE5">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5DE5">
              <w:rPr>
                <w:rFonts w:ascii="Palatino Linotype" w:hAnsi="Palatino Linotype"/>
                <w:bCs/>
                <w:noProof/>
                <w:sz w:val="20"/>
              </w:rPr>
              <w:t>42</w:t>
            </w:r>
            <w:r>
              <w:rPr>
                <w:rFonts w:ascii="Palatino Linotype" w:hAnsi="Palatino Linotype"/>
                <w:bCs/>
                <w:noProof/>
                <w:sz w:val="20"/>
              </w:rPr>
              <w:fldChar w:fldCharType="end"/>
            </w:r>
          </w:p>
        </w:sdtContent>
      </w:sdt>
    </w:sdtContent>
  </w:sdt>
  <w:p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5D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5DE5">
      <w:rPr>
        <w:rFonts w:ascii="Palatino Linotype" w:hAnsi="Palatino Linotype"/>
        <w:bCs/>
        <w:noProof/>
        <w:sz w:val="20"/>
      </w:rPr>
      <w:t>42</w:t>
    </w:r>
    <w:r>
      <w:rPr>
        <w:rFonts w:ascii="Palatino Linotype" w:hAnsi="Palatino Linotype"/>
        <w:bCs/>
        <w:noProof/>
        <w:sz w:val="20"/>
      </w:rPr>
      <w:fldChar w:fldCharType="end"/>
    </w:r>
  </w:p>
  <w:p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17F" w:rsidRDefault="0009517F" w:rsidP="003B7751">
      <w:r>
        <w:separator/>
      </w:r>
    </w:p>
  </w:footnote>
  <w:footnote w:type="continuationSeparator" w:id="0">
    <w:p w:rsidR="0009517F" w:rsidRDefault="0009517F" w:rsidP="003B7751">
      <w:r>
        <w:continuationSeparator/>
      </w:r>
    </w:p>
  </w:footnote>
  <w:footnote w:id="1">
    <w:p w:rsidR="00CF0D2B" w:rsidRDefault="00CF0D2B" w:rsidP="009F09BC">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2">
    <w:p w:rsidR="00CF0D2B" w:rsidRDefault="00CF0D2B" w:rsidP="009F09BC">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3">
    <w:p w:rsidR="00CF0D2B" w:rsidRDefault="00CF0D2B" w:rsidP="009F09BC">
      <w:pPr>
        <w:pStyle w:val="Textonotapie"/>
      </w:pPr>
      <w:r>
        <w:rPr>
          <w:rStyle w:val="Refdenotaalpie"/>
        </w:rPr>
        <w:footnoteRef/>
      </w:r>
      <w:r>
        <w:t xml:space="preserve"> </w:t>
      </w:r>
      <w:r w:rsidRPr="0092384F">
        <w:rPr>
          <w:rFonts w:ascii="Palatino Linotype" w:hAnsi="Palatino Linotype"/>
        </w:rPr>
        <w:t>Artículo 165, ibídem.</w:t>
      </w:r>
    </w:p>
  </w:footnote>
  <w:footnote w:id="4">
    <w:p w:rsidR="00CF0D2B" w:rsidRDefault="00CF0D2B"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CF0D2B" w:rsidRDefault="00CF0D2B" w:rsidP="009F09B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5">
    <w:p w:rsidR="00CF0D2B" w:rsidRDefault="00CF0D2B"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6">
    <w:p w:rsidR="00CF0D2B" w:rsidRDefault="00CF0D2B"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F0D2B" w:rsidRDefault="00CF0D2B"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F0D2B" w:rsidRDefault="00CF0D2B"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7">
    <w:p w:rsidR="00CF0D2B" w:rsidRDefault="00CF0D2B"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8">
    <w:p w:rsidR="00CF0D2B" w:rsidRDefault="00CF0D2B"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CF0D2B" w:rsidRDefault="00CF0D2B" w:rsidP="009F09BC">
      <w:pPr>
        <w:pStyle w:val="Textonotapie"/>
        <w:jc w:val="both"/>
        <w:rPr>
          <w:rFonts w:ascii="Palatino Linotype" w:hAnsi="Palatino Linotype"/>
          <w:sz w:val="18"/>
        </w:rPr>
      </w:pPr>
      <w:r>
        <w:rPr>
          <w:rFonts w:ascii="Palatino Linotype" w:hAnsi="Palatino Linotype"/>
          <w:sz w:val="18"/>
        </w:rPr>
        <w:t xml:space="preserve"> (…)</w:t>
      </w:r>
    </w:p>
    <w:p w:rsidR="00CF0D2B" w:rsidRDefault="00CF0D2B"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Default="0009517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rsidTr="006A04B6">
      <w:trPr>
        <w:trHeight w:val="227"/>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F0D2B" w:rsidRPr="00485ED8" w:rsidRDefault="00CF0D2B" w:rsidP="003E66D2">
          <w:pPr>
            <w:pStyle w:val="Encabezado"/>
            <w:rPr>
              <w:rFonts w:ascii="Palatino Linotype" w:hAnsi="Palatino Linotype"/>
              <w:b/>
              <w:sz w:val="22"/>
              <w:szCs w:val="22"/>
            </w:rPr>
          </w:pPr>
          <w:r>
            <w:rPr>
              <w:rFonts w:ascii="Palatino Linotype" w:hAnsi="Palatino Linotype" w:cs="Arial"/>
              <w:b/>
              <w:bCs/>
              <w:sz w:val="22"/>
              <w:szCs w:val="22"/>
              <w:lang w:eastAsia="es-MX"/>
            </w:rPr>
            <w:t>0</w:t>
          </w:r>
          <w:r w:rsidR="003E66D2">
            <w:rPr>
              <w:rFonts w:ascii="Palatino Linotype" w:hAnsi="Palatino Linotype" w:cs="Arial"/>
              <w:b/>
              <w:bCs/>
              <w:sz w:val="22"/>
              <w:szCs w:val="22"/>
              <w:lang w:eastAsia="es-MX"/>
            </w:rPr>
            <w:t>0278</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rsidTr="006A04B6">
      <w:trPr>
        <w:trHeight w:val="2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F0D2B" w:rsidRPr="00485ED8" w:rsidRDefault="003E66D2" w:rsidP="009F09BC">
          <w:pPr>
            <w:pStyle w:val="Encabezado"/>
            <w:jc w:val="both"/>
            <w:rPr>
              <w:rFonts w:ascii="Palatino Linotype" w:hAnsi="Palatino Linotype"/>
              <w:b/>
              <w:sz w:val="22"/>
              <w:szCs w:val="22"/>
            </w:rPr>
          </w:pPr>
          <w:r w:rsidRPr="003E66D2">
            <w:rPr>
              <w:rFonts w:ascii="Palatino Linotype" w:hAnsi="Palatino Linotype"/>
              <w:b/>
              <w:bCs/>
              <w:color w:val="000000"/>
              <w:sz w:val="22"/>
              <w:szCs w:val="22"/>
            </w:rPr>
            <w:t>Comisión de Conciliación y Arbitraje Médico del Estado de México</w:t>
          </w:r>
        </w:p>
      </w:tc>
    </w:tr>
    <w:tr w:rsidR="00CF0D2B" w:rsidTr="006A04B6">
      <w:trPr>
        <w:trHeight w:val="3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F0D2B" w:rsidRPr="00AE046A" w:rsidRDefault="0009517F"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rsidTr="006A04B6">
      <w:trPr>
        <w:trHeight w:val="227"/>
      </w:trPr>
      <w:tc>
        <w:tcPr>
          <w:tcW w:w="2977" w:type="dxa"/>
          <w:vAlign w:val="center"/>
          <w:hideMark/>
        </w:tcPr>
        <w:p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F0D2B" w:rsidRPr="00485ED8" w:rsidRDefault="00CF0D2B" w:rsidP="008A699B">
          <w:pPr>
            <w:pStyle w:val="Encabezado"/>
            <w:rPr>
              <w:rFonts w:ascii="Palatino Linotype" w:hAnsi="Palatino Linotype"/>
              <w:b/>
              <w:sz w:val="22"/>
              <w:szCs w:val="22"/>
            </w:rPr>
          </w:pPr>
          <w:r>
            <w:rPr>
              <w:rFonts w:ascii="Palatino Linotype" w:hAnsi="Palatino Linotype" w:cs="Arial"/>
              <w:b/>
              <w:bCs/>
              <w:sz w:val="22"/>
              <w:szCs w:val="22"/>
              <w:lang w:eastAsia="es-MX"/>
            </w:rPr>
            <w:t>00278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CF0D2B" w:rsidTr="006A04B6">
      <w:trPr>
        <w:trHeight w:val="242"/>
      </w:trPr>
      <w:tc>
        <w:tcPr>
          <w:tcW w:w="2977" w:type="dxa"/>
          <w:vAlign w:val="center"/>
          <w:hideMark/>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F0D2B" w:rsidRPr="00B75F20" w:rsidRDefault="00CF0D2B" w:rsidP="009F09BC">
          <w:pPr>
            <w:pStyle w:val="Encabezado"/>
            <w:tabs>
              <w:tab w:val="left" w:pos="521"/>
            </w:tabs>
            <w:rPr>
              <w:rFonts w:ascii="Palatino Linotype" w:hAnsi="Palatino Linotype"/>
              <w:b/>
              <w:sz w:val="22"/>
              <w:szCs w:val="22"/>
            </w:rPr>
          </w:pP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F0D2B" w:rsidRPr="00674A46" w:rsidRDefault="00CF0D2B" w:rsidP="009F09BC">
          <w:pPr>
            <w:pStyle w:val="Encabezado"/>
            <w:jc w:val="both"/>
            <w:rPr>
              <w:rFonts w:ascii="Palatino Linotype" w:hAnsi="Palatino Linotype"/>
              <w:b/>
              <w:sz w:val="22"/>
              <w:szCs w:val="22"/>
            </w:rPr>
          </w:pPr>
          <w:r w:rsidRPr="008A699B">
            <w:rPr>
              <w:rFonts w:ascii="Palatino Linotype" w:hAnsi="Palatino Linotype"/>
              <w:b/>
              <w:bCs/>
              <w:color w:val="000000"/>
              <w:sz w:val="22"/>
              <w:szCs w:val="22"/>
            </w:rPr>
            <w:t>Comisión de Conciliación y Arbitraje Médico del Estado de México</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F0D2B" w:rsidRPr="00C222C0" w:rsidRDefault="0009517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28"/>
  </w:num>
  <w:num w:numId="10">
    <w:abstractNumId w:val="18"/>
  </w:num>
  <w:num w:numId="11">
    <w:abstractNumId w:val="12"/>
  </w:num>
  <w:num w:numId="12">
    <w:abstractNumId w:val="21"/>
  </w:num>
  <w:num w:numId="13">
    <w:abstractNumId w:val="29"/>
  </w:num>
  <w:num w:numId="14">
    <w:abstractNumId w:val="3"/>
  </w:num>
  <w:num w:numId="15">
    <w:abstractNumId w:val="15"/>
  </w:num>
  <w:num w:numId="16">
    <w:abstractNumId w:val="25"/>
  </w:num>
  <w:num w:numId="17">
    <w:abstractNumId w:val="8"/>
  </w:num>
  <w:num w:numId="18">
    <w:abstractNumId w:val="23"/>
  </w:num>
  <w:num w:numId="19">
    <w:abstractNumId w:val="30"/>
  </w:num>
  <w:num w:numId="20">
    <w:abstractNumId w:val="16"/>
  </w:num>
  <w:num w:numId="21">
    <w:abstractNumId w:val="20"/>
  </w:num>
  <w:num w:numId="22">
    <w:abstractNumId w:val="13"/>
  </w:num>
  <w:num w:numId="23">
    <w:abstractNumId w:val="32"/>
  </w:num>
  <w:num w:numId="24">
    <w:abstractNumId w:val="6"/>
  </w:num>
  <w:num w:numId="25">
    <w:abstractNumId w:val="26"/>
  </w:num>
  <w:num w:numId="26">
    <w:abstractNumId w:val="19"/>
  </w:num>
  <w:num w:numId="27">
    <w:abstractNumId w:val="4"/>
  </w:num>
  <w:num w:numId="28">
    <w:abstractNumId w:val="27"/>
  </w:num>
  <w:num w:numId="29">
    <w:abstractNumId w:val="24"/>
  </w:num>
  <w:num w:numId="30">
    <w:abstractNumId w:val="22"/>
  </w:num>
  <w:num w:numId="31">
    <w:abstractNumId w:val="31"/>
  </w:num>
  <w:num w:numId="32">
    <w:abstractNumId w:val="17"/>
  </w:num>
  <w:num w:numId="33">
    <w:abstractNumId w:val="7"/>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243D"/>
    <w:rsid w:val="0009517F"/>
    <w:rsid w:val="000E1A02"/>
    <w:rsid w:val="000E4891"/>
    <w:rsid w:val="00114502"/>
    <w:rsid w:val="001352F5"/>
    <w:rsid w:val="00192AEA"/>
    <w:rsid w:val="001A18E7"/>
    <w:rsid w:val="001C4290"/>
    <w:rsid w:val="001D23C1"/>
    <w:rsid w:val="001D373F"/>
    <w:rsid w:val="001D5404"/>
    <w:rsid w:val="001E64D7"/>
    <w:rsid w:val="0021378D"/>
    <w:rsid w:val="00223C06"/>
    <w:rsid w:val="00272CA2"/>
    <w:rsid w:val="00277FAC"/>
    <w:rsid w:val="002901F4"/>
    <w:rsid w:val="00291500"/>
    <w:rsid w:val="002C0D3C"/>
    <w:rsid w:val="002C4997"/>
    <w:rsid w:val="0030094A"/>
    <w:rsid w:val="00312281"/>
    <w:rsid w:val="00323FFD"/>
    <w:rsid w:val="003437D9"/>
    <w:rsid w:val="00353F1D"/>
    <w:rsid w:val="00374DCA"/>
    <w:rsid w:val="003833B3"/>
    <w:rsid w:val="003A15C8"/>
    <w:rsid w:val="003B7751"/>
    <w:rsid w:val="003C13F1"/>
    <w:rsid w:val="003E66D2"/>
    <w:rsid w:val="00407FDA"/>
    <w:rsid w:val="004118FA"/>
    <w:rsid w:val="00425842"/>
    <w:rsid w:val="00437672"/>
    <w:rsid w:val="00456CFF"/>
    <w:rsid w:val="004778E2"/>
    <w:rsid w:val="0049737D"/>
    <w:rsid w:val="004C71AB"/>
    <w:rsid w:val="004E4EE6"/>
    <w:rsid w:val="004E6CE4"/>
    <w:rsid w:val="004F34D1"/>
    <w:rsid w:val="005432D0"/>
    <w:rsid w:val="00546076"/>
    <w:rsid w:val="00547ACE"/>
    <w:rsid w:val="005507B0"/>
    <w:rsid w:val="00554A21"/>
    <w:rsid w:val="00556E0A"/>
    <w:rsid w:val="00563F2E"/>
    <w:rsid w:val="0057514F"/>
    <w:rsid w:val="00583A39"/>
    <w:rsid w:val="005B076D"/>
    <w:rsid w:val="005C5021"/>
    <w:rsid w:val="005D2F1C"/>
    <w:rsid w:val="005D4C57"/>
    <w:rsid w:val="0060348F"/>
    <w:rsid w:val="00647F7C"/>
    <w:rsid w:val="00657639"/>
    <w:rsid w:val="006A04B6"/>
    <w:rsid w:val="006A6390"/>
    <w:rsid w:val="006D15D0"/>
    <w:rsid w:val="006D6CC1"/>
    <w:rsid w:val="006E7397"/>
    <w:rsid w:val="006E7C94"/>
    <w:rsid w:val="00711062"/>
    <w:rsid w:val="00716BCA"/>
    <w:rsid w:val="00720371"/>
    <w:rsid w:val="00742823"/>
    <w:rsid w:val="00775EB2"/>
    <w:rsid w:val="00782A12"/>
    <w:rsid w:val="007851DB"/>
    <w:rsid w:val="007A6A1A"/>
    <w:rsid w:val="007D73BD"/>
    <w:rsid w:val="008526F4"/>
    <w:rsid w:val="008563C8"/>
    <w:rsid w:val="008573BF"/>
    <w:rsid w:val="00867317"/>
    <w:rsid w:val="0086792A"/>
    <w:rsid w:val="00873EB6"/>
    <w:rsid w:val="008A699B"/>
    <w:rsid w:val="008B0637"/>
    <w:rsid w:val="008C1ED7"/>
    <w:rsid w:val="008E330F"/>
    <w:rsid w:val="008E6574"/>
    <w:rsid w:val="008F6D18"/>
    <w:rsid w:val="00911A75"/>
    <w:rsid w:val="009126F1"/>
    <w:rsid w:val="009335F9"/>
    <w:rsid w:val="00945135"/>
    <w:rsid w:val="00995772"/>
    <w:rsid w:val="009A2251"/>
    <w:rsid w:val="009B63FD"/>
    <w:rsid w:val="009D5A32"/>
    <w:rsid w:val="009F09BC"/>
    <w:rsid w:val="00A23E82"/>
    <w:rsid w:val="00A626EB"/>
    <w:rsid w:val="00AD316E"/>
    <w:rsid w:val="00AD63B4"/>
    <w:rsid w:val="00AF4BBC"/>
    <w:rsid w:val="00B05669"/>
    <w:rsid w:val="00B07BF8"/>
    <w:rsid w:val="00B15106"/>
    <w:rsid w:val="00B2290F"/>
    <w:rsid w:val="00BF3FB5"/>
    <w:rsid w:val="00C0715F"/>
    <w:rsid w:val="00C105CC"/>
    <w:rsid w:val="00C14F2A"/>
    <w:rsid w:val="00C21FAE"/>
    <w:rsid w:val="00C25DE5"/>
    <w:rsid w:val="00C41B2B"/>
    <w:rsid w:val="00C47C3D"/>
    <w:rsid w:val="00C54D99"/>
    <w:rsid w:val="00C85E64"/>
    <w:rsid w:val="00C87396"/>
    <w:rsid w:val="00C90814"/>
    <w:rsid w:val="00C91F0F"/>
    <w:rsid w:val="00CA1063"/>
    <w:rsid w:val="00CA4355"/>
    <w:rsid w:val="00CC5B2F"/>
    <w:rsid w:val="00CF0D2B"/>
    <w:rsid w:val="00D021A5"/>
    <w:rsid w:val="00D16FC7"/>
    <w:rsid w:val="00D45383"/>
    <w:rsid w:val="00D47231"/>
    <w:rsid w:val="00D4753D"/>
    <w:rsid w:val="00D6224B"/>
    <w:rsid w:val="00D81329"/>
    <w:rsid w:val="00DA6D37"/>
    <w:rsid w:val="00DB753F"/>
    <w:rsid w:val="00E118BA"/>
    <w:rsid w:val="00E17429"/>
    <w:rsid w:val="00E23936"/>
    <w:rsid w:val="00E56172"/>
    <w:rsid w:val="00E5636B"/>
    <w:rsid w:val="00E566C9"/>
    <w:rsid w:val="00E61DA9"/>
    <w:rsid w:val="00E92E04"/>
    <w:rsid w:val="00ED1D6B"/>
    <w:rsid w:val="00ED3A35"/>
    <w:rsid w:val="00ED6E75"/>
    <w:rsid w:val="00F24A04"/>
    <w:rsid w:val="00F35B0C"/>
    <w:rsid w:val="00F42ADB"/>
    <w:rsid w:val="00F7371C"/>
    <w:rsid w:val="00F946B5"/>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740F-9DA7-4640-9609-259A8836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9275</Words>
  <Characters>51015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2022-04-19T19:21:00Z</dcterms:created>
  <dcterms:modified xsi:type="dcterms:W3CDTF">2022-05-17T16:22:00Z</dcterms:modified>
</cp:coreProperties>
</file>