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5791"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678735F5"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VISTO</w:t>
      </w:r>
      <w:r w:rsidRPr="001E3DFF">
        <w:rPr>
          <w:rFonts w:ascii="Palatino Linotype" w:eastAsia="Palatino Linotype" w:hAnsi="Palatino Linotype" w:cs="Palatino Linotype"/>
        </w:rPr>
        <w:t xml:space="preserve"> el expe</w:t>
      </w:r>
      <w:r w:rsidRPr="001E3DFF">
        <w:rPr>
          <w:rFonts w:ascii="Palatino Linotype" w:eastAsia="Palatino Linotype" w:hAnsi="Palatino Linotype" w:cs="Palatino Linotype"/>
        </w:rPr>
        <w:t xml:space="preserve">diente formado con motivo del recurso de revisión </w:t>
      </w:r>
      <w:r w:rsidRPr="001E3DFF">
        <w:rPr>
          <w:rFonts w:ascii="Palatino Linotype" w:eastAsia="Palatino Linotype" w:hAnsi="Palatino Linotype" w:cs="Palatino Linotype"/>
          <w:b/>
        </w:rPr>
        <w:t>05659/INFOEM/IP/RR/2022</w:t>
      </w:r>
      <w:r w:rsidRPr="001E3DFF">
        <w:rPr>
          <w:rFonts w:ascii="Palatino Linotype" w:eastAsia="Palatino Linotype" w:hAnsi="Palatino Linotype" w:cs="Palatino Linotype"/>
        </w:rPr>
        <w:t>, interpuesto por</w:t>
      </w:r>
      <w:r w:rsidRPr="001E3DFF">
        <w:rPr>
          <w:rFonts w:ascii="Palatino Linotype" w:eastAsia="Palatino Linotype" w:hAnsi="Palatino Linotype" w:cs="Palatino Linotype"/>
          <w:b/>
        </w:rPr>
        <w:t xml:space="preserve"> un particular que no proporcionó nombre o seudónimo, </w:t>
      </w:r>
      <w:r w:rsidRPr="001E3DFF">
        <w:rPr>
          <w:rFonts w:ascii="Palatino Linotype" w:eastAsia="Palatino Linotype" w:hAnsi="Palatino Linotype" w:cs="Palatino Linotype"/>
        </w:rPr>
        <w:t>en lo sucesivo</w:t>
      </w:r>
      <w:r w:rsidRPr="001E3DFF">
        <w:rPr>
          <w:rFonts w:ascii="Palatino Linotype" w:eastAsia="Palatino Linotype" w:hAnsi="Palatino Linotype" w:cs="Palatino Linotype"/>
          <w:b/>
        </w:rPr>
        <w:t xml:space="preserve"> </w:t>
      </w:r>
      <w:r w:rsidRPr="001E3DFF">
        <w:rPr>
          <w:rFonts w:ascii="Palatino Linotype" w:eastAsia="Palatino Linotype" w:hAnsi="Palatino Linotype" w:cs="Palatino Linotype"/>
        </w:rPr>
        <w:t xml:space="preserve">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xml:space="preserve"> en contra de la respuesta a su solicitud por parte del </w:t>
      </w:r>
      <w:r w:rsidRPr="001E3DFF">
        <w:rPr>
          <w:rFonts w:ascii="Palatino Linotype" w:eastAsia="Palatino Linotype" w:hAnsi="Palatino Linotype" w:cs="Palatino Linotype"/>
          <w:b/>
        </w:rPr>
        <w:t>Ayuntamiento de Tenan</w:t>
      </w:r>
      <w:r w:rsidRPr="001E3DFF">
        <w:rPr>
          <w:rFonts w:ascii="Palatino Linotype" w:eastAsia="Palatino Linotype" w:hAnsi="Palatino Linotype" w:cs="Palatino Linotype"/>
          <w:b/>
        </w:rPr>
        <w:t xml:space="preserve">go del Aire, </w:t>
      </w:r>
      <w:r w:rsidRPr="001E3DFF">
        <w:rPr>
          <w:rFonts w:ascii="Palatino Linotype" w:eastAsia="Palatino Linotype" w:hAnsi="Palatino Linotype" w:cs="Palatino Linotype"/>
        </w:rPr>
        <w:t xml:space="preserve">en lo sucesivo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 xml:space="preserve">se procede a dictar la presente resolución con base en los siguientes: </w:t>
      </w:r>
    </w:p>
    <w:p w14:paraId="492DE181" w14:textId="77777777" w:rsidR="003805A1" w:rsidRPr="001E3DFF" w:rsidRDefault="007A61DC">
      <w:pPr>
        <w:spacing w:before="240" w:after="240" w:line="360" w:lineRule="auto"/>
        <w:jc w:val="center"/>
        <w:rPr>
          <w:rFonts w:ascii="Palatino Linotype" w:eastAsia="Palatino Linotype" w:hAnsi="Palatino Linotype" w:cs="Palatino Linotype"/>
          <w:b/>
        </w:rPr>
      </w:pPr>
      <w:r w:rsidRPr="001E3DFF">
        <w:rPr>
          <w:rFonts w:ascii="Palatino Linotype" w:eastAsia="Palatino Linotype" w:hAnsi="Palatino Linotype" w:cs="Palatino Linotype"/>
          <w:b/>
        </w:rPr>
        <w:t>I. A N T E C E D E N T E S</w:t>
      </w:r>
    </w:p>
    <w:p w14:paraId="0030E21E"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1. Solicitud de acceso a la información.</w:t>
      </w:r>
      <w:r w:rsidRPr="001E3DFF">
        <w:rPr>
          <w:rFonts w:ascii="Palatino Linotype" w:eastAsia="Palatino Linotype" w:hAnsi="Palatino Linotype" w:cs="Palatino Linotype"/>
        </w:rPr>
        <w:t xml:space="preserve"> Con fecha </w:t>
      </w:r>
      <w:r w:rsidRPr="001E3DFF">
        <w:rPr>
          <w:rFonts w:ascii="Palatino Linotype" w:eastAsia="Palatino Linotype" w:hAnsi="Palatino Linotype" w:cs="Palatino Linotype"/>
          <w:b/>
        </w:rPr>
        <w:t>veinticinco de marzo de dos mil veintidós,</w:t>
      </w:r>
      <w:r w:rsidRPr="001E3DFF">
        <w:rPr>
          <w:rFonts w:ascii="Palatino Linotype" w:eastAsia="Palatino Linotype" w:hAnsi="Palatino Linotype" w:cs="Palatino Linotype"/>
        </w:rPr>
        <w:t xml:space="preserve"> la parte </w:t>
      </w:r>
      <w:r w:rsidRPr="001E3DFF">
        <w:rPr>
          <w:rFonts w:ascii="Palatino Linotype" w:eastAsia="Palatino Linotype" w:hAnsi="Palatino Linotype" w:cs="Palatino Linotype"/>
          <w:b/>
        </w:rPr>
        <w:t>Recurr</w:t>
      </w:r>
      <w:r w:rsidRPr="001E3DFF">
        <w:rPr>
          <w:rFonts w:ascii="Palatino Linotype" w:eastAsia="Palatino Linotype" w:hAnsi="Palatino Linotype" w:cs="Palatino Linotype"/>
          <w:b/>
        </w:rPr>
        <w:t xml:space="preserve">ente </w:t>
      </w:r>
      <w:r w:rsidRPr="001E3DFF">
        <w:rPr>
          <w:rFonts w:ascii="Palatino Linotype" w:eastAsia="Palatino Linotype" w:hAnsi="Palatino Linotype" w:cs="Palatino Linotype"/>
        </w:rPr>
        <w:t xml:space="preserve">presentó, través del Sistema de Acceso a la Información Mexiquense, en lo subsecuente el </w:t>
      </w:r>
      <w:r w:rsidRPr="001E3DFF">
        <w:rPr>
          <w:rFonts w:ascii="Palatino Linotype" w:eastAsia="Palatino Linotype" w:hAnsi="Palatino Linotype" w:cs="Palatino Linotype"/>
          <w:b/>
        </w:rPr>
        <w:t>SAIMEX,</w:t>
      </w:r>
      <w:r w:rsidRPr="001E3DFF">
        <w:rPr>
          <w:rFonts w:ascii="Palatino Linotype" w:eastAsia="Palatino Linotype" w:hAnsi="Palatino Linotype" w:cs="Palatino Linotype"/>
        </w:rPr>
        <w:t xml:space="preserve"> ante el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la solicitud de acceso a la información pública, a la que se le asignó el número</w:t>
      </w:r>
      <w:r w:rsidRPr="001E3DFF">
        <w:rPr>
          <w:rFonts w:ascii="Palatino Linotype" w:eastAsia="Palatino Linotype" w:hAnsi="Palatino Linotype" w:cs="Palatino Linotype"/>
          <w:b/>
        </w:rPr>
        <w:t xml:space="preserve"> 00053/TENAAIR/IP/2022, </w:t>
      </w:r>
      <w:r w:rsidRPr="001E3DFF">
        <w:rPr>
          <w:rFonts w:ascii="Palatino Linotype" w:eastAsia="Palatino Linotype" w:hAnsi="Palatino Linotype" w:cs="Palatino Linotype"/>
        </w:rPr>
        <w:t>mediante la cual requirió</w:t>
      </w:r>
      <w:r w:rsidRPr="001E3DFF">
        <w:rPr>
          <w:rFonts w:ascii="Palatino Linotype" w:eastAsia="Palatino Linotype" w:hAnsi="Palatino Linotype" w:cs="Palatino Linotype"/>
        </w:rPr>
        <w:t xml:space="preserve"> la información siguiente: </w:t>
      </w:r>
    </w:p>
    <w:p w14:paraId="6E5F3A9D" w14:textId="77777777" w:rsidR="003805A1" w:rsidRPr="001E3DFF" w:rsidRDefault="007A61DC">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1E3DFF">
        <w:rPr>
          <w:rFonts w:ascii="Palatino Linotype" w:eastAsia="Palatino Linotype" w:hAnsi="Palatino Linotype" w:cs="Palatino Linotype"/>
          <w:i/>
          <w:sz w:val="22"/>
          <w:szCs w:val="22"/>
        </w:rPr>
        <w:t>“LOS CABILDOS AUDIOVISUALES DEL 01 DE ENERO DEL 2022 A LA PRESENTE FECHA, VIDEOGRABADOS EN FORMATO DIGITAL.” (sic)</w:t>
      </w:r>
    </w:p>
    <w:p w14:paraId="56588F33" w14:textId="77777777" w:rsidR="003805A1" w:rsidRPr="001E3DFF" w:rsidRDefault="007A61DC">
      <w:pPr>
        <w:spacing w:before="240" w:after="240" w:line="360" w:lineRule="auto"/>
        <w:ind w:right="900"/>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xml:space="preserve"> no adjuntó archivos.</w:t>
      </w:r>
    </w:p>
    <w:p w14:paraId="1E7A6AA0"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Modalidad de Entrega:</w:t>
      </w:r>
      <w:r w:rsidRPr="001E3DFF">
        <w:rPr>
          <w:rFonts w:ascii="Palatino Linotype" w:eastAsia="Palatino Linotype" w:hAnsi="Palatino Linotype" w:cs="Palatino Linotype"/>
        </w:rPr>
        <w:t xml:space="preserve"> A través de SAIMEX.</w:t>
      </w:r>
    </w:p>
    <w:p w14:paraId="59594075"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lastRenderedPageBreak/>
        <w:t xml:space="preserve">2. Respuesta. </w:t>
      </w:r>
      <w:r w:rsidRPr="001E3DFF">
        <w:rPr>
          <w:rFonts w:ascii="Palatino Linotype" w:eastAsia="Palatino Linotype" w:hAnsi="Palatino Linotype" w:cs="Palatino Linotype"/>
        </w:rPr>
        <w:t>Con fecha</w:t>
      </w:r>
      <w:r w:rsidRPr="001E3DFF">
        <w:rPr>
          <w:rFonts w:ascii="Palatino Linotype" w:eastAsia="Palatino Linotype" w:hAnsi="Palatino Linotype" w:cs="Palatino Linotype"/>
          <w:b/>
        </w:rPr>
        <w:t xml:space="preserve"> cinco </w:t>
      </w:r>
      <w:r w:rsidRPr="001E3DFF">
        <w:rPr>
          <w:rFonts w:ascii="Palatino Linotype" w:eastAsia="Palatino Linotype" w:hAnsi="Palatino Linotype" w:cs="Palatino Linotype"/>
          <w:b/>
        </w:rPr>
        <w:t>de abril de dos mil veintidós</w:t>
      </w:r>
      <w:r w:rsidRPr="001E3DFF">
        <w:rPr>
          <w:rFonts w:ascii="Palatino Linotype" w:eastAsia="Palatino Linotype" w:hAnsi="Palatino Linotype" w:cs="Palatino Linotype"/>
        </w:rPr>
        <w:t xml:space="preserve">,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00ABB85" w14:textId="77777777" w:rsidR="003805A1" w:rsidRPr="001E3DFF" w:rsidRDefault="007A61DC">
      <w:pPr>
        <w:spacing w:before="240" w:after="24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“…le contestamos que:</w:t>
      </w:r>
    </w:p>
    <w:p w14:paraId="46C8B030" w14:textId="77777777" w:rsidR="003805A1" w:rsidRPr="001E3DFF" w:rsidRDefault="007A61DC">
      <w:pPr>
        <w:spacing w:before="240" w:after="24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SE DA CONTESTACION A SU SOLICITUD NUMERO 00053/TENAAIR/I</w:t>
      </w:r>
      <w:r w:rsidRPr="001E3DFF">
        <w:rPr>
          <w:rFonts w:ascii="Palatino Linotype" w:eastAsia="Palatino Linotype" w:hAnsi="Palatino Linotype" w:cs="Palatino Linotype"/>
          <w:i/>
          <w:sz w:val="22"/>
          <w:szCs w:val="22"/>
        </w:rPr>
        <w:t xml:space="preserve">P/2022, EN LA CUAL SOLICITA LO SIGUIENTE: "LOS CABILDOS AUDIOVISUALES DEL 01 DE ENERO DEL 2022 A LA PRESENTE FECHA, VIDEOGRABADOS EN FORMATO DIGITAL.", SE DA DE SU CONOCIMIENTO QUE </w:t>
      </w:r>
      <w:r w:rsidRPr="001E3DFF">
        <w:rPr>
          <w:rFonts w:ascii="Palatino Linotype" w:eastAsia="Palatino Linotype" w:hAnsi="Palatino Linotype" w:cs="Palatino Linotype"/>
          <w:i/>
          <w:sz w:val="22"/>
          <w:szCs w:val="22"/>
        </w:rPr>
        <w:t>LOS CABILDOS SON VIDEOGRABADOS Y ALMACENADOS EN LA PAGINA DE INTERNET SIGUI</w:t>
      </w:r>
      <w:r w:rsidRPr="001E3DFF">
        <w:rPr>
          <w:rFonts w:ascii="Palatino Linotype" w:eastAsia="Palatino Linotype" w:hAnsi="Palatino Linotype" w:cs="Palatino Linotype"/>
          <w:i/>
          <w:sz w:val="22"/>
          <w:szCs w:val="22"/>
        </w:rPr>
        <w:t xml:space="preserve">ENTE: https://es-la.facebook.com/Gobiernodetenangodelaire/, </w:t>
      </w:r>
      <w:r w:rsidRPr="001E3DFF">
        <w:rPr>
          <w:rFonts w:ascii="Palatino Linotype" w:eastAsia="Palatino Linotype" w:hAnsi="Palatino Linotype" w:cs="Palatino Linotype"/>
          <w:i/>
          <w:sz w:val="22"/>
          <w:szCs w:val="22"/>
        </w:rPr>
        <w:t>A LO CUAL SE PONE A SU DISPOSICION PARA CUALQUIER CONSULTA Y SEGUIMIENTO EN VIVO...” (sic)</w:t>
      </w:r>
    </w:p>
    <w:p w14:paraId="1C1BF73C" w14:textId="77777777" w:rsidR="003805A1" w:rsidRPr="001E3DFF" w:rsidRDefault="007A61DC">
      <w:pPr>
        <w:spacing w:before="240" w:after="240" w:line="360" w:lineRule="auto"/>
        <w:ind w:right="49"/>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 xml:space="preserve">no adjuntó archivos </w:t>
      </w:r>
    </w:p>
    <w:p w14:paraId="77E86B72" w14:textId="77777777" w:rsidR="003805A1" w:rsidRPr="001E3DFF" w:rsidRDefault="007A61DC">
      <w:pPr>
        <w:spacing w:before="240" w:after="240" w:line="360" w:lineRule="auto"/>
        <w:ind w:right="49"/>
        <w:jc w:val="both"/>
        <w:rPr>
          <w:rFonts w:ascii="Palatino Linotype" w:eastAsia="Palatino Linotype" w:hAnsi="Palatino Linotype" w:cs="Palatino Linotype"/>
        </w:rPr>
      </w:pPr>
      <w:r w:rsidRPr="001E3DFF">
        <w:rPr>
          <w:rFonts w:ascii="Palatino Linotype" w:eastAsia="Palatino Linotype" w:hAnsi="Palatino Linotype" w:cs="Palatino Linotype"/>
          <w:b/>
        </w:rPr>
        <w:t xml:space="preserve">3. Interposición del recurso de revisión. </w:t>
      </w:r>
      <w:r w:rsidRPr="001E3DFF">
        <w:rPr>
          <w:rFonts w:ascii="Palatino Linotype" w:eastAsia="Palatino Linotype" w:hAnsi="Palatino Linotype" w:cs="Palatino Linotype"/>
        </w:rPr>
        <w:t xml:space="preserve">Inconforme con los términos de la respuesta emitida por parte del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el </w:t>
      </w:r>
      <w:r w:rsidRPr="001E3DFF">
        <w:rPr>
          <w:rFonts w:ascii="Palatino Linotype" w:eastAsia="Palatino Linotype" w:hAnsi="Palatino Linotype" w:cs="Palatino Linotype"/>
          <w:b/>
        </w:rPr>
        <w:t>ocho de abril de dos mil veintidós,</w:t>
      </w:r>
      <w:r w:rsidRPr="001E3DFF">
        <w:rPr>
          <w:rFonts w:ascii="Palatino Linotype" w:eastAsia="Palatino Linotype" w:hAnsi="Palatino Linotype" w:cs="Palatino Linotype"/>
        </w:rPr>
        <w:t xml:space="preserve"> 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xml:space="preserve"> interpuso el recurso de revisión a través de </w:t>
      </w:r>
      <w:r w:rsidRPr="001E3DFF">
        <w:rPr>
          <w:rFonts w:ascii="Palatino Linotype" w:eastAsia="Palatino Linotype" w:hAnsi="Palatino Linotype" w:cs="Palatino Linotype"/>
          <w:b/>
        </w:rPr>
        <w:t xml:space="preserve">SAIMEX, </w:t>
      </w:r>
      <w:r w:rsidRPr="001E3DFF">
        <w:rPr>
          <w:rFonts w:ascii="Palatino Linotype" w:eastAsia="Palatino Linotype" w:hAnsi="Palatino Linotype" w:cs="Palatino Linotype"/>
        </w:rPr>
        <w:t>en donde se manifes</w:t>
      </w:r>
      <w:r w:rsidRPr="001E3DFF">
        <w:rPr>
          <w:rFonts w:ascii="Palatino Linotype" w:eastAsia="Palatino Linotype" w:hAnsi="Palatino Linotype" w:cs="Palatino Linotype"/>
        </w:rPr>
        <w:t>tó de la siguiente manera:</w:t>
      </w:r>
    </w:p>
    <w:p w14:paraId="2A6EEC87" w14:textId="77777777" w:rsidR="003805A1" w:rsidRPr="001E3DFF" w:rsidRDefault="007A61DC">
      <w:pPr>
        <w:tabs>
          <w:tab w:val="left" w:pos="2745"/>
        </w:tabs>
        <w:spacing w:before="240" w:after="240" w:line="360" w:lineRule="auto"/>
        <w:jc w:val="both"/>
        <w:rPr>
          <w:rFonts w:ascii="Palatino Linotype" w:eastAsia="Palatino Linotype" w:hAnsi="Palatino Linotype" w:cs="Palatino Linotype"/>
          <w:b/>
        </w:rPr>
      </w:pPr>
      <w:r w:rsidRPr="001E3DFF">
        <w:rPr>
          <w:rFonts w:ascii="Palatino Linotype" w:eastAsia="Palatino Linotype" w:hAnsi="Palatino Linotype" w:cs="Palatino Linotype"/>
          <w:b/>
        </w:rPr>
        <w:t xml:space="preserve">Acto impugnado: </w:t>
      </w:r>
    </w:p>
    <w:p w14:paraId="7C74B11C" w14:textId="77777777" w:rsidR="003805A1" w:rsidRPr="001E3DFF" w:rsidRDefault="007A61DC">
      <w:pPr>
        <w:tabs>
          <w:tab w:val="left" w:pos="2745"/>
        </w:tabs>
        <w:spacing w:before="240" w:after="240"/>
        <w:ind w:left="851" w:right="900"/>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 xml:space="preserve">“recurso de </w:t>
      </w:r>
      <w:proofErr w:type="spellStart"/>
      <w:r w:rsidRPr="001E3DFF">
        <w:rPr>
          <w:rFonts w:ascii="Palatino Linotype" w:eastAsia="Palatino Linotype" w:hAnsi="Palatino Linotype" w:cs="Palatino Linotype"/>
          <w:i/>
          <w:sz w:val="22"/>
          <w:szCs w:val="22"/>
        </w:rPr>
        <w:t>revision</w:t>
      </w:r>
      <w:proofErr w:type="spellEnd"/>
      <w:r w:rsidRPr="001E3DFF">
        <w:rPr>
          <w:rFonts w:ascii="Palatino Linotype" w:eastAsia="Palatino Linotype" w:hAnsi="Palatino Linotype" w:cs="Palatino Linotype"/>
          <w:i/>
          <w:sz w:val="22"/>
          <w:szCs w:val="22"/>
        </w:rPr>
        <w:t>” (sic)</w:t>
      </w:r>
    </w:p>
    <w:p w14:paraId="23BB769C" w14:textId="77777777" w:rsidR="003805A1" w:rsidRPr="001E3DFF" w:rsidRDefault="007A61DC">
      <w:pPr>
        <w:spacing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Y Razones o motivos de inconformidad</w:t>
      </w:r>
      <w:r w:rsidRPr="001E3DFF">
        <w:rPr>
          <w:rFonts w:ascii="Palatino Linotype" w:eastAsia="Palatino Linotype" w:hAnsi="Palatino Linotype" w:cs="Palatino Linotype"/>
        </w:rPr>
        <w:t>:</w:t>
      </w:r>
    </w:p>
    <w:p w14:paraId="69C206D3" w14:textId="77777777" w:rsidR="003805A1" w:rsidRPr="001E3DFF" w:rsidRDefault="007A61DC">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1E3DFF">
        <w:rPr>
          <w:rFonts w:ascii="Palatino Linotype" w:eastAsia="Palatino Linotype" w:hAnsi="Palatino Linotype" w:cs="Palatino Linotype"/>
          <w:i/>
          <w:sz w:val="22"/>
          <w:szCs w:val="22"/>
        </w:rPr>
        <w:t xml:space="preserve"> “no se entiende la respuesta la </w:t>
      </w:r>
      <w:proofErr w:type="spellStart"/>
      <w:r w:rsidRPr="001E3DFF">
        <w:rPr>
          <w:rFonts w:ascii="Palatino Linotype" w:eastAsia="Palatino Linotype" w:hAnsi="Palatino Linotype" w:cs="Palatino Linotype"/>
          <w:i/>
          <w:sz w:val="22"/>
          <w:szCs w:val="22"/>
        </w:rPr>
        <w:t>pagina</w:t>
      </w:r>
      <w:proofErr w:type="spellEnd"/>
      <w:r w:rsidRPr="001E3DFF">
        <w:rPr>
          <w:rFonts w:ascii="Palatino Linotype" w:eastAsia="Palatino Linotype" w:hAnsi="Palatino Linotype" w:cs="Palatino Linotype"/>
          <w:i/>
          <w:sz w:val="22"/>
          <w:szCs w:val="22"/>
        </w:rPr>
        <w:t xml:space="preserve"> de internet no tiene </w:t>
      </w:r>
      <w:proofErr w:type="spellStart"/>
      <w:r w:rsidRPr="001E3DFF">
        <w:rPr>
          <w:rFonts w:ascii="Palatino Linotype" w:eastAsia="Palatino Linotype" w:hAnsi="Palatino Linotype" w:cs="Palatino Linotype"/>
          <w:i/>
          <w:sz w:val="22"/>
          <w:szCs w:val="22"/>
        </w:rPr>
        <w:t>titulos</w:t>
      </w:r>
      <w:proofErr w:type="spellEnd"/>
      <w:r w:rsidRPr="001E3DFF">
        <w:rPr>
          <w:rFonts w:ascii="Palatino Linotype" w:eastAsia="Palatino Linotype" w:hAnsi="Palatino Linotype" w:cs="Palatino Linotype"/>
          <w:i/>
          <w:sz w:val="22"/>
          <w:szCs w:val="22"/>
        </w:rPr>
        <w:t xml:space="preserve"> y no es fácil su acceso </w:t>
      </w:r>
      <w:proofErr w:type="spellStart"/>
      <w:r w:rsidRPr="001E3DFF">
        <w:rPr>
          <w:rFonts w:ascii="Palatino Linotype" w:eastAsia="Palatino Linotype" w:hAnsi="Palatino Linotype" w:cs="Palatino Linotype"/>
          <w:i/>
          <w:sz w:val="22"/>
          <w:szCs w:val="22"/>
        </w:rPr>
        <w:t>ademas</w:t>
      </w:r>
      <w:proofErr w:type="spellEnd"/>
      <w:r w:rsidRPr="001E3DFF">
        <w:rPr>
          <w:rFonts w:ascii="Palatino Linotype" w:eastAsia="Palatino Linotype" w:hAnsi="Palatino Linotype" w:cs="Palatino Linotype"/>
          <w:i/>
          <w:sz w:val="22"/>
          <w:szCs w:val="22"/>
        </w:rPr>
        <w:t xml:space="preserve"> que no se oye bien” (sic)</w:t>
      </w:r>
    </w:p>
    <w:p w14:paraId="538CC9C8" w14:textId="77777777" w:rsidR="003805A1" w:rsidRPr="001E3DFF" w:rsidRDefault="007A61DC">
      <w:pPr>
        <w:spacing w:before="240" w:after="240" w:line="360" w:lineRule="auto"/>
        <w:ind w:right="51"/>
        <w:jc w:val="both"/>
        <w:rPr>
          <w:rFonts w:ascii="Palatino Linotype" w:eastAsia="Palatino Linotype" w:hAnsi="Palatino Linotype" w:cs="Palatino Linotype"/>
        </w:rPr>
      </w:pPr>
      <w:r w:rsidRPr="001E3DFF">
        <w:rPr>
          <w:rFonts w:ascii="Palatino Linotype" w:eastAsia="Palatino Linotype" w:hAnsi="Palatino Linotype" w:cs="Palatino Linotype"/>
          <w:b/>
        </w:rPr>
        <w:t xml:space="preserve">Anexos: </w:t>
      </w:r>
      <w:r w:rsidRPr="001E3DFF">
        <w:rPr>
          <w:rFonts w:ascii="Palatino Linotype" w:eastAsia="Palatino Linotype" w:hAnsi="Palatino Linotype" w:cs="Palatino Linotype"/>
        </w:rPr>
        <w:t xml:space="preserve">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xml:space="preserve"> no adjuntó archivos.</w:t>
      </w:r>
    </w:p>
    <w:p w14:paraId="5B25E488" w14:textId="77777777" w:rsidR="003805A1" w:rsidRPr="001E3DFF" w:rsidRDefault="007A61DC">
      <w:pPr>
        <w:spacing w:before="240" w:after="240" w:line="360" w:lineRule="auto"/>
        <w:ind w:right="51"/>
        <w:jc w:val="both"/>
        <w:rPr>
          <w:rFonts w:ascii="Palatino Linotype" w:eastAsia="Palatino Linotype" w:hAnsi="Palatino Linotype" w:cs="Palatino Linotype"/>
        </w:rPr>
      </w:pPr>
      <w:r w:rsidRPr="001E3DFF">
        <w:rPr>
          <w:rFonts w:ascii="Palatino Linotype" w:eastAsia="Palatino Linotype" w:hAnsi="Palatino Linotype" w:cs="Palatino Linotype"/>
          <w:b/>
        </w:rPr>
        <w:lastRenderedPageBreak/>
        <w:t xml:space="preserve">4. Turno. </w:t>
      </w:r>
      <w:r w:rsidRPr="001E3DFF">
        <w:rPr>
          <w:rFonts w:ascii="Palatino Linotype" w:eastAsia="Palatino Linotype" w:hAnsi="Palatino Linotype" w:cs="Palatino Linotype"/>
        </w:rPr>
        <w:t>De conformidad con el artículo 185 fracción I de la Ley de Transparenci</w:t>
      </w:r>
      <w:r w:rsidRPr="001E3DFF">
        <w:rPr>
          <w:rFonts w:ascii="Palatino Linotype" w:eastAsia="Palatino Linotype" w:hAnsi="Palatino Linotype" w:cs="Palatino Linotype"/>
        </w:rPr>
        <w:t>a y Acceso a la Información Pública del Estado de México y Municipios vigente, el presente recurso de revisión se turnó por el sistema electrónico del Instituto de Transparencia, Acceso a la Información Pública y Protección de Datos Personales del Estado d</w:t>
      </w:r>
      <w:r w:rsidRPr="001E3DFF">
        <w:rPr>
          <w:rFonts w:ascii="Palatino Linotype" w:eastAsia="Palatino Linotype" w:hAnsi="Palatino Linotype" w:cs="Palatino Linotype"/>
        </w:rPr>
        <w:t xml:space="preserve">e México y Municipios, a la Comisionada </w:t>
      </w:r>
      <w:r w:rsidRPr="001E3DFF">
        <w:rPr>
          <w:rFonts w:ascii="Palatino Linotype" w:eastAsia="Palatino Linotype" w:hAnsi="Palatino Linotype" w:cs="Palatino Linotype"/>
          <w:b/>
        </w:rPr>
        <w:t xml:space="preserve">Guadalupe Ramírez Peña, </w:t>
      </w:r>
      <w:r w:rsidRPr="001E3DFF">
        <w:rPr>
          <w:rFonts w:ascii="Palatino Linotype" w:eastAsia="Palatino Linotype" w:hAnsi="Palatino Linotype" w:cs="Palatino Linotype"/>
        </w:rPr>
        <w:t xml:space="preserve">a efecto de que analizara sobre su admisión o su </w:t>
      </w:r>
      <w:proofErr w:type="spellStart"/>
      <w:r w:rsidRPr="001E3DFF">
        <w:rPr>
          <w:rFonts w:ascii="Palatino Linotype" w:eastAsia="Palatino Linotype" w:hAnsi="Palatino Linotype" w:cs="Palatino Linotype"/>
        </w:rPr>
        <w:t>desechamiento</w:t>
      </w:r>
      <w:proofErr w:type="spellEnd"/>
      <w:r w:rsidRPr="001E3DFF">
        <w:rPr>
          <w:rFonts w:ascii="Palatino Linotype" w:eastAsia="Palatino Linotype" w:hAnsi="Palatino Linotype" w:cs="Palatino Linotype"/>
        </w:rPr>
        <w:t>.</w:t>
      </w:r>
    </w:p>
    <w:p w14:paraId="57BD1E4E"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5. Admisión del Recurso de revisión.</w:t>
      </w:r>
      <w:r w:rsidRPr="001E3DFF">
        <w:rPr>
          <w:rFonts w:ascii="Palatino Linotype" w:eastAsia="Palatino Linotype" w:hAnsi="Palatino Linotype" w:cs="Palatino Linotype"/>
        </w:rPr>
        <w:t xml:space="preserve"> Con fecha</w:t>
      </w:r>
      <w:r w:rsidRPr="001E3DFF">
        <w:rPr>
          <w:rFonts w:ascii="Palatino Linotype" w:eastAsia="Palatino Linotype" w:hAnsi="Palatino Linotype" w:cs="Palatino Linotype"/>
          <w:b/>
        </w:rPr>
        <w:t xml:space="preserve"> veinte de abril de dos mil veintidós, </w:t>
      </w:r>
      <w:r w:rsidRPr="001E3DFF">
        <w:rPr>
          <w:rFonts w:ascii="Palatino Linotype" w:eastAsia="Palatino Linotype" w:hAnsi="Palatino Linotype" w:cs="Palatino Linotype"/>
        </w:rPr>
        <w:t>este Instituto de Transparencia, Acceso a l</w:t>
      </w:r>
      <w:r w:rsidRPr="001E3DFF">
        <w:rPr>
          <w:rFonts w:ascii="Palatino Linotype" w:eastAsia="Palatino Linotype" w:hAnsi="Palatino Linotype" w:cs="Palatino Linotype"/>
        </w:rPr>
        <w:t>a Información Pública y Protección de Datos Personales del Estado de México y Municipios, admitió a trámite el recurso de revisión que ahora se resuelve, dando un plazo máximo de siete días hábiles para que las partes manifestaran lo que a su derecho resul</w:t>
      </w:r>
      <w:r w:rsidRPr="001E3DFF">
        <w:rPr>
          <w:rFonts w:ascii="Palatino Linotype" w:eastAsia="Palatino Linotype" w:hAnsi="Palatino Linotype" w:cs="Palatino Linotype"/>
        </w:rPr>
        <w:t xml:space="preserve">tara conveniente, ofrecieran pruebas, formularan alegatos y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presentara su informe justificado.</w:t>
      </w:r>
    </w:p>
    <w:p w14:paraId="0D407B91" w14:textId="77777777" w:rsidR="003805A1" w:rsidRPr="001E3DFF" w:rsidRDefault="007A61DC">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1E3DFF">
        <w:rPr>
          <w:rFonts w:ascii="Palatino Linotype" w:eastAsia="Palatino Linotype" w:hAnsi="Palatino Linotype" w:cs="Palatino Linotype"/>
          <w:b/>
        </w:rPr>
        <w:t>6. Manifestaciones</w:t>
      </w:r>
      <w:r w:rsidRPr="001E3DFF">
        <w:rPr>
          <w:rFonts w:ascii="Palatino Linotype" w:eastAsia="Palatino Linotype" w:hAnsi="Palatino Linotype" w:cs="Palatino Linotype"/>
        </w:rPr>
        <w:t xml:space="preserve">. De las constancias que obran en el expediente electrónico del SAIMEX se desprende que el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no rindió su info</w:t>
      </w:r>
      <w:r w:rsidRPr="001E3DFF">
        <w:rPr>
          <w:rFonts w:ascii="Palatino Linotype" w:eastAsia="Palatino Linotype" w:hAnsi="Palatino Linotype" w:cs="Palatino Linotype"/>
        </w:rPr>
        <w:t xml:space="preserve">rme justificado, del mismo modo 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xml:space="preserve"> omitió realizar manifestaciones, como se observa a continuación:</w:t>
      </w:r>
    </w:p>
    <w:p w14:paraId="7DD12C5C"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noProof/>
        </w:rPr>
        <w:drawing>
          <wp:inline distT="0" distB="0" distL="0" distR="0" wp14:anchorId="757CF49C" wp14:editId="55C1033A">
            <wp:extent cx="5608955" cy="1590040"/>
            <wp:effectExtent l="0" t="0" r="0"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8955" cy="1590040"/>
                    </a:xfrm>
                    <a:prstGeom prst="rect">
                      <a:avLst/>
                    </a:prstGeom>
                    <a:ln/>
                  </pic:spPr>
                </pic:pic>
              </a:graphicData>
            </a:graphic>
          </wp:inline>
        </w:drawing>
      </w:r>
    </w:p>
    <w:p w14:paraId="5C9FB896" w14:textId="77777777" w:rsidR="003805A1" w:rsidRPr="001E3DFF" w:rsidRDefault="007A61DC">
      <w:pPr>
        <w:spacing w:before="240" w:after="240" w:line="360" w:lineRule="auto"/>
        <w:jc w:val="both"/>
        <w:rPr>
          <w:rFonts w:ascii="Palatino Linotype" w:eastAsia="Palatino Linotype" w:hAnsi="Palatino Linotype" w:cs="Palatino Linotype"/>
          <w:b/>
        </w:rPr>
      </w:pPr>
      <w:r w:rsidRPr="001E3DFF">
        <w:rPr>
          <w:rFonts w:ascii="Palatino Linotype" w:eastAsia="Palatino Linotype" w:hAnsi="Palatino Linotype" w:cs="Palatino Linotype"/>
          <w:b/>
        </w:rPr>
        <w:lastRenderedPageBreak/>
        <w:t xml:space="preserve">7. Cierre de instrucción. </w:t>
      </w:r>
      <w:r w:rsidRPr="001E3DFF">
        <w:rPr>
          <w:rFonts w:ascii="Palatino Linotype" w:eastAsia="Palatino Linotype" w:hAnsi="Palatino Linotype" w:cs="Palatino Linotype"/>
        </w:rPr>
        <w:t>Una vez transcurrido el periodo otorgado a las partes para realizar sus manifestaciones y no habiendo documento</w:t>
      </w:r>
      <w:r w:rsidRPr="001E3DFF">
        <w:rPr>
          <w:rFonts w:ascii="Palatino Linotype" w:eastAsia="Palatino Linotype" w:hAnsi="Palatino Linotype" w:cs="Palatino Linotype"/>
        </w:rPr>
        <w:t xml:space="preserve">s que integrar al expediente, con fecha </w:t>
      </w:r>
      <w:r w:rsidRPr="001E3DFF">
        <w:rPr>
          <w:rFonts w:ascii="Palatino Linotype" w:eastAsia="Palatino Linotype" w:hAnsi="Palatino Linotype" w:cs="Palatino Linotype"/>
          <w:b/>
        </w:rPr>
        <w:t>trece de mayo de dos mil veintidós</w:t>
      </w:r>
      <w:r w:rsidRPr="001E3DFF">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w:t>
      </w:r>
      <w:r w:rsidRPr="001E3DFF">
        <w:rPr>
          <w:rFonts w:ascii="Palatino Linotype" w:eastAsia="Palatino Linotype" w:hAnsi="Palatino Linotype" w:cs="Palatino Linotype"/>
        </w:rPr>
        <w:t>México y Municipios.</w:t>
      </w:r>
    </w:p>
    <w:p w14:paraId="7679335F" w14:textId="77777777" w:rsidR="003805A1" w:rsidRPr="001E3DFF" w:rsidRDefault="007A61DC">
      <w:pPr>
        <w:spacing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8. Ampliación del término para resolver</w:t>
      </w:r>
      <w:r w:rsidRPr="001E3DFF">
        <w:rPr>
          <w:rFonts w:ascii="Palatino Linotype" w:eastAsia="Palatino Linotype" w:hAnsi="Palatino Linotype" w:cs="Palatino Linotype"/>
        </w:rPr>
        <w:t xml:space="preserve">. En fecha </w:t>
      </w:r>
      <w:r w:rsidRPr="001E3DFF">
        <w:rPr>
          <w:rFonts w:ascii="Palatino Linotype" w:eastAsia="Palatino Linotype" w:hAnsi="Palatino Linotype" w:cs="Palatino Linotype"/>
          <w:b/>
        </w:rPr>
        <w:t>diez de junio de dos mil veintidós</w:t>
      </w:r>
      <w:r w:rsidRPr="001E3DFF">
        <w:rPr>
          <w:rFonts w:ascii="Palatino Linotype" w:eastAsia="Palatino Linotype" w:hAnsi="Palatino Linotype" w:cs="Palatino Linotype"/>
        </w:rPr>
        <w:t>, se amplió el término para resolver el recurso de revisión en términos del artículo 181 párrafo tercero de la Ley de Transparencia y Acceso a la Infor</w:t>
      </w:r>
      <w:r w:rsidRPr="001E3DFF">
        <w:rPr>
          <w:rFonts w:ascii="Palatino Linotype" w:eastAsia="Palatino Linotype" w:hAnsi="Palatino Linotype" w:cs="Palatino Linotype"/>
        </w:rPr>
        <w:t>mación Pública del Estado de México y Municipios.</w:t>
      </w:r>
    </w:p>
    <w:p w14:paraId="22B4BE65"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w:t>
      </w:r>
      <w:r w:rsidRPr="001E3DFF">
        <w:rPr>
          <w:rFonts w:ascii="Palatino Linotype" w:eastAsia="Palatino Linotype" w:hAnsi="Palatino Linotype" w:cs="Palatino Linotype"/>
        </w:rPr>
        <w:t xml:space="preserve"> semestre del año dos mil veintidós, que, en comparación con los recibidos el año pasado dentro del mismo periodo, se ha incrementado aproximadamente un 400%, circunstancia atípica que ha rebasado las capacidades técnicas y humanas del personal encargado d</w:t>
      </w:r>
      <w:r w:rsidRPr="001E3DFF">
        <w:rPr>
          <w:rFonts w:ascii="Palatino Linotype" w:eastAsia="Palatino Linotype" w:hAnsi="Palatino Linotype" w:cs="Palatino Linotype"/>
        </w:rPr>
        <w:t>e la proyección de las resoluciones a dichos medios de impugnación.</w:t>
      </w:r>
    </w:p>
    <w:p w14:paraId="0AF8FE57"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Por ello, es menester precisar </w:t>
      </w:r>
      <w:proofErr w:type="gramStart"/>
      <w:r w:rsidRPr="001E3DFF">
        <w:rPr>
          <w:rFonts w:ascii="Palatino Linotype" w:eastAsia="Palatino Linotype" w:hAnsi="Palatino Linotype" w:cs="Palatino Linotype"/>
        </w:rPr>
        <w:t>que</w:t>
      </w:r>
      <w:proofErr w:type="gramEnd"/>
      <w:r w:rsidRPr="001E3DFF">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w:t>
      </w:r>
      <w:r w:rsidRPr="001E3DFF">
        <w:rPr>
          <w:rFonts w:ascii="Palatino Linotype" w:eastAsia="Palatino Linotype" w:hAnsi="Palatino Linotype" w:cs="Palatino Linotype"/>
        </w:rPr>
        <w:t>idad de asuntos conforme a los parámetros establecidos por diversos órganos jurisdiccionales federales, aplicables también en procedimientos análogos, como el que nos ocupa.</w:t>
      </w:r>
    </w:p>
    <w:p w14:paraId="0D41F453"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lastRenderedPageBreak/>
        <w:t>Así, en términos de lo que establecen los artículos 8.1 y 25 de la Convención Amer</w:t>
      </w:r>
      <w:r w:rsidRPr="001E3DFF">
        <w:rPr>
          <w:rFonts w:ascii="Palatino Linotype" w:eastAsia="Palatino Linotype" w:hAnsi="Palatino Linotype" w:cs="Palatino Linotype"/>
        </w:rPr>
        <w:t>icana sobre Derechos Humanos, los recursos deben ser sencillos y resolverse en el menor tiempo posible, tomando en consideración la dilación total del procedimiento; esto es, en un plazo razonable.</w:t>
      </w:r>
    </w:p>
    <w:p w14:paraId="3646C7C7"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En ese sentido, el legislador fijó los términos procesales</w:t>
      </w:r>
      <w:r w:rsidRPr="001E3DFF">
        <w:rPr>
          <w:rFonts w:ascii="Palatino Linotype" w:eastAsia="Palatino Linotype" w:hAnsi="Palatino Linotype" w:cs="Palatino Linotype"/>
        </w:rPr>
        <w:t xml:space="preserve"> en las leyes, de manera general, sin que pudiera prever la variada gama de casos que son resueltos por los órganos jurisdiccionales o cuasi jurisdiccionales, tanto por la complejidad de los hechos, como por el número de casos que conocen. </w:t>
      </w:r>
    </w:p>
    <w:p w14:paraId="546AFCE7" w14:textId="77777777" w:rsidR="003805A1" w:rsidRPr="001E3DFF" w:rsidRDefault="007A61DC">
      <w:pPr>
        <w:spacing w:before="240" w:after="240" w:line="360" w:lineRule="auto"/>
        <w:jc w:val="both"/>
        <w:rPr>
          <w:rFonts w:ascii="Palatino Linotype" w:eastAsia="Palatino Linotype" w:hAnsi="Palatino Linotype" w:cs="Palatino Linotype"/>
          <w:strike/>
        </w:rPr>
      </w:pPr>
      <w:r w:rsidRPr="001E3DFF">
        <w:rPr>
          <w:rFonts w:ascii="Palatino Linotype" w:eastAsia="Palatino Linotype" w:hAnsi="Palatino Linotype" w:cs="Palatino Linotype"/>
        </w:rPr>
        <w:t>Por ello, excep</w:t>
      </w:r>
      <w:r w:rsidRPr="001E3DFF">
        <w:rPr>
          <w:rFonts w:ascii="Palatino Linotype" w:eastAsia="Palatino Linotype" w:hAnsi="Palatino Linotype" w:cs="Palatino Linotype"/>
        </w:rPr>
        <w:t xml:space="preserve">cionalmente, si un asunto es resuelto con posterioridad a los plazos señalados por la norma debe analizarse la razonabilidad del tiempo necesario para su resolución atentos a los siguientes criterios: </w:t>
      </w:r>
    </w:p>
    <w:p w14:paraId="2774FB11" w14:textId="77777777" w:rsidR="003805A1" w:rsidRPr="001E3DFF" w:rsidRDefault="007A61DC">
      <w:pPr>
        <w:numPr>
          <w:ilvl w:val="0"/>
          <w:numId w:val="1"/>
        </w:num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Complejidad del Asunto: La complejidad de la prueba, l</w:t>
      </w:r>
      <w:r w:rsidRPr="001E3DFF">
        <w:rPr>
          <w:rFonts w:ascii="Palatino Linotype" w:eastAsia="Palatino Linotype" w:hAnsi="Palatino Linotype" w:cs="Palatino Linotype"/>
        </w:rPr>
        <w:t xml:space="preserve">a pluralidad de sujetos procesales, el tiempo transcurrido, las características y contexto del recurso. </w:t>
      </w:r>
    </w:p>
    <w:p w14:paraId="4DD08A26" w14:textId="77777777" w:rsidR="003805A1" w:rsidRPr="001E3DFF" w:rsidRDefault="007A61DC">
      <w:pPr>
        <w:numPr>
          <w:ilvl w:val="0"/>
          <w:numId w:val="1"/>
        </w:num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Actividad Procesal del interesado. Acciones u omisiones del interesado.</w:t>
      </w:r>
    </w:p>
    <w:p w14:paraId="5450BEE0" w14:textId="77777777" w:rsidR="003805A1" w:rsidRPr="001E3DFF" w:rsidRDefault="007A61DC">
      <w:pPr>
        <w:numPr>
          <w:ilvl w:val="0"/>
          <w:numId w:val="1"/>
        </w:num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Conducta de la Autoridad: Las Acciones u omisiones realizadas en el procedimien</w:t>
      </w:r>
      <w:r w:rsidRPr="001E3DFF">
        <w:rPr>
          <w:rFonts w:ascii="Palatino Linotype" w:eastAsia="Palatino Linotype" w:hAnsi="Palatino Linotype" w:cs="Palatino Linotype"/>
        </w:rPr>
        <w:t>to. Así como si la autoridad actuó con la debida diligencia.</w:t>
      </w:r>
    </w:p>
    <w:p w14:paraId="38B786DE" w14:textId="77777777" w:rsidR="003805A1" w:rsidRPr="001E3DFF" w:rsidRDefault="007A61DC">
      <w:pPr>
        <w:spacing w:before="240" w:after="240" w:line="360" w:lineRule="auto"/>
        <w:ind w:left="567"/>
        <w:jc w:val="both"/>
        <w:rPr>
          <w:rFonts w:ascii="Palatino Linotype" w:eastAsia="Palatino Linotype" w:hAnsi="Palatino Linotype" w:cs="Palatino Linotype"/>
        </w:rPr>
      </w:pPr>
      <w:r w:rsidRPr="001E3DFF">
        <w:rPr>
          <w:rFonts w:ascii="Palatino Linotype" w:eastAsia="Palatino Linotype" w:hAnsi="Palatino Linotype" w:cs="Palatino Linotype"/>
        </w:rPr>
        <w:t>d) La afectación generada en la situación jurídica de la persona involucrada en el proceso: Violación a sus derechos humanos.</w:t>
      </w:r>
    </w:p>
    <w:p w14:paraId="73BDD746"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lastRenderedPageBreak/>
        <w:t>De modo que, cuando se trate de un asunto excepcional, por alguna o t</w:t>
      </w:r>
      <w:r w:rsidRPr="001E3DFF">
        <w:rPr>
          <w:rFonts w:ascii="Palatino Linotype" w:eastAsia="Palatino Linotype" w:hAnsi="Palatino Linotype" w:cs="Palatino Linotype"/>
        </w:rPr>
        <w:t>odas las características mencionadas; o bien, cuando el ingreso de asuntos al órgano jurisdiccional o cuasi jurisdiccional respectivo supere notoriamente al que podría considerarse normal, debe concluirse que es una excluyente de responsabilidad en relació</w:t>
      </w:r>
      <w:r w:rsidRPr="001E3DFF">
        <w:rPr>
          <w:rFonts w:ascii="Palatino Linotype" w:eastAsia="Palatino Linotype" w:hAnsi="Palatino Linotype" w:cs="Palatino Linotype"/>
        </w:rPr>
        <w:t>n con la actuación del funcionario, como ha acontecido en el caso que nos ocupa.</w:t>
      </w:r>
    </w:p>
    <w:p w14:paraId="54F89675" w14:textId="77777777" w:rsidR="003805A1" w:rsidRPr="001E3DFF" w:rsidRDefault="007A61DC">
      <w:pPr>
        <w:spacing w:before="240" w:after="240" w:line="360" w:lineRule="auto"/>
        <w:jc w:val="both"/>
        <w:rPr>
          <w:rFonts w:ascii="Palatino Linotype" w:eastAsia="Palatino Linotype" w:hAnsi="Palatino Linotype" w:cs="Palatino Linotype"/>
          <w:b/>
        </w:rPr>
      </w:pPr>
      <w:r w:rsidRPr="001E3DF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E3DFF">
        <w:rPr>
          <w:rFonts w:ascii="Palatino Linotype" w:eastAsia="Palatino Linotype" w:hAnsi="Palatino Linotype" w:cs="Palatino Linotype"/>
          <w:i/>
        </w:rPr>
        <w:t>“TÉRMINOS PROCESALES. PARA DETERMI</w:t>
      </w:r>
      <w:r w:rsidRPr="001E3DFF">
        <w:rPr>
          <w:rFonts w:ascii="Palatino Linotype" w:eastAsia="Palatino Linotype" w:hAnsi="Palatino Linotype" w:cs="Palatino Linotype"/>
          <w:i/>
        </w:rPr>
        <w:t>NAR SI UN FUNCIONARIO JUDICIAL ACTUÓ INDEBIDAMENTE POR NO RESPETARLOS SE DEBE ATENDER AL PRESUPUESTO QUE CONSIDERÓ EL LEGISLADOR AL FIJARLOS Y LAS CARACTERÍSTICAS DEL CASO.”</w:t>
      </w:r>
      <w:r w:rsidRPr="001E3DFF">
        <w:rPr>
          <w:rFonts w:ascii="Palatino Linotype" w:eastAsia="Palatino Linotype" w:hAnsi="Palatino Linotype" w:cs="Palatino Linotype"/>
        </w:rPr>
        <w:t>, visible en la Gaceta del Seminario Judicial de la Federación con el registro digi</w:t>
      </w:r>
      <w:r w:rsidRPr="001E3DFF">
        <w:rPr>
          <w:rFonts w:ascii="Palatino Linotype" w:eastAsia="Palatino Linotype" w:hAnsi="Palatino Linotype" w:cs="Palatino Linotype"/>
        </w:rPr>
        <w:t>tal 205635.</w:t>
      </w:r>
    </w:p>
    <w:p w14:paraId="5FB0F46C"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w:t>
      </w:r>
      <w:r w:rsidRPr="001E3DFF">
        <w:rPr>
          <w:rFonts w:ascii="Palatino Linotype" w:eastAsia="Palatino Linotype" w:hAnsi="Palatino Linotype" w:cs="Palatino Linotype"/>
        </w:rPr>
        <w:t>ste Instituto para atender la enorme demanda de usuarios que acuden para que se les garantice su Derecho de acceso a la información Pública y Protección de Datos Personales, aunado a la complejidad de los hechos a los que se refieren, así como al volumen d</w:t>
      </w:r>
      <w:r w:rsidRPr="001E3DFF">
        <w:rPr>
          <w:rFonts w:ascii="Palatino Linotype" w:eastAsia="Palatino Linotype" w:hAnsi="Palatino Linotype" w:cs="Palatino Linotype"/>
        </w:rPr>
        <w:t>el expediente, la extensión de los escritos y pruebas aportadas y desahogadas por las partes; lo que impide la tramitación de los recursos dentro de los términos legales previamente establecidos por la Ley, por tratarse de causas de fuerza mayor.</w:t>
      </w:r>
    </w:p>
    <w:p w14:paraId="229DBEFC"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8B484AB" w14:textId="77777777" w:rsidR="003805A1" w:rsidRPr="001E3DFF" w:rsidRDefault="007A61DC">
      <w:pPr>
        <w:spacing w:before="240" w:after="240" w:line="360" w:lineRule="auto"/>
        <w:ind w:left="851" w:right="902"/>
        <w:jc w:val="both"/>
        <w:rPr>
          <w:rFonts w:ascii="Palatino Linotype" w:eastAsia="Palatino Linotype" w:hAnsi="Palatino Linotype" w:cs="Palatino Linotype"/>
          <w:sz w:val="22"/>
          <w:szCs w:val="22"/>
        </w:rPr>
      </w:pPr>
      <w:r w:rsidRPr="001E3DFF">
        <w:rPr>
          <w:rFonts w:ascii="Palatino Linotype" w:eastAsia="Palatino Linotype" w:hAnsi="Palatino Linotype" w:cs="Palatino Linotype"/>
        </w:rPr>
        <w:t xml:space="preserve"> </w:t>
      </w:r>
      <w:r w:rsidRPr="001E3DFF">
        <w:rPr>
          <w:rFonts w:ascii="Palatino Linotype" w:eastAsia="Palatino Linotype" w:hAnsi="Palatino Linotype" w:cs="Palatino Linotype"/>
          <w:i/>
          <w:sz w:val="22"/>
          <w:szCs w:val="22"/>
        </w:rPr>
        <w:t>“</w:t>
      </w:r>
      <w:r w:rsidRPr="001E3DFF">
        <w:rPr>
          <w:rFonts w:ascii="Palatino Linotype" w:eastAsia="Palatino Linotype" w:hAnsi="Palatino Linotype" w:cs="Palatino Linotype"/>
          <w:b/>
          <w:i/>
          <w:sz w:val="22"/>
          <w:szCs w:val="22"/>
        </w:rPr>
        <w:t xml:space="preserve">PLAZO RAZONABLE PARA RESOLVER. DIMENSIÓN Y EFECTOS </w:t>
      </w:r>
      <w:r w:rsidRPr="001E3DFF">
        <w:rPr>
          <w:rFonts w:ascii="Palatino Linotype" w:eastAsia="Palatino Linotype" w:hAnsi="Palatino Linotype" w:cs="Palatino Linotype"/>
          <w:b/>
          <w:i/>
          <w:sz w:val="22"/>
          <w:szCs w:val="22"/>
        </w:rPr>
        <w:t>DE ESTE CONCEPTO CUANDO SE ADUCE EXCESIVA CARGA DE TRABAJO</w:t>
      </w:r>
      <w:r w:rsidRPr="001E3DFF">
        <w:rPr>
          <w:rFonts w:ascii="Palatino Linotype" w:eastAsia="Palatino Linotype" w:hAnsi="Palatino Linotype" w:cs="Palatino Linotype"/>
          <w:i/>
          <w:sz w:val="22"/>
          <w:szCs w:val="22"/>
        </w:rPr>
        <w:t>.”</w:t>
      </w:r>
      <w:r w:rsidRPr="001E3DFF">
        <w:rPr>
          <w:rFonts w:ascii="Palatino Linotype" w:eastAsia="Palatino Linotype" w:hAnsi="Palatino Linotype" w:cs="Palatino Linotype"/>
          <w:sz w:val="22"/>
          <w:szCs w:val="22"/>
        </w:rPr>
        <w:t xml:space="preserve"> consultable en el Seminario Judicial de la Federación y su gaceta, con el registro digital 2002351.</w:t>
      </w:r>
    </w:p>
    <w:p w14:paraId="605253A9" w14:textId="77777777" w:rsidR="003805A1" w:rsidRPr="001E3DFF" w:rsidRDefault="007A61DC">
      <w:pPr>
        <w:spacing w:before="240" w:after="240" w:line="360" w:lineRule="auto"/>
        <w:ind w:left="851" w:right="902"/>
        <w:jc w:val="both"/>
        <w:rPr>
          <w:rFonts w:ascii="Palatino Linotype" w:eastAsia="Palatino Linotype" w:hAnsi="Palatino Linotype" w:cs="Palatino Linotype"/>
          <w:sz w:val="22"/>
          <w:szCs w:val="22"/>
        </w:rPr>
      </w:pPr>
      <w:r w:rsidRPr="001E3DFF">
        <w:rPr>
          <w:rFonts w:ascii="Palatino Linotype" w:eastAsia="Palatino Linotype" w:hAnsi="Palatino Linotype" w:cs="Palatino Linotype"/>
          <w:i/>
          <w:sz w:val="22"/>
          <w:szCs w:val="22"/>
        </w:rPr>
        <w:t>“</w:t>
      </w:r>
      <w:r w:rsidRPr="001E3DFF">
        <w:rPr>
          <w:rFonts w:ascii="Palatino Linotype" w:eastAsia="Palatino Linotype" w:hAnsi="Palatino Linotype" w:cs="Palatino Linotype"/>
          <w:b/>
          <w:i/>
          <w:sz w:val="22"/>
          <w:szCs w:val="22"/>
        </w:rPr>
        <w:t>PLAZO RAZONABLE PARA RESOLVER. CONCEPTO Y ELEMENTOS QUE LO INTEGRAN A LA LUZ DEL DERECHO INTER</w:t>
      </w:r>
      <w:r w:rsidRPr="001E3DFF">
        <w:rPr>
          <w:rFonts w:ascii="Palatino Linotype" w:eastAsia="Palatino Linotype" w:hAnsi="Palatino Linotype" w:cs="Palatino Linotype"/>
          <w:b/>
          <w:i/>
          <w:sz w:val="22"/>
          <w:szCs w:val="22"/>
        </w:rPr>
        <w:t>NACIONAL DE LOS DERECHOS HUMANOS</w:t>
      </w:r>
      <w:r w:rsidRPr="001E3DFF">
        <w:rPr>
          <w:rFonts w:ascii="Palatino Linotype" w:eastAsia="Palatino Linotype" w:hAnsi="Palatino Linotype" w:cs="Palatino Linotype"/>
          <w:i/>
          <w:sz w:val="22"/>
          <w:szCs w:val="22"/>
        </w:rPr>
        <w:t>.”</w:t>
      </w:r>
      <w:r w:rsidRPr="001E3DFF">
        <w:rPr>
          <w:rFonts w:ascii="Palatino Linotype" w:eastAsia="Palatino Linotype" w:hAnsi="Palatino Linotype" w:cs="Palatino Linotype"/>
          <w:sz w:val="22"/>
          <w:szCs w:val="22"/>
        </w:rPr>
        <w:t>, visible en el Seminario Judicial de la Federación y su gaceta, con el registro digital 2002350.</w:t>
      </w:r>
    </w:p>
    <w:p w14:paraId="5160556F"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Por ello, este organismo garante comprometido con la tutela de los derechos humanos confiados, señala que este exceso del pl</w:t>
      </w:r>
      <w:r w:rsidRPr="001E3DFF">
        <w:rPr>
          <w:rFonts w:ascii="Palatino Linotype" w:eastAsia="Palatino Linotype" w:hAnsi="Palatino Linotype" w:cs="Palatino Linotype"/>
        </w:rPr>
        <w:t>azo legal para resolver el presente asunto, resulta de carácter excepcional.</w:t>
      </w:r>
    </w:p>
    <w:p w14:paraId="77BA5165"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w:t>
      </w:r>
      <w:r w:rsidRPr="001E3DFF">
        <w:rPr>
          <w:rFonts w:ascii="Palatino Linotype" w:eastAsia="Palatino Linotype" w:hAnsi="Palatino Linotype" w:cs="Palatino Linotype"/>
        </w:rPr>
        <w:t xml:space="preserve">do con los siguientes: </w:t>
      </w:r>
    </w:p>
    <w:p w14:paraId="41D19A3C" w14:textId="77777777" w:rsidR="003805A1" w:rsidRPr="001E3DFF" w:rsidRDefault="007A61DC">
      <w:pPr>
        <w:widowControl w:val="0"/>
        <w:spacing w:before="240" w:after="240" w:line="360" w:lineRule="auto"/>
        <w:jc w:val="center"/>
        <w:rPr>
          <w:rFonts w:ascii="Palatino Linotype" w:eastAsia="Palatino Linotype" w:hAnsi="Palatino Linotype" w:cs="Palatino Linotype"/>
          <w:b/>
        </w:rPr>
      </w:pPr>
      <w:r w:rsidRPr="001E3DFF">
        <w:rPr>
          <w:rFonts w:ascii="Palatino Linotype" w:eastAsia="Palatino Linotype" w:hAnsi="Palatino Linotype" w:cs="Palatino Linotype"/>
          <w:b/>
        </w:rPr>
        <w:t>II. C O N S I D E R A N D O S</w:t>
      </w:r>
    </w:p>
    <w:p w14:paraId="2116C418"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Primero. Competencia.</w:t>
      </w:r>
      <w:r w:rsidRPr="001E3DF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w:t>
      </w:r>
      <w:r w:rsidRPr="001E3DFF">
        <w:rPr>
          <w:rFonts w:ascii="Palatino Linotype" w:eastAsia="Palatino Linotype" w:hAnsi="Palatino Linotype" w:cs="Palatino Linotype"/>
        </w:rPr>
        <w:t xml:space="preserve"> recurso de revisión interpuesto por </w:t>
      </w:r>
      <w:r w:rsidRPr="001E3DFF">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w:t>
      </w:r>
      <w:r w:rsidRPr="001E3DFF">
        <w:rPr>
          <w:rFonts w:ascii="Palatino Linotype" w:eastAsia="Palatino Linotype" w:hAnsi="Palatino Linotype" w:cs="Palatino Linotype"/>
        </w:rPr>
        <w:t xml:space="preserve">a Constitución Política del Estado Libre y Soberano de México; 2, fracción II; 29, 36 fracciones I y II; 176, 178, 181, 185, fracción I, 186 y 188 de la Ley Transparencia y Acceso a la Información Pública del Estado de México y Municipios; 9, fracciones I </w:t>
      </w:r>
      <w:r w:rsidRPr="001E3DFF">
        <w:rPr>
          <w:rFonts w:ascii="Palatino Linotype" w:eastAsia="Palatino Linotype" w:hAnsi="Palatino Linotype" w:cs="Palatino Linotype"/>
        </w:rPr>
        <w:t>y XXIV y 11 del Reglamento Interior del Instituto de Transparencia, Acceso a la Información Pública y Protección de Datos Personales del Estado de México y Municipios.</w:t>
      </w:r>
    </w:p>
    <w:p w14:paraId="016D8D76" w14:textId="77777777" w:rsidR="003805A1" w:rsidRPr="001E3DFF" w:rsidRDefault="007A61DC">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1E3DFF">
        <w:rPr>
          <w:rFonts w:ascii="Palatino Linotype" w:eastAsia="Palatino Linotype" w:hAnsi="Palatino Linotype" w:cs="Palatino Linotype"/>
          <w:b/>
        </w:rPr>
        <w:t>Segundo. Oportunidad y Procedibilidad del Recurso de Revisión</w:t>
      </w:r>
      <w:r w:rsidRPr="001E3DF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w:t>
      </w:r>
      <w:r w:rsidRPr="001E3DFF">
        <w:rPr>
          <w:rFonts w:ascii="Palatino Linotype" w:eastAsia="Palatino Linotype" w:hAnsi="Palatino Linotype" w:cs="Palatino Linotype"/>
        </w:rPr>
        <w:t xml:space="preserve"> 180 de la Ley de Transparencia y Acceso a la Información Pública del Estado de México y Municipios.</w:t>
      </w:r>
    </w:p>
    <w:p w14:paraId="62D898F2"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El recurso de revisión fue interpuesto dentro del plazo de quince días hábiles, previsto en el artículo 178 de la Ley de Transparencia y Acceso a la Inform</w:t>
      </w:r>
      <w:r w:rsidRPr="001E3DFF">
        <w:rPr>
          <w:rFonts w:ascii="Palatino Linotype" w:eastAsia="Palatino Linotype" w:hAnsi="Palatino Linotype" w:cs="Palatino Linotype"/>
        </w:rPr>
        <w:t xml:space="preserve">ación Pública del Estado de México y Municipios, toda vez que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 xml:space="preserve">remitió la respuesta a la solicitud de información el día </w:t>
      </w:r>
      <w:r w:rsidRPr="001E3DFF">
        <w:rPr>
          <w:rFonts w:ascii="Palatino Linotype" w:eastAsia="Palatino Linotype" w:hAnsi="Palatino Linotype" w:cs="Palatino Linotype"/>
          <w:b/>
        </w:rPr>
        <w:t xml:space="preserve">cinco de abril de dos mil veintidós, </w:t>
      </w:r>
      <w:r w:rsidRPr="001E3DFF">
        <w:rPr>
          <w:rFonts w:ascii="Palatino Linotype" w:eastAsia="Palatino Linotype" w:hAnsi="Palatino Linotype" w:cs="Palatino Linotype"/>
        </w:rPr>
        <w:t xml:space="preserve">mientras que el recurso de revisión interpuesto por 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se tuvo</w:t>
      </w:r>
      <w:r w:rsidRPr="001E3DFF">
        <w:rPr>
          <w:rFonts w:ascii="Palatino Linotype" w:eastAsia="Palatino Linotype" w:hAnsi="Palatino Linotype" w:cs="Palatino Linotype"/>
        </w:rPr>
        <w:t xml:space="preserve"> por presentado el día </w:t>
      </w:r>
      <w:r w:rsidRPr="001E3DFF">
        <w:rPr>
          <w:rFonts w:ascii="Palatino Linotype" w:eastAsia="Palatino Linotype" w:hAnsi="Palatino Linotype" w:cs="Palatino Linotype"/>
          <w:b/>
        </w:rPr>
        <w:t>ocho de dos mil veintidós</w:t>
      </w:r>
      <w:r w:rsidRPr="001E3DFF">
        <w:rPr>
          <w:rFonts w:ascii="Palatino Linotype" w:eastAsia="Palatino Linotype" w:hAnsi="Palatino Linotype" w:cs="Palatino Linotype"/>
        </w:rPr>
        <w:t>, esto es, al tercer día posterior en que tuvo conocimiento de la respuesta impugnada.</w:t>
      </w:r>
    </w:p>
    <w:p w14:paraId="2A7054C8" w14:textId="77777777" w:rsidR="003805A1" w:rsidRPr="001E3DFF" w:rsidRDefault="007A61DC">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1E3DFF">
        <w:rPr>
          <w:rFonts w:ascii="Palatino Linotype" w:eastAsia="Palatino Linotype" w:hAnsi="Palatino Linotype" w:cs="Palatino Linotype"/>
        </w:rPr>
        <w:t xml:space="preserve">En este sentido, al considerar la fecha en que se formuló la solicitud y la fecha en que respondió a ésta el </w:t>
      </w:r>
      <w:r w:rsidRPr="001E3DFF">
        <w:rPr>
          <w:rFonts w:ascii="Palatino Linotype" w:eastAsia="Palatino Linotype" w:hAnsi="Palatino Linotype" w:cs="Palatino Linotype"/>
          <w:b/>
        </w:rPr>
        <w:t>Sujeto Oblig</w:t>
      </w:r>
      <w:r w:rsidRPr="001E3DFF">
        <w:rPr>
          <w:rFonts w:ascii="Palatino Linotype" w:eastAsia="Palatino Linotype" w:hAnsi="Palatino Linotype" w:cs="Palatino Linotype"/>
          <w:b/>
        </w:rPr>
        <w:t>ado</w:t>
      </w:r>
      <w:r w:rsidRPr="001E3DFF">
        <w:rPr>
          <w:rFonts w:ascii="Palatino Linotype" w:eastAsia="Palatino Linotype" w:hAnsi="Palatino Linotype" w:cs="Palatino Linotype"/>
        </w:rPr>
        <w:t xml:space="preserve">; así como la fecha en que se interpuso el recurso </w:t>
      </w:r>
      <w:r w:rsidRPr="001E3DFF">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32714BEE"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Al mismo tiempo, por cuanto hace a la procedibi</w:t>
      </w:r>
      <w:r w:rsidRPr="001E3DFF">
        <w:rPr>
          <w:rFonts w:ascii="Palatino Linotype" w:eastAsia="Palatino Linotype" w:hAnsi="Palatino Linotype" w:cs="Palatino Linotype"/>
        </w:rPr>
        <w:t>lidad del recurso de revisión, una vez realizado el análisis de los formatos de interposición del recurso, se concluye la acreditación plena de los elementos formales precisados por el artículo 180 de la Ley de Transparencia y Acceso a la Información Públi</w:t>
      </w:r>
      <w:r w:rsidRPr="001E3DFF">
        <w:rPr>
          <w:rFonts w:ascii="Palatino Linotype" w:eastAsia="Palatino Linotype" w:hAnsi="Palatino Linotype" w:cs="Palatino Linotype"/>
        </w:rPr>
        <w:t>ca del Estado de México y Municipios, en atención a que fue presentado mediante el formato visible en el SAIMEX.</w:t>
      </w:r>
    </w:p>
    <w:p w14:paraId="3F7ACA0B"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A efecto de sustentar lo anterior, es de suma importancia mencionar que si bien la persona solicitante </w:t>
      </w:r>
      <w:r w:rsidRPr="001E3DFF">
        <w:rPr>
          <w:rFonts w:ascii="Palatino Linotype" w:eastAsia="Palatino Linotype" w:hAnsi="Palatino Linotype" w:cs="Palatino Linotype"/>
          <w:b/>
        </w:rPr>
        <w:t xml:space="preserve">no proporcionó un nombre </w:t>
      </w:r>
      <w:r w:rsidRPr="001E3DFF">
        <w:rPr>
          <w:rFonts w:ascii="Palatino Linotype" w:eastAsia="Palatino Linotype" w:hAnsi="Palatino Linotype" w:cs="Palatino Linotype"/>
        </w:rPr>
        <w:t>como se adviert</w:t>
      </w:r>
      <w:r w:rsidRPr="001E3DFF">
        <w:rPr>
          <w:rFonts w:ascii="Palatino Linotype" w:eastAsia="Palatino Linotype" w:hAnsi="Palatino Linotype" w:cs="Palatino Linotype"/>
        </w:rPr>
        <w:t xml:space="preserve">e en el detalle de seguimiento del SAIMEX, sin embargo, el no proporcionar un nombre completo no es motivo para archivar la solicitud de acceso a la información pública como concluida, conforme a lo previsto en el artículo 155, penúltimo párrafo de la Ley </w:t>
      </w:r>
      <w:r w:rsidRPr="001E3DFF">
        <w:rPr>
          <w:rFonts w:ascii="Palatino Linotype" w:eastAsia="Palatino Linotype" w:hAnsi="Palatino Linotype" w:cs="Palatino Linotype"/>
        </w:rPr>
        <w:t>de Transparencia y Acceso a la Información Pública del Estado de México y Municipios que establece lo siguiente:</w:t>
      </w:r>
    </w:p>
    <w:p w14:paraId="64A5E701" w14:textId="77777777" w:rsidR="003805A1" w:rsidRPr="001E3DFF" w:rsidRDefault="007A61DC">
      <w:pPr>
        <w:spacing w:before="120" w:after="120"/>
        <w:ind w:left="851" w:right="902"/>
        <w:jc w:val="both"/>
        <w:rPr>
          <w:rFonts w:ascii="Palatino Linotype" w:eastAsia="Palatino Linotype" w:hAnsi="Palatino Linotype" w:cs="Palatino Linotype"/>
          <w:sz w:val="22"/>
          <w:szCs w:val="22"/>
        </w:rPr>
      </w:pPr>
      <w:r w:rsidRPr="001E3DFF">
        <w:rPr>
          <w:rFonts w:ascii="Palatino Linotype" w:eastAsia="Palatino Linotype" w:hAnsi="Palatino Linotype" w:cs="Palatino Linotype"/>
          <w:i/>
          <w:sz w:val="22"/>
          <w:szCs w:val="22"/>
        </w:rPr>
        <w:t>"</w:t>
      </w:r>
      <w:r w:rsidRPr="001E3DFF">
        <w:rPr>
          <w:rFonts w:ascii="Palatino Linotype" w:eastAsia="Palatino Linotype" w:hAnsi="Palatino Linotype" w:cs="Palatino Linotype"/>
          <w:b/>
          <w:i/>
          <w:sz w:val="22"/>
          <w:szCs w:val="22"/>
        </w:rPr>
        <w:t>Las solicitudes anónimas</w:t>
      </w:r>
      <w:r w:rsidRPr="001E3DFF">
        <w:rPr>
          <w:rFonts w:ascii="Palatino Linotype" w:eastAsia="Palatino Linotype" w:hAnsi="Palatino Linotype" w:cs="Palatino Linotype"/>
          <w:i/>
          <w:sz w:val="22"/>
          <w:szCs w:val="22"/>
        </w:rPr>
        <w:t xml:space="preserve">, con nombre incompleto o seudónimo </w:t>
      </w:r>
      <w:r w:rsidRPr="001E3DFF">
        <w:rPr>
          <w:rFonts w:ascii="Palatino Linotype" w:eastAsia="Palatino Linotype" w:hAnsi="Palatino Linotype" w:cs="Palatino Linotype"/>
          <w:b/>
          <w:i/>
          <w:sz w:val="22"/>
          <w:szCs w:val="22"/>
        </w:rPr>
        <w:t>serán procedentes para su trámite por parte del sujeto obligado ante quien se pres</w:t>
      </w:r>
      <w:r w:rsidRPr="001E3DFF">
        <w:rPr>
          <w:rFonts w:ascii="Palatino Linotype" w:eastAsia="Palatino Linotype" w:hAnsi="Palatino Linotype" w:cs="Palatino Linotype"/>
          <w:b/>
          <w:i/>
          <w:sz w:val="22"/>
          <w:szCs w:val="22"/>
        </w:rPr>
        <w:t>ente</w:t>
      </w:r>
      <w:r w:rsidRPr="001E3DFF">
        <w:rPr>
          <w:rFonts w:ascii="Palatino Linotype" w:eastAsia="Palatino Linotype" w:hAnsi="Palatino Linotype" w:cs="Palatino Linotype"/>
          <w:i/>
          <w:sz w:val="22"/>
          <w:szCs w:val="22"/>
        </w:rPr>
        <w:t>. No podrá requerirse información adicional con motivo del nombre proporcionado por el solicitante."</w:t>
      </w:r>
    </w:p>
    <w:p w14:paraId="4B9BF77D"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En el mismo tenor, el propio artículo 180 de la Ley de Transparencia local citado, en su último párrafo establece que cuando el recurso se interponga d</w:t>
      </w:r>
      <w:r w:rsidRPr="001E3DFF">
        <w:rPr>
          <w:rFonts w:ascii="Palatino Linotype" w:eastAsia="Palatino Linotype" w:hAnsi="Palatino Linotype" w:cs="Palatino Linotype"/>
        </w:rPr>
        <w:t xml:space="preserve">e manera electrónica, no será indispensable que contenga determinados requisitos, entre ellos, </w:t>
      </w:r>
      <w:r w:rsidRPr="001E3DFF">
        <w:rPr>
          <w:rFonts w:ascii="Palatino Linotype" w:eastAsia="Palatino Linotype" w:hAnsi="Palatino Linotype" w:cs="Palatino Linotype"/>
        </w:rPr>
        <w:lastRenderedPageBreak/>
        <w:t xml:space="preserve">el nombre de 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por lo que, en el presente caso, al haber sido presentado el recurso de revisión vía SAIMEX, dicho requisito resulta innecesari</w:t>
      </w:r>
      <w:r w:rsidRPr="001E3DFF">
        <w:rPr>
          <w:rFonts w:ascii="Palatino Linotype" w:eastAsia="Palatino Linotype" w:hAnsi="Palatino Linotype" w:cs="Palatino Linotype"/>
        </w:rPr>
        <w:t>o.</w:t>
      </w:r>
    </w:p>
    <w:p w14:paraId="3972665B"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Finalmente, se advierte que resulta procedente la interposición del recurso, según lo manifestado por 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xml:space="preserve"> en sus motivos de inconformidad, de acuerdo al artículo 179, fracción IX del ordenamiento legal citado, que a la letra dice: </w:t>
      </w:r>
    </w:p>
    <w:p w14:paraId="74CD72C5" w14:textId="77777777" w:rsidR="003805A1" w:rsidRPr="001E3DFF" w:rsidRDefault="007A61DC">
      <w:pPr>
        <w:tabs>
          <w:tab w:val="left" w:pos="7936"/>
        </w:tabs>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w:t>
      </w:r>
      <w:r w:rsidRPr="001E3DFF">
        <w:rPr>
          <w:rFonts w:ascii="Palatino Linotype" w:eastAsia="Palatino Linotype" w:hAnsi="Palatino Linotype" w:cs="Palatino Linotype"/>
          <w:b/>
          <w:i/>
          <w:sz w:val="22"/>
          <w:szCs w:val="22"/>
        </w:rPr>
        <w:t>Artí</w:t>
      </w:r>
      <w:r w:rsidRPr="001E3DFF">
        <w:rPr>
          <w:rFonts w:ascii="Palatino Linotype" w:eastAsia="Palatino Linotype" w:hAnsi="Palatino Linotype" w:cs="Palatino Linotype"/>
          <w:b/>
          <w:i/>
          <w:sz w:val="22"/>
          <w:szCs w:val="22"/>
        </w:rPr>
        <w:t>culo 179.</w:t>
      </w:r>
      <w:r w:rsidRPr="001E3DF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8B8D4E0" w14:textId="77777777" w:rsidR="003805A1" w:rsidRPr="001E3DFF" w:rsidRDefault="007A61DC">
      <w:pPr>
        <w:tabs>
          <w:tab w:val="left" w:pos="7936"/>
        </w:tabs>
        <w:spacing w:before="120" w:after="120"/>
        <w:ind w:left="1134"/>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w:t>
      </w:r>
    </w:p>
    <w:p w14:paraId="35CB38AB" w14:textId="77777777" w:rsidR="003805A1" w:rsidRPr="001E3DFF" w:rsidRDefault="007A61DC">
      <w:pPr>
        <w:tabs>
          <w:tab w:val="left" w:pos="7936"/>
        </w:tabs>
        <w:spacing w:before="120" w:after="120"/>
        <w:ind w:left="1134" w:right="900"/>
        <w:jc w:val="both"/>
        <w:rPr>
          <w:rFonts w:ascii="Palatino Linotype" w:eastAsia="Palatino Linotype" w:hAnsi="Palatino Linotype" w:cs="Palatino Linotype"/>
          <w:b/>
          <w:i/>
          <w:sz w:val="22"/>
          <w:szCs w:val="22"/>
        </w:rPr>
      </w:pPr>
      <w:r w:rsidRPr="001E3DFF">
        <w:rPr>
          <w:rFonts w:ascii="Palatino Linotype" w:eastAsia="Palatino Linotype" w:hAnsi="Palatino Linotype" w:cs="Palatino Linotype"/>
          <w:b/>
          <w:i/>
          <w:sz w:val="22"/>
          <w:szCs w:val="22"/>
        </w:rPr>
        <w:t>IX</w:t>
      </w:r>
      <w:r w:rsidRPr="001E3DFF">
        <w:rPr>
          <w:rFonts w:ascii="Palatino Linotype" w:eastAsia="Palatino Linotype" w:hAnsi="Palatino Linotype" w:cs="Palatino Linotype"/>
          <w:i/>
          <w:sz w:val="22"/>
          <w:szCs w:val="22"/>
        </w:rPr>
        <w:t>. La entrega o puesta a disposición de información en un formato incomprensible y/o no accesible para el solicitante;”</w:t>
      </w:r>
    </w:p>
    <w:p w14:paraId="5049C0CD"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 xml:space="preserve">Tercero. Materia de la revisión. </w:t>
      </w:r>
      <w:r w:rsidRPr="001E3DFF">
        <w:rPr>
          <w:rFonts w:ascii="Palatino Linotype" w:eastAsia="Palatino Linotype" w:hAnsi="Palatino Linotype" w:cs="Palatino Linotype"/>
        </w:rPr>
        <w:t>De la revisión a las constancias y documentos que obran en el expediente electrónico se advierte, que el</w:t>
      </w:r>
      <w:r w:rsidRPr="001E3DFF">
        <w:rPr>
          <w:rFonts w:ascii="Palatino Linotype" w:eastAsia="Palatino Linotype" w:hAnsi="Palatino Linotype" w:cs="Palatino Linotype"/>
        </w:rPr>
        <w:t xml:space="preserve"> tema sobre el que este Organismo Garante de Transparencia y Acceso a la Información se pronunciará será: </w:t>
      </w:r>
      <w:r w:rsidRPr="001E3DFF">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E3DFF">
        <w:rPr>
          <w:rFonts w:ascii="Palatino Linotype" w:eastAsia="Palatino Linotype" w:hAnsi="Palatino Linotype" w:cs="Palatino Linotype"/>
        </w:rPr>
        <w:t>de la</w:t>
      </w:r>
      <w:r w:rsidRPr="001E3DFF">
        <w:rPr>
          <w:rFonts w:ascii="Palatino Linotype" w:eastAsia="Palatino Linotype" w:hAnsi="Palatino Linotype" w:cs="Palatino Linotype"/>
        </w:rPr>
        <w:t xml:space="preserve">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o en su defecto, en caso de ser procedente, ordenar la entrega de información oportuna.</w:t>
      </w:r>
    </w:p>
    <w:p w14:paraId="387659A8" w14:textId="77777777" w:rsidR="003805A1" w:rsidRPr="001E3DFF" w:rsidRDefault="007A61DC">
      <w:pPr>
        <w:spacing w:before="240" w:after="240" w:line="360" w:lineRule="auto"/>
        <w:ind w:right="51"/>
        <w:jc w:val="both"/>
        <w:rPr>
          <w:rFonts w:ascii="Palatino Linotype" w:hAnsi="Palatino Linotype"/>
        </w:rPr>
      </w:pPr>
      <w:bookmarkStart w:id="5" w:name="_heading=h.2et92p0" w:colFirst="0" w:colLast="0"/>
      <w:bookmarkEnd w:id="5"/>
      <w:r w:rsidRPr="001E3DFF">
        <w:rPr>
          <w:rFonts w:ascii="Palatino Linotype" w:eastAsia="Palatino Linotype" w:hAnsi="Palatino Linotype" w:cs="Palatino Linotype"/>
          <w:b/>
        </w:rPr>
        <w:t xml:space="preserve">Cuarto. Estudio del asunto. </w:t>
      </w:r>
      <w:r w:rsidRPr="001E3DFF">
        <w:rPr>
          <w:rFonts w:ascii="Palatino Linotype" w:eastAsia="Palatino Linotype" w:hAnsi="Palatino Linotype" w:cs="Palatino Linotype"/>
        </w:rPr>
        <w:t xml:space="preserve">Del análisis de la solicitud de información, motivo del recurso de revisión que ahora se resuelve se advierte que la parte </w:t>
      </w:r>
      <w:r w:rsidRPr="001E3DFF">
        <w:rPr>
          <w:rFonts w:ascii="Palatino Linotype" w:eastAsia="Palatino Linotype" w:hAnsi="Palatino Linotype" w:cs="Palatino Linotype"/>
          <w:b/>
        </w:rPr>
        <w:t>Recurrente</w:t>
      </w:r>
      <w:r w:rsidRPr="001E3DFF">
        <w:rPr>
          <w:rFonts w:ascii="Palatino Linotype" w:eastAsia="Palatino Linotype" w:hAnsi="Palatino Linotype" w:cs="Palatino Linotype"/>
        </w:rPr>
        <w:t xml:space="preserve"> requirió al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le proporcione, información consistente en lo siguiente</w:t>
      </w:r>
      <w:r w:rsidRPr="001E3DFF">
        <w:rPr>
          <w:rFonts w:ascii="Palatino Linotype" w:hAnsi="Palatino Linotype"/>
        </w:rPr>
        <w:t>:</w:t>
      </w:r>
    </w:p>
    <w:p w14:paraId="2F5A4C10" w14:textId="77777777" w:rsidR="003805A1" w:rsidRPr="001E3DFF" w:rsidRDefault="007A61DC">
      <w:pPr>
        <w:spacing w:before="240" w:after="240" w:line="360" w:lineRule="auto"/>
        <w:ind w:left="284" w:right="49"/>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1. Los cabildos audiovisuales del 01 </w:t>
      </w:r>
      <w:r w:rsidRPr="001E3DFF">
        <w:rPr>
          <w:rFonts w:ascii="Palatino Linotype" w:eastAsia="Palatino Linotype" w:hAnsi="Palatino Linotype" w:cs="Palatino Linotype"/>
        </w:rPr>
        <w:t>de enero al 25 de marzo del 2022, video grabados en formato digital.</w:t>
      </w:r>
    </w:p>
    <w:p w14:paraId="3624C6F9" w14:textId="4BB37C5C" w:rsidR="003805A1" w:rsidRPr="001E3DFF" w:rsidRDefault="007A61DC">
      <w:pPr>
        <w:spacing w:before="240" w:after="240" w:line="360" w:lineRule="auto"/>
        <w:ind w:right="49"/>
        <w:jc w:val="both"/>
        <w:rPr>
          <w:rFonts w:ascii="Palatino Linotype" w:eastAsia="Palatino Linotype" w:hAnsi="Palatino Linotype" w:cs="Palatino Linotype"/>
        </w:rPr>
      </w:pPr>
      <w:r w:rsidRPr="001E3DFF">
        <w:rPr>
          <w:rFonts w:ascii="Palatino Linotype" w:eastAsia="Palatino Linotype" w:hAnsi="Palatino Linotype" w:cs="Palatino Linotype"/>
        </w:rPr>
        <w:lastRenderedPageBreak/>
        <w:t xml:space="preserve">En respuesta,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a través de la Unidad de Transparencia, hizo del conocimiento de la persona solicitante que los cabildos son video grabados y almacenados en la página de</w:t>
      </w:r>
      <w:r w:rsidRPr="001E3DFF">
        <w:rPr>
          <w:rFonts w:ascii="Palatino Linotype" w:eastAsia="Palatino Linotype" w:hAnsi="Palatino Linotype" w:cs="Palatino Linotype"/>
        </w:rPr>
        <w:t xml:space="preserve"> internet: </w:t>
      </w:r>
      <w:hyperlink r:id="rId9">
        <w:r w:rsidRPr="001E3DFF">
          <w:rPr>
            <w:rFonts w:ascii="Palatino Linotype" w:eastAsia="Palatino Linotype" w:hAnsi="Palatino Linotype" w:cs="Palatino Linotype"/>
            <w:u w:val="single"/>
          </w:rPr>
          <w:t>https://es-la.facebook.com/Gobiernodetenangodelaire/</w:t>
        </w:r>
      </w:hyperlink>
      <w:r w:rsidRPr="001E3DFF">
        <w:rPr>
          <w:rFonts w:ascii="Palatino Linotype" w:eastAsia="Palatino Linotype" w:hAnsi="Palatino Linotype" w:cs="Palatino Linotype"/>
        </w:rPr>
        <w:t>, misma q</w:t>
      </w:r>
      <w:r w:rsidRPr="001E3DFF">
        <w:rPr>
          <w:rFonts w:ascii="Palatino Linotype" w:eastAsia="Palatino Linotype" w:hAnsi="Palatino Linotype" w:cs="Palatino Linotype"/>
        </w:rPr>
        <w:tab/>
      </w:r>
      <w:proofErr w:type="spellStart"/>
      <w:r w:rsidRPr="001E3DFF">
        <w:rPr>
          <w:rFonts w:ascii="Palatino Linotype" w:eastAsia="Palatino Linotype" w:hAnsi="Palatino Linotype" w:cs="Palatino Linotype"/>
        </w:rPr>
        <w:t>ue</w:t>
      </w:r>
      <w:proofErr w:type="spellEnd"/>
      <w:r w:rsidR="001E3DFF">
        <w:rPr>
          <w:rFonts w:ascii="Palatino Linotype" w:eastAsia="Palatino Linotype" w:hAnsi="Palatino Linotype" w:cs="Palatino Linotype"/>
        </w:rPr>
        <w:t xml:space="preserve"> </w:t>
      </w:r>
      <w:r w:rsidRPr="001E3DFF">
        <w:rPr>
          <w:rFonts w:ascii="Palatino Linotype" w:eastAsia="Palatino Linotype" w:hAnsi="Palatino Linotype" w:cs="Palatino Linotype"/>
        </w:rPr>
        <w:t>se ponía a su disposición para cualquier duda y seguimiento.</w:t>
      </w:r>
    </w:p>
    <w:p w14:paraId="3BF20B09" w14:textId="3FB6B003"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Conocida la respuesta por la persona solicitant</w:t>
      </w:r>
      <w:r w:rsidRPr="001E3DFF">
        <w:rPr>
          <w:rFonts w:ascii="Palatino Linotype" w:eastAsia="Palatino Linotype" w:hAnsi="Palatino Linotype" w:cs="Palatino Linotype"/>
        </w:rPr>
        <w:t>e, al no estar conforme con los términos de la misma, interpuso el recurso de revisión que nos ocupa, mediante el cual señaló que la información contenida en la página de internet no tenía títulos, por lo tanto</w:t>
      </w:r>
      <w:r w:rsidR="001E3DFF">
        <w:rPr>
          <w:rFonts w:ascii="Palatino Linotype" w:eastAsia="Palatino Linotype" w:hAnsi="Palatino Linotype" w:cs="Palatino Linotype"/>
        </w:rPr>
        <w:t>,</w:t>
      </w:r>
      <w:r w:rsidRPr="001E3DFF">
        <w:rPr>
          <w:rFonts w:ascii="Palatino Linotype" w:eastAsia="Palatino Linotype" w:hAnsi="Palatino Linotype" w:cs="Palatino Linotype"/>
        </w:rPr>
        <w:t xml:space="preserve"> no era fácil el acceso, asimismo señaló que –</w:t>
      </w:r>
      <w:r w:rsidRPr="001E3DFF">
        <w:rPr>
          <w:rFonts w:ascii="Palatino Linotype" w:eastAsia="Palatino Linotype" w:hAnsi="Palatino Linotype" w:cs="Palatino Linotype"/>
        </w:rPr>
        <w:t>el audio- no se oía bien.</w:t>
      </w:r>
    </w:p>
    <w:p w14:paraId="4F9E242C"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Así, admitido el presente recurso de revisión, en términos del artículo 185 fracción II</w:t>
      </w:r>
      <w:r w:rsidRPr="001E3DFF">
        <w:rPr>
          <w:rFonts w:ascii="Palatino Linotype" w:eastAsia="Palatino Linotype" w:hAnsi="Palatino Linotype" w:cs="Palatino Linotype"/>
          <w:vertAlign w:val="superscript"/>
        </w:rPr>
        <w:footnoteReference w:id="1"/>
      </w:r>
      <w:r w:rsidRPr="001E3DFF">
        <w:rPr>
          <w:rFonts w:ascii="Palatino Linotype" w:eastAsia="Palatino Linotype" w:hAnsi="Palatino Linotype" w:cs="Palatino Linotype"/>
        </w:rPr>
        <w:t xml:space="preserve"> de la Ley de Transparencia y Acceso a la Información Pública del Estado de México y Municipios, se integró el expediente y se puso a disposi</w:t>
      </w:r>
      <w:r w:rsidRPr="001E3DFF">
        <w:rPr>
          <w:rFonts w:ascii="Palatino Linotype" w:eastAsia="Palatino Linotype" w:hAnsi="Palatino Linotype" w:cs="Palatino Linotype"/>
        </w:rPr>
        <w:t>ción de las partes para que, en un plazo máximo de siete días hábiles, manifestaran lo que a su derecho resultara conveniente, siendo ambas partes omisas en ejercer dicha prerrogativa, como se señaló anteriormente.</w:t>
      </w:r>
    </w:p>
    <w:p w14:paraId="00DE85E7" w14:textId="77777777" w:rsidR="003805A1" w:rsidRPr="001E3DFF" w:rsidRDefault="007A61DC">
      <w:pPr>
        <w:spacing w:before="240" w:after="240" w:line="360" w:lineRule="auto"/>
        <w:ind w:right="49"/>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En esta tesitura, de las constancias que </w:t>
      </w:r>
      <w:r w:rsidRPr="001E3DFF">
        <w:rPr>
          <w:rFonts w:ascii="Palatino Linotype" w:eastAsia="Palatino Linotype" w:hAnsi="Palatino Linotype" w:cs="Palatino Linotype"/>
        </w:rPr>
        <w:t xml:space="preserve">integran el expediente electrónico  relacionado con el recurso de revisión materia de estudio, se colige que el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no niega la competencia para conocer de la información solicitada, sino por el contrario, con la respuesta pronunciada asevera q</w:t>
      </w:r>
      <w:r w:rsidRPr="001E3DFF">
        <w:rPr>
          <w:rFonts w:ascii="Palatino Linotype" w:eastAsia="Palatino Linotype" w:hAnsi="Palatino Linotype" w:cs="Palatino Linotype"/>
        </w:rPr>
        <w:t>ue es competente para conocer de la solicitud de información</w:t>
      </w:r>
      <w:r w:rsidRPr="001E3DFF">
        <w:rPr>
          <w:rFonts w:ascii="Palatino Linotype" w:eastAsia="Palatino Linotype" w:hAnsi="Palatino Linotype" w:cs="Palatino Linotype"/>
          <w:i/>
          <w:sz w:val="20"/>
          <w:szCs w:val="20"/>
        </w:rPr>
        <w:t xml:space="preserve">, </w:t>
      </w:r>
      <w:r w:rsidRPr="001E3DFF">
        <w:rPr>
          <w:rFonts w:ascii="Palatino Linotype" w:eastAsia="Palatino Linotype" w:hAnsi="Palatino Linotype" w:cs="Palatino Linotype"/>
        </w:rPr>
        <w:t xml:space="preserve">lo anterior es así, ya que el estudio enunciado </w:t>
      </w:r>
      <w:r w:rsidRPr="001E3DFF">
        <w:rPr>
          <w:rFonts w:ascii="Palatino Linotype" w:eastAsia="Palatino Linotype" w:hAnsi="Palatino Linotype" w:cs="Palatino Linotype"/>
        </w:rPr>
        <w:lastRenderedPageBreak/>
        <w:t xml:space="preserve">tiene por objeto determinar si </w:t>
      </w:r>
      <w:r w:rsidRPr="001E3DFF">
        <w:rPr>
          <w:rFonts w:ascii="Palatino Linotype" w:hAnsi="Palatino Linotype"/>
        </w:rPr>
        <w:t>los</w:t>
      </w:r>
      <w:r w:rsidRPr="001E3DFF">
        <w:rPr>
          <w:rFonts w:ascii="Palatino Linotype" w:eastAsia="Palatino Linotype" w:hAnsi="Palatino Linotype" w:cs="Palatino Linotype"/>
        </w:rPr>
        <w:t xml:space="preserve"> Sujeto</w:t>
      </w:r>
      <w:r w:rsidRPr="001E3DFF">
        <w:rPr>
          <w:rFonts w:ascii="Palatino Linotype" w:hAnsi="Palatino Linotype"/>
        </w:rPr>
        <w:t>s</w:t>
      </w:r>
      <w:r w:rsidRPr="001E3DFF">
        <w:rPr>
          <w:rFonts w:ascii="Palatino Linotype" w:eastAsia="Palatino Linotype" w:hAnsi="Palatino Linotype" w:cs="Palatino Linotype"/>
        </w:rPr>
        <w:t xml:space="preserve"> Obligado</w:t>
      </w:r>
      <w:r w:rsidRPr="001E3DFF">
        <w:rPr>
          <w:rFonts w:ascii="Palatino Linotype" w:hAnsi="Palatino Linotype"/>
        </w:rPr>
        <w:t>s</w:t>
      </w:r>
      <w:r w:rsidRPr="001E3DFF">
        <w:rPr>
          <w:rFonts w:ascii="Palatino Linotype" w:eastAsia="Palatino Linotype" w:hAnsi="Palatino Linotype" w:cs="Palatino Linotype"/>
        </w:rPr>
        <w:t xml:space="preserve"> generan, poseen o administran  la información solicitada, sin embargo, en aquellos casos en q</w:t>
      </w:r>
      <w:r w:rsidRPr="001E3DFF">
        <w:rPr>
          <w:rFonts w:ascii="Palatino Linotype" w:eastAsia="Palatino Linotype" w:hAnsi="Palatino Linotype" w:cs="Palatino Linotype"/>
        </w:rPr>
        <w:t xml:space="preserve">ue </w:t>
      </w:r>
      <w:r w:rsidRPr="001E3DFF">
        <w:rPr>
          <w:rFonts w:ascii="Palatino Linotype" w:hAnsi="Palatino Linotype"/>
        </w:rPr>
        <w:t>e</w:t>
      </w:r>
      <w:r w:rsidRPr="001E3DFF">
        <w:rPr>
          <w:rFonts w:ascii="Palatino Linotype" w:eastAsia="Palatino Linotype" w:hAnsi="Palatino Linotype" w:cs="Palatino Linotype"/>
        </w:rPr>
        <w:t>st</w:t>
      </w:r>
      <w:r w:rsidRPr="001E3DFF">
        <w:rPr>
          <w:rFonts w:ascii="Palatino Linotype" w:hAnsi="Palatino Linotype"/>
        </w:rPr>
        <w:t xml:space="preserve">os </w:t>
      </w:r>
      <w:r w:rsidRPr="001E3DFF">
        <w:rPr>
          <w:rFonts w:ascii="Palatino Linotype" w:eastAsia="Palatino Linotype" w:hAnsi="Palatino Linotype" w:cs="Palatino Linotype"/>
        </w:rPr>
        <w:t>ha</w:t>
      </w:r>
      <w:r w:rsidRPr="001E3DFF">
        <w:rPr>
          <w:rFonts w:ascii="Palatino Linotype" w:hAnsi="Palatino Linotype"/>
        </w:rPr>
        <w:t>n</w:t>
      </w:r>
      <w:r w:rsidRPr="001E3DFF">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w:t>
      </w:r>
      <w:r w:rsidRPr="001E3DFF">
        <w:rPr>
          <w:rFonts w:ascii="Palatino Linotype" w:eastAsia="Palatino Linotype" w:hAnsi="Palatino Linotype" w:cs="Palatino Linotype"/>
        </w:rPr>
        <w:t xml:space="preserve">icable en la materia. </w:t>
      </w:r>
    </w:p>
    <w:p w14:paraId="73C3A131" w14:textId="77777777" w:rsidR="003805A1" w:rsidRPr="001E3DFF" w:rsidRDefault="007A61DC">
      <w:pPr>
        <w:spacing w:before="240" w:after="24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1E3DFF">
        <w:rPr>
          <w:rFonts w:ascii="Palatino Linotype" w:eastAsia="Palatino Linotype" w:hAnsi="Palatino Linotype" w:cs="Palatino Linotype"/>
          <w:i/>
          <w:sz w:val="22"/>
          <w:szCs w:val="22"/>
        </w:rPr>
        <w:t xml:space="preserve"> en los términos de las disposiciones jurídicas aplicables. </w:t>
      </w:r>
    </w:p>
    <w:p w14:paraId="330BD06F" w14:textId="77777777" w:rsidR="003805A1" w:rsidRPr="001E3DFF" w:rsidRDefault="007A61DC">
      <w:pPr>
        <w:spacing w:before="240" w:after="24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E3DFF">
        <w:rPr>
          <w:rFonts w:ascii="Palatino Linotype" w:eastAsia="Palatino Linotype" w:hAnsi="Palatino Linotype" w:cs="Palatino Linotype"/>
          <w:i/>
          <w:sz w:val="22"/>
          <w:szCs w:val="22"/>
        </w:rPr>
        <w:t xml:space="preserve">. La obligación de proporcionar información no comprende el procesamiento de la misma, ni el presentarla </w:t>
      </w:r>
      <w:r w:rsidRPr="001E3DFF">
        <w:rPr>
          <w:rFonts w:ascii="Palatino Linotype" w:eastAsia="Palatino Linotype" w:hAnsi="Palatino Linotype" w:cs="Palatino Linotype"/>
          <w:i/>
          <w:sz w:val="22"/>
          <w:szCs w:val="22"/>
        </w:rPr>
        <w:t>conforme al interés del solicitante; no estarán obligados a generarla, resumirla, efectuar cálculos o practicar investigaciones.”</w:t>
      </w:r>
    </w:p>
    <w:p w14:paraId="67480C76" w14:textId="77777777" w:rsidR="003805A1" w:rsidRPr="001E3DFF" w:rsidRDefault="007A61DC">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Por consiguiente, se procede al análisis de las constancias que obran en el expediente a efecto de determinar si el derecho de acceso se satisfizo con la respuesta proporcionada, o en su defecto, señalar los documentos que en el ejercicio de sus atribucion</w:t>
      </w:r>
      <w:r w:rsidRPr="001E3DFF">
        <w:rPr>
          <w:rFonts w:ascii="Palatino Linotype" w:eastAsia="Palatino Linotype" w:hAnsi="Palatino Linotype" w:cs="Palatino Linotype"/>
        </w:rPr>
        <w:t xml:space="preserve">es pudo haber generado, y que, de manera enunciativa más no limitativa, pudieran colmar dicho derecho. </w:t>
      </w:r>
    </w:p>
    <w:p w14:paraId="5212F869" w14:textId="5E8B2DB8"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En esta tesitura es de señalar que</w:t>
      </w:r>
      <w:r w:rsidR="001E3DFF">
        <w:rPr>
          <w:rFonts w:ascii="Palatino Linotype" w:eastAsia="Palatino Linotype" w:hAnsi="Palatino Linotype" w:cs="Palatino Linotype"/>
        </w:rPr>
        <w:t>,</w:t>
      </w:r>
      <w:r w:rsidRPr="001E3DFF">
        <w:rPr>
          <w:rFonts w:ascii="Palatino Linotype" w:eastAsia="Palatino Linotype" w:hAnsi="Palatino Linotype" w:cs="Palatino Linotype"/>
        </w:rPr>
        <w:t xml:space="preserve"> en atención a la solicitud de información,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refirió que los cabildos son videograbados y almacenado</w:t>
      </w:r>
      <w:r w:rsidRPr="001E3DFF">
        <w:rPr>
          <w:rFonts w:ascii="Palatino Linotype" w:eastAsia="Palatino Linotype" w:hAnsi="Palatino Linotype" w:cs="Palatino Linotype"/>
        </w:rPr>
        <w:t xml:space="preserve">s la página de internet que se localiza en la dirección electrónica: </w:t>
      </w:r>
      <w:hyperlink r:id="rId10">
        <w:r w:rsidRPr="001E3DFF">
          <w:rPr>
            <w:rFonts w:ascii="Palatino Linotype" w:eastAsia="Palatino Linotype" w:hAnsi="Palatino Linotype" w:cs="Palatino Linotype"/>
            <w:u w:val="single"/>
          </w:rPr>
          <w:t>https://es-la.facebook.com/Gobiernodetenangodelaire/</w:t>
        </w:r>
      </w:hyperlink>
      <w:r w:rsidRPr="001E3DFF">
        <w:rPr>
          <w:rFonts w:ascii="Palatino Linotype" w:eastAsia="Palatino Linotype" w:hAnsi="Palatino Linotype" w:cs="Palatino Linotype"/>
        </w:rPr>
        <w:t xml:space="preserve"> misma que se puso a disposición de la persona solicitante para</w:t>
      </w:r>
      <w:r w:rsidRPr="001E3DFF">
        <w:rPr>
          <w:rFonts w:ascii="Palatino Linotype" w:eastAsia="Palatino Linotype" w:hAnsi="Palatino Linotype" w:cs="Palatino Linotype"/>
        </w:rPr>
        <w:t xml:space="preserve"> su consulta y seguimiento en vivo.</w:t>
      </w:r>
    </w:p>
    <w:p w14:paraId="3CD0C36A"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lastRenderedPageBreak/>
        <w:t>En esta tesitura, este Organismo Garante procedió a consultar el contenido de la referida página de internet, en la que se aprecia lo siguiente:</w:t>
      </w:r>
    </w:p>
    <w:p w14:paraId="2FE5893C" w14:textId="77777777" w:rsidR="003805A1" w:rsidRPr="001E3DFF" w:rsidRDefault="007A61DC">
      <w:pPr>
        <w:spacing w:before="240" w:after="240" w:line="360" w:lineRule="auto"/>
        <w:jc w:val="center"/>
        <w:rPr>
          <w:rFonts w:ascii="Palatino Linotype" w:eastAsia="Palatino Linotype" w:hAnsi="Palatino Linotype" w:cs="Palatino Linotype"/>
        </w:rPr>
      </w:pPr>
      <w:r w:rsidRPr="001E3DFF">
        <w:rPr>
          <w:rFonts w:ascii="Palatino Linotype" w:eastAsia="Palatino Linotype" w:hAnsi="Palatino Linotype" w:cs="Palatino Linotype"/>
          <w:noProof/>
        </w:rPr>
        <w:drawing>
          <wp:inline distT="0" distB="0" distL="0" distR="0" wp14:anchorId="68A5B0E5" wp14:editId="37801F74">
            <wp:extent cx="4612005" cy="5800725"/>
            <wp:effectExtent l="0" t="0" r="0" b="0"/>
            <wp:docPr id="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15289"/>
                    <a:stretch>
                      <a:fillRect/>
                    </a:stretch>
                  </pic:blipFill>
                  <pic:spPr>
                    <a:xfrm>
                      <a:off x="0" y="0"/>
                      <a:ext cx="4612005" cy="5800725"/>
                    </a:xfrm>
                    <a:prstGeom prst="rect">
                      <a:avLst/>
                    </a:prstGeom>
                    <a:ln/>
                  </pic:spPr>
                </pic:pic>
              </a:graphicData>
            </a:graphic>
          </wp:inline>
        </w:drawing>
      </w:r>
    </w:p>
    <w:p w14:paraId="13CE8077"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Como se advierte, la dirección electrónica proporcionada dirige a la cuen</w:t>
      </w:r>
      <w:r w:rsidRPr="001E3DFF">
        <w:rPr>
          <w:rFonts w:ascii="Palatino Linotype" w:eastAsia="Palatino Linotype" w:hAnsi="Palatino Linotype" w:cs="Palatino Linotype"/>
        </w:rPr>
        <w:t xml:space="preserve">ta oficial del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en la red social Facebook.</w:t>
      </w:r>
    </w:p>
    <w:p w14:paraId="74231B83"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lastRenderedPageBreak/>
        <w:t>Atento a lo anterior, es imprescindible hacer alusión al contenido del artículo 161</w:t>
      </w:r>
      <w:r w:rsidRPr="001E3DFF">
        <w:rPr>
          <w:rFonts w:ascii="Palatino Linotype" w:eastAsia="Palatino Linotype" w:hAnsi="Palatino Linotype" w:cs="Palatino Linotype"/>
          <w:vertAlign w:val="superscript"/>
        </w:rPr>
        <w:footnoteReference w:id="2"/>
      </w:r>
      <w:r w:rsidRPr="001E3DFF">
        <w:rPr>
          <w:rFonts w:ascii="Palatino Linotype" w:eastAsia="Palatino Linotype" w:hAnsi="Palatino Linotype" w:cs="Palatino Linotype"/>
        </w:rPr>
        <w:t xml:space="preserve"> de la Ley de Transparencia y Acceso a la Información Pública del Estado de México y Municipios, el cual estable</w:t>
      </w:r>
      <w:r w:rsidRPr="001E3DFF">
        <w:rPr>
          <w:rFonts w:ascii="Palatino Linotype" w:eastAsia="Palatino Linotype" w:hAnsi="Palatino Linotype" w:cs="Palatino Linotype"/>
        </w:rPr>
        <w:t xml:space="preserve">ce las características que debe tener la información desde el momento de su generación, publicación y entrega; y, de igual manera contempla el procedimiento a seguir por parte de los Sujetos Obligados para informar a los solicitantes sobre información que </w:t>
      </w:r>
      <w:r w:rsidRPr="001E3DFF">
        <w:rPr>
          <w:rFonts w:ascii="Palatino Linotype" w:eastAsia="Palatino Linotype" w:hAnsi="Palatino Linotype" w:cs="Palatino Linotype"/>
        </w:rPr>
        <w:t>se encuentre disponible en libros, compendios, formatos electrónicos, entre otros, haciéndoles saber cómo podrán consultar, reproducir o adquirir la información, comprendiendo:</w:t>
      </w:r>
    </w:p>
    <w:p w14:paraId="01E358F8" w14:textId="77777777" w:rsidR="003805A1" w:rsidRPr="001E3DFF" w:rsidRDefault="007A61DC">
      <w:pPr>
        <w:spacing w:before="240" w:after="240" w:line="276" w:lineRule="auto"/>
        <w:ind w:left="284" w:right="49"/>
        <w:jc w:val="both"/>
        <w:rPr>
          <w:rFonts w:ascii="Palatino Linotype" w:eastAsia="Palatino Linotype" w:hAnsi="Palatino Linotype" w:cs="Palatino Linotype"/>
        </w:rPr>
      </w:pPr>
      <w:r w:rsidRPr="001E3DFF">
        <w:rPr>
          <w:rFonts w:ascii="Palatino Linotype" w:eastAsia="Palatino Linotype" w:hAnsi="Palatino Linotype" w:cs="Palatino Linotype"/>
        </w:rPr>
        <w:t>a) La fuente</w:t>
      </w:r>
    </w:p>
    <w:p w14:paraId="09D8D69F" w14:textId="77777777" w:rsidR="003805A1" w:rsidRPr="001E3DFF" w:rsidRDefault="007A61DC">
      <w:pPr>
        <w:spacing w:before="240" w:after="240" w:line="276" w:lineRule="auto"/>
        <w:ind w:left="284" w:right="49"/>
        <w:jc w:val="both"/>
        <w:rPr>
          <w:rFonts w:ascii="Palatino Linotype" w:eastAsia="Palatino Linotype" w:hAnsi="Palatino Linotype" w:cs="Palatino Linotype"/>
        </w:rPr>
      </w:pPr>
      <w:r w:rsidRPr="001E3DFF">
        <w:rPr>
          <w:rFonts w:ascii="Palatino Linotype" w:eastAsia="Palatino Linotype" w:hAnsi="Palatino Linotype" w:cs="Palatino Linotype"/>
        </w:rPr>
        <w:t>b) El lugar y</w:t>
      </w:r>
    </w:p>
    <w:p w14:paraId="5EAE51E7" w14:textId="77777777" w:rsidR="003805A1" w:rsidRPr="001E3DFF" w:rsidRDefault="007A61DC">
      <w:pPr>
        <w:spacing w:before="240" w:after="240" w:line="276" w:lineRule="auto"/>
        <w:ind w:left="284" w:right="49"/>
        <w:jc w:val="both"/>
        <w:rPr>
          <w:rFonts w:ascii="Palatino Linotype" w:eastAsia="Palatino Linotype" w:hAnsi="Palatino Linotype" w:cs="Palatino Linotype"/>
        </w:rPr>
      </w:pPr>
      <w:r w:rsidRPr="001E3DFF">
        <w:rPr>
          <w:rFonts w:ascii="Palatino Linotype" w:eastAsia="Palatino Linotype" w:hAnsi="Palatino Linotype" w:cs="Palatino Linotype"/>
        </w:rPr>
        <w:t>c) La forma</w:t>
      </w:r>
    </w:p>
    <w:p w14:paraId="6088E7F8" w14:textId="77777777" w:rsidR="003805A1" w:rsidRPr="001E3DFF" w:rsidRDefault="007A61DC">
      <w:pPr>
        <w:spacing w:before="240" w:after="240" w:line="360" w:lineRule="auto"/>
        <w:ind w:right="49"/>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Asimismo, se establece que la fuente de </w:t>
      </w:r>
      <w:r w:rsidRPr="001E3DFF">
        <w:rPr>
          <w:rFonts w:ascii="Palatino Linotype" w:eastAsia="Palatino Linotype" w:hAnsi="Palatino Linotype" w:cs="Palatino Linotype"/>
        </w:rPr>
        <w:t>la información deberá ser:</w:t>
      </w:r>
    </w:p>
    <w:p w14:paraId="7F37F692" w14:textId="77777777" w:rsidR="003805A1" w:rsidRPr="001E3DFF" w:rsidRDefault="007A61DC">
      <w:pPr>
        <w:spacing w:before="240" w:after="240" w:line="276" w:lineRule="auto"/>
        <w:ind w:left="284" w:right="49"/>
        <w:jc w:val="both"/>
        <w:rPr>
          <w:rFonts w:ascii="Palatino Linotype" w:eastAsia="Palatino Linotype" w:hAnsi="Palatino Linotype" w:cs="Palatino Linotype"/>
        </w:rPr>
      </w:pPr>
      <w:r w:rsidRPr="001E3DFF">
        <w:rPr>
          <w:rFonts w:ascii="Palatino Linotype" w:eastAsia="Palatino Linotype" w:hAnsi="Palatino Linotype" w:cs="Palatino Linotype"/>
        </w:rPr>
        <w:t>a) Precisa</w:t>
      </w:r>
    </w:p>
    <w:p w14:paraId="20FB4B4F" w14:textId="77777777" w:rsidR="003805A1" w:rsidRPr="001E3DFF" w:rsidRDefault="007A61DC">
      <w:pPr>
        <w:spacing w:before="240" w:after="240" w:line="276" w:lineRule="auto"/>
        <w:ind w:left="284" w:right="49"/>
        <w:jc w:val="both"/>
        <w:rPr>
          <w:rFonts w:ascii="Palatino Linotype" w:eastAsia="Palatino Linotype" w:hAnsi="Palatino Linotype" w:cs="Palatino Linotype"/>
        </w:rPr>
      </w:pPr>
      <w:r w:rsidRPr="001E3DFF">
        <w:rPr>
          <w:rFonts w:ascii="Palatino Linotype" w:eastAsia="Palatino Linotype" w:hAnsi="Palatino Linotype" w:cs="Palatino Linotype"/>
        </w:rPr>
        <w:t>b) Concreta</w:t>
      </w:r>
    </w:p>
    <w:p w14:paraId="6384CA5F" w14:textId="77777777" w:rsidR="003805A1" w:rsidRPr="001E3DFF" w:rsidRDefault="007A61DC">
      <w:pPr>
        <w:spacing w:before="240" w:after="240" w:line="276" w:lineRule="auto"/>
        <w:ind w:left="284" w:right="49"/>
        <w:jc w:val="both"/>
        <w:rPr>
          <w:rFonts w:ascii="Palatino Linotype" w:eastAsia="Palatino Linotype" w:hAnsi="Palatino Linotype" w:cs="Palatino Linotype"/>
        </w:rPr>
      </w:pPr>
      <w:r w:rsidRPr="001E3DFF">
        <w:rPr>
          <w:rFonts w:ascii="Palatino Linotype" w:eastAsia="Palatino Linotype" w:hAnsi="Palatino Linotype" w:cs="Palatino Linotype"/>
        </w:rPr>
        <w:t>c) Y, no debe implicar que el solicitante realice una búsqueda en toda la información que se encuentre disponible.</w:t>
      </w:r>
    </w:p>
    <w:p w14:paraId="785492F2" w14:textId="77777777" w:rsidR="003805A1" w:rsidRPr="001E3DFF" w:rsidRDefault="007A61DC">
      <w:pPr>
        <w:spacing w:before="240" w:after="240" w:line="360" w:lineRule="auto"/>
        <w:ind w:right="49"/>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En el caso concreto,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 xml:space="preserve">reconoció la existencia de las videograbaciones de </w:t>
      </w:r>
      <w:r w:rsidRPr="001E3DFF">
        <w:rPr>
          <w:rFonts w:ascii="Palatino Linotype" w:eastAsia="Palatino Linotype" w:hAnsi="Palatino Linotype" w:cs="Palatino Linotype"/>
        </w:rPr>
        <w:t xml:space="preserve">las sesiones de cabildo, señalando que las mismas se </w:t>
      </w:r>
      <w:r w:rsidRPr="001E3DFF">
        <w:rPr>
          <w:rFonts w:ascii="Palatino Linotype" w:eastAsia="Palatino Linotype" w:hAnsi="Palatino Linotype" w:cs="Palatino Linotype"/>
        </w:rPr>
        <w:lastRenderedPageBreak/>
        <w:t xml:space="preserve">encontraban alojadas para su consulta en la cuenta oficial de la red social Facebook, sin embargo, no escapa de la óptica de este Organismo que la dirección electrónica proporcionada al no ser precisa y </w:t>
      </w:r>
      <w:r w:rsidRPr="001E3DFF">
        <w:rPr>
          <w:rFonts w:ascii="Palatino Linotype" w:eastAsia="Palatino Linotype" w:hAnsi="Palatino Linotype" w:cs="Palatino Linotype"/>
        </w:rPr>
        <w:t>concreta, implica que la persona solicitante realice una búsqueda en toda la información contenida en dicho portal a efecto de localizar las referidas videograbaciones, incumpliendo con lo señalado en el artículo 161 de la Ley de la materia.</w:t>
      </w:r>
    </w:p>
    <w:p w14:paraId="5F965874" w14:textId="77777777" w:rsidR="003805A1" w:rsidRPr="001E3DFF" w:rsidRDefault="007A61DC">
      <w:pPr>
        <w:spacing w:before="240" w:after="240" w:line="360" w:lineRule="auto"/>
        <w:ind w:right="51"/>
        <w:jc w:val="both"/>
        <w:rPr>
          <w:rFonts w:ascii="Palatino Linotype" w:eastAsia="Palatino Linotype" w:hAnsi="Palatino Linotype" w:cs="Palatino Linotype"/>
        </w:rPr>
      </w:pPr>
      <w:bookmarkStart w:id="6" w:name="_heading=h.1fob9te" w:colFirst="0" w:colLast="0"/>
      <w:bookmarkEnd w:id="6"/>
      <w:r w:rsidRPr="001E3DFF">
        <w:rPr>
          <w:rFonts w:ascii="Palatino Linotype" w:eastAsia="Palatino Linotype" w:hAnsi="Palatino Linotype" w:cs="Palatino Linotype"/>
        </w:rPr>
        <w:t>En este orden de ideas, es claro que el derecho de acceso a la información de la persona solicitante no puede tenerse por atendido, toda vez que los datos proporcionados son insuficientes para realizar la consulta de la información que es de su interés, ta</w:t>
      </w:r>
      <w:r w:rsidRPr="001E3DFF">
        <w:rPr>
          <w:rFonts w:ascii="Palatino Linotype" w:eastAsia="Palatino Linotype" w:hAnsi="Palatino Linotype" w:cs="Palatino Linotype"/>
        </w:rPr>
        <w:t>l y como se desprende de sus motivos de inconformidad mediante los cuales señaló que la respuesta no se entendía, pues la página proporcionada no tenía títulos y no era fácil el acceso.</w:t>
      </w:r>
    </w:p>
    <w:p w14:paraId="25CC54CD" w14:textId="77777777" w:rsidR="003805A1" w:rsidRPr="001E3DFF" w:rsidRDefault="007A61DC">
      <w:pPr>
        <w:spacing w:before="240" w:after="240" w:line="360" w:lineRule="auto"/>
        <w:ind w:right="51"/>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Derivado de lo anterior, para tener por atendida la solicitud de información, se estima que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deberá hacer entrega de las videograbaciones de las sesiones de cabildo celebradas entre el uno de enero y el veinticinco de marzo de dos mil vei</w:t>
      </w:r>
      <w:r w:rsidRPr="001E3DFF">
        <w:rPr>
          <w:rFonts w:ascii="Palatino Linotype" w:eastAsia="Palatino Linotype" w:hAnsi="Palatino Linotype" w:cs="Palatino Linotype"/>
        </w:rPr>
        <w:t>ntidós, en versión pública de ser procedente.</w:t>
      </w:r>
    </w:p>
    <w:p w14:paraId="2ADDFD36" w14:textId="77777777" w:rsidR="003805A1" w:rsidRPr="001E3DFF" w:rsidRDefault="007A61DC">
      <w:pPr>
        <w:spacing w:before="240" w:after="240" w:line="360" w:lineRule="auto"/>
        <w:ind w:right="51"/>
        <w:jc w:val="both"/>
        <w:rPr>
          <w:rFonts w:ascii="Palatino Linotype" w:eastAsia="Palatino Linotype" w:hAnsi="Palatino Linotype" w:cs="Palatino Linotype"/>
        </w:rPr>
      </w:pPr>
      <w:r w:rsidRPr="001E3DFF">
        <w:rPr>
          <w:rFonts w:ascii="Palatino Linotype" w:eastAsia="Palatino Linotype" w:hAnsi="Palatino Linotype" w:cs="Palatino Linotype"/>
        </w:rPr>
        <w:t>A efecto de robustecer lo anterior, es aplicable el último párrafo del artículo 30 de la Ley Orgánica Municipal del Estado de México, mismo que dispone que cada sesión de cabildo debe contar con una versión est</w:t>
      </w:r>
      <w:r w:rsidRPr="001E3DFF">
        <w:rPr>
          <w:rFonts w:ascii="Palatino Linotype" w:eastAsia="Palatino Linotype" w:hAnsi="Palatino Linotype" w:cs="Palatino Linotype"/>
        </w:rPr>
        <w:t xml:space="preserve">enográfica o videograbada que permita hacer las aclaraciones pertinentes, versión que formará parte del acta correspondiente, asimismo, </w:t>
      </w:r>
      <w:r w:rsidRPr="001E3DFF">
        <w:rPr>
          <w:rFonts w:ascii="Palatino Linotype" w:eastAsia="Palatino Linotype" w:hAnsi="Palatino Linotype" w:cs="Palatino Linotype"/>
          <w:b/>
        </w:rPr>
        <w:t xml:space="preserve">el precepto en cita dispone que dicha versión debe </w:t>
      </w:r>
      <w:r w:rsidRPr="001E3DFF">
        <w:rPr>
          <w:rFonts w:ascii="Palatino Linotype" w:eastAsia="Palatino Linotype" w:hAnsi="Palatino Linotype" w:cs="Palatino Linotype"/>
          <w:b/>
        </w:rPr>
        <w:lastRenderedPageBreak/>
        <w:t xml:space="preserve">estar disponible en la </w:t>
      </w:r>
      <w:r w:rsidRPr="001E3DFF">
        <w:rPr>
          <w:rFonts w:ascii="Palatino Linotype" w:eastAsia="Palatino Linotype" w:hAnsi="Palatino Linotype" w:cs="Palatino Linotype"/>
          <w:b/>
          <w:u w:val="single"/>
        </w:rPr>
        <w:t>página de internet del Ayuntamiento</w:t>
      </w:r>
      <w:r w:rsidRPr="001E3DFF">
        <w:rPr>
          <w:rFonts w:ascii="Palatino Linotype" w:eastAsia="Palatino Linotype" w:hAnsi="Palatino Linotype" w:cs="Palatino Linotype"/>
        </w:rPr>
        <w:t xml:space="preserve"> y </w:t>
      </w:r>
      <w:r w:rsidRPr="001E3DFF">
        <w:rPr>
          <w:rFonts w:ascii="Palatino Linotype" w:eastAsia="Palatino Linotype" w:hAnsi="Palatino Linotype" w:cs="Palatino Linotype"/>
          <w:b/>
          <w:u w:val="single"/>
        </w:rPr>
        <w:t>en las O</w:t>
      </w:r>
      <w:r w:rsidRPr="001E3DFF">
        <w:rPr>
          <w:rFonts w:ascii="Palatino Linotype" w:eastAsia="Palatino Linotype" w:hAnsi="Palatino Linotype" w:cs="Palatino Linotype"/>
          <w:b/>
          <w:u w:val="single"/>
        </w:rPr>
        <w:t>ficinas de la Secretaría del Ayuntamiento</w:t>
      </w:r>
      <w:r w:rsidRPr="001E3DFF">
        <w:rPr>
          <w:rFonts w:ascii="Palatino Linotype" w:eastAsia="Palatino Linotype" w:hAnsi="Palatino Linotype" w:cs="Palatino Linotype"/>
        </w:rPr>
        <w:t>, tal y como se lee en seguida:</w:t>
      </w:r>
    </w:p>
    <w:p w14:paraId="2147D810" w14:textId="77777777" w:rsidR="003805A1" w:rsidRPr="001E3DFF" w:rsidRDefault="007A61DC">
      <w:pPr>
        <w:spacing w:before="120" w:after="120"/>
        <w:ind w:left="851" w:right="902"/>
        <w:jc w:val="both"/>
        <w:rPr>
          <w:rFonts w:ascii="Palatino Linotype" w:eastAsia="Palatino Linotype" w:hAnsi="Palatino Linotype" w:cs="Palatino Linotype"/>
          <w:b/>
          <w:i/>
          <w:sz w:val="22"/>
          <w:szCs w:val="22"/>
        </w:rPr>
      </w:pPr>
      <w:r w:rsidRPr="001E3DFF">
        <w:rPr>
          <w:rFonts w:ascii="Palatino Linotype" w:eastAsia="Palatino Linotype" w:hAnsi="Palatino Linotype" w:cs="Palatino Linotype"/>
          <w:b/>
          <w:i/>
          <w:sz w:val="22"/>
          <w:szCs w:val="22"/>
        </w:rPr>
        <w:t>“Artículo 30.</w:t>
      </w:r>
    </w:p>
    <w:p w14:paraId="5C389050"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w:t>
      </w:r>
    </w:p>
    <w:p w14:paraId="0105373D"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Para cada sesión se deberá contar con una versión estenográfica o videograbada que permita hacer las aclaraciones pertinentes, la cual formará parte del acta corre</w:t>
      </w:r>
      <w:r w:rsidRPr="001E3DFF">
        <w:rPr>
          <w:rFonts w:ascii="Palatino Linotype" w:eastAsia="Palatino Linotype" w:hAnsi="Palatino Linotype" w:cs="Palatino Linotype"/>
          <w:i/>
          <w:sz w:val="22"/>
          <w:szCs w:val="22"/>
        </w:rPr>
        <w:t>spondiente</w:t>
      </w:r>
      <w:r w:rsidRPr="001E3DFF">
        <w:rPr>
          <w:rFonts w:ascii="Palatino Linotype" w:eastAsia="Palatino Linotype" w:hAnsi="Palatino Linotype" w:cs="Palatino Linotype"/>
          <w:b/>
          <w:i/>
          <w:sz w:val="22"/>
          <w:szCs w:val="22"/>
          <w:u w:val="single"/>
        </w:rPr>
        <w:t>. La versión</w:t>
      </w:r>
      <w:r w:rsidRPr="001E3DFF">
        <w:rPr>
          <w:rFonts w:ascii="Palatino Linotype" w:eastAsia="Palatino Linotype" w:hAnsi="Palatino Linotype" w:cs="Palatino Linotype"/>
          <w:b/>
          <w:i/>
          <w:sz w:val="22"/>
          <w:szCs w:val="22"/>
        </w:rPr>
        <w:t xml:space="preserve"> estenográfica o </w:t>
      </w:r>
      <w:r w:rsidRPr="001E3DFF">
        <w:rPr>
          <w:rFonts w:ascii="Palatino Linotype" w:eastAsia="Palatino Linotype" w:hAnsi="Palatino Linotype" w:cs="Palatino Linotype"/>
          <w:b/>
          <w:i/>
          <w:sz w:val="22"/>
          <w:szCs w:val="22"/>
          <w:u w:val="single"/>
        </w:rPr>
        <w:t>videograbada deberá estar disponible en la página de internet del Ayuntamiento</w:t>
      </w:r>
      <w:r w:rsidRPr="001E3DFF">
        <w:rPr>
          <w:rFonts w:ascii="Palatino Linotype" w:eastAsia="Palatino Linotype" w:hAnsi="Palatino Linotype" w:cs="Palatino Linotype"/>
          <w:i/>
          <w:sz w:val="22"/>
          <w:szCs w:val="22"/>
        </w:rPr>
        <w:t xml:space="preserve"> y </w:t>
      </w:r>
      <w:r w:rsidRPr="001E3DFF">
        <w:rPr>
          <w:rFonts w:ascii="Palatino Linotype" w:eastAsia="Palatino Linotype" w:hAnsi="Palatino Linotype" w:cs="Palatino Linotype"/>
          <w:b/>
          <w:i/>
          <w:sz w:val="22"/>
          <w:szCs w:val="22"/>
        </w:rPr>
        <w:t xml:space="preserve">en las </w:t>
      </w:r>
      <w:r w:rsidRPr="001E3DFF">
        <w:rPr>
          <w:rFonts w:ascii="Palatino Linotype" w:eastAsia="Palatino Linotype" w:hAnsi="Palatino Linotype" w:cs="Palatino Linotype"/>
          <w:b/>
          <w:i/>
          <w:sz w:val="22"/>
          <w:szCs w:val="22"/>
          <w:u w:val="single"/>
        </w:rPr>
        <w:t>oficinas de la Secretaría del Ayuntamiento</w:t>
      </w:r>
      <w:r w:rsidRPr="001E3DFF">
        <w:rPr>
          <w:rFonts w:ascii="Palatino Linotype" w:eastAsia="Palatino Linotype" w:hAnsi="Palatino Linotype" w:cs="Palatino Linotype"/>
          <w:b/>
          <w:i/>
          <w:sz w:val="22"/>
          <w:szCs w:val="22"/>
        </w:rPr>
        <w:t>.</w:t>
      </w:r>
      <w:r w:rsidRPr="001E3DFF">
        <w:rPr>
          <w:rFonts w:ascii="Palatino Linotype" w:eastAsia="Palatino Linotype" w:hAnsi="Palatino Linotype" w:cs="Palatino Linotype"/>
          <w:i/>
          <w:sz w:val="22"/>
          <w:szCs w:val="22"/>
        </w:rPr>
        <w:t>”</w:t>
      </w:r>
    </w:p>
    <w:p w14:paraId="4024E166" w14:textId="77777777" w:rsidR="003805A1" w:rsidRPr="001E3DFF" w:rsidRDefault="007A61DC">
      <w:pPr>
        <w:spacing w:before="240" w:after="240" w:line="360" w:lineRule="auto"/>
        <w:ind w:right="51"/>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De lo hasta aquí expuesto, se concluye que los motivos de inconformidad de la parte </w:t>
      </w:r>
      <w:r w:rsidRPr="001E3DFF">
        <w:rPr>
          <w:rFonts w:ascii="Palatino Linotype" w:eastAsia="Palatino Linotype" w:hAnsi="Palatino Linotype" w:cs="Palatino Linotype"/>
          <w:b/>
        </w:rPr>
        <w:t xml:space="preserve">Recurrente </w:t>
      </w:r>
      <w:r w:rsidRPr="001E3DFF">
        <w:rPr>
          <w:rFonts w:ascii="Palatino Linotype" w:eastAsia="Palatino Linotype" w:hAnsi="Palatino Linotype" w:cs="Palatino Linotype"/>
        </w:rPr>
        <w:t xml:space="preserve">devienen fundados, siendo procedente </w:t>
      </w:r>
      <w:r w:rsidRPr="001E3DFF">
        <w:rPr>
          <w:rFonts w:ascii="Palatino Linotype" w:eastAsia="Palatino Linotype" w:hAnsi="Palatino Linotype" w:cs="Palatino Linotype"/>
          <w:i/>
        </w:rPr>
        <w:t xml:space="preserve">revocar </w:t>
      </w:r>
      <w:r w:rsidRPr="001E3DFF">
        <w:rPr>
          <w:rFonts w:ascii="Palatino Linotype" w:eastAsia="Palatino Linotype" w:hAnsi="Palatino Linotype" w:cs="Palatino Linotype"/>
        </w:rPr>
        <w:t xml:space="preserve">la respuesta proporcionada por el </w:t>
      </w:r>
      <w:r w:rsidRPr="001E3DFF">
        <w:rPr>
          <w:rFonts w:ascii="Palatino Linotype" w:eastAsia="Palatino Linotype" w:hAnsi="Palatino Linotype" w:cs="Palatino Linotype"/>
          <w:b/>
        </w:rPr>
        <w:t xml:space="preserve">Sujeto Obligado </w:t>
      </w:r>
      <w:r w:rsidRPr="001E3DFF">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1E7CF69"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Quinto. Vers</w:t>
      </w:r>
      <w:r w:rsidRPr="001E3DFF">
        <w:rPr>
          <w:rFonts w:ascii="Palatino Linotype" w:eastAsia="Palatino Linotype" w:hAnsi="Palatino Linotype" w:cs="Palatino Linotype"/>
          <w:b/>
        </w:rPr>
        <w:t>ión Pública.</w:t>
      </w:r>
      <w:r w:rsidRPr="001E3DFF">
        <w:rPr>
          <w:rFonts w:ascii="Palatino Linotype" w:eastAsia="Palatino Linotype" w:hAnsi="Palatino Linotype" w:cs="Palatino Linotype"/>
          <w:sz w:val="28"/>
          <w:szCs w:val="28"/>
        </w:rPr>
        <w:t xml:space="preserve"> </w:t>
      </w:r>
      <w:r w:rsidRPr="001E3DFF">
        <w:rPr>
          <w:rFonts w:ascii="Palatino Linotype" w:eastAsia="Palatino Linotype" w:hAnsi="Palatino Linotype" w:cs="Palatino Linotype"/>
        </w:rPr>
        <w:t>Finalmente, debe señalarse que de ser el caso en que los documentos que vayan a ser entregados por el</w:t>
      </w:r>
      <w:r w:rsidRPr="001E3DFF">
        <w:rPr>
          <w:rFonts w:ascii="Palatino Linotype" w:eastAsia="Palatino Linotype" w:hAnsi="Palatino Linotype" w:cs="Palatino Linotype"/>
          <w:b/>
        </w:rPr>
        <w:t xml:space="preserve"> </w:t>
      </w:r>
      <w:r w:rsidRPr="001E3DFF">
        <w:rPr>
          <w:rFonts w:ascii="Palatino Linotype" w:eastAsia="Palatino Linotype" w:hAnsi="Palatino Linotype" w:cs="Palatino Linotype"/>
        </w:rPr>
        <w:t xml:space="preserve">sujeto obligado, para dar cumplimiento a la presente resolución, contengan datos que deban ser clasificados, el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deberá hacer la elaboración de la versión pública de tales documentos a fin de satisfacer el derecho de acceso a la información </w:t>
      </w:r>
      <w:r w:rsidRPr="001E3DFF">
        <w:rPr>
          <w:rFonts w:ascii="Palatino Linotype" w:eastAsia="Palatino Linotype" w:hAnsi="Palatino Linotype" w:cs="Palatino Linotype"/>
        </w:rPr>
        <w:t>pública del recurrente sin menoscabo al derecho a la protección de los datos personales de terceros.</w:t>
      </w:r>
    </w:p>
    <w:p w14:paraId="150CCDC8"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Para efectos de la elaboración de la versión pública se deberá observar lo dispuesto por los artículos 3 fracciones IX, XX, XXI y XLV, 91, 132 fracciones I</w:t>
      </w:r>
      <w:r w:rsidRPr="001E3DFF">
        <w:rPr>
          <w:rFonts w:ascii="Palatino Linotype" w:eastAsia="Palatino Linotype" w:hAnsi="Palatino Linotype" w:cs="Palatino Linotype"/>
        </w:rPr>
        <w:t xml:space="preserve">I y III, y 143 </w:t>
      </w:r>
      <w:r w:rsidRPr="001E3DFF">
        <w:rPr>
          <w:rFonts w:ascii="Palatino Linotype" w:eastAsia="Palatino Linotype" w:hAnsi="Palatino Linotype" w:cs="Palatino Linotype"/>
        </w:rPr>
        <w:lastRenderedPageBreak/>
        <w:t>fracción I de la Ley de Transparencia y Acceso a la Información Pública del Estado de México y Municipios que establecen:</w:t>
      </w:r>
    </w:p>
    <w:p w14:paraId="273F34F2"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w:t>
      </w:r>
      <w:r w:rsidRPr="001E3DFF">
        <w:rPr>
          <w:rFonts w:ascii="Palatino Linotype" w:eastAsia="Palatino Linotype" w:hAnsi="Palatino Linotype" w:cs="Palatino Linotype"/>
          <w:b/>
          <w:i/>
          <w:sz w:val="22"/>
          <w:szCs w:val="22"/>
        </w:rPr>
        <w:t>Artículo 3</w:t>
      </w:r>
      <w:r w:rsidRPr="001E3DFF">
        <w:rPr>
          <w:rFonts w:ascii="Palatino Linotype" w:eastAsia="Palatino Linotype" w:hAnsi="Palatino Linotype" w:cs="Palatino Linotype"/>
          <w:i/>
          <w:sz w:val="22"/>
          <w:szCs w:val="22"/>
        </w:rPr>
        <w:t>. Para los efectos de la presente Ley se entenderá por:</w:t>
      </w:r>
    </w:p>
    <w:p w14:paraId="3EDEDFBC"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w:t>
      </w:r>
    </w:p>
    <w:p w14:paraId="073A1581"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IX. Datos personales</w:t>
      </w:r>
      <w:r w:rsidRPr="001E3DFF">
        <w:rPr>
          <w:rFonts w:ascii="Palatino Linotype" w:eastAsia="Palatino Linotype" w:hAnsi="Palatino Linotype" w:cs="Palatino Linotype"/>
          <w:i/>
          <w:sz w:val="22"/>
          <w:szCs w:val="22"/>
        </w:rPr>
        <w:t>: La información concernient</w:t>
      </w:r>
      <w:r w:rsidRPr="001E3DFF">
        <w:rPr>
          <w:rFonts w:ascii="Palatino Linotype" w:eastAsia="Palatino Linotype" w:hAnsi="Palatino Linotype" w:cs="Palatino Linotype"/>
          <w:i/>
          <w:sz w:val="22"/>
          <w:szCs w:val="22"/>
        </w:rPr>
        <w:t xml:space="preserve">e a una persona, identificada o identificable según lo dispuesto por la Ley de Protección de Datos Personales del Estado de México; </w:t>
      </w:r>
    </w:p>
    <w:p w14:paraId="5A57A00C"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XX. Información clasificada</w:t>
      </w:r>
      <w:r w:rsidRPr="001E3DFF">
        <w:rPr>
          <w:rFonts w:ascii="Palatino Linotype" w:eastAsia="Palatino Linotype" w:hAnsi="Palatino Linotype" w:cs="Palatino Linotype"/>
          <w:i/>
          <w:sz w:val="22"/>
          <w:szCs w:val="22"/>
        </w:rPr>
        <w:t>: Aquella considerada por la presente Ley como reservada o confidencial;</w:t>
      </w:r>
    </w:p>
    <w:p w14:paraId="6EA3D050"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XXI. Información confid</w:t>
      </w:r>
      <w:r w:rsidRPr="001E3DFF">
        <w:rPr>
          <w:rFonts w:ascii="Palatino Linotype" w:eastAsia="Palatino Linotype" w:hAnsi="Palatino Linotype" w:cs="Palatino Linotype"/>
          <w:b/>
          <w:i/>
          <w:sz w:val="22"/>
          <w:szCs w:val="22"/>
        </w:rPr>
        <w:t xml:space="preserve">encial: </w:t>
      </w:r>
      <w:r w:rsidRPr="001E3DFF">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w:t>
      </w:r>
      <w:r w:rsidRPr="001E3DFF">
        <w:rPr>
          <w:rFonts w:ascii="Palatino Linotype" w:eastAsia="Palatino Linotype" w:hAnsi="Palatino Linotype" w:cs="Palatino Linotype"/>
          <w:i/>
          <w:sz w:val="22"/>
          <w:szCs w:val="22"/>
        </w:rPr>
        <w:t xml:space="preserve"> el ejercicio de recursos públicos;</w:t>
      </w:r>
    </w:p>
    <w:p w14:paraId="1D7B72BE"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XLV. Versión pública:</w:t>
      </w:r>
      <w:r w:rsidRPr="001E3DF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3EDA93C"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w:t>
      </w:r>
    </w:p>
    <w:p w14:paraId="6F821DD6"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Artículo 91.</w:t>
      </w:r>
      <w:r w:rsidRPr="001E3DFF">
        <w:rPr>
          <w:rFonts w:ascii="Palatino Linotype" w:eastAsia="Palatino Linotype" w:hAnsi="Palatino Linotype" w:cs="Palatino Linotype"/>
          <w:i/>
          <w:sz w:val="22"/>
          <w:szCs w:val="22"/>
        </w:rPr>
        <w:t xml:space="preserve"> El acceso a la información pública será restringido</w:t>
      </w:r>
      <w:r w:rsidRPr="001E3DFF">
        <w:rPr>
          <w:rFonts w:ascii="Palatino Linotype" w:eastAsia="Palatino Linotype" w:hAnsi="Palatino Linotype" w:cs="Palatino Linotype"/>
          <w:i/>
          <w:sz w:val="22"/>
          <w:szCs w:val="22"/>
        </w:rPr>
        <w:t xml:space="preserve"> excepcionalmente, cuando ésta sea clasificada como reservada o confidencial.</w:t>
      </w:r>
    </w:p>
    <w:p w14:paraId="6DBFA00A"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Artículo 132.</w:t>
      </w:r>
      <w:r w:rsidRPr="001E3DFF">
        <w:rPr>
          <w:rFonts w:ascii="Palatino Linotype" w:eastAsia="Palatino Linotype" w:hAnsi="Palatino Linotype" w:cs="Palatino Linotype"/>
          <w:i/>
          <w:sz w:val="22"/>
          <w:szCs w:val="22"/>
        </w:rPr>
        <w:t xml:space="preserve"> La clasificación de la información se llevará a cabo en el momento en que:</w:t>
      </w:r>
    </w:p>
    <w:p w14:paraId="6B6B7EDD"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w:t>
      </w:r>
      <w:r w:rsidRPr="001E3DFF">
        <w:rPr>
          <w:rFonts w:ascii="Palatino Linotype" w:eastAsia="Palatino Linotype" w:hAnsi="Palatino Linotype" w:cs="Palatino Linotype"/>
          <w:i/>
          <w:sz w:val="22"/>
          <w:szCs w:val="22"/>
        </w:rPr>
        <w:t>. Se reciba una solicitud de acceso a la información;</w:t>
      </w:r>
    </w:p>
    <w:p w14:paraId="15EEDF65"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II.</w:t>
      </w:r>
      <w:r w:rsidRPr="001E3DFF">
        <w:rPr>
          <w:rFonts w:ascii="Palatino Linotype" w:eastAsia="Palatino Linotype" w:hAnsi="Palatino Linotype" w:cs="Palatino Linotype"/>
          <w:i/>
          <w:sz w:val="22"/>
          <w:szCs w:val="22"/>
        </w:rPr>
        <w:t xml:space="preserve"> Se determine mediante resoluci</w:t>
      </w:r>
      <w:r w:rsidRPr="001E3DFF">
        <w:rPr>
          <w:rFonts w:ascii="Palatino Linotype" w:eastAsia="Palatino Linotype" w:hAnsi="Palatino Linotype" w:cs="Palatino Linotype"/>
          <w:i/>
          <w:sz w:val="22"/>
          <w:szCs w:val="22"/>
        </w:rPr>
        <w:t>ón de autoridad competente; o</w:t>
      </w:r>
    </w:p>
    <w:p w14:paraId="07FCE9F4"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III.</w:t>
      </w:r>
      <w:r w:rsidRPr="001E3DF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CA7FB54"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w:t>
      </w:r>
    </w:p>
    <w:p w14:paraId="23617625"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Artículo 143</w:t>
      </w:r>
      <w:r w:rsidRPr="001E3DF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CFE3EDB"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w:t>
      </w:r>
      <w:r w:rsidRPr="001E3DFF">
        <w:rPr>
          <w:rFonts w:ascii="Palatino Linotype" w:eastAsia="Palatino Linotype" w:hAnsi="Palatino Linotype" w:cs="Palatino Linotype"/>
          <w:i/>
          <w:sz w:val="22"/>
          <w:szCs w:val="22"/>
        </w:rPr>
        <w:t xml:space="preserve"> Se refiera a la información privada y los datos personales concernientes a una persona física o jurídico cole</w:t>
      </w:r>
      <w:r w:rsidRPr="001E3DFF">
        <w:rPr>
          <w:rFonts w:ascii="Palatino Linotype" w:eastAsia="Palatino Linotype" w:hAnsi="Palatino Linotype" w:cs="Palatino Linotype"/>
          <w:i/>
          <w:sz w:val="22"/>
          <w:szCs w:val="22"/>
        </w:rPr>
        <w:t>ctiva identificada o identificable;</w:t>
      </w:r>
    </w:p>
    <w:p w14:paraId="70BE5A75"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lastRenderedPageBreak/>
        <w:t>II.</w:t>
      </w:r>
      <w:r w:rsidRPr="001E3DF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w:t>
      </w:r>
      <w:r w:rsidRPr="001E3DFF">
        <w:rPr>
          <w:rFonts w:ascii="Palatino Linotype" w:eastAsia="Palatino Linotype" w:hAnsi="Palatino Linotype" w:cs="Palatino Linotype"/>
          <w:i/>
          <w:sz w:val="22"/>
          <w:szCs w:val="22"/>
        </w:rPr>
        <w:t>io de recursos públicos; y</w:t>
      </w:r>
    </w:p>
    <w:p w14:paraId="51A120EE"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III.</w:t>
      </w:r>
      <w:r w:rsidRPr="001E3DFF">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D792FFD"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 xml:space="preserve">La información confidencial no estará sujeta a temporalidad alguna y sólo podrán tener </w:t>
      </w:r>
      <w:r w:rsidRPr="001E3DFF">
        <w:rPr>
          <w:rFonts w:ascii="Palatino Linotype" w:eastAsia="Palatino Linotype" w:hAnsi="Palatino Linotype" w:cs="Palatino Linotype"/>
          <w:i/>
          <w:sz w:val="22"/>
          <w:szCs w:val="22"/>
        </w:rPr>
        <w:t>acceso a ella los titulares de la misma, sus representantes y los servidores públicos facultados para ello.</w:t>
      </w:r>
    </w:p>
    <w:p w14:paraId="1D32DB79"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w:t>
      </w:r>
      <w:r w:rsidRPr="001E3DFF">
        <w:rPr>
          <w:rFonts w:ascii="Palatino Linotype" w:eastAsia="Palatino Linotype" w:hAnsi="Palatino Linotype" w:cs="Palatino Linotype"/>
          <w:i/>
          <w:sz w:val="22"/>
          <w:szCs w:val="22"/>
        </w:rPr>
        <w:t>derada por la presente ley como información pública.”</w:t>
      </w:r>
    </w:p>
    <w:p w14:paraId="431A6D46"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w:t>
      </w:r>
      <w:r w:rsidRPr="001E3DFF">
        <w:rPr>
          <w:rFonts w:ascii="Palatino Linotype" w:eastAsia="Palatino Linotype" w:hAnsi="Palatino Linotype" w:cs="Palatino Linotype"/>
        </w:rPr>
        <w:t>Nacional de Transparencia, Acceso a la Información Pública y Protección de Datos Personales, publicados en el Diario Oficial de la Federación el día quince de abril de dos mil dieciséis, tienen por objeto establecer los criterios con base en los cuales los</w:t>
      </w:r>
      <w:r w:rsidRPr="001E3DFF">
        <w:rPr>
          <w:rFonts w:ascii="Palatino Linotype" w:eastAsia="Palatino Linotype" w:hAnsi="Palatino Linotype" w:cs="Palatino Linotype"/>
        </w:rPr>
        <w:t xml:space="preserve"> sujetos obligados clasificarán como reservada o confidencial la información que posean, desclasificarán y generarán, en su caso, versiones públicas de expedientes o documentos que contengan partes o secciones clasificadas.</w:t>
      </w:r>
    </w:p>
    <w:p w14:paraId="67DEF8BC"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FF92A1F"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“Quincuagésimo sexto</w:t>
      </w:r>
      <w:r w:rsidRPr="001E3DFF">
        <w:rPr>
          <w:rFonts w:ascii="Palatino Linotype" w:eastAsia="Palatino Linotype" w:hAnsi="Palatino Linotype" w:cs="Palatino Linotype"/>
          <w:i/>
          <w:sz w:val="22"/>
          <w:szCs w:val="22"/>
        </w:rPr>
        <w:t xml:space="preserve">. La versión pública del documento o expediente que contenga partes o secciones reservadas </w:t>
      </w:r>
      <w:r w:rsidRPr="001E3DFF">
        <w:rPr>
          <w:rFonts w:ascii="Palatino Linotype" w:eastAsia="Palatino Linotype" w:hAnsi="Palatino Linotype" w:cs="Palatino Linotype"/>
          <w:i/>
          <w:sz w:val="22"/>
          <w:szCs w:val="22"/>
        </w:rPr>
        <w:t>o confidenciales, será elaborada por los sujetos obligados, previo pago de los costos de reproducción, a través de sus áreas y deberá ser aprobada por su Comité de Transparencia</w:t>
      </w:r>
    </w:p>
    <w:p w14:paraId="44D1E1B2"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lastRenderedPageBreak/>
        <w:t>Quincuagésimo séptimo</w:t>
      </w:r>
      <w:r w:rsidRPr="001E3DFF">
        <w:rPr>
          <w:rFonts w:ascii="Palatino Linotype" w:eastAsia="Palatino Linotype" w:hAnsi="Palatino Linotype" w:cs="Palatino Linotype"/>
          <w:i/>
          <w:sz w:val="22"/>
          <w:szCs w:val="22"/>
        </w:rPr>
        <w:t xml:space="preserve">. Se considera, en principio, como información pública y </w:t>
      </w:r>
      <w:r w:rsidRPr="001E3DFF">
        <w:rPr>
          <w:rFonts w:ascii="Palatino Linotype" w:eastAsia="Palatino Linotype" w:hAnsi="Palatino Linotype" w:cs="Palatino Linotype"/>
          <w:i/>
          <w:sz w:val="22"/>
          <w:szCs w:val="22"/>
        </w:rPr>
        <w:t xml:space="preserve">no podrá omitirse de las versiones públicas la siguiente: </w:t>
      </w:r>
    </w:p>
    <w:p w14:paraId="42CC3C03"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w:t>
      </w:r>
      <w:r w:rsidRPr="001E3DF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0270A78"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II.</w:t>
      </w:r>
      <w:r w:rsidRPr="001E3DFF">
        <w:rPr>
          <w:rFonts w:ascii="Palatino Linotype" w:eastAsia="Palatino Linotype" w:hAnsi="Palatino Linotype" w:cs="Palatino Linotype"/>
          <w:i/>
          <w:sz w:val="22"/>
          <w:szCs w:val="22"/>
        </w:rPr>
        <w:t xml:space="preserve"> El nombre de los servidores públicos en los documen</w:t>
      </w:r>
      <w:r w:rsidRPr="001E3DFF">
        <w:rPr>
          <w:rFonts w:ascii="Palatino Linotype" w:eastAsia="Palatino Linotype" w:hAnsi="Palatino Linotype" w:cs="Palatino Linotype"/>
          <w:i/>
          <w:sz w:val="22"/>
          <w:szCs w:val="22"/>
        </w:rPr>
        <w:t xml:space="preserve">tos, y sus firmas autógrafas, cuando sean utilizados en el ejercicio de las facultades conferidas para el desempeño del servicio público, y </w:t>
      </w:r>
    </w:p>
    <w:p w14:paraId="64C96D17" w14:textId="77777777" w:rsidR="003805A1" w:rsidRPr="001E3DFF" w:rsidRDefault="007A61DC">
      <w:pPr>
        <w:spacing w:before="120" w:after="120"/>
        <w:ind w:left="1134"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III.</w:t>
      </w:r>
      <w:r w:rsidRPr="001E3DFF">
        <w:rPr>
          <w:rFonts w:ascii="Palatino Linotype" w:eastAsia="Palatino Linotype" w:hAnsi="Palatino Linotype" w:cs="Palatino Linotype"/>
          <w:i/>
          <w:sz w:val="22"/>
          <w:szCs w:val="22"/>
        </w:rPr>
        <w:t xml:space="preserve"> La información que documente decisiones y los actos de autoridad concluidos de los sujetos obligados, así como</w:t>
      </w:r>
      <w:r w:rsidRPr="001E3DFF">
        <w:rPr>
          <w:rFonts w:ascii="Palatino Linotype" w:eastAsia="Palatino Linotype" w:hAnsi="Palatino Linotype" w:cs="Palatino Linotype"/>
          <w:i/>
          <w:sz w:val="22"/>
          <w:szCs w:val="22"/>
        </w:rPr>
        <w:t xml:space="preserve"> el ejercicio de las facultades o actividades de los servidores públicos, de manera que se pueda valorar el desempeño de los mismos.</w:t>
      </w:r>
    </w:p>
    <w:p w14:paraId="1E6B00D8"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1E3DFF">
        <w:rPr>
          <w:rFonts w:ascii="Palatino Linotype" w:eastAsia="Palatino Linotype" w:hAnsi="Palatino Linotype" w:cs="Palatino Linotype"/>
          <w:i/>
          <w:sz w:val="22"/>
          <w:szCs w:val="22"/>
        </w:rPr>
        <w:t>intern</w:t>
      </w:r>
      <w:r w:rsidRPr="001E3DFF">
        <w:rPr>
          <w:rFonts w:ascii="Palatino Linotype" w:eastAsia="Palatino Linotype" w:hAnsi="Palatino Linotype" w:cs="Palatino Linotype"/>
          <w:i/>
          <w:sz w:val="22"/>
          <w:szCs w:val="22"/>
        </w:rPr>
        <w:t>aciones suscritos</w:t>
      </w:r>
      <w:proofErr w:type="gramEnd"/>
      <w:r w:rsidRPr="001E3DFF">
        <w:rPr>
          <w:rFonts w:ascii="Palatino Linotype" w:eastAsia="Palatino Linotype" w:hAnsi="Palatino Linotype" w:cs="Palatino Linotype"/>
          <w:i/>
          <w:sz w:val="22"/>
          <w:szCs w:val="22"/>
        </w:rPr>
        <w:t xml:space="preserve"> por el Estado mexicano. </w:t>
      </w:r>
    </w:p>
    <w:p w14:paraId="0A0C311E" w14:textId="77777777" w:rsidR="003805A1" w:rsidRPr="001E3DFF" w:rsidRDefault="007A61DC">
      <w:pPr>
        <w:spacing w:before="120" w:after="120"/>
        <w:ind w:left="851" w:right="902"/>
        <w:jc w:val="both"/>
        <w:rPr>
          <w:rFonts w:ascii="Palatino Linotype" w:eastAsia="Palatino Linotype" w:hAnsi="Palatino Linotype" w:cs="Palatino Linotype"/>
          <w:i/>
          <w:sz w:val="22"/>
          <w:szCs w:val="22"/>
        </w:rPr>
      </w:pPr>
      <w:r w:rsidRPr="001E3DFF">
        <w:rPr>
          <w:rFonts w:ascii="Palatino Linotype" w:eastAsia="Palatino Linotype" w:hAnsi="Palatino Linotype" w:cs="Palatino Linotype"/>
          <w:b/>
          <w:i/>
          <w:sz w:val="22"/>
          <w:szCs w:val="22"/>
        </w:rPr>
        <w:t>Quincuagésimo octavo</w:t>
      </w:r>
      <w:r w:rsidRPr="001E3DFF">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0C50CCA"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 xml:space="preserve">Por lo </w:t>
      </w:r>
      <w:r w:rsidRPr="001E3DFF">
        <w:rPr>
          <w:rFonts w:ascii="Palatino Linotype" w:eastAsia="Palatino Linotype" w:hAnsi="Palatino Linotype" w:cs="Palatino Linotype"/>
        </w:rPr>
        <w:t>tanto, la entrega de documentos en su versión pública debe acompañarse necesariamente del Acuerdo del Comité de Transparencia que la sustente el cual debe estar debidamente fundado y motivado, en el que se expongan los fundamentos y razonamientos que lleva</w:t>
      </w:r>
      <w:r w:rsidRPr="001E3DFF">
        <w:rPr>
          <w:rFonts w:ascii="Palatino Linotype" w:eastAsia="Palatino Linotype" w:hAnsi="Palatino Linotype" w:cs="Palatino Linotype"/>
        </w:rPr>
        <w:t xml:space="preserve">ron al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w:t>
      </w:r>
      <w:r w:rsidRPr="001E3DFF">
        <w:rPr>
          <w:rFonts w:ascii="Palatino Linotype" w:eastAsia="Palatino Linotype" w:hAnsi="Palatino Linotype" w:cs="Palatino Linotype"/>
        </w:rPr>
        <w:t xml:space="preserve">ta o tachada; ya que el no justificar las causas o motivos por las que no se aprecian determinados datos -ya sea porque se testan o suprimen- deja al solicitante en estado de incertidumbre, al no conocer o comprender porque no aparecen en la documentación </w:t>
      </w:r>
      <w:r w:rsidRPr="001E3DFF">
        <w:rPr>
          <w:rFonts w:ascii="Palatino Linotype" w:eastAsia="Palatino Linotype" w:hAnsi="Palatino Linotype" w:cs="Palatino Linotype"/>
        </w:rPr>
        <w:t>respectiva.</w:t>
      </w:r>
    </w:p>
    <w:p w14:paraId="72886065" w14:textId="1C65C263" w:rsidR="003805A1"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1E3DFF" w:rsidRPr="00926E9F" w14:paraId="07BE38F1" w14:textId="77777777" w:rsidTr="00293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530F159" w14:textId="77777777" w:rsidR="001E3DFF" w:rsidRPr="00926E9F" w:rsidRDefault="001E3DFF" w:rsidP="002931A8">
            <w:pPr>
              <w:jc w:val="center"/>
              <w:rPr>
                <w:rFonts w:ascii="Palatino Linotype" w:hAnsi="Palatino Linotype"/>
                <w:sz w:val="12"/>
                <w:szCs w:val="12"/>
              </w:rPr>
            </w:pPr>
            <w:r w:rsidRPr="00926E9F">
              <w:rPr>
                <w:rFonts w:ascii="Palatino Linotype" w:hAnsi="Palatino Linotype"/>
                <w:sz w:val="12"/>
                <w:szCs w:val="12"/>
              </w:rPr>
              <w:t>Parcial</w:t>
            </w:r>
          </w:p>
        </w:tc>
        <w:tc>
          <w:tcPr>
            <w:tcW w:w="4414" w:type="dxa"/>
            <w:gridSpan w:val="2"/>
          </w:tcPr>
          <w:p w14:paraId="31A7A6FE" w14:textId="77777777" w:rsidR="001E3DFF" w:rsidRPr="00926E9F" w:rsidRDefault="001E3DFF" w:rsidP="002931A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Total</w:t>
            </w:r>
          </w:p>
        </w:tc>
      </w:tr>
      <w:tr w:rsidR="001E3DFF" w:rsidRPr="00926E9F" w14:paraId="56C613D2"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79B20C9" w14:textId="77777777" w:rsidR="001E3DFF" w:rsidRPr="00926E9F" w:rsidRDefault="001E3DFF" w:rsidP="002931A8">
            <w:pPr>
              <w:jc w:val="center"/>
              <w:rPr>
                <w:rFonts w:ascii="Palatino Linotype" w:hAnsi="Palatino Linotype"/>
                <w:sz w:val="12"/>
                <w:szCs w:val="12"/>
              </w:rPr>
            </w:pPr>
            <w:r w:rsidRPr="00926E9F">
              <w:rPr>
                <w:rFonts w:ascii="Palatino Linotype" w:hAnsi="Palatino Linotype"/>
                <w:sz w:val="12"/>
                <w:szCs w:val="12"/>
              </w:rPr>
              <w:t>Concepto</w:t>
            </w:r>
          </w:p>
        </w:tc>
        <w:tc>
          <w:tcPr>
            <w:tcW w:w="3421" w:type="dxa"/>
          </w:tcPr>
          <w:p w14:paraId="05459172" w14:textId="77777777" w:rsidR="001E3DFF" w:rsidRPr="00926E9F" w:rsidRDefault="001E3DFF" w:rsidP="002931A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c>
          <w:tcPr>
            <w:tcW w:w="968" w:type="dxa"/>
          </w:tcPr>
          <w:p w14:paraId="58E96E65" w14:textId="77777777" w:rsidR="001E3DFF" w:rsidRPr="00926E9F" w:rsidRDefault="001E3DFF" w:rsidP="002931A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Concepto</w:t>
            </w:r>
          </w:p>
        </w:tc>
        <w:tc>
          <w:tcPr>
            <w:tcW w:w="3446" w:type="dxa"/>
          </w:tcPr>
          <w:p w14:paraId="0E3D0A70" w14:textId="77777777" w:rsidR="001E3DFF" w:rsidRPr="00926E9F" w:rsidRDefault="001E3DFF" w:rsidP="002931A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r>
      <w:tr w:rsidR="001E3DFF" w:rsidRPr="00926E9F" w14:paraId="1D0828F1" w14:textId="77777777" w:rsidTr="002931A8">
        <w:tc>
          <w:tcPr>
            <w:cnfStyle w:val="001000000000" w:firstRow="0" w:lastRow="0" w:firstColumn="1" w:lastColumn="0" w:oddVBand="0" w:evenVBand="0" w:oddHBand="0" w:evenHBand="0" w:firstRowFirstColumn="0" w:firstRowLastColumn="0" w:lastRowFirstColumn="0" w:lastRowLastColumn="0"/>
            <w:tcW w:w="8828" w:type="dxa"/>
            <w:gridSpan w:val="4"/>
          </w:tcPr>
          <w:p w14:paraId="07F354C8" w14:textId="77777777" w:rsidR="001E3DFF" w:rsidRPr="00926E9F" w:rsidRDefault="001E3DFF" w:rsidP="002931A8">
            <w:pPr>
              <w:jc w:val="center"/>
              <w:rPr>
                <w:rFonts w:ascii="Palatino Linotype" w:hAnsi="Palatino Linotype"/>
                <w:sz w:val="12"/>
                <w:szCs w:val="12"/>
              </w:rPr>
            </w:pPr>
            <w:r w:rsidRPr="00926E9F">
              <w:rPr>
                <w:rFonts w:ascii="Palatino Linotype" w:hAnsi="Palatino Linotype"/>
                <w:sz w:val="12"/>
                <w:szCs w:val="12"/>
              </w:rPr>
              <w:t>Sello oficial o logotipo del sujeto obligado</w:t>
            </w:r>
          </w:p>
        </w:tc>
      </w:tr>
      <w:tr w:rsidR="001E3DFF" w:rsidRPr="00926E9F" w14:paraId="740C6576"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D176670"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Fecha de clasificación</w:t>
            </w:r>
          </w:p>
        </w:tc>
        <w:tc>
          <w:tcPr>
            <w:tcW w:w="3421" w:type="dxa"/>
          </w:tcPr>
          <w:p w14:paraId="65C1BC10"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c>
          <w:tcPr>
            <w:tcW w:w="968" w:type="dxa"/>
          </w:tcPr>
          <w:p w14:paraId="5458A8CC"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clasificación</w:t>
            </w:r>
          </w:p>
        </w:tc>
        <w:tc>
          <w:tcPr>
            <w:tcW w:w="3446" w:type="dxa"/>
          </w:tcPr>
          <w:p w14:paraId="68508508"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r>
      <w:tr w:rsidR="001E3DFF" w:rsidRPr="00926E9F" w14:paraId="3CEA3E65"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1A9D4CBE"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Área</w:t>
            </w:r>
          </w:p>
        </w:tc>
        <w:tc>
          <w:tcPr>
            <w:tcW w:w="3421" w:type="dxa"/>
          </w:tcPr>
          <w:p w14:paraId="1F95C5A7"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del cual es titular quien clasifica.</w:t>
            </w:r>
          </w:p>
        </w:tc>
        <w:tc>
          <w:tcPr>
            <w:tcW w:w="968" w:type="dxa"/>
          </w:tcPr>
          <w:p w14:paraId="4FCC6D16"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Área</w:t>
            </w:r>
          </w:p>
        </w:tc>
        <w:tc>
          <w:tcPr>
            <w:tcW w:w="3446" w:type="dxa"/>
          </w:tcPr>
          <w:p w14:paraId="7081C187"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 la cual es el titular quien clasifica.</w:t>
            </w:r>
          </w:p>
        </w:tc>
      </w:tr>
      <w:tr w:rsidR="001E3DFF" w:rsidRPr="00926E9F" w14:paraId="521AAB74"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688754"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Información reservada</w:t>
            </w:r>
          </w:p>
        </w:tc>
        <w:tc>
          <w:tcPr>
            <w:tcW w:w="3421" w:type="dxa"/>
          </w:tcPr>
          <w:p w14:paraId="221C64CE"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653EAA9"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Reservado</w:t>
            </w:r>
          </w:p>
        </w:tc>
        <w:tc>
          <w:tcPr>
            <w:tcW w:w="3446" w:type="dxa"/>
          </w:tcPr>
          <w:p w14:paraId="4C5E20BC"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RESERVADA.</w:t>
            </w:r>
          </w:p>
        </w:tc>
      </w:tr>
      <w:tr w:rsidR="001E3DFF" w:rsidRPr="00926E9F" w14:paraId="553005C3"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64307534"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14:paraId="320D3398"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F8110AE"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Periodo de reserva</w:t>
            </w:r>
          </w:p>
        </w:tc>
        <w:tc>
          <w:tcPr>
            <w:tcW w:w="3446" w:type="dxa"/>
          </w:tcPr>
          <w:p w14:paraId="5569C178"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E3DFF" w:rsidRPr="00926E9F" w14:paraId="5E4A57A0"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E59FCA2"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Ampliación del periodo de reserva</w:t>
            </w:r>
          </w:p>
        </w:tc>
        <w:tc>
          <w:tcPr>
            <w:tcW w:w="3421" w:type="dxa"/>
          </w:tcPr>
          <w:p w14:paraId="4D3D90D1"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DE98415"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14:paraId="127CF186"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sustenta la reserva.</w:t>
            </w:r>
          </w:p>
        </w:tc>
      </w:tr>
      <w:tr w:rsidR="001E3DFF" w:rsidRPr="00926E9F" w14:paraId="1D14CAF3"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65108CEF"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Confidencial</w:t>
            </w:r>
          </w:p>
        </w:tc>
        <w:tc>
          <w:tcPr>
            <w:tcW w:w="3421" w:type="dxa"/>
          </w:tcPr>
          <w:p w14:paraId="46FB97AC"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CF67C13"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Ampliación del periodo de reserva</w:t>
            </w:r>
          </w:p>
        </w:tc>
        <w:tc>
          <w:tcPr>
            <w:tcW w:w="3446" w:type="dxa"/>
          </w:tcPr>
          <w:p w14:paraId="5702AF88"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E3DFF" w:rsidRPr="00926E9F" w14:paraId="4D53A972"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1BA9E40"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14:paraId="2F55CC27"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0985B1EA"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Confidencial</w:t>
            </w:r>
          </w:p>
        </w:tc>
        <w:tc>
          <w:tcPr>
            <w:tcW w:w="3446" w:type="dxa"/>
          </w:tcPr>
          <w:p w14:paraId="690704E5"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CONFIDENCIAL.</w:t>
            </w:r>
          </w:p>
        </w:tc>
      </w:tr>
      <w:tr w:rsidR="001E3DFF" w:rsidRPr="00926E9F" w14:paraId="4B89435A"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1D98559B"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Rúbrica del titular del área</w:t>
            </w:r>
          </w:p>
        </w:tc>
        <w:tc>
          <w:tcPr>
            <w:tcW w:w="3421" w:type="dxa"/>
          </w:tcPr>
          <w:p w14:paraId="7818D0F4"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c>
          <w:tcPr>
            <w:tcW w:w="968" w:type="dxa"/>
          </w:tcPr>
          <w:p w14:paraId="6B1522F0"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14:paraId="24EA4C99"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E3DFF" w:rsidRPr="00926E9F" w14:paraId="1349BDCC"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BE9AF41"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Fecha de desclasificación</w:t>
            </w:r>
          </w:p>
        </w:tc>
        <w:tc>
          <w:tcPr>
            <w:tcW w:w="3421" w:type="dxa"/>
          </w:tcPr>
          <w:p w14:paraId="7EF54F77"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 el documento.</w:t>
            </w:r>
          </w:p>
        </w:tc>
        <w:tc>
          <w:tcPr>
            <w:tcW w:w="968" w:type="dxa"/>
          </w:tcPr>
          <w:p w14:paraId="23F67601"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del titular del área</w:t>
            </w:r>
          </w:p>
        </w:tc>
        <w:tc>
          <w:tcPr>
            <w:tcW w:w="3446" w:type="dxa"/>
          </w:tcPr>
          <w:p w14:paraId="4119BBE3"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r>
      <w:tr w:rsidR="001E3DFF" w:rsidRPr="00926E9F" w14:paraId="39CB1474"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0F02F5C8" w14:textId="77777777" w:rsidR="001E3DFF" w:rsidRPr="00926E9F" w:rsidRDefault="001E3DFF" w:rsidP="002931A8">
            <w:pPr>
              <w:jc w:val="both"/>
              <w:rPr>
                <w:rFonts w:ascii="Palatino Linotype" w:hAnsi="Palatino Linotype"/>
                <w:sz w:val="12"/>
                <w:szCs w:val="12"/>
              </w:rPr>
            </w:pPr>
            <w:r w:rsidRPr="00926E9F">
              <w:rPr>
                <w:rFonts w:ascii="Palatino Linotype" w:hAnsi="Palatino Linotype"/>
                <w:sz w:val="12"/>
                <w:szCs w:val="12"/>
              </w:rPr>
              <w:t>Rúbrica y cargo del servidor público</w:t>
            </w:r>
          </w:p>
        </w:tc>
        <w:tc>
          <w:tcPr>
            <w:tcW w:w="3421" w:type="dxa"/>
          </w:tcPr>
          <w:p w14:paraId="7F9BB5BF"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c>
          <w:tcPr>
            <w:tcW w:w="968" w:type="dxa"/>
          </w:tcPr>
          <w:p w14:paraId="13985427"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desclasificación</w:t>
            </w:r>
          </w:p>
        </w:tc>
        <w:tc>
          <w:tcPr>
            <w:tcW w:w="3446" w:type="dxa"/>
          </w:tcPr>
          <w:p w14:paraId="55E12812"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w:t>
            </w:r>
          </w:p>
        </w:tc>
      </w:tr>
      <w:tr w:rsidR="001E3DFF" w:rsidRPr="00926E9F" w14:paraId="44A951B6"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EDC7EC8" w14:textId="77777777" w:rsidR="001E3DFF" w:rsidRPr="00926E9F" w:rsidRDefault="001E3DFF" w:rsidP="002931A8">
            <w:pPr>
              <w:jc w:val="both"/>
              <w:rPr>
                <w:rFonts w:ascii="Palatino Linotype" w:hAnsi="Palatino Linotype"/>
                <w:sz w:val="12"/>
                <w:szCs w:val="12"/>
              </w:rPr>
            </w:pPr>
          </w:p>
        </w:tc>
        <w:tc>
          <w:tcPr>
            <w:tcW w:w="3421" w:type="dxa"/>
          </w:tcPr>
          <w:p w14:paraId="2BF893ED"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A4FB9B2"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Partes o secciones reservadas o confidenciales</w:t>
            </w:r>
          </w:p>
        </w:tc>
        <w:tc>
          <w:tcPr>
            <w:tcW w:w="3446" w:type="dxa"/>
          </w:tcPr>
          <w:p w14:paraId="5F93D042" w14:textId="77777777" w:rsidR="001E3DFF" w:rsidRPr="00926E9F" w:rsidRDefault="001E3DFF"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 xml:space="preserve">En caso que una vez desclasificado el expediente, </w:t>
            </w:r>
            <w:proofErr w:type="spellStart"/>
            <w:r w:rsidRPr="00926E9F">
              <w:rPr>
                <w:rFonts w:ascii="Palatino Linotype" w:hAnsi="Palatino Linotype"/>
                <w:sz w:val="12"/>
                <w:szCs w:val="12"/>
              </w:rPr>
              <w:t>subsistanpartes</w:t>
            </w:r>
            <w:proofErr w:type="spellEnd"/>
            <w:r w:rsidRPr="00926E9F">
              <w:rPr>
                <w:rFonts w:ascii="Palatino Linotype" w:hAnsi="Palatino Linotype"/>
                <w:sz w:val="12"/>
                <w:szCs w:val="12"/>
              </w:rPr>
              <w:t xml:space="preserve"> o secciones del mismo reservadas o confidenciales, se señalará este hecho.</w:t>
            </w:r>
          </w:p>
        </w:tc>
      </w:tr>
      <w:tr w:rsidR="001E3DFF" w:rsidRPr="00926E9F" w14:paraId="6D1212A0"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2EB095E0" w14:textId="77777777" w:rsidR="001E3DFF" w:rsidRPr="00926E9F" w:rsidRDefault="001E3DFF" w:rsidP="002931A8">
            <w:pPr>
              <w:jc w:val="both"/>
              <w:rPr>
                <w:rFonts w:ascii="Palatino Linotype" w:hAnsi="Palatino Linotype"/>
                <w:sz w:val="12"/>
                <w:szCs w:val="12"/>
              </w:rPr>
            </w:pPr>
          </w:p>
        </w:tc>
        <w:tc>
          <w:tcPr>
            <w:tcW w:w="3421" w:type="dxa"/>
          </w:tcPr>
          <w:p w14:paraId="47727549"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0D0A533B"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y cargo del servidor público</w:t>
            </w:r>
          </w:p>
        </w:tc>
        <w:tc>
          <w:tcPr>
            <w:tcW w:w="3446" w:type="dxa"/>
          </w:tcPr>
          <w:p w14:paraId="6027AC83" w14:textId="77777777" w:rsidR="001E3DFF" w:rsidRPr="00926E9F" w:rsidRDefault="001E3DFF"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r>
    </w:tbl>
    <w:p w14:paraId="5A77B408" w14:textId="77777777" w:rsidR="003805A1" w:rsidRPr="001E3DFF" w:rsidRDefault="007A61D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w:t>
      </w:r>
      <w:r w:rsidRPr="001E3DFF">
        <w:rPr>
          <w:rFonts w:ascii="Palatino Linotype" w:eastAsia="Palatino Linotype" w:hAnsi="Palatino Linotype" w:cs="Palatino Linotype"/>
        </w:rPr>
        <w:t xml:space="preserve"> 186 fracción II de la Ley de Transparencia y Acceso a la Información Pública del Estado de México y Municipios, este Pleno:</w:t>
      </w:r>
    </w:p>
    <w:p w14:paraId="3D427C23" w14:textId="77777777" w:rsidR="003805A1" w:rsidRPr="001E3DFF" w:rsidRDefault="007A61D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E3DFF">
        <w:rPr>
          <w:rFonts w:ascii="Palatino Linotype" w:eastAsia="Palatino Linotype" w:hAnsi="Palatino Linotype" w:cs="Palatino Linotype"/>
          <w:b/>
        </w:rPr>
        <w:lastRenderedPageBreak/>
        <w:t>III. R E S U E L V E:</w:t>
      </w:r>
    </w:p>
    <w:p w14:paraId="3AA10D67" w14:textId="77777777" w:rsidR="003805A1" w:rsidRPr="001E3DFF" w:rsidRDefault="007A61DC">
      <w:pPr>
        <w:spacing w:before="240" w:after="240" w:line="360" w:lineRule="auto"/>
        <w:jc w:val="both"/>
        <w:rPr>
          <w:rFonts w:ascii="Palatino Linotype" w:eastAsia="Palatino Linotype" w:hAnsi="Palatino Linotype" w:cs="Palatino Linotype"/>
          <w:b/>
        </w:rPr>
      </w:pPr>
      <w:bookmarkStart w:id="7" w:name="_heading=h.4d34og8" w:colFirst="0" w:colLast="0"/>
      <w:bookmarkEnd w:id="7"/>
      <w:r w:rsidRPr="001E3DFF">
        <w:rPr>
          <w:rFonts w:ascii="Palatino Linotype" w:eastAsia="Palatino Linotype" w:hAnsi="Palatino Linotype" w:cs="Palatino Linotype"/>
          <w:b/>
        </w:rPr>
        <w:t xml:space="preserve">Primero. </w:t>
      </w:r>
      <w:r w:rsidRPr="001E3DFF">
        <w:rPr>
          <w:rFonts w:ascii="Palatino Linotype" w:eastAsia="Palatino Linotype" w:hAnsi="Palatino Linotype" w:cs="Palatino Linotype"/>
        </w:rPr>
        <w:t>Resultan</w:t>
      </w:r>
      <w:r w:rsidRPr="001E3DFF">
        <w:rPr>
          <w:rFonts w:ascii="Palatino Linotype" w:eastAsia="Palatino Linotype" w:hAnsi="Palatino Linotype" w:cs="Palatino Linotype"/>
          <w:b/>
        </w:rPr>
        <w:t xml:space="preserve"> fundados</w:t>
      </w:r>
      <w:r w:rsidRPr="001E3DFF">
        <w:rPr>
          <w:rFonts w:ascii="Palatino Linotype" w:eastAsia="Palatino Linotype" w:hAnsi="Palatino Linotype" w:cs="Palatino Linotype"/>
        </w:rPr>
        <w:t xml:space="preserve"> los motivos de inconformidad hechos valer por la parte </w:t>
      </w:r>
      <w:r w:rsidRPr="001E3DFF">
        <w:rPr>
          <w:rFonts w:ascii="Palatino Linotype" w:eastAsia="Palatino Linotype" w:hAnsi="Palatino Linotype" w:cs="Palatino Linotype"/>
          <w:b/>
        </w:rPr>
        <w:t xml:space="preserve">Recurrente </w:t>
      </w:r>
      <w:r w:rsidRPr="001E3DFF">
        <w:rPr>
          <w:rFonts w:ascii="Palatino Linotype" w:eastAsia="Palatino Linotype" w:hAnsi="Palatino Linotype" w:cs="Palatino Linotype"/>
        </w:rPr>
        <w:t xml:space="preserve">en el recurso de revisión </w:t>
      </w:r>
      <w:r w:rsidRPr="001E3DFF">
        <w:rPr>
          <w:rFonts w:ascii="Palatino Linotype" w:eastAsia="Palatino Linotype" w:hAnsi="Palatino Linotype" w:cs="Palatino Linotype"/>
          <w:b/>
        </w:rPr>
        <w:t xml:space="preserve">05659/INFOEM/IP/RR/2022, </w:t>
      </w:r>
      <w:r w:rsidRPr="001E3DFF">
        <w:rPr>
          <w:rFonts w:ascii="Palatino Linotype" w:eastAsia="Palatino Linotype" w:hAnsi="Palatino Linotype" w:cs="Palatino Linotype"/>
        </w:rPr>
        <w:t xml:space="preserve">por lo que, en términos del Considerando </w:t>
      </w:r>
      <w:r w:rsidRPr="001E3DFF">
        <w:rPr>
          <w:rFonts w:ascii="Palatino Linotype" w:eastAsia="Palatino Linotype" w:hAnsi="Palatino Linotype" w:cs="Palatino Linotype"/>
          <w:b/>
        </w:rPr>
        <w:t>Cuarto</w:t>
      </w:r>
      <w:r w:rsidRPr="001E3DFF">
        <w:rPr>
          <w:rFonts w:ascii="Palatino Linotype" w:eastAsia="Palatino Linotype" w:hAnsi="Palatino Linotype" w:cs="Palatino Linotype"/>
        </w:rPr>
        <w:t xml:space="preserve"> de la presente resolución, se</w:t>
      </w:r>
      <w:r w:rsidRPr="001E3DFF">
        <w:rPr>
          <w:rFonts w:ascii="Palatino Linotype" w:eastAsia="Palatino Linotype" w:hAnsi="Palatino Linotype" w:cs="Palatino Linotype"/>
          <w:b/>
        </w:rPr>
        <w:t xml:space="preserve"> Revoca </w:t>
      </w:r>
      <w:r w:rsidRPr="001E3DFF">
        <w:rPr>
          <w:rFonts w:ascii="Palatino Linotype" w:eastAsia="Palatino Linotype" w:hAnsi="Palatino Linotype" w:cs="Palatino Linotype"/>
        </w:rPr>
        <w:t>la respuesta</w:t>
      </w:r>
      <w:r w:rsidRPr="001E3DFF">
        <w:rPr>
          <w:rFonts w:ascii="Palatino Linotype" w:eastAsia="Palatino Linotype" w:hAnsi="Palatino Linotype" w:cs="Palatino Linotype"/>
          <w:b/>
        </w:rPr>
        <w:t xml:space="preserve"> </w:t>
      </w:r>
      <w:r w:rsidRPr="001E3DFF">
        <w:rPr>
          <w:rFonts w:ascii="Palatino Linotype" w:eastAsia="Palatino Linotype" w:hAnsi="Palatino Linotype" w:cs="Palatino Linotype"/>
        </w:rPr>
        <w:t xml:space="preserve">del </w:t>
      </w:r>
      <w:r w:rsidRPr="001E3DFF">
        <w:rPr>
          <w:rFonts w:ascii="Palatino Linotype" w:eastAsia="Palatino Linotype" w:hAnsi="Palatino Linotype" w:cs="Palatino Linotype"/>
          <w:b/>
        </w:rPr>
        <w:t>Sujeto Obligado.</w:t>
      </w:r>
    </w:p>
    <w:p w14:paraId="4F8BF538"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 xml:space="preserve">Segundo. </w:t>
      </w:r>
      <w:r w:rsidRPr="001E3DFF">
        <w:rPr>
          <w:rFonts w:ascii="Palatino Linotype" w:eastAsia="Palatino Linotype" w:hAnsi="Palatino Linotype" w:cs="Palatino Linotype"/>
        </w:rPr>
        <w:t xml:space="preserve">Se </w:t>
      </w:r>
      <w:r w:rsidRPr="001E3DFF">
        <w:rPr>
          <w:rFonts w:ascii="Palatino Linotype" w:eastAsia="Palatino Linotype" w:hAnsi="Palatino Linotype" w:cs="Palatino Linotype"/>
          <w:b/>
        </w:rPr>
        <w:t>Ordena</w:t>
      </w:r>
      <w:r w:rsidRPr="001E3DFF">
        <w:rPr>
          <w:rFonts w:ascii="Palatino Linotype" w:eastAsia="Palatino Linotype" w:hAnsi="Palatino Linotype" w:cs="Palatino Linotype"/>
        </w:rPr>
        <w:t xml:space="preserve"> al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en términos de los Considerandos </w:t>
      </w:r>
      <w:r w:rsidRPr="001E3DFF">
        <w:rPr>
          <w:rFonts w:ascii="Palatino Linotype" w:eastAsia="Palatino Linotype" w:hAnsi="Palatino Linotype" w:cs="Palatino Linotype"/>
          <w:b/>
        </w:rPr>
        <w:t xml:space="preserve">Cuarto </w:t>
      </w:r>
      <w:r w:rsidRPr="001E3DFF">
        <w:rPr>
          <w:rFonts w:ascii="Palatino Linotype" w:eastAsia="Palatino Linotype" w:hAnsi="Palatino Linotype" w:cs="Palatino Linotype"/>
        </w:rPr>
        <w:t xml:space="preserve">y </w:t>
      </w:r>
      <w:r w:rsidRPr="001E3DFF">
        <w:rPr>
          <w:rFonts w:ascii="Palatino Linotype" w:eastAsia="Palatino Linotype" w:hAnsi="Palatino Linotype" w:cs="Palatino Linotype"/>
          <w:b/>
        </w:rPr>
        <w:t xml:space="preserve">Quinto </w:t>
      </w:r>
      <w:r w:rsidRPr="001E3DFF">
        <w:rPr>
          <w:rFonts w:ascii="Palatino Linotype" w:eastAsia="Palatino Linotype" w:hAnsi="Palatino Linotype" w:cs="Palatino Linotype"/>
        </w:rPr>
        <w:t>de esta resolución, haga entrega, vía SAIMEX, en versión pública de ser necesario, de lo siguiente:</w:t>
      </w:r>
    </w:p>
    <w:p w14:paraId="474B4627" w14:textId="77777777" w:rsidR="003805A1" w:rsidRPr="001E3DFF" w:rsidRDefault="007A61DC">
      <w:pPr>
        <w:spacing w:before="280" w:after="280" w:line="360" w:lineRule="auto"/>
        <w:ind w:left="284" w:right="49"/>
        <w:jc w:val="both"/>
        <w:rPr>
          <w:rFonts w:ascii="Palatino Linotype" w:eastAsia="Palatino Linotype" w:hAnsi="Palatino Linotype" w:cs="Palatino Linotype"/>
        </w:rPr>
      </w:pPr>
      <w:bookmarkStart w:id="8" w:name="_heading=h.17dp8vu" w:colFirst="0" w:colLast="0"/>
      <w:bookmarkEnd w:id="8"/>
      <w:r w:rsidRPr="001E3DFF">
        <w:rPr>
          <w:rFonts w:ascii="Palatino Linotype" w:eastAsia="Palatino Linotype" w:hAnsi="Palatino Linotype" w:cs="Palatino Linotype"/>
        </w:rPr>
        <w:t>1. Videograbaciones en formato digital, de las Sesiones de Cabildo celebradas entre el</w:t>
      </w:r>
      <w:r w:rsidRPr="001E3DFF">
        <w:rPr>
          <w:rFonts w:ascii="Palatino Linotype" w:eastAsia="Palatino Linotype" w:hAnsi="Palatino Linotype" w:cs="Palatino Linotype"/>
        </w:rPr>
        <w:t xml:space="preserve"> uno de enero y el veinticinco de marzo de dos mil veintidós.</w:t>
      </w:r>
    </w:p>
    <w:p w14:paraId="2DCF13B8" w14:textId="77777777" w:rsidR="003805A1" w:rsidRPr="001E3DFF" w:rsidRDefault="007A61DC">
      <w:pPr>
        <w:spacing w:before="280" w:after="280"/>
        <w:ind w:left="284" w:right="49"/>
        <w:jc w:val="both"/>
        <w:rPr>
          <w:rFonts w:ascii="Palatino Linotype" w:eastAsia="Palatino Linotype" w:hAnsi="Palatino Linotype" w:cs="Palatino Linotype"/>
          <w:i/>
          <w:sz w:val="20"/>
          <w:szCs w:val="20"/>
        </w:rPr>
      </w:pPr>
      <w:bookmarkStart w:id="9" w:name="_heading=h.26in1rg" w:colFirst="0" w:colLast="0"/>
      <w:bookmarkEnd w:id="9"/>
      <w:r w:rsidRPr="001E3DFF">
        <w:rPr>
          <w:rFonts w:ascii="Palatino Linotype" w:eastAsia="Palatino Linotype" w:hAnsi="Palatino Linotype" w:cs="Palatino Linotype"/>
          <w:i/>
          <w:sz w:val="20"/>
          <w:szCs w:val="20"/>
        </w:rPr>
        <w:t>De ser necesaria la versión pública, se deberá emitir el Acuerdo del Comité de Transparencia de acuerdo con la Ley de Transparencia y Acceso a la Información Pública del Estado de México y Munic</w:t>
      </w:r>
      <w:r w:rsidRPr="001E3DFF">
        <w:rPr>
          <w:rFonts w:ascii="Palatino Linotype" w:eastAsia="Palatino Linotype" w:hAnsi="Palatino Linotype" w:cs="Palatino Linotype"/>
          <w:i/>
          <w:sz w:val="20"/>
          <w:szCs w:val="20"/>
        </w:rPr>
        <w:t xml:space="preserve">ipios, en el que funde y motive las razones sobre los datos que se supriman o eliminen de los soportes documentales objeto de las versiones públicas que se formulen y se pongan a disposición de la parte </w:t>
      </w:r>
      <w:r w:rsidRPr="001E3DFF">
        <w:rPr>
          <w:rFonts w:ascii="Palatino Linotype" w:eastAsia="Palatino Linotype" w:hAnsi="Palatino Linotype" w:cs="Palatino Linotype"/>
          <w:b/>
          <w:i/>
          <w:sz w:val="20"/>
          <w:szCs w:val="20"/>
        </w:rPr>
        <w:t>Recurrente</w:t>
      </w:r>
      <w:r w:rsidRPr="001E3DFF">
        <w:rPr>
          <w:rFonts w:ascii="Palatino Linotype" w:eastAsia="Palatino Linotype" w:hAnsi="Palatino Linotype" w:cs="Palatino Linotype"/>
          <w:i/>
          <w:sz w:val="20"/>
          <w:szCs w:val="20"/>
        </w:rPr>
        <w:t>, mismo que igualmente hará de su conocimie</w:t>
      </w:r>
      <w:r w:rsidRPr="001E3DFF">
        <w:rPr>
          <w:rFonts w:ascii="Palatino Linotype" w:eastAsia="Palatino Linotype" w:hAnsi="Palatino Linotype" w:cs="Palatino Linotype"/>
          <w:i/>
          <w:sz w:val="20"/>
          <w:szCs w:val="20"/>
        </w:rPr>
        <w:t>nto.</w:t>
      </w:r>
    </w:p>
    <w:p w14:paraId="7C34539B" w14:textId="77777777" w:rsidR="003805A1" w:rsidRPr="001E3DFF" w:rsidRDefault="007A61DC">
      <w:pPr>
        <w:spacing w:before="240" w:after="240" w:line="360" w:lineRule="auto"/>
        <w:jc w:val="both"/>
        <w:rPr>
          <w:rFonts w:ascii="Palatino Linotype" w:eastAsia="Palatino Linotype" w:hAnsi="Palatino Linotype" w:cs="Palatino Linotype"/>
          <w:b/>
        </w:rPr>
      </w:pPr>
      <w:r w:rsidRPr="001E3DFF">
        <w:rPr>
          <w:rFonts w:ascii="Palatino Linotype" w:eastAsia="Palatino Linotype" w:hAnsi="Palatino Linotype" w:cs="Palatino Linotype"/>
          <w:b/>
        </w:rPr>
        <w:t xml:space="preserve">Tercero. Notifíquese, </w:t>
      </w:r>
      <w:r w:rsidRPr="001E3DFF">
        <w:rPr>
          <w:rFonts w:ascii="Palatino Linotype" w:eastAsia="Palatino Linotype" w:hAnsi="Palatino Linotype" w:cs="Palatino Linotype"/>
        </w:rPr>
        <w:t>vía</w:t>
      </w:r>
      <w:r w:rsidRPr="001E3DFF">
        <w:rPr>
          <w:rFonts w:ascii="Palatino Linotype" w:eastAsia="Palatino Linotype" w:hAnsi="Palatino Linotype" w:cs="Palatino Linotype"/>
          <w:b/>
        </w:rPr>
        <w:t xml:space="preserve"> SAIMEX, </w:t>
      </w:r>
      <w:r w:rsidRPr="001E3DFF">
        <w:rPr>
          <w:rFonts w:ascii="Palatino Linotype" w:eastAsia="Palatino Linotype" w:hAnsi="Palatino Linotype" w:cs="Palatino Linotype"/>
        </w:rPr>
        <w:t xml:space="preserve">al </w:t>
      </w:r>
      <w:proofErr w:type="gramStart"/>
      <w:r w:rsidRPr="001E3DFF">
        <w:rPr>
          <w:rFonts w:ascii="Palatino Linotype" w:eastAsia="Palatino Linotype" w:hAnsi="Palatino Linotype" w:cs="Palatino Linotype"/>
        </w:rPr>
        <w:t>Responsable</w:t>
      </w:r>
      <w:proofErr w:type="gramEnd"/>
      <w:r w:rsidRPr="001E3DFF">
        <w:rPr>
          <w:rFonts w:ascii="Palatino Linotype" w:eastAsia="Palatino Linotype" w:hAnsi="Palatino Linotype" w:cs="Palatino Linotype"/>
        </w:rPr>
        <w:t xml:space="preserve"> de la Unidad de Transparencia del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w:t>
      </w:r>
      <w:r w:rsidRPr="001E3DFF">
        <w:rPr>
          <w:rFonts w:ascii="Palatino Linotype" w:eastAsia="Palatino Linotype" w:hAnsi="Palatino Linotype" w:cs="Palatino Linotype"/>
        </w:rPr>
        <w:t>n Pública del Estado de México y Municipios dé cumplimiento a lo ordenado dentro del plazo de diez días hábiles, debiendo informar a este Instituto en un plazo de tres días hábiles siguientes sobre el cumplimiento dado a la misma</w:t>
      </w:r>
      <w:r w:rsidRPr="001E3DFF">
        <w:rPr>
          <w:rFonts w:ascii="Palatino Linotype" w:eastAsia="Palatino Linotype" w:hAnsi="Palatino Linotype" w:cs="Palatino Linotype"/>
          <w:b/>
        </w:rPr>
        <w:t>.</w:t>
      </w:r>
    </w:p>
    <w:p w14:paraId="7E78525F" w14:textId="77777777" w:rsidR="003805A1" w:rsidRPr="001E3DFF" w:rsidRDefault="007A61DC">
      <w:pPr>
        <w:spacing w:before="240" w:after="240" w:line="360" w:lineRule="auto"/>
        <w:jc w:val="both"/>
        <w:rPr>
          <w:rFonts w:ascii="Palatino Linotype" w:eastAsia="Palatino Linotype" w:hAnsi="Palatino Linotype" w:cs="Palatino Linotype"/>
        </w:rPr>
      </w:pPr>
      <w:bookmarkStart w:id="10" w:name="_heading=h.3dy6vkm" w:colFirst="0" w:colLast="0"/>
      <w:bookmarkEnd w:id="10"/>
      <w:r w:rsidRPr="001E3DFF">
        <w:rPr>
          <w:rFonts w:ascii="Palatino Linotype" w:eastAsia="Palatino Linotype" w:hAnsi="Palatino Linotype" w:cs="Palatino Linotype"/>
        </w:rPr>
        <w:t>De conformidad con el art</w:t>
      </w:r>
      <w:r w:rsidRPr="001E3DFF">
        <w:rPr>
          <w:rFonts w:ascii="Palatino Linotype" w:eastAsia="Palatino Linotype" w:hAnsi="Palatino Linotype" w:cs="Palatino Linotype"/>
        </w:rPr>
        <w:t xml:space="preserve">ículo 198 de la Ley de Transparencia y Acceso a la Información Pública del Estado de México y Municipios, de considerarlo </w:t>
      </w:r>
      <w:r w:rsidRPr="001E3DFF">
        <w:rPr>
          <w:rFonts w:ascii="Palatino Linotype" w:eastAsia="Palatino Linotype" w:hAnsi="Palatino Linotype" w:cs="Palatino Linotype"/>
        </w:rPr>
        <w:lastRenderedPageBreak/>
        <w:t xml:space="preserve">procedente, el </w:t>
      </w:r>
      <w:r w:rsidRPr="001E3DFF">
        <w:rPr>
          <w:rFonts w:ascii="Palatino Linotype" w:eastAsia="Palatino Linotype" w:hAnsi="Palatino Linotype" w:cs="Palatino Linotype"/>
          <w:b/>
        </w:rPr>
        <w:t>Sujeto Obligado</w:t>
      </w:r>
      <w:r w:rsidRPr="001E3DFF">
        <w:rPr>
          <w:rFonts w:ascii="Palatino Linotype" w:eastAsia="Palatino Linotype" w:hAnsi="Palatino Linotype" w:cs="Palatino Linotype"/>
        </w:rPr>
        <w:t xml:space="preserve"> de manera fundada y motivada, podrá solicitar una ampliación de plazo para el cumplimiento de la presen</w:t>
      </w:r>
      <w:r w:rsidRPr="001E3DFF">
        <w:rPr>
          <w:rFonts w:ascii="Palatino Linotype" w:eastAsia="Palatino Linotype" w:hAnsi="Palatino Linotype" w:cs="Palatino Linotype"/>
        </w:rPr>
        <w:t>te resolución.</w:t>
      </w:r>
    </w:p>
    <w:p w14:paraId="68FD0A75" w14:textId="77777777" w:rsidR="003805A1" w:rsidRPr="001E3DFF" w:rsidRDefault="007A61DC">
      <w:pPr>
        <w:spacing w:before="240" w:after="240" w:line="360" w:lineRule="auto"/>
        <w:jc w:val="both"/>
        <w:rPr>
          <w:rFonts w:ascii="Palatino Linotype" w:eastAsia="Palatino Linotype" w:hAnsi="Palatino Linotype" w:cs="Palatino Linotype"/>
        </w:rPr>
      </w:pPr>
      <w:r w:rsidRPr="001E3DFF">
        <w:rPr>
          <w:rFonts w:ascii="Palatino Linotype" w:eastAsia="Palatino Linotype" w:hAnsi="Palatino Linotype" w:cs="Palatino Linotype"/>
          <w:b/>
        </w:rPr>
        <w:t xml:space="preserve">Cuarto.  Notifíquese, </w:t>
      </w:r>
      <w:r w:rsidRPr="001E3DFF">
        <w:rPr>
          <w:rFonts w:ascii="Palatino Linotype" w:eastAsia="Palatino Linotype" w:hAnsi="Palatino Linotype" w:cs="Palatino Linotype"/>
        </w:rPr>
        <w:t xml:space="preserve">vía </w:t>
      </w:r>
      <w:r w:rsidRPr="001E3DFF">
        <w:rPr>
          <w:rFonts w:ascii="Palatino Linotype" w:eastAsia="Palatino Linotype" w:hAnsi="Palatino Linotype" w:cs="Palatino Linotype"/>
          <w:b/>
        </w:rPr>
        <w:t>SAIMEX</w:t>
      </w:r>
      <w:r w:rsidRPr="001E3DFF">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w:t>
      </w:r>
      <w:r w:rsidRPr="001E3DFF">
        <w:rPr>
          <w:rFonts w:ascii="Palatino Linotype" w:eastAsia="Palatino Linotype" w:hAnsi="Palatino Linotype" w:cs="Palatino Linotype"/>
        </w:rPr>
        <w:t>, en caso de que considere que le causa algún perjuicio podrá impugnarla vía Juicio de Amparo en los términos de las leyes aplicables.</w:t>
      </w:r>
    </w:p>
    <w:p w14:paraId="4E8725C3" w14:textId="77777777" w:rsidR="003805A1" w:rsidRPr="001E3DFF" w:rsidRDefault="007A61DC">
      <w:pPr>
        <w:spacing w:line="360" w:lineRule="auto"/>
        <w:jc w:val="both"/>
        <w:rPr>
          <w:rFonts w:ascii="Palatino Linotype" w:eastAsia="Palatino Linotype" w:hAnsi="Palatino Linotype" w:cs="Palatino Linotype"/>
        </w:rPr>
      </w:pPr>
      <w:bookmarkStart w:id="11" w:name="_heading=h.3rdcrjn" w:colFirst="0" w:colLast="0"/>
      <w:bookmarkEnd w:id="11"/>
      <w:r w:rsidRPr="001E3DFF">
        <w:rPr>
          <w:rFonts w:ascii="Palatino Linotype" w:eastAsia="Palatino Linotype" w:hAnsi="Palatino Linotype" w:cs="Palatino Linotype"/>
        </w:rPr>
        <w:t>ASÍ LO RESUELVE, POR UNANIMIDAD DE VOTOS, EL PLENO DEL INSTITUTO DE TRANSPARENCIA, ACCESO A LA INFORMACIÓN PÚBLICA Y PROT</w:t>
      </w:r>
      <w:r w:rsidRPr="001E3DFF">
        <w:rPr>
          <w:rFonts w:ascii="Palatino Linotype" w:eastAsia="Palatino Linotype" w:hAnsi="Palatino Linotype" w:cs="Palatino Linotype"/>
        </w:rPr>
        <w:t>ECCIÓN DE DATOS PERSONALES DEL ESTADO DE MÉXICO Y MUNICIPIOS, CONFORMADO POR LOS COMISIONADOS JOSÉ MARTÍNEZ VILCHIS, MARÍA DEL ROSARIO MEJÍA AYALA, SHARON CRISTINA MORALES MARTÍNEZ, LUIS GUSTAVO PARRA NORIEGA Y GUADALUPE RAMÍREZ PEÑA; EN LA VIGÉSIMO NOVENA</w:t>
      </w:r>
      <w:r w:rsidRPr="001E3DFF">
        <w:rPr>
          <w:rFonts w:ascii="Palatino Linotype" w:eastAsia="Palatino Linotype" w:hAnsi="Palatino Linotype" w:cs="Palatino Linotype"/>
        </w:rPr>
        <w:t xml:space="preserve"> SESIÓN ORDINARIA CELEBRADA EL DIECISIETE DE AGOSTO DE DOS MIL VEINTIDÓS, ANTE EL SECRETARIO TÉCNICO DEL PLENO ALEXIS TAPIA RAMÍREZ.</w:t>
      </w:r>
    </w:p>
    <w:p w14:paraId="31C07BF6" w14:textId="2A19E9E9" w:rsidR="003805A1" w:rsidRPr="001E3DFF" w:rsidRDefault="001E3DF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F2F5853" wp14:editId="42305A72">
                <wp:simplePos x="0" y="0"/>
                <wp:positionH relativeFrom="margin">
                  <wp:align>right</wp:align>
                </wp:positionH>
                <wp:positionV relativeFrom="paragraph">
                  <wp:posOffset>47626</wp:posOffset>
                </wp:positionV>
                <wp:extent cx="5505450" cy="20193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505450" cy="2019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4103E"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" strokecolor="black [3200]" strokeweight="2pt">
                <v:shadow on="t" color="black" opacity="24903f" origin=",.5" offset="0,.55556mm"/>
                <w10:wrap anchorx="margin"/>
              </v:line>
            </w:pict>
          </mc:Fallback>
        </mc:AlternateContent>
      </w:r>
    </w:p>
    <w:p w14:paraId="40606934" w14:textId="77777777" w:rsidR="003805A1" w:rsidRPr="001E3DFF" w:rsidRDefault="003805A1">
      <w:pPr>
        <w:rPr>
          <w:rFonts w:ascii="Palatino Linotype" w:eastAsia="Palatino Linotype" w:hAnsi="Palatino Linotype" w:cs="Palatino Linotype"/>
        </w:rPr>
      </w:pPr>
    </w:p>
    <w:p w14:paraId="4DB0CBC1" w14:textId="77777777" w:rsidR="003805A1" w:rsidRPr="001E3DFF" w:rsidRDefault="003805A1">
      <w:pPr>
        <w:spacing w:line="360" w:lineRule="auto"/>
        <w:jc w:val="both"/>
        <w:rPr>
          <w:rFonts w:ascii="Palatino Linotype" w:eastAsia="Palatino Linotype" w:hAnsi="Palatino Linotype" w:cs="Palatino Linotype"/>
        </w:rPr>
      </w:pPr>
    </w:p>
    <w:p w14:paraId="1285791E" w14:textId="77777777" w:rsidR="003805A1" w:rsidRPr="001E3DFF" w:rsidRDefault="003805A1">
      <w:pPr>
        <w:spacing w:line="360" w:lineRule="auto"/>
        <w:jc w:val="both"/>
        <w:rPr>
          <w:rFonts w:ascii="Palatino Linotype" w:eastAsia="Palatino Linotype" w:hAnsi="Palatino Linotype" w:cs="Palatino Linotype"/>
        </w:rPr>
      </w:pPr>
    </w:p>
    <w:p w14:paraId="25842ABF" w14:textId="77777777" w:rsidR="003805A1" w:rsidRPr="001E3DFF" w:rsidRDefault="003805A1">
      <w:pPr>
        <w:spacing w:line="360" w:lineRule="auto"/>
        <w:jc w:val="both"/>
        <w:rPr>
          <w:rFonts w:ascii="Palatino Linotype" w:eastAsia="Palatino Linotype" w:hAnsi="Palatino Linotype" w:cs="Palatino Linotype"/>
        </w:rPr>
      </w:pPr>
    </w:p>
    <w:p w14:paraId="5A68B9BA" w14:textId="77777777" w:rsidR="003805A1" w:rsidRPr="001E3DFF" w:rsidRDefault="003805A1">
      <w:pPr>
        <w:spacing w:line="360" w:lineRule="auto"/>
        <w:jc w:val="both"/>
        <w:rPr>
          <w:rFonts w:ascii="Palatino Linotype" w:eastAsia="Palatino Linotype" w:hAnsi="Palatino Linotype" w:cs="Palatino Linotype"/>
        </w:rPr>
      </w:pPr>
    </w:p>
    <w:p w14:paraId="7EA9F453" w14:textId="77777777" w:rsidR="003805A1" w:rsidRPr="001E3DFF" w:rsidRDefault="003805A1">
      <w:pPr>
        <w:spacing w:line="360" w:lineRule="auto"/>
        <w:jc w:val="both"/>
        <w:rPr>
          <w:rFonts w:ascii="Palatino Linotype" w:eastAsia="Palatino Linotype" w:hAnsi="Palatino Linotype" w:cs="Palatino Linotype"/>
        </w:rPr>
      </w:pPr>
    </w:p>
    <w:p w14:paraId="590F1999" w14:textId="77777777" w:rsidR="003805A1" w:rsidRPr="001E3DFF" w:rsidRDefault="003805A1">
      <w:pPr>
        <w:spacing w:line="360" w:lineRule="auto"/>
        <w:jc w:val="both"/>
        <w:rPr>
          <w:rFonts w:ascii="Palatino Linotype" w:eastAsia="Palatino Linotype" w:hAnsi="Palatino Linotype" w:cs="Palatino Linotype"/>
        </w:rPr>
      </w:pPr>
    </w:p>
    <w:p w14:paraId="3355EFC1" w14:textId="77777777" w:rsidR="003805A1" w:rsidRPr="001E3DFF" w:rsidRDefault="003805A1">
      <w:pPr>
        <w:spacing w:line="360" w:lineRule="auto"/>
        <w:jc w:val="both"/>
        <w:rPr>
          <w:rFonts w:ascii="Palatino Linotype" w:eastAsia="Palatino Linotype" w:hAnsi="Palatino Linotype" w:cs="Palatino Linotype"/>
        </w:rPr>
      </w:pPr>
    </w:p>
    <w:p w14:paraId="02DB8B8B" w14:textId="77777777" w:rsidR="003805A1" w:rsidRPr="001E3DFF" w:rsidRDefault="003805A1">
      <w:pPr>
        <w:spacing w:line="360" w:lineRule="auto"/>
        <w:jc w:val="both"/>
        <w:rPr>
          <w:rFonts w:ascii="Palatino Linotype" w:eastAsia="Palatino Linotype" w:hAnsi="Palatino Linotype" w:cs="Palatino Linotype"/>
        </w:rPr>
      </w:pPr>
    </w:p>
    <w:p w14:paraId="3B851176" w14:textId="77777777" w:rsidR="003805A1" w:rsidRPr="001E3DFF" w:rsidRDefault="003805A1">
      <w:pPr>
        <w:spacing w:line="360" w:lineRule="auto"/>
        <w:jc w:val="both"/>
        <w:rPr>
          <w:rFonts w:ascii="Palatino Linotype" w:eastAsia="Palatino Linotype" w:hAnsi="Palatino Linotype" w:cs="Palatino Linotype"/>
        </w:rPr>
      </w:pPr>
    </w:p>
    <w:p w14:paraId="7AFBBE06" w14:textId="77777777" w:rsidR="003805A1" w:rsidRPr="001E3DFF" w:rsidRDefault="003805A1">
      <w:pPr>
        <w:spacing w:line="360" w:lineRule="auto"/>
        <w:jc w:val="both"/>
        <w:rPr>
          <w:rFonts w:ascii="Palatino Linotype" w:eastAsia="Palatino Linotype" w:hAnsi="Palatino Linotype" w:cs="Palatino Linotype"/>
        </w:rPr>
      </w:pPr>
    </w:p>
    <w:p w14:paraId="26B5DB13" w14:textId="77777777" w:rsidR="003805A1" w:rsidRPr="001E3DFF" w:rsidRDefault="003805A1">
      <w:pPr>
        <w:spacing w:line="360" w:lineRule="auto"/>
        <w:jc w:val="both"/>
        <w:rPr>
          <w:rFonts w:ascii="Palatino Linotype" w:eastAsia="Palatino Linotype" w:hAnsi="Palatino Linotype" w:cs="Palatino Linotype"/>
        </w:rPr>
      </w:pPr>
    </w:p>
    <w:p w14:paraId="29A23B26" w14:textId="77777777" w:rsidR="003805A1" w:rsidRPr="001E3DFF" w:rsidRDefault="003805A1">
      <w:pPr>
        <w:spacing w:line="360" w:lineRule="auto"/>
        <w:jc w:val="both"/>
        <w:rPr>
          <w:rFonts w:ascii="Palatino Linotype" w:eastAsia="Palatino Linotype" w:hAnsi="Palatino Linotype" w:cs="Palatino Linotype"/>
        </w:rPr>
      </w:pPr>
    </w:p>
    <w:p w14:paraId="4FC3F313" w14:textId="77777777" w:rsidR="003805A1" w:rsidRPr="001E3DFF" w:rsidRDefault="003805A1">
      <w:pPr>
        <w:spacing w:line="360" w:lineRule="auto"/>
        <w:jc w:val="both"/>
        <w:rPr>
          <w:rFonts w:ascii="Palatino Linotype" w:eastAsia="Palatino Linotype" w:hAnsi="Palatino Linotype" w:cs="Palatino Linotype"/>
        </w:rPr>
      </w:pPr>
    </w:p>
    <w:p w14:paraId="2B510AAD" w14:textId="77777777" w:rsidR="003805A1" w:rsidRPr="001E3DFF" w:rsidRDefault="003805A1">
      <w:pPr>
        <w:spacing w:line="360" w:lineRule="auto"/>
        <w:jc w:val="both"/>
        <w:rPr>
          <w:rFonts w:ascii="Palatino Linotype" w:eastAsia="Palatino Linotype" w:hAnsi="Palatino Linotype" w:cs="Palatino Linotype"/>
        </w:rPr>
      </w:pPr>
    </w:p>
    <w:p w14:paraId="5F136277" w14:textId="77777777" w:rsidR="003805A1" w:rsidRPr="001E3DFF" w:rsidRDefault="003805A1">
      <w:pPr>
        <w:spacing w:line="360" w:lineRule="auto"/>
        <w:jc w:val="both"/>
        <w:rPr>
          <w:rFonts w:ascii="Palatino Linotype" w:eastAsia="Palatino Linotype" w:hAnsi="Palatino Linotype" w:cs="Palatino Linotype"/>
        </w:rPr>
      </w:pPr>
    </w:p>
    <w:p w14:paraId="05B56459" w14:textId="77777777" w:rsidR="003805A1" w:rsidRPr="001E3DFF" w:rsidRDefault="003805A1">
      <w:pPr>
        <w:spacing w:line="360" w:lineRule="auto"/>
        <w:jc w:val="both"/>
        <w:rPr>
          <w:rFonts w:ascii="Palatino Linotype" w:eastAsia="Palatino Linotype" w:hAnsi="Palatino Linotype" w:cs="Palatino Linotype"/>
        </w:rPr>
      </w:pPr>
    </w:p>
    <w:p w14:paraId="1AD75A24" w14:textId="77777777" w:rsidR="003805A1" w:rsidRPr="001E3DFF" w:rsidRDefault="003805A1">
      <w:pPr>
        <w:spacing w:line="360" w:lineRule="auto"/>
        <w:jc w:val="both"/>
        <w:rPr>
          <w:rFonts w:ascii="Palatino Linotype" w:eastAsia="Palatino Linotype" w:hAnsi="Palatino Linotype" w:cs="Palatino Linotype"/>
        </w:rPr>
      </w:pPr>
    </w:p>
    <w:p w14:paraId="52A9C635" w14:textId="77777777" w:rsidR="003805A1" w:rsidRPr="001E3DFF" w:rsidRDefault="003805A1">
      <w:pPr>
        <w:spacing w:line="360" w:lineRule="auto"/>
        <w:jc w:val="both"/>
        <w:rPr>
          <w:rFonts w:ascii="Palatino Linotype" w:eastAsia="Palatino Linotype" w:hAnsi="Palatino Linotype" w:cs="Palatino Linotype"/>
        </w:rPr>
      </w:pPr>
    </w:p>
    <w:p w14:paraId="5625C2C2" w14:textId="77777777" w:rsidR="003805A1" w:rsidRPr="001E3DFF" w:rsidRDefault="003805A1">
      <w:pPr>
        <w:spacing w:line="360" w:lineRule="auto"/>
        <w:jc w:val="both"/>
        <w:rPr>
          <w:rFonts w:ascii="Palatino Linotype" w:eastAsia="Palatino Linotype" w:hAnsi="Palatino Linotype" w:cs="Palatino Linotype"/>
        </w:rPr>
      </w:pPr>
    </w:p>
    <w:p w14:paraId="01AD6EB6" w14:textId="77777777" w:rsidR="003805A1" w:rsidRPr="001E3DFF" w:rsidRDefault="003805A1">
      <w:pPr>
        <w:spacing w:line="360" w:lineRule="auto"/>
        <w:jc w:val="both"/>
        <w:rPr>
          <w:rFonts w:ascii="Palatino Linotype" w:eastAsia="Palatino Linotype" w:hAnsi="Palatino Linotype" w:cs="Palatino Linotype"/>
        </w:rPr>
      </w:pPr>
    </w:p>
    <w:sectPr w:rsidR="003805A1" w:rsidRPr="001E3DF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470A" w14:textId="77777777" w:rsidR="00000000" w:rsidRDefault="007A61DC">
      <w:r>
        <w:separator/>
      </w:r>
    </w:p>
  </w:endnote>
  <w:endnote w:type="continuationSeparator" w:id="0">
    <w:p w14:paraId="64F38B4E" w14:textId="77777777" w:rsidR="00000000" w:rsidRDefault="007A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BBE2" w14:textId="77777777" w:rsidR="003805A1" w:rsidRDefault="007A61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3DFF">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3DFF">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p>
  <w:p w14:paraId="61D991A9" w14:textId="77777777" w:rsidR="003805A1" w:rsidRDefault="003805A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D80B" w14:textId="77777777" w:rsidR="003805A1" w:rsidRDefault="007A61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3DF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3DFF">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7522132E" w14:textId="77777777" w:rsidR="003805A1" w:rsidRDefault="003805A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6BF3" w14:textId="77777777" w:rsidR="00000000" w:rsidRDefault="007A61DC">
      <w:r>
        <w:separator/>
      </w:r>
    </w:p>
  </w:footnote>
  <w:footnote w:type="continuationSeparator" w:id="0">
    <w:p w14:paraId="6AFA7EB8" w14:textId="77777777" w:rsidR="00000000" w:rsidRDefault="007A61DC">
      <w:r>
        <w:continuationSeparator/>
      </w:r>
    </w:p>
  </w:footnote>
  <w:footnote w:id="1">
    <w:p w14:paraId="6FF45BCC" w14:textId="77777777" w:rsidR="003805A1" w:rsidRDefault="007A61D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C729661" w14:textId="77777777" w:rsidR="003805A1" w:rsidRDefault="007A61D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2FFB59F" w14:textId="77777777" w:rsidR="003805A1" w:rsidRDefault="007A61D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w:t>
      </w:r>
      <w:r>
        <w:rPr>
          <w:rFonts w:ascii="Palatino Linotype" w:eastAsia="Palatino Linotype" w:hAnsi="Palatino Linotype" w:cs="Palatino Linotype"/>
          <w:color w:val="000000"/>
          <w:sz w:val="16"/>
          <w:szCs w:val="16"/>
        </w:rPr>
        <w:t>r por el medio requerido por el solicitante la fuente, el lugar y la forma en que puede consultar, reproducir o adquirir dicha información en un plazo no mayor a cinco días hábiles. La fuente deberá ser precisa y concreta y no debe implicar que el solicita</w:t>
      </w:r>
      <w:r>
        <w:rPr>
          <w:rFonts w:ascii="Palatino Linotype" w:eastAsia="Palatino Linotype" w:hAnsi="Palatino Linotype" w:cs="Palatino Linotype"/>
          <w:color w:val="000000"/>
          <w:sz w:val="16"/>
          <w:szCs w:val="16"/>
        </w:rPr>
        <w:t>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F63D" w14:textId="77777777" w:rsidR="003805A1" w:rsidRDefault="007A61DC">
    <w:pPr>
      <w:rPr>
        <w:rFonts w:ascii="Cambria" w:eastAsia="Cambria" w:hAnsi="Cambria" w:cs="Cambria"/>
        <w:color w:val="000000"/>
      </w:rPr>
    </w:pPr>
    <w:r>
      <w:rPr>
        <w:noProof/>
      </w:rPr>
      <w:drawing>
        <wp:anchor distT="0" distB="0" distL="0" distR="0" simplePos="0" relativeHeight="251658240" behindDoc="1" locked="0" layoutInCell="1" hidden="0" allowOverlap="1" wp14:anchorId="2AA97CA9" wp14:editId="432039FC">
          <wp:simplePos x="0" y="0"/>
          <wp:positionH relativeFrom="column">
            <wp:posOffset>-1080126</wp:posOffset>
          </wp:positionH>
          <wp:positionV relativeFrom="paragraph">
            <wp:posOffset>-488306</wp:posOffset>
          </wp:positionV>
          <wp:extent cx="7809865" cy="10165715"/>
          <wp:effectExtent l="0" t="0" r="0" b="0"/>
          <wp:wrapNone/>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3805A1" w14:paraId="26292142" w14:textId="77777777">
      <w:tc>
        <w:tcPr>
          <w:tcW w:w="2489" w:type="dxa"/>
          <w:shd w:val="clear" w:color="auto" w:fill="auto"/>
        </w:tcPr>
        <w:p w14:paraId="067F6C30" w14:textId="77777777" w:rsidR="003805A1" w:rsidRDefault="007A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16621BC" w14:textId="77777777" w:rsidR="003805A1" w:rsidRDefault="007A61D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05659/INFOEM/IP/RR/2022</w:t>
          </w:r>
        </w:p>
      </w:tc>
    </w:tr>
    <w:tr w:rsidR="003805A1" w14:paraId="071C94CD" w14:textId="77777777">
      <w:trPr>
        <w:trHeight w:val="228"/>
      </w:trPr>
      <w:tc>
        <w:tcPr>
          <w:tcW w:w="2489" w:type="dxa"/>
          <w:shd w:val="clear" w:color="auto" w:fill="auto"/>
          <w:vAlign w:val="center"/>
        </w:tcPr>
        <w:p w14:paraId="12EDB367" w14:textId="77777777" w:rsidR="003805A1" w:rsidRDefault="007A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4082267" w14:textId="77777777" w:rsidR="003805A1" w:rsidRDefault="007A61D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Aire</w:t>
          </w:r>
        </w:p>
      </w:tc>
    </w:tr>
    <w:tr w:rsidR="003805A1" w14:paraId="042584C2" w14:textId="77777777">
      <w:tc>
        <w:tcPr>
          <w:tcW w:w="2489" w:type="dxa"/>
          <w:shd w:val="clear" w:color="auto" w:fill="auto"/>
          <w:vAlign w:val="center"/>
        </w:tcPr>
        <w:p w14:paraId="6E85259B" w14:textId="77777777" w:rsidR="003805A1" w:rsidRDefault="007A61D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500A0CD" w14:textId="77777777" w:rsidR="003805A1" w:rsidRDefault="007A61D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62C75E" w14:textId="77777777" w:rsidR="003805A1" w:rsidRDefault="007A61D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1426" w14:textId="77777777" w:rsidR="003805A1" w:rsidRDefault="003805A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8"/>
      <w:tblW w:w="5670" w:type="dxa"/>
      <w:tblInd w:w="3261" w:type="dxa"/>
      <w:tblLayout w:type="fixed"/>
      <w:tblLook w:val="0400" w:firstRow="0" w:lastRow="0" w:firstColumn="0" w:lastColumn="0" w:noHBand="0" w:noVBand="1"/>
    </w:tblPr>
    <w:tblGrid>
      <w:gridCol w:w="2551"/>
      <w:gridCol w:w="3119"/>
    </w:tblGrid>
    <w:tr w:rsidR="003805A1" w14:paraId="1016AE95" w14:textId="77777777">
      <w:tc>
        <w:tcPr>
          <w:tcW w:w="2551" w:type="dxa"/>
          <w:shd w:val="clear" w:color="auto" w:fill="auto"/>
          <w:vAlign w:val="center"/>
        </w:tcPr>
        <w:p w14:paraId="05D3CCCD" w14:textId="77777777" w:rsidR="003805A1" w:rsidRDefault="007A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9648388" w14:textId="77777777" w:rsidR="003805A1" w:rsidRDefault="007A61D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05659/INFOEM/IP/RR/2022</w:t>
          </w:r>
        </w:p>
      </w:tc>
    </w:tr>
    <w:tr w:rsidR="003805A1" w14:paraId="16E86E51" w14:textId="77777777">
      <w:trPr>
        <w:trHeight w:val="130"/>
      </w:trPr>
      <w:tc>
        <w:tcPr>
          <w:tcW w:w="2551" w:type="dxa"/>
          <w:shd w:val="clear" w:color="auto" w:fill="auto"/>
          <w:vAlign w:val="center"/>
        </w:tcPr>
        <w:p w14:paraId="51344A1E" w14:textId="77777777" w:rsidR="003805A1" w:rsidRDefault="007A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E0C3F62" w14:textId="77777777" w:rsidR="003805A1" w:rsidRDefault="003805A1">
          <w:pPr>
            <w:ind w:left="-45"/>
            <w:jc w:val="both"/>
            <w:rPr>
              <w:rFonts w:ascii="Palatino Linotype" w:eastAsia="Palatino Linotype" w:hAnsi="Palatino Linotype" w:cs="Palatino Linotype"/>
              <w:b/>
              <w:sz w:val="22"/>
              <w:szCs w:val="22"/>
            </w:rPr>
          </w:pPr>
        </w:p>
      </w:tc>
    </w:tr>
    <w:tr w:rsidR="003805A1" w14:paraId="5D067706" w14:textId="77777777">
      <w:trPr>
        <w:trHeight w:val="228"/>
      </w:trPr>
      <w:tc>
        <w:tcPr>
          <w:tcW w:w="2551" w:type="dxa"/>
          <w:shd w:val="clear" w:color="auto" w:fill="auto"/>
          <w:vAlign w:val="center"/>
        </w:tcPr>
        <w:p w14:paraId="6DDCD97D" w14:textId="77777777" w:rsidR="003805A1" w:rsidRDefault="007A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C9075DD" w14:textId="77777777" w:rsidR="003805A1" w:rsidRDefault="007A61D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Aire</w:t>
          </w:r>
        </w:p>
      </w:tc>
    </w:tr>
    <w:tr w:rsidR="003805A1" w14:paraId="2EF5D38D" w14:textId="77777777">
      <w:tc>
        <w:tcPr>
          <w:tcW w:w="2551" w:type="dxa"/>
          <w:shd w:val="clear" w:color="auto" w:fill="auto"/>
          <w:vAlign w:val="center"/>
        </w:tcPr>
        <w:p w14:paraId="5C1115EB" w14:textId="77777777" w:rsidR="003805A1" w:rsidRDefault="007A6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682B210" w14:textId="77777777" w:rsidR="003805A1" w:rsidRDefault="007A61D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C1837E" w14:textId="77777777" w:rsidR="003805A1" w:rsidRDefault="007A61DC">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465D432D" wp14:editId="02E6EBE5">
          <wp:simplePos x="0" y="0"/>
          <wp:positionH relativeFrom="column">
            <wp:posOffset>-1089651</wp:posOffset>
          </wp:positionH>
          <wp:positionV relativeFrom="paragraph">
            <wp:posOffset>-1169661</wp:posOffset>
          </wp:positionV>
          <wp:extent cx="7809865" cy="10165715"/>
          <wp:effectExtent l="0" t="0" r="0" b="0"/>
          <wp:wrapNone/>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135F"/>
    <w:multiLevelType w:val="multilevel"/>
    <w:tmpl w:val="CD085D8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7710B2B"/>
    <w:multiLevelType w:val="multilevel"/>
    <w:tmpl w:val="3A6CA8E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42407007">
    <w:abstractNumId w:val="0"/>
  </w:num>
  <w:num w:numId="2" w16cid:durableId="170328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A1"/>
    <w:rsid w:val="001E3DFF"/>
    <w:rsid w:val="003805A1"/>
    <w:rsid w:val="007A6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8B62"/>
  <w15:docId w15:val="{74BA7188-8ECB-4C97-81A3-6CDC92CE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s-la.facebook.com/Gobiernodetenangodelaire/" TargetMode="External"/><Relationship Id="rId4" Type="http://schemas.openxmlformats.org/officeDocument/2006/relationships/settings" Target="settings.xml"/><Relationship Id="rId9" Type="http://schemas.openxmlformats.org/officeDocument/2006/relationships/hyperlink" Target="https://es-la.facebook.com/Gobiernodetenangodelair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bNWwjTOtl1KJkYFbBNb5PkeJA==">AMUW2mWcdFX+sH7vOMHSjKc+id9ynpWzxK3azFGoiEuwUU7tYB0KB3xOqrBk0sApvQWgtI32g4XK3EwzrdIrmdYq3k9XWcsmATynRDhZGafWa/gD18Q9Am5+R0NuTzA/wlndW6ALpozmESffuK7DNNKkwx4ypjJE9wLgpGx6/266xgLjUCKe1XNvgwOpMJoDSHBgVtnkhshJMDF769tJ60uW6bWvSg8bJBnHdEFGPhqCoW1Q8hvOOUp3VgHCZ630lpKaf5IgDSDGo1wGE5NoLZeEZ+82uLhR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5259</Words>
  <Characters>28926</Characters>
  <Application>Microsoft Office Word</Application>
  <DocSecurity>0</DocSecurity>
  <Lines>241</Lines>
  <Paragraphs>68</Paragraphs>
  <ScaleCrop>false</ScaleCrop>
  <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3</cp:revision>
  <dcterms:created xsi:type="dcterms:W3CDTF">2022-08-11T05:06:00Z</dcterms:created>
  <dcterms:modified xsi:type="dcterms:W3CDTF">2022-08-18T14:54:00Z</dcterms:modified>
</cp:coreProperties>
</file>