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C6DC3D8" w14:textId="77777777" w:rsidR="00F2419E" w:rsidRDefault="0034450F">
      <w:pPr>
        <w:spacing w:before="240" w:after="240" w:line="360" w:lineRule="auto"/>
        <w:jc w:val="both"/>
        <w:rPr>
          <w:rFonts w:ascii="Palatino Linotype" w:eastAsia="Palatino Linotype" w:hAnsi="Palatino Linotype" w:cs="Palatino Linotype"/>
        </w:rPr>
      </w:pPr>
      <w:bookmarkStart w:id="0" w:name="_heading=h.tyjcwt" w:colFirst="0" w:colLast="0"/>
      <w:bookmarkStart w:id="1" w:name="_GoBack"/>
      <w:bookmarkEnd w:id="0"/>
      <w:bookmarkEnd w:id="1"/>
      <w:r>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a trece de julio de dos mil veintidós. </w:t>
      </w:r>
    </w:p>
    <w:p w14:paraId="19FF3E37" w14:textId="77777777" w:rsidR="00F2419E" w:rsidRDefault="0034450F">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VISTO</w:t>
      </w:r>
      <w:r>
        <w:rPr>
          <w:rFonts w:ascii="Palatino Linotype" w:eastAsia="Palatino Linotype" w:hAnsi="Palatino Linotype" w:cs="Palatino Linotype"/>
        </w:rPr>
        <w:t xml:space="preserve"> el expediente formado con motivo del recurso de revisión </w:t>
      </w:r>
      <w:r>
        <w:rPr>
          <w:rFonts w:ascii="Palatino Linotype" w:eastAsia="Palatino Linotype" w:hAnsi="Palatino Linotype" w:cs="Palatino Linotype"/>
          <w:b/>
        </w:rPr>
        <w:t>03944/INFOEM/IP/RR/2022</w:t>
      </w:r>
      <w:r>
        <w:rPr>
          <w:rFonts w:ascii="Palatino Linotype" w:eastAsia="Palatino Linotype" w:hAnsi="Palatino Linotype" w:cs="Palatino Linotype"/>
        </w:rPr>
        <w:t>, interpuesto por una persona usuaria del Sistema de Acceso a la Información Mexiquense (SAIMEX) que no proporcionó nombre o seudónimo y quien en lo sucesivo</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será identificado en su calidad de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en contra de la respuesta de la </w:t>
      </w:r>
      <w:r>
        <w:rPr>
          <w:rFonts w:ascii="Palatino Linotype" w:eastAsia="Palatino Linotype" w:hAnsi="Palatino Linotype" w:cs="Palatino Linotype"/>
          <w:b/>
        </w:rPr>
        <w:t xml:space="preserve">Comisión del Agua del Estado de México, </w:t>
      </w:r>
      <w:r>
        <w:rPr>
          <w:rFonts w:ascii="Palatino Linotype" w:eastAsia="Palatino Linotype" w:hAnsi="Palatino Linotype" w:cs="Palatino Linotype"/>
        </w:rPr>
        <w:t xml:space="preserve">en lo sucesivo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se procede a dictar la presente resolución con base en los siguientes: </w:t>
      </w:r>
    </w:p>
    <w:p w14:paraId="70028A7C" w14:textId="77777777" w:rsidR="00F2419E" w:rsidRDefault="0034450F">
      <w:pPr>
        <w:spacing w:before="240" w:after="240" w:line="360" w:lineRule="auto"/>
        <w:jc w:val="center"/>
        <w:rPr>
          <w:rFonts w:ascii="Palatino Linotype" w:eastAsia="Palatino Linotype" w:hAnsi="Palatino Linotype" w:cs="Palatino Linotype"/>
          <w:b/>
          <w:sz w:val="28"/>
          <w:szCs w:val="28"/>
        </w:rPr>
      </w:pPr>
      <w:bookmarkStart w:id="2" w:name="_heading=h.3znysh7" w:colFirst="0" w:colLast="0"/>
      <w:bookmarkEnd w:id="2"/>
      <w:r>
        <w:rPr>
          <w:rFonts w:ascii="Palatino Linotype" w:eastAsia="Palatino Linotype" w:hAnsi="Palatino Linotype" w:cs="Palatino Linotype"/>
          <w:b/>
        </w:rPr>
        <w:t>I. A N T E C E D E N T E S</w:t>
      </w:r>
    </w:p>
    <w:p w14:paraId="2C87B454" w14:textId="77777777" w:rsidR="00F2419E" w:rsidRDefault="0034450F">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1. Solicitud de acceso a la información.</w:t>
      </w:r>
      <w:r>
        <w:rPr>
          <w:rFonts w:ascii="Palatino Linotype" w:eastAsia="Palatino Linotype" w:hAnsi="Palatino Linotype" w:cs="Palatino Linotype"/>
        </w:rPr>
        <w:t xml:space="preserve"> El </w:t>
      </w:r>
      <w:r>
        <w:rPr>
          <w:rFonts w:ascii="Palatino Linotype" w:eastAsia="Palatino Linotype" w:hAnsi="Palatino Linotype" w:cs="Palatino Linotype"/>
          <w:b/>
        </w:rPr>
        <w:t>treinta y uno de enero de dos mil veintidós,</w:t>
      </w:r>
      <w:r>
        <w:rPr>
          <w:rFonts w:ascii="Palatino Linotype" w:eastAsia="Palatino Linotype" w:hAnsi="Palatino Linotype" w:cs="Palatino Linotype"/>
        </w:rPr>
        <w:t xml:space="preserve"> el </w:t>
      </w:r>
      <w:r>
        <w:rPr>
          <w:rFonts w:ascii="Palatino Linotype" w:eastAsia="Palatino Linotype" w:hAnsi="Palatino Linotype" w:cs="Palatino Linotype"/>
          <w:b/>
        </w:rPr>
        <w:t xml:space="preserve">RECURRENTE </w:t>
      </w:r>
      <w:r>
        <w:rPr>
          <w:rFonts w:ascii="Palatino Linotype" w:eastAsia="Palatino Linotype" w:hAnsi="Palatino Linotype" w:cs="Palatino Linotype"/>
        </w:rPr>
        <w:t>presentó a través del Sistema de Acceso a la Información Mexiquense (</w:t>
      </w:r>
      <w:r>
        <w:rPr>
          <w:rFonts w:ascii="Palatino Linotype" w:eastAsia="Palatino Linotype" w:hAnsi="Palatino Linotype" w:cs="Palatino Linotype"/>
          <w:b/>
        </w:rPr>
        <w:t>SAIMEX),</w:t>
      </w:r>
      <w:r>
        <w:rPr>
          <w:rFonts w:ascii="Palatino Linotype" w:eastAsia="Palatino Linotype" w:hAnsi="Palatino Linotype" w:cs="Palatino Linotype"/>
        </w:rPr>
        <w:t xml:space="preserve"> la solicitud de acceso a la información pública registrada con el número </w:t>
      </w:r>
      <w:r>
        <w:rPr>
          <w:rFonts w:ascii="Palatino Linotype" w:eastAsia="Palatino Linotype" w:hAnsi="Palatino Linotype" w:cs="Palatino Linotype"/>
          <w:b/>
        </w:rPr>
        <w:t xml:space="preserve">00015/CAEM/IP/2022, </w:t>
      </w:r>
      <w:r>
        <w:rPr>
          <w:rFonts w:ascii="Palatino Linotype" w:eastAsia="Palatino Linotype" w:hAnsi="Palatino Linotype" w:cs="Palatino Linotype"/>
        </w:rPr>
        <w:t xml:space="preserve">mediante la cual requirió la información siguiente: </w:t>
      </w:r>
    </w:p>
    <w:p w14:paraId="6D1DC8F7" w14:textId="77777777" w:rsidR="00F2419E" w:rsidRDefault="0034450F">
      <w:pPr>
        <w:spacing w:line="276" w:lineRule="auto"/>
        <w:ind w:left="851" w:right="1186"/>
        <w:jc w:val="both"/>
        <w:rPr>
          <w:rFonts w:ascii="Palatino Linotype" w:eastAsia="Palatino Linotype" w:hAnsi="Palatino Linotype" w:cs="Palatino Linotype"/>
          <w:i/>
          <w:sz w:val="22"/>
          <w:szCs w:val="22"/>
        </w:rPr>
      </w:pPr>
      <w:bookmarkStart w:id="3" w:name="_heading=h.gjdgxs" w:colFirst="0" w:colLast="0"/>
      <w:bookmarkEnd w:id="3"/>
      <w:r>
        <w:rPr>
          <w:rFonts w:ascii="Palatino Linotype" w:eastAsia="Palatino Linotype" w:hAnsi="Palatino Linotype" w:cs="Palatino Linotype"/>
          <w:i/>
          <w:sz w:val="22"/>
          <w:szCs w:val="22"/>
        </w:rPr>
        <w:t xml:space="preserve">“Por este medio solicito información de la empresa Comercializadora Macano, S.A. de C.V. la cual tiene un contrato de servicios con la Comisión del Agua del Estado de México. 1. Detalle de la licitación en la cual fue autorizada dicha empresa como Proveedor de la Comisión del agua del estado de México. 2. Copia del Contrato con la con la empresa Comercializadora Macano, S.A. de C.V. 3. Copia de Documentos base para el alta como proveedor tales como: acta constitutiva, poder legal, comprobante de domicilio, Constancia de Situación </w:t>
      </w:r>
      <w:r>
        <w:rPr>
          <w:rFonts w:ascii="Palatino Linotype" w:eastAsia="Palatino Linotype" w:hAnsi="Palatino Linotype" w:cs="Palatino Linotype"/>
          <w:i/>
          <w:sz w:val="22"/>
          <w:szCs w:val="22"/>
        </w:rPr>
        <w:lastRenderedPageBreak/>
        <w:t>Fiscal Además, solicitamos un Detalle de cada una de las operaciones efectuadas durante el ejercicio fiscal 2021 con la empresa Comercializadora Macano, S.A. de C.V. por mantenimiento mecánico, en la cual se especifique de forma clara la siguiente información: a) Concentrado en el cual se especifique la fecha, Número Económico de la Unidad, Tipo (Auto, camioneta, equipo pesado), Marca, Modelo, Placas, Numero Orden de servicio, descripción de la Orden de servicio donde se especifiquen los trabajos realizados, monto y dirección a la cual pertenece la unidad, Numero de Factura, y Cantidad pagada. b) Además, solicitamos Copias de cada una de las facturas, así como la copia del SPEI, Cheque, Transferencia u otro medio, donde fue efectuado el pago de cada una de las facturas a la empresa Comercializadora Macano, S.A. de C.V. por parte de la Comisión del Agua del Estado de México, especificadas en el concentrado antes solicitado.”(Sic)</w:t>
      </w:r>
    </w:p>
    <w:p w14:paraId="2AB38C64" w14:textId="77777777" w:rsidR="00F2419E" w:rsidRDefault="00F2419E">
      <w:pPr>
        <w:spacing w:line="276" w:lineRule="auto"/>
        <w:ind w:left="851" w:right="616"/>
        <w:jc w:val="both"/>
        <w:rPr>
          <w:rFonts w:ascii="Palatino Linotype" w:eastAsia="Palatino Linotype" w:hAnsi="Palatino Linotype" w:cs="Palatino Linotype"/>
          <w:b/>
          <w:i/>
          <w:sz w:val="22"/>
          <w:szCs w:val="22"/>
        </w:rPr>
      </w:pPr>
    </w:p>
    <w:p w14:paraId="451D9818" w14:textId="77777777" w:rsidR="00F2419E" w:rsidRDefault="0034450F">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Modalidad de Entrega:</w:t>
      </w:r>
      <w:r>
        <w:rPr>
          <w:rFonts w:ascii="Palatino Linotype" w:eastAsia="Palatino Linotype" w:hAnsi="Palatino Linotype" w:cs="Palatino Linotype"/>
        </w:rPr>
        <w:t xml:space="preserve"> El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señaló como modalidad de entrega a través del Sistema de Acceso a la Información Mexiquense (SAIMEX).</w:t>
      </w:r>
    </w:p>
    <w:p w14:paraId="1B609A4D" w14:textId="77777777" w:rsidR="001503EE" w:rsidRDefault="0034450F">
      <w:pPr>
        <w:spacing w:line="360" w:lineRule="auto"/>
        <w:jc w:val="both"/>
        <w:rPr>
          <w:rFonts w:ascii="Palatino Linotype" w:eastAsia="Palatino Linotype" w:hAnsi="Palatino Linotype" w:cs="Palatino Linotype"/>
        </w:rPr>
      </w:pPr>
      <w:r w:rsidRPr="001503EE">
        <w:rPr>
          <w:rFonts w:ascii="Palatino Linotype" w:eastAsia="Palatino Linotype" w:hAnsi="Palatino Linotype" w:cs="Palatino Linotype"/>
          <w:b/>
        </w:rPr>
        <w:t>2</w:t>
      </w:r>
      <w:r w:rsidRPr="001503EE">
        <w:rPr>
          <w:rFonts w:ascii="Palatino Linotype" w:eastAsia="Palatino Linotype" w:hAnsi="Palatino Linotype" w:cs="Palatino Linotype"/>
        </w:rPr>
        <w:t>.</w:t>
      </w:r>
      <w:r w:rsidRPr="001503EE">
        <w:rPr>
          <w:rFonts w:ascii="Palatino Linotype" w:eastAsia="Palatino Linotype" w:hAnsi="Palatino Linotype" w:cs="Palatino Linotype"/>
          <w:i/>
        </w:rPr>
        <w:t xml:space="preserve"> </w:t>
      </w:r>
      <w:r w:rsidR="001503EE" w:rsidRPr="001503EE">
        <w:rPr>
          <w:rFonts w:ascii="Palatino Linotype" w:eastAsia="Palatino Linotype" w:hAnsi="Palatino Linotype" w:cs="Palatino Linotype"/>
          <w:b/>
        </w:rPr>
        <w:t>P</w:t>
      </w:r>
      <w:r w:rsidR="001503EE">
        <w:rPr>
          <w:rFonts w:ascii="Palatino Linotype" w:eastAsia="Palatino Linotype" w:hAnsi="Palatino Linotype" w:cs="Palatino Linotype"/>
          <w:b/>
        </w:rPr>
        <w:t>ró</w:t>
      </w:r>
      <w:r w:rsidR="001503EE" w:rsidRPr="001503EE">
        <w:rPr>
          <w:rFonts w:ascii="Palatino Linotype" w:eastAsia="Palatino Linotype" w:hAnsi="Palatino Linotype" w:cs="Palatino Linotype"/>
          <w:b/>
        </w:rPr>
        <w:t xml:space="preserve">rroga: </w:t>
      </w:r>
      <w:r w:rsidR="001503EE">
        <w:rPr>
          <w:rFonts w:ascii="Palatino Linotype" w:eastAsia="Palatino Linotype" w:hAnsi="Palatino Linotype" w:cs="Palatino Linotype"/>
        </w:rPr>
        <w:t xml:space="preserve">El veintidós de febrero de dos mil veintidós, el </w:t>
      </w:r>
      <w:r w:rsidR="001503EE">
        <w:rPr>
          <w:rFonts w:ascii="Palatino Linotype" w:eastAsia="Palatino Linotype" w:hAnsi="Palatino Linotype" w:cs="Palatino Linotype"/>
          <w:b/>
        </w:rPr>
        <w:t xml:space="preserve">SUJETO OBLIGADO </w:t>
      </w:r>
      <w:r w:rsidR="001503EE">
        <w:rPr>
          <w:rFonts w:ascii="Palatino Linotype" w:eastAsia="Palatino Linotype" w:hAnsi="Palatino Linotype" w:cs="Palatino Linotype"/>
        </w:rPr>
        <w:t xml:space="preserve">manifestó: </w:t>
      </w:r>
    </w:p>
    <w:p w14:paraId="640C3DAF" w14:textId="77777777" w:rsidR="001503EE" w:rsidRDefault="001503EE" w:rsidP="001503EE">
      <w:pPr>
        <w:spacing w:line="360" w:lineRule="auto"/>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sidRPr="001503EE">
        <w:rPr>
          <w:rFonts w:ascii="Palatino Linotype" w:eastAsia="Palatino Linotype" w:hAnsi="Palatino Linotype" w:cs="Palatino Linotype"/>
          <w:i/>
          <w:sz w:val="22"/>
          <w:szCs w:val="22"/>
        </w:rPr>
        <w:t xml:space="preserve">Oficio No. 219C0110000301S/ 061 /2022 Naucalpan de Juárez, Estado de México 22 de Febrero de 2022 Estimado Peticionario FOLIO DE LA SOLICITUD: 00015/CAEM/IP/2022 PRESENTE 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 Atendiendo su solicitud, se convocó al Comité de Transparencia de la CAEM para exponer los motivos que originaron su solicitud de prórroga. El comité sesionó en forma extraordinaria el día 21 de febrero de 2022, llevando a cabo la sesión 66 E, acordando otorgarle un plazo de siete días hábiles para dar contestación a la </w:t>
      </w:r>
      <w:r w:rsidRPr="001503EE">
        <w:rPr>
          <w:rFonts w:ascii="Palatino Linotype" w:eastAsia="Palatino Linotype" w:hAnsi="Palatino Linotype" w:cs="Palatino Linotype"/>
          <w:i/>
          <w:sz w:val="22"/>
          <w:szCs w:val="22"/>
        </w:rPr>
        <w:lastRenderedPageBreak/>
        <w:t>solicitud 00015/CAEM/IP/2022, generando el acuerdo COMINFORM-66-E-21022022-02 Sin otro particular por el momento, aprovecho la ocasión para enviarle un cordial saludo</w:t>
      </w:r>
      <w:r>
        <w:rPr>
          <w:rFonts w:ascii="Palatino Linotype" w:eastAsia="Palatino Linotype" w:hAnsi="Palatino Linotype" w:cs="Palatino Linotype"/>
          <w:i/>
          <w:sz w:val="22"/>
          <w:szCs w:val="22"/>
        </w:rPr>
        <w:t xml:space="preserve">.” </w:t>
      </w:r>
    </w:p>
    <w:p w14:paraId="44A747E1" w14:textId="77777777" w:rsidR="001503EE" w:rsidRDefault="001503EE" w:rsidP="001503EE">
      <w:pPr>
        <w:spacing w:line="360" w:lineRule="auto"/>
        <w:ind w:left="851" w:right="616"/>
        <w:jc w:val="both"/>
        <w:rPr>
          <w:rFonts w:ascii="Palatino Linotype" w:eastAsia="Palatino Linotype" w:hAnsi="Palatino Linotype" w:cs="Palatino Linotype"/>
          <w:i/>
          <w:sz w:val="22"/>
          <w:szCs w:val="22"/>
        </w:rPr>
      </w:pPr>
    </w:p>
    <w:p w14:paraId="607D4C64" w14:textId="77777777" w:rsidR="001503EE" w:rsidRDefault="001503EE" w:rsidP="001503EE">
      <w:pPr>
        <w:spacing w:line="360" w:lineRule="auto"/>
        <w:ind w:left="851" w:right="616"/>
        <w:jc w:val="both"/>
        <w:rPr>
          <w:rFonts w:ascii="Palatino Linotype" w:eastAsia="Palatino Linotype" w:hAnsi="Palatino Linotype" w:cs="Palatino Linotype"/>
        </w:rPr>
      </w:pPr>
      <w:r w:rsidRPr="001503EE">
        <w:rPr>
          <w:rFonts w:ascii="Palatino Linotype" w:eastAsia="Palatino Linotype" w:hAnsi="Palatino Linotype" w:cs="Palatino Linotype"/>
        </w:rPr>
        <w:t xml:space="preserve">Pronunciamiento </w:t>
      </w:r>
      <w:r>
        <w:rPr>
          <w:rFonts w:ascii="Palatino Linotype" w:eastAsia="Palatino Linotype" w:hAnsi="Palatino Linotype" w:cs="Palatino Linotype"/>
        </w:rPr>
        <w:t>al que agregó el archivo denominado “</w:t>
      </w:r>
      <w:r w:rsidRPr="001503EE">
        <w:rPr>
          <w:rFonts w:ascii="Palatino Linotype" w:eastAsia="Palatino Linotype" w:hAnsi="Palatino Linotype" w:cs="Palatino Linotype"/>
          <w:b/>
          <w:i/>
        </w:rPr>
        <w:t>0015 proroga.docx</w:t>
      </w:r>
      <w:r>
        <w:rPr>
          <w:rFonts w:ascii="Palatino Linotype" w:eastAsia="Palatino Linotype" w:hAnsi="Palatino Linotype" w:cs="Palatino Linotype"/>
          <w:b/>
          <w:i/>
        </w:rPr>
        <w:t xml:space="preserve">” </w:t>
      </w:r>
      <w:r>
        <w:rPr>
          <w:rFonts w:ascii="Palatino Linotype" w:eastAsia="Palatino Linotype" w:hAnsi="Palatino Linotype" w:cs="Palatino Linotype"/>
        </w:rPr>
        <w:t xml:space="preserve">cuyo contenido es el siguiente: </w:t>
      </w:r>
    </w:p>
    <w:p w14:paraId="41E8875F" w14:textId="77777777" w:rsidR="001503EE" w:rsidRPr="001503EE" w:rsidRDefault="001503EE" w:rsidP="001503EE">
      <w:pPr>
        <w:spacing w:line="360" w:lineRule="auto"/>
        <w:ind w:left="851" w:right="616"/>
        <w:jc w:val="both"/>
        <w:rPr>
          <w:rFonts w:ascii="Palatino Linotype" w:eastAsia="Palatino Linotype" w:hAnsi="Palatino Linotype" w:cs="Palatino Linotype"/>
        </w:rPr>
      </w:pPr>
      <w:r w:rsidRPr="001503EE">
        <w:rPr>
          <w:rFonts w:ascii="Palatino Linotype" w:eastAsia="Palatino Linotype" w:hAnsi="Palatino Linotype" w:cs="Palatino Linotype"/>
          <w:noProof/>
          <w:lang w:val="es-MX"/>
        </w:rPr>
        <w:drawing>
          <wp:inline distT="0" distB="0" distL="0" distR="0" wp14:anchorId="2608F764" wp14:editId="41078EEB">
            <wp:extent cx="4705350" cy="4457700"/>
            <wp:effectExtent l="19050" t="19050" r="19050" b="190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706007" cy="4458322"/>
                    </a:xfrm>
                    <a:prstGeom prst="rect">
                      <a:avLst/>
                    </a:prstGeom>
                    <a:ln w="12700">
                      <a:solidFill>
                        <a:schemeClr val="tx1"/>
                      </a:solidFill>
                    </a:ln>
                  </pic:spPr>
                </pic:pic>
              </a:graphicData>
            </a:graphic>
          </wp:inline>
        </w:drawing>
      </w:r>
    </w:p>
    <w:p w14:paraId="109E28B2" w14:textId="77777777" w:rsidR="001503EE" w:rsidRPr="001503EE" w:rsidRDefault="001503EE">
      <w:pPr>
        <w:spacing w:line="360" w:lineRule="auto"/>
        <w:jc w:val="both"/>
        <w:rPr>
          <w:rFonts w:ascii="Palatino Linotype" w:eastAsia="Palatino Linotype" w:hAnsi="Palatino Linotype" w:cs="Palatino Linotype"/>
        </w:rPr>
      </w:pPr>
    </w:p>
    <w:p w14:paraId="1E8BFEB2" w14:textId="77777777" w:rsidR="00F2419E" w:rsidRDefault="001503EE">
      <w:pPr>
        <w:spacing w:line="360" w:lineRule="auto"/>
        <w:jc w:val="both"/>
        <w:rPr>
          <w:rFonts w:ascii="Palatino Linotype" w:eastAsia="Palatino Linotype" w:hAnsi="Palatino Linotype" w:cs="Palatino Linotype"/>
          <w:i/>
          <w:sz w:val="22"/>
          <w:szCs w:val="22"/>
        </w:rPr>
      </w:pPr>
      <w:r>
        <w:rPr>
          <w:rFonts w:ascii="Palatino Linotype" w:eastAsia="Palatino Linotype" w:hAnsi="Palatino Linotype" w:cs="Palatino Linotype"/>
          <w:b/>
          <w:sz w:val="22"/>
          <w:szCs w:val="22"/>
        </w:rPr>
        <w:t xml:space="preserve">3. </w:t>
      </w:r>
      <w:r w:rsidR="0034450F">
        <w:rPr>
          <w:rFonts w:ascii="Palatino Linotype" w:eastAsia="Palatino Linotype" w:hAnsi="Palatino Linotype" w:cs="Palatino Linotype"/>
          <w:b/>
        </w:rPr>
        <w:t xml:space="preserve">Respuesta. </w:t>
      </w:r>
      <w:r w:rsidR="0034450F">
        <w:rPr>
          <w:rFonts w:ascii="Palatino Linotype" w:eastAsia="Palatino Linotype" w:hAnsi="Palatino Linotype" w:cs="Palatino Linotype"/>
        </w:rPr>
        <w:t xml:space="preserve"> El </w:t>
      </w:r>
      <w:r w:rsidR="0034450F">
        <w:rPr>
          <w:rFonts w:ascii="Palatino Linotype" w:eastAsia="Palatino Linotype" w:hAnsi="Palatino Linotype" w:cs="Palatino Linotype"/>
          <w:b/>
        </w:rPr>
        <w:t>tres de marzo de dos mil veintidós</w:t>
      </w:r>
      <w:r w:rsidR="0034450F">
        <w:rPr>
          <w:rFonts w:ascii="Palatino Linotype" w:eastAsia="Palatino Linotype" w:hAnsi="Palatino Linotype" w:cs="Palatino Linotype"/>
        </w:rPr>
        <w:t xml:space="preserve">, el </w:t>
      </w:r>
      <w:r w:rsidR="0034450F">
        <w:rPr>
          <w:rFonts w:ascii="Palatino Linotype" w:eastAsia="Palatino Linotype" w:hAnsi="Palatino Linotype" w:cs="Palatino Linotype"/>
          <w:b/>
        </w:rPr>
        <w:t>SUJETO OBLIGADO</w:t>
      </w:r>
      <w:r w:rsidR="0034450F">
        <w:rPr>
          <w:rFonts w:ascii="Palatino Linotype" w:eastAsia="Palatino Linotype" w:hAnsi="Palatino Linotype" w:cs="Palatino Linotype"/>
        </w:rPr>
        <w:t xml:space="preserve"> respondió a la solicitud de información en los términos siguientes:</w:t>
      </w:r>
    </w:p>
    <w:p w14:paraId="7BB6B7D2" w14:textId="77777777" w:rsidR="00F2419E" w:rsidRDefault="00F2419E">
      <w:pPr>
        <w:spacing w:line="360" w:lineRule="auto"/>
        <w:ind w:left="851" w:right="616"/>
        <w:jc w:val="both"/>
        <w:rPr>
          <w:rFonts w:ascii="Palatino Linotype" w:eastAsia="Palatino Linotype" w:hAnsi="Palatino Linotype" w:cs="Palatino Linotype"/>
          <w:i/>
          <w:sz w:val="22"/>
          <w:szCs w:val="22"/>
        </w:rPr>
      </w:pPr>
    </w:p>
    <w:p w14:paraId="2BB6E63B" w14:textId="77777777" w:rsidR="00F2419E" w:rsidRDefault="0034450F">
      <w:pPr>
        <w:spacing w:line="276" w:lineRule="auto"/>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“se anexa respuesta generada por la Dirección General de Administración y Finanzas.” </w:t>
      </w:r>
      <w:r>
        <w:rPr>
          <w:rFonts w:ascii="Palatino Linotype" w:eastAsia="Palatino Linotype" w:hAnsi="Palatino Linotype" w:cs="Palatino Linotype"/>
          <w:b/>
          <w:i/>
          <w:sz w:val="22"/>
          <w:szCs w:val="22"/>
          <w:u w:val="single"/>
        </w:rPr>
        <w:t>(</w:t>
      </w:r>
      <w:r>
        <w:rPr>
          <w:rFonts w:ascii="Palatino Linotype" w:eastAsia="Palatino Linotype" w:hAnsi="Palatino Linotype" w:cs="Palatino Linotype"/>
          <w:i/>
          <w:sz w:val="22"/>
          <w:szCs w:val="22"/>
        </w:rPr>
        <w:t>Sic)</w:t>
      </w:r>
    </w:p>
    <w:p w14:paraId="22AB317D" w14:textId="77777777" w:rsidR="00F2419E" w:rsidRDefault="00F2419E">
      <w:pPr>
        <w:ind w:left="851" w:right="900"/>
        <w:jc w:val="both"/>
        <w:rPr>
          <w:rFonts w:ascii="Palatino Linotype" w:eastAsia="Palatino Linotype" w:hAnsi="Palatino Linotype" w:cs="Palatino Linotype"/>
          <w:i/>
          <w:sz w:val="22"/>
          <w:szCs w:val="22"/>
        </w:rPr>
      </w:pPr>
    </w:p>
    <w:p w14:paraId="1C9649E6" w14:textId="77777777" w:rsidR="00F2419E" w:rsidRDefault="0034450F">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Pronunciamiento al que el </w:t>
      </w:r>
      <w:r w:rsidR="009B51B0">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adjuntó  los archivos electrónicos descritos en el orden siguiente: </w:t>
      </w:r>
    </w:p>
    <w:p w14:paraId="4C9DCCF4" w14:textId="77777777" w:rsidR="00F2419E" w:rsidRDefault="00F2419E">
      <w:pPr>
        <w:spacing w:line="360" w:lineRule="auto"/>
        <w:ind w:right="49"/>
        <w:jc w:val="both"/>
        <w:rPr>
          <w:rFonts w:ascii="Palatino Linotype" w:eastAsia="Palatino Linotype" w:hAnsi="Palatino Linotype" w:cs="Palatino Linotype"/>
        </w:rPr>
      </w:pPr>
    </w:p>
    <w:p w14:paraId="5CCC82A8" w14:textId="77777777" w:rsidR="00F2419E" w:rsidRDefault="0034450F">
      <w:pPr>
        <w:numPr>
          <w:ilvl w:val="0"/>
          <w:numId w:val="3"/>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b/>
          <w:i/>
          <w:color w:val="000000"/>
        </w:rPr>
      </w:pPr>
      <w:r>
        <w:rPr>
          <w:rFonts w:ascii="Palatino Linotype" w:eastAsia="Palatino Linotype" w:hAnsi="Palatino Linotype" w:cs="Palatino Linotype"/>
          <w:b/>
          <w:i/>
          <w:color w:val="000000"/>
        </w:rPr>
        <w:t xml:space="preserve">“res 15 03-03-2022-193416.pdf”: </w:t>
      </w:r>
      <w:r>
        <w:rPr>
          <w:rFonts w:ascii="Palatino Linotype" w:eastAsia="Palatino Linotype" w:hAnsi="Palatino Linotype" w:cs="Palatino Linotype"/>
          <w:color w:val="000000"/>
        </w:rPr>
        <w:t xml:space="preserve">Oficio número 219C0117L/417/2022 de fecha primero de marzo de dos mil veintidós, suscrito y signado por el Director General de Administración y Finanzas. </w:t>
      </w:r>
    </w:p>
    <w:p w14:paraId="2CBD54F4" w14:textId="77777777" w:rsidR="00F2419E" w:rsidRDefault="00F2419E">
      <w:pPr>
        <w:pBdr>
          <w:top w:val="nil"/>
          <w:left w:val="nil"/>
          <w:bottom w:val="nil"/>
          <w:right w:val="nil"/>
          <w:between w:val="nil"/>
        </w:pBdr>
        <w:spacing w:line="360" w:lineRule="auto"/>
        <w:ind w:right="49"/>
        <w:jc w:val="both"/>
        <w:rPr>
          <w:rFonts w:ascii="Palatino Linotype" w:eastAsia="Palatino Linotype" w:hAnsi="Palatino Linotype" w:cs="Palatino Linotype"/>
          <w:b/>
          <w:i/>
          <w:color w:val="000000"/>
        </w:rPr>
      </w:pPr>
    </w:p>
    <w:p w14:paraId="7670DA05" w14:textId="77777777" w:rsidR="00F2419E" w:rsidRDefault="0034450F">
      <w:pPr>
        <w:pBdr>
          <w:top w:val="nil"/>
          <w:left w:val="nil"/>
          <w:bottom w:val="nil"/>
          <w:right w:val="nil"/>
          <w:between w:val="nil"/>
        </w:pBdr>
        <w:spacing w:line="360" w:lineRule="auto"/>
        <w:ind w:right="49"/>
        <w:jc w:val="both"/>
        <w:rPr>
          <w:rFonts w:ascii="Palatino Linotype" w:eastAsia="Palatino Linotype" w:hAnsi="Palatino Linotype" w:cs="Palatino Linotype"/>
          <w:b/>
          <w:i/>
          <w:color w:val="000000"/>
        </w:rPr>
      </w:pPr>
      <w:r>
        <w:rPr>
          <w:rFonts w:ascii="Palatino Linotype" w:eastAsia="Palatino Linotype" w:hAnsi="Palatino Linotype" w:cs="Palatino Linotype"/>
          <w:b/>
          <w:i/>
          <w:noProof/>
          <w:color w:val="000000"/>
          <w:lang w:val="es-MX"/>
        </w:rPr>
        <w:lastRenderedPageBreak/>
        <w:drawing>
          <wp:inline distT="0" distB="0" distL="0" distR="0" wp14:anchorId="5A02B42C" wp14:editId="34C6DDEB">
            <wp:extent cx="5610225" cy="6047007"/>
            <wp:effectExtent l="12700" t="12700" r="12700" b="12700"/>
            <wp:docPr id="4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a:stretch>
                      <a:fillRect/>
                    </a:stretch>
                  </pic:blipFill>
                  <pic:spPr>
                    <a:xfrm>
                      <a:off x="0" y="0"/>
                      <a:ext cx="5610225" cy="6047007"/>
                    </a:xfrm>
                    <a:prstGeom prst="rect">
                      <a:avLst/>
                    </a:prstGeom>
                    <a:ln w="12700">
                      <a:solidFill>
                        <a:srgbClr val="000000"/>
                      </a:solidFill>
                      <a:prstDash val="solid"/>
                    </a:ln>
                  </pic:spPr>
                </pic:pic>
              </a:graphicData>
            </a:graphic>
          </wp:inline>
        </w:drawing>
      </w:r>
    </w:p>
    <w:p w14:paraId="6268F9A9" w14:textId="77777777" w:rsidR="00F2419E" w:rsidRDefault="0034450F">
      <w:pPr>
        <w:pBdr>
          <w:top w:val="nil"/>
          <w:left w:val="nil"/>
          <w:bottom w:val="nil"/>
          <w:right w:val="nil"/>
          <w:between w:val="nil"/>
        </w:pBdr>
        <w:spacing w:line="360" w:lineRule="auto"/>
        <w:ind w:right="49"/>
        <w:jc w:val="both"/>
        <w:rPr>
          <w:rFonts w:ascii="Palatino Linotype" w:eastAsia="Palatino Linotype" w:hAnsi="Palatino Linotype" w:cs="Palatino Linotype"/>
          <w:b/>
          <w:i/>
          <w:color w:val="000000"/>
        </w:rPr>
      </w:pPr>
      <w:r>
        <w:rPr>
          <w:rFonts w:ascii="Palatino Linotype" w:eastAsia="Palatino Linotype" w:hAnsi="Palatino Linotype" w:cs="Palatino Linotype"/>
          <w:b/>
          <w:i/>
          <w:noProof/>
          <w:color w:val="000000"/>
          <w:lang w:val="es-MX"/>
        </w:rPr>
        <w:lastRenderedPageBreak/>
        <w:drawing>
          <wp:inline distT="0" distB="0" distL="0" distR="0" wp14:anchorId="4C3C435B" wp14:editId="3EF0E2BC">
            <wp:extent cx="5620002" cy="7096443"/>
            <wp:effectExtent l="12700" t="12700" r="12700" b="12700"/>
            <wp:docPr id="4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a:stretch>
                      <a:fillRect/>
                    </a:stretch>
                  </pic:blipFill>
                  <pic:spPr>
                    <a:xfrm>
                      <a:off x="0" y="0"/>
                      <a:ext cx="5620002" cy="7096443"/>
                    </a:xfrm>
                    <a:prstGeom prst="rect">
                      <a:avLst/>
                    </a:prstGeom>
                    <a:ln w="12700">
                      <a:solidFill>
                        <a:srgbClr val="000000"/>
                      </a:solidFill>
                      <a:prstDash val="solid"/>
                    </a:ln>
                  </pic:spPr>
                </pic:pic>
              </a:graphicData>
            </a:graphic>
          </wp:inline>
        </w:drawing>
      </w:r>
    </w:p>
    <w:p w14:paraId="703EAE5F" w14:textId="77777777" w:rsidR="00F2419E" w:rsidRDefault="00F2419E">
      <w:pPr>
        <w:pBdr>
          <w:top w:val="nil"/>
          <w:left w:val="nil"/>
          <w:bottom w:val="nil"/>
          <w:right w:val="nil"/>
          <w:between w:val="nil"/>
        </w:pBdr>
        <w:spacing w:line="360" w:lineRule="auto"/>
        <w:ind w:right="49"/>
        <w:jc w:val="both"/>
        <w:rPr>
          <w:rFonts w:ascii="Palatino Linotype" w:eastAsia="Palatino Linotype" w:hAnsi="Palatino Linotype" w:cs="Palatino Linotype"/>
          <w:b/>
          <w:i/>
          <w:color w:val="000000"/>
        </w:rPr>
      </w:pPr>
    </w:p>
    <w:p w14:paraId="2FB45485" w14:textId="77777777" w:rsidR="00F2419E" w:rsidRDefault="0034450F">
      <w:pPr>
        <w:numPr>
          <w:ilvl w:val="0"/>
          <w:numId w:val="2"/>
        </w:numPr>
        <w:pBdr>
          <w:top w:val="nil"/>
          <w:left w:val="nil"/>
          <w:bottom w:val="nil"/>
          <w:right w:val="nil"/>
          <w:between w:val="nil"/>
        </w:pBdr>
        <w:spacing w:line="360" w:lineRule="auto"/>
        <w:ind w:right="49"/>
        <w:jc w:val="both"/>
        <w:rPr>
          <w:rFonts w:ascii="Palatino Linotype" w:eastAsia="Palatino Linotype" w:hAnsi="Palatino Linotype" w:cs="Palatino Linotype"/>
          <w:b/>
          <w:i/>
          <w:color w:val="000000"/>
        </w:rPr>
      </w:pPr>
      <w:r>
        <w:rPr>
          <w:rFonts w:ascii="Palatino Linotype" w:eastAsia="Palatino Linotype" w:hAnsi="Palatino Linotype" w:cs="Palatino Linotype"/>
          <w:b/>
          <w:i/>
          <w:color w:val="000000"/>
        </w:rPr>
        <w:t xml:space="preserve">“res 15 an103-03-2022-192814.pdf”: </w:t>
      </w:r>
      <w:r>
        <w:rPr>
          <w:rFonts w:ascii="Palatino Linotype" w:eastAsia="Palatino Linotype" w:hAnsi="Palatino Linotype" w:cs="Palatino Linotype"/>
          <w:color w:val="000000"/>
        </w:rPr>
        <w:t xml:space="preserve">Archivo de 41 páginas en las que se advierten integrados los siguientes documentos. </w:t>
      </w:r>
    </w:p>
    <w:p w14:paraId="341B3C46" w14:textId="77777777" w:rsidR="00F2419E" w:rsidRDefault="0034450F">
      <w:pPr>
        <w:pBdr>
          <w:top w:val="nil"/>
          <w:left w:val="nil"/>
          <w:bottom w:val="nil"/>
          <w:right w:val="nil"/>
          <w:between w:val="nil"/>
        </w:pBdr>
        <w:spacing w:line="360" w:lineRule="auto"/>
        <w:ind w:left="720" w:right="49"/>
        <w:jc w:val="both"/>
        <w:rPr>
          <w:rFonts w:ascii="Palatino Linotype" w:eastAsia="Palatino Linotype" w:hAnsi="Palatino Linotype" w:cs="Palatino Linotype"/>
          <w:b/>
          <w:i/>
          <w:color w:val="000000"/>
        </w:rPr>
      </w:pPr>
      <w:r>
        <w:rPr>
          <w:rFonts w:ascii="Palatino Linotype" w:eastAsia="Palatino Linotype" w:hAnsi="Palatino Linotype" w:cs="Palatino Linotype"/>
          <w:b/>
          <w:color w:val="000000"/>
        </w:rPr>
        <w:t xml:space="preserve">- </w:t>
      </w:r>
      <w:r>
        <w:rPr>
          <w:rFonts w:ascii="Palatino Linotype" w:eastAsia="Palatino Linotype" w:hAnsi="Palatino Linotype" w:cs="Palatino Linotype"/>
          <w:color w:val="000000"/>
        </w:rPr>
        <w:t>Factura de línea telefónica (TELMEX) a nombre de COMERCIALIZADORA MACANO SA DE CV, correspondiente al mes de marzo de dos mil veintiuno;</w:t>
      </w:r>
    </w:p>
    <w:p w14:paraId="13E407A0" w14:textId="77777777" w:rsidR="00F2419E" w:rsidRDefault="0034450F">
      <w:pPr>
        <w:pBdr>
          <w:top w:val="nil"/>
          <w:left w:val="nil"/>
          <w:bottom w:val="nil"/>
          <w:right w:val="nil"/>
          <w:between w:val="nil"/>
        </w:pBdr>
        <w:spacing w:line="360" w:lineRule="auto"/>
        <w:ind w:left="720" w:right="49"/>
        <w:jc w:val="both"/>
        <w:rPr>
          <w:rFonts w:ascii="Palatino Linotype" w:eastAsia="Palatino Linotype" w:hAnsi="Palatino Linotype" w:cs="Palatino Linotype"/>
          <w:b/>
          <w:i/>
          <w:color w:val="000000"/>
        </w:rPr>
      </w:pPr>
      <w:r>
        <w:rPr>
          <w:rFonts w:ascii="Palatino Linotype" w:eastAsia="Palatino Linotype" w:hAnsi="Palatino Linotype" w:cs="Palatino Linotype"/>
          <w:color w:val="000000"/>
        </w:rPr>
        <w:t xml:space="preserve">- </w:t>
      </w:r>
      <w:r>
        <w:rPr>
          <w:rFonts w:ascii="Palatino Linotype" w:eastAsia="Palatino Linotype" w:hAnsi="Palatino Linotype" w:cs="Palatino Linotype"/>
        </w:rPr>
        <w:t>Cédula</w:t>
      </w:r>
      <w:r>
        <w:rPr>
          <w:rFonts w:ascii="Palatino Linotype" w:eastAsia="Palatino Linotype" w:hAnsi="Palatino Linotype" w:cs="Palatino Linotype"/>
          <w:color w:val="000000"/>
        </w:rPr>
        <w:t xml:space="preserve"> de Identificación Fiscal de COMERCIALIZADORA MACANO SA DE CV;</w:t>
      </w:r>
    </w:p>
    <w:p w14:paraId="2E052F76" w14:textId="77777777" w:rsidR="00F2419E" w:rsidRDefault="0034450F">
      <w:pPr>
        <w:pBdr>
          <w:top w:val="nil"/>
          <w:left w:val="nil"/>
          <w:bottom w:val="nil"/>
          <w:right w:val="nil"/>
          <w:between w:val="nil"/>
        </w:pBdr>
        <w:spacing w:line="360" w:lineRule="auto"/>
        <w:ind w:left="720" w:right="49"/>
        <w:jc w:val="both"/>
        <w:rPr>
          <w:rFonts w:ascii="Palatino Linotype" w:eastAsia="Palatino Linotype" w:hAnsi="Palatino Linotype" w:cs="Palatino Linotype"/>
          <w:b/>
          <w:i/>
          <w:color w:val="000000"/>
        </w:rPr>
      </w:pPr>
      <w:r>
        <w:rPr>
          <w:rFonts w:ascii="Palatino Linotype" w:eastAsia="Palatino Linotype" w:hAnsi="Palatino Linotype" w:cs="Palatino Linotype"/>
          <w:color w:val="000000"/>
        </w:rPr>
        <w:t>- Escrito de fecha 15 de febrero de 2022, suscrito por el Director General de Administración y Finanzas de la Comisión del Agua del Estado de México,  dirigido al Director General de Control y Evaluación por medio del cual solicitó una prórroga de 15 días hábiles para cumplir con la presentación de los entregables a que hace referencia la cláusula octava, tercer párrafo del contrato administrativo de prestación de servicios número 6DF20210054;</w:t>
      </w:r>
    </w:p>
    <w:p w14:paraId="17FA8D66" w14:textId="77777777" w:rsidR="00F2419E" w:rsidRDefault="0034450F">
      <w:pPr>
        <w:pBdr>
          <w:top w:val="nil"/>
          <w:left w:val="nil"/>
          <w:bottom w:val="nil"/>
          <w:right w:val="nil"/>
          <w:between w:val="nil"/>
        </w:pBdr>
        <w:spacing w:line="360" w:lineRule="auto"/>
        <w:ind w:left="720" w:right="49"/>
        <w:jc w:val="both"/>
        <w:rPr>
          <w:rFonts w:ascii="Palatino Linotype" w:eastAsia="Palatino Linotype" w:hAnsi="Palatino Linotype" w:cs="Palatino Linotype"/>
          <w:b/>
          <w:i/>
          <w:color w:val="000000"/>
        </w:rPr>
      </w:pPr>
      <w:r>
        <w:rPr>
          <w:rFonts w:ascii="Palatino Linotype" w:eastAsia="Palatino Linotype" w:hAnsi="Palatino Linotype" w:cs="Palatino Linotype"/>
          <w:color w:val="000000"/>
        </w:rPr>
        <w:t>- Dictamen de la Licitación Pública Nacional Presencial número EA-915027991-N01-2021 Mantenimiento Preventivo y Correctivo a la Maquinaria y Equipo Pesado de la Comisión el Agua del Estado de México; y,</w:t>
      </w:r>
    </w:p>
    <w:p w14:paraId="020F3922" w14:textId="77777777" w:rsidR="00F2419E" w:rsidRDefault="0034450F">
      <w:pPr>
        <w:pBdr>
          <w:top w:val="nil"/>
          <w:left w:val="nil"/>
          <w:bottom w:val="nil"/>
          <w:right w:val="nil"/>
          <w:between w:val="nil"/>
        </w:pBdr>
        <w:spacing w:line="360" w:lineRule="auto"/>
        <w:ind w:left="720" w:right="49"/>
        <w:jc w:val="both"/>
        <w:rPr>
          <w:rFonts w:ascii="Palatino Linotype" w:eastAsia="Palatino Linotype" w:hAnsi="Palatino Linotype" w:cs="Palatino Linotype"/>
          <w:b/>
          <w:i/>
          <w:color w:val="000000"/>
        </w:rPr>
      </w:pPr>
      <w:r>
        <w:rPr>
          <w:rFonts w:ascii="Palatino Linotype" w:eastAsia="Palatino Linotype" w:hAnsi="Palatino Linotype" w:cs="Palatino Linotype"/>
          <w:color w:val="000000"/>
        </w:rPr>
        <w:t xml:space="preserve">- Contrato Administrativo de Prestación de Servicio número 6DO20210014. </w:t>
      </w:r>
    </w:p>
    <w:p w14:paraId="1D0F6DDF" w14:textId="77777777" w:rsidR="00F2419E" w:rsidRDefault="0034450F">
      <w:pPr>
        <w:numPr>
          <w:ilvl w:val="0"/>
          <w:numId w:val="2"/>
        </w:numPr>
        <w:pBdr>
          <w:top w:val="nil"/>
          <w:left w:val="nil"/>
          <w:bottom w:val="nil"/>
          <w:right w:val="nil"/>
          <w:between w:val="nil"/>
        </w:pBdr>
        <w:spacing w:line="360" w:lineRule="auto"/>
        <w:ind w:right="49"/>
        <w:jc w:val="both"/>
        <w:rPr>
          <w:rFonts w:ascii="Palatino Linotype" w:eastAsia="Palatino Linotype" w:hAnsi="Palatino Linotype" w:cs="Palatino Linotype"/>
          <w:b/>
          <w:i/>
          <w:color w:val="000000"/>
        </w:rPr>
      </w:pPr>
      <w:r>
        <w:rPr>
          <w:rFonts w:ascii="Palatino Linotype" w:eastAsia="Palatino Linotype" w:hAnsi="Palatino Linotype" w:cs="Palatino Linotype"/>
          <w:b/>
          <w:i/>
          <w:color w:val="000000"/>
        </w:rPr>
        <w:t xml:space="preserve">“res 15 an203-03-2022-193024.pdf”: </w:t>
      </w:r>
      <w:r>
        <w:rPr>
          <w:rFonts w:ascii="Palatino Linotype" w:eastAsia="Palatino Linotype" w:hAnsi="Palatino Linotype" w:cs="Palatino Linotype"/>
          <w:color w:val="000000"/>
        </w:rPr>
        <w:t>Archivo de 69 páginas en el que se adjuntan los siguientes documentos:</w:t>
      </w:r>
    </w:p>
    <w:p w14:paraId="73F6D768" w14:textId="77777777" w:rsidR="00F2419E" w:rsidRDefault="0034450F">
      <w:pPr>
        <w:numPr>
          <w:ilvl w:val="0"/>
          <w:numId w:val="4"/>
        </w:numPr>
        <w:pBdr>
          <w:top w:val="nil"/>
          <w:left w:val="nil"/>
          <w:bottom w:val="nil"/>
          <w:right w:val="nil"/>
          <w:between w:val="nil"/>
        </w:pBdr>
        <w:spacing w:line="360" w:lineRule="auto"/>
        <w:ind w:right="49"/>
        <w:jc w:val="both"/>
        <w:rPr>
          <w:rFonts w:ascii="Palatino Linotype" w:eastAsia="Palatino Linotype" w:hAnsi="Palatino Linotype" w:cs="Palatino Linotype"/>
          <w:b/>
          <w:i/>
          <w:color w:val="000000"/>
        </w:rPr>
      </w:pPr>
      <w:r>
        <w:rPr>
          <w:rFonts w:ascii="Palatino Linotype" w:eastAsia="Palatino Linotype" w:hAnsi="Palatino Linotype" w:cs="Palatino Linotype"/>
          <w:color w:val="000000"/>
        </w:rPr>
        <w:t>Contrato Administrativo de Prestación de Servicios Número 6DO20210014 de la página 31 a la 39;</w:t>
      </w:r>
      <w:r>
        <w:rPr>
          <w:rFonts w:ascii="Palatino Linotype" w:eastAsia="Palatino Linotype" w:hAnsi="Palatino Linotype" w:cs="Palatino Linotype"/>
          <w:b/>
          <w:i/>
          <w:color w:val="000000"/>
        </w:rPr>
        <w:t xml:space="preserve"> </w:t>
      </w:r>
    </w:p>
    <w:p w14:paraId="5FB2A7FE" w14:textId="77777777" w:rsidR="00F2419E" w:rsidRDefault="0034450F">
      <w:pPr>
        <w:numPr>
          <w:ilvl w:val="0"/>
          <w:numId w:val="4"/>
        </w:numPr>
        <w:pBdr>
          <w:top w:val="nil"/>
          <w:left w:val="nil"/>
          <w:bottom w:val="nil"/>
          <w:right w:val="nil"/>
          <w:between w:val="nil"/>
        </w:pBdr>
        <w:spacing w:line="360" w:lineRule="auto"/>
        <w:ind w:right="49"/>
        <w:jc w:val="both"/>
        <w:rPr>
          <w:rFonts w:ascii="Palatino Linotype" w:eastAsia="Palatino Linotype" w:hAnsi="Palatino Linotype" w:cs="Palatino Linotype"/>
          <w:b/>
          <w:i/>
          <w:color w:val="000000"/>
        </w:rPr>
      </w:pPr>
      <w:r>
        <w:rPr>
          <w:rFonts w:ascii="Palatino Linotype" w:eastAsia="Palatino Linotype" w:hAnsi="Palatino Linotype" w:cs="Palatino Linotype"/>
          <w:color w:val="000000"/>
        </w:rPr>
        <w:lastRenderedPageBreak/>
        <w:t>Licitación Pública Nacional Presencial Número EA-915027991-N03-2021 Mantenimiento Preventivo y Correctivo a Vehículos Utilitarios de la Comisión del Agua del Estado de México de fecha 07 de abril de 2021;</w:t>
      </w:r>
    </w:p>
    <w:p w14:paraId="63E394D0" w14:textId="77777777" w:rsidR="00F2419E" w:rsidRDefault="0034450F">
      <w:pPr>
        <w:numPr>
          <w:ilvl w:val="0"/>
          <w:numId w:val="4"/>
        </w:numPr>
        <w:pBdr>
          <w:top w:val="nil"/>
          <w:left w:val="nil"/>
          <w:bottom w:val="nil"/>
          <w:right w:val="nil"/>
          <w:between w:val="nil"/>
        </w:pBdr>
        <w:spacing w:line="360" w:lineRule="auto"/>
        <w:ind w:right="49"/>
        <w:jc w:val="both"/>
        <w:rPr>
          <w:rFonts w:ascii="Palatino Linotype" w:eastAsia="Palatino Linotype" w:hAnsi="Palatino Linotype" w:cs="Palatino Linotype"/>
          <w:b/>
          <w:i/>
          <w:color w:val="000000"/>
        </w:rPr>
      </w:pPr>
      <w:r>
        <w:rPr>
          <w:rFonts w:ascii="Palatino Linotype" w:eastAsia="Palatino Linotype" w:hAnsi="Palatino Linotype" w:cs="Palatino Linotype"/>
          <w:color w:val="000000"/>
        </w:rPr>
        <w:t xml:space="preserve">Contrato Administrativo de Prestación de Servicios número 6DA20210015, derivado del procedimiento de contratación por Licitación Pública Nacional Presencial número EA-915027991-N03-2021, que celebran por una parte la Comisión del Agua  del Estado de México  “LA CAEM”, y por otra, la empresa COMERCIALIZADORA MACANO, S.A. DE C.V. </w:t>
      </w:r>
    </w:p>
    <w:p w14:paraId="2CD0CBBA" w14:textId="77777777" w:rsidR="00F2419E" w:rsidRDefault="001503EE">
      <w:pPr>
        <w:spacing w:before="240" w:after="240" w:line="360" w:lineRule="auto"/>
        <w:ind w:right="49"/>
        <w:jc w:val="both"/>
        <w:rPr>
          <w:rFonts w:ascii="Palatino Linotype" w:eastAsia="Palatino Linotype" w:hAnsi="Palatino Linotype" w:cs="Palatino Linotype"/>
        </w:rPr>
      </w:pPr>
      <w:r w:rsidRPr="001503EE">
        <w:rPr>
          <w:rFonts w:ascii="Palatino Linotype" w:eastAsia="Palatino Linotype" w:hAnsi="Palatino Linotype" w:cs="Palatino Linotype"/>
          <w:b/>
        </w:rPr>
        <w:t>4</w:t>
      </w:r>
      <w:r w:rsidR="0034450F" w:rsidRPr="001503EE">
        <w:rPr>
          <w:rFonts w:ascii="Palatino Linotype" w:eastAsia="Palatino Linotype" w:hAnsi="Palatino Linotype" w:cs="Palatino Linotype"/>
          <w:b/>
        </w:rPr>
        <w:t>. I</w:t>
      </w:r>
      <w:r w:rsidR="0034450F">
        <w:rPr>
          <w:rFonts w:ascii="Palatino Linotype" w:eastAsia="Palatino Linotype" w:hAnsi="Palatino Linotype" w:cs="Palatino Linotype"/>
          <w:b/>
        </w:rPr>
        <w:t xml:space="preserve">nterposición del recurso de revisión.  </w:t>
      </w:r>
      <w:r w:rsidR="0034450F">
        <w:rPr>
          <w:rFonts w:ascii="Palatino Linotype" w:eastAsia="Palatino Linotype" w:hAnsi="Palatino Linotype" w:cs="Palatino Linotype"/>
        </w:rPr>
        <w:t xml:space="preserve">El </w:t>
      </w:r>
      <w:r w:rsidR="0034450F">
        <w:rPr>
          <w:rFonts w:ascii="Palatino Linotype" w:eastAsia="Palatino Linotype" w:hAnsi="Palatino Linotype" w:cs="Palatino Linotype"/>
          <w:b/>
        </w:rPr>
        <w:t xml:space="preserve">catorce de marzo de dos mil veintidós </w:t>
      </w:r>
      <w:r w:rsidR="0034450F">
        <w:rPr>
          <w:rFonts w:ascii="Palatino Linotype" w:eastAsia="Palatino Linotype" w:hAnsi="Palatino Linotype" w:cs="Palatino Linotype"/>
        </w:rPr>
        <w:t xml:space="preserve">el </w:t>
      </w:r>
      <w:r w:rsidR="0034450F">
        <w:rPr>
          <w:rFonts w:ascii="Palatino Linotype" w:eastAsia="Palatino Linotype" w:hAnsi="Palatino Linotype" w:cs="Palatino Linotype"/>
          <w:b/>
        </w:rPr>
        <w:t xml:space="preserve">RECURRENTE </w:t>
      </w:r>
      <w:r w:rsidR="0034450F">
        <w:rPr>
          <w:rFonts w:ascii="Palatino Linotype" w:eastAsia="Palatino Linotype" w:hAnsi="Palatino Linotype" w:cs="Palatino Linotype"/>
        </w:rPr>
        <w:t>inconforme con la respuesta, interpuso el recurso de revisión en el que expresó lo siguiente:</w:t>
      </w:r>
    </w:p>
    <w:p w14:paraId="61246214" w14:textId="77777777" w:rsidR="00F2419E" w:rsidRDefault="0034450F">
      <w:pPr>
        <w:spacing w:before="240" w:after="240" w:line="360" w:lineRule="auto"/>
        <w:ind w:right="49"/>
        <w:jc w:val="both"/>
        <w:rPr>
          <w:rFonts w:ascii="Palatino Linotype" w:eastAsia="Palatino Linotype" w:hAnsi="Palatino Linotype" w:cs="Palatino Linotype"/>
          <w:b/>
        </w:rPr>
      </w:pPr>
      <w:r>
        <w:rPr>
          <w:rFonts w:ascii="Palatino Linotype" w:eastAsia="Palatino Linotype" w:hAnsi="Palatino Linotype" w:cs="Palatino Linotype"/>
          <w:b/>
        </w:rPr>
        <w:t xml:space="preserve">Acto impugnado: </w:t>
      </w:r>
    </w:p>
    <w:p w14:paraId="4BD38C5B" w14:textId="77777777" w:rsidR="00F2419E" w:rsidRDefault="00F2419E">
      <w:pPr>
        <w:spacing w:line="360" w:lineRule="auto"/>
        <w:ind w:left="851" w:right="900"/>
        <w:jc w:val="both"/>
        <w:rPr>
          <w:rFonts w:ascii="Palatino Linotype" w:eastAsia="Palatino Linotype" w:hAnsi="Palatino Linotype" w:cs="Palatino Linotype"/>
          <w:i/>
          <w:sz w:val="2"/>
          <w:szCs w:val="2"/>
        </w:rPr>
      </w:pPr>
    </w:p>
    <w:p w14:paraId="0DBC58E7" w14:textId="77777777" w:rsidR="00F2419E" w:rsidRDefault="0034450F">
      <w:pPr>
        <w:spacing w:line="276" w:lineRule="auto"/>
        <w:ind w:left="851" w:right="616"/>
        <w:jc w:val="both"/>
        <w:rPr>
          <w:rFonts w:ascii="Palatino Linotype" w:eastAsia="Palatino Linotype" w:hAnsi="Palatino Linotype" w:cs="Palatino Linotype"/>
          <w:i/>
          <w:sz w:val="22"/>
          <w:szCs w:val="22"/>
        </w:rPr>
      </w:pPr>
      <w:bookmarkStart w:id="4" w:name="_heading=h.3dy6vkm" w:colFirst="0" w:colLast="0"/>
      <w:bookmarkEnd w:id="4"/>
      <w:r>
        <w:rPr>
          <w:rFonts w:ascii="Palatino Linotype" w:eastAsia="Palatino Linotype" w:hAnsi="Palatino Linotype" w:cs="Palatino Linotype"/>
          <w:i/>
          <w:sz w:val="22"/>
          <w:szCs w:val="22"/>
        </w:rPr>
        <w:t xml:space="preserve">“uenas tardes Por este medio y en base al articulo 176 y 179 de la ley de trasparencia, y con respecto a mi petición de información la cual especifiqué en varios puntos al respecto informo a ustedes lo siguiente: 3-Copia de documentos base para el alta como proveedor tales como: acta constitutiva, poder legal, comprobante de domicilio, constancia de situacion fiscal -No me fue proporcionada copia de el acta constitutiva ni del poder legal. 4.-Solicito un detalle de cada una de las operaciones efectudas durante el ejercicio fiscal 2021, con le empresa Comercializadora Macano, sa de cv por mantenimiento mecánico, en la cual se especifique de forma clara la siguiente información: -concentrado en el cual se especifique la fecha, número económico de la unidad, tipo (auto camioneta, equipo pesado), marca, modelo, placas, número de orden de servicio, descripcion de la orden de servicio donde se especifiquen los trabajos realizados, monto, direccion a la cual pertenece la unidad, numero de factura y cantidad pagada. Al respecto la información que me proporcionaron no representa </w:t>
      </w:r>
      <w:r>
        <w:rPr>
          <w:rFonts w:ascii="Palatino Linotype" w:eastAsia="Palatino Linotype" w:hAnsi="Palatino Linotype" w:cs="Palatino Linotype"/>
          <w:i/>
          <w:sz w:val="22"/>
          <w:szCs w:val="22"/>
        </w:rPr>
        <w:lastRenderedPageBreak/>
        <w:t>en absoluto la información que solicité, no esta la orden de servicio,detalle de la orden de servicio, placas,número economico a que Dirección pertenece la unidad, el monto por mantenimiento generado, etc. dicha información contempla "paquetes de mantenimiento" los cuales fueron agrupados de forma estrategica para ocultar la información que solicité de forma clara y precisa, por tal motivo solicito nuevamente se tome como no presentada la información que solicito, ya que estamos ante un claro ocultamiento de información.." (Sic)</w:t>
      </w:r>
    </w:p>
    <w:p w14:paraId="0DAB413B" w14:textId="77777777" w:rsidR="00F2419E" w:rsidRDefault="00F2419E">
      <w:pPr>
        <w:spacing w:line="360" w:lineRule="auto"/>
        <w:ind w:right="616"/>
        <w:jc w:val="both"/>
        <w:rPr>
          <w:rFonts w:ascii="Palatino Linotype" w:eastAsia="Palatino Linotype" w:hAnsi="Palatino Linotype" w:cs="Palatino Linotype"/>
          <w:b/>
        </w:rPr>
      </w:pPr>
    </w:p>
    <w:p w14:paraId="7DF22775" w14:textId="77777777" w:rsidR="00F2419E" w:rsidRDefault="0034450F">
      <w:pPr>
        <w:spacing w:line="360" w:lineRule="auto"/>
        <w:ind w:right="616"/>
        <w:jc w:val="both"/>
        <w:rPr>
          <w:rFonts w:ascii="Palatino Linotype" w:eastAsia="Palatino Linotype" w:hAnsi="Palatino Linotype" w:cs="Palatino Linotype"/>
          <w:b/>
          <w:sz w:val="22"/>
          <w:szCs w:val="22"/>
        </w:rPr>
      </w:pPr>
      <w:r>
        <w:rPr>
          <w:rFonts w:ascii="Palatino Linotype" w:eastAsia="Palatino Linotype" w:hAnsi="Palatino Linotype" w:cs="Palatino Linotype"/>
          <w:b/>
        </w:rPr>
        <w:t>Razones o motivos de inconformidad</w:t>
      </w:r>
      <w:r>
        <w:rPr>
          <w:rFonts w:ascii="Palatino Linotype" w:eastAsia="Palatino Linotype" w:hAnsi="Palatino Linotype" w:cs="Palatino Linotype"/>
          <w:b/>
          <w:sz w:val="22"/>
          <w:szCs w:val="22"/>
        </w:rPr>
        <w:t xml:space="preserve">: </w:t>
      </w:r>
    </w:p>
    <w:p w14:paraId="4DE0A818" w14:textId="77777777" w:rsidR="00F2419E" w:rsidRDefault="0034450F">
      <w:pPr>
        <w:spacing w:line="276" w:lineRule="auto"/>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“uenas tardes Por este medio y en base al articulo 176 y 179 de la ley de trasparencia, y con respecto a mi petición de información la cual especifiqué en varios puntos al respecto informo a ustedes lo siguiente: 3-Copia de documentos base para el alta como proveedor tales como: acta constitutiva, poder legal, comprobante de domicilio, constancia de situacion fiscal -No me fue proporcionada copia de el acta constitutiva ni del poder legal. 4.-Solicito un detalle de cada una de las operaciones efectudas durante el ejercicio fiscal 2021, con le empresa Comercializadora Macano, sa de cv por mantenimiento mecánico, en la cual se especifique de forma clara la siguiente información: -concentrado en el cual se especifique la fecha, número económico de la unidad, tipo (auto camioneta, equipo pesado), marca, modelo, placas, número de orden de servicio, descripcion de la orden de servicio donde se especifiquen los trabajos realizados, monto, direccion a la cual pertenece la unidad, numero de factura y cantidad pagada. Al respecto la información que me proporcionaron no representa en absoluto la información que solicité, no esta la orden de servicio,detalle de la orden de servicio, placas,número economico a que Dirección pertenece la unidad, el monto por mantenimiento generado, etc. dicha información contempla "paquetes de mantenimiento" los cuales fueron agrupados de forma estrategica para ocultar la información que solicité de forma clara y precisa, por tal motivo solicito nuevamente se tome como no presentada la información que solicito, ya que estamos ante un claro ocultamiento de información." (Sic)</w:t>
      </w:r>
    </w:p>
    <w:p w14:paraId="3E9D6C79" w14:textId="77777777" w:rsidR="00F2419E" w:rsidRDefault="00F2419E">
      <w:pPr>
        <w:spacing w:line="360" w:lineRule="auto"/>
        <w:jc w:val="both"/>
        <w:rPr>
          <w:rFonts w:ascii="Palatino Linotype" w:eastAsia="Palatino Linotype" w:hAnsi="Palatino Linotype" w:cs="Palatino Linotype"/>
          <w:sz w:val="2"/>
          <w:szCs w:val="2"/>
        </w:rPr>
      </w:pPr>
    </w:p>
    <w:p w14:paraId="385729EF" w14:textId="77777777" w:rsidR="00F2419E" w:rsidRDefault="00F2419E">
      <w:pPr>
        <w:spacing w:line="360" w:lineRule="auto"/>
        <w:jc w:val="both"/>
        <w:rPr>
          <w:rFonts w:ascii="Palatino Linotype" w:eastAsia="Palatino Linotype" w:hAnsi="Palatino Linotype" w:cs="Palatino Linotype"/>
          <w:sz w:val="2"/>
          <w:szCs w:val="2"/>
        </w:rPr>
      </w:pPr>
    </w:p>
    <w:p w14:paraId="02F096B6" w14:textId="77777777" w:rsidR="00F2419E" w:rsidRDefault="001503EE">
      <w:pPr>
        <w:spacing w:before="240" w:after="240" w:line="360" w:lineRule="auto"/>
        <w:jc w:val="both"/>
        <w:rPr>
          <w:rFonts w:ascii="Palatino Linotype" w:eastAsia="Palatino Linotype" w:hAnsi="Palatino Linotype" w:cs="Palatino Linotype"/>
        </w:rPr>
      </w:pPr>
      <w:r w:rsidRPr="001503EE">
        <w:rPr>
          <w:rFonts w:ascii="Palatino Linotype" w:eastAsia="Palatino Linotype" w:hAnsi="Palatino Linotype" w:cs="Palatino Linotype"/>
          <w:b/>
        </w:rPr>
        <w:t>5</w:t>
      </w:r>
      <w:r w:rsidR="0034450F" w:rsidRPr="001503EE">
        <w:rPr>
          <w:rFonts w:ascii="Palatino Linotype" w:eastAsia="Palatino Linotype" w:hAnsi="Palatino Linotype" w:cs="Palatino Linotype"/>
          <w:b/>
        </w:rPr>
        <w:t>.</w:t>
      </w:r>
      <w:r w:rsidR="0034450F">
        <w:rPr>
          <w:rFonts w:ascii="Palatino Linotype" w:eastAsia="Palatino Linotype" w:hAnsi="Palatino Linotype" w:cs="Palatino Linotype"/>
          <w:b/>
        </w:rPr>
        <w:t xml:space="preserve"> Turno.</w:t>
      </w:r>
      <w:r w:rsidR="0034450F">
        <w:rPr>
          <w:rFonts w:ascii="Palatino Linotype" w:eastAsia="Palatino Linotype" w:hAnsi="Palatino Linotype" w:cs="Palatino Linotype"/>
          <w:b/>
          <w:sz w:val="28"/>
          <w:szCs w:val="28"/>
        </w:rPr>
        <w:t xml:space="preserve"> </w:t>
      </w:r>
      <w:r w:rsidR="0034450F">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w:t>
      </w:r>
      <w:r w:rsidR="0034450F">
        <w:rPr>
          <w:rFonts w:ascii="Palatino Linotype" w:eastAsia="Palatino Linotype" w:hAnsi="Palatino Linotype" w:cs="Palatino Linotype"/>
        </w:rPr>
        <w:lastRenderedPageBreak/>
        <w:t xml:space="preserve">presente recurso de revisión se turnó por el sistema electrónico del Instituto de Transparencia, Acceso a la Información Pública y Protección de Datos Personales del Estado de México y Municipios, a la Comisionada </w:t>
      </w:r>
      <w:r w:rsidR="0034450F">
        <w:rPr>
          <w:rFonts w:ascii="Palatino Linotype" w:eastAsia="Palatino Linotype" w:hAnsi="Palatino Linotype" w:cs="Palatino Linotype"/>
          <w:b/>
        </w:rPr>
        <w:t xml:space="preserve">Guadalupe Ramírez Peña, </w:t>
      </w:r>
      <w:r w:rsidR="0034450F">
        <w:rPr>
          <w:rFonts w:ascii="Palatino Linotype" w:eastAsia="Palatino Linotype" w:hAnsi="Palatino Linotype" w:cs="Palatino Linotype"/>
        </w:rPr>
        <w:t>a efecto de que analizara sobre su admisión o su desechamiento.</w:t>
      </w:r>
    </w:p>
    <w:p w14:paraId="62D27245" w14:textId="77777777" w:rsidR="00F2419E" w:rsidRDefault="001503EE">
      <w:pPr>
        <w:spacing w:before="240" w:after="240" w:line="360" w:lineRule="auto"/>
        <w:jc w:val="both"/>
        <w:rPr>
          <w:rFonts w:ascii="Palatino Linotype" w:eastAsia="Palatino Linotype" w:hAnsi="Palatino Linotype" w:cs="Palatino Linotype"/>
          <w:b/>
        </w:rPr>
      </w:pPr>
      <w:r w:rsidRPr="001503EE">
        <w:rPr>
          <w:rFonts w:ascii="Palatino Linotype" w:eastAsia="Palatino Linotype" w:hAnsi="Palatino Linotype" w:cs="Palatino Linotype"/>
          <w:b/>
        </w:rPr>
        <w:t>6</w:t>
      </w:r>
      <w:r w:rsidR="0034450F" w:rsidRPr="001503EE">
        <w:rPr>
          <w:rFonts w:ascii="Palatino Linotype" w:eastAsia="Palatino Linotype" w:hAnsi="Palatino Linotype" w:cs="Palatino Linotype"/>
          <w:b/>
        </w:rPr>
        <w:t>.</w:t>
      </w:r>
      <w:r w:rsidR="0034450F">
        <w:rPr>
          <w:rFonts w:ascii="Palatino Linotype" w:eastAsia="Palatino Linotype" w:hAnsi="Palatino Linotype" w:cs="Palatino Linotype"/>
          <w:b/>
          <w:i/>
        </w:rPr>
        <w:t xml:space="preserve"> </w:t>
      </w:r>
      <w:r w:rsidR="0034450F">
        <w:rPr>
          <w:rFonts w:ascii="Palatino Linotype" w:eastAsia="Palatino Linotype" w:hAnsi="Palatino Linotype" w:cs="Palatino Linotype"/>
          <w:b/>
        </w:rPr>
        <w:t>Admisión del Recurso de revisión.</w:t>
      </w:r>
      <w:r w:rsidR="0034450F">
        <w:rPr>
          <w:rFonts w:ascii="Palatino Linotype" w:eastAsia="Palatino Linotype" w:hAnsi="Palatino Linotype" w:cs="Palatino Linotype"/>
          <w:sz w:val="28"/>
          <w:szCs w:val="28"/>
        </w:rPr>
        <w:t xml:space="preserve"> El</w:t>
      </w:r>
      <w:r w:rsidR="0034450F">
        <w:rPr>
          <w:rFonts w:ascii="Palatino Linotype" w:eastAsia="Palatino Linotype" w:hAnsi="Palatino Linotype" w:cs="Palatino Linotype"/>
          <w:b/>
        </w:rPr>
        <w:t xml:space="preserve"> diecisiete de marzo de dos mil veintidós, </w:t>
      </w:r>
      <w:r w:rsidR="0034450F">
        <w:rPr>
          <w:rFonts w:ascii="Palatino Linotype" w:eastAsia="Palatino Linotype" w:hAnsi="Palatino Linotype" w:cs="Palatino Linotype"/>
        </w:rPr>
        <w:t xml:space="preserve">este Instituto de Transparencia, Acceso a la Información Pública y Protección de Datos Personales del Estado de México y Municipios, admitió a trámite el recurso de revisión, dando un plazo máximo de siete días hábiles para que las partes manifestaran lo que a su derecho resultara conveniente, ofrecieran pruebas, formularan alegatos y el </w:t>
      </w:r>
      <w:r w:rsidR="0034450F">
        <w:rPr>
          <w:rFonts w:ascii="Palatino Linotype" w:eastAsia="Palatino Linotype" w:hAnsi="Palatino Linotype" w:cs="Palatino Linotype"/>
          <w:b/>
        </w:rPr>
        <w:t>SUJETO OBLIGADO</w:t>
      </w:r>
      <w:r w:rsidR="0034450F">
        <w:rPr>
          <w:rFonts w:ascii="Palatino Linotype" w:eastAsia="Palatino Linotype" w:hAnsi="Palatino Linotype" w:cs="Palatino Linotype"/>
        </w:rPr>
        <w:t xml:space="preserve"> presentara su informe justificado.</w:t>
      </w:r>
    </w:p>
    <w:p w14:paraId="3E76BD13" w14:textId="77777777" w:rsidR="00F2419E" w:rsidRDefault="001503EE">
      <w:pPr>
        <w:widowControl w:val="0"/>
        <w:spacing w:before="240" w:after="240" w:line="360" w:lineRule="auto"/>
        <w:jc w:val="both"/>
        <w:rPr>
          <w:rFonts w:ascii="Palatino Linotype" w:eastAsia="Palatino Linotype" w:hAnsi="Palatino Linotype" w:cs="Palatino Linotype"/>
        </w:rPr>
      </w:pPr>
      <w:r w:rsidRPr="001503EE">
        <w:rPr>
          <w:rFonts w:ascii="Palatino Linotype" w:eastAsia="Palatino Linotype" w:hAnsi="Palatino Linotype" w:cs="Palatino Linotype"/>
          <w:b/>
        </w:rPr>
        <w:t>7.</w:t>
      </w:r>
      <w:r w:rsidR="0034450F">
        <w:rPr>
          <w:rFonts w:ascii="Palatino Linotype" w:eastAsia="Palatino Linotype" w:hAnsi="Palatino Linotype" w:cs="Palatino Linotype"/>
          <w:b/>
        </w:rPr>
        <w:t xml:space="preserve"> Manifestaciones</w:t>
      </w:r>
      <w:r w:rsidR="0034450F">
        <w:rPr>
          <w:rFonts w:ascii="Palatino Linotype" w:eastAsia="Palatino Linotype" w:hAnsi="Palatino Linotype" w:cs="Palatino Linotype"/>
        </w:rPr>
        <w:t xml:space="preserve">. El </w:t>
      </w:r>
      <w:r w:rsidR="0034450F">
        <w:rPr>
          <w:rFonts w:ascii="Palatino Linotype" w:eastAsia="Palatino Linotype" w:hAnsi="Palatino Linotype" w:cs="Palatino Linotype"/>
          <w:b/>
        </w:rPr>
        <w:t xml:space="preserve">dieciocho de abril de dos mil veintidós </w:t>
      </w:r>
      <w:r w:rsidR="0034450F">
        <w:rPr>
          <w:rFonts w:ascii="Palatino Linotype" w:eastAsia="Palatino Linotype" w:hAnsi="Palatino Linotype" w:cs="Palatino Linotype"/>
        </w:rPr>
        <w:t xml:space="preserve">el </w:t>
      </w:r>
      <w:r w:rsidR="0034450F">
        <w:rPr>
          <w:rFonts w:ascii="Palatino Linotype" w:eastAsia="Palatino Linotype" w:hAnsi="Palatino Linotype" w:cs="Palatino Linotype"/>
          <w:b/>
        </w:rPr>
        <w:t xml:space="preserve">SUJETO OBLIGADO </w:t>
      </w:r>
      <w:r w:rsidR="0034450F">
        <w:rPr>
          <w:rFonts w:ascii="Palatino Linotype" w:eastAsia="Palatino Linotype" w:hAnsi="Palatino Linotype" w:cs="Palatino Linotype"/>
        </w:rPr>
        <w:t>remitió en informe justificado los archivos electrónicos que a continuación se describen:</w:t>
      </w:r>
    </w:p>
    <w:p w14:paraId="6C4063FB" w14:textId="77777777" w:rsidR="00F2419E" w:rsidRDefault="0034450F">
      <w:pPr>
        <w:numPr>
          <w:ilvl w:val="0"/>
          <w:numId w:val="9"/>
        </w:numPr>
        <w:pBdr>
          <w:top w:val="nil"/>
          <w:left w:val="nil"/>
          <w:bottom w:val="nil"/>
          <w:right w:val="nil"/>
          <w:between w:val="nil"/>
        </w:pBdr>
        <w:spacing w:line="360" w:lineRule="auto"/>
        <w:jc w:val="both"/>
        <w:rPr>
          <w:rFonts w:ascii="Palatino Linotype" w:eastAsia="Palatino Linotype" w:hAnsi="Palatino Linotype" w:cs="Palatino Linotype"/>
          <w:b/>
          <w:i/>
          <w:color w:val="000000"/>
        </w:rPr>
      </w:pPr>
      <w:r>
        <w:rPr>
          <w:rFonts w:ascii="Palatino Linotype" w:eastAsia="Palatino Linotype" w:hAnsi="Palatino Linotype" w:cs="Palatino Linotype"/>
          <w:b/>
          <w:i/>
          <w:color w:val="000000"/>
        </w:rPr>
        <w:t>“VERSIÓN PÚBLICA ACTA CONSTITUTIVA DE COMERCIALIZADORA MACANO S.A. DE C.V..pdf”</w:t>
      </w:r>
      <w:r>
        <w:rPr>
          <w:rFonts w:ascii="Palatino Linotype" w:eastAsia="Palatino Linotype" w:hAnsi="Palatino Linotype" w:cs="Palatino Linotype"/>
          <w:color w:val="000000"/>
        </w:rPr>
        <w:t xml:space="preserve">: Contiene el Acta Constitutiva de la COMERCIALIZADORA MACANO S.A. DE C.V. </w:t>
      </w:r>
    </w:p>
    <w:p w14:paraId="7D488B77" w14:textId="77777777" w:rsidR="00F2419E" w:rsidRDefault="0034450F">
      <w:pPr>
        <w:numPr>
          <w:ilvl w:val="0"/>
          <w:numId w:val="9"/>
        </w:numPr>
        <w:pBdr>
          <w:top w:val="nil"/>
          <w:left w:val="nil"/>
          <w:bottom w:val="nil"/>
          <w:right w:val="nil"/>
          <w:between w:val="nil"/>
        </w:pBdr>
        <w:spacing w:line="360" w:lineRule="auto"/>
        <w:jc w:val="both"/>
        <w:rPr>
          <w:rFonts w:ascii="Palatino Linotype" w:eastAsia="Palatino Linotype" w:hAnsi="Palatino Linotype" w:cs="Palatino Linotype"/>
          <w:b/>
          <w:i/>
          <w:color w:val="000000"/>
        </w:rPr>
      </w:pPr>
      <w:r>
        <w:rPr>
          <w:rFonts w:ascii="Palatino Linotype" w:eastAsia="Palatino Linotype" w:hAnsi="Palatino Linotype" w:cs="Palatino Linotype"/>
          <w:b/>
          <w:i/>
          <w:color w:val="000000"/>
        </w:rPr>
        <w:t xml:space="preserve"> “COMPROBANTE DE DOMICILIO.pdf”: </w:t>
      </w:r>
      <w:r>
        <w:rPr>
          <w:rFonts w:ascii="Palatino Linotype" w:eastAsia="Palatino Linotype" w:hAnsi="Palatino Linotype" w:cs="Palatino Linotype"/>
          <w:color w:val="000000"/>
        </w:rPr>
        <w:t>Contiene el comprobante de domicilio de la empresa COMERCIALIZADORA MACANO S.A. DE C.V.</w:t>
      </w:r>
    </w:p>
    <w:p w14:paraId="631B5B06" w14:textId="77777777" w:rsidR="00F2419E" w:rsidRDefault="0034450F">
      <w:pPr>
        <w:numPr>
          <w:ilvl w:val="0"/>
          <w:numId w:val="9"/>
        </w:numPr>
        <w:pBdr>
          <w:top w:val="nil"/>
          <w:left w:val="nil"/>
          <w:bottom w:val="nil"/>
          <w:right w:val="nil"/>
          <w:between w:val="nil"/>
        </w:pBdr>
        <w:spacing w:line="360" w:lineRule="auto"/>
        <w:jc w:val="both"/>
        <w:rPr>
          <w:rFonts w:ascii="Palatino Linotype" w:eastAsia="Palatino Linotype" w:hAnsi="Palatino Linotype" w:cs="Palatino Linotype"/>
          <w:b/>
          <w:i/>
          <w:color w:val="000000"/>
        </w:rPr>
      </w:pPr>
      <w:r>
        <w:rPr>
          <w:rFonts w:ascii="Palatino Linotype" w:eastAsia="Palatino Linotype" w:hAnsi="Palatino Linotype" w:cs="Palatino Linotype"/>
          <w:color w:val="000000"/>
        </w:rPr>
        <w:t xml:space="preserve"> </w:t>
      </w:r>
      <w:r>
        <w:rPr>
          <w:rFonts w:ascii="Palatino Linotype" w:eastAsia="Palatino Linotype" w:hAnsi="Palatino Linotype" w:cs="Palatino Linotype"/>
          <w:b/>
          <w:i/>
          <w:color w:val="000000"/>
        </w:rPr>
        <w:t xml:space="preserve">“DICTAMEN EA-915027991-N01-2021.pdf”: </w:t>
      </w:r>
      <w:r>
        <w:rPr>
          <w:rFonts w:ascii="Palatino Linotype" w:eastAsia="Palatino Linotype" w:hAnsi="Palatino Linotype" w:cs="Palatino Linotype"/>
          <w:color w:val="000000"/>
        </w:rPr>
        <w:t xml:space="preserve">Se trata del Dictamen de la Licitación Pública Nacional Presencial Número EA-915027991-2021, Mantenimiento Preventivo y Correctivo a la Maquinaria y Equipo Pesado de la Comisión del Agua del Estado de México. </w:t>
      </w:r>
      <w:r>
        <w:rPr>
          <w:rFonts w:ascii="Palatino Linotype" w:eastAsia="Palatino Linotype" w:hAnsi="Palatino Linotype" w:cs="Palatino Linotype"/>
          <w:b/>
          <w:i/>
          <w:color w:val="000000"/>
        </w:rPr>
        <w:t xml:space="preserve">“219C0117L-417-2022.pdf”: </w:t>
      </w:r>
      <w:r>
        <w:rPr>
          <w:rFonts w:ascii="Palatino Linotype" w:eastAsia="Palatino Linotype" w:hAnsi="Palatino Linotype" w:cs="Palatino Linotype"/>
        </w:rPr>
        <w:lastRenderedPageBreak/>
        <w:t xml:space="preserve">Oficio número 219C0117L/417/2022 de fecha primero de marzo de dos mil veintidós, suscrito y signado por el Director General de Administración y Finanzas, por medio del cual respondió a la solicitud de información. </w:t>
      </w:r>
    </w:p>
    <w:p w14:paraId="2B7FECB1" w14:textId="77777777" w:rsidR="00F2419E" w:rsidRDefault="0034450F">
      <w:pPr>
        <w:numPr>
          <w:ilvl w:val="0"/>
          <w:numId w:val="9"/>
        </w:numPr>
        <w:pBdr>
          <w:top w:val="nil"/>
          <w:left w:val="nil"/>
          <w:bottom w:val="nil"/>
          <w:right w:val="nil"/>
          <w:between w:val="nil"/>
        </w:pBdr>
        <w:spacing w:line="360" w:lineRule="auto"/>
        <w:jc w:val="both"/>
        <w:rPr>
          <w:rFonts w:ascii="Palatino Linotype" w:eastAsia="Palatino Linotype" w:hAnsi="Palatino Linotype" w:cs="Palatino Linotype"/>
          <w:b/>
          <w:i/>
          <w:color w:val="000000"/>
        </w:rPr>
      </w:pPr>
      <w:r>
        <w:rPr>
          <w:rFonts w:ascii="Palatino Linotype" w:eastAsia="Palatino Linotype" w:hAnsi="Palatino Linotype" w:cs="Palatino Linotype"/>
          <w:b/>
          <w:i/>
          <w:color w:val="000000"/>
        </w:rPr>
        <w:t xml:space="preserve">“Constancia de situación fiscal.pdf”: </w:t>
      </w:r>
      <w:r>
        <w:rPr>
          <w:rFonts w:ascii="Palatino Linotype" w:eastAsia="Palatino Linotype" w:hAnsi="Palatino Linotype" w:cs="Palatino Linotype"/>
        </w:rPr>
        <w:t>Cédula</w:t>
      </w:r>
      <w:r>
        <w:rPr>
          <w:rFonts w:ascii="Palatino Linotype" w:eastAsia="Palatino Linotype" w:hAnsi="Palatino Linotype" w:cs="Palatino Linotype"/>
          <w:color w:val="000000"/>
        </w:rPr>
        <w:t xml:space="preserve"> de Identificación Fiscal de la empresa COMERCIALIZADORA MACANO S.A. DE C.V.</w:t>
      </w:r>
    </w:p>
    <w:p w14:paraId="65A81146" w14:textId="77777777" w:rsidR="00F2419E" w:rsidRDefault="0034450F">
      <w:pPr>
        <w:numPr>
          <w:ilvl w:val="0"/>
          <w:numId w:val="9"/>
        </w:numPr>
        <w:pBdr>
          <w:top w:val="nil"/>
          <w:left w:val="nil"/>
          <w:bottom w:val="nil"/>
          <w:right w:val="nil"/>
          <w:between w:val="nil"/>
        </w:pBdr>
        <w:spacing w:line="360" w:lineRule="auto"/>
        <w:jc w:val="both"/>
        <w:rPr>
          <w:rFonts w:ascii="Palatino Linotype" w:eastAsia="Palatino Linotype" w:hAnsi="Palatino Linotype" w:cs="Palatino Linotype"/>
          <w:b/>
          <w:i/>
          <w:color w:val="000000"/>
        </w:rPr>
      </w:pPr>
      <w:r>
        <w:rPr>
          <w:rFonts w:ascii="Palatino Linotype" w:eastAsia="Palatino Linotype" w:hAnsi="Palatino Linotype" w:cs="Palatino Linotype"/>
          <w:b/>
          <w:i/>
          <w:color w:val="000000"/>
        </w:rPr>
        <w:t xml:space="preserve">“Razonamiento lógico que demuestra que la propuesta de clasificación como confidencial encuadra en la hipótesis 143 fr I.pdf”: </w:t>
      </w:r>
      <w:r>
        <w:rPr>
          <w:rFonts w:ascii="Palatino Linotype" w:eastAsia="Palatino Linotype" w:hAnsi="Palatino Linotype" w:cs="Palatino Linotype"/>
          <w:color w:val="000000"/>
        </w:rPr>
        <w:t xml:space="preserve">Contiene el oficio 219C0117/534/2022 del 22 de marzo de dos mil veintidós, suscrito por el Director de Administración y Finanzas, dirigido al Jefe de la Unidad de Información, Planeación, Programación y Evaluación y Titular de la Unidad de Transparencia de la Comisión del Agua del Estado de México, por medio del cual solicitó se convoque al Comité de Transparencia para que, en su caso, apruebe, modifique o revoque la propuesta de clasificación de la información como confidencial que propone; documento al que adjuntó la propuesta de clasificación de la información como confidencial. </w:t>
      </w:r>
    </w:p>
    <w:p w14:paraId="7BAB9580" w14:textId="77777777" w:rsidR="00F2419E" w:rsidRDefault="0034450F">
      <w:pPr>
        <w:numPr>
          <w:ilvl w:val="0"/>
          <w:numId w:val="9"/>
        </w:numPr>
        <w:pBdr>
          <w:top w:val="nil"/>
          <w:left w:val="nil"/>
          <w:bottom w:val="nil"/>
          <w:right w:val="nil"/>
          <w:between w:val="nil"/>
        </w:pBdr>
        <w:spacing w:line="360" w:lineRule="auto"/>
        <w:jc w:val="both"/>
        <w:rPr>
          <w:rFonts w:ascii="Palatino Linotype" w:eastAsia="Palatino Linotype" w:hAnsi="Palatino Linotype" w:cs="Palatino Linotype"/>
          <w:b/>
          <w:i/>
          <w:color w:val="000000"/>
        </w:rPr>
      </w:pPr>
      <w:r>
        <w:rPr>
          <w:rFonts w:ascii="Palatino Linotype" w:eastAsia="Palatino Linotype" w:hAnsi="Palatino Linotype" w:cs="Palatino Linotype"/>
          <w:b/>
          <w:i/>
          <w:color w:val="000000"/>
        </w:rPr>
        <w:t xml:space="preserve">“CONTRATO ADVO DE PRESTACIÓN DE SERVICIOS 6DO20210014.pdf”: </w:t>
      </w:r>
      <w:r>
        <w:rPr>
          <w:rFonts w:ascii="Palatino Linotype" w:eastAsia="Palatino Linotype" w:hAnsi="Palatino Linotype" w:cs="Palatino Linotype"/>
          <w:color w:val="000000"/>
        </w:rPr>
        <w:t xml:space="preserve">Se observa el contrato de prestación de servicios de mantenimiento preventivo y correctivo a la maquinaria y equipo pesado de la Comisión del Agua del Estado de México. </w:t>
      </w:r>
    </w:p>
    <w:p w14:paraId="00933EFF" w14:textId="77777777" w:rsidR="00F2419E" w:rsidRDefault="0034450F">
      <w:pPr>
        <w:numPr>
          <w:ilvl w:val="0"/>
          <w:numId w:val="9"/>
        </w:numPr>
        <w:pBdr>
          <w:top w:val="nil"/>
          <w:left w:val="nil"/>
          <w:bottom w:val="nil"/>
          <w:right w:val="nil"/>
          <w:between w:val="nil"/>
        </w:pBdr>
        <w:spacing w:line="360" w:lineRule="auto"/>
        <w:jc w:val="both"/>
        <w:rPr>
          <w:rFonts w:ascii="Palatino Linotype" w:eastAsia="Palatino Linotype" w:hAnsi="Palatino Linotype" w:cs="Palatino Linotype"/>
          <w:b/>
          <w:i/>
          <w:color w:val="000000"/>
        </w:rPr>
      </w:pPr>
      <w:r>
        <w:rPr>
          <w:rFonts w:ascii="Palatino Linotype" w:eastAsia="Palatino Linotype" w:hAnsi="Palatino Linotype" w:cs="Palatino Linotype"/>
          <w:b/>
          <w:i/>
          <w:color w:val="000000"/>
        </w:rPr>
        <w:t xml:space="preserve">“informe justificado 3944.docx”: </w:t>
      </w:r>
      <w:r>
        <w:rPr>
          <w:rFonts w:ascii="Palatino Linotype" w:eastAsia="Palatino Linotype" w:hAnsi="Palatino Linotype" w:cs="Palatino Linotype"/>
          <w:color w:val="000000"/>
        </w:rPr>
        <w:t xml:space="preserve">Contiene el Informe de Justificación al Recurso de Revisión 03944/INFOEM/IP/RR/2022, suscrito por el Titular de la Unidad de Transparencia, de fecha cuatro de abril de dos mil veintidós. </w:t>
      </w:r>
    </w:p>
    <w:p w14:paraId="2BE47AE7" w14:textId="77777777" w:rsidR="00F2419E" w:rsidRDefault="0034450F">
      <w:pPr>
        <w:numPr>
          <w:ilvl w:val="0"/>
          <w:numId w:val="9"/>
        </w:numPr>
        <w:pBdr>
          <w:top w:val="nil"/>
          <w:left w:val="nil"/>
          <w:bottom w:val="nil"/>
          <w:right w:val="nil"/>
          <w:between w:val="nil"/>
        </w:pBdr>
        <w:spacing w:line="360" w:lineRule="auto"/>
        <w:jc w:val="both"/>
        <w:rPr>
          <w:rFonts w:ascii="Palatino Linotype" w:eastAsia="Palatino Linotype" w:hAnsi="Palatino Linotype" w:cs="Palatino Linotype"/>
          <w:b/>
          <w:i/>
          <w:color w:val="000000"/>
        </w:rPr>
      </w:pPr>
      <w:r>
        <w:rPr>
          <w:rFonts w:ascii="Palatino Linotype" w:eastAsia="Palatino Linotype" w:hAnsi="Palatino Linotype" w:cs="Palatino Linotype"/>
          <w:b/>
          <w:i/>
          <w:color w:val="000000"/>
        </w:rPr>
        <w:lastRenderedPageBreak/>
        <w:t>“DICTAMEN EA-915027991-N03-2021.pdf”:</w:t>
      </w:r>
      <w:r>
        <w:rPr>
          <w:rFonts w:ascii="Palatino Linotype" w:eastAsia="Palatino Linotype" w:hAnsi="Palatino Linotype" w:cs="Palatino Linotype"/>
          <w:i/>
          <w:color w:val="000000"/>
        </w:rPr>
        <w:t xml:space="preserve"> </w:t>
      </w:r>
      <w:r>
        <w:rPr>
          <w:rFonts w:ascii="Palatino Linotype" w:eastAsia="Palatino Linotype" w:hAnsi="Palatino Linotype" w:cs="Palatino Linotype"/>
          <w:color w:val="000000"/>
        </w:rPr>
        <w:t xml:space="preserve">Contiene el Dictamen de Licitación Pública Nacional Presencial Número EA-915027991-N03-2021 de fecha siete de abril de dos mil veintiuno. </w:t>
      </w:r>
    </w:p>
    <w:p w14:paraId="774BC795" w14:textId="77777777" w:rsidR="00F2419E" w:rsidRDefault="0034450F">
      <w:pPr>
        <w:numPr>
          <w:ilvl w:val="0"/>
          <w:numId w:val="9"/>
        </w:numPr>
        <w:pBdr>
          <w:top w:val="nil"/>
          <w:left w:val="nil"/>
          <w:bottom w:val="nil"/>
          <w:right w:val="nil"/>
          <w:between w:val="nil"/>
        </w:pBdr>
        <w:spacing w:line="360" w:lineRule="auto"/>
        <w:jc w:val="both"/>
        <w:rPr>
          <w:rFonts w:ascii="Palatino Linotype" w:eastAsia="Palatino Linotype" w:hAnsi="Palatino Linotype" w:cs="Palatino Linotype"/>
          <w:b/>
          <w:i/>
          <w:color w:val="000000"/>
        </w:rPr>
      </w:pPr>
      <w:r>
        <w:rPr>
          <w:rFonts w:ascii="Palatino Linotype" w:eastAsia="Palatino Linotype" w:hAnsi="Palatino Linotype" w:cs="Palatino Linotype"/>
          <w:b/>
          <w:i/>
          <w:color w:val="000000"/>
        </w:rPr>
        <w:t xml:space="preserve">“CONCENTRADO PAGOS MACANO.pdf”: </w:t>
      </w:r>
      <w:r>
        <w:rPr>
          <w:rFonts w:ascii="Palatino Linotype" w:eastAsia="Palatino Linotype" w:hAnsi="Palatino Linotype" w:cs="Palatino Linotype"/>
          <w:color w:val="000000"/>
        </w:rPr>
        <w:t>Contiene el listado de pagos realizados a la COMERCIALIZADORA MACANO S.A. DE C.V.</w:t>
      </w:r>
    </w:p>
    <w:p w14:paraId="31349867" w14:textId="77777777" w:rsidR="00F2419E" w:rsidRDefault="0034450F">
      <w:pPr>
        <w:numPr>
          <w:ilvl w:val="0"/>
          <w:numId w:val="9"/>
        </w:numPr>
        <w:pBdr>
          <w:top w:val="nil"/>
          <w:left w:val="nil"/>
          <w:bottom w:val="nil"/>
          <w:right w:val="nil"/>
          <w:between w:val="nil"/>
        </w:pBdr>
        <w:spacing w:line="360" w:lineRule="auto"/>
        <w:jc w:val="both"/>
        <w:rPr>
          <w:rFonts w:ascii="Palatino Linotype" w:eastAsia="Palatino Linotype" w:hAnsi="Palatino Linotype" w:cs="Palatino Linotype"/>
          <w:b/>
          <w:i/>
          <w:color w:val="000000"/>
        </w:rPr>
      </w:pPr>
      <w:r>
        <w:rPr>
          <w:rFonts w:ascii="Palatino Linotype" w:eastAsia="Palatino Linotype" w:hAnsi="Palatino Linotype" w:cs="Palatino Linotype"/>
          <w:b/>
          <w:i/>
          <w:color w:val="000000"/>
        </w:rPr>
        <w:t xml:space="preserve">“CONTRATO ADVO DE PRESTACIÓN DE SERVICIOS 6DA20210015.pdf”: </w:t>
      </w:r>
      <w:r>
        <w:rPr>
          <w:rFonts w:ascii="Palatino Linotype" w:eastAsia="Palatino Linotype" w:hAnsi="Palatino Linotype" w:cs="Palatino Linotype"/>
          <w:color w:val="000000"/>
        </w:rPr>
        <w:t xml:space="preserve">Contiene el Contrato Administrativo de Prestación de Servicios número 6DA20210015 derivado del procedimiento de contratación por Licitación Pública Nacional Presencial número EA-915027991-N03-2021. </w:t>
      </w:r>
    </w:p>
    <w:p w14:paraId="49C76DA0" w14:textId="77777777" w:rsidR="00F2419E" w:rsidRDefault="0034450F">
      <w:pPr>
        <w:widowControl w:val="0"/>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rPr>
        <w:t xml:space="preserve">Documentos que el </w:t>
      </w:r>
      <w:r>
        <w:rPr>
          <w:rFonts w:ascii="Palatino Linotype" w:eastAsia="Palatino Linotype" w:hAnsi="Palatino Linotype" w:cs="Palatino Linotype"/>
          <w:b/>
        </w:rPr>
        <w:t>cinco de julio de dos mil veintidós</w:t>
      </w:r>
      <w:r>
        <w:rPr>
          <w:rFonts w:ascii="Palatino Linotype" w:eastAsia="Palatino Linotype" w:hAnsi="Palatino Linotype" w:cs="Palatino Linotype"/>
        </w:rPr>
        <w:t xml:space="preserve"> se notificaron al </w:t>
      </w:r>
      <w:r>
        <w:rPr>
          <w:rFonts w:ascii="Palatino Linotype" w:eastAsia="Palatino Linotype" w:hAnsi="Palatino Linotype" w:cs="Palatino Linotype"/>
          <w:b/>
        </w:rPr>
        <w:t xml:space="preserve">RECURRENTE </w:t>
      </w:r>
      <w:r>
        <w:rPr>
          <w:rFonts w:ascii="Palatino Linotype" w:eastAsia="Palatino Linotype" w:hAnsi="Palatino Linotype" w:cs="Palatino Linotype"/>
        </w:rPr>
        <w:t xml:space="preserve">para conocimiento, con excepción de los archivos </w:t>
      </w:r>
      <w:r>
        <w:rPr>
          <w:rFonts w:ascii="Palatino Linotype" w:eastAsia="Palatino Linotype" w:hAnsi="Palatino Linotype" w:cs="Palatino Linotype"/>
          <w:b/>
          <w:i/>
          <w:color w:val="000000"/>
        </w:rPr>
        <w:t xml:space="preserve">“VERSIÓN PÚBLICA ACTA CONSTITUTIVA DE COMERCIALIZADORA MACANO S.A. DE C.V..pdf” y </w:t>
      </w:r>
      <w:r>
        <w:rPr>
          <w:rFonts w:ascii="Palatino Linotype" w:eastAsia="Palatino Linotype" w:hAnsi="Palatino Linotype" w:cs="Palatino Linotype"/>
        </w:rPr>
        <w:t xml:space="preserve"> </w:t>
      </w:r>
      <w:r>
        <w:rPr>
          <w:rFonts w:ascii="Palatino Linotype" w:eastAsia="Palatino Linotype" w:hAnsi="Palatino Linotype" w:cs="Palatino Linotype"/>
          <w:b/>
          <w:i/>
          <w:color w:val="000000"/>
        </w:rPr>
        <w:t xml:space="preserve">“Constancia de situación fiscal.pdf” </w:t>
      </w:r>
      <w:r>
        <w:rPr>
          <w:rFonts w:ascii="Palatino Linotype" w:eastAsia="Palatino Linotype" w:hAnsi="Palatino Linotype" w:cs="Palatino Linotype"/>
          <w:color w:val="000000"/>
        </w:rPr>
        <w:t xml:space="preserve">en los que se observan datos susceptibles de clasificar como información confidencial. </w:t>
      </w:r>
    </w:p>
    <w:p w14:paraId="02C57489" w14:textId="77777777" w:rsidR="00F2419E" w:rsidRDefault="0034450F">
      <w:pPr>
        <w:widowControl w:val="0"/>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color w:val="000000"/>
        </w:rPr>
        <w:t xml:space="preserve">Por su parte, el </w:t>
      </w:r>
      <w:r>
        <w:rPr>
          <w:rFonts w:ascii="Palatino Linotype" w:eastAsia="Palatino Linotype" w:hAnsi="Palatino Linotype" w:cs="Palatino Linotype"/>
          <w:b/>
          <w:color w:val="000000"/>
        </w:rPr>
        <w:t xml:space="preserve">RECURRENTE </w:t>
      </w:r>
      <w:r>
        <w:rPr>
          <w:rFonts w:ascii="Palatino Linotype" w:eastAsia="Palatino Linotype" w:hAnsi="Palatino Linotype" w:cs="Palatino Linotype"/>
          <w:color w:val="000000"/>
        </w:rPr>
        <w:t>no realizó manifestaciones</w:t>
      </w:r>
      <w:r>
        <w:rPr>
          <w:rFonts w:ascii="Palatino Linotype" w:eastAsia="Palatino Linotype" w:hAnsi="Palatino Linotype" w:cs="Palatino Linotype"/>
        </w:rPr>
        <w:t xml:space="preserve">, formuló alegatos y no ofreció ningún medio de prueba, tal como se advierte en la siguiente imagen. </w:t>
      </w:r>
    </w:p>
    <w:p w14:paraId="6C146457" w14:textId="77777777" w:rsidR="00F2419E" w:rsidRDefault="0034450F">
      <w:pPr>
        <w:widowControl w:val="0"/>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noProof/>
          <w:lang w:val="es-MX"/>
        </w:rPr>
        <w:drawing>
          <wp:inline distT="0" distB="0" distL="0" distR="0" wp14:anchorId="3A37169F" wp14:editId="6E6BA0CF">
            <wp:extent cx="5612130" cy="1224280"/>
            <wp:effectExtent l="0" t="0" r="0" b="0"/>
            <wp:docPr id="4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5612130" cy="1224280"/>
                    </a:xfrm>
                    <a:prstGeom prst="rect">
                      <a:avLst/>
                    </a:prstGeom>
                    <a:ln/>
                  </pic:spPr>
                </pic:pic>
              </a:graphicData>
            </a:graphic>
          </wp:inline>
        </w:drawing>
      </w:r>
      <w:r>
        <w:rPr>
          <w:rFonts w:ascii="Palatino Linotype" w:eastAsia="Palatino Linotype" w:hAnsi="Palatino Linotype" w:cs="Palatino Linotype"/>
        </w:rPr>
        <w:t xml:space="preserve"> </w:t>
      </w:r>
    </w:p>
    <w:p w14:paraId="655A3CC4" w14:textId="77777777" w:rsidR="00F2419E" w:rsidRDefault="001503EE">
      <w:pPr>
        <w:widowControl w:val="0"/>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8. </w:t>
      </w:r>
      <w:r w:rsidR="0034450F">
        <w:rPr>
          <w:rFonts w:ascii="Palatino Linotype" w:eastAsia="Palatino Linotype" w:hAnsi="Palatino Linotype" w:cs="Palatino Linotype"/>
          <w:b/>
        </w:rPr>
        <w:t xml:space="preserve">Ampliación del plazo para emitir resolución. </w:t>
      </w:r>
      <w:r w:rsidR="0034450F">
        <w:rPr>
          <w:rFonts w:ascii="Palatino Linotype" w:eastAsia="Palatino Linotype" w:hAnsi="Palatino Linotype" w:cs="Palatino Linotype"/>
        </w:rPr>
        <w:t xml:space="preserve">El </w:t>
      </w:r>
      <w:r w:rsidR="0034450F">
        <w:rPr>
          <w:rFonts w:ascii="Palatino Linotype" w:eastAsia="Palatino Linotype" w:hAnsi="Palatino Linotype" w:cs="Palatino Linotype"/>
          <w:b/>
        </w:rPr>
        <w:t>seis de julio de dos mil veintidós</w:t>
      </w:r>
      <w:r w:rsidR="0034450F">
        <w:rPr>
          <w:rFonts w:ascii="Palatino Linotype" w:eastAsia="Palatino Linotype" w:hAnsi="Palatino Linotype" w:cs="Palatino Linotype"/>
        </w:rPr>
        <w:t xml:space="preserve">, este Instituto con fundamento en el artículo 181, párrafo tercero, de la Ley </w:t>
      </w:r>
      <w:r w:rsidR="0034450F">
        <w:rPr>
          <w:rFonts w:ascii="Palatino Linotype" w:eastAsia="Palatino Linotype" w:hAnsi="Palatino Linotype" w:cs="Palatino Linotype"/>
        </w:rPr>
        <w:lastRenderedPageBreak/>
        <w:t xml:space="preserve">de Transparencia y Acceso a la Información Pública del Estado de México y Municipios, determinó ampliar el plazo para emitir la presente resolución. </w:t>
      </w:r>
    </w:p>
    <w:p w14:paraId="51DA0FFB" w14:textId="77777777" w:rsidR="00F2419E" w:rsidRDefault="0034450F">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Este organismo garante no pasa por alto justificar, que el plazo para emitir la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35A3F5CA" w14:textId="77777777" w:rsidR="00F2419E" w:rsidRDefault="00F2419E">
      <w:pPr>
        <w:spacing w:line="360" w:lineRule="auto"/>
        <w:jc w:val="both"/>
        <w:rPr>
          <w:rFonts w:ascii="Palatino Linotype" w:eastAsia="Palatino Linotype" w:hAnsi="Palatino Linotype" w:cs="Palatino Linotype"/>
        </w:rPr>
      </w:pPr>
    </w:p>
    <w:p w14:paraId="6E19058B" w14:textId="77777777" w:rsidR="00F2419E" w:rsidRDefault="0034450F">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50F6AA6B" w14:textId="77777777" w:rsidR="00F2419E" w:rsidRDefault="00F2419E">
      <w:pPr>
        <w:spacing w:line="360" w:lineRule="auto"/>
        <w:jc w:val="both"/>
        <w:rPr>
          <w:rFonts w:ascii="Palatino Linotype" w:eastAsia="Palatino Linotype" w:hAnsi="Palatino Linotype" w:cs="Palatino Linotype"/>
        </w:rPr>
      </w:pPr>
    </w:p>
    <w:p w14:paraId="21F4ADB4" w14:textId="77777777" w:rsidR="00F2419E" w:rsidRDefault="0034450F">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42B89C45" w14:textId="77777777" w:rsidR="00F2419E" w:rsidRDefault="00F2419E">
      <w:pPr>
        <w:spacing w:line="360" w:lineRule="auto"/>
        <w:jc w:val="both"/>
        <w:rPr>
          <w:rFonts w:ascii="Palatino Linotype" w:eastAsia="Palatino Linotype" w:hAnsi="Palatino Linotype" w:cs="Palatino Linotype"/>
        </w:rPr>
      </w:pPr>
    </w:p>
    <w:p w14:paraId="3F4FE0A7" w14:textId="77777777" w:rsidR="00F2419E" w:rsidRDefault="0034450F">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766A3B7C" w14:textId="77777777" w:rsidR="00F2419E" w:rsidRDefault="00F2419E">
      <w:pPr>
        <w:spacing w:line="360" w:lineRule="auto"/>
        <w:jc w:val="both"/>
        <w:rPr>
          <w:rFonts w:ascii="Palatino Linotype" w:eastAsia="Palatino Linotype" w:hAnsi="Palatino Linotype" w:cs="Palatino Linotype"/>
        </w:rPr>
      </w:pPr>
    </w:p>
    <w:p w14:paraId="6478F590" w14:textId="77777777" w:rsidR="00F2419E" w:rsidRDefault="0034450F">
      <w:pPr>
        <w:spacing w:line="360" w:lineRule="auto"/>
        <w:jc w:val="both"/>
        <w:rPr>
          <w:rFonts w:ascii="Palatino Linotype" w:eastAsia="Palatino Linotype" w:hAnsi="Palatino Linotype" w:cs="Palatino Linotype"/>
          <w:strike/>
          <w:color w:val="FF0000"/>
        </w:rPr>
      </w:pPr>
      <w:r>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14:paraId="0F717659" w14:textId="77777777" w:rsidR="00F2419E" w:rsidRDefault="00F2419E">
      <w:pPr>
        <w:spacing w:line="360" w:lineRule="auto"/>
        <w:jc w:val="both"/>
        <w:rPr>
          <w:rFonts w:ascii="Palatino Linotype" w:eastAsia="Palatino Linotype" w:hAnsi="Palatino Linotype" w:cs="Palatino Linotype"/>
        </w:rPr>
      </w:pPr>
    </w:p>
    <w:p w14:paraId="0ED5F06E" w14:textId="77777777" w:rsidR="00F2419E" w:rsidRDefault="0034450F">
      <w:pPr>
        <w:numPr>
          <w:ilvl w:val="0"/>
          <w:numId w:val="1"/>
        </w:num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Complejidad del Asunto: La complejidad de la prueba, la pluralidad de sujetos procesales, el tiempo transcurrido, las características y contexto del recurso. </w:t>
      </w:r>
    </w:p>
    <w:p w14:paraId="40755300" w14:textId="77777777" w:rsidR="00F2419E" w:rsidRDefault="00F2419E">
      <w:pPr>
        <w:spacing w:line="360" w:lineRule="auto"/>
        <w:ind w:left="927"/>
        <w:jc w:val="both"/>
        <w:rPr>
          <w:rFonts w:ascii="Palatino Linotype" w:eastAsia="Palatino Linotype" w:hAnsi="Palatino Linotype" w:cs="Palatino Linotype"/>
        </w:rPr>
      </w:pPr>
    </w:p>
    <w:p w14:paraId="6FFDF2D3" w14:textId="77777777" w:rsidR="00F2419E" w:rsidRDefault="0034450F">
      <w:pPr>
        <w:numPr>
          <w:ilvl w:val="0"/>
          <w:numId w:val="1"/>
        </w:num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Actividad Procesal del interesado. Acciones u omisiones del interesado.</w:t>
      </w:r>
    </w:p>
    <w:p w14:paraId="7C5981F5" w14:textId="77777777" w:rsidR="00F2419E" w:rsidRDefault="00F2419E">
      <w:pPr>
        <w:spacing w:line="360" w:lineRule="auto"/>
        <w:jc w:val="both"/>
        <w:rPr>
          <w:rFonts w:ascii="Palatino Linotype" w:eastAsia="Palatino Linotype" w:hAnsi="Palatino Linotype" w:cs="Palatino Linotype"/>
        </w:rPr>
      </w:pPr>
    </w:p>
    <w:p w14:paraId="10DB9735" w14:textId="77777777" w:rsidR="00F2419E" w:rsidRDefault="0034450F">
      <w:pPr>
        <w:numPr>
          <w:ilvl w:val="0"/>
          <w:numId w:val="1"/>
        </w:num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Conducta de la Autoridad: Las Acciones u omisiones realizadas en el procedimiento. Así como si la autoridad actuó con la debida diligencia.</w:t>
      </w:r>
    </w:p>
    <w:p w14:paraId="534481D4" w14:textId="77777777" w:rsidR="00F2419E" w:rsidRDefault="00F2419E">
      <w:pPr>
        <w:spacing w:line="360" w:lineRule="auto"/>
        <w:ind w:left="708"/>
        <w:rPr>
          <w:rFonts w:ascii="Palatino Linotype" w:eastAsia="Palatino Linotype" w:hAnsi="Palatino Linotype" w:cs="Palatino Linotype"/>
        </w:rPr>
      </w:pPr>
    </w:p>
    <w:p w14:paraId="063576FD" w14:textId="77777777" w:rsidR="00F2419E" w:rsidRDefault="0034450F">
      <w:pPr>
        <w:spacing w:line="360" w:lineRule="auto"/>
        <w:ind w:left="567"/>
        <w:jc w:val="both"/>
        <w:rPr>
          <w:rFonts w:ascii="Palatino Linotype" w:eastAsia="Palatino Linotype" w:hAnsi="Palatino Linotype" w:cs="Palatino Linotype"/>
        </w:rPr>
      </w:pPr>
      <w:r>
        <w:rPr>
          <w:rFonts w:ascii="Palatino Linotype" w:eastAsia="Palatino Linotype" w:hAnsi="Palatino Linotype" w:cs="Palatino Linotype"/>
        </w:rPr>
        <w:t>d) La afectación generada en la situación jurídica de la persona involucrada en el proceso: Violación a sus derechos humanos.</w:t>
      </w:r>
    </w:p>
    <w:p w14:paraId="4C227AA3" w14:textId="77777777" w:rsidR="00F2419E" w:rsidRDefault="00F2419E">
      <w:pPr>
        <w:spacing w:line="360" w:lineRule="auto"/>
        <w:jc w:val="both"/>
        <w:rPr>
          <w:rFonts w:ascii="Palatino Linotype" w:eastAsia="Palatino Linotype" w:hAnsi="Palatino Linotype" w:cs="Palatino Linotype"/>
        </w:rPr>
      </w:pPr>
    </w:p>
    <w:p w14:paraId="61C797EE" w14:textId="77777777" w:rsidR="00F2419E" w:rsidRDefault="0034450F">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 modo que, cuando se trate de un asunto excepcional, por alguna o todas las características mencionadas; o bien, cuando el ingreso de asuntos al órgano jurisdiccional o cuasi jurisdiccional respectivo supere notoriamente al que podría </w:t>
      </w:r>
      <w:r>
        <w:rPr>
          <w:rFonts w:ascii="Palatino Linotype" w:eastAsia="Palatino Linotype" w:hAnsi="Palatino Linotype" w:cs="Palatino Linotype"/>
        </w:rPr>
        <w:lastRenderedPageBreak/>
        <w:t>considerarse normal, debe concluirse que es una excluyente de responsabilidad en relación con la actuación del funcionario, como ha acontecido en el caso que nos ocupa.</w:t>
      </w:r>
    </w:p>
    <w:p w14:paraId="411C61B3" w14:textId="77777777" w:rsidR="00F2419E" w:rsidRDefault="00F2419E">
      <w:pPr>
        <w:spacing w:line="360" w:lineRule="auto"/>
        <w:jc w:val="both"/>
        <w:rPr>
          <w:rFonts w:ascii="Palatino Linotype" w:eastAsia="Palatino Linotype" w:hAnsi="Palatino Linotype" w:cs="Palatino Linotype"/>
        </w:rPr>
      </w:pPr>
    </w:p>
    <w:p w14:paraId="78DCDA81" w14:textId="77777777" w:rsidR="00F2419E" w:rsidRDefault="0034450F">
      <w:pPr>
        <w:spacing w:line="360" w:lineRule="auto"/>
        <w:jc w:val="both"/>
        <w:rPr>
          <w:rFonts w:ascii="Palatino Linotype" w:eastAsia="Palatino Linotype" w:hAnsi="Palatino Linotype" w:cs="Palatino Linotype"/>
          <w:b/>
        </w:rPr>
      </w:pPr>
      <w:r>
        <w:rPr>
          <w:rFonts w:ascii="Palatino Linotype" w:eastAsia="Palatino Linotype" w:hAnsi="Palatino Linotype" w:cs="Palatino Linotype"/>
        </w:rPr>
        <w:t xml:space="preserve">Argumento que encuentra sustento en la jurisprudencia P./J. 32/92 emitida por el Pleno de la Suprema Corte de Justicia de la Nación de rubro </w:t>
      </w:r>
      <w:r>
        <w:rPr>
          <w:rFonts w:ascii="Palatino Linotype" w:eastAsia="Palatino Linotype" w:hAnsi="Palatino Linotype" w:cs="Palatino Linotype"/>
          <w:i/>
        </w:rPr>
        <w:t>“TÉRMINOS PROCESALES. PARA DETERMINAR SI UN FUNCIONARIO JUDICIAL ACTUÓ INDEBIDAMENTE POR NO RESPETARLOS SE DEBE ATENDER AL PRESUPUESTO QUE CONSIDERÓ EL LEGISLADOR AL FIJARLOS Y LAS CARACTERÍSTICAS DEL CASO.”</w:t>
      </w:r>
      <w:r>
        <w:rPr>
          <w:rFonts w:ascii="Palatino Linotype" w:eastAsia="Palatino Linotype" w:hAnsi="Palatino Linotype" w:cs="Palatino Linotype"/>
        </w:rPr>
        <w:t>, visible en la Gaceta del Seminario Judicial de la Federación con el registro digital 205635.</w:t>
      </w:r>
    </w:p>
    <w:p w14:paraId="4BB775D5" w14:textId="77777777" w:rsidR="00F2419E" w:rsidRDefault="00F2419E">
      <w:pPr>
        <w:spacing w:line="360" w:lineRule="auto"/>
        <w:jc w:val="both"/>
        <w:rPr>
          <w:rFonts w:ascii="Palatino Linotype" w:eastAsia="Palatino Linotype" w:hAnsi="Palatino Linotype" w:cs="Palatino Linotype"/>
        </w:rPr>
      </w:pPr>
    </w:p>
    <w:p w14:paraId="583046AB" w14:textId="77777777" w:rsidR="00F2419E" w:rsidRDefault="0034450F">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4F13E33D" w14:textId="77777777" w:rsidR="00F2419E" w:rsidRDefault="00F2419E">
      <w:pPr>
        <w:spacing w:line="360" w:lineRule="auto"/>
        <w:jc w:val="both"/>
        <w:rPr>
          <w:rFonts w:ascii="Palatino Linotype" w:eastAsia="Palatino Linotype" w:hAnsi="Palatino Linotype" w:cs="Palatino Linotype"/>
        </w:rPr>
      </w:pPr>
    </w:p>
    <w:p w14:paraId="49018230" w14:textId="77777777" w:rsidR="00F2419E" w:rsidRDefault="0034450F">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Al respecto, también son de considerar los criterios sostenidos por el Cuarto Tribunal Colegiado en Materia Administrativa del Primer Circuito, cuyos rubros y datos de identificación son los siguientes:</w:t>
      </w:r>
    </w:p>
    <w:p w14:paraId="59EC3BE9" w14:textId="77777777" w:rsidR="00F2419E" w:rsidRDefault="00F2419E">
      <w:pPr>
        <w:spacing w:line="360" w:lineRule="auto"/>
        <w:jc w:val="both"/>
        <w:rPr>
          <w:rFonts w:ascii="Palatino Linotype" w:eastAsia="Palatino Linotype" w:hAnsi="Palatino Linotype" w:cs="Palatino Linotype"/>
        </w:rPr>
      </w:pPr>
    </w:p>
    <w:p w14:paraId="56C336A1" w14:textId="77777777" w:rsidR="00F2419E" w:rsidRDefault="0034450F">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 </w:t>
      </w:r>
      <w:r>
        <w:rPr>
          <w:rFonts w:ascii="Palatino Linotype" w:eastAsia="Palatino Linotype" w:hAnsi="Palatino Linotype" w:cs="Palatino Linotype"/>
          <w:i/>
        </w:rPr>
        <w:t>“PLAZO RAZONABLE PARA RESOLVER. DIMENSIÓN Y EFECTOS DE ESTE CONCEPTO CUANDO SE ADUCE EXCESIVA CARGA DE TRABAJO.”</w:t>
      </w:r>
      <w:r>
        <w:rPr>
          <w:rFonts w:ascii="Palatino Linotype" w:eastAsia="Palatino Linotype" w:hAnsi="Palatino Linotype" w:cs="Palatino Linotype"/>
        </w:rPr>
        <w:t xml:space="preserve"> consultable en el Seminario Judicial de la Federación y su gaceta, con el registro digital 2002351.</w:t>
      </w:r>
    </w:p>
    <w:p w14:paraId="1A13A84A" w14:textId="77777777" w:rsidR="00F2419E" w:rsidRDefault="00F2419E">
      <w:pPr>
        <w:spacing w:line="360" w:lineRule="auto"/>
        <w:jc w:val="both"/>
        <w:rPr>
          <w:rFonts w:ascii="Palatino Linotype" w:eastAsia="Palatino Linotype" w:hAnsi="Palatino Linotype" w:cs="Palatino Linotype"/>
          <w:b/>
        </w:rPr>
      </w:pPr>
    </w:p>
    <w:p w14:paraId="7F2BE4A3" w14:textId="77777777" w:rsidR="00F2419E" w:rsidRDefault="0034450F">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i/>
        </w:rPr>
        <w:t>“PLAZO RAZONABLE PARA RESOLVER. CONCEPTO Y ELEMENTOS QUE LO INTEGRAN A LA LUZ DEL DERECHO INTERNACIONAL DE LOS DERECHOS HUMANOS.”</w:t>
      </w:r>
      <w:r>
        <w:rPr>
          <w:rFonts w:ascii="Palatino Linotype" w:eastAsia="Palatino Linotype" w:hAnsi="Palatino Linotype" w:cs="Palatino Linotype"/>
        </w:rPr>
        <w:t>, visible en el Seminario Judicial de la Federación y su gaceta, con el registro digital 2002350.</w:t>
      </w:r>
    </w:p>
    <w:p w14:paraId="51EF458A" w14:textId="77777777" w:rsidR="00F2419E" w:rsidRDefault="0034450F">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Por ello, este organismo garante comprometido con la tutela de los derechos humanos confiados, señala que este exceso del plazo legal para resolver el presente asunto, resulta de carácter excepcional.</w:t>
      </w:r>
    </w:p>
    <w:p w14:paraId="634B9094" w14:textId="77777777" w:rsidR="00F2419E" w:rsidRDefault="0034450F">
      <w:pPr>
        <w:widowControl w:val="0"/>
        <w:spacing w:before="240" w:after="240" w:line="360" w:lineRule="auto"/>
        <w:jc w:val="both"/>
        <w:rPr>
          <w:rFonts w:ascii="Palatino Linotype" w:eastAsia="Palatino Linotype" w:hAnsi="Palatino Linotype" w:cs="Palatino Linotype"/>
        </w:rPr>
      </w:pPr>
      <w:bookmarkStart w:id="5" w:name="_heading=h.2et92p0" w:colFirst="0" w:colLast="0"/>
      <w:bookmarkEnd w:id="5"/>
      <w:r w:rsidRPr="001503EE">
        <w:rPr>
          <w:rFonts w:ascii="Palatino Linotype" w:eastAsia="Palatino Linotype" w:hAnsi="Palatino Linotype" w:cs="Palatino Linotype"/>
          <w:b/>
        </w:rPr>
        <w:t xml:space="preserve"> 9.</w:t>
      </w:r>
      <w:r>
        <w:rPr>
          <w:rFonts w:ascii="Palatino Linotype" w:eastAsia="Palatino Linotype" w:hAnsi="Palatino Linotype" w:cs="Palatino Linotype"/>
          <w:b/>
        </w:rPr>
        <w:t xml:space="preserve"> Cierre de instrucción. </w:t>
      </w:r>
      <w:r>
        <w:rPr>
          <w:rFonts w:ascii="Palatino Linotype" w:eastAsia="Palatino Linotype" w:hAnsi="Palatino Linotype" w:cs="Palatino Linotype"/>
        </w:rPr>
        <w:t xml:space="preserve">Una vez transcurrido el periodo otorgado a las partes para realizar sus manifestaciones y no habiendo documentos que integrar al expediente, el </w:t>
      </w:r>
      <w:r>
        <w:rPr>
          <w:rFonts w:ascii="Palatino Linotype" w:eastAsia="Palatino Linotype" w:hAnsi="Palatino Linotype" w:cs="Palatino Linotype"/>
          <w:b/>
        </w:rPr>
        <w:t>once de julio de dos mil veintidós</w:t>
      </w:r>
      <w:r>
        <w:rPr>
          <w:rFonts w:ascii="Palatino Linotype" w:eastAsia="Palatino Linotype" w:hAnsi="Palatino Linotype" w:cs="Palatino Linotype"/>
        </w:rPr>
        <w:t>, la Comisionada Ponente determinó el cierre de instrucción en términos de la fracción VI del artículo 185 de la Ley de Transparencia y Acceso a la Información Pública del Estado de México y Municipios.</w:t>
      </w:r>
    </w:p>
    <w:p w14:paraId="64F6689D" w14:textId="77777777" w:rsidR="00F2419E" w:rsidRDefault="0034450F">
      <w:pPr>
        <w:widowControl w:val="0"/>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rPr>
        <w:t>En razón de que fue debidamente sustanciado el expediente electrónico y no existe diligencia pendiente de desahogo, se emite la Resolución que conforme a Derecho proceda, de acuerdo con los siguientes:</w:t>
      </w:r>
      <w:r>
        <w:rPr>
          <w:rFonts w:ascii="Palatino Linotype" w:eastAsia="Palatino Linotype" w:hAnsi="Palatino Linotype" w:cs="Palatino Linotype"/>
          <w:b/>
        </w:rPr>
        <w:t xml:space="preserve"> </w:t>
      </w:r>
    </w:p>
    <w:p w14:paraId="5C18299F" w14:textId="77777777" w:rsidR="00F2419E" w:rsidRDefault="0034450F">
      <w:pPr>
        <w:widowControl w:val="0"/>
        <w:spacing w:before="240" w:after="240" w:line="360" w:lineRule="auto"/>
        <w:jc w:val="center"/>
        <w:rPr>
          <w:rFonts w:ascii="Palatino Linotype" w:eastAsia="Palatino Linotype" w:hAnsi="Palatino Linotype" w:cs="Palatino Linotype"/>
          <w:b/>
        </w:rPr>
      </w:pPr>
      <w:r>
        <w:rPr>
          <w:rFonts w:ascii="Palatino Linotype" w:eastAsia="Palatino Linotype" w:hAnsi="Palatino Linotype" w:cs="Palatino Linotype"/>
          <w:b/>
        </w:rPr>
        <w:lastRenderedPageBreak/>
        <w:t>II. C O N S I D E R A N D O</w:t>
      </w:r>
    </w:p>
    <w:p w14:paraId="2601A9C1" w14:textId="77777777" w:rsidR="00F2419E" w:rsidRDefault="0034450F">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Primero. Competencia.</w:t>
      </w:r>
      <w:r>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14:paraId="28DA27A8" w14:textId="77777777" w:rsidR="00F2419E" w:rsidRDefault="0034450F">
      <w:pPr>
        <w:spacing w:before="240" w:after="240" w:line="360" w:lineRule="auto"/>
        <w:jc w:val="both"/>
        <w:rPr>
          <w:rFonts w:ascii="Palatino Linotype" w:eastAsia="Palatino Linotype" w:hAnsi="Palatino Linotype" w:cs="Palatino Linotype"/>
        </w:rPr>
      </w:pPr>
      <w:bookmarkStart w:id="6" w:name="_heading=h.1fob9te" w:colFirst="0" w:colLast="0"/>
      <w:bookmarkEnd w:id="6"/>
      <w:r>
        <w:rPr>
          <w:rFonts w:ascii="Palatino Linotype" w:eastAsia="Palatino Linotype" w:hAnsi="Palatino Linotype" w:cs="Palatino Linotype"/>
          <w:b/>
        </w:rPr>
        <w:t>Segundo. Oportunidad y Procedibilidad del Recurso de Revisión</w:t>
      </w:r>
      <w:r>
        <w:rPr>
          <w:rFonts w:ascii="Palatino Linotype" w:eastAsia="Palatino Linotype" w:hAnsi="Palatino Linotype" w:cs="Palatino Linotype"/>
        </w:rPr>
        <w:t>.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54302A00" w14:textId="77777777" w:rsidR="00F2419E" w:rsidRDefault="0034450F">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El recurso de revisión fue interpuesto dentro del plazo de quince días hábiles, previsto en el artículo 178 de la Ley de Transparencia y Acceso a la Información Pública del Estado de México y Municipios, toda vez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respondió a la solicitud de información el </w:t>
      </w:r>
      <w:r>
        <w:rPr>
          <w:rFonts w:ascii="Palatino Linotype" w:eastAsia="Palatino Linotype" w:hAnsi="Palatino Linotype" w:cs="Palatino Linotype"/>
          <w:b/>
        </w:rPr>
        <w:t xml:space="preserve">tres de marzo de dos mil veintidós, </w:t>
      </w:r>
      <w:r>
        <w:rPr>
          <w:rFonts w:ascii="Palatino Linotype" w:eastAsia="Palatino Linotype" w:hAnsi="Palatino Linotype" w:cs="Palatino Linotype"/>
        </w:rPr>
        <w:t xml:space="preserve">mientras que el recurso de revisión se interpuso el </w:t>
      </w:r>
      <w:r>
        <w:rPr>
          <w:rFonts w:ascii="Palatino Linotype" w:eastAsia="Palatino Linotype" w:hAnsi="Palatino Linotype" w:cs="Palatino Linotype"/>
          <w:b/>
        </w:rPr>
        <w:t xml:space="preserve">catorce de marzo de dos mil </w:t>
      </w:r>
      <w:r>
        <w:rPr>
          <w:rFonts w:ascii="Palatino Linotype" w:eastAsia="Palatino Linotype" w:hAnsi="Palatino Linotype" w:cs="Palatino Linotype"/>
          <w:b/>
        </w:rPr>
        <w:lastRenderedPageBreak/>
        <w:t>veintidós</w:t>
      </w:r>
      <w:r>
        <w:rPr>
          <w:rFonts w:ascii="Palatino Linotype" w:eastAsia="Palatino Linotype" w:hAnsi="Palatino Linotype" w:cs="Palatino Linotype"/>
        </w:rPr>
        <w:t>, esto es, al séptimo día hábil siguiente de aquel en que tuvo conocimiento de la respuesta; evidenciándose que la interposición del recurso se encuentra dentro de los márgenes temporales previstos en el citado precepto legal.</w:t>
      </w:r>
    </w:p>
    <w:p w14:paraId="56C83743" w14:textId="77777777" w:rsidR="00F2419E" w:rsidRDefault="0034450F">
      <w:pPr>
        <w:spacing w:before="240" w:after="240" w:line="360" w:lineRule="auto"/>
        <w:jc w:val="both"/>
        <w:rPr>
          <w:rFonts w:ascii="Palatino Linotype" w:eastAsia="Palatino Linotype" w:hAnsi="Palatino Linotype" w:cs="Palatino Linotype"/>
          <w:color w:val="222222"/>
        </w:rPr>
      </w:pPr>
      <w:r>
        <w:rPr>
          <w:rFonts w:ascii="Palatino Linotype" w:eastAsia="Palatino Linotype" w:hAnsi="Palatino Linotype" w:cs="Palatino Linotype"/>
        </w:rPr>
        <w:t xml:space="preserve">Por otro lado, es de suma importancia mencionar que, si bien el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no proporcionó nombre </w:t>
      </w:r>
      <w:r>
        <w:rPr>
          <w:rFonts w:ascii="Palatino Linotype" w:eastAsia="Palatino Linotype" w:hAnsi="Palatino Linotype" w:cs="Palatino Linotype"/>
          <w:color w:val="222222"/>
        </w:rPr>
        <w:t>como se advierte en el detalle de seguimiento del SAIMEX, sin embargo, el no proporcionar un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59FCE971" w14:textId="77777777" w:rsidR="00F2419E" w:rsidRDefault="0034450F">
      <w:pPr>
        <w:spacing w:before="120" w:after="120" w:line="276" w:lineRule="auto"/>
        <w:ind w:left="851" w:right="902"/>
        <w:jc w:val="both"/>
        <w:rPr>
          <w:rFonts w:ascii="Palatino Linotype" w:eastAsia="Palatino Linotype" w:hAnsi="Palatino Linotype" w:cs="Palatino Linotype"/>
          <w:i/>
          <w:color w:val="222222"/>
          <w:sz w:val="22"/>
          <w:szCs w:val="22"/>
        </w:rPr>
      </w:pPr>
      <w:r>
        <w:rPr>
          <w:rFonts w:ascii="Palatino Linotype" w:eastAsia="Palatino Linotype" w:hAnsi="Palatino Linotype" w:cs="Palatino Linotype"/>
          <w:i/>
          <w:color w:val="222222"/>
          <w:sz w:val="22"/>
          <w:szCs w:val="22"/>
        </w:rPr>
        <w:t>"</w:t>
      </w:r>
      <w:r>
        <w:rPr>
          <w:rFonts w:ascii="Palatino Linotype" w:eastAsia="Palatino Linotype" w:hAnsi="Palatino Linotype" w:cs="Palatino Linotype"/>
          <w:b/>
          <w:i/>
          <w:color w:val="222222"/>
          <w:sz w:val="22"/>
          <w:szCs w:val="22"/>
        </w:rPr>
        <w:t>Las solicitudes anónimas</w:t>
      </w:r>
      <w:r>
        <w:rPr>
          <w:rFonts w:ascii="Palatino Linotype" w:eastAsia="Palatino Linotype" w:hAnsi="Palatino Linotype" w:cs="Palatino Linotype"/>
          <w:i/>
          <w:color w:val="222222"/>
          <w:sz w:val="22"/>
          <w:szCs w:val="22"/>
        </w:rPr>
        <w:t>, con nombre incompleto o seudónimo </w:t>
      </w:r>
      <w:r>
        <w:rPr>
          <w:rFonts w:ascii="Palatino Linotype" w:eastAsia="Palatino Linotype" w:hAnsi="Palatino Linotype" w:cs="Palatino Linotype"/>
          <w:b/>
          <w:i/>
          <w:color w:val="222222"/>
          <w:sz w:val="22"/>
          <w:szCs w:val="22"/>
        </w:rPr>
        <w:t>serán procedentes para su trámite por parte del sujeto obligado ante quien se presente</w:t>
      </w:r>
      <w:r>
        <w:rPr>
          <w:rFonts w:ascii="Palatino Linotype" w:eastAsia="Palatino Linotype" w:hAnsi="Palatino Linotype" w:cs="Palatino Linotype"/>
          <w:i/>
          <w:color w:val="222222"/>
          <w:sz w:val="22"/>
          <w:szCs w:val="22"/>
        </w:rPr>
        <w:t>. No podrá requerirse información adicional con motivo del nombre proporcionado por el solicitante."</w:t>
      </w:r>
    </w:p>
    <w:p w14:paraId="569487AA" w14:textId="77777777" w:rsidR="00F2419E" w:rsidRDefault="00F2419E">
      <w:pPr>
        <w:spacing w:before="120" w:after="120" w:line="276" w:lineRule="auto"/>
        <w:ind w:left="851" w:right="902"/>
        <w:jc w:val="both"/>
        <w:rPr>
          <w:rFonts w:ascii="Palatino Linotype" w:eastAsia="Palatino Linotype" w:hAnsi="Palatino Linotype" w:cs="Palatino Linotype"/>
          <w:color w:val="222222"/>
          <w:sz w:val="22"/>
          <w:szCs w:val="22"/>
        </w:rPr>
      </w:pPr>
    </w:p>
    <w:p w14:paraId="1B256904" w14:textId="77777777" w:rsidR="00F2419E" w:rsidRDefault="0034450F">
      <w:pPr>
        <w:spacing w:line="360" w:lineRule="auto"/>
        <w:ind w:right="-150"/>
        <w:jc w:val="both"/>
        <w:rPr>
          <w:rFonts w:ascii="Palatino Linotype" w:eastAsia="Palatino Linotype" w:hAnsi="Palatino Linotype" w:cs="Palatino Linotype"/>
          <w:b/>
        </w:rPr>
      </w:pPr>
      <w:r>
        <w:rPr>
          <w:rFonts w:ascii="Palatino Linotype" w:eastAsia="Palatino Linotype" w:hAnsi="Palatino Linotype" w:cs="Palatino Linotype"/>
        </w:rPr>
        <w:t>Asimismo, se acreditan los elementos formales exigidos por el artículo 180 de la Ley de Transparencia y Acceso a la Información Pública del Estado de México y Municipios, en atención a que fueron presentados mediante el formato visible en el</w:t>
      </w:r>
      <w:r>
        <w:rPr>
          <w:rFonts w:ascii="Palatino Linotype" w:eastAsia="Palatino Linotype" w:hAnsi="Palatino Linotype" w:cs="Palatino Linotype"/>
          <w:b/>
        </w:rPr>
        <w:t xml:space="preserve"> SAIMEX. </w:t>
      </w:r>
    </w:p>
    <w:p w14:paraId="053A7348" w14:textId="77777777" w:rsidR="00F2419E" w:rsidRDefault="0034450F">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Finalmente, se advierte que resulta procedente la interposición del recurso, según lo manifestado por el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en sus motivos de inconformidad, de acuerdo al artículo 179, fracción V del ordenamiento legal citado, que a la letra dice: </w:t>
      </w:r>
    </w:p>
    <w:p w14:paraId="2E6546CE" w14:textId="77777777" w:rsidR="00F2419E" w:rsidRDefault="0034450F">
      <w:pPr>
        <w:tabs>
          <w:tab w:val="left" w:pos="7088"/>
        </w:tabs>
        <w:spacing w:before="120" w:after="120"/>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179.</w:t>
      </w:r>
      <w:r>
        <w:rPr>
          <w:rFonts w:ascii="Palatino Linotype" w:eastAsia="Palatino Linotype" w:hAnsi="Palatino Linotype" w:cs="Palatino Linotype"/>
          <w:i/>
          <w:sz w:val="22"/>
          <w:szCs w:val="22"/>
        </w:rPr>
        <w:t xml:space="preserve"> El recurso de revisión es un medio de protección que la Ley otorga a los particulares, para hacer valer su derecho de acceso a la información pública, y procederá en contra de las siguientes causas:</w:t>
      </w:r>
    </w:p>
    <w:p w14:paraId="7E5A28C5" w14:textId="77777777" w:rsidR="00F2419E" w:rsidRDefault="0034450F">
      <w:pPr>
        <w:tabs>
          <w:tab w:val="left" w:pos="7088"/>
        </w:tabs>
        <w:spacing w:before="120" w:after="120"/>
        <w:ind w:left="993"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lastRenderedPageBreak/>
        <w:t>…</w:t>
      </w:r>
    </w:p>
    <w:p w14:paraId="63DB08E6" w14:textId="77777777" w:rsidR="00F2419E" w:rsidRDefault="0034450F">
      <w:pPr>
        <w:tabs>
          <w:tab w:val="left" w:pos="7088"/>
        </w:tabs>
        <w:spacing w:before="120" w:after="120"/>
        <w:ind w:left="993"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V. </w:t>
      </w:r>
      <w:r>
        <w:rPr>
          <w:rFonts w:ascii="Palatino Linotype" w:eastAsia="Palatino Linotype" w:hAnsi="Palatino Linotype" w:cs="Palatino Linotype"/>
          <w:i/>
          <w:sz w:val="22"/>
          <w:szCs w:val="22"/>
        </w:rPr>
        <w:t xml:space="preserve">La entrega de información incompleta; </w:t>
      </w:r>
    </w:p>
    <w:p w14:paraId="64F138CB" w14:textId="77777777" w:rsidR="00F2419E" w:rsidRDefault="0034450F">
      <w:pPr>
        <w:tabs>
          <w:tab w:val="left" w:pos="7088"/>
        </w:tabs>
        <w:spacing w:before="120" w:after="120"/>
        <w:ind w:left="993"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w:t>
      </w:r>
      <w:r>
        <w:rPr>
          <w:rFonts w:ascii="Palatino Linotype" w:eastAsia="Palatino Linotype" w:hAnsi="Palatino Linotype" w:cs="Palatino Linotype"/>
          <w:i/>
          <w:sz w:val="22"/>
          <w:szCs w:val="22"/>
        </w:rPr>
        <w:t>”</w:t>
      </w:r>
    </w:p>
    <w:p w14:paraId="151CAA67" w14:textId="77777777" w:rsidR="00F2419E" w:rsidRDefault="0034450F">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TERCERO. Materia de la revisión. </w:t>
      </w:r>
      <w:r>
        <w:rPr>
          <w:rFonts w:ascii="Palatino Linotype" w:eastAsia="Palatino Linotype" w:hAnsi="Palatino Linotype" w:cs="Palatino Linotype"/>
        </w:rPr>
        <w:t xml:space="preserve">De las constancias que integran el expediente electrónico se advierte que el tema sobre el que este Instituto se pronunciará será: </w:t>
      </w:r>
      <w:r>
        <w:rPr>
          <w:rFonts w:ascii="Palatino Linotype" w:eastAsia="Palatino Linotype" w:hAnsi="Palatino Linotype" w:cs="Palatino Linotype"/>
          <w:b/>
        </w:rPr>
        <w:t xml:space="preserve">verificar si la respuesta otorgada por el SUJETO OBLIGADO es adecuada y suficiente para satisfacer el derecho de acceso a la información pública </w:t>
      </w:r>
      <w:r>
        <w:rPr>
          <w:rFonts w:ascii="Palatino Linotype" w:eastAsia="Palatino Linotype" w:hAnsi="Palatino Linotype" w:cs="Palatino Linotype"/>
        </w:rPr>
        <w:t xml:space="preserve">de la </w:t>
      </w:r>
      <w:r>
        <w:rPr>
          <w:rFonts w:ascii="Palatino Linotype" w:eastAsia="Palatino Linotype" w:hAnsi="Palatino Linotype" w:cs="Palatino Linotype"/>
          <w:b/>
        </w:rPr>
        <w:t>RECURRENTE</w:t>
      </w:r>
      <w:r>
        <w:rPr>
          <w:rFonts w:ascii="Palatino Linotype" w:eastAsia="Palatino Linotype" w:hAnsi="Palatino Linotype" w:cs="Palatino Linotype"/>
        </w:rPr>
        <w:t>, o en su defecto, en caso de ser procedente, ordenar la entrega de información.</w:t>
      </w:r>
    </w:p>
    <w:p w14:paraId="07C1DF0E" w14:textId="77777777" w:rsidR="00F2419E" w:rsidRDefault="0034450F">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 xml:space="preserve">CUARTO. Estudio del asunto. </w:t>
      </w:r>
      <w:r>
        <w:rPr>
          <w:rFonts w:ascii="Palatino Linotype" w:eastAsia="Palatino Linotype" w:hAnsi="Palatino Linotype" w:cs="Palatino Linotype"/>
        </w:rPr>
        <w:t>En primer término, se estima pertinente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14:paraId="3396C0F4" w14:textId="77777777" w:rsidR="00F2419E" w:rsidRDefault="0034450F">
      <w:pPr>
        <w:tabs>
          <w:tab w:val="left" w:pos="709"/>
        </w:tabs>
        <w:ind w:left="851" w:right="85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u w:val="single"/>
        </w:rPr>
        <w:t>Artículo 1o. En los Estados Unidos Mexicanos todas las personas gozarán de los derechos humanos reconocidos en esta Constitución y en los tratados internacionales de los que el Estado Mexicano sea parte</w:t>
      </w:r>
      <w:r>
        <w:rPr>
          <w:rFonts w:ascii="Palatino Linotype" w:eastAsia="Palatino Linotype" w:hAnsi="Palatino Linotype" w:cs="Palatino Linotype"/>
          <w:i/>
          <w:sz w:val="22"/>
          <w:szCs w:val="22"/>
        </w:rPr>
        <w:t>, así como de las garantías para su protección, cuyo ejercicio no podrá restringirse ni suspenderse, salvo en los casos y bajo las condiciones que esta Constitución establece.</w:t>
      </w:r>
    </w:p>
    <w:p w14:paraId="39751234" w14:textId="77777777" w:rsidR="00F2419E" w:rsidRDefault="0034450F">
      <w:pPr>
        <w:tabs>
          <w:tab w:val="left" w:pos="709"/>
        </w:tabs>
        <w:ind w:left="851" w:right="850"/>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Las normas relativas a los derechos humanos se interpretarán de conformidad con esta Constitución y con los tratados internacionales de la materia favoreciendo en todo tiempo a las personas la protección más amplia.</w:t>
      </w:r>
    </w:p>
    <w:p w14:paraId="5B482C41" w14:textId="77777777" w:rsidR="00F2419E" w:rsidRDefault="0034450F">
      <w:pPr>
        <w:tabs>
          <w:tab w:val="left" w:pos="709"/>
        </w:tabs>
        <w:ind w:left="851" w:right="85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u w:val="single"/>
        </w:rPr>
        <w:lastRenderedPageBreak/>
        <w:t>Todas las autoridades, en el ámbito de sus competencias, tienen la obligación de promover, respetar, proteger y garantizar los derechos humanos de conformidad con los principios de universalidad, interdependencia, indivisibilidad y progresividad.</w:t>
      </w:r>
      <w:r>
        <w:rPr>
          <w:rFonts w:ascii="Palatino Linotype" w:eastAsia="Palatino Linotype" w:hAnsi="Palatino Linotype" w:cs="Palatino Linotype"/>
          <w:i/>
          <w:sz w:val="22"/>
          <w:szCs w:val="22"/>
        </w:rPr>
        <w:t xml:space="preserve"> En consecuencia, el Estado deberá prevenir, investigar, sancionar y reparar las violaciones a los derechos humanos, en los términos que establezca la ley</w:t>
      </w:r>
    </w:p>
    <w:p w14:paraId="7AD6B1DF" w14:textId="77777777" w:rsidR="00F2419E" w:rsidRDefault="0034450F">
      <w:pPr>
        <w:tabs>
          <w:tab w:val="left" w:pos="709"/>
        </w:tabs>
        <w:ind w:left="851" w:right="85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1972A64F" w14:textId="77777777" w:rsidR="00F2419E" w:rsidRDefault="0034450F">
      <w:pPr>
        <w:ind w:left="851"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6o.</w:t>
      </w:r>
    </w:p>
    <w:p w14:paraId="5E62E68F" w14:textId="77777777" w:rsidR="00F2419E" w:rsidRDefault="0034450F">
      <w:pPr>
        <w:ind w:left="851"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1333EF31" w14:textId="77777777" w:rsidR="00F2419E" w:rsidRDefault="0034450F">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A. Para el ejercicio del derecho de acceso a la información, la Federación y </w:t>
      </w:r>
      <w:r>
        <w:rPr>
          <w:rFonts w:ascii="Palatino Linotype" w:eastAsia="Palatino Linotype" w:hAnsi="Palatino Linotype" w:cs="Palatino Linotype"/>
          <w:b/>
          <w:i/>
          <w:sz w:val="22"/>
          <w:szCs w:val="22"/>
          <w:u w:val="single"/>
        </w:rPr>
        <w:t>las entidades federativas</w:t>
      </w:r>
      <w:r>
        <w:rPr>
          <w:rFonts w:ascii="Palatino Linotype" w:eastAsia="Palatino Linotype" w:hAnsi="Palatino Linotype" w:cs="Palatino Linotype"/>
          <w:b/>
          <w:i/>
          <w:sz w:val="22"/>
          <w:szCs w:val="22"/>
        </w:rPr>
        <w:t>,</w:t>
      </w:r>
      <w:r>
        <w:rPr>
          <w:rFonts w:ascii="Palatino Linotype" w:eastAsia="Palatino Linotype" w:hAnsi="Palatino Linotype" w:cs="Palatino Linotype"/>
          <w:i/>
          <w:sz w:val="22"/>
          <w:szCs w:val="22"/>
        </w:rPr>
        <w:t xml:space="preserve"> en el ámbito de sus respectivas competencias, se regirán por los siguientes principios y bases:</w:t>
      </w:r>
    </w:p>
    <w:p w14:paraId="4A6BEC36" w14:textId="77777777" w:rsidR="00F2419E" w:rsidRDefault="0034450F">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w:t>
      </w:r>
    </w:p>
    <w:p w14:paraId="2951C369" w14:textId="77777777" w:rsidR="00F2419E" w:rsidRDefault="0034450F">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I. </w:t>
      </w:r>
      <w:r>
        <w:rPr>
          <w:rFonts w:ascii="Palatino Linotype" w:eastAsia="Palatino Linotype" w:hAnsi="Palatino Linotype" w:cs="Palatino Linotype"/>
          <w:b/>
          <w:i/>
          <w:sz w:val="22"/>
          <w:szCs w:val="22"/>
          <w:u w:val="single"/>
        </w:rPr>
        <w:t>Toda la información en posesión de cualquier autoridad, entidad, órgano y organismo de los Poderes</w:t>
      </w:r>
      <w:r>
        <w:rPr>
          <w:rFonts w:ascii="Palatino Linotype" w:eastAsia="Palatino Linotype" w:hAnsi="Palatino Linotype" w:cs="Palatino Linotype"/>
          <w:i/>
          <w:sz w:val="22"/>
          <w:szCs w:val="22"/>
        </w:rPr>
        <w:t xml:space="preserve"> Ejecutivo, Legislativo </w:t>
      </w:r>
      <w:r>
        <w:rPr>
          <w:rFonts w:ascii="Palatino Linotype" w:eastAsia="Palatino Linotype" w:hAnsi="Palatino Linotype" w:cs="Palatino Linotype"/>
          <w:b/>
          <w:i/>
          <w:sz w:val="22"/>
          <w:szCs w:val="22"/>
          <w:u w:val="single"/>
        </w:rPr>
        <w:t>y Judicial</w:t>
      </w:r>
      <w:r>
        <w:rPr>
          <w:rFonts w:ascii="Palatino Linotype" w:eastAsia="Palatino Linotype" w:hAnsi="Palatino Linotype" w:cs="Palatino Linotype"/>
          <w:i/>
          <w:sz w:val="22"/>
          <w:szCs w:val="22"/>
        </w:rPr>
        <w:t xml:space="preserve">, órganos autónomos, partidos políticos, fideicomisos y fondos públicos, así como de cualquier persona física, moral o sindicato que reciba y ejerza recursos públicos o realice actos de autoridad en el ámbito federal, estatal y municipal, </w:t>
      </w:r>
      <w:r>
        <w:rPr>
          <w:rFonts w:ascii="Palatino Linotype" w:eastAsia="Palatino Linotype" w:hAnsi="Palatino Linotype" w:cs="Palatino Linotype"/>
          <w:b/>
          <w:i/>
          <w:sz w:val="22"/>
          <w:szCs w:val="22"/>
        </w:rPr>
        <w:t>es pública y sólo podrá ser reservada temporalmente por razones de interés público y seguridad nacional,</w:t>
      </w:r>
      <w:r>
        <w:rPr>
          <w:rFonts w:ascii="Palatino Linotype" w:eastAsia="Palatino Linotype" w:hAnsi="Palatino Linotype" w:cs="Palatino Linotype"/>
          <w:i/>
          <w:sz w:val="22"/>
          <w:szCs w:val="22"/>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40C26D49" w14:textId="77777777" w:rsidR="00F2419E" w:rsidRDefault="0034450F">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w:t>
      </w:r>
    </w:p>
    <w:p w14:paraId="7DE750B3" w14:textId="77777777" w:rsidR="00F2419E" w:rsidRDefault="0034450F">
      <w:pPr>
        <w:ind w:left="851" w:right="851"/>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II. La información que se refiere a la vida privada y los datos personales será protegida en los términos y con las excepciones que fijen las leyes.</w:t>
      </w:r>
    </w:p>
    <w:p w14:paraId="2E0FD24C" w14:textId="77777777" w:rsidR="00F2419E" w:rsidRDefault="0034450F">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w:t>
      </w:r>
    </w:p>
    <w:p w14:paraId="30037D69" w14:textId="77777777" w:rsidR="00F2419E" w:rsidRDefault="0034450F">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III. </w:t>
      </w:r>
      <w:r>
        <w:rPr>
          <w:rFonts w:ascii="Palatino Linotype" w:eastAsia="Palatino Linotype" w:hAnsi="Palatino Linotype" w:cs="Palatino Linotype"/>
          <w:b/>
          <w:i/>
          <w:sz w:val="22"/>
          <w:szCs w:val="22"/>
          <w:u w:val="single"/>
        </w:rPr>
        <w:t>Toda persona, sin necesidad de acreditar interés alguno o justificar su utilización, tendrá acceso gratuito a la información pública,</w:t>
      </w:r>
      <w:r>
        <w:rPr>
          <w:rFonts w:ascii="Palatino Linotype" w:eastAsia="Palatino Linotype" w:hAnsi="Palatino Linotype" w:cs="Palatino Linotype"/>
          <w:i/>
          <w:sz w:val="22"/>
          <w:szCs w:val="22"/>
        </w:rPr>
        <w:t xml:space="preserve"> a sus datos personales o a la rectificación de éstos.</w:t>
      </w:r>
    </w:p>
    <w:p w14:paraId="10EEE9C8" w14:textId="77777777" w:rsidR="00F2419E" w:rsidRDefault="0034450F">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w:t>
      </w:r>
    </w:p>
    <w:p w14:paraId="388B5FD2" w14:textId="77777777" w:rsidR="00F2419E" w:rsidRDefault="0034450F">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IV. </w:t>
      </w:r>
      <w:r>
        <w:rPr>
          <w:rFonts w:ascii="Palatino Linotype" w:eastAsia="Palatino Linotype" w:hAnsi="Palatino Linotype" w:cs="Palatino Linotype"/>
          <w:i/>
          <w:sz w:val="22"/>
          <w:szCs w:val="22"/>
        </w:rPr>
        <w:t>Se establecerán mecanismos de acceso a la información y procedimientos de revisión expeditos que se sustanciarán ante los organismos autónomos especializados e imparciales que establece esta Constitución.</w:t>
      </w:r>
    </w:p>
    <w:p w14:paraId="55E7BDAD" w14:textId="77777777" w:rsidR="00F2419E" w:rsidRDefault="00F2419E">
      <w:pPr>
        <w:ind w:left="851" w:right="851"/>
        <w:jc w:val="both"/>
        <w:rPr>
          <w:rFonts w:ascii="Palatino Linotype" w:eastAsia="Palatino Linotype" w:hAnsi="Palatino Linotype" w:cs="Palatino Linotype"/>
          <w:i/>
          <w:sz w:val="22"/>
          <w:szCs w:val="22"/>
        </w:rPr>
      </w:pPr>
    </w:p>
    <w:p w14:paraId="36646D24" w14:textId="77777777" w:rsidR="00F2419E" w:rsidRDefault="0034450F">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V. </w:t>
      </w:r>
      <w:r>
        <w:rPr>
          <w:rFonts w:ascii="Palatino Linotype" w:eastAsia="Palatino Linotype" w:hAnsi="Palatino Linotype" w:cs="Palatino Linotype"/>
          <w:i/>
          <w:sz w:val="22"/>
          <w:szCs w:val="22"/>
        </w:rPr>
        <w:t xml:space="preserve">Los sujetos obligados deberán preservar sus documentos en archivos administrativos actualizados y publicarán, a través de los medios electrónicos disponibles, la información completa y actualizada sobre el ejercicio de los recursos </w:t>
      </w:r>
      <w:r>
        <w:rPr>
          <w:rFonts w:ascii="Palatino Linotype" w:eastAsia="Palatino Linotype" w:hAnsi="Palatino Linotype" w:cs="Palatino Linotype"/>
          <w:i/>
          <w:sz w:val="22"/>
          <w:szCs w:val="22"/>
        </w:rPr>
        <w:lastRenderedPageBreak/>
        <w:t>públicos y los indicadores que permitan rendir cuenta del cumplimiento de sus objetivos y de los resultados obtenidos.</w:t>
      </w:r>
    </w:p>
    <w:p w14:paraId="45BBC902" w14:textId="77777777" w:rsidR="00F2419E" w:rsidRDefault="0034450F">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w:t>
      </w:r>
    </w:p>
    <w:p w14:paraId="501B1DC7" w14:textId="77777777" w:rsidR="00F2419E" w:rsidRDefault="0034450F">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VI. </w:t>
      </w:r>
      <w:r>
        <w:rPr>
          <w:rFonts w:ascii="Palatino Linotype" w:eastAsia="Palatino Linotype" w:hAnsi="Palatino Linotype" w:cs="Palatino Linotype"/>
          <w:i/>
          <w:sz w:val="22"/>
          <w:szCs w:val="22"/>
        </w:rPr>
        <w:t>Las leyes determinarán la manera en que los sujetos obligados deberán hacer pública la información relativa a los recursos públicos que entreguen a personas físicas o morales.</w:t>
      </w:r>
    </w:p>
    <w:p w14:paraId="3B524325" w14:textId="77777777" w:rsidR="00F2419E" w:rsidRDefault="0034450F">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w:t>
      </w:r>
    </w:p>
    <w:p w14:paraId="5DE6B2D7" w14:textId="77777777" w:rsidR="00F2419E" w:rsidRDefault="0034450F">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VII. </w:t>
      </w:r>
      <w:r>
        <w:rPr>
          <w:rFonts w:ascii="Palatino Linotype" w:eastAsia="Palatino Linotype" w:hAnsi="Palatino Linotype" w:cs="Palatino Linotype"/>
          <w:i/>
          <w:sz w:val="22"/>
          <w:szCs w:val="22"/>
        </w:rPr>
        <w:t>La inobservancia a las disposiciones en materia de acceso a la información pública será sancionada en los términos que dispongan las leyes. [...]</w:t>
      </w:r>
    </w:p>
    <w:p w14:paraId="7667B81F" w14:textId="77777777" w:rsidR="00F2419E" w:rsidRDefault="00F2419E">
      <w:pPr>
        <w:ind w:right="851"/>
        <w:jc w:val="both"/>
        <w:rPr>
          <w:rFonts w:ascii="Palatino Linotype" w:eastAsia="Palatino Linotype" w:hAnsi="Palatino Linotype" w:cs="Palatino Linotype"/>
          <w:i/>
          <w:sz w:val="22"/>
          <w:szCs w:val="22"/>
        </w:rPr>
      </w:pPr>
    </w:p>
    <w:p w14:paraId="040F6B2F" w14:textId="77777777" w:rsidR="00F2419E" w:rsidRDefault="0034450F">
      <w:pPr>
        <w:tabs>
          <w:tab w:val="left" w:pos="709"/>
        </w:tabs>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Así, de la interpretación sistémica de los numerales inmersos en los instrumentos legales Internacionales y Nacional, el derecho de acceso a la información es un derecho del cual goza toda persona sin discriminación alguna, el cual se ejerce ante los Poderes del Estado, entidades, dependencias o cualquiera persona física o moral que reciba y ejerza recursos públicos, siendo pública toda la información que posean con las excepciones enmarcadas, para lo cual queda demostrado que el presente sujeto obligado debe cumplir con dichos dispositivos legales.</w:t>
      </w:r>
    </w:p>
    <w:p w14:paraId="5E8FAF88" w14:textId="77777777" w:rsidR="00F2419E" w:rsidRDefault="0034450F">
      <w:pPr>
        <w:spacing w:before="120" w:line="360" w:lineRule="auto"/>
        <w:jc w:val="both"/>
        <w:rPr>
          <w:rFonts w:ascii="Palatino Linotype" w:eastAsia="Palatino Linotype" w:hAnsi="Palatino Linotype" w:cs="Palatino Linotype"/>
        </w:rPr>
      </w:pPr>
      <w:r>
        <w:rPr>
          <w:rFonts w:ascii="Palatino Linotype" w:eastAsia="Palatino Linotype" w:hAnsi="Palatino Linotype" w:cs="Palatino Linotype"/>
          <w:color w:val="000000"/>
        </w:rPr>
        <w:t>En primer lugar</w:t>
      </w:r>
      <w:r>
        <w:rPr>
          <w:rFonts w:ascii="Palatino Linotype" w:eastAsia="Palatino Linotype" w:hAnsi="Palatino Linotype" w:cs="Palatino Linotype"/>
        </w:rPr>
        <w:t xml:space="preserve">, es conveniente analizar si las respuestas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cumplen con los requisitos y procedimientos del derecho de acceso a la información pública, en atención a que en la Ley de Transparencia y Acceso a la Información Pública del Estado de México y Municipios en su </w:t>
      </w:r>
      <w:r>
        <w:rPr>
          <w:rFonts w:ascii="Palatino Linotype" w:eastAsia="Palatino Linotype" w:hAnsi="Palatino Linotype" w:cs="Palatino Linotype"/>
          <w:color w:val="000000"/>
        </w:rPr>
        <w:t xml:space="preserve">artículo 4,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w:t>
      </w:r>
      <w:r>
        <w:rPr>
          <w:rFonts w:ascii="Palatino Linotype" w:eastAsia="Palatino Linotype" w:hAnsi="Palatino Linotype" w:cs="Palatino Linotype"/>
        </w:rPr>
        <w:t>transcribe</w:t>
      </w:r>
      <w:r>
        <w:rPr>
          <w:rFonts w:ascii="Palatino Linotype" w:eastAsia="Palatino Linotype" w:hAnsi="Palatino Linotype" w:cs="Palatino Linotype"/>
          <w:color w:val="000000"/>
        </w:rPr>
        <w:t xml:space="preserve"> para un mejor entendimiento:</w:t>
      </w:r>
    </w:p>
    <w:p w14:paraId="494DDCDB" w14:textId="77777777" w:rsidR="00F2419E" w:rsidRDefault="0034450F">
      <w:pPr>
        <w:spacing w:before="240"/>
        <w:ind w:left="709" w:right="76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w:t>
      </w:r>
      <w:r>
        <w:rPr>
          <w:rFonts w:ascii="Palatino Linotype" w:eastAsia="Palatino Linotype" w:hAnsi="Palatino Linotype" w:cs="Palatino Linotype"/>
          <w:b/>
          <w:i/>
          <w:sz w:val="22"/>
          <w:szCs w:val="22"/>
        </w:rPr>
        <w:t>Artículo 4.</w:t>
      </w:r>
      <w:r>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4B1E9F57" w14:textId="77777777" w:rsidR="00F2419E" w:rsidRDefault="0034450F">
      <w:pPr>
        <w:ind w:left="709" w:right="76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70D3A804" w14:textId="77777777" w:rsidR="00F2419E" w:rsidRDefault="0034450F">
      <w:pPr>
        <w:ind w:left="709" w:right="76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r>
        <w:rPr>
          <w:rFonts w:ascii="Palatino Linotype" w:eastAsia="Palatino Linotype" w:hAnsi="Palatino Linotype" w:cs="Palatino Linotype"/>
          <w:i/>
          <w:sz w:val="22"/>
          <w:szCs w:val="22"/>
        </w:rPr>
        <w:t>.”(Sic)</w:t>
      </w:r>
    </w:p>
    <w:p w14:paraId="02E19260" w14:textId="77777777" w:rsidR="00F2419E" w:rsidRDefault="00F2419E">
      <w:pPr>
        <w:ind w:left="709" w:right="760"/>
        <w:jc w:val="both"/>
        <w:rPr>
          <w:rFonts w:ascii="Palatino Linotype" w:eastAsia="Palatino Linotype" w:hAnsi="Palatino Linotype" w:cs="Palatino Linotype"/>
          <w:i/>
        </w:rPr>
      </w:pPr>
    </w:p>
    <w:p w14:paraId="22B9162A" w14:textId="77777777" w:rsidR="00F2419E" w:rsidRDefault="0034450F">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De lo anterior, se desprende que los Sujetos Obligados tienen el deber de atender las solicitudes de acceso a la información pública presentadas y proporcionar la información pública que obre en su poder conforme el estado que se encuentra y no hacer un procesamiento de la misma, ni presentarla conforme al interés del solicitante; como así lo establece el artículo 12 de la Ley de Transparencia y Acceso a la Información Pública del Estado de México y Municipios, el cual a la letra dice:</w:t>
      </w:r>
    </w:p>
    <w:p w14:paraId="3193FFF6" w14:textId="77777777" w:rsidR="00F2419E" w:rsidRDefault="0034450F">
      <w:pPr>
        <w:ind w:left="567" w:right="75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12.-</w:t>
      </w:r>
      <w:r>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15CF3B6A" w14:textId="77777777" w:rsidR="00F2419E" w:rsidRDefault="0034450F">
      <w:pPr>
        <w:ind w:left="567" w:right="758"/>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La obligación de proporcionar información no comprende el procesamiento de la misma, ni el presentarla conforme al interés del solicitante; no estarán obligados a generarla, resumirla, efectuar cálculos o practicar investigaciones.” (Sic)</w:t>
      </w:r>
    </w:p>
    <w:p w14:paraId="4A270A14" w14:textId="77777777" w:rsidR="00F2419E" w:rsidRDefault="00F2419E">
      <w:pPr>
        <w:spacing w:line="360" w:lineRule="auto"/>
        <w:ind w:right="-93"/>
        <w:jc w:val="both"/>
        <w:rPr>
          <w:rFonts w:ascii="Palatino Linotype" w:eastAsia="Palatino Linotype" w:hAnsi="Palatino Linotype" w:cs="Palatino Linotype"/>
          <w:color w:val="000000"/>
        </w:rPr>
      </w:pPr>
    </w:p>
    <w:p w14:paraId="56BA806C" w14:textId="77777777" w:rsidR="00F2419E" w:rsidRDefault="0034450F">
      <w:pP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rPr>
        <w:lastRenderedPageBreak/>
        <w:t xml:space="preserve">En esa tesitura, el artículo 24 en su último párrafo de la Ley de la Materia, dispone que los Sujetos Obligados </w:t>
      </w:r>
      <w:r>
        <w:rPr>
          <w:rFonts w:ascii="Palatino Linotype" w:eastAsia="Palatino Linotype" w:hAnsi="Palatino Linotype" w:cs="Palatino Linotype"/>
          <w:color w:val="000000"/>
        </w:rPr>
        <w:t xml:space="preserve">sólo proporcionarán la información pública que </w:t>
      </w:r>
      <w:r>
        <w:rPr>
          <w:rFonts w:ascii="Palatino Linotype" w:eastAsia="Palatino Linotype" w:hAnsi="Palatino Linotype" w:cs="Palatino Linotype"/>
        </w:rPr>
        <w:t>generen</w:t>
      </w:r>
      <w:r>
        <w:rPr>
          <w:rFonts w:ascii="Palatino Linotype" w:eastAsia="Palatino Linotype" w:hAnsi="Palatino Linotype" w:cs="Palatino Linotype"/>
          <w:color w:val="000000"/>
        </w:rPr>
        <w:t>, administren o posean en el ejercicio de sus atribuciones; por consiguiente, la información pública se encuentra a disposición de cualquier persona, lo que implica que es deber de los Sujetos Obligados, garantizar el Derecho de Acceso a la Información Pública, lo que no sucedió en el presente caso.</w:t>
      </w:r>
    </w:p>
    <w:p w14:paraId="4BDDA34C" w14:textId="77777777" w:rsidR="00F2419E" w:rsidRDefault="00F2419E">
      <w:pPr>
        <w:spacing w:line="360" w:lineRule="auto"/>
        <w:jc w:val="both"/>
        <w:rPr>
          <w:rFonts w:ascii="Palatino Linotype" w:eastAsia="Palatino Linotype" w:hAnsi="Palatino Linotype" w:cs="Palatino Linotype"/>
          <w:color w:val="000000"/>
        </w:rPr>
      </w:pPr>
    </w:p>
    <w:p w14:paraId="10CE8250" w14:textId="77777777" w:rsidR="00F2419E" w:rsidRDefault="0034450F">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5D69F986" w14:textId="77777777" w:rsidR="00F2419E" w:rsidRDefault="00F2419E">
      <w:pPr>
        <w:spacing w:line="360" w:lineRule="auto"/>
        <w:ind w:right="49"/>
        <w:jc w:val="both"/>
        <w:rPr>
          <w:rFonts w:ascii="Palatino Linotype" w:eastAsia="Palatino Linotype" w:hAnsi="Palatino Linotype" w:cs="Palatino Linotype"/>
        </w:rPr>
      </w:pPr>
    </w:p>
    <w:p w14:paraId="459667F1" w14:textId="77777777" w:rsidR="00F2419E" w:rsidRDefault="0034450F">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Por otra parte, conviene mencionar que la Ley de Transparencia vigente en el Estado de México refiere: </w:t>
      </w:r>
    </w:p>
    <w:p w14:paraId="361E4F5C" w14:textId="77777777" w:rsidR="00F2419E" w:rsidRDefault="00F2419E">
      <w:pPr>
        <w:spacing w:line="360" w:lineRule="auto"/>
        <w:jc w:val="both"/>
        <w:rPr>
          <w:rFonts w:ascii="Palatino Linotype" w:eastAsia="Palatino Linotype" w:hAnsi="Palatino Linotype" w:cs="Palatino Linotype"/>
        </w:rPr>
      </w:pPr>
    </w:p>
    <w:p w14:paraId="43D748D9" w14:textId="77777777" w:rsidR="00F2419E" w:rsidRDefault="0034450F">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18.</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u w:val="single"/>
        </w:rPr>
        <w:t>Los sujetos obligados deberán documentar todo acto que derive del ejercicio de sus facultades, competencias o funciones, considerando desde su origen la eventual publicidad</w:t>
      </w:r>
      <w:r>
        <w:rPr>
          <w:rFonts w:ascii="Palatino Linotype" w:eastAsia="Palatino Linotype" w:hAnsi="Palatino Linotype" w:cs="Palatino Linotype"/>
          <w:i/>
          <w:sz w:val="22"/>
          <w:szCs w:val="22"/>
        </w:rPr>
        <w:t xml:space="preserve"> y reutilización de la información que generen.</w:t>
      </w:r>
    </w:p>
    <w:p w14:paraId="35129129" w14:textId="77777777" w:rsidR="00F2419E" w:rsidRDefault="00F2419E">
      <w:pPr>
        <w:ind w:left="851" w:right="851"/>
        <w:jc w:val="both"/>
        <w:rPr>
          <w:rFonts w:ascii="Palatino Linotype" w:eastAsia="Palatino Linotype" w:hAnsi="Palatino Linotype" w:cs="Palatino Linotype"/>
          <w:b/>
          <w:i/>
          <w:sz w:val="22"/>
          <w:szCs w:val="22"/>
        </w:rPr>
      </w:pPr>
    </w:p>
    <w:p w14:paraId="2457B40D" w14:textId="77777777" w:rsidR="00F2419E" w:rsidRDefault="0034450F">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Artículo 19. </w:t>
      </w:r>
      <w:r>
        <w:rPr>
          <w:rFonts w:ascii="Palatino Linotype" w:eastAsia="Palatino Linotype" w:hAnsi="Palatino Linotype" w:cs="Palatino Linotype"/>
          <w:b/>
          <w:i/>
          <w:sz w:val="22"/>
          <w:szCs w:val="22"/>
          <w:u w:val="single"/>
        </w:rPr>
        <w:t>Se presume que la información debe existir si se refiere a las facultades, competencias y funciones que los ordenamientos jurídicos aplicables otorgan a los sujetos obligados</w:t>
      </w:r>
      <w:r>
        <w:rPr>
          <w:rFonts w:ascii="Palatino Linotype" w:eastAsia="Palatino Linotype" w:hAnsi="Palatino Linotype" w:cs="Palatino Linotype"/>
          <w:i/>
          <w:sz w:val="22"/>
          <w:szCs w:val="22"/>
        </w:rPr>
        <w:t>.</w:t>
      </w:r>
    </w:p>
    <w:p w14:paraId="53A32E9D" w14:textId="77777777" w:rsidR="00F2419E" w:rsidRDefault="00F2419E">
      <w:pPr>
        <w:ind w:left="851" w:right="851"/>
        <w:jc w:val="both"/>
        <w:rPr>
          <w:rFonts w:ascii="Palatino Linotype" w:eastAsia="Palatino Linotype" w:hAnsi="Palatino Linotype" w:cs="Palatino Linotype"/>
          <w:i/>
          <w:sz w:val="22"/>
          <w:szCs w:val="22"/>
        </w:rPr>
      </w:pPr>
    </w:p>
    <w:p w14:paraId="36401959" w14:textId="77777777" w:rsidR="00F2419E" w:rsidRDefault="0034450F">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 xml:space="preserve">En los casos en que ciertas facultades, competencias o funciones no se hayan ejercido, se debe motivar la respuesta en función de las causas que motiven tal circunstancia. </w:t>
      </w:r>
    </w:p>
    <w:p w14:paraId="54193CC7" w14:textId="77777777" w:rsidR="00F2419E" w:rsidRDefault="00F2419E">
      <w:pPr>
        <w:ind w:left="851" w:right="851"/>
        <w:jc w:val="both"/>
        <w:rPr>
          <w:rFonts w:ascii="Palatino Linotype" w:eastAsia="Palatino Linotype" w:hAnsi="Palatino Linotype" w:cs="Palatino Linotype"/>
          <w:i/>
          <w:sz w:val="22"/>
          <w:szCs w:val="22"/>
        </w:rPr>
      </w:pPr>
    </w:p>
    <w:p w14:paraId="673D8923" w14:textId="77777777" w:rsidR="00F2419E" w:rsidRDefault="0034450F">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14:paraId="3EC304AB" w14:textId="77777777" w:rsidR="00F2419E" w:rsidRDefault="00F2419E">
      <w:pPr>
        <w:ind w:left="851" w:right="851"/>
        <w:jc w:val="both"/>
        <w:rPr>
          <w:rFonts w:ascii="Palatino Linotype" w:eastAsia="Palatino Linotype" w:hAnsi="Palatino Linotype" w:cs="Palatino Linotype"/>
          <w:i/>
          <w:sz w:val="22"/>
          <w:szCs w:val="22"/>
        </w:rPr>
      </w:pPr>
    </w:p>
    <w:p w14:paraId="5A96DEC0" w14:textId="77777777" w:rsidR="00F2419E" w:rsidRDefault="0034450F">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Énfasis añadido.</w:t>
      </w:r>
    </w:p>
    <w:p w14:paraId="68EC424A" w14:textId="77777777" w:rsidR="00F2419E" w:rsidRDefault="00F2419E">
      <w:pPr>
        <w:spacing w:line="360" w:lineRule="auto"/>
        <w:jc w:val="both"/>
        <w:rPr>
          <w:rFonts w:ascii="Palatino Linotype" w:eastAsia="Palatino Linotype" w:hAnsi="Palatino Linotype" w:cs="Palatino Linotype"/>
        </w:rPr>
      </w:pPr>
    </w:p>
    <w:p w14:paraId="4AB80938" w14:textId="77777777" w:rsidR="00F2419E" w:rsidRDefault="0034450F">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De los dispositivos legales en comento, se aprecia que todo acto de autoridad en el ejercicio de sus funciones y atribuciones debe estar documentado, por lo que para dar atención a una solicitud de información el Sujeto Obligado debe entregar el soporte documental en donde conste la información requerida, debiendo contemplar que no se trate de información reservada o confidencial, por lo que debe cuidar dicha información a través del acuerdo clasificatorio del comité de transparencia y la versión pública que emita cada Sujeto Obligado; como así se establece en la Ley de Transparencia y Acceso a la Información Pública del Estado de México y Municipios,</w:t>
      </w:r>
    </w:p>
    <w:p w14:paraId="1146783F" w14:textId="77777777" w:rsidR="00F2419E" w:rsidRDefault="00F2419E">
      <w:pPr>
        <w:spacing w:line="360" w:lineRule="auto"/>
        <w:jc w:val="both"/>
        <w:rPr>
          <w:rFonts w:ascii="Palatino Linotype" w:eastAsia="Palatino Linotype" w:hAnsi="Palatino Linotype" w:cs="Palatino Linotype"/>
        </w:rPr>
      </w:pPr>
    </w:p>
    <w:p w14:paraId="577FC6A0" w14:textId="77777777" w:rsidR="00F2419E" w:rsidRDefault="0034450F">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w:t>
      </w:r>
      <w:r>
        <w:rPr>
          <w:rFonts w:ascii="Palatino Linotype" w:eastAsia="Palatino Linotype" w:hAnsi="Palatino Linotype" w:cs="Palatino Linotype"/>
        </w:rPr>
        <w:lastRenderedPageBreak/>
        <w:t xml:space="preserve">informático u holográfico de conformidad con el artículo 3, fracción XI de la Ley de la materia, el cual señala lo siguiente: </w:t>
      </w:r>
    </w:p>
    <w:p w14:paraId="5BF3DBBD" w14:textId="77777777" w:rsidR="00F2419E" w:rsidRDefault="00F2419E">
      <w:pPr>
        <w:ind w:left="851" w:right="899"/>
        <w:jc w:val="both"/>
        <w:rPr>
          <w:rFonts w:ascii="Palatino Linotype" w:eastAsia="Palatino Linotype" w:hAnsi="Palatino Linotype" w:cs="Palatino Linotype"/>
          <w:i/>
          <w:sz w:val="22"/>
          <w:szCs w:val="22"/>
        </w:rPr>
      </w:pPr>
    </w:p>
    <w:p w14:paraId="3541C5EA" w14:textId="77777777" w:rsidR="00F2419E" w:rsidRDefault="0034450F">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 xml:space="preserve">Artículo 3. </w:t>
      </w:r>
      <w:r>
        <w:rPr>
          <w:rFonts w:ascii="Palatino Linotype" w:eastAsia="Palatino Linotype" w:hAnsi="Palatino Linotype" w:cs="Palatino Linotype"/>
          <w:i/>
          <w:sz w:val="22"/>
          <w:szCs w:val="22"/>
        </w:rPr>
        <w:t>Para los efectos de la presente Ley se entenderá por:</w:t>
      </w:r>
    </w:p>
    <w:p w14:paraId="37527D32" w14:textId="77777777" w:rsidR="00F2419E" w:rsidRDefault="0034450F">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7299C32C" w14:textId="77777777" w:rsidR="00F2419E" w:rsidRDefault="0034450F">
      <w:pPr>
        <w:ind w:left="851" w:right="899"/>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XI. Documento:</w:t>
      </w:r>
      <w:r>
        <w:rPr>
          <w:rFonts w:ascii="Palatino Linotype" w:eastAsia="Palatino Linotype" w:hAnsi="Palatino Linotype" w:cs="Palatino Linotype"/>
          <w:i/>
          <w:color w:val="000000"/>
          <w:sz w:val="22"/>
          <w:szCs w:val="22"/>
        </w:rPr>
        <w:t xml:space="preserve"> Los expedientes, reportes, estudios, actas</w:t>
      </w:r>
      <w:r>
        <w:rPr>
          <w:rFonts w:ascii="Palatino Linotype" w:eastAsia="Palatino Linotype" w:hAnsi="Palatino Linotype" w:cs="Palatino Linotype"/>
          <w:b/>
          <w:i/>
          <w:color w:val="000000"/>
          <w:sz w:val="22"/>
          <w:szCs w:val="22"/>
        </w:rPr>
        <w:t>,</w:t>
      </w:r>
      <w:r>
        <w:rPr>
          <w:rFonts w:ascii="Palatino Linotype" w:eastAsia="Palatino Linotype" w:hAnsi="Palatino Linotype" w:cs="Palatino Linotype"/>
          <w:i/>
          <w:color w:val="000000"/>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14:paraId="0FE1714A" w14:textId="77777777" w:rsidR="00F2419E" w:rsidRDefault="00F2419E">
      <w:pPr>
        <w:ind w:left="851" w:right="899"/>
        <w:jc w:val="both"/>
        <w:rPr>
          <w:rFonts w:ascii="Palatino Linotype" w:eastAsia="Palatino Linotype" w:hAnsi="Palatino Linotype" w:cs="Palatino Linotype"/>
          <w:sz w:val="22"/>
          <w:szCs w:val="22"/>
        </w:rPr>
      </w:pPr>
    </w:p>
    <w:p w14:paraId="56C3D290" w14:textId="77777777" w:rsidR="00F2419E" w:rsidRDefault="0034450F">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3171BE5F" w14:textId="77777777" w:rsidR="00F2419E" w:rsidRDefault="00F2419E">
      <w:pPr>
        <w:spacing w:line="360" w:lineRule="auto"/>
        <w:jc w:val="both"/>
        <w:rPr>
          <w:rFonts w:ascii="Palatino Linotype" w:eastAsia="Palatino Linotype" w:hAnsi="Palatino Linotype" w:cs="Palatino Linotype"/>
        </w:rPr>
      </w:pPr>
    </w:p>
    <w:p w14:paraId="73A1171A" w14:textId="77777777" w:rsidR="00F2419E" w:rsidRDefault="0034450F">
      <w:pPr>
        <w:ind w:left="851" w:right="899"/>
        <w:jc w:val="both"/>
        <w:rPr>
          <w:rFonts w:ascii="Palatino Linotype" w:eastAsia="Palatino Linotype" w:hAnsi="Palatino Linotype" w:cs="Palatino Linotype"/>
          <w:b/>
          <w:i/>
          <w:sz w:val="22"/>
          <w:szCs w:val="22"/>
        </w:rPr>
      </w:pPr>
      <w:r>
        <w:rPr>
          <w:rFonts w:ascii="Palatino Linotype" w:eastAsia="Palatino Linotype" w:hAnsi="Palatino Linotype" w:cs="Palatino Linotype"/>
          <w:b/>
          <w:sz w:val="22"/>
          <w:szCs w:val="22"/>
        </w:rPr>
        <w:t>“</w:t>
      </w:r>
      <w:r>
        <w:rPr>
          <w:rFonts w:ascii="Palatino Linotype" w:eastAsia="Palatino Linotype" w:hAnsi="Palatino Linotype" w:cs="Palatino Linotype"/>
          <w:b/>
          <w:i/>
          <w:sz w:val="22"/>
          <w:szCs w:val="22"/>
        </w:rPr>
        <w:t>CRITERIO 0002-11</w:t>
      </w:r>
    </w:p>
    <w:p w14:paraId="0600436C" w14:textId="77777777" w:rsidR="00F2419E" w:rsidRDefault="0034450F">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53274D31" w14:textId="77777777" w:rsidR="00F2419E" w:rsidRDefault="0034450F">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consecuencia el acceso a la información se refiere a que se cumplan cualquiera de los siguientes tres supuestos:</w:t>
      </w:r>
    </w:p>
    <w:p w14:paraId="25C92B2B" w14:textId="77777777" w:rsidR="00F2419E" w:rsidRDefault="0034450F">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1) Que se trate de información registrada en cualquier soporte documental, que en ejercicio de las atribuciones conferidas, sea generada por los Sujetos Obligados;</w:t>
      </w:r>
    </w:p>
    <w:p w14:paraId="3189C659" w14:textId="77777777" w:rsidR="00F2419E" w:rsidRDefault="0034450F">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2) Que se trate de información registrada en cualquier soporte documental, que en ejercicio de las atribuciones conferidas, sea administrada por los Sujetos Obligados, y</w:t>
      </w:r>
    </w:p>
    <w:p w14:paraId="0D8B00E1" w14:textId="77777777" w:rsidR="00F2419E" w:rsidRDefault="0034450F">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3) Que se trate de información registrada en cualquier soporte documental, que en ejercicio de las atribuciones conferidas, se encuentre en posesión de los Sujetos Obligados.” </w:t>
      </w:r>
    </w:p>
    <w:p w14:paraId="28AD6239" w14:textId="77777777" w:rsidR="00F2419E" w:rsidRDefault="0034450F">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 ahí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cuenta con el deber de satisfacer las solicitudes de acceso a la información que le sean formuladas y entregar la información pública que obre en sus archivos pudiendo ser de manera electrónica; más aún si la misma se trata de información relativa a obligaciones de transparencia, la cual se relaciona con aquella que se genere de acuerdo con sus facultades, atribuciones y obligaciones señaladas por la Ley en la materia</w:t>
      </w:r>
      <w:r>
        <w:rPr>
          <w:rFonts w:ascii="Palatino Linotype" w:eastAsia="Palatino Linotype" w:hAnsi="Palatino Linotype" w:cs="Palatino Linotype"/>
          <w:vertAlign w:val="superscript"/>
        </w:rPr>
        <w:footnoteReference w:id="1"/>
      </w:r>
      <w:r>
        <w:rPr>
          <w:rFonts w:ascii="Palatino Linotype" w:eastAsia="Palatino Linotype" w:hAnsi="Palatino Linotype" w:cs="Palatino Linotype"/>
        </w:rPr>
        <w:t>, así como de interés público, es decir, aquella que resulta relevante o beneficiosa para la sociedad y no simplemente de interés individual, y cuya divulgación resulta útil para que el público comprenda las actividades que llevan a cabo los Sujetos Obligados</w:t>
      </w:r>
      <w:r>
        <w:rPr>
          <w:rFonts w:ascii="Palatino Linotype" w:eastAsia="Palatino Linotype" w:hAnsi="Palatino Linotype" w:cs="Palatino Linotype"/>
          <w:vertAlign w:val="superscript"/>
        </w:rPr>
        <w:footnoteReference w:id="2"/>
      </w:r>
      <w:r>
        <w:rPr>
          <w:rFonts w:ascii="Palatino Linotype" w:eastAsia="Palatino Linotype" w:hAnsi="Palatino Linotype" w:cs="Palatino Linotype"/>
        </w:rPr>
        <w:t>, como pudiera tratarse de aquella relacionada con las obligaciones de transparencia señaladas en los artículos 92 y 100 de la Ley de la Materia.</w:t>
      </w:r>
    </w:p>
    <w:p w14:paraId="1E9DFE2C" w14:textId="77777777" w:rsidR="00F2419E" w:rsidRDefault="0034450F">
      <w:pPr>
        <w:spacing w:before="280" w:after="280" w:line="360" w:lineRule="auto"/>
        <w:jc w:val="both"/>
        <w:rPr>
          <w:rFonts w:ascii="Palatino Linotype" w:eastAsia="Palatino Linotype" w:hAnsi="Palatino Linotype" w:cs="Palatino Linotype"/>
          <w:b/>
        </w:rPr>
      </w:pPr>
      <w:r>
        <w:rPr>
          <w:rFonts w:ascii="Palatino Linotype" w:eastAsia="Palatino Linotype" w:hAnsi="Palatino Linotype" w:cs="Palatino Linotype"/>
        </w:rPr>
        <w:t xml:space="preserve">Es así, que el Pleno de este Instituto procede al análisis de las constancias que integran el expediente del recurso de revisión de mérito con el fin de determinar si con su respuesta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atendió cada uno de los planteamientos formulados por el entonces solicitante; o contrario a lo anterior,  resultan fundados </w:t>
      </w:r>
      <w:r>
        <w:rPr>
          <w:rFonts w:ascii="Palatino Linotype" w:eastAsia="Palatino Linotype" w:hAnsi="Palatino Linotype" w:cs="Palatino Linotype"/>
        </w:rPr>
        <w:lastRenderedPageBreak/>
        <w:t xml:space="preserve">los motivos de inconformidad y por lo tanto se deba ordenar la entrega de información y garantizar el ejercicio del derecho de acceso a la información pública del </w:t>
      </w:r>
      <w:r>
        <w:rPr>
          <w:rFonts w:ascii="Palatino Linotype" w:eastAsia="Palatino Linotype" w:hAnsi="Palatino Linotype" w:cs="Palatino Linotype"/>
          <w:b/>
        </w:rPr>
        <w:t xml:space="preserve">RECURRENTE. </w:t>
      </w:r>
    </w:p>
    <w:p w14:paraId="2E2CB32E" w14:textId="77777777" w:rsidR="00F2419E" w:rsidRDefault="0034450F">
      <w:pPr>
        <w:pBdr>
          <w:top w:val="nil"/>
          <w:left w:val="nil"/>
          <w:bottom w:val="nil"/>
          <w:right w:val="nil"/>
          <w:between w:val="nil"/>
        </w:pBdr>
        <w:tabs>
          <w:tab w:val="left" w:pos="426"/>
        </w:tabs>
        <w:spacing w:before="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Bajo ese contexto, el Pleno de este Instituto considera necesario mencionar que, por cuestiones de técnica jurídica, así como para determinar si la respuesta emitida</w:t>
      </w:r>
      <w:r>
        <w:rPr>
          <w:rFonts w:ascii="Palatino Linotype" w:eastAsia="Palatino Linotype" w:hAnsi="Palatino Linotype" w:cs="Palatino Linotype"/>
        </w:rPr>
        <w:t xml:space="preserve"> </w:t>
      </w:r>
      <w:r>
        <w:rPr>
          <w:rFonts w:ascii="Palatino Linotype" w:eastAsia="Palatino Linotype" w:hAnsi="Palatino Linotype" w:cs="Palatino Linotype"/>
          <w:color w:val="000000"/>
        </w:rPr>
        <w:t xml:space="preserve">por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atendi</w:t>
      </w:r>
      <w:r>
        <w:rPr>
          <w:rFonts w:ascii="Palatino Linotype" w:eastAsia="Palatino Linotype" w:hAnsi="Palatino Linotype" w:cs="Palatino Linotype"/>
        </w:rPr>
        <w:t>ó</w:t>
      </w:r>
      <w:r>
        <w:rPr>
          <w:rFonts w:ascii="Palatino Linotype" w:eastAsia="Palatino Linotype" w:hAnsi="Palatino Linotype" w:cs="Palatino Linotype"/>
          <w:color w:val="000000"/>
        </w:rPr>
        <w:t xml:space="preserve"> de manera puntual a todos y cada uno de los requerimientos formulados por el </w:t>
      </w:r>
      <w:r>
        <w:rPr>
          <w:rFonts w:ascii="Palatino Linotype" w:eastAsia="Palatino Linotype" w:hAnsi="Palatino Linotype" w:cs="Palatino Linotype"/>
          <w:b/>
          <w:color w:val="000000"/>
        </w:rPr>
        <w:t>RECURRENTE</w:t>
      </w:r>
      <w:r>
        <w:rPr>
          <w:rFonts w:ascii="Palatino Linotype" w:eastAsia="Palatino Linotype" w:hAnsi="Palatino Linotype" w:cs="Palatino Linotype"/>
          <w:color w:val="000000"/>
        </w:rPr>
        <w:t>, se considera pertinente elaborar un cuadro de análisis, mismo que se inserta a continuación.</w:t>
      </w:r>
    </w:p>
    <w:tbl>
      <w:tblPr>
        <w:tblStyle w:val="aa"/>
        <w:tblW w:w="878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39"/>
        <w:gridCol w:w="3686"/>
        <w:gridCol w:w="1559"/>
      </w:tblGrid>
      <w:tr w:rsidR="00F2419E" w14:paraId="2B070353" w14:textId="77777777">
        <w:tc>
          <w:tcPr>
            <w:tcW w:w="8784" w:type="dxa"/>
            <w:gridSpan w:val="3"/>
            <w:shd w:val="clear" w:color="auto" w:fill="BFBFBF"/>
          </w:tcPr>
          <w:p w14:paraId="03E2B359" w14:textId="77777777" w:rsidR="00F2419E" w:rsidRDefault="0034450F">
            <w:pPr>
              <w:ind w:firstLine="114"/>
              <w:jc w:val="both"/>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 xml:space="preserve">De la empresa Comercializadora Macano, S.A. de C.V. con contrato de servicios con la Comisión del Agua del Estado de México, la siguiente información: </w:t>
            </w:r>
          </w:p>
        </w:tc>
      </w:tr>
      <w:tr w:rsidR="00F2419E" w14:paraId="5924E246" w14:textId="77777777">
        <w:tc>
          <w:tcPr>
            <w:tcW w:w="3539" w:type="dxa"/>
            <w:shd w:val="clear" w:color="auto" w:fill="A6A6A6"/>
          </w:tcPr>
          <w:p w14:paraId="47173E26" w14:textId="77777777" w:rsidR="00F2419E" w:rsidRDefault="0034450F">
            <w:pPr>
              <w:ind w:firstLine="114"/>
              <w:jc w:val="both"/>
              <w:rPr>
                <w:rFonts w:ascii="Palatino Linotype" w:eastAsia="Palatino Linotype" w:hAnsi="Palatino Linotype" w:cs="Palatino Linotype"/>
                <w:b/>
                <w:i/>
                <w:sz w:val="20"/>
                <w:szCs w:val="20"/>
              </w:rPr>
            </w:pPr>
            <w:r>
              <w:rPr>
                <w:rFonts w:ascii="Palatino Linotype" w:eastAsia="Palatino Linotype" w:hAnsi="Palatino Linotype" w:cs="Palatino Linotype"/>
                <w:b/>
                <w:i/>
                <w:sz w:val="20"/>
                <w:szCs w:val="20"/>
              </w:rPr>
              <w:t>Información requerida.</w:t>
            </w:r>
          </w:p>
        </w:tc>
        <w:tc>
          <w:tcPr>
            <w:tcW w:w="3686" w:type="dxa"/>
            <w:shd w:val="clear" w:color="auto" w:fill="A6A6A6"/>
          </w:tcPr>
          <w:p w14:paraId="61B81E14" w14:textId="77777777" w:rsidR="00F2419E" w:rsidRDefault="0034450F">
            <w:pPr>
              <w:ind w:firstLine="114"/>
              <w:jc w:val="both"/>
              <w:rPr>
                <w:rFonts w:ascii="Palatino Linotype" w:eastAsia="Palatino Linotype" w:hAnsi="Palatino Linotype" w:cs="Palatino Linotype"/>
                <w:b/>
                <w:i/>
                <w:sz w:val="20"/>
                <w:szCs w:val="20"/>
              </w:rPr>
            </w:pPr>
            <w:r>
              <w:rPr>
                <w:rFonts w:ascii="Palatino Linotype" w:eastAsia="Palatino Linotype" w:hAnsi="Palatino Linotype" w:cs="Palatino Linotype"/>
                <w:b/>
                <w:i/>
                <w:sz w:val="20"/>
                <w:szCs w:val="20"/>
              </w:rPr>
              <w:t>Respuesta</w:t>
            </w:r>
          </w:p>
        </w:tc>
        <w:tc>
          <w:tcPr>
            <w:tcW w:w="1559" w:type="dxa"/>
            <w:shd w:val="clear" w:color="auto" w:fill="A6A6A6"/>
          </w:tcPr>
          <w:p w14:paraId="6F66E325" w14:textId="77777777" w:rsidR="00F2419E" w:rsidRDefault="0034450F">
            <w:pPr>
              <w:ind w:firstLine="114"/>
              <w:jc w:val="both"/>
              <w:rPr>
                <w:rFonts w:ascii="Palatino Linotype" w:eastAsia="Palatino Linotype" w:hAnsi="Palatino Linotype" w:cs="Palatino Linotype"/>
                <w:b/>
                <w:i/>
                <w:sz w:val="20"/>
                <w:szCs w:val="20"/>
              </w:rPr>
            </w:pPr>
            <w:r>
              <w:rPr>
                <w:rFonts w:ascii="Palatino Linotype" w:eastAsia="Palatino Linotype" w:hAnsi="Palatino Linotype" w:cs="Palatino Linotype"/>
                <w:b/>
                <w:i/>
                <w:sz w:val="20"/>
                <w:szCs w:val="20"/>
              </w:rPr>
              <w:t>Colma</w:t>
            </w:r>
          </w:p>
        </w:tc>
      </w:tr>
      <w:tr w:rsidR="00F2419E" w14:paraId="3EA27AF1" w14:textId="77777777">
        <w:tc>
          <w:tcPr>
            <w:tcW w:w="3539" w:type="dxa"/>
          </w:tcPr>
          <w:p w14:paraId="77097D8E" w14:textId="77777777" w:rsidR="00F2419E" w:rsidRDefault="0034450F">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1. Detalle de la licitación en la cual fue autorizada dicha empresa como Proveedor de la Comisión del agua del Estado de México</w:t>
            </w:r>
          </w:p>
        </w:tc>
        <w:tc>
          <w:tcPr>
            <w:tcW w:w="3686" w:type="dxa"/>
          </w:tcPr>
          <w:p w14:paraId="4222A087" w14:textId="77777777" w:rsidR="00F2419E" w:rsidRDefault="0034450F">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El Director General de Administración y Finanzas entregó dos dictámenes de licitación pública nacional presencial número EA-915027991-N01-2021 y EA-915027991-N03-2021 que contienen a detalle el proceso de la adjudicación afectuada a la Comercializadora MACANO S.A. de C.V. </w:t>
            </w:r>
          </w:p>
        </w:tc>
        <w:tc>
          <w:tcPr>
            <w:tcW w:w="1559" w:type="dxa"/>
          </w:tcPr>
          <w:p w14:paraId="45754345" w14:textId="77777777" w:rsidR="00F2419E" w:rsidRDefault="0034450F">
            <w:pPr>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SI</w:t>
            </w:r>
          </w:p>
        </w:tc>
      </w:tr>
      <w:tr w:rsidR="00F2419E" w14:paraId="5E021044" w14:textId="77777777">
        <w:tc>
          <w:tcPr>
            <w:tcW w:w="3539" w:type="dxa"/>
          </w:tcPr>
          <w:p w14:paraId="7A535753" w14:textId="77777777" w:rsidR="00F2419E" w:rsidRDefault="0034450F">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2. Contrato</w:t>
            </w:r>
          </w:p>
        </w:tc>
        <w:tc>
          <w:tcPr>
            <w:tcW w:w="3686" w:type="dxa"/>
          </w:tcPr>
          <w:p w14:paraId="6A49FAF1" w14:textId="77777777" w:rsidR="00F2419E" w:rsidRDefault="0034450F">
            <w:pPr>
              <w:jc w:val="both"/>
              <w:rPr>
                <w:rFonts w:ascii="Palatino Linotype" w:eastAsia="Palatino Linotype" w:hAnsi="Palatino Linotype" w:cs="Palatino Linotype"/>
              </w:rPr>
            </w:pPr>
            <w:r>
              <w:rPr>
                <w:rFonts w:ascii="Palatino Linotype" w:eastAsia="Palatino Linotype" w:hAnsi="Palatino Linotype" w:cs="Palatino Linotype"/>
                <w:sz w:val="20"/>
                <w:szCs w:val="20"/>
              </w:rPr>
              <w:t>El Director General de Administración y Finanzas entregó los contratos de prestación de servicios celebrados con la Comercializadora MACANO, S.A. DE C.V. números: 6DO20210014 y 6DA20210015, derivados de las licitaciones públicas previamente descritas</w:t>
            </w:r>
            <w:r>
              <w:rPr>
                <w:rFonts w:ascii="Palatino Linotype" w:eastAsia="Palatino Linotype" w:hAnsi="Palatino Linotype" w:cs="Palatino Linotype"/>
              </w:rPr>
              <w:t xml:space="preserve">. </w:t>
            </w:r>
          </w:p>
        </w:tc>
        <w:tc>
          <w:tcPr>
            <w:tcW w:w="1559" w:type="dxa"/>
          </w:tcPr>
          <w:p w14:paraId="332CF00E" w14:textId="77777777" w:rsidR="00F2419E" w:rsidRDefault="0034450F">
            <w:pPr>
              <w:jc w:val="center"/>
              <w:rPr>
                <w:rFonts w:ascii="Palatino Linotype" w:eastAsia="Palatino Linotype" w:hAnsi="Palatino Linotype" w:cs="Palatino Linotype"/>
              </w:rPr>
            </w:pPr>
            <w:r>
              <w:rPr>
                <w:rFonts w:ascii="Palatino Linotype" w:eastAsia="Palatino Linotype" w:hAnsi="Palatino Linotype" w:cs="Palatino Linotype"/>
              </w:rPr>
              <w:t>SI</w:t>
            </w:r>
          </w:p>
        </w:tc>
      </w:tr>
      <w:tr w:rsidR="00F2419E" w14:paraId="55CEB24E" w14:textId="77777777">
        <w:tc>
          <w:tcPr>
            <w:tcW w:w="3539" w:type="dxa"/>
          </w:tcPr>
          <w:p w14:paraId="1036EFFA" w14:textId="77777777" w:rsidR="00F2419E" w:rsidRDefault="0034450F">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3. Documentos base para el alta como proveedor tales como: acta constitutiva, poder legal, comprobante de domicilio, Constancia de Situación Fiscal.</w:t>
            </w:r>
          </w:p>
        </w:tc>
        <w:tc>
          <w:tcPr>
            <w:tcW w:w="3686" w:type="dxa"/>
          </w:tcPr>
          <w:p w14:paraId="26A0F32F" w14:textId="77777777" w:rsidR="00F2419E" w:rsidRDefault="0034450F">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A la respuesta agregó el comprobante de domicilio que consiste en la facturación de línea telefónica (TELMEX) y la Cédula de Identificación Fiscal de la comercializadora. </w:t>
            </w:r>
          </w:p>
        </w:tc>
        <w:tc>
          <w:tcPr>
            <w:tcW w:w="1559" w:type="dxa"/>
          </w:tcPr>
          <w:p w14:paraId="079E0FBE" w14:textId="77777777" w:rsidR="00F2419E" w:rsidRDefault="0034450F">
            <w:pPr>
              <w:jc w:val="center"/>
              <w:rPr>
                <w:rFonts w:ascii="Palatino Linotype" w:eastAsia="Palatino Linotype" w:hAnsi="Palatino Linotype" w:cs="Palatino Linotype"/>
              </w:rPr>
            </w:pPr>
            <w:r>
              <w:rPr>
                <w:rFonts w:ascii="Palatino Linotype" w:eastAsia="Palatino Linotype" w:hAnsi="Palatino Linotype" w:cs="Palatino Linotype"/>
              </w:rPr>
              <w:t>Parcial</w:t>
            </w:r>
          </w:p>
        </w:tc>
      </w:tr>
      <w:tr w:rsidR="00F2419E" w14:paraId="34D7FB40" w14:textId="77777777">
        <w:tc>
          <w:tcPr>
            <w:tcW w:w="3539" w:type="dxa"/>
          </w:tcPr>
          <w:p w14:paraId="759B42B5" w14:textId="77777777" w:rsidR="00F2419E" w:rsidRDefault="0034450F">
            <w:pPr>
              <w:jc w:val="both"/>
              <w:rPr>
                <w:rFonts w:ascii="Palatino Linotype" w:eastAsia="Palatino Linotype" w:hAnsi="Palatino Linotype" w:cs="Palatino Linotype"/>
                <w:sz w:val="20"/>
                <w:szCs w:val="20"/>
              </w:rPr>
            </w:pPr>
            <w:r>
              <w:t>4.</w:t>
            </w:r>
            <w:r>
              <w:rPr>
                <w:rFonts w:ascii="Palatino Linotype" w:eastAsia="Palatino Linotype" w:hAnsi="Palatino Linotype" w:cs="Palatino Linotype"/>
                <w:sz w:val="20"/>
                <w:szCs w:val="20"/>
              </w:rPr>
              <w:t xml:space="preserve">Detalle de cada una de las operaciones efectuadas durante el ejercicio fiscal 2021 con la empresa </w:t>
            </w:r>
            <w:r>
              <w:rPr>
                <w:rFonts w:ascii="Palatino Linotype" w:eastAsia="Palatino Linotype" w:hAnsi="Palatino Linotype" w:cs="Palatino Linotype"/>
                <w:sz w:val="20"/>
                <w:szCs w:val="20"/>
              </w:rPr>
              <w:lastRenderedPageBreak/>
              <w:t>Comercializadora Macano, S.A. de C.V. por mantenimiento mecánico, en la cual se especifique de forma clara la siguiente información:</w:t>
            </w:r>
          </w:p>
          <w:p w14:paraId="605B1AEE" w14:textId="77777777" w:rsidR="00F2419E" w:rsidRDefault="0034450F">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a) </w:t>
            </w:r>
            <w:r>
              <w:rPr>
                <w:rFonts w:ascii="Palatino Linotype" w:eastAsia="Palatino Linotype" w:hAnsi="Palatino Linotype" w:cs="Palatino Linotype"/>
                <w:sz w:val="20"/>
                <w:szCs w:val="20"/>
              </w:rPr>
              <w:tab/>
              <w:t xml:space="preserve">Concentrado en el cual se especifique la fecha, número económico de la unidad, tipo (auto, camioneta, equipo pesado), marca, modelo, placas, numero orden de servicio, descripción de la orden de servicio donde se especifiquen los trabajos realizados, monto y dirección a la cual pertenece la unidad, numero de Factura, y cantidad pagada; y </w:t>
            </w:r>
          </w:p>
          <w:p w14:paraId="2224FBFF" w14:textId="77777777" w:rsidR="00F2419E" w:rsidRDefault="0034450F">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b) Facturas, así como la copia del SPEI, Cheque, Transferencia u otro medio, donde fue efectuado el</w:t>
            </w:r>
          </w:p>
          <w:p w14:paraId="7FE42FD0" w14:textId="77777777" w:rsidR="00F2419E" w:rsidRDefault="0034450F">
            <w:pPr>
              <w:jc w:val="both"/>
              <w:rPr>
                <w:rFonts w:ascii="Palatino Linotype" w:eastAsia="Palatino Linotype" w:hAnsi="Palatino Linotype" w:cs="Palatino Linotype"/>
                <w:i/>
                <w:sz w:val="20"/>
                <w:szCs w:val="20"/>
              </w:rPr>
            </w:pPr>
            <w:r>
              <w:rPr>
                <w:rFonts w:ascii="Palatino Linotype" w:eastAsia="Palatino Linotype" w:hAnsi="Palatino Linotype" w:cs="Palatino Linotype"/>
                <w:sz w:val="20"/>
                <w:szCs w:val="20"/>
              </w:rPr>
              <w:t>pago de cada una de las facturas a la empresa Comercializadora Macano, S.A. de C.V.</w:t>
            </w:r>
          </w:p>
        </w:tc>
        <w:tc>
          <w:tcPr>
            <w:tcW w:w="3686" w:type="dxa"/>
          </w:tcPr>
          <w:p w14:paraId="700B3805" w14:textId="77777777" w:rsidR="00F2419E" w:rsidRDefault="0034450F">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lastRenderedPageBreak/>
              <w:t xml:space="preserve">En relación al inciso a) Manifestó que se remiten datos del ejercicio 2021 en formato pdf. </w:t>
            </w:r>
          </w:p>
          <w:p w14:paraId="79710296" w14:textId="77777777" w:rsidR="00F2419E" w:rsidRDefault="0034450F">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lastRenderedPageBreak/>
              <w:t>(En los archivos adjuntos no se advierte el archivo que contenga la información)</w:t>
            </w:r>
          </w:p>
          <w:p w14:paraId="7F7D2E8C" w14:textId="77777777" w:rsidR="00F2419E" w:rsidRDefault="00F2419E">
            <w:pPr>
              <w:jc w:val="both"/>
              <w:rPr>
                <w:rFonts w:ascii="Palatino Linotype" w:eastAsia="Palatino Linotype" w:hAnsi="Palatino Linotype" w:cs="Palatino Linotype"/>
                <w:sz w:val="20"/>
                <w:szCs w:val="20"/>
              </w:rPr>
            </w:pPr>
          </w:p>
          <w:p w14:paraId="006FAD05" w14:textId="77777777" w:rsidR="00F2419E" w:rsidRDefault="0034450F">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Por cuanto hace al inciso b) el Sujeto Obligado informó: </w:t>
            </w:r>
          </w:p>
          <w:p w14:paraId="574D4B8B" w14:textId="77777777" w:rsidR="00F2419E" w:rsidRDefault="00F2419E">
            <w:pPr>
              <w:jc w:val="both"/>
              <w:rPr>
                <w:rFonts w:ascii="Palatino Linotype" w:eastAsia="Palatino Linotype" w:hAnsi="Palatino Linotype" w:cs="Palatino Linotype"/>
                <w:sz w:val="20"/>
                <w:szCs w:val="20"/>
              </w:rPr>
            </w:pPr>
          </w:p>
          <w:p w14:paraId="4B57EC36" w14:textId="77777777" w:rsidR="00F2419E" w:rsidRDefault="0034450F">
            <w:pPr>
              <w:jc w:val="both"/>
              <w:rPr>
                <w:rFonts w:ascii="Palatino Linotype" w:eastAsia="Palatino Linotype" w:hAnsi="Palatino Linotype" w:cs="Palatino Linotype"/>
                <w:i/>
                <w:sz w:val="20"/>
                <w:szCs w:val="20"/>
              </w:rPr>
            </w:pPr>
            <w:r>
              <w:rPr>
                <w:rFonts w:ascii="Palatino Linotype" w:eastAsia="Palatino Linotype" w:hAnsi="Palatino Linotype" w:cs="Palatino Linotype"/>
                <w:sz w:val="20"/>
                <w:szCs w:val="20"/>
              </w:rPr>
              <w:t>“</w:t>
            </w:r>
            <w:r>
              <w:rPr>
                <w:rFonts w:ascii="Palatino Linotype" w:eastAsia="Palatino Linotype" w:hAnsi="Palatino Linotype" w:cs="Palatino Linotype"/>
                <w:i/>
                <w:sz w:val="20"/>
                <w:szCs w:val="20"/>
              </w:rPr>
              <w:t>Se comunica al requirente que la documentación se encuentra en revisión debido al proceso de Dictaminación de los Estados Financieros y el Cierre Presupuestal 2021 que se está realizando en conjunto con el despacho externo asignado por la Secretaría de la Contraloría tal y como se observa en el documento incorporado a la presente respuesta” (Sic)</w:t>
            </w:r>
          </w:p>
        </w:tc>
        <w:tc>
          <w:tcPr>
            <w:tcW w:w="1559" w:type="dxa"/>
          </w:tcPr>
          <w:p w14:paraId="070DBB52" w14:textId="77777777" w:rsidR="00F2419E" w:rsidRDefault="0034450F">
            <w:pPr>
              <w:jc w:val="center"/>
              <w:rPr>
                <w:rFonts w:ascii="Palatino Linotype" w:eastAsia="Palatino Linotype" w:hAnsi="Palatino Linotype" w:cs="Palatino Linotype"/>
              </w:rPr>
            </w:pPr>
            <w:r>
              <w:rPr>
                <w:rFonts w:ascii="Palatino Linotype" w:eastAsia="Palatino Linotype" w:hAnsi="Palatino Linotype" w:cs="Palatino Linotype"/>
              </w:rPr>
              <w:lastRenderedPageBreak/>
              <w:t>NO</w:t>
            </w:r>
          </w:p>
        </w:tc>
      </w:tr>
    </w:tbl>
    <w:p w14:paraId="5CCEA482" w14:textId="77777777" w:rsidR="00F2419E" w:rsidRDefault="0034450F">
      <w:pPr>
        <w:pBdr>
          <w:top w:val="nil"/>
          <w:left w:val="nil"/>
          <w:bottom w:val="nil"/>
          <w:right w:val="nil"/>
          <w:between w:val="nil"/>
        </w:pBdr>
        <w:spacing w:before="280" w:after="280" w:line="360" w:lineRule="auto"/>
        <w:jc w:val="both"/>
        <w:rPr>
          <w:rFonts w:ascii="Palatino Linotype" w:eastAsia="Palatino Linotype" w:hAnsi="Palatino Linotype" w:cs="Palatino Linotype"/>
          <w:i/>
        </w:rPr>
      </w:pPr>
      <w:r>
        <w:rPr>
          <w:rFonts w:ascii="Palatino Linotype" w:eastAsia="Palatino Linotype" w:hAnsi="Palatino Linotype" w:cs="Palatino Linotype"/>
          <w:color w:val="000000"/>
        </w:rPr>
        <w:t xml:space="preserve">Una vez que, el </w:t>
      </w:r>
      <w:r>
        <w:rPr>
          <w:rFonts w:ascii="Palatino Linotype" w:eastAsia="Palatino Linotype" w:hAnsi="Palatino Linotype" w:cs="Palatino Linotype"/>
          <w:b/>
          <w:color w:val="000000"/>
        </w:rPr>
        <w:t xml:space="preserve">RECURRENTE </w:t>
      </w:r>
      <w:r>
        <w:rPr>
          <w:rFonts w:ascii="Palatino Linotype" w:eastAsia="Palatino Linotype" w:hAnsi="Palatino Linotype" w:cs="Palatino Linotype"/>
          <w:color w:val="000000"/>
        </w:rPr>
        <w:t>conoció la respuesta a los requerimientos formulados, presentó el presente medio de impugnación en el que manifestó como razones o motivos de inconformidad que en relación a la información solicitada en el numeral 3, “</w:t>
      </w:r>
      <w:r>
        <w:rPr>
          <w:rFonts w:ascii="Palatino Linotype" w:eastAsia="Palatino Linotype" w:hAnsi="Palatino Linotype" w:cs="Palatino Linotype"/>
          <w:i/>
          <w:color w:val="000000"/>
        </w:rPr>
        <w:t xml:space="preserve">Copia de documentos base para el alta como proveedor tales como: acta constitutiva, poder legal, comprobante de domicilio, constancia de situación fiscal” </w:t>
      </w:r>
      <w:r>
        <w:rPr>
          <w:rFonts w:ascii="Palatino Linotype" w:eastAsia="Palatino Linotype" w:hAnsi="Palatino Linotype" w:cs="Palatino Linotype"/>
          <w:color w:val="000000"/>
        </w:rPr>
        <w:t xml:space="preserve"> al señalar que el </w:t>
      </w:r>
      <w:r>
        <w:rPr>
          <w:rFonts w:ascii="Palatino Linotype" w:eastAsia="Palatino Linotype" w:hAnsi="Palatino Linotype" w:cs="Palatino Linotype"/>
          <w:b/>
          <w:color w:val="000000"/>
        </w:rPr>
        <w:t xml:space="preserve">SUJETO OBLIGADO </w:t>
      </w:r>
      <w:r>
        <w:rPr>
          <w:rFonts w:ascii="Palatino Linotype" w:eastAsia="Palatino Linotype" w:hAnsi="Palatino Linotype" w:cs="Palatino Linotype"/>
          <w:color w:val="000000"/>
        </w:rPr>
        <w:t>no le proporcionó el acta constitutiva, ni el poder legal de la Comercializadora Macano S.A. de C.V.; así mismo, en relación a la documentación peticionada en el numeral 4) inciso a), señaló que: “</w:t>
      </w:r>
      <w:r>
        <w:rPr>
          <w:rFonts w:ascii="Palatino Linotype" w:eastAsia="Palatino Linotype" w:hAnsi="Palatino Linotype" w:cs="Palatino Linotype"/>
          <w:i/>
        </w:rPr>
        <w:t xml:space="preserve">la información que me proporcionaron no representa en absoluto la información que solicité, no esta la orden de servicio,detalle de la orden de servicio, placas,número economico a que Dirección pertenece la unidad, el monto por mantenimiento generado, etc.” </w:t>
      </w:r>
    </w:p>
    <w:p w14:paraId="7E89FC65" w14:textId="77777777" w:rsidR="00F2419E" w:rsidRDefault="0034450F">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Derivado de lo anterior, resulta importante precisar que</w:t>
      </w:r>
      <w:r w:rsidR="00A47DDB">
        <w:rPr>
          <w:rFonts w:ascii="Palatino Linotype" w:eastAsia="Palatino Linotype" w:hAnsi="Palatino Linotype" w:cs="Palatino Linotype"/>
        </w:rPr>
        <w:t>,</w:t>
      </w:r>
      <w:r>
        <w:rPr>
          <w:rFonts w:ascii="Palatino Linotype" w:eastAsia="Palatino Linotype" w:hAnsi="Palatino Linotype" w:cs="Palatino Linotype"/>
        </w:rPr>
        <w:t xml:space="preserve"> en relación a los motivos de inconformidad, el </w:t>
      </w:r>
      <w:r w:rsidR="00A47DDB" w:rsidRPr="00A47DDB">
        <w:rPr>
          <w:rFonts w:ascii="Palatino Linotype" w:eastAsia="Palatino Linotype" w:hAnsi="Palatino Linotype" w:cs="Palatino Linotype"/>
          <w:b/>
        </w:rPr>
        <w:t>RECURRENTE</w:t>
      </w:r>
      <w:r>
        <w:rPr>
          <w:rFonts w:ascii="Palatino Linotype" w:eastAsia="Palatino Linotype" w:hAnsi="Palatino Linotype" w:cs="Palatino Linotype"/>
        </w:rPr>
        <w:t xml:space="preserve"> no se queja por la respuesta a la totalidad de los puntos que conforman su solicitud de información, ya que no se inconformó por los requerimientos formulados en los numerales 1, 2 y 4 inciso b) descritos en el cuadro de análisis relativos a: </w:t>
      </w:r>
    </w:p>
    <w:p w14:paraId="0EA4A17C" w14:textId="77777777" w:rsidR="00F2419E" w:rsidRDefault="0034450F">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1. Detalle de la licitación en la cual fue autorizada dicha empresa como Proveedor de la Comisión del agua del Estado de México; </w:t>
      </w:r>
    </w:p>
    <w:p w14:paraId="5CD3D003" w14:textId="77777777" w:rsidR="00F2419E" w:rsidRDefault="0034450F">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2 Contrato;  y, </w:t>
      </w:r>
    </w:p>
    <w:p w14:paraId="44DFE53F" w14:textId="77777777" w:rsidR="00F2419E" w:rsidRDefault="0034450F">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4. Detalle de cada una de las operaciones efectuadas durante el ejercicio fiscal 2021 con la empresa Comercializadora Macano, S.A. de C.V. por mantenimiento mecánico, en la cual se especifique de forma clara la siguiente información:</w:t>
      </w:r>
    </w:p>
    <w:p w14:paraId="5C6A79C7" w14:textId="77777777" w:rsidR="00F2419E" w:rsidRDefault="0034450F">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w:t>
      </w:r>
    </w:p>
    <w:p w14:paraId="7BCEA39A" w14:textId="77777777" w:rsidR="00F2419E" w:rsidRDefault="0034450F">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b) Facturas, así como la copia del SPEI, Cheque, Transferencia u otro medio, donde fue efectuado el pago de cada una de las facturas a la empresa Comercializadora Macano, S.A. de C.V.</w:t>
      </w:r>
    </w:p>
    <w:p w14:paraId="416742C2" w14:textId="77777777" w:rsidR="00F2419E" w:rsidRDefault="0034450F">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ese sentido debe señalarse que el análisis del presente recurso no versará sobre la información sobre la que no se expresó agravio alguno; lo anterior es así, debido a que cuando la parte recurrente impugna la respuesta del Sujeto Obligado y no expresa razón o motivo de inconformidad en contra de todos los rubros de la respuesta que pudieran ser un agravio a su derecho, los mismos deben estimarse atendidos. Sirve de apoyo a lo anterior, por analogía, la Tesis Jurisprudencial </w:t>
      </w:r>
      <w:r>
        <w:rPr>
          <w:rFonts w:ascii="Palatino Linotype" w:eastAsia="Palatino Linotype" w:hAnsi="Palatino Linotype" w:cs="Palatino Linotype"/>
        </w:rPr>
        <w:lastRenderedPageBreak/>
        <w:t>Número 3ª./J.7/91, publicada en el Semanario Judicial de la Federación y su Gaceta bajo el número de registro 174,177, que establece lo siguiente:</w:t>
      </w:r>
    </w:p>
    <w:p w14:paraId="3178D10A" w14:textId="77777777" w:rsidR="00F2419E" w:rsidRDefault="0034450F">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sz w:val="22"/>
          <w:szCs w:val="22"/>
        </w:rPr>
        <w:t>“</w:t>
      </w:r>
      <w:r>
        <w:rPr>
          <w:rFonts w:ascii="Palatino Linotype" w:eastAsia="Palatino Linotype" w:hAnsi="Palatino Linotype" w:cs="Palatino Linotype"/>
          <w:b/>
          <w:i/>
          <w:sz w:val="22"/>
          <w:szCs w:val="22"/>
        </w:rPr>
        <w:t>REVISIÓN EN AMPARO. LOS RESOLUTIVOS NO COMBATIDOS DEBEN DECLARARSE FIRMES</w:t>
      </w:r>
      <w:r>
        <w:rPr>
          <w:rFonts w:ascii="Palatino Linotype" w:eastAsia="Palatino Linotype" w:hAnsi="Palatino Linotype" w:cs="Palatino Linotype"/>
          <w:i/>
          <w:sz w:val="22"/>
          <w:szCs w:val="22"/>
        </w:rPr>
        <w:t>. 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02F827D5" w14:textId="77777777" w:rsidR="00F2419E" w:rsidRDefault="00F2419E">
      <w:pPr>
        <w:ind w:left="851" w:right="902"/>
        <w:jc w:val="both"/>
        <w:rPr>
          <w:rFonts w:ascii="Palatino Linotype" w:eastAsia="Palatino Linotype" w:hAnsi="Palatino Linotype" w:cs="Palatino Linotype"/>
          <w:sz w:val="22"/>
          <w:szCs w:val="22"/>
        </w:rPr>
      </w:pPr>
    </w:p>
    <w:p w14:paraId="051CB687" w14:textId="77777777" w:rsidR="00F2419E" w:rsidRDefault="0034450F">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rPr>
        <w:t>Así, la parte de la solicitud sobre la que no se expresó inconformidad, debe declararse consentida por el recurrente, ya que no pueden producirse efectos jurídicos tendentes a revocar, confirmar o modificar la parte de la respuesta con relación a la parte de la solicitud que no fue motivo de disenso, ya que se infiere un consentimiento del recurrente ante la falta de impugnación eficaz. Sirve de sustento a lo anterior, por analogía, la tesis jurisprudencial número VI.3o.C. J/60, publicada en el Semanario Judicial de la Federación y su Gaceta bajo el número de registro 176,608 que a la letra dice:</w:t>
      </w:r>
    </w:p>
    <w:p w14:paraId="39930999" w14:textId="77777777" w:rsidR="00F2419E" w:rsidRDefault="0034450F">
      <w:pPr>
        <w:spacing w:before="240" w:line="276" w:lineRule="auto"/>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ACTOS CONSENTIDOS. SON LOS QUE NO SE IMPUGNAN MEDIANTE EL RECURSO IDÓNEO</w:t>
      </w:r>
      <w:r>
        <w:rPr>
          <w:rFonts w:ascii="Palatino Linotype" w:eastAsia="Palatino Linotype" w:hAnsi="Palatino Linotype" w:cs="Palatino Linotype"/>
          <w:i/>
          <w:sz w:val="22"/>
          <w:szCs w:val="22"/>
        </w:rPr>
        <w:t>. 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58E41806" w14:textId="77777777" w:rsidR="00F2419E" w:rsidRDefault="0034450F">
      <w:pPr>
        <w:spacing w:before="240" w:line="360" w:lineRule="auto"/>
        <w:ind w:right="49"/>
        <w:jc w:val="both"/>
        <w:rPr>
          <w:rFonts w:ascii="Palatino Linotype" w:eastAsia="Palatino Linotype" w:hAnsi="Palatino Linotype" w:cs="Palatino Linotype"/>
          <w:b/>
        </w:rPr>
      </w:pPr>
      <w:r>
        <w:rPr>
          <w:rFonts w:ascii="Palatino Linotype" w:eastAsia="Palatino Linotype" w:hAnsi="Palatino Linotype" w:cs="Palatino Linotype"/>
        </w:rPr>
        <w:lastRenderedPageBreak/>
        <w:t xml:space="preserve">Ahora bien, es importante referir que una vez interpuesto el recurso de revisión,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haciendo uso de su derecho remitió, a través de informe justificado, los documentos que entregó en respuesta a la solicitud; así como, el escrito mediante el cual rindió su informe justificado y documentos mediante los cuales pretendió resarcir la afectación al derecho de acceso a la información, procurando atender los motivos de inconformidad manifestados por el </w:t>
      </w:r>
      <w:r>
        <w:rPr>
          <w:rFonts w:ascii="Palatino Linotype" w:eastAsia="Palatino Linotype" w:hAnsi="Palatino Linotype" w:cs="Palatino Linotype"/>
          <w:b/>
        </w:rPr>
        <w:t xml:space="preserve">RECURRENTE. </w:t>
      </w:r>
    </w:p>
    <w:p w14:paraId="417A8CD9" w14:textId="77777777" w:rsidR="00F2419E" w:rsidRDefault="00F2419E">
      <w:pPr>
        <w:spacing w:before="240" w:line="360" w:lineRule="auto"/>
        <w:ind w:right="49"/>
        <w:jc w:val="both"/>
        <w:rPr>
          <w:rFonts w:ascii="Palatino Linotype" w:eastAsia="Palatino Linotype" w:hAnsi="Palatino Linotype" w:cs="Palatino Linotype"/>
          <w:b/>
        </w:rPr>
      </w:pPr>
    </w:p>
    <w:p w14:paraId="157A458A" w14:textId="77777777" w:rsidR="00F2419E" w:rsidRDefault="0034450F">
      <w:pPr>
        <w:spacing w:line="360" w:lineRule="auto"/>
        <w:jc w:val="both"/>
        <w:rPr>
          <w:rFonts w:ascii="Palatino Linotype" w:eastAsia="Palatino Linotype" w:hAnsi="Palatino Linotype" w:cs="Palatino Linotype"/>
          <w:b/>
        </w:rPr>
      </w:pPr>
      <w:r>
        <w:rPr>
          <w:rFonts w:ascii="Palatino Linotype" w:eastAsia="Palatino Linotype" w:hAnsi="Palatino Linotype" w:cs="Palatino Linotype"/>
        </w:rPr>
        <w:t>Es así que, en relación al motivo de inconformidad referente a: “</w:t>
      </w:r>
      <w:r>
        <w:t>-</w:t>
      </w:r>
      <w:r>
        <w:rPr>
          <w:rFonts w:ascii="Palatino Linotype" w:eastAsia="Palatino Linotype" w:hAnsi="Palatino Linotype" w:cs="Palatino Linotype"/>
          <w:i/>
          <w:u w:val="single"/>
        </w:rPr>
        <w:t>No me fue proporcionada copia de el acta constitutiva ni del poder legal.</w:t>
      </w:r>
      <w:r>
        <w:rPr>
          <w:rFonts w:ascii="Palatino Linotype" w:eastAsia="Palatino Linotype" w:hAnsi="Palatino Linotype" w:cs="Palatino Linotype"/>
          <w:i/>
        </w:rPr>
        <w:t xml:space="preserve">” </w:t>
      </w:r>
      <w:r>
        <w:rPr>
          <w:rFonts w:ascii="Palatino Linotype" w:eastAsia="Palatino Linotype" w:hAnsi="Palatino Linotype" w:cs="Palatino Linotype"/>
        </w:rPr>
        <w:t xml:space="preserve">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remitió el archivo identificado como </w:t>
      </w:r>
      <w:r>
        <w:rPr>
          <w:rFonts w:ascii="Palatino Linotype" w:eastAsia="Palatino Linotype" w:hAnsi="Palatino Linotype" w:cs="Palatino Linotype"/>
          <w:b/>
          <w:i/>
          <w:color w:val="000000"/>
        </w:rPr>
        <w:t xml:space="preserve">“VERSIÓN PÚBLICA ACTA CONSTITUTIVA DE COMERCIALIZADORA MACANO S.A. DE C.V..pdf”; </w:t>
      </w:r>
      <w:r>
        <w:rPr>
          <w:rFonts w:ascii="Palatino Linotype" w:eastAsia="Palatino Linotype" w:hAnsi="Palatino Linotype" w:cs="Palatino Linotype"/>
          <w:color w:val="000000"/>
        </w:rPr>
        <w:t xml:space="preserve">cuyo contenido se integra por 15 páginas, con la versión pública del Acta Constitutiva de la Comercializadora Macano S.A. de C.V. de fecha diez de junio de dos mil quince, en la que se observan clasificados como información confidencial datos como nombre, domicilio, lugar y fecha de nacimiento, estado civil, número telefónico, entre otros; sin embargo, este Organismo Garante se vio impedido para notificar este documento al </w:t>
      </w:r>
      <w:r>
        <w:rPr>
          <w:rFonts w:ascii="Palatino Linotype" w:eastAsia="Palatino Linotype" w:hAnsi="Palatino Linotype" w:cs="Palatino Linotype"/>
          <w:b/>
          <w:color w:val="000000"/>
        </w:rPr>
        <w:t xml:space="preserve">RECURRENTE </w:t>
      </w:r>
      <w:r>
        <w:rPr>
          <w:rFonts w:ascii="Palatino Linotype" w:eastAsia="Palatino Linotype" w:hAnsi="Palatino Linotype" w:cs="Palatino Linotype"/>
          <w:color w:val="000000"/>
        </w:rPr>
        <w:t xml:space="preserve">debido a que el </w:t>
      </w:r>
      <w:r>
        <w:rPr>
          <w:rFonts w:ascii="Palatino Linotype" w:eastAsia="Palatino Linotype" w:hAnsi="Palatino Linotype" w:cs="Palatino Linotype"/>
          <w:b/>
          <w:color w:val="000000"/>
        </w:rPr>
        <w:t xml:space="preserve">SUJETO OBLIGADO </w:t>
      </w:r>
      <w:r>
        <w:rPr>
          <w:rFonts w:ascii="Palatino Linotype" w:eastAsia="Palatino Linotype" w:hAnsi="Palatino Linotype" w:cs="Palatino Linotype"/>
          <w:color w:val="000000"/>
        </w:rPr>
        <w:t xml:space="preserve">omitió testar en el proemio de documento, el nombre de uno de los integrantes de la Sociedad; toda vez, que se considera que el nombre se </w:t>
      </w:r>
      <w:r>
        <w:rPr>
          <w:rFonts w:ascii="Palatino Linotype" w:eastAsia="Palatino Linotype" w:hAnsi="Palatino Linotype" w:cs="Palatino Linotype"/>
        </w:rPr>
        <w:t xml:space="preserve"> integra con el sustantivo propio y el primer apellido de los padres, en el orden que, de común acuerdo determinen; asimismo es la manifestación principal del derecho subjetivo a la personalidad y atributo de esta en términos del artículo 2.3 del Código Civil del Estado de México, de tal suerte, el </w:t>
      </w:r>
      <w:r>
        <w:rPr>
          <w:rFonts w:ascii="Palatino Linotype" w:eastAsia="Palatino Linotype" w:hAnsi="Palatino Linotype" w:cs="Palatino Linotype"/>
        </w:rPr>
        <w:lastRenderedPageBreak/>
        <w:t xml:space="preserve">nombre </w:t>
      </w:r>
      <w:r>
        <w:rPr>
          <w:rFonts w:ascii="Palatino Linotype" w:eastAsia="Palatino Linotype" w:hAnsi="Palatino Linotype" w:cs="Palatino Linotype"/>
          <w:i/>
        </w:rPr>
        <w:t>per se</w:t>
      </w:r>
      <w:r>
        <w:rPr>
          <w:rFonts w:ascii="Palatino Linotype" w:eastAsia="Palatino Linotype" w:hAnsi="Palatino Linotype" w:cs="Palatino Linotype"/>
        </w:rPr>
        <w:t xml:space="preserve"> es un elemento que hace a una persona física identificada o identificable, por lo que, </w:t>
      </w:r>
      <w:r>
        <w:rPr>
          <w:rFonts w:ascii="Palatino Linotype" w:eastAsia="Palatino Linotype" w:hAnsi="Palatino Linotype" w:cs="Palatino Linotype"/>
          <w:b/>
        </w:rPr>
        <w:t>se considera un dato personal.</w:t>
      </w:r>
    </w:p>
    <w:p w14:paraId="0ECA7768" w14:textId="77777777" w:rsidR="00F2419E" w:rsidRDefault="00F2419E">
      <w:pPr>
        <w:spacing w:line="360" w:lineRule="auto"/>
        <w:jc w:val="both"/>
        <w:rPr>
          <w:rFonts w:ascii="Palatino Linotype" w:eastAsia="Palatino Linotype" w:hAnsi="Palatino Linotype" w:cs="Palatino Linotype"/>
          <w:b/>
        </w:rPr>
      </w:pPr>
    </w:p>
    <w:p w14:paraId="08539412" w14:textId="77777777" w:rsidR="00F2419E" w:rsidRDefault="0034450F">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En efecto, en el caso particular, por la naturaleza de la información que se solicita el nombre de los particulares constituye un dato personal confidencial, por lo que actualiza el supuesto previsto en el artículo 143 fracción I de la Ley de Transparencia y Acceso a la Información Pública del Estado de México y Municipios y por tant</w:t>
      </w:r>
      <w:r w:rsidR="00A47DDB">
        <w:rPr>
          <w:rFonts w:ascii="Palatino Linotype" w:eastAsia="Palatino Linotype" w:hAnsi="Palatino Linotype" w:cs="Palatino Linotype"/>
        </w:rPr>
        <w:t>o, procede su eliminación de la versión pública</w:t>
      </w:r>
      <w:r>
        <w:rPr>
          <w:rFonts w:ascii="Palatino Linotype" w:eastAsia="Palatino Linotype" w:hAnsi="Palatino Linotype" w:cs="Palatino Linotype"/>
        </w:rPr>
        <w:t xml:space="preserve">. </w:t>
      </w:r>
    </w:p>
    <w:p w14:paraId="09642E5D" w14:textId="77777777" w:rsidR="00F2419E" w:rsidRDefault="00F2419E">
      <w:pPr>
        <w:spacing w:line="360" w:lineRule="auto"/>
        <w:jc w:val="both"/>
        <w:rPr>
          <w:rFonts w:ascii="Palatino Linotype" w:eastAsia="Palatino Linotype" w:hAnsi="Palatino Linotype" w:cs="Palatino Linotype"/>
        </w:rPr>
      </w:pPr>
    </w:p>
    <w:p w14:paraId="6353659F" w14:textId="77777777" w:rsidR="00F2419E" w:rsidRDefault="0034450F">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Es de señalar, que si bien es cierto en el resto del documento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clasificó el nombre de una de las personas que intervienen en la integración y constitución de la COMERCIALIZADORA MACANO SOCIEDAD ANÓMINA DE CAPITAL VARIBLE, en la página uno del documento, previo a la DECLARACIONES se dejó visible del nombre de la persona a la que no le fue otorgado el poder y representatividad de dicha Sociedad. </w:t>
      </w:r>
    </w:p>
    <w:p w14:paraId="116E7BAD" w14:textId="77777777" w:rsidR="00F2419E" w:rsidRDefault="00F2419E">
      <w:pPr>
        <w:spacing w:line="360" w:lineRule="auto"/>
        <w:jc w:val="both"/>
        <w:rPr>
          <w:rFonts w:ascii="Palatino Linotype" w:eastAsia="Palatino Linotype" w:hAnsi="Palatino Linotype" w:cs="Palatino Linotype"/>
        </w:rPr>
      </w:pPr>
    </w:p>
    <w:p w14:paraId="568B5970" w14:textId="77777777" w:rsidR="00F2419E" w:rsidRDefault="0034450F">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rPr>
        <w:t xml:space="preserve">Asimismo, es oportuno referir, que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remitió el archivo denominado </w:t>
      </w:r>
      <w:r>
        <w:rPr>
          <w:rFonts w:ascii="Palatino Linotype" w:eastAsia="Palatino Linotype" w:hAnsi="Palatino Linotype" w:cs="Palatino Linotype"/>
          <w:b/>
          <w:i/>
          <w:color w:val="000000"/>
        </w:rPr>
        <w:t xml:space="preserve">Razonamiento lógico que demuestra que la propuesta de clasificación como confidencial encuadra en la hipótesis 143 fr I.pdf” </w:t>
      </w:r>
      <w:r>
        <w:rPr>
          <w:rFonts w:ascii="Palatino Linotype" w:eastAsia="Palatino Linotype" w:hAnsi="Palatino Linotype" w:cs="Palatino Linotype"/>
          <w:color w:val="000000"/>
        </w:rPr>
        <w:t xml:space="preserve">en el que se advierte el oficio 219C0117/534/2022 del 22 de marzo de dos mil veintidós, suscrito por el Director de Administración y Finanzas, dirigido al Jefe de la Unidad de Información, Planeación, Programación y Evaluación y Titular de la Unidad de Transparencia de la Comisión del Agua del Estado de México, por medio del cual solicitó se convoque al Comité de Transparencia para que, en su caso, apruebe, modifique o revoque la </w:t>
      </w:r>
      <w:r>
        <w:rPr>
          <w:rFonts w:ascii="Palatino Linotype" w:eastAsia="Palatino Linotype" w:hAnsi="Palatino Linotype" w:cs="Palatino Linotype"/>
          <w:color w:val="000000"/>
        </w:rPr>
        <w:lastRenderedPageBreak/>
        <w:t xml:space="preserve">propuesta de clasificación de la información como confidencial que propone; documento al que adjuntó la propuesta de clasificación de la información como confidencial. </w:t>
      </w:r>
    </w:p>
    <w:p w14:paraId="3AF3035E" w14:textId="77777777" w:rsidR="00F2419E" w:rsidRDefault="00F2419E">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17D4F349" w14:textId="77777777" w:rsidR="00F2419E" w:rsidRDefault="0034450F">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No obstante, de acuerdo a las constancias que obran el Sistema de Acceso a la Información Mexiq</w:t>
      </w:r>
      <w:r w:rsidR="00A47DDB">
        <w:rPr>
          <w:rFonts w:ascii="Palatino Linotype" w:eastAsia="Palatino Linotype" w:hAnsi="Palatino Linotype" w:cs="Palatino Linotype"/>
          <w:color w:val="000000"/>
        </w:rPr>
        <w:t xml:space="preserve">uense (SAIMEX) se advierte </w:t>
      </w:r>
      <w:r>
        <w:rPr>
          <w:rFonts w:ascii="Palatino Linotype" w:eastAsia="Palatino Linotype" w:hAnsi="Palatino Linotype" w:cs="Palatino Linotype"/>
          <w:color w:val="000000"/>
        </w:rPr>
        <w:t>que</w:t>
      </w:r>
      <w:r w:rsidR="00A47DDB">
        <w:rPr>
          <w:rFonts w:ascii="Palatino Linotype" w:eastAsia="Palatino Linotype" w:hAnsi="Palatino Linotype" w:cs="Palatino Linotype"/>
          <w:color w:val="000000"/>
        </w:rPr>
        <w:t xml:space="preserve">, </w:t>
      </w:r>
      <w:r>
        <w:rPr>
          <w:rFonts w:ascii="Palatino Linotype" w:eastAsia="Palatino Linotype" w:hAnsi="Palatino Linotype" w:cs="Palatino Linotype"/>
          <w:color w:val="000000"/>
        </w:rPr>
        <w:t xml:space="preserve"> el </w:t>
      </w:r>
      <w:r>
        <w:rPr>
          <w:rFonts w:ascii="Palatino Linotype" w:eastAsia="Palatino Linotype" w:hAnsi="Palatino Linotype" w:cs="Palatino Linotype"/>
          <w:b/>
          <w:color w:val="000000"/>
        </w:rPr>
        <w:t xml:space="preserve">SUJETO OBLIGADO </w:t>
      </w:r>
      <w:r>
        <w:rPr>
          <w:rFonts w:ascii="Palatino Linotype" w:eastAsia="Palatino Linotype" w:hAnsi="Palatino Linotype" w:cs="Palatino Linotype"/>
          <w:color w:val="000000"/>
        </w:rPr>
        <w:t xml:space="preserve">no remitió el Acta del Comité de Transparencia que sustente la clasificación de los datos como información confidencial propuesta por el Servidor Público Habilitado. </w:t>
      </w:r>
    </w:p>
    <w:p w14:paraId="5F85EB98" w14:textId="77777777" w:rsidR="00F2419E" w:rsidRDefault="00F2419E">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2FAC0946" w14:textId="77777777" w:rsidR="00F2419E" w:rsidRDefault="0034450F">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Cabe precisar, que a través del acta constitutiva se nombró como administrador único a Edith Fabiola Catillo González, quien representó a la Comercializadora en tanto en la licitación como en la celebración de los contratos de servicios; en ejercicio de lo</w:t>
      </w:r>
      <w:r w:rsidR="00A47DDB">
        <w:rPr>
          <w:rFonts w:ascii="Palatino Linotype" w:eastAsia="Palatino Linotype" w:hAnsi="Palatino Linotype" w:cs="Palatino Linotype"/>
          <w:color w:val="000000"/>
        </w:rPr>
        <w:t xml:space="preserve">s </w:t>
      </w:r>
      <w:r>
        <w:rPr>
          <w:rFonts w:ascii="Palatino Linotype" w:eastAsia="Palatino Linotype" w:hAnsi="Palatino Linotype" w:cs="Palatino Linotype"/>
          <w:color w:val="000000"/>
        </w:rPr>
        <w:t xml:space="preserve">poderes y facultades que se le otorgaron a través del instrumento ya referido, siendo los siguientes: </w:t>
      </w:r>
    </w:p>
    <w:p w14:paraId="75ECA136" w14:textId="77777777" w:rsidR="00F2419E" w:rsidRDefault="00F2419E">
      <w:pPr>
        <w:pBdr>
          <w:top w:val="nil"/>
          <w:left w:val="nil"/>
          <w:bottom w:val="nil"/>
          <w:right w:val="nil"/>
          <w:between w:val="nil"/>
        </w:pBdr>
        <w:spacing w:line="360" w:lineRule="auto"/>
        <w:jc w:val="both"/>
        <w:rPr>
          <w:rFonts w:ascii="Palatino Linotype" w:eastAsia="Palatino Linotype" w:hAnsi="Palatino Linotype" w:cs="Palatino Linotype"/>
        </w:rPr>
      </w:pPr>
    </w:p>
    <w:p w14:paraId="11F18C35" w14:textId="77777777" w:rsidR="00F2419E" w:rsidRDefault="0034450F">
      <w:pPr>
        <w:numPr>
          <w:ilvl w:val="0"/>
          <w:numId w:val="5"/>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Poder general para </w:t>
      </w:r>
      <w:r>
        <w:rPr>
          <w:rFonts w:ascii="Palatino Linotype" w:eastAsia="Palatino Linotype" w:hAnsi="Palatino Linotype" w:cs="Palatino Linotype"/>
        </w:rPr>
        <w:t>pleitos</w:t>
      </w:r>
      <w:r>
        <w:rPr>
          <w:rFonts w:ascii="Palatino Linotype" w:eastAsia="Palatino Linotype" w:hAnsi="Palatino Linotype" w:cs="Palatino Linotype"/>
          <w:color w:val="000000"/>
        </w:rPr>
        <w:t xml:space="preserve"> y cobranzas; </w:t>
      </w:r>
    </w:p>
    <w:p w14:paraId="7A9C7CD5" w14:textId="77777777" w:rsidR="00F2419E" w:rsidRDefault="0034450F">
      <w:pPr>
        <w:numPr>
          <w:ilvl w:val="0"/>
          <w:numId w:val="5"/>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Poder general para actos de administración; </w:t>
      </w:r>
    </w:p>
    <w:p w14:paraId="606DDE54" w14:textId="77777777" w:rsidR="00F2419E" w:rsidRDefault="0034450F">
      <w:pPr>
        <w:numPr>
          <w:ilvl w:val="0"/>
          <w:numId w:val="5"/>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Poder en materia laboral; </w:t>
      </w:r>
    </w:p>
    <w:p w14:paraId="71F72C88" w14:textId="77777777" w:rsidR="00F2419E" w:rsidRDefault="0034450F">
      <w:pPr>
        <w:numPr>
          <w:ilvl w:val="0"/>
          <w:numId w:val="5"/>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Poder general para actos de dominio; y, </w:t>
      </w:r>
    </w:p>
    <w:p w14:paraId="32744C73" w14:textId="77777777" w:rsidR="00F2419E" w:rsidRDefault="0034450F">
      <w:pPr>
        <w:numPr>
          <w:ilvl w:val="0"/>
          <w:numId w:val="5"/>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Poder para otorgar, endosar, a</w:t>
      </w:r>
      <w:r w:rsidR="00A47DDB">
        <w:rPr>
          <w:rFonts w:ascii="Palatino Linotype" w:eastAsia="Palatino Linotype" w:hAnsi="Palatino Linotype" w:cs="Palatino Linotype"/>
          <w:color w:val="000000"/>
        </w:rPr>
        <w:t xml:space="preserve">valar y en general suscribir y </w:t>
      </w:r>
      <w:r>
        <w:rPr>
          <w:rFonts w:ascii="Palatino Linotype" w:eastAsia="Palatino Linotype" w:hAnsi="Palatino Linotype" w:cs="Palatino Linotype"/>
          <w:color w:val="000000"/>
        </w:rPr>
        <w:t xml:space="preserve">negociar títulos de crédito. </w:t>
      </w:r>
    </w:p>
    <w:p w14:paraId="32A5B91C" w14:textId="77777777" w:rsidR="00F2419E" w:rsidRDefault="00F2419E">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1ABB3F24" w14:textId="77777777" w:rsidR="00F2419E" w:rsidRDefault="0034450F">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Por consiguiente, atendiendo estas consideraciones, el Pleno de este Instituto determina dable ordenar la entrega del acta constitutiva de la Comercializadora </w:t>
      </w:r>
      <w:r>
        <w:rPr>
          <w:rFonts w:ascii="Palatino Linotype" w:eastAsia="Palatino Linotype" w:hAnsi="Palatino Linotype" w:cs="Palatino Linotype"/>
          <w:color w:val="000000"/>
        </w:rPr>
        <w:lastRenderedPageBreak/>
        <w:t xml:space="preserve">Macano S.A. de C.V. en una correcta versión pública; así como el Acuerdo del Comité de </w:t>
      </w:r>
      <w:r>
        <w:rPr>
          <w:rFonts w:ascii="Palatino Linotype" w:eastAsia="Palatino Linotype" w:hAnsi="Palatino Linotype" w:cs="Palatino Linotype"/>
        </w:rPr>
        <w:t>Transparencia</w:t>
      </w:r>
      <w:r>
        <w:rPr>
          <w:rFonts w:ascii="Palatino Linotype" w:eastAsia="Palatino Linotype" w:hAnsi="Palatino Linotype" w:cs="Palatino Linotype"/>
          <w:color w:val="000000"/>
        </w:rPr>
        <w:t xml:space="preserve"> que sustente la clasificación de la información como confidencial en el que se atiendan las formalidades establecidas en la Ley en la Materia y que se precisan en el Considerando Quinto relativo a la versión pública.</w:t>
      </w:r>
    </w:p>
    <w:p w14:paraId="1C7204FF" w14:textId="77777777" w:rsidR="00F2419E" w:rsidRDefault="00F2419E">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5D3677F6" w14:textId="77777777" w:rsidR="00F2419E" w:rsidRDefault="0034450F">
      <w:pPr>
        <w:spacing w:line="360" w:lineRule="auto"/>
        <w:jc w:val="both"/>
        <w:rPr>
          <w:rFonts w:ascii="Palatino Linotype" w:eastAsia="Palatino Linotype" w:hAnsi="Palatino Linotype" w:cs="Palatino Linotype"/>
          <w:i/>
        </w:rPr>
      </w:pPr>
      <w:r>
        <w:rPr>
          <w:rFonts w:ascii="Palatino Linotype" w:eastAsia="Palatino Linotype" w:hAnsi="Palatino Linotype" w:cs="Palatino Linotype"/>
          <w:color w:val="000000"/>
        </w:rPr>
        <w:t xml:space="preserve">Ahora bien, por cuanto hace a la información requerida en el numeral 4 inciso a) del cuadro de análisis referente a: </w:t>
      </w:r>
      <w:r>
        <w:rPr>
          <w:rFonts w:ascii="Palatino Linotype" w:eastAsia="Palatino Linotype" w:hAnsi="Palatino Linotype" w:cs="Palatino Linotype"/>
          <w:i/>
        </w:rPr>
        <w:t>Detalle de cada una de las operaciones efectuadas durante el ejercicio fiscal 2021 con la empresa Comercializadora Macano, S.A. de C.V. por mantenimiento mecánico, en la cual se especifique de forma clara la siguiente información:</w:t>
      </w:r>
    </w:p>
    <w:p w14:paraId="0DA50398" w14:textId="77777777" w:rsidR="00F2419E" w:rsidRDefault="00F2419E">
      <w:pPr>
        <w:spacing w:line="360" w:lineRule="auto"/>
        <w:jc w:val="both"/>
        <w:rPr>
          <w:rFonts w:ascii="Palatino Linotype" w:eastAsia="Palatino Linotype" w:hAnsi="Palatino Linotype" w:cs="Palatino Linotype"/>
          <w:i/>
        </w:rPr>
      </w:pPr>
    </w:p>
    <w:p w14:paraId="0E878EED" w14:textId="77777777" w:rsidR="00F2419E" w:rsidRDefault="0034450F">
      <w:pPr>
        <w:numPr>
          <w:ilvl w:val="0"/>
          <w:numId w:val="6"/>
        </w:numPr>
        <w:pBdr>
          <w:top w:val="nil"/>
          <w:left w:val="nil"/>
          <w:bottom w:val="nil"/>
          <w:right w:val="nil"/>
          <w:between w:val="nil"/>
        </w:pBdr>
        <w:spacing w:line="360" w:lineRule="auto"/>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 xml:space="preserve">Concentrado en el cual se especifique la fecha, número económico de la unidad, tipo (auto, camioneta, equipo pesado), marca, modelo, placas, numero orden de servicio, descripción de la orden de servicio donde se especifiquen los trabajos realizados, monto y dirección a la cual pertenece la unidad, numero de Factura, y cantidad pagada. </w:t>
      </w:r>
    </w:p>
    <w:p w14:paraId="0182D020" w14:textId="77777777" w:rsidR="00F2419E" w:rsidRDefault="00F2419E">
      <w:pPr>
        <w:pBdr>
          <w:top w:val="nil"/>
          <w:left w:val="nil"/>
          <w:bottom w:val="nil"/>
          <w:right w:val="nil"/>
          <w:between w:val="nil"/>
        </w:pBdr>
        <w:spacing w:line="360" w:lineRule="auto"/>
        <w:ind w:left="360"/>
        <w:jc w:val="both"/>
        <w:rPr>
          <w:rFonts w:ascii="Palatino Linotype" w:eastAsia="Palatino Linotype" w:hAnsi="Palatino Linotype" w:cs="Palatino Linotype"/>
          <w:i/>
          <w:color w:val="000000"/>
        </w:rPr>
      </w:pPr>
    </w:p>
    <w:p w14:paraId="12770DAE" w14:textId="77777777" w:rsidR="00F2419E" w:rsidRDefault="0034450F">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El </w:t>
      </w:r>
      <w:r>
        <w:rPr>
          <w:rFonts w:ascii="Palatino Linotype" w:eastAsia="Palatino Linotype" w:hAnsi="Palatino Linotype" w:cs="Palatino Linotype"/>
          <w:b/>
          <w:color w:val="000000"/>
        </w:rPr>
        <w:t xml:space="preserve">SUJETO OBLIGADO </w:t>
      </w:r>
      <w:r>
        <w:rPr>
          <w:rFonts w:ascii="Palatino Linotype" w:eastAsia="Palatino Linotype" w:hAnsi="Palatino Linotype" w:cs="Palatino Linotype"/>
          <w:color w:val="000000"/>
        </w:rPr>
        <w:t xml:space="preserve">entregó en informe justificado el archivo electrónico identificado como </w:t>
      </w:r>
      <w:r>
        <w:rPr>
          <w:rFonts w:ascii="Palatino Linotype" w:eastAsia="Palatino Linotype" w:hAnsi="Palatino Linotype" w:cs="Palatino Linotype"/>
          <w:b/>
          <w:i/>
          <w:color w:val="000000"/>
        </w:rPr>
        <w:t>“CONCENTRADO PAGOS MACANO.pdf”</w:t>
      </w:r>
      <w:r w:rsidR="00A47DDB">
        <w:rPr>
          <w:rFonts w:ascii="Palatino Linotype" w:eastAsia="Palatino Linotype" w:hAnsi="Palatino Linotype" w:cs="Palatino Linotype"/>
          <w:b/>
          <w:i/>
          <w:color w:val="000000"/>
        </w:rPr>
        <w:t>;</w:t>
      </w:r>
      <w:r>
        <w:rPr>
          <w:rFonts w:ascii="Palatino Linotype" w:eastAsia="Palatino Linotype" w:hAnsi="Palatino Linotype" w:cs="Palatino Linotype"/>
          <w:b/>
          <w:color w:val="000000"/>
        </w:rPr>
        <w:t xml:space="preserve"> </w:t>
      </w:r>
      <w:r>
        <w:rPr>
          <w:rFonts w:ascii="Palatino Linotype" w:eastAsia="Palatino Linotype" w:hAnsi="Palatino Linotype" w:cs="Palatino Linotype"/>
          <w:color w:val="000000"/>
        </w:rPr>
        <w:t>documento integrado por 43 páginas en las que se advierte una relación</w:t>
      </w:r>
      <w:r w:rsidR="00A47DDB">
        <w:rPr>
          <w:rFonts w:ascii="Palatino Linotype" w:eastAsia="Palatino Linotype" w:hAnsi="Palatino Linotype" w:cs="Palatino Linotype"/>
          <w:color w:val="000000"/>
        </w:rPr>
        <w:t xml:space="preserve"> en la que describen los siguientes datos: </w:t>
      </w:r>
      <w:r>
        <w:rPr>
          <w:rFonts w:ascii="Palatino Linotype" w:eastAsia="Palatino Linotype" w:hAnsi="Palatino Linotype" w:cs="Palatino Linotype"/>
          <w:color w:val="000000"/>
        </w:rPr>
        <w:t xml:space="preserve">fecha de elaboración de la orden de servicio, el número económico, tipo (auto, camioneta, equipo pesado) marca, modelo, placas, descripción de la orden, importe, centro de costos, número de factura, numero de transferencia, </w:t>
      </w:r>
      <w:r>
        <w:rPr>
          <w:rFonts w:ascii="Palatino Linotype" w:eastAsia="Palatino Linotype" w:hAnsi="Palatino Linotype" w:cs="Palatino Linotype"/>
        </w:rPr>
        <w:t>número</w:t>
      </w:r>
      <w:r>
        <w:rPr>
          <w:rFonts w:ascii="Palatino Linotype" w:eastAsia="Palatino Linotype" w:hAnsi="Palatino Linotype" w:cs="Palatino Linotype"/>
          <w:color w:val="000000"/>
        </w:rPr>
        <w:t xml:space="preserve"> de cheque  y cuenta por pagar,  y que para efectos ejemplificativos se inserta en el presente la primera página del documento. </w:t>
      </w:r>
    </w:p>
    <w:p w14:paraId="7C548C92" w14:textId="77777777" w:rsidR="00F2419E" w:rsidRDefault="00F2419E">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52A1C9DE" w14:textId="77777777" w:rsidR="00F2419E" w:rsidRDefault="0034450F">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noProof/>
          <w:color w:val="000000"/>
          <w:lang w:val="es-MX"/>
        </w:rPr>
        <w:lastRenderedPageBreak/>
        <w:drawing>
          <wp:inline distT="0" distB="0" distL="0" distR="0" wp14:anchorId="3205173E" wp14:editId="08596AB0">
            <wp:extent cx="5612130" cy="4145915"/>
            <wp:effectExtent l="0" t="0" r="0" b="0"/>
            <wp:docPr id="4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a:stretch>
                      <a:fillRect/>
                    </a:stretch>
                  </pic:blipFill>
                  <pic:spPr>
                    <a:xfrm>
                      <a:off x="0" y="0"/>
                      <a:ext cx="5612130" cy="4145915"/>
                    </a:xfrm>
                    <a:prstGeom prst="rect">
                      <a:avLst/>
                    </a:prstGeom>
                    <a:ln/>
                  </pic:spPr>
                </pic:pic>
              </a:graphicData>
            </a:graphic>
          </wp:inline>
        </w:drawing>
      </w:r>
    </w:p>
    <w:p w14:paraId="23CA1F72" w14:textId="77777777" w:rsidR="00A47DDB" w:rsidRDefault="0034450F">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Es así, que si bien es cierto, en respuesta a la solicitud de información, el </w:t>
      </w:r>
      <w:r>
        <w:rPr>
          <w:rFonts w:ascii="Palatino Linotype" w:eastAsia="Palatino Linotype" w:hAnsi="Palatino Linotype" w:cs="Palatino Linotype"/>
          <w:b/>
          <w:color w:val="000000"/>
        </w:rPr>
        <w:t xml:space="preserve">SUJETO OBLIGADO </w:t>
      </w:r>
      <w:r>
        <w:rPr>
          <w:rFonts w:ascii="Palatino Linotype" w:eastAsia="Palatino Linotype" w:hAnsi="Palatino Linotype" w:cs="Palatino Linotype"/>
          <w:color w:val="000000"/>
        </w:rPr>
        <w:t xml:space="preserve">omitió enviar el documento antes descrito, también lo que, a través del informe justificado, atendió cada uno de los puntos requeridos por el entonces solicitante en este rubro. </w:t>
      </w:r>
    </w:p>
    <w:p w14:paraId="1C250B11" w14:textId="77777777" w:rsidR="00FC59BF" w:rsidRDefault="00FC59BF">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54265CEC" w14:textId="77777777" w:rsidR="00A47DDB" w:rsidRDefault="00FC59BF" w:rsidP="00FC59BF">
      <w:pPr>
        <w:spacing w:before="240" w:after="240" w:line="360" w:lineRule="auto"/>
        <w:jc w:val="both"/>
        <w:rPr>
          <w:rFonts w:ascii="Palatino Linotype" w:eastAsia="Palatino Linotype" w:hAnsi="Palatino Linotype" w:cs="Palatino Linotype"/>
          <w:color w:val="000000"/>
        </w:rPr>
      </w:pPr>
      <w:r w:rsidRPr="00893D89">
        <w:rPr>
          <w:rFonts w:ascii="Palatino Linotype" w:eastAsia="Palatino Linotype" w:hAnsi="Palatino Linotype" w:cs="Palatino Linotype"/>
        </w:rPr>
        <w:t xml:space="preserve">No obstante de lo anterior, no escapa de la óptica de este Organismo Garante que la Unidad de Transparencia, en observancia de lo previsto en los artículos 53, fracción </w:t>
      </w:r>
      <w:r w:rsidRPr="00893D89">
        <w:rPr>
          <w:rFonts w:ascii="Palatino Linotype" w:eastAsia="Palatino Linotype" w:hAnsi="Palatino Linotype" w:cs="Palatino Linotype"/>
        </w:rPr>
        <w:lastRenderedPageBreak/>
        <w:t>II</w:t>
      </w:r>
      <w:r w:rsidRPr="00893D89">
        <w:rPr>
          <w:rFonts w:ascii="Palatino Linotype" w:eastAsia="Palatino Linotype" w:hAnsi="Palatino Linotype" w:cs="Palatino Linotype"/>
          <w:vertAlign w:val="superscript"/>
        </w:rPr>
        <w:footnoteReference w:id="3"/>
      </w:r>
      <w:r w:rsidRPr="00893D89">
        <w:rPr>
          <w:rFonts w:ascii="Palatino Linotype" w:eastAsia="Palatino Linotype" w:hAnsi="Palatino Linotype" w:cs="Palatino Linotype"/>
        </w:rPr>
        <w:t xml:space="preserve"> y 162</w:t>
      </w:r>
      <w:r w:rsidRPr="00893D89">
        <w:rPr>
          <w:rFonts w:ascii="Palatino Linotype" w:eastAsia="Palatino Linotype" w:hAnsi="Palatino Linotype" w:cs="Palatino Linotype"/>
          <w:vertAlign w:val="superscript"/>
        </w:rPr>
        <w:footnoteReference w:id="4"/>
      </w:r>
      <w:r w:rsidRPr="00893D89">
        <w:rPr>
          <w:rFonts w:ascii="Palatino Linotype" w:eastAsia="Palatino Linotype" w:hAnsi="Palatino Linotype" w:cs="Palatino Linotype"/>
        </w:rPr>
        <w:t xml:space="preserve"> de la Ley de Transparencia y Acceso a la Información Pública del Estado de México y Municipios, turnó la solicitud de información </w:t>
      </w:r>
      <w:r>
        <w:rPr>
          <w:rFonts w:ascii="Palatino Linotype" w:eastAsia="Palatino Linotype" w:hAnsi="Palatino Linotype" w:cs="Palatino Linotype"/>
        </w:rPr>
        <w:t>a la Dirección General de Administración y Fianzas</w:t>
      </w:r>
      <w:r w:rsidRPr="00893D89">
        <w:rPr>
          <w:rFonts w:ascii="Palatino Linotype" w:eastAsia="Palatino Linotype" w:hAnsi="Palatino Linotype" w:cs="Palatino Linotype"/>
        </w:rPr>
        <w:t xml:space="preserve">, área que se encuentra facultada </w:t>
      </w:r>
      <w:r>
        <w:rPr>
          <w:rFonts w:ascii="Palatino Linotype" w:eastAsia="Palatino Linotype" w:hAnsi="Palatino Linotype" w:cs="Palatino Linotype"/>
        </w:rPr>
        <w:t>para presidir la celebración de concursos y la adjudicación de contratos para la adquisición de bienes o contratación de servicios y supervisar que se lleven a cabo conforme a la normatividad en la materia, como se desprende d</w:t>
      </w:r>
      <w:r w:rsidR="004227FF">
        <w:rPr>
          <w:rFonts w:ascii="Palatino Linotype" w:eastAsia="Palatino Linotype" w:hAnsi="Palatino Linotype" w:cs="Palatino Linotype"/>
          <w:color w:val="000000"/>
        </w:rPr>
        <w:t>el Manual General de Organización de la Comisión del Agua de Estado de M</w:t>
      </w:r>
      <w:r>
        <w:rPr>
          <w:rFonts w:ascii="Palatino Linotype" w:eastAsia="Palatino Linotype" w:hAnsi="Palatino Linotype" w:cs="Palatino Linotype"/>
          <w:color w:val="000000"/>
        </w:rPr>
        <w:t>éxico, que es del texto literal siguiente</w:t>
      </w:r>
      <w:r w:rsidR="004227FF">
        <w:rPr>
          <w:rFonts w:ascii="Palatino Linotype" w:eastAsia="Palatino Linotype" w:hAnsi="Palatino Linotype" w:cs="Palatino Linotype"/>
          <w:color w:val="000000"/>
        </w:rPr>
        <w:t xml:space="preserve">: </w:t>
      </w:r>
    </w:p>
    <w:p w14:paraId="5EC7AA17" w14:textId="77777777" w:rsidR="004227FF" w:rsidRPr="004227FF" w:rsidRDefault="004227FF" w:rsidP="004227FF">
      <w:pPr>
        <w:pBdr>
          <w:top w:val="nil"/>
          <w:left w:val="nil"/>
          <w:bottom w:val="nil"/>
          <w:right w:val="nil"/>
          <w:between w:val="nil"/>
        </w:pBdr>
        <w:spacing w:line="360" w:lineRule="auto"/>
        <w:ind w:left="851" w:right="616"/>
        <w:jc w:val="both"/>
        <w:rPr>
          <w:rFonts w:ascii="Palatino Linotype" w:hAnsi="Palatino Linotype"/>
          <w:b/>
          <w:i/>
          <w:sz w:val="22"/>
          <w:szCs w:val="22"/>
        </w:rPr>
      </w:pPr>
      <w:r>
        <w:rPr>
          <w:rFonts w:ascii="Palatino Linotype" w:hAnsi="Palatino Linotype"/>
          <w:b/>
          <w:i/>
          <w:sz w:val="22"/>
          <w:szCs w:val="22"/>
        </w:rPr>
        <w:t>“</w:t>
      </w:r>
      <w:r w:rsidRPr="004227FF">
        <w:rPr>
          <w:rFonts w:ascii="Palatino Linotype" w:hAnsi="Palatino Linotype"/>
          <w:b/>
          <w:i/>
          <w:sz w:val="22"/>
          <w:szCs w:val="22"/>
        </w:rPr>
        <w:t>229B60000 DIRECCIÓN GENERAL DE ADMINISTRACIÓN Y FINANZAS</w:t>
      </w:r>
    </w:p>
    <w:p w14:paraId="2CD524D3" w14:textId="77777777" w:rsidR="004227FF" w:rsidRPr="004227FF" w:rsidRDefault="004227FF" w:rsidP="004227FF">
      <w:pPr>
        <w:pBdr>
          <w:top w:val="nil"/>
          <w:left w:val="nil"/>
          <w:bottom w:val="nil"/>
          <w:right w:val="nil"/>
          <w:between w:val="nil"/>
        </w:pBdr>
        <w:spacing w:line="360" w:lineRule="auto"/>
        <w:ind w:left="851" w:right="616"/>
        <w:jc w:val="both"/>
        <w:rPr>
          <w:rFonts w:ascii="Palatino Linotype" w:hAnsi="Palatino Linotype"/>
          <w:i/>
          <w:sz w:val="22"/>
          <w:szCs w:val="22"/>
        </w:rPr>
      </w:pPr>
      <w:r w:rsidRPr="004227FF">
        <w:rPr>
          <w:rFonts w:ascii="Palatino Linotype" w:hAnsi="Palatino Linotype"/>
          <w:b/>
          <w:i/>
          <w:sz w:val="22"/>
          <w:szCs w:val="22"/>
        </w:rPr>
        <w:t>OBJETIVO:</w:t>
      </w:r>
      <w:r w:rsidRPr="004227FF">
        <w:rPr>
          <w:rFonts w:ascii="Palatino Linotype" w:hAnsi="Palatino Linotype"/>
          <w:i/>
          <w:sz w:val="22"/>
          <w:szCs w:val="22"/>
        </w:rPr>
        <w:t xml:space="preserve"> Establecer los planes y programas para la adecuada administración de los recursos financieros, humanos, materiales, técnicos y de servicios generales que requiere la Comisión para el desarrollo integral de sus funciones y realizar las actividades encomendadas por atribución fiscal. </w:t>
      </w:r>
    </w:p>
    <w:p w14:paraId="07F27EC9" w14:textId="77777777" w:rsidR="004227FF" w:rsidRPr="004227FF" w:rsidRDefault="004227FF" w:rsidP="004227FF">
      <w:pPr>
        <w:pBdr>
          <w:top w:val="nil"/>
          <w:left w:val="nil"/>
          <w:bottom w:val="nil"/>
          <w:right w:val="nil"/>
          <w:between w:val="nil"/>
        </w:pBdr>
        <w:spacing w:line="360" w:lineRule="auto"/>
        <w:ind w:left="851" w:right="616"/>
        <w:jc w:val="both"/>
        <w:rPr>
          <w:rFonts w:ascii="Palatino Linotype" w:hAnsi="Palatino Linotype"/>
          <w:b/>
          <w:i/>
          <w:sz w:val="22"/>
          <w:szCs w:val="22"/>
        </w:rPr>
      </w:pPr>
      <w:r w:rsidRPr="004227FF">
        <w:rPr>
          <w:rFonts w:ascii="Palatino Linotype" w:hAnsi="Palatino Linotype"/>
          <w:b/>
          <w:i/>
          <w:sz w:val="22"/>
          <w:szCs w:val="22"/>
        </w:rPr>
        <w:t>FUNCIONES</w:t>
      </w:r>
    </w:p>
    <w:p w14:paraId="7CF6871C" w14:textId="77777777" w:rsidR="004227FF" w:rsidRPr="004227FF" w:rsidRDefault="004227FF" w:rsidP="004227FF">
      <w:pPr>
        <w:pStyle w:val="Prrafodelista"/>
        <w:numPr>
          <w:ilvl w:val="0"/>
          <w:numId w:val="4"/>
        </w:numPr>
        <w:pBdr>
          <w:top w:val="nil"/>
          <w:left w:val="nil"/>
          <w:bottom w:val="nil"/>
          <w:right w:val="nil"/>
          <w:between w:val="nil"/>
        </w:pBdr>
        <w:spacing w:line="360" w:lineRule="auto"/>
        <w:ind w:right="616"/>
        <w:jc w:val="both"/>
        <w:rPr>
          <w:rFonts w:ascii="Palatino Linotype" w:eastAsia="Palatino Linotype" w:hAnsi="Palatino Linotype" w:cs="Palatino Linotype"/>
          <w:i/>
          <w:color w:val="000000"/>
          <w:sz w:val="22"/>
          <w:szCs w:val="22"/>
        </w:rPr>
      </w:pPr>
      <w:r w:rsidRPr="004227FF">
        <w:rPr>
          <w:rFonts w:ascii="Palatino Linotype" w:hAnsi="Palatino Linotype"/>
          <w:b/>
          <w:i/>
          <w:sz w:val="22"/>
          <w:szCs w:val="22"/>
        </w:rPr>
        <w:t>Planear el adecuado aprovechamiento de los recursos financieros</w:t>
      </w:r>
      <w:r w:rsidRPr="004227FF">
        <w:rPr>
          <w:rFonts w:ascii="Palatino Linotype" w:hAnsi="Palatino Linotype"/>
          <w:i/>
          <w:sz w:val="22"/>
          <w:szCs w:val="22"/>
        </w:rPr>
        <w:t xml:space="preserve">, materiales, técnicos y humanos de acuerdo con los planes y programas autorizados por el Consejo Directivo. </w:t>
      </w:r>
    </w:p>
    <w:p w14:paraId="18AA2FD1" w14:textId="77777777" w:rsidR="004227FF" w:rsidRPr="004227FF" w:rsidRDefault="004227FF" w:rsidP="004227FF">
      <w:pPr>
        <w:pStyle w:val="Prrafodelista"/>
        <w:numPr>
          <w:ilvl w:val="0"/>
          <w:numId w:val="4"/>
        </w:numPr>
        <w:pBdr>
          <w:top w:val="nil"/>
          <w:left w:val="nil"/>
          <w:bottom w:val="nil"/>
          <w:right w:val="nil"/>
          <w:between w:val="nil"/>
        </w:pBdr>
        <w:spacing w:line="360" w:lineRule="auto"/>
        <w:ind w:right="616"/>
        <w:jc w:val="both"/>
        <w:rPr>
          <w:rFonts w:ascii="Palatino Linotype" w:eastAsia="Palatino Linotype" w:hAnsi="Palatino Linotype" w:cs="Palatino Linotype"/>
          <w:i/>
          <w:color w:val="000000"/>
          <w:sz w:val="22"/>
          <w:szCs w:val="22"/>
        </w:rPr>
      </w:pPr>
      <w:r w:rsidRPr="004227FF">
        <w:rPr>
          <w:rFonts w:ascii="Palatino Linotype" w:hAnsi="Palatino Linotype"/>
          <w:b/>
          <w:i/>
          <w:sz w:val="22"/>
          <w:szCs w:val="22"/>
        </w:rPr>
        <w:t>Presentar el sistema anual actualizado de información presupuestal, financiero y administrativo</w:t>
      </w:r>
      <w:r w:rsidRPr="004227FF">
        <w:rPr>
          <w:rFonts w:ascii="Palatino Linotype" w:hAnsi="Palatino Linotype"/>
          <w:i/>
          <w:sz w:val="22"/>
          <w:szCs w:val="22"/>
        </w:rPr>
        <w:t xml:space="preserve"> a la Vocalía Ejecutiva para su aprobación ante el Consejo Directivo. </w:t>
      </w:r>
    </w:p>
    <w:p w14:paraId="53F9151B" w14:textId="77777777" w:rsidR="004227FF" w:rsidRPr="004227FF" w:rsidRDefault="004227FF" w:rsidP="004227FF">
      <w:pPr>
        <w:pStyle w:val="Prrafodelista"/>
        <w:numPr>
          <w:ilvl w:val="0"/>
          <w:numId w:val="4"/>
        </w:numPr>
        <w:pBdr>
          <w:top w:val="nil"/>
          <w:left w:val="nil"/>
          <w:bottom w:val="nil"/>
          <w:right w:val="nil"/>
          <w:between w:val="nil"/>
        </w:pBdr>
        <w:spacing w:line="360" w:lineRule="auto"/>
        <w:ind w:right="616"/>
        <w:jc w:val="both"/>
        <w:rPr>
          <w:rFonts w:ascii="Palatino Linotype" w:eastAsia="Palatino Linotype" w:hAnsi="Palatino Linotype" w:cs="Palatino Linotype"/>
          <w:b/>
          <w:i/>
          <w:color w:val="000000"/>
          <w:sz w:val="22"/>
          <w:szCs w:val="22"/>
        </w:rPr>
      </w:pPr>
      <w:r w:rsidRPr="004227FF">
        <w:rPr>
          <w:rFonts w:ascii="Palatino Linotype" w:hAnsi="Palatino Linotype"/>
          <w:i/>
          <w:sz w:val="22"/>
          <w:szCs w:val="22"/>
        </w:rPr>
        <w:lastRenderedPageBreak/>
        <w:t xml:space="preserve">Presentar anualmente, a la Secretaría de Finanzas, el </w:t>
      </w:r>
      <w:r w:rsidRPr="004227FF">
        <w:rPr>
          <w:rFonts w:ascii="Palatino Linotype" w:hAnsi="Palatino Linotype"/>
          <w:b/>
          <w:i/>
          <w:sz w:val="22"/>
          <w:szCs w:val="22"/>
        </w:rPr>
        <w:t xml:space="preserve">proyecto de presupuesto que contiene los planes de desarrollo administrativo, los programas operativos y de carácter prioritario para su implementación en la Comisión. </w:t>
      </w:r>
    </w:p>
    <w:p w14:paraId="15AB7EC8" w14:textId="77777777" w:rsidR="004227FF" w:rsidRPr="004227FF" w:rsidRDefault="004227FF" w:rsidP="004227FF">
      <w:pPr>
        <w:pStyle w:val="Prrafodelista"/>
        <w:numPr>
          <w:ilvl w:val="0"/>
          <w:numId w:val="4"/>
        </w:numPr>
        <w:pBdr>
          <w:top w:val="nil"/>
          <w:left w:val="nil"/>
          <w:bottom w:val="nil"/>
          <w:right w:val="nil"/>
          <w:between w:val="nil"/>
        </w:pBdr>
        <w:spacing w:line="360" w:lineRule="auto"/>
        <w:ind w:right="616"/>
        <w:jc w:val="both"/>
        <w:rPr>
          <w:rFonts w:ascii="Palatino Linotype" w:eastAsia="Palatino Linotype" w:hAnsi="Palatino Linotype" w:cs="Palatino Linotype"/>
          <w:b/>
          <w:i/>
          <w:color w:val="000000"/>
          <w:sz w:val="22"/>
          <w:szCs w:val="22"/>
        </w:rPr>
      </w:pPr>
      <w:r w:rsidRPr="004227FF">
        <w:rPr>
          <w:rFonts w:ascii="Palatino Linotype" w:hAnsi="Palatino Linotype"/>
          <w:b/>
          <w:i/>
          <w:sz w:val="22"/>
          <w:szCs w:val="22"/>
        </w:rPr>
        <w:t xml:space="preserve">Vigilar la formulación de los estados financieros, el avance y el comportamiento del ejercicio del presupuesto autorizado, así como presentar los informes correspondientes. </w:t>
      </w:r>
    </w:p>
    <w:p w14:paraId="6F2B8D8E" w14:textId="77777777" w:rsidR="004227FF" w:rsidRPr="004227FF" w:rsidRDefault="004227FF" w:rsidP="004227FF">
      <w:pPr>
        <w:pStyle w:val="Prrafodelista"/>
        <w:numPr>
          <w:ilvl w:val="0"/>
          <w:numId w:val="4"/>
        </w:numPr>
        <w:pBdr>
          <w:top w:val="nil"/>
          <w:left w:val="nil"/>
          <w:bottom w:val="nil"/>
          <w:right w:val="nil"/>
          <w:between w:val="nil"/>
        </w:pBdr>
        <w:spacing w:line="360" w:lineRule="auto"/>
        <w:ind w:right="616"/>
        <w:jc w:val="both"/>
        <w:rPr>
          <w:rFonts w:ascii="Palatino Linotype" w:eastAsia="Palatino Linotype" w:hAnsi="Palatino Linotype" w:cs="Palatino Linotype"/>
          <w:i/>
          <w:color w:val="000000"/>
          <w:sz w:val="22"/>
          <w:szCs w:val="22"/>
        </w:rPr>
      </w:pPr>
      <w:r w:rsidRPr="004227FF">
        <w:rPr>
          <w:rFonts w:ascii="Palatino Linotype" w:hAnsi="Palatino Linotype"/>
          <w:i/>
          <w:sz w:val="22"/>
          <w:szCs w:val="22"/>
        </w:rPr>
        <w:t xml:space="preserve">Determinar las políticas para la administración y desarrollo de los recursos humanos que laboran en la Comisión. </w:t>
      </w:r>
    </w:p>
    <w:p w14:paraId="74E264B0" w14:textId="77777777" w:rsidR="004227FF" w:rsidRPr="004227FF" w:rsidRDefault="004227FF" w:rsidP="004227FF">
      <w:pPr>
        <w:pStyle w:val="Prrafodelista"/>
        <w:numPr>
          <w:ilvl w:val="0"/>
          <w:numId w:val="4"/>
        </w:numPr>
        <w:pBdr>
          <w:top w:val="nil"/>
          <w:left w:val="nil"/>
          <w:bottom w:val="nil"/>
          <w:right w:val="nil"/>
          <w:between w:val="nil"/>
        </w:pBdr>
        <w:spacing w:line="360" w:lineRule="auto"/>
        <w:ind w:right="616"/>
        <w:jc w:val="both"/>
        <w:rPr>
          <w:rFonts w:ascii="Palatino Linotype" w:eastAsia="Palatino Linotype" w:hAnsi="Palatino Linotype" w:cs="Palatino Linotype"/>
          <w:i/>
          <w:color w:val="000000"/>
          <w:sz w:val="22"/>
          <w:szCs w:val="22"/>
        </w:rPr>
      </w:pPr>
      <w:r w:rsidRPr="004227FF">
        <w:rPr>
          <w:rFonts w:ascii="Palatino Linotype" w:hAnsi="Palatino Linotype"/>
          <w:i/>
          <w:sz w:val="22"/>
          <w:szCs w:val="22"/>
        </w:rPr>
        <w:t xml:space="preserve">Establecer los lineamientos generales de la política financiera al interior de la Comisión. </w:t>
      </w:r>
    </w:p>
    <w:p w14:paraId="2C3DA78E" w14:textId="77777777" w:rsidR="004227FF" w:rsidRPr="004227FF" w:rsidRDefault="004227FF" w:rsidP="004227FF">
      <w:pPr>
        <w:pStyle w:val="Prrafodelista"/>
        <w:numPr>
          <w:ilvl w:val="0"/>
          <w:numId w:val="4"/>
        </w:numPr>
        <w:pBdr>
          <w:top w:val="nil"/>
          <w:left w:val="nil"/>
          <w:bottom w:val="nil"/>
          <w:right w:val="nil"/>
          <w:between w:val="nil"/>
        </w:pBdr>
        <w:spacing w:line="360" w:lineRule="auto"/>
        <w:ind w:right="616"/>
        <w:jc w:val="both"/>
        <w:rPr>
          <w:rFonts w:ascii="Palatino Linotype" w:eastAsia="Palatino Linotype" w:hAnsi="Palatino Linotype" w:cs="Palatino Linotype"/>
          <w:i/>
          <w:color w:val="000000"/>
          <w:sz w:val="22"/>
          <w:szCs w:val="22"/>
        </w:rPr>
      </w:pPr>
      <w:r w:rsidRPr="004227FF">
        <w:rPr>
          <w:rFonts w:ascii="Palatino Linotype" w:hAnsi="Palatino Linotype"/>
          <w:i/>
          <w:sz w:val="22"/>
          <w:szCs w:val="22"/>
        </w:rPr>
        <w:t xml:space="preserve">Vigilar que se lleve a cabo desde su inicio hasta su terminación la substanciación de los procedimientos administrativos para la determinación de los créditos, así como el procedimiento administrativo de ejecución, de conformidad con la normatividad vigente en la materia. </w:t>
      </w:r>
    </w:p>
    <w:p w14:paraId="5451B08D" w14:textId="77777777" w:rsidR="004227FF" w:rsidRPr="004227FF" w:rsidRDefault="004227FF" w:rsidP="004227FF">
      <w:pPr>
        <w:pStyle w:val="Prrafodelista"/>
        <w:numPr>
          <w:ilvl w:val="0"/>
          <w:numId w:val="4"/>
        </w:numPr>
        <w:pBdr>
          <w:top w:val="nil"/>
          <w:left w:val="nil"/>
          <w:bottom w:val="nil"/>
          <w:right w:val="nil"/>
          <w:between w:val="nil"/>
        </w:pBdr>
        <w:spacing w:line="360" w:lineRule="auto"/>
        <w:ind w:right="616"/>
        <w:jc w:val="both"/>
        <w:rPr>
          <w:rFonts w:ascii="Palatino Linotype" w:eastAsia="Palatino Linotype" w:hAnsi="Palatino Linotype" w:cs="Palatino Linotype"/>
          <w:i/>
          <w:color w:val="000000"/>
          <w:sz w:val="22"/>
          <w:szCs w:val="22"/>
        </w:rPr>
      </w:pPr>
      <w:r w:rsidRPr="004227FF">
        <w:rPr>
          <w:rFonts w:ascii="Palatino Linotype" w:hAnsi="Palatino Linotype"/>
          <w:i/>
          <w:sz w:val="22"/>
          <w:szCs w:val="22"/>
        </w:rPr>
        <w:t xml:space="preserve">Supervisar que se realice la determinación, en la liquidación de los créditos fiscales, de recargos, multas y demás accesorios legales, así como sus correspondientes notificaciones. </w:t>
      </w:r>
    </w:p>
    <w:p w14:paraId="5CEEF361" w14:textId="77777777" w:rsidR="004227FF" w:rsidRPr="004227FF" w:rsidRDefault="004227FF" w:rsidP="004227FF">
      <w:pPr>
        <w:pStyle w:val="Prrafodelista"/>
        <w:numPr>
          <w:ilvl w:val="0"/>
          <w:numId w:val="4"/>
        </w:numPr>
        <w:pBdr>
          <w:top w:val="nil"/>
          <w:left w:val="nil"/>
          <w:bottom w:val="nil"/>
          <w:right w:val="nil"/>
          <w:between w:val="nil"/>
        </w:pBdr>
        <w:spacing w:line="360" w:lineRule="auto"/>
        <w:ind w:right="616"/>
        <w:jc w:val="both"/>
        <w:rPr>
          <w:rFonts w:ascii="Palatino Linotype" w:eastAsia="Palatino Linotype" w:hAnsi="Palatino Linotype" w:cs="Palatino Linotype"/>
          <w:i/>
          <w:color w:val="000000"/>
          <w:sz w:val="22"/>
          <w:szCs w:val="22"/>
        </w:rPr>
      </w:pPr>
      <w:r w:rsidRPr="004227FF">
        <w:rPr>
          <w:rFonts w:ascii="Palatino Linotype" w:hAnsi="Palatino Linotype"/>
          <w:i/>
          <w:sz w:val="22"/>
          <w:szCs w:val="22"/>
        </w:rPr>
        <w:t xml:space="preserve">Supervisar que la adquisición de materiales e insumos se lleve a cabo con oportunidad, para proporcionarlos a las unidades administrativas de la Comisión que así lo soliciten. </w:t>
      </w:r>
    </w:p>
    <w:p w14:paraId="55FBA821" w14:textId="77777777" w:rsidR="004227FF" w:rsidRPr="004227FF" w:rsidRDefault="004227FF" w:rsidP="004227FF">
      <w:pPr>
        <w:pStyle w:val="Prrafodelista"/>
        <w:numPr>
          <w:ilvl w:val="0"/>
          <w:numId w:val="4"/>
        </w:numPr>
        <w:pBdr>
          <w:top w:val="nil"/>
          <w:left w:val="nil"/>
          <w:bottom w:val="nil"/>
          <w:right w:val="nil"/>
          <w:between w:val="nil"/>
        </w:pBdr>
        <w:spacing w:line="360" w:lineRule="auto"/>
        <w:ind w:right="616"/>
        <w:jc w:val="both"/>
        <w:rPr>
          <w:rFonts w:ascii="Palatino Linotype" w:eastAsia="Palatino Linotype" w:hAnsi="Palatino Linotype" w:cs="Palatino Linotype"/>
          <w:i/>
          <w:color w:val="000000"/>
          <w:sz w:val="22"/>
          <w:szCs w:val="22"/>
        </w:rPr>
      </w:pPr>
      <w:r w:rsidRPr="004227FF">
        <w:rPr>
          <w:rFonts w:ascii="Palatino Linotype" w:hAnsi="Palatino Linotype"/>
          <w:b/>
          <w:i/>
          <w:sz w:val="22"/>
          <w:szCs w:val="22"/>
          <w:u w:val="single"/>
        </w:rPr>
        <w:t>Presidir la celebración de concursos y la adjudicación de contratos para la adquisición de bienes o contratación de servicios y supervisar que se lleven a cabo conforme a la normatividad establecida en la materia</w:t>
      </w:r>
      <w:r w:rsidRPr="004227FF">
        <w:rPr>
          <w:rFonts w:ascii="Palatino Linotype" w:hAnsi="Palatino Linotype"/>
          <w:i/>
          <w:sz w:val="22"/>
          <w:szCs w:val="22"/>
        </w:rPr>
        <w:t xml:space="preserve">. </w:t>
      </w:r>
    </w:p>
    <w:p w14:paraId="326DD64D" w14:textId="77777777" w:rsidR="004227FF" w:rsidRPr="004227FF" w:rsidRDefault="004227FF" w:rsidP="004227FF">
      <w:pPr>
        <w:pStyle w:val="Prrafodelista"/>
        <w:numPr>
          <w:ilvl w:val="0"/>
          <w:numId w:val="4"/>
        </w:numPr>
        <w:pBdr>
          <w:top w:val="nil"/>
          <w:left w:val="nil"/>
          <w:bottom w:val="nil"/>
          <w:right w:val="nil"/>
          <w:between w:val="nil"/>
        </w:pBdr>
        <w:spacing w:line="360" w:lineRule="auto"/>
        <w:ind w:right="616"/>
        <w:jc w:val="both"/>
        <w:rPr>
          <w:rFonts w:ascii="Palatino Linotype" w:eastAsia="Palatino Linotype" w:hAnsi="Palatino Linotype" w:cs="Palatino Linotype"/>
          <w:i/>
          <w:color w:val="000000"/>
          <w:sz w:val="22"/>
          <w:szCs w:val="22"/>
        </w:rPr>
      </w:pPr>
      <w:r w:rsidRPr="004227FF">
        <w:rPr>
          <w:rFonts w:ascii="Palatino Linotype" w:hAnsi="Palatino Linotype"/>
          <w:i/>
          <w:sz w:val="22"/>
          <w:szCs w:val="22"/>
        </w:rPr>
        <w:t xml:space="preserve">Coordinar el funcionamiento de las unidades de apoyo administrativo de las Gerencias Regionales. </w:t>
      </w:r>
    </w:p>
    <w:p w14:paraId="3AC3196C" w14:textId="77777777" w:rsidR="004227FF" w:rsidRPr="004227FF" w:rsidRDefault="004227FF" w:rsidP="004227FF">
      <w:pPr>
        <w:pStyle w:val="Prrafodelista"/>
        <w:numPr>
          <w:ilvl w:val="0"/>
          <w:numId w:val="4"/>
        </w:numPr>
        <w:pBdr>
          <w:top w:val="nil"/>
          <w:left w:val="nil"/>
          <w:bottom w:val="nil"/>
          <w:right w:val="nil"/>
          <w:between w:val="nil"/>
        </w:pBdr>
        <w:spacing w:line="360" w:lineRule="auto"/>
        <w:ind w:right="616"/>
        <w:jc w:val="both"/>
        <w:rPr>
          <w:rFonts w:ascii="Palatino Linotype" w:eastAsia="Palatino Linotype" w:hAnsi="Palatino Linotype" w:cs="Palatino Linotype"/>
          <w:i/>
          <w:color w:val="000000"/>
          <w:sz w:val="22"/>
          <w:szCs w:val="22"/>
        </w:rPr>
      </w:pPr>
      <w:r w:rsidRPr="004227FF">
        <w:rPr>
          <w:rFonts w:ascii="Palatino Linotype" w:hAnsi="Palatino Linotype"/>
          <w:i/>
          <w:sz w:val="22"/>
          <w:szCs w:val="22"/>
        </w:rPr>
        <w:lastRenderedPageBreak/>
        <w:t xml:space="preserve">Vigilar la correcta aplicación de la legislación en materia laboral. </w:t>
      </w:r>
    </w:p>
    <w:p w14:paraId="69B308B7" w14:textId="77777777" w:rsidR="004227FF" w:rsidRPr="004227FF" w:rsidRDefault="004227FF" w:rsidP="004227FF">
      <w:pPr>
        <w:pStyle w:val="Prrafodelista"/>
        <w:numPr>
          <w:ilvl w:val="0"/>
          <w:numId w:val="4"/>
        </w:numPr>
        <w:pBdr>
          <w:top w:val="nil"/>
          <w:left w:val="nil"/>
          <w:bottom w:val="nil"/>
          <w:right w:val="nil"/>
          <w:between w:val="nil"/>
        </w:pBdr>
        <w:spacing w:line="360" w:lineRule="auto"/>
        <w:ind w:right="616"/>
        <w:jc w:val="both"/>
        <w:rPr>
          <w:rFonts w:ascii="Palatino Linotype" w:eastAsia="Palatino Linotype" w:hAnsi="Palatino Linotype" w:cs="Palatino Linotype"/>
          <w:b/>
          <w:i/>
          <w:color w:val="000000"/>
          <w:sz w:val="22"/>
          <w:szCs w:val="22"/>
        </w:rPr>
      </w:pPr>
      <w:r w:rsidRPr="004227FF">
        <w:rPr>
          <w:rFonts w:ascii="Palatino Linotype" w:hAnsi="Palatino Linotype"/>
          <w:b/>
          <w:i/>
          <w:sz w:val="22"/>
          <w:szCs w:val="22"/>
        </w:rPr>
        <w:t xml:space="preserve">Vigilar que los bienes muebles e inmuebles de la Comisión se mantengan en adecuadas condiciones de uso. </w:t>
      </w:r>
    </w:p>
    <w:p w14:paraId="1462556F" w14:textId="77777777" w:rsidR="004227FF" w:rsidRPr="004227FF" w:rsidRDefault="004227FF" w:rsidP="004227FF">
      <w:pPr>
        <w:pStyle w:val="Prrafodelista"/>
        <w:pBdr>
          <w:top w:val="nil"/>
          <w:left w:val="nil"/>
          <w:bottom w:val="nil"/>
          <w:right w:val="nil"/>
          <w:between w:val="nil"/>
        </w:pBdr>
        <w:spacing w:line="360" w:lineRule="auto"/>
        <w:ind w:left="1080" w:right="616"/>
        <w:jc w:val="both"/>
        <w:rPr>
          <w:rFonts w:ascii="Palatino Linotype" w:eastAsia="Palatino Linotype" w:hAnsi="Palatino Linotype" w:cs="Palatino Linotype"/>
          <w:i/>
          <w:color w:val="000000"/>
          <w:sz w:val="22"/>
          <w:szCs w:val="22"/>
        </w:rPr>
      </w:pPr>
      <w:r>
        <w:rPr>
          <w:rFonts w:ascii="Palatino Linotype" w:hAnsi="Palatino Linotype"/>
          <w:i/>
          <w:sz w:val="22"/>
          <w:szCs w:val="22"/>
        </w:rPr>
        <w:t>…</w:t>
      </w:r>
    </w:p>
    <w:p w14:paraId="1B744DF5" w14:textId="77777777" w:rsidR="004227FF" w:rsidRPr="004227FF" w:rsidRDefault="004227FF" w:rsidP="004227FF">
      <w:pPr>
        <w:pStyle w:val="Prrafodelista"/>
        <w:numPr>
          <w:ilvl w:val="0"/>
          <w:numId w:val="4"/>
        </w:numPr>
        <w:pBdr>
          <w:top w:val="nil"/>
          <w:left w:val="nil"/>
          <w:bottom w:val="nil"/>
          <w:right w:val="nil"/>
          <w:between w:val="nil"/>
        </w:pBdr>
        <w:spacing w:line="360" w:lineRule="auto"/>
        <w:ind w:right="616"/>
        <w:jc w:val="both"/>
        <w:rPr>
          <w:rFonts w:ascii="Palatino Linotype" w:eastAsia="Palatino Linotype" w:hAnsi="Palatino Linotype" w:cs="Palatino Linotype"/>
          <w:i/>
          <w:color w:val="000000"/>
          <w:sz w:val="22"/>
          <w:szCs w:val="22"/>
        </w:rPr>
      </w:pPr>
      <w:r w:rsidRPr="004227FF">
        <w:rPr>
          <w:rFonts w:ascii="Palatino Linotype" w:hAnsi="Palatino Linotype"/>
          <w:b/>
          <w:i/>
          <w:sz w:val="22"/>
          <w:szCs w:val="22"/>
        </w:rPr>
        <w:t>Participar como servidor público habilitado en materia de transparencia, conforme a la normatividad correspondiente</w:t>
      </w:r>
      <w:r w:rsidRPr="004227FF">
        <w:rPr>
          <w:rFonts w:ascii="Palatino Linotype" w:hAnsi="Palatino Linotype"/>
          <w:i/>
          <w:sz w:val="22"/>
          <w:szCs w:val="22"/>
        </w:rPr>
        <w:t xml:space="preserve">. </w:t>
      </w:r>
    </w:p>
    <w:p w14:paraId="57DF602F" w14:textId="77777777" w:rsidR="004227FF" w:rsidRPr="004227FF" w:rsidRDefault="004227FF" w:rsidP="004227FF">
      <w:pPr>
        <w:pStyle w:val="Prrafodelista"/>
        <w:numPr>
          <w:ilvl w:val="0"/>
          <w:numId w:val="4"/>
        </w:numPr>
        <w:pBdr>
          <w:top w:val="nil"/>
          <w:left w:val="nil"/>
          <w:bottom w:val="nil"/>
          <w:right w:val="nil"/>
          <w:between w:val="nil"/>
        </w:pBdr>
        <w:spacing w:line="360" w:lineRule="auto"/>
        <w:ind w:right="616"/>
        <w:jc w:val="both"/>
        <w:rPr>
          <w:rFonts w:ascii="Palatino Linotype" w:eastAsia="Palatino Linotype" w:hAnsi="Palatino Linotype" w:cs="Palatino Linotype"/>
          <w:i/>
          <w:color w:val="000000"/>
          <w:sz w:val="22"/>
          <w:szCs w:val="22"/>
        </w:rPr>
      </w:pPr>
      <w:r w:rsidRPr="004227FF">
        <w:rPr>
          <w:rFonts w:ascii="Palatino Linotype" w:hAnsi="Palatino Linotype"/>
          <w:i/>
          <w:sz w:val="22"/>
          <w:szCs w:val="22"/>
        </w:rPr>
        <w:t xml:space="preserve">Participar en los comités y grupos de trabajo en los que conforme a la normatividad, así se establezca. </w:t>
      </w:r>
    </w:p>
    <w:p w14:paraId="2F79BD0C" w14:textId="77777777" w:rsidR="004227FF" w:rsidRPr="004227FF" w:rsidRDefault="004227FF" w:rsidP="004227FF">
      <w:pPr>
        <w:pStyle w:val="Prrafodelista"/>
        <w:pBdr>
          <w:top w:val="nil"/>
          <w:left w:val="nil"/>
          <w:bottom w:val="nil"/>
          <w:right w:val="nil"/>
          <w:between w:val="nil"/>
        </w:pBdr>
        <w:spacing w:line="360" w:lineRule="auto"/>
        <w:ind w:left="1080" w:right="616"/>
        <w:jc w:val="both"/>
        <w:rPr>
          <w:rFonts w:ascii="Palatino Linotype" w:eastAsia="Palatino Linotype" w:hAnsi="Palatino Linotype" w:cs="Palatino Linotype"/>
          <w:i/>
          <w:color w:val="000000"/>
          <w:sz w:val="22"/>
          <w:szCs w:val="22"/>
        </w:rPr>
      </w:pPr>
      <w:r>
        <w:rPr>
          <w:rFonts w:ascii="Palatino Linotype" w:hAnsi="Palatino Linotype"/>
          <w:i/>
          <w:sz w:val="22"/>
          <w:szCs w:val="22"/>
        </w:rPr>
        <w:t>…</w:t>
      </w:r>
      <w:r w:rsidRPr="004227FF">
        <w:rPr>
          <w:rFonts w:ascii="Palatino Linotype" w:hAnsi="Palatino Linotype"/>
          <w:i/>
          <w:sz w:val="22"/>
          <w:szCs w:val="22"/>
        </w:rPr>
        <w:t>.</w:t>
      </w:r>
      <w:r>
        <w:rPr>
          <w:rFonts w:ascii="Palatino Linotype" w:hAnsi="Palatino Linotype"/>
          <w:i/>
          <w:sz w:val="22"/>
          <w:szCs w:val="22"/>
        </w:rPr>
        <w:t>”</w:t>
      </w:r>
    </w:p>
    <w:p w14:paraId="6C564442" w14:textId="77777777" w:rsidR="00FC59BF" w:rsidRPr="00893D89" w:rsidRDefault="00FC59BF" w:rsidP="00FC59BF">
      <w:pPr>
        <w:spacing w:before="240" w:after="240" w:line="360" w:lineRule="auto"/>
        <w:jc w:val="both"/>
        <w:rPr>
          <w:rFonts w:ascii="Palatino Linotype" w:eastAsia="Palatino Linotype" w:hAnsi="Palatino Linotype" w:cs="Palatino Linotype"/>
        </w:rPr>
      </w:pPr>
      <w:r w:rsidRPr="00893D89">
        <w:rPr>
          <w:rFonts w:ascii="Palatino Linotype" w:eastAsia="Palatino Linotype" w:hAnsi="Palatino Linotype" w:cs="Palatino Linotype"/>
        </w:rPr>
        <w:t xml:space="preserve">En tal sentido, se advierte </w:t>
      </w:r>
      <w:r>
        <w:rPr>
          <w:rFonts w:ascii="Palatino Linotype" w:eastAsia="Palatino Linotype" w:hAnsi="Palatino Linotype" w:cs="Palatino Linotype"/>
        </w:rPr>
        <w:t xml:space="preserve">que el General de Administración y Finanzas es el </w:t>
      </w:r>
      <w:r w:rsidRPr="00893D89">
        <w:rPr>
          <w:rFonts w:ascii="Palatino Linotype" w:eastAsia="Palatino Linotype" w:hAnsi="Palatino Linotype" w:cs="Palatino Linotype"/>
        </w:rPr>
        <w:t xml:space="preserve">Servidor Público Habilitado </w:t>
      </w:r>
      <w:r>
        <w:rPr>
          <w:rFonts w:ascii="Palatino Linotype" w:eastAsia="Palatino Linotype" w:hAnsi="Palatino Linotype" w:cs="Palatino Linotype"/>
        </w:rPr>
        <w:t xml:space="preserve">que de acuerdo con las facultades competencias y funciones que el ordenamiento jurídico le confiere, genera, administra y posee la información pública solicitada. </w:t>
      </w:r>
    </w:p>
    <w:p w14:paraId="44857C15" w14:textId="77777777" w:rsidR="00F2419E" w:rsidRDefault="0034450F">
      <w:pPr>
        <w:pBdr>
          <w:top w:val="nil"/>
          <w:left w:val="nil"/>
          <w:bottom w:val="nil"/>
          <w:right w:val="nil"/>
          <w:between w:val="nil"/>
        </w:pBdr>
        <w:spacing w:before="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As</w:t>
      </w:r>
      <w:r>
        <w:rPr>
          <w:rFonts w:ascii="Palatino Linotype" w:eastAsia="Palatino Linotype" w:hAnsi="Palatino Linotype" w:cs="Palatino Linotype"/>
        </w:rPr>
        <w:t>i</w:t>
      </w:r>
      <w:r>
        <w:rPr>
          <w:rFonts w:ascii="Palatino Linotype" w:eastAsia="Palatino Linotype" w:hAnsi="Palatino Linotype" w:cs="Palatino Linotype"/>
          <w:color w:val="000000"/>
        </w:rPr>
        <w:t>mismo, es necesario señalar que éste Órgano Garante no está facultado para pronunciarse sobre la veracidad de la información que los Sujetos Obligados ponen a disposición de los solicitantes; situación que se aleja de las atribuciones de este Instituto máxime que al momento que ponen a disposición ésta, la misma tiene el carácter oficial y se presume veraz, tan es así que la misma queda registrada en el Sistema de Acceso a la Información Mexiquense (SAIMEX).</w:t>
      </w:r>
    </w:p>
    <w:p w14:paraId="4FF5FEE1" w14:textId="77777777" w:rsidR="00F2419E" w:rsidRDefault="00F2419E">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2B3FE1FE" w14:textId="77777777" w:rsidR="00F2419E" w:rsidRDefault="0034450F">
      <w:pPr>
        <w:pBdr>
          <w:top w:val="nil"/>
          <w:left w:val="nil"/>
          <w:bottom w:val="nil"/>
          <w:right w:val="nil"/>
          <w:between w:val="nil"/>
        </w:pBdr>
        <w:spacing w:after="360" w:line="360" w:lineRule="auto"/>
        <w:ind w:right="4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Sirviendo de apoyo a lo anterior por analogía, el criterio 31-10 emitido por el ahora Instituto Nacional de Transparencia, Acceso a la Información y Protección de Datos Personales, que a la letra dice:</w:t>
      </w:r>
    </w:p>
    <w:p w14:paraId="4CCDA876" w14:textId="77777777" w:rsidR="00F2419E" w:rsidRDefault="0034450F">
      <w:pPr>
        <w:spacing w:before="240" w:after="360" w:line="360" w:lineRule="auto"/>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El Instituto Federal de Acceso a la Información y Protección de Datos no cuenta con facultades para pronunciarse respecto de la veracidad de los documentos proporcionados por los sujetos obligados.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08C492E2" w14:textId="77777777" w:rsidR="009B51B0" w:rsidRPr="00B01833" w:rsidRDefault="009B51B0" w:rsidP="00B01833">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Finalmente, de la r</w:t>
      </w:r>
      <w:r w:rsidR="00B01833">
        <w:rPr>
          <w:rFonts w:ascii="Palatino Linotype" w:eastAsia="Palatino Linotype" w:hAnsi="Palatino Linotype" w:cs="Palatino Linotype"/>
          <w:color w:val="000000"/>
        </w:rPr>
        <w:t>espuesta, se advirtió que en el archivos</w:t>
      </w:r>
      <w:r>
        <w:rPr>
          <w:rFonts w:ascii="Palatino Linotype" w:eastAsia="Palatino Linotype" w:hAnsi="Palatino Linotype" w:cs="Palatino Linotype"/>
          <w:color w:val="000000"/>
        </w:rPr>
        <w:t xml:space="preserve"> electrónico</w:t>
      </w:r>
      <w:r w:rsidR="00B01833">
        <w:rPr>
          <w:rFonts w:ascii="Palatino Linotype" w:eastAsia="Palatino Linotype" w:hAnsi="Palatino Linotype" w:cs="Palatino Linotype"/>
          <w:color w:val="000000"/>
        </w:rPr>
        <w:t xml:space="preserve"> identificado</w:t>
      </w:r>
      <w:r>
        <w:rPr>
          <w:rFonts w:ascii="Palatino Linotype" w:eastAsia="Palatino Linotype" w:hAnsi="Palatino Linotype" w:cs="Palatino Linotype"/>
          <w:color w:val="000000"/>
        </w:rPr>
        <w:t xml:space="preserve"> como </w:t>
      </w:r>
      <w:r>
        <w:rPr>
          <w:rFonts w:ascii="Palatino Linotype" w:eastAsia="Palatino Linotype" w:hAnsi="Palatino Linotype" w:cs="Palatino Linotype"/>
          <w:b/>
          <w:i/>
          <w:color w:val="000000"/>
        </w:rPr>
        <w:t>“</w:t>
      </w:r>
      <w:r w:rsidR="00B01833">
        <w:rPr>
          <w:rFonts w:ascii="Palatino Linotype" w:eastAsia="Palatino Linotype" w:hAnsi="Palatino Linotype" w:cs="Palatino Linotype"/>
          <w:b/>
          <w:i/>
          <w:color w:val="000000"/>
        </w:rPr>
        <w:t xml:space="preserve">“res 15 an103-03-2022-192814.pdf” </w:t>
      </w:r>
      <w:r w:rsidR="00B01833">
        <w:rPr>
          <w:rFonts w:ascii="Palatino Linotype" w:eastAsia="Palatino Linotype" w:hAnsi="Palatino Linotype" w:cs="Palatino Linotype"/>
          <w:color w:val="000000"/>
        </w:rPr>
        <w:t xml:space="preserve">que contiene la </w:t>
      </w:r>
      <w:r w:rsidR="00B01833">
        <w:rPr>
          <w:rFonts w:ascii="Palatino Linotype" w:eastAsia="Palatino Linotype" w:hAnsi="Palatino Linotype" w:cs="Palatino Linotype"/>
        </w:rPr>
        <w:t>Cédula</w:t>
      </w:r>
      <w:r w:rsidR="00B01833">
        <w:rPr>
          <w:rFonts w:ascii="Palatino Linotype" w:eastAsia="Palatino Linotype" w:hAnsi="Palatino Linotype" w:cs="Palatino Linotype"/>
          <w:color w:val="000000"/>
        </w:rPr>
        <w:t xml:space="preserve"> de Identificación Fiscal de Comercializadora Macano S.A. de C.V proporcionada </w:t>
      </w:r>
      <w:r>
        <w:rPr>
          <w:rFonts w:ascii="Palatino Linotype" w:eastAsia="Palatino Linotype" w:hAnsi="Palatino Linotype" w:cs="Palatino Linotype"/>
          <w:color w:val="000000"/>
        </w:rPr>
        <w:t xml:space="preserve">por el </w:t>
      </w:r>
      <w:r>
        <w:rPr>
          <w:rFonts w:ascii="Palatino Linotype" w:eastAsia="Palatino Linotype" w:hAnsi="Palatino Linotype" w:cs="Palatino Linotype"/>
          <w:b/>
          <w:color w:val="000000"/>
        </w:rPr>
        <w:t xml:space="preserve">SUJETO OBLIGADO </w:t>
      </w:r>
      <w:r>
        <w:rPr>
          <w:rFonts w:ascii="Palatino Linotype" w:eastAsia="Palatino Linotype" w:hAnsi="Palatino Linotype" w:cs="Palatino Linotype"/>
          <w:color w:val="000000"/>
        </w:rPr>
        <w:t xml:space="preserve">en respuesta  a la solicitud de información con se dejó visible, </w:t>
      </w:r>
      <w:r w:rsidR="00B01833">
        <w:rPr>
          <w:rFonts w:ascii="Palatino Linotype" w:eastAsia="Palatino Linotype" w:hAnsi="Palatino Linotype" w:cs="Palatino Linotype"/>
          <w:color w:val="000000"/>
        </w:rPr>
        <w:t xml:space="preserve">el Código Bidimensional QR, que al ser escaneado muestra el correo electrónico particular que no corresponde al de la Representante Legal de la Comercializadora,  dato que </w:t>
      </w:r>
      <w:r w:rsidR="00B01833">
        <w:rPr>
          <w:rFonts w:ascii="Palatino Linotype" w:eastAsia="Palatino Linotype" w:hAnsi="Palatino Linotype" w:cs="Palatino Linotype"/>
        </w:rPr>
        <w:t>debió protegerse ya que el correo electrónico personal, es considerado</w:t>
      </w:r>
      <w:r>
        <w:rPr>
          <w:rFonts w:ascii="Palatino Linotype" w:eastAsia="Palatino Linotype" w:hAnsi="Palatino Linotype" w:cs="Palatino Linotype"/>
        </w:rPr>
        <w:t xml:space="preserve"> como información susceptible de clasificar como confidencial</w:t>
      </w:r>
      <w:r>
        <w:rPr>
          <w:rFonts w:ascii="Palatino Linotype" w:eastAsia="Palatino Linotype" w:hAnsi="Palatino Linotype" w:cs="Palatino Linotype"/>
          <w:color w:val="000000"/>
        </w:rPr>
        <w:t>,</w:t>
      </w:r>
      <w:r>
        <w:t xml:space="preserve"> </w:t>
      </w:r>
      <w:r>
        <w:rPr>
          <w:rFonts w:ascii="Palatino Linotype" w:eastAsia="Palatino Linotype" w:hAnsi="Palatino Linotype" w:cs="Palatino Linotype"/>
          <w:color w:val="000000"/>
        </w:rPr>
        <w:t xml:space="preserve">en virtud de que su difusión afectaría su esfera de privacidad. Por lo anterior, este Organismo Garante considera procedente su clasificación, en términos del numeral 143, fracción I de la de Ley de Transparencia y Acceso a la Información Pública del Estado de México se </w:t>
      </w:r>
      <w:r>
        <w:rPr>
          <w:rFonts w:ascii="Palatino Linotype" w:eastAsia="Palatino Linotype" w:hAnsi="Palatino Linotype" w:cs="Palatino Linotype"/>
          <w:color w:val="000000"/>
        </w:rPr>
        <w:lastRenderedPageBreak/>
        <w:t>ordena dar vista al Titular de la Dirección de Datos Personales de este Órgano, con fundamento en el artículo 82 fracción XXVII de la Ley de Protección de Datos Personales del Estado de México, para que en ejercicio de sus atribuciones contenidas en el numeral 24 fracciones V, XI, XII Y XIII del Reglamento Interior del Instituto de Transparencia, Acceso a la Información Pública y Protección de Datos Personales del Estado de México y Municipios</w:t>
      </w:r>
      <w:r>
        <w:rPr>
          <w:rFonts w:ascii="Palatino Linotype" w:eastAsia="Palatino Linotype" w:hAnsi="Palatino Linotype" w:cs="Palatino Linotype"/>
        </w:rPr>
        <w:t xml:space="preserve">, a efecto de que investigue y sancione las posibles omisiones en las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pudo haber incurrido por el incumplimiento a las obligaciones previstas en la Ley de Protección de Datos Personales en Posesión de Sujetos Obligados del Estado de México y Municipios y, las demás disposiciones jurídicas aplicables en la materia; en caso de acreditarse las mismas, lo deberá hacer del conocimiento del Órgano de Control Interno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para que este determine lo que conforme derecho corresponda, cuyo resultado deberá ser informado a este Instituto.</w:t>
      </w:r>
    </w:p>
    <w:p w14:paraId="78439DAC" w14:textId="77777777" w:rsidR="00F2419E" w:rsidRDefault="0034450F">
      <w:pPr>
        <w:pBdr>
          <w:top w:val="nil"/>
          <w:left w:val="nil"/>
          <w:bottom w:val="nil"/>
          <w:right w:val="nil"/>
          <w:between w:val="nil"/>
        </w:pBdr>
        <w:spacing w:before="280" w:after="280" w:line="360" w:lineRule="auto"/>
        <w:jc w:val="both"/>
        <w:rPr>
          <w:color w:val="000000"/>
        </w:rPr>
      </w:pPr>
      <w:r>
        <w:rPr>
          <w:rFonts w:ascii="Palatino Linotype" w:eastAsia="Palatino Linotype" w:hAnsi="Palatino Linotype" w:cs="Palatino Linotype"/>
          <w:b/>
          <w:color w:val="000000"/>
        </w:rPr>
        <w:t xml:space="preserve">Quinto. Versión Pública. </w:t>
      </w:r>
      <w:r>
        <w:rPr>
          <w:rFonts w:ascii="Palatino Linotype" w:eastAsia="Palatino Linotype" w:hAnsi="Palatino Linotype" w:cs="Palatino Linotype"/>
          <w:color w:val="000000"/>
        </w:rPr>
        <w:t>Finalmente, como ya se ha señalado, el </w:t>
      </w:r>
      <w:r>
        <w:rPr>
          <w:rFonts w:ascii="Palatino Linotype" w:eastAsia="Palatino Linotype" w:hAnsi="Palatino Linotype" w:cs="Palatino Linotype"/>
          <w:b/>
          <w:color w:val="000000"/>
        </w:rPr>
        <w:t>SUJETO OBLIGADO </w:t>
      </w:r>
      <w:r>
        <w:rPr>
          <w:rFonts w:ascii="Palatino Linotype" w:eastAsia="Palatino Linotype" w:hAnsi="Palatino Linotype" w:cs="Palatino Linotype"/>
          <w:color w:val="000000"/>
        </w:rPr>
        <w:t>debe satisfacer la solicitud de acceso a la información; sin embargo, por cuanto hace a la información que entregará a</w:t>
      </w:r>
      <w:r>
        <w:rPr>
          <w:rFonts w:ascii="Palatino Linotype" w:eastAsia="Palatino Linotype" w:hAnsi="Palatino Linotype" w:cs="Palatino Linotype"/>
        </w:rPr>
        <w:t>l</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b/>
          <w:color w:val="000000"/>
        </w:rPr>
        <w:t>RECURRENTE</w:t>
      </w:r>
      <w:r>
        <w:rPr>
          <w:rFonts w:ascii="Palatino Linotype" w:eastAsia="Palatino Linotype" w:hAnsi="Palatino Linotype" w:cs="Palatino Linotype"/>
          <w:color w:val="000000"/>
        </w:rPr>
        <w:t xml:space="preserve"> para dar cumplimiento a la presente resolución, que contenga que contenga datos personales que deban ser clasificados como confidenciales y que deban ser protegidos,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deberá hacer la elaboración de la versión pública de tales documentos a fin de satisfacer el derecho de acceso a la información pública de la parte recurrente sin menoscabo al derecho a la protección de los datos personales de terceros.</w:t>
      </w:r>
    </w:p>
    <w:p w14:paraId="5504CAD1" w14:textId="77777777" w:rsidR="00F2419E" w:rsidRDefault="0034450F">
      <w:pPr>
        <w:pBdr>
          <w:top w:val="nil"/>
          <w:left w:val="nil"/>
          <w:bottom w:val="nil"/>
          <w:right w:val="nil"/>
          <w:between w:val="nil"/>
        </w:pBdr>
        <w:spacing w:before="240" w:after="240" w:line="360" w:lineRule="auto"/>
        <w:ind w:right="50"/>
        <w:jc w:val="both"/>
        <w:rPr>
          <w:color w:val="000000"/>
        </w:rPr>
      </w:pPr>
      <w:r>
        <w:rPr>
          <w:rFonts w:ascii="Palatino Linotype" w:eastAsia="Palatino Linotype" w:hAnsi="Palatino Linotype" w:cs="Palatino Linotype"/>
          <w:color w:val="000000"/>
        </w:rPr>
        <w:lastRenderedPageBreak/>
        <w:t>Lo anterior, de conformidad a lo que señalan los artículos 3, fracciones IX, XX, XXXII, XLV; 6, 137 y 143 fracción I, de la Ley de Transparencia y Acceso a la Información Pública del Estado de México y Municipios vigente, que se leen como sigue:</w:t>
      </w:r>
    </w:p>
    <w:p w14:paraId="33E58D2B" w14:textId="77777777" w:rsidR="00F2419E" w:rsidRDefault="0034450F">
      <w:pPr>
        <w:pBdr>
          <w:top w:val="nil"/>
          <w:left w:val="nil"/>
          <w:bottom w:val="nil"/>
          <w:right w:val="nil"/>
          <w:between w:val="nil"/>
        </w:pBdr>
        <w:spacing w:line="276" w:lineRule="auto"/>
        <w:ind w:left="993" w:right="1041"/>
        <w:jc w:val="both"/>
        <w:rPr>
          <w:color w:val="000000"/>
        </w:rPr>
      </w:pPr>
      <w:r>
        <w:rPr>
          <w:rFonts w:ascii="Palatino Linotype" w:eastAsia="Palatino Linotype" w:hAnsi="Palatino Linotype" w:cs="Palatino Linotype"/>
          <w:b/>
          <w:i/>
          <w:color w:val="000000"/>
          <w:sz w:val="22"/>
          <w:szCs w:val="22"/>
        </w:rPr>
        <w:t> “Artículo 3. Para los efectos de la presente Ley se entenderá por:</w:t>
      </w:r>
    </w:p>
    <w:p w14:paraId="08656AEA" w14:textId="77777777" w:rsidR="00F2419E" w:rsidRDefault="0034450F">
      <w:pPr>
        <w:pBdr>
          <w:top w:val="nil"/>
          <w:left w:val="nil"/>
          <w:bottom w:val="nil"/>
          <w:right w:val="nil"/>
          <w:between w:val="nil"/>
        </w:pBdr>
        <w:spacing w:line="276" w:lineRule="auto"/>
        <w:ind w:left="993" w:right="1041"/>
        <w:jc w:val="both"/>
        <w:rPr>
          <w:color w:val="000000"/>
        </w:rPr>
      </w:pPr>
      <w:r>
        <w:rPr>
          <w:rFonts w:ascii="Palatino Linotype" w:eastAsia="Palatino Linotype" w:hAnsi="Palatino Linotype" w:cs="Palatino Linotype"/>
          <w:b/>
          <w:i/>
          <w:color w:val="000000"/>
          <w:sz w:val="22"/>
          <w:szCs w:val="22"/>
        </w:rPr>
        <w:t>IX. Datos personales:</w:t>
      </w:r>
      <w:r>
        <w:rPr>
          <w:rFonts w:ascii="Palatino Linotype" w:eastAsia="Palatino Linotype" w:hAnsi="Palatino Linotype" w:cs="Palatino Linotype"/>
          <w:i/>
          <w:color w:val="000000"/>
          <w:sz w:val="22"/>
          <w:szCs w:val="22"/>
        </w:rPr>
        <w:t xml:space="preserve"> </w:t>
      </w:r>
      <w:r>
        <w:rPr>
          <w:rFonts w:ascii="Palatino Linotype" w:eastAsia="Palatino Linotype" w:hAnsi="Palatino Linotype" w:cs="Palatino Linotype"/>
          <w:b/>
          <w:i/>
          <w:color w:val="000000"/>
          <w:sz w:val="22"/>
          <w:szCs w:val="22"/>
        </w:rPr>
        <w:t>La información concerniente a una persona, identificada o identificable</w:t>
      </w:r>
      <w:r>
        <w:rPr>
          <w:rFonts w:ascii="Palatino Linotype" w:eastAsia="Palatino Linotype" w:hAnsi="Palatino Linotype" w:cs="Palatino Linotype"/>
          <w:i/>
          <w:color w:val="000000"/>
          <w:sz w:val="22"/>
          <w:szCs w:val="22"/>
        </w:rPr>
        <w:t xml:space="preserve"> según lo dispuesto por la Ley de Protección de Datos Personales del Estado de México;</w:t>
      </w:r>
    </w:p>
    <w:p w14:paraId="35C340A4" w14:textId="77777777" w:rsidR="00F2419E" w:rsidRDefault="0034450F">
      <w:pPr>
        <w:pBdr>
          <w:top w:val="nil"/>
          <w:left w:val="nil"/>
          <w:bottom w:val="nil"/>
          <w:right w:val="nil"/>
          <w:between w:val="nil"/>
        </w:pBdr>
        <w:spacing w:line="276" w:lineRule="auto"/>
        <w:ind w:left="993" w:right="1041"/>
        <w:jc w:val="both"/>
        <w:rPr>
          <w:color w:val="000000"/>
        </w:rPr>
      </w:pPr>
      <w:r>
        <w:rPr>
          <w:rFonts w:ascii="Palatino Linotype" w:eastAsia="Palatino Linotype" w:hAnsi="Palatino Linotype" w:cs="Palatino Linotype"/>
          <w:b/>
          <w:i/>
          <w:color w:val="000000"/>
          <w:sz w:val="22"/>
          <w:szCs w:val="22"/>
        </w:rPr>
        <w:t>XX. Información clasificada:</w:t>
      </w:r>
      <w:r>
        <w:rPr>
          <w:rFonts w:ascii="Palatino Linotype" w:eastAsia="Palatino Linotype" w:hAnsi="Palatino Linotype" w:cs="Palatino Linotype"/>
          <w:i/>
          <w:color w:val="000000"/>
          <w:sz w:val="22"/>
          <w:szCs w:val="22"/>
        </w:rPr>
        <w:t xml:space="preserve"> Aquella considerada por la presente Ley como reservada o confidencial;</w:t>
      </w:r>
    </w:p>
    <w:p w14:paraId="1E939ECF" w14:textId="77777777" w:rsidR="00F2419E" w:rsidRDefault="0034450F">
      <w:pPr>
        <w:pBdr>
          <w:top w:val="nil"/>
          <w:left w:val="nil"/>
          <w:bottom w:val="nil"/>
          <w:right w:val="nil"/>
          <w:between w:val="nil"/>
        </w:pBdr>
        <w:spacing w:line="276" w:lineRule="auto"/>
        <w:ind w:left="993" w:right="1041"/>
        <w:jc w:val="both"/>
        <w:rPr>
          <w:color w:val="000000"/>
        </w:rPr>
      </w:pPr>
      <w:r>
        <w:rPr>
          <w:rFonts w:ascii="Palatino Linotype" w:eastAsia="Palatino Linotype" w:hAnsi="Palatino Linotype" w:cs="Palatino Linotype"/>
          <w:b/>
          <w:i/>
          <w:color w:val="000000"/>
          <w:sz w:val="22"/>
          <w:szCs w:val="22"/>
        </w:rPr>
        <w:t>XXXII. Protección de Datos Personales:</w:t>
      </w:r>
      <w:r>
        <w:rPr>
          <w:rFonts w:ascii="Palatino Linotype" w:eastAsia="Palatino Linotype" w:hAnsi="Palatino Linotype" w:cs="Palatino Linotype"/>
          <w:i/>
          <w:color w:val="000000"/>
          <w:sz w:val="22"/>
          <w:szCs w:val="22"/>
        </w:rPr>
        <w:t xml:space="preserve"> Derecho humano que tutela la privacidad de datos personales en poder de los sujetos obligados y sujetos particulares;</w:t>
      </w:r>
    </w:p>
    <w:p w14:paraId="20402CC4" w14:textId="77777777" w:rsidR="00F2419E" w:rsidRDefault="0034450F">
      <w:pPr>
        <w:pBdr>
          <w:top w:val="nil"/>
          <w:left w:val="nil"/>
          <w:bottom w:val="nil"/>
          <w:right w:val="nil"/>
          <w:between w:val="nil"/>
        </w:pBdr>
        <w:spacing w:line="276" w:lineRule="auto"/>
        <w:ind w:left="993" w:right="1041"/>
        <w:jc w:val="both"/>
        <w:rPr>
          <w:color w:val="000000"/>
        </w:rPr>
      </w:pPr>
      <w:r>
        <w:rPr>
          <w:rFonts w:ascii="Palatino Linotype" w:eastAsia="Palatino Linotype" w:hAnsi="Palatino Linotype" w:cs="Palatino Linotype"/>
          <w:b/>
          <w:i/>
          <w:color w:val="000000"/>
          <w:sz w:val="22"/>
          <w:szCs w:val="22"/>
        </w:rPr>
        <w:t>XLV. Versión pública</w:t>
      </w:r>
      <w:r>
        <w:rPr>
          <w:rFonts w:ascii="Palatino Linotype" w:eastAsia="Palatino Linotype" w:hAnsi="Palatino Linotype" w:cs="Palatino Linotype"/>
          <w:i/>
          <w:color w:val="000000"/>
          <w:sz w:val="22"/>
          <w:szCs w:val="22"/>
        </w:rPr>
        <w:t>: Documento en el que se elimine, suprime o borra la información clasificada como reservada o confidencial para permitir su acceso.”</w:t>
      </w:r>
    </w:p>
    <w:p w14:paraId="59020C34" w14:textId="77777777" w:rsidR="00F2419E" w:rsidRDefault="00F2419E">
      <w:pPr>
        <w:spacing w:line="276" w:lineRule="auto"/>
      </w:pPr>
    </w:p>
    <w:p w14:paraId="3E9B1F27" w14:textId="77777777" w:rsidR="00F2419E" w:rsidRDefault="0034450F">
      <w:pPr>
        <w:pBdr>
          <w:top w:val="nil"/>
          <w:left w:val="nil"/>
          <w:bottom w:val="nil"/>
          <w:right w:val="nil"/>
          <w:between w:val="nil"/>
        </w:pBdr>
        <w:spacing w:line="276" w:lineRule="auto"/>
        <w:ind w:left="993" w:right="1041"/>
        <w:jc w:val="both"/>
        <w:rPr>
          <w:color w:val="000000"/>
        </w:rPr>
      </w:pPr>
      <w:r>
        <w:rPr>
          <w:rFonts w:ascii="Palatino Linotype" w:eastAsia="Palatino Linotype" w:hAnsi="Palatino Linotype" w:cs="Palatino Linotype"/>
          <w:b/>
          <w:i/>
          <w:color w:val="000000"/>
          <w:sz w:val="22"/>
          <w:szCs w:val="22"/>
        </w:rPr>
        <w:t>“Artículo 6.</w:t>
      </w:r>
      <w:r>
        <w:rPr>
          <w:rFonts w:ascii="Palatino Linotype" w:eastAsia="Palatino Linotype" w:hAnsi="Palatino Linotype" w:cs="Palatino Linotype"/>
          <w:i/>
          <w:color w:val="000000"/>
          <w:sz w:val="22"/>
          <w:szCs w:val="22"/>
        </w:rPr>
        <w:t xml:space="preserve">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14:paraId="6006E319" w14:textId="77777777" w:rsidR="00F2419E" w:rsidRDefault="00F2419E">
      <w:pPr>
        <w:spacing w:line="276" w:lineRule="auto"/>
      </w:pPr>
    </w:p>
    <w:p w14:paraId="03431E50" w14:textId="77777777" w:rsidR="00F2419E" w:rsidRDefault="0034450F">
      <w:pPr>
        <w:pBdr>
          <w:top w:val="nil"/>
          <w:left w:val="nil"/>
          <w:bottom w:val="nil"/>
          <w:right w:val="nil"/>
          <w:between w:val="nil"/>
        </w:pBdr>
        <w:spacing w:line="276" w:lineRule="auto"/>
        <w:ind w:left="993" w:right="1041"/>
        <w:jc w:val="both"/>
        <w:rPr>
          <w:color w:val="000000"/>
        </w:rPr>
      </w:pPr>
      <w:r>
        <w:rPr>
          <w:rFonts w:ascii="Palatino Linotype" w:eastAsia="Palatino Linotype" w:hAnsi="Palatino Linotype" w:cs="Palatino Linotype"/>
          <w:b/>
          <w:i/>
          <w:color w:val="000000"/>
          <w:sz w:val="22"/>
          <w:szCs w:val="22"/>
        </w:rPr>
        <w:t>“Artículo 137.</w:t>
      </w:r>
      <w:r>
        <w:rPr>
          <w:rFonts w:ascii="Palatino Linotype" w:eastAsia="Palatino Linotype" w:hAnsi="Palatino Linotype" w:cs="Palatino Linotype"/>
          <w:i/>
          <w:color w:val="000000"/>
          <w:sz w:val="22"/>
          <w:szCs w:val="22"/>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40EE8993" w14:textId="77777777" w:rsidR="00F2419E" w:rsidRDefault="00F2419E">
      <w:pPr>
        <w:spacing w:line="276" w:lineRule="auto"/>
      </w:pPr>
    </w:p>
    <w:p w14:paraId="1A20B42F" w14:textId="77777777" w:rsidR="00F2419E" w:rsidRDefault="0034450F">
      <w:pPr>
        <w:pBdr>
          <w:top w:val="nil"/>
          <w:left w:val="nil"/>
          <w:bottom w:val="nil"/>
          <w:right w:val="nil"/>
          <w:between w:val="nil"/>
        </w:pBdr>
        <w:spacing w:line="276" w:lineRule="auto"/>
        <w:ind w:left="993" w:right="1041"/>
        <w:jc w:val="both"/>
        <w:rPr>
          <w:color w:val="000000"/>
        </w:rPr>
      </w:pPr>
      <w:r>
        <w:rPr>
          <w:rFonts w:ascii="Palatino Linotype" w:eastAsia="Palatino Linotype" w:hAnsi="Palatino Linotype" w:cs="Palatino Linotype"/>
          <w:b/>
          <w:i/>
          <w:color w:val="000000"/>
          <w:sz w:val="22"/>
          <w:szCs w:val="22"/>
        </w:rPr>
        <w:lastRenderedPageBreak/>
        <w:t>“Artículo 143</w:t>
      </w:r>
      <w:r>
        <w:rPr>
          <w:rFonts w:ascii="Palatino Linotype" w:eastAsia="Palatino Linotype" w:hAnsi="Palatino Linotype" w:cs="Palatino Linotype"/>
          <w:i/>
          <w:color w:val="000000"/>
          <w:sz w:val="22"/>
          <w:szCs w:val="22"/>
        </w:rPr>
        <w:t>. Para los efectos de esta Ley se considera información confidencial, la clasificada como tal, de manera permanente, por su naturaleza, cuando:</w:t>
      </w:r>
    </w:p>
    <w:p w14:paraId="73AD2924" w14:textId="77777777" w:rsidR="00F2419E" w:rsidRDefault="0034450F">
      <w:pPr>
        <w:pBdr>
          <w:top w:val="nil"/>
          <w:left w:val="nil"/>
          <w:bottom w:val="nil"/>
          <w:right w:val="nil"/>
          <w:between w:val="nil"/>
        </w:pBdr>
        <w:spacing w:line="276" w:lineRule="auto"/>
        <w:ind w:left="993" w:right="1041"/>
        <w:jc w:val="both"/>
        <w:rPr>
          <w:color w:val="000000"/>
        </w:rPr>
      </w:pPr>
      <w:r>
        <w:rPr>
          <w:rFonts w:ascii="Palatino Linotype" w:eastAsia="Palatino Linotype" w:hAnsi="Palatino Linotype" w:cs="Palatino Linotype"/>
          <w:b/>
          <w:i/>
          <w:color w:val="000000"/>
          <w:sz w:val="22"/>
          <w:szCs w:val="22"/>
        </w:rPr>
        <w:t>I.</w:t>
      </w:r>
      <w:r>
        <w:rPr>
          <w:rFonts w:ascii="Palatino Linotype" w:eastAsia="Palatino Linotype" w:hAnsi="Palatino Linotype" w:cs="Palatino Linotype"/>
          <w:i/>
          <w:color w:val="000000"/>
          <w:sz w:val="22"/>
          <w:szCs w:val="22"/>
        </w:rPr>
        <w:t xml:space="preserve"> </w:t>
      </w:r>
      <w:r>
        <w:rPr>
          <w:rFonts w:ascii="Palatino Linotype" w:eastAsia="Palatino Linotype" w:hAnsi="Palatino Linotype" w:cs="Palatino Linotype"/>
          <w:b/>
          <w:i/>
          <w:color w:val="000000"/>
          <w:sz w:val="22"/>
          <w:szCs w:val="22"/>
        </w:rPr>
        <w:t>Se refiera a la información privada y los datos personales concernientes a una persona física o jurídico colectiva identificada o identificable</w:t>
      </w:r>
      <w:r>
        <w:rPr>
          <w:rFonts w:ascii="Palatino Linotype" w:eastAsia="Palatino Linotype" w:hAnsi="Palatino Linotype" w:cs="Palatino Linotype"/>
          <w:i/>
          <w:color w:val="000000"/>
          <w:sz w:val="22"/>
          <w:szCs w:val="22"/>
        </w:rPr>
        <w:t>…”</w:t>
      </w:r>
    </w:p>
    <w:p w14:paraId="55104183" w14:textId="77777777" w:rsidR="00F2419E" w:rsidRDefault="0034450F">
      <w:pPr>
        <w:pBdr>
          <w:top w:val="nil"/>
          <w:left w:val="nil"/>
          <w:bottom w:val="nil"/>
          <w:right w:val="nil"/>
          <w:between w:val="nil"/>
        </w:pBdr>
        <w:spacing w:before="240" w:after="240" w:line="360" w:lineRule="auto"/>
        <w:ind w:right="50"/>
        <w:jc w:val="both"/>
        <w:rPr>
          <w:color w:val="000000"/>
        </w:rPr>
      </w:pPr>
      <w:r>
        <w:rPr>
          <w:rFonts w:ascii="Palatino Linotype" w:eastAsia="Palatino Linotype" w:hAnsi="Palatino Linotype" w:cs="Palatino Linotype"/>
          <w:color w:val="000000"/>
        </w:rPr>
        <w:t>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Sujeto Obligado deberá proceder a testar los datos personales que se encuentre contenidos en los documentos a entregar para satisfacer el derecho de acceso a la información pública de la recurrente,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con la Ley de Protección de Datos Personales en Posesión de Sujetos Obligados del Estado de México y Municipios.</w:t>
      </w:r>
    </w:p>
    <w:p w14:paraId="6BAE2D1B" w14:textId="77777777" w:rsidR="00F2419E" w:rsidRDefault="0034450F">
      <w:pPr>
        <w:pBdr>
          <w:top w:val="nil"/>
          <w:left w:val="nil"/>
          <w:bottom w:val="nil"/>
          <w:right w:val="nil"/>
          <w:between w:val="nil"/>
        </w:pBdr>
        <w:spacing w:before="240" w:after="240" w:line="360" w:lineRule="auto"/>
        <w:ind w:right="50"/>
        <w:jc w:val="both"/>
        <w:rPr>
          <w:color w:val="000000"/>
        </w:rPr>
      </w:pPr>
      <w:r>
        <w:rPr>
          <w:rFonts w:ascii="Palatino Linotype" w:eastAsia="Palatino Linotype" w:hAnsi="Palatino Linotype" w:cs="Palatino Linotype"/>
          <w:color w:val="000000"/>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14:paraId="140561F1" w14:textId="77777777" w:rsidR="00F2419E" w:rsidRDefault="0034450F">
      <w:pPr>
        <w:pBdr>
          <w:top w:val="nil"/>
          <w:left w:val="nil"/>
          <w:bottom w:val="nil"/>
          <w:right w:val="nil"/>
          <w:between w:val="nil"/>
        </w:pBdr>
        <w:spacing w:before="240" w:after="240" w:line="360" w:lineRule="auto"/>
        <w:ind w:right="50"/>
        <w:jc w:val="both"/>
        <w:rPr>
          <w:color w:val="000000"/>
        </w:rPr>
      </w:pPr>
      <w:r>
        <w:rPr>
          <w:rFonts w:ascii="Palatino Linotype" w:eastAsia="Palatino Linotype" w:hAnsi="Palatino Linotype" w:cs="Palatino Linotype"/>
          <w:color w:val="000000"/>
        </w:rPr>
        <w:t xml:space="preserve">En el caso específico, la información solicitada puede contener datos susceptibles de clasificarse, que de hacerse públicos afectarían la intimidad y vida privada de </w:t>
      </w:r>
      <w:r>
        <w:rPr>
          <w:rFonts w:ascii="Palatino Linotype" w:eastAsia="Palatino Linotype" w:hAnsi="Palatino Linotype" w:cs="Palatino Linotype"/>
          <w:color w:val="000000"/>
        </w:rPr>
        <w:lastRenderedPageBreak/>
        <w:t>particulares; que se ha reiterado en las resoluciones de este Pleno que además de los datos especificados en la Ley de Transparencia y Acceso a la Información Pública del Estado de México y Municipios, se consideran confidenciales cuyo acceso debe ser restringido, los cuales deben testarse al momento de la elaboración de versiones públicas, como pudieran ser de manera enunciativa más no limitativa, la Clave Única de Registro de Población (CURP), el número de credencial para votar, la clave de elector, los Códigos QR, el número de cuenta bancaria, que sean exclusivamente de particulares.</w:t>
      </w:r>
    </w:p>
    <w:p w14:paraId="2D8B1B37" w14:textId="77777777" w:rsidR="00F2419E" w:rsidRDefault="0034450F">
      <w:pPr>
        <w:pBdr>
          <w:top w:val="nil"/>
          <w:left w:val="nil"/>
          <w:bottom w:val="nil"/>
          <w:right w:val="nil"/>
          <w:between w:val="nil"/>
        </w:pBdr>
        <w:spacing w:before="240" w:after="240" w:line="360" w:lineRule="auto"/>
        <w:jc w:val="both"/>
        <w:rPr>
          <w:color w:val="000000"/>
        </w:rPr>
      </w:pPr>
      <w:r>
        <w:rPr>
          <w:rFonts w:ascii="Palatino Linotype" w:eastAsia="Palatino Linotype" w:hAnsi="Palatino Linotype" w:cs="Palatino Linotype"/>
          <w:color w:val="000000"/>
        </w:rPr>
        <w:t xml:space="preserve">Así, la </w:t>
      </w:r>
      <w:r>
        <w:rPr>
          <w:rFonts w:ascii="Palatino Linotype" w:eastAsia="Palatino Linotype" w:hAnsi="Palatino Linotype" w:cs="Palatino Linotype"/>
          <w:b/>
          <w:color w:val="000000"/>
        </w:rPr>
        <w:t xml:space="preserve">Clave Única de Registro de Población (CURP) </w:t>
      </w:r>
      <w:r>
        <w:rPr>
          <w:rFonts w:ascii="Palatino Linotype" w:eastAsia="Palatino Linotype" w:hAnsi="Palatino Linotype" w:cs="Palatino Linotype"/>
          <w:color w:val="000000"/>
        </w:rPr>
        <w:t>constituye un dato personal, ya que tiene como finalidad registrar a cada una de las personas que integran la población del país, con datos que permitan certificar y acreditar fehacientemente su identidad, en virtud de que se integra por datos personales que únicamente le conciernen a un particular como son su fecha de nacimiento, su nombre, sus apellidos y su lugar de nacimiento; información que permite distinguirlo del resto de los habitantes, por tal motivo, se considera que es de carácter confidencial.</w:t>
      </w:r>
    </w:p>
    <w:p w14:paraId="4C9FDD74" w14:textId="77777777" w:rsidR="00F2419E" w:rsidRDefault="0034450F">
      <w:pPr>
        <w:pBdr>
          <w:top w:val="nil"/>
          <w:left w:val="nil"/>
          <w:bottom w:val="nil"/>
          <w:right w:val="nil"/>
          <w:between w:val="nil"/>
        </w:pBdr>
        <w:spacing w:before="240" w:after="240" w:line="360" w:lineRule="auto"/>
        <w:jc w:val="both"/>
        <w:rPr>
          <w:color w:val="000000"/>
        </w:rPr>
      </w:pPr>
      <w:r>
        <w:rPr>
          <w:rFonts w:ascii="Palatino Linotype" w:eastAsia="Palatino Linotype" w:hAnsi="Palatino Linotype" w:cs="Palatino Linotype"/>
          <w:color w:val="000000"/>
        </w:rPr>
        <w:t>Argumento que es compartido por el Instituto Nacional de Transparencia, Acceso a la Información y Protección de Datos Personales, INAI</w:t>
      </w:r>
      <w:r>
        <w:rPr>
          <w:rFonts w:ascii="Palatino Linotype" w:eastAsia="Palatino Linotype" w:hAnsi="Palatino Linotype" w:cs="Palatino Linotype"/>
          <w:b/>
          <w:color w:val="000000"/>
        </w:rPr>
        <w:t xml:space="preserve">, conforme al </w:t>
      </w:r>
      <w:r>
        <w:rPr>
          <w:rFonts w:ascii="Palatino Linotype" w:eastAsia="Palatino Linotype" w:hAnsi="Palatino Linotype" w:cs="Palatino Linotype"/>
          <w:color w:val="000000"/>
        </w:rPr>
        <w:t>criterio 18/17, el cual refiere: </w:t>
      </w:r>
    </w:p>
    <w:p w14:paraId="2BFF8821" w14:textId="77777777" w:rsidR="00F2419E" w:rsidRDefault="0034450F">
      <w:pPr>
        <w:pBdr>
          <w:top w:val="nil"/>
          <w:left w:val="nil"/>
          <w:bottom w:val="nil"/>
          <w:right w:val="nil"/>
          <w:between w:val="nil"/>
        </w:pBdr>
        <w:spacing w:line="276" w:lineRule="auto"/>
        <w:ind w:left="851" w:right="851"/>
        <w:jc w:val="both"/>
        <w:rPr>
          <w:color w:val="000000"/>
        </w:rPr>
      </w:pPr>
      <w:r>
        <w:rPr>
          <w:rFonts w:ascii="Palatino Linotype" w:eastAsia="Palatino Linotype" w:hAnsi="Palatino Linotype" w:cs="Palatino Linotype"/>
          <w:b/>
          <w:i/>
          <w:color w:val="000000"/>
          <w:sz w:val="22"/>
          <w:szCs w:val="22"/>
        </w:rPr>
        <w:t xml:space="preserve">“Clave Única de Registro de Población (CURP). </w:t>
      </w:r>
      <w:r>
        <w:rPr>
          <w:rFonts w:ascii="Palatino Linotype" w:eastAsia="Palatino Linotype" w:hAnsi="Palatino Linotype" w:cs="Palatino Linotype"/>
          <w:i/>
          <w:color w:val="000000"/>
          <w:sz w:val="22"/>
          <w:szCs w:val="22"/>
        </w:rPr>
        <w:t>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14:paraId="05161D6D" w14:textId="77777777" w:rsidR="00F2419E" w:rsidRDefault="0034450F">
      <w:pPr>
        <w:pBdr>
          <w:top w:val="nil"/>
          <w:left w:val="nil"/>
          <w:bottom w:val="nil"/>
          <w:right w:val="nil"/>
          <w:between w:val="nil"/>
        </w:pBdr>
        <w:spacing w:before="240" w:after="240" w:line="360" w:lineRule="auto"/>
        <w:jc w:val="both"/>
        <w:rPr>
          <w:color w:val="000000"/>
        </w:rPr>
      </w:pPr>
      <w:r>
        <w:rPr>
          <w:rFonts w:ascii="Palatino Linotype" w:eastAsia="Palatino Linotype" w:hAnsi="Palatino Linotype" w:cs="Palatino Linotype"/>
          <w:color w:val="000000"/>
        </w:rPr>
        <w:lastRenderedPageBreak/>
        <w:t xml:space="preserve">La </w:t>
      </w:r>
      <w:r>
        <w:rPr>
          <w:rFonts w:ascii="Palatino Linotype" w:eastAsia="Palatino Linotype" w:hAnsi="Palatino Linotype" w:cs="Palatino Linotype"/>
          <w:b/>
          <w:i/>
          <w:color w:val="000000"/>
        </w:rPr>
        <w:t>clave de elector</w:t>
      </w:r>
      <w:r>
        <w:rPr>
          <w:rFonts w:ascii="Palatino Linotype" w:eastAsia="Palatino Linotype" w:hAnsi="Palatino Linotype" w:cs="Palatino Linotype"/>
          <w:color w:val="000000"/>
        </w:rPr>
        <w:t>, es la composición alfanumérica compuesta de 18 caracteres, mismos que hacen identificable a una persona física, que se conforma por las primeras letras de los apellidos, año, mes, día, sexo, clave del estado en donde nació su titular, así como una homoclave que distingue a su titular de cualquier otro homónimo, por lo tanto, se trata de un dato personal que debe ser protegido.</w:t>
      </w:r>
    </w:p>
    <w:p w14:paraId="3C73A45B" w14:textId="77777777" w:rsidR="00F2419E" w:rsidRDefault="0034450F">
      <w:pPr>
        <w:pBdr>
          <w:top w:val="nil"/>
          <w:left w:val="nil"/>
          <w:bottom w:val="nil"/>
          <w:right w:val="nil"/>
          <w:between w:val="nil"/>
        </w:pBdr>
        <w:spacing w:before="240" w:after="240" w:line="360" w:lineRule="auto"/>
        <w:ind w:right="50"/>
        <w:jc w:val="both"/>
        <w:rPr>
          <w:color w:val="000000"/>
        </w:rPr>
      </w:pPr>
      <w:r>
        <w:rPr>
          <w:rFonts w:ascii="Palatino Linotype" w:eastAsia="Palatino Linotype" w:hAnsi="Palatino Linotype" w:cs="Palatino Linotype"/>
          <w:color w:val="000000"/>
        </w:rPr>
        <w:t>Igualmente, resulta importante destacar que el número de cuenta bancaria de las personas físicas es información que sólo su titular o personas autorizadas poseen para el acceso o consulta de información patrimonial, o para la realización de operaciones bancarias de diversa naturaleza, por lo que la difusión pública del mismo facilitaría la afectación al patrimonio del titular de la cuenta.</w:t>
      </w:r>
    </w:p>
    <w:p w14:paraId="3B751505" w14:textId="77777777" w:rsidR="00F2419E" w:rsidRDefault="0034450F">
      <w:pPr>
        <w:pBdr>
          <w:top w:val="nil"/>
          <w:left w:val="nil"/>
          <w:bottom w:val="nil"/>
          <w:right w:val="nil"/>
          <w:between w:val="nil"/>
        </w:pBdr>
        <w:spacing w:before="240" w:after="240" w:line="360" w:lineRule="auto"/>
        <w:ind w:right="50"/>
        <w:jc w:val="both"/>
        <w:rPr>
          <w:color w:val="000000"/>
        </w:rPr>
      </w:pPr>
      <w:r>
        <w:rPr>
          <w:rFonts w:ascii="Palatino Linotype" w:eastAsia="Palatino Linotype" w:hAnsi="Palatino Linotype" w:cs="Palatino Linotype"/>
          <w:color w:val="000000"/>
        </w:rPr>
        <w:t>Por lo anterior, el número de cuenta bancaria debe ser clasificado como confidencial con fundamento en las fracciones I y II del artículo 143 de la Ley de la Materia de la Entidad; en razón de que, con su difusión se estaría poniendo en riesgo la seguridad de su titular.</w:t>
      </w:r>
    </w:p>
    <w:p w14:paraId="15B4321E" w14:textId="77777777" w:rsidR="00F2419E" w:rsidRDefault="0034450F">
      <w:pPr>
        <w:pBdr>
          <w:top w:val="nil"/>
          <w:left w:val="nil"/>
          <w:bottom w:val="nil"/>
          <w:right w:val="nil"/>
          <w:between w:val="nil"/>
        </w:pBdr>
        <w:spacing w:before="240" w:after="240" w:line="360" w:lineRule="auto"/>
        <w:ind w:right="50"/>
        <w:jc w:val="both"/>
        <w:rPr>
          <w:color w:val="000000"/>
        </w:rPr>
      </w:pPr>
      <w:r>
        <w:rPr>
          <w:rFonts w:ascii="Palatino Linotype" w:eastAsia="Palatino Linotype" w:hAnsi="Palatino Linotype" w:cs="Palatino Linotype"/>
          <w:color w:val="000000"/>
        </w:rPr>
        <w:t>Además de que, la publicidad de los números de cuenta bancaria de los particulares en nada contribuye a la rendición de cuentas, sino por el contrario, dar a conocer los números de las cuentas bancarias hace vulnerable a las personas físicas, al abrir la posibilidad de que terceros que cuenten con las posibilidades tecnológicas y/o económicas puedan realizar actos ilícitos mediante operaciones cibernéticas; en esa virtud, este Instituto determina que dicha información no puede ser del dominio público, toda vez que se podría dar un uso inadecuado a la misma o cometer algún ilícito o fraude en contra del patrimonio de los particulares. </w:t>
      </w:r>
    </w:p>
    <w:p w14:paraId="3CF35F72" w14:textId="77777777" w:rsidR="00F2419E" w:rsidRDefault="0034450F">
      <w:pPr>
        <w:pBdr>
          <w:top w:val="nil"/>
          <w:left w:val="nil"/>
          <w:bottom w:val="nil"/>
          <w:right w:val="nil"/>
          <w:between w:val="nil"/>
        </w:pBdr>
        <w:spacing w:before="240" w:after="240" w:line="360" w:lineRule="auto"/>
        <w:ind w:right="50"/>
        <w:jc w:val="both"/>
        <w:rPr>
          <w:color w:val="000000"/>
        </w:rPr>
      </w:pPr>
      <w:r>
        <w:rPr>
          <w:rFonts w:ascii="Palatino Linotype" w:eastAsia="Palatino Linotype" w:hAnsi="Palatino Linotype" w:cs="Palatino Linotype"/>
          <w:color w:val="000000"/>
        </w:rPr>
        <w:lastRenderedPageBreak/>
        <w:t>Es por esta razón que se debe omitir el o los números de cuentas bancarias de particulares en las versiones públicas que de las facturas se hagan, para ser entregadas.</w:t>
      </w:r>
    </w:p>
    <w:p w14:paraId="5FA17B3E" w14:textId="77777777" w:rsidR="00F2419E" w:rsidRDefault="0034450F">
      <w:pPr>
        <w:pBdr>
          <w:top w:val="nil"/>
          <w:left w:val="nil"/>
          <w:bottom w:val="nil"/>
          <w:right w:val="nil"/>
          <w:between w:val="nil"/>
        </w:pBdr>
        <w:spacing w:before="240" w:after="240" w:line="360" w:lineRule="auto"/>
        <w:ind w:right="50"/>
        <w:jc w:val="both"/>
        <w:rPr>
          <w:color w:val="000000"/>
        </w:rPr>
      </w:pPr>
      <w:r>
        <w:rPr>
          <w:rFonts w:ascii="Palatino Linotype" w:eastAsia="Palatino Linotype" w:hAnsi="Palatino Linotype" w:cs="Palatino Linotype"/>
          <w:color w:val="000000"/>
        </w:rPr>
        <w:t>Lo anterior, no es así tratándose de las cuentas bancarias o claves interbancarias de los Sujetos Obligados ya que su publicidad cede a la rendición de cuentas al transparentar la forma en que son administrados los recursos públicos.</w:t>
      </w:r>
    </w:p>
    <w:p w14:paraId="5101E9C4" w14:textId="77777777" w:rsidR="00F2419E" w:rsidRDefault="0034450F">
      <w:pPr>
        <w:pBdr>
          <w:top w:val="nil"/>
          <w:left w:val="nil"/>
          <w:bottom w:val="nil"/>
          <w:right w:val="nil"/>
          <w:between w:val="nil"/>
        </w:pBdr>
        <w:spacing w:before="240" w:after="240" w:line="360" w:lineRule="auto"/>
        <w:ind w:right="50"/>
        <w:jc w:val="both"/>
        <w:rPr>
          <w:color w:val="000000"/>
        </w:rPr>
      </w:pPr>
      <w:r>
        <w:rPr>
          <w:rFonts w:ascii="Palatino Linotype" w:eastAsia="Palatino Linotype" w:hAnsi="Palatino Linotype" w:cs="Palatino Linotype"/>
          <w:color w:val="000000"/>
        </w:rPr>
        <w:t>Lo argumentado encuentra sustento en los criterios 10/17 y 11/17 emitidos por el Instituto Nacional de Transparencia, Acceso a la Información y Protección de Datos Personales, INAI, que llevan por rubro y texto los siguientes:</w:t>
      </w:r>
    </w:p>
    <w:p w14:paraId="5171E1CA" w14:textId="77777777" w:rsidR="00F2419E" w:rsidRDefault="0034450F">
      <w:pPr>
        <w:pBdr>
          <w:top w:val="nil"/>
          <w:left w:val="nil"/>
          <w:bottom w:val="nil"/>
          <w:right w:val="nil"/>
          <w:between w:val="nil"/>
        </w:pBdr>
        <w:spacing w:before="240" w:after="240" w:line="276" w:lineRule="auto"/>
        <w:ind w:left="851" w:right="900"/>
        <w:jc w:val="both"/>
        <w:rPr>
          <w:color w:val="000000"/>
        </w:rPr>
      </w:pPr>
      <w:r>
        <w:rPr>
          <w:rFonts w:ascii="Palatino Linotype" w:eastAsia="Palatino Linotype" w:hAnsi="Palatino Linotype" w:cs="Palatino Linotype"/>
          <w:b/>
          <w:i/>
          <w:color w:val="000000"/>
          <w:sz w:val="22"/>
          <w:szCs w:val="22"/>
        </w:rPr>
        <w:t>“Cuentas bancarias y/o CLABE interbancaria de personas físicas y morales privadas.</w:t>
      </w:r>
      <w:r>
        <w:rPr>
          <w:rFonts w:ascii="Palatino Linotype" w:eastAsia="Palatino Linotype" w:hAnsi="Palatino Linotype" w:cs="Palatino Linotype"/>
          <w:i/>
          <w:color w:val="000000"/>
          <w:sz w:val="22"/>
          <w:szCs w:val="22"/>
        </w:rPr>
        <w:t>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p>
    <w:p w14:paraId="18EFD734" w14:textId="77777777" w:rsidR="00F2419E" w:rsidRDefault="0034450F">
      <w:pPr>
        <w:pBdr>
          <w:top w:val="nil"/>
          <w:left w:val="nil"/>
          <w:bottom w:val="nil"/>
          <w:right w:val="nil"/>
          <w:between w:val="nil"/>
        </w:pBdr>
        <w:spacing w:before="240" w:after="240" w:line="276" w:lineRule="auto"/>
        <w:ind w:left="851" w:right="900"/>
        <w:jc w:val="both"/>
        <w:rPr>
          <w:color w:val="000000"/>
        </w:rPr>
      </w:pPr>
      <w:r>
        <w:rPr>
          <w:rFonts w:ascii="Palatino Linotype" w:eastAsia="Palatino Linotype" w:hAnsi="Palatino Linotype" w:cs="Palatino Linotype"/>
          <w:b/>
          <w:i/>
          <w:color w:val="000000"/>
          <w:sz w:val="22"/>
          <w:szCs w:val="22"/>
        </w:rPr>
        <w:t>Cuentas bancarias y/o CLABE interbancaria de sujetos obligados que reciben y/o transfieren recursos públicos, son información pública</w:t>
      </w:r>
      <w:r>
        <w:rPr>
          <w:rFonts w:ascii="Palatino Linotype" w:eastAsia="Palatino Linotype" w:hAnsi="Palatino Linotype" w:cs="Palatino Linotype"/>
          <w:i/>
          <w:color w:val="000000"/>
          <w:sz w:val="22"/>
          <w:szCs w:val="22"/>
        </w:rPr>
        <w:t>. La difusión de las cuentas bancarias y claves interbancarias pertenecientes a un sujeto obligado favorece la rendición de cuentas al transparentar la forma en que se administran los recursos públicos, razón por la cual no pueden considerarse como información clasificada.”</w:t>
      </w:r>
    </w:p>
    <w:p w14:paraId="441FB10B" w14:textId="77777777" w:rsidR="009B51B0" w:rsidRDefault="0034450F">
      <w:pPr>
        <w:pBdr>
          <w:top w:val="nil"/>
          <w:left w:val="nil"/>
          <w:bottom w:val="nil"/>
          <w:right w:val="nil"/>
          <w:between w:val="nil"/>
        </w:pBdr>
        <w:spacing w:before="240" w:after="240" w:line="360" w:lineRule="auto"/>
        <w:ind w:right="50"/>
        <w:jc w:val="both"/>
        <w:rPr>
          <w:rFonts w:ascii="Palatino Linotype" w:eastAsia="Palatino Linotype" w:hAnsi="Palatino Linotype" w:cs="Palatino Linotype"/>
        </w:rPr>
      </w:pPr>
      <w:r>
        <w:rPr>
          <w:rFonts w:ascii="Palatino Linotype" w:eastAsia="Palatino Linotype" w:hAnsi="Palatino Linotype" w:cs="Palatino Linotype"/>
          <w:color w:val="000000"/>
        </w:rPr>
        <w:lastRenderedPageBreak/>
        <w:t>En esa virtud, este Pleno determina que dicha información no puede ser del dominio público, toda vez que se podría dar un uso inadecuado a la misma o cometer algún ilícito o fraude como ya ha sido expuesto. </w:t>
      </w:r>
      <w:r>
        <w:rPr>
          <w:rFonts w:ascii="Palatino Linotype" w:eastAsia="Palatino Linotype" w:hAnsi="Palatino Linotype" w:cs="Palatino Linotype"/>
        </w:rPr>
        <w:t xml:space="preserve"> </w:t>
      </w:r>
    </w:p>
    <w:p w14:paraId="0ED7D3F5" w14:textId="77777777" w:rsidR="00F2419E" w:rsidRDefault="0034450F">
      <w:pPr>
        <w:pBdr>
          <w:top w:val="nil"/>
          <w:left w:val="nil"/>
          <w:bottom w:val="nil"/>
          <w:right w:val="nil"/>
          <w:between w:val="nil"/>
        </w:pBdr>
        <w:spacing w:before="240" w:after="240" w:line="360" w:lineRule="auto"/>
        <w:ind w:right="50"/>
        <w:jc w:val="both"/>
        <w:rPr>
          <w:color w:val="000000"/>
        </w:rPr>
      </w:pPr>
      <w:r>
        <w:rPr>
          <w:rFonts w:ascii="Palatino Linotype" w:eastAsia="Palatino Linotype" w:hAnsi="Palatino Linotype" w:cs="Palatino Linotype"/>
          <w:color w:val="000000"/>
        </w:rPr>
        <w:t xml:space="preserve">Por cuanto hace al </w:t>
      </w:r>
      <w:r>
        <w:rPr>
          <w:rFonts w:ascii="Palatino Linotype" w:eastAsia="Palatino Linotype" w:hAnsi="Palatino Linotype" w:cs="Palatino Linotype"/>
          <w:b/>
          <w:color w:val="000000"/>
        </w:rPr>
        <w:t xml:space="preserve">Registro Federal de Contribuyentes (RFC), </w:t>
      </w:r>
      <w:r>
        <w:rPr>
          <w:rFonts w:ascii="Palatino Linotype" w:eastAsia="Palatino Linotype" w:hAnsi="Palatino Linotype" w:cs="Palatino Linotype"/>
          <w:color w:val="000000"/>
        </w:rPr>
        <w:t>si bien este Instituto ha sostenido que el RFC y domicilio fiscal de las personas físicas debe ser testado por los Sujetos Obligados, en las versiones públicas de los documentos que elaboren para atender las solicitudes de información pública, lo cierto es que, tratándose de proveedores, prestadores de servicios o contratistas, dichos datos no deben ser suprimidos de las facturas y contratos que vayan a ser entregados.</w:t>
      </w:r>
    </w:p>
    <w:p w14:paraId="08EB1322" w14:textId="77777777" w:rsidR="00F2419E" w:rsidRDefault="0034450F">
      <w:pPr>
        <w:pBdr>
          <w:top w:val="nil"/>
          <w:left w:val="nil"/>
          <w:bottom w:val="nil"/>
          <w:right w:val="nil"/>
          <w:between w:val="nil"/>
        </w:pBdr>
        <w:spacing w:before="240" w:after="240" w:line="360" w:lineRule="auto"/>
        <w:ind w:right="50"/>
        <w:jc w:val="both"/>
        <w:rPr>
          <w:color w:val="000000"/>
        </w:rPr>
      </w:pPr>
      <w:r>
        <w:rPr>
          <w:rFonts w:ascii="Palatino Linotype" w:eastAsia="Palatino Linotype" w:hAnsi="Palatino Linotype" w:cs="Palatino Linotype"/>
          <w:color w:val="000000"/>
        </w:rPr>
        <w:t>Ello se debe a que, del ejercicio de ponderación entre el derecho a la protección de datos personales con el derecho de acceso a la información pública, es de mayor trascendencia el que cualquier persona pueda conocer en qué se gastan los recursos públicos, puesto que se trata de erogaciones que realiza un órgano del Estado con base en los recursos que encuentran su origen en mayor medida en las contribuciones aportados por los gobernados, por lo que debe transparentarse su ejercicio.</w:t>
      </w:r>
    </w:p>
    <w:p w14:paraId="3D49AA83" w14:textId="77777777" w:rsidR="00F2419E" w:rsidRDefault="0034450F">
      <w:pPr>
        <w:pBdr>
          <w:top w:val="nil"/>
          <w:left w:val="nil"/>
          <w:bottom w:val="nil"/>
          <w:right w:val="nil"/>
          <w:between w:val="nil"/>
        </w:pBdr>
        <w:spacing w:before="240" w:after="240" w:line="360" w:lineRule="auto"/>
        <w:ind w:right="50"/>
        <w:jc w:val="both"/>
        <w:rPr>
          <w:color w:val="000000"/>
        </w:rPr>
      </w:pPr>
      <w:r>
        <w:rPr>
          <w:rFonts w:ascii="Palatino Linotype" w:eastAsia="Palatino Linotype" w:hAnsi="Palatino Linotype" w:cs="Palatino Linotype"/>
          <w:color w:val="000000"/>
        </w:rPr>
        <w:t xml:space="preserve">Además, las personas físicas que realicen las actividades contratadas por las instituciones, renuncian implícitamente a una parte de su derecho a la intimidad al obtener beneficios y lucros de los recursos públicos por dicha contratación, por lo que no puede considerarse como información clasificada lo relativo a su nombre, registro federal de contribuyentes y domicilio fiscal, atento a que dicha información </w:t>
      </w:r>
      <w:r>
        <w:rPr>
          <w:rFonts w:ascii="Palatino Linotype" w:eastAsia="Palatino Linotype" w:hAnsi="Palatino Linotype" w:cs="Palatino Linotype"/>
          <w:color w:val="000000"/>
        </w:rPr>
        <w:lastRenderedPageBreak/>
        <w:t>es la que puede generar certeza en los gobernados en que se está ejerciendo debidamente el presupuesto.</w:t>
      </w:r>
    </w:p>
    <w:p w14:paraId="4E1F2F0B" w14:textId="77777777" w:rsidR="00F2419E" w:rsidRDefault="0034450F">
      <w:pPr>
        <w:pBdr>
          <w:top w:val="nil"/>
          <w:left w:val="nil"/>
          <w:bottom w:val="nil"/>
          <w:right w:val="nil"/>
          <w:between w:val="nil"/>
        </w:pBdr>
        <w:spacing w:before="240" w:after="240" w:line="360" w:lineRule="auto"/>
        <w:ind w:right="50"/>
        <w:jc w:val="both"/>
        <w:rPr>
          <w:color w:val="000000"/>
        </w:rPr>
      </w:pPr>
      <w:r>
        <w:rPr>
          <w:rFonts w:ascii="Palatino Linotype" w:eastAsia="Palatino Linotype" w:hAnsi="Palatino Linotype" w:cs="Palatino Linotype"/>
          <w:color w:val="000000"/>
        </w:rPr>
        <w:t>Relacionado con lo anterior, el nombre de las personas físicas o los representantes legales de las personas morales, en su calidad de proveedores, contratistas o prestadores de servicios, y la firma de estos, que participaron en el proceso de adjudicación en la modalidad de licitación pública nacional, debe mencionarse que con base en el artículo 23 párrafo segundo y 24 fracción XVIII  de la Ley de Transparencia y Acceso a la Información Pública del Estado de México y Municipios, los entes públicos tienen la obligación de difundir toda aquella información relativa a los montos y las personas a quienes entreguen, por cualquier motivo, recursos públicos, así como los informes que dichas personas entreguen sobre el uso y destino de dichos recursos, motivo por el cual los datos del representante legal de la persona moral que resultó favorecida con el procedimiento de licitación no conservan el carácter de confidencial y por tanto no deben ser testados.</w:t>
      </w:r>
    </w:p>
    <w:p w14:paraId="1D5C8F77" w14:textId="77777777" w:rsidR="00F2419E" w:rsidRDefault="0034450F">
      <w:pPr>
        <w:pBdr>
          <w:top w:val="nil"/>
          <w:left w:val="nil"/>
          <w:bottom w:val="nil"/>
          <w:right w:val="nil"/>
          <w:between w:val="nil"/>
        </w:pBdr>
        <w:spacing w:before="240" w:after="240" w:line="360" w:lineRule="auto"/>
        <w:ind w:right="50"/>
        <w:jc w:val="both"/>
        <w:rPr>
          <w:color w:val="000000"/>
        </w:rPr>
      </w:pPr>
      <w:r>
        <w:rPr>
          <w:rFonts w:ascii="Palatino Linotype" w:eastAsia="Palatino Linotype" w:hAnsi="Palatino Linotype" w:cs="Palatino Linotype"/>
          <w:color w:val="000000"/>
        </w:rPr>
        <w:t>Argumentación que guarda sustento en lo estipulado por el artículo 23 de la Ley de Transparencia y Acceso a la Información Pública del Estado de México y Municipios en su penúltimo párrafo, mismo que es del tenor literal siguiente:</w:t>
      </w:r>
    </w:p>
    <w:p w14:paraId="02F8933D" w14:textId="77777777" w:rsidR="00F2419E" w:rsidRDefault="0034450F">
      <w:pPr>
        <w:pBdr>
          <w:top w:val="nil"/>
          <w:left w:val="nil"/>
          <w:bottom w:val="nil"/>
          <w:right w:val="nil"/>
          <w:between w:val="nil"/>
        </w:pBdr>
        <w:spacing w:before="240" w:after="240" w:line="276" w:lineRule="auto"/>
        <w:ind w:left="851" w:right="900"/>
        <w:jc w:val="both"/>
        <w:rPr>
          <w:color w:val="000000"/>
        </w:rPr>
      </w:pPr>
      <w:r>
        <w:rPr>
          <w:rFonts w:ascii="Palatino Linotype" w:eastAsia="Palatino Linotype" w:hAnsi="Palatino Linotype" w:cs="Palatino Linotype"/>
          <w:i/>
          <w:color w:val="000000"/>
          <w:sz w:val="22"/>
          <w:szCs w:val="22"/>
        </w:rPr>
        <w:t>“</w:t>
      </w:r>
      <w:r>
        <w:rPr>
          <w:rFonts w:ascii="Palatino Linotype" w:eastAsia="Palatino Linotype" w:hAnsi="Palatino Linotype" w:cs="Palatino Linotype"/>
          <w:b/>
          <w:i/>
          <w:color w:val="000000"/>
          <w:sz w:val="22"/>
          <w:szCs w:val="22"/>
        </w:rPr>
        <w:t>Artículo 23.</w:t>
      </w:r>
      <w:r>
        <w:rPr>
          <w:rFonts w:ascii="Palatino Linotype" w:eastAsia="Palatino Linotype" w:hAnsi="Palatino Linotype" w:cs="Palatino Linotype"/>
          <w:i/>
          <w:color w:val="000000"/>
          <w:sz w:val="22"/>
          <w:szCs w:val="22"/>
        </w:rPr>
        <w:t xml:space="preserve"> (…)</w:t>
      </w:r>
    </w:p>
    <w:p w14:paraId="153537D2" w14:textId="77777777" w:rsidR="00F2419E" w:rsidRDefault="0034450F">
      <w:pPr>
        <w:pBdr>
          <w:top w:val="nil"/>
          <w:left w:val="nil"/>
          <w:bottom w:val="nil"/>
          <w:right w:val="nil"/>
          <w:between w:val="nil"/>
        </w:pBdr>
        <w:spacing w:before="240" w:after="240" w:line="276" w:lineRule="auto"/>
        <w:ind w:left="851" w:right="900"/>
        <w:jc w:val="both"/>
        <w:rPr>
          <w:color w:val="000000"/>
        </w:rPr>
      </w:pPr>
      <w:r>
        <w:rPr>
          <w:rFonts w:ascii="Palatino Linotype" w:eastAsia="Palatino Linotype" w:hAnsi="Palatino Linotype" w:cs="Palatino Linotype"/>
          <w:i/>
          <w:color w:val="000000"/>
          <w:sz w:val="22"/>
          <w:szCs w:val="22"/>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14:paraId="35AB30A9" w14:textId="77777777" w:rsidR="00F2419E" w:rsidRDefault="0034450F">
      <w:pPr>
        <w:pBdr>
          <w:top w:val="nil"/>
          <w:left w:val="nil"/>
          <w:bottom w:val="nil"/>
          <w:right w:val="nil"/>
          <w:between w:val="nil"/>
        </w:pBdr>
        <w:spacing w:before="240" w:after="240" w:line="360" w:lineRule="auto"/>
        <w:jc w:val="both"/>
        <w:rPr>
          <w:color w:val="000000"/>
        </w:rPr>
      </w:pPr>
      <w:r>
        <w:rPr>
          <w:rFonts w:ascii="Palatino Linotype" w:eastAsia="Palatino Linotype" w:hAnsi="Palatino Linotype" w:cs="Palatino Linotype"/>
          <w:color w:val="000000"/>
        </w:rPr>
        <w:lastRenderedPageBreak/>
        <w:t>Con base en lo expuesto, se insiste que en la versión pública de los documentos que se ordenan se deben testar aquellos elementos señalados en la presente resolución, en el entendido de que debe ser pública toda la demás información relacionada que no encuadre en los conceptos anteriores.</w:t>
      </w:r>
    </w:p>
    <w:p w14:paraId="037684D0" w14:textId="77777777" w:rsidR="00F2419E" w:rsidRDefault="0034450F">
      <w:pPr>
        <w:pBdr>
          <w:top w:val="nil"/>
          <w:left w:val="nil"/>
          <w:bottom w:val="nil"/>
          <w:right w:val="nil"/>
          <w:between w:val="nil"/>
        </w:pBdr>
        <w:spacing w:before="240" w:after="240" w:line="360" w:lineRule="auto"/>
        <w:jc w:val="both"/>
        <w:rPr>
          <w:color w:val="000000"/>
        </w:rPr>
      </w:pPr>
      <w:r>
        <w:rPr>
          <w:rFonts w:ascii="Palatino Linotype" w:eastAsia="Palatino Linotype" w:hAnsi="Palatino Linotype" w:cs="Palatino Linotype"/>
          <w:color w:val="000000"/>
        </w:rPr>
        <w:t>Al respecto, se destaca que la versión pública que elabore el Sujeto Obligado debe cumplir con las formalidades exigidas en la Ley, por lo que para tal efecto emitirá el Acuerdo del Comité de Transparencia en términos de la Ley de Transparencia y Acceso a la Información Pública del Estado de México y los Lineamientos Generales en Materia de Clasificación y Desclasificación de la Información, Así Como Para la Elaboración de Versiones Públicas emitidos por el Consejo Nacional de Transparencia, con el cual sustentara la clasificación de datos y con ello la "versión pública" de los documentos materia de las solicitudes.</w:t>
      </w:r>
    </w:p>
    <w:p w14:paraId="74D1C2A0" w14:textId="77777777" w:rsidR="00F2419E" w:rsidRDefault="0034450F">
      <w:pPr>
        <w:pBdr>
          <w:top w:val="nil"/>
          <w:left w:val="nil"/>
          <w:bottom w:val="nil"/>
          <w:right w:val="nil"/>
          <w:between w:val="nil"/>
        </w:pBdr>
        <w:spacing w:before="240" w:after="240" w:line="360" w:lineRule="auto"/>
        <w:jc w:val="both"/>
        <w:rPr>
          <w:color w:val="000000"/>
        </w:rPr>
      </w:pPr>
      <w:r>
        <w:rPr>
          <w:rFonts w:ascii="Palatino Linotype" w:eastAsia="Palatino Linotype" w:hAnsi="Palatino Linotype" w:cs="Palatino Linotype"/>
          <w:color w:val="000000"/>
        </w:rPr>
        <w:t>Efectivamente, cuando se clasifica información como confidencial o reservada es importante someterlo al Comité de Transparencia, quien debe confirmar, modificar o revocar la clasificación.</w:t>
      </w:r>
    </w:p>
    <w:p w14:paraId="2E2474A1" w14:textId="77777777" w:rsidR="00F2419E" w:rsidRDefault="0034450F">
      <w:pPr>
        <w:pBdr>
          <w:top w:val="nil"/>
          <w:left w:val="nil"/>
          <w:bottom w:val="nil"/>
          <w:right w:val="nil"/>
          <w:between w:val="nil"/>
        </w:pBdr>
        <w:spacing w:before="240" w:after="240" w:line="360" w:lineRule="auto"/>
        <w:jc w:val="both"/>
        <w:rPr>
          <w:color w:val="000000"/>
        </w:rPr>
      </w:pPr>
      <w:r>
        <w:rPr>
          <w:rFonts w:ascii="Palatino Linotype" w:eastAsia="Palatino Linotype" w:hAnsi="Palatino Linotype" w:cs="Palatino Linotype"/>
          <w:color w:val="000000"/>
        </w:rPr>
        <w:t xml:space="preserve">Por lo tanto, la entrega de documentos en su versión pública debe acompañarse necesariamente del Acuerdo del Comité de Transparencia que la sustente, en el que se expongan los fundamentos y razonamientos que llevaron al Sujeto Obligado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w:t>
      </w:r>
      <w:r>
        <w:rPr>
          <w:rFonts w:ascii="Palatino Linotype" w:eastAsia="Palatino Linotype" w:hAnsi="Palatino Linotype" w:cs="Palatino Linotype"/>
          <w:color w:val="000000"/>
        </w:rPr>
        <w:lastRenderedPageBreak/>
        <w:t>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 por lo que el acuerdo respectivo, deberá hacerse del conocimiento de la Recurrente.</w:t>
      </w:r>
    </w:p>
    <w:p w14:paraId="479B0BBF" w14:textId="77777777" w:rsidR="00F2419E" w:rsidRDefault="0034450F">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color w:val="000000"/>
        </w:rPr>
        <w:t>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 de los servidores públicos.</w:t>
      </w:r>
    </w:p>
    <w:p w14:paraId="221E6E43" w14:textId="77777777" w:rsidR="009B51B0" w:rsidRDefault="0034450F">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rPr>
        <w:t xml:space="preserve">En mérito de lo expuesto en líneas anteriores, resultan </w:t>
      </w:r>
      <w:r w:rsidRPr="009B51B0">
        <w:rPr>
          <w:rFonts w:ascii="Palatino Linotype" w:eastAsia="Palatino Linotype" w:hAnsi="Palatino Linotype" w:cs="Palatino Linotype"/>
        </w:rPr>
        <w:t>parcialmente f</w:t>
      </w:r>
      <w:r>
        <w:rPr>
          <w:rFonts w:ascii="Palatino Linotype" w:eastAsia="Palatino Linotype" w:hAnsi="Palatino Linotype" w:cs="Palatino Linotype"/>
        </w:rPr>
        <w:t xml:space="preserve">undadas las razones o motivos de inconformidad hechos valer por el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en el recurso de </w:t>
      </w:r>
      <w:r w:rsidRPr="009B51B0">
        <w:rPr>
          <w:rFonts w:ascii="Palatino Linotype" w:eastAsia="Palatino Linotype" w:hAnsi="Palatino Linotype" w:cs="Palatino Linotype"/>
        </w:rPr>
        <w:t xml:space="preserve">revisión </w:t>
      </w:r>
      <w:r w:rsidRPr="009B51B0">
        <w:rPr>
          <w:rFonts w:ascii="Palatino Linotype" w:eastAsia="Palatino Linotype" w:hAnsi="Palatino Linotype" w:cs="Palatino Linotype"/>
          <w:b/>
        </w:rPr>
        <w:t>03</w:t>
      </w:r>
      <w:r w:rsidR="009B51B0" w:rsidRPr="009B51B0">
        <w:rPr>
          <w:rFonts w:ascii="Palatino Linotype" w:eastAsia="Palatino Linotype" w:hAnsi="Palatino Linotype" w:cs="Palatino Linotype"/>
          <w:b/>
        </w:rPr>
        <w:t>944</w:t>
      </w:r>
      <w:r w:rsidRPr="009B51B0">
        <w:rPr>
          <w:rFonts w:ascii="Palatino Linotype" w:eastAsia="Palatino Linotype" w:hAnsi="Palatino Linotype" w:cs="Palatino Linotype"/>
          <w:b/>
        </w:rPr>
        <w:t>/INFOEM/IP/RR/2022</w:t>
      </w:r>
      <w:r w:rsidRPr="009B51B0">
        <w:rPr>
          <w:rFonts w:ascii="Palatino Linotype" w:eastAsia="Palatino Linotype" w:hAnsi="Palatino Linotype" w:cs="Palatino Linotype"/>
        </w:rPr>
        <w:t>;</w:t>
      </w:r>
      <w:r>
        <w:rPr>
          <w:rFonts w:ascii="Palatino Linotype" w:eastAsia="Palatino Linotype" w:hAnsi="Palatino Linotype" w:cs="Palatino Linotype"/>
        </w:rPr>
        <w:t xml:space="preserve"> por ello, y con fundamento en la fracción III del numeral 186 de la Ley de Transparencia y Acceso a la Información Pública del Estado de México y Municipios, se </w:t>
      </w:r>
      <w:r w:rsidR="009B51B0">
        <w:rPr>
          <w:rFonts w:ascii="Palatino Linotype" w:eastAsia="Palatino Linotype" w:hAnsi="Palatino Linotype" w:cs="Palatino Linotype"/>
          <w:b/>
        </w:rPr>
        <w:t xml:space="preserve">MODIFICA </w:t>
      </w:r>
      <w:r>
        <w:rPr>
          <w:rFonts w:ascii="Palatino Linotype" w:eastAsia="Palatino Linotype" w:hAnsi="Palatino Linotype" w:cs="Palatino Linotype"/>
        </w:rPr>
        <w:t xml:space="preserve">la respuesta del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a la solicitud de información </w:t>
      </w:r>
      <w:r w:rsidRPr="009B51B0">
        <w:rPr>
          <w:rFonts w:ascii="Palatino Linotype" w:eastAsia="Palatino Linotype" w:hAnsi="Palatino Linotype" w:cs="Palatino Linotype"/>
          <w:b/>
        </w:rPr>
        <w:t>00</w:t>
      </w:r>
      <w:r w:rsidR="009B51B0">
        <w:rPr>
          <w:rFonts w:ascii="Palatino Linotype" w:eastAsia="Palatino Linotype" w:hAnsi="Palatino Linotype" w:cs="Palatino Linotype"/>
          <w:b/>
        </w:rPr>
        <w:t>015</w:t>
      </w:r>
      <w:r w:rsidRPr="009B51B0">
        <w:rPr>
          <w:rFonts w:ascii="Palatino Linotype" w:eastAsia="Palatino Linotype" w:hAnsi="Palatino Linotype" w:cs="Palatino Linotype"/>
          <w:b/>
        </w:rPr>
        <w:t>/</w:t>
      </w:r>
      <w:r w:rsidR="009B51B0">
        <w:rPr>
          <w:rFonts w:ascii="Palatino Linotype" w:eastAsia="Palatino Linotype" w:hAnsi="Palatino Linotype" w:cs="Palatino Linotype"/>
          <w:b/>
        </w:rPr>
        <w:t>CAEM</w:t>
      </w:r>
      <w:r w:rsidRPr="009B51B0">
        <w:rPr>
          <w:rFonts w:ascii="Palatino Linotype" w:eastAsia="Palatino Linotype" w:hAnsi="Palatino Linotype" w:cs="Palatino Linotype"/>
          <w:b/>
        </w:rPr>
        <w:t xml:space="preserve">/IP/2022.  </w:t>
      </w:r>
    </w:p>
    <w:p w14:paraId="0478CBF2" w14:textId="77777777" w:rsidR="00F2419E" w:rsidRDefault="0034450F">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Así, con fundamento en lo prescrito en los artículos 5 párrafos trigésimo, trigésimo primero y trigésimo segundo fracciones IV y V de la Constitución Política del Estado Libre y Soberano de México; 2, fracción II; 29, 36 fracciones I y II; 176, 178, 181, 185, fracción I, 186 y 188 de la Ley de Transparencia y Acceso a la Información Pública del Estado de México y Municipios, este Pleno:</w:t>
      </w:r>
    </w:p>
    <w:p w14:paraId="2934C0F5" w14:textId="77777777" w:rsidR="00F2419E" w:rsidRDefault="0034450F">
      <w:pPr>
        <w:numPr>
          <w:ilvl w:val="0"/>
          <w:numId w:val="8"/>
        </w:numPr>
        <w:pBdr>
          <w:top w:val="nil"/>
          <w:left w:val="nil"/>
          <w:bottom w:val="nil"/>
          <w:right w:val="nil"/>
          <w:between w:val="nil"/>
        </w:pBdr>
        <w:spacing w:before="240" w:after="240" w:line="360" w:lineRule="auto"/>
        <w:jc w:val="center"/>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lastRenderedPageBreak/>
        <w:t>R E S U E L V E:</w:t>
      </w:r>
    </w:p>
    <w:p w14:paraId="67DB39C3" w14:textId="77777777" w:rsidR="00F2419E" w:rsidRDefault="0034450F">
      <w:pPr>
        <w:spacing w:before="240" w:after="240" w:line="360" w:lineRule="auto"/>
        <w:jc w:val="both"/>
        <w:rPr>
          <w:rFonts w:ascii="Palatino Linotype" w:eastAsia="Palatino Linotype" w:hAnsi="Palatino Linotype" w:cs="Palatino Linotype"/>
        </w:rPr>
      </w:pPr>
      <w:bookmarkStart w:id="7" w:name="_heading=h.30j0zll" w:colFirst="0" w:colLast="0"/>
      <w:bookmarkEnd w:id="7"/>
      <w:r>
        <w:rPr>
          <w:rFonts w:ascii="Palatino Linotype" w:eastAsia="Palatino Linotype" w:hAnsi="Palatino Linotype" w:cs="Palatino Linotype"/>
          <w:b/>
        </w:rPr>
        <w:t xml:space="preserve">PRIMERO. </w:t>
      </w:r>
      <w:r>
        <w:rPr>
          <w:rFonts w:ascii="Palatino Linotype" w:eastAsia="Palatino Linotype" w:hAnsi="Palatino Linotype" w:cs="Palatino Linotype"/>
        </w:rPr>
        <w:t xml:space="preserve">Resultan parcialmente fundados los motivos de inconformidad hechos valer por el </w:t>
      </w:r>
      <w:r>
        <w:rPr>
          <w:rFonts w:ascii="Palatino Linotype" w:eastAsia="Palatino Linotype" w:hAnsi="Palatino Linotype" w:cs="Palatino Linotype"/>
          <w:b/>
        </w:rPr>
        <w:t xml:space="preserve">RECURRENTE </w:t>
      </w:r>
      <w:r>
        <w:rPr>
          <w:rFonts w:ascii="Palatino Linotype" w:eastAsia="Palatino Linotype" w:hAnsi="Palatino Linotype" w:cs="Palatino Linotype"/>
        </w:rPr>
        <w:t xml:space="preserve">en el recurso de revisión </w:t>
      </w:r>
      <w:r>
        <w:rPr>
          <w:rFonts w:ascii="Palatino Linotype" w:eastAsia="Palatino Linotype" w:hAnsi="Palatino Linotype" w:cs="Palatino Linotype"/>
          <w:b/>
        </w:rPr>
        <w:t xml:space="preserve">03944/INFOEM/IP/RR/2022, </w:t>
      </w:r>
      <w:r>
        <w:rPr>
          <w:rFonts w:ascii="Palatino Linotype" w:eastAsia="Palatino Linotype" w:hAnsi="Palatino Linotype" w:cs="Palatino Linotype"/>
        </w:rPr>
        <w:t xml:space="preserve">en términos del Considerando Cuarto de la presente resolución. </w:t>
      </w:r>
    </w:p>
    <w:p w14:paraId="6043E7F9" w14:textId="77777777" w:rsidR="00F2419E" w:rsidRDefault="0034450F">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SEGUNDO. S</w:t>
      </w:r>
      <w:r>
        <w:rPr>
          <w:rFonts w:ascii="Palatino Linotype" w:eastAsia="Palatino Linotype" w:hAnsi="Palatino Linotype" w:cs="Palatino Linotype"/>
        </w:rPr>
        <w:t xml:space="preserve">e </w:t>
      </w:r>
      <w:r>
        <w:rPr>
          <w:rFonts w:ascii="Palatino Linotype" w:eastAsia="Palatino Linotype" w:hAnsi="Palatino Linotype" w:cs="Palatino Linotype"/>
          <w:b/>
        </w:rPr>
        <w:t>MODIFICA</w:t>
      </w:r>
      <w:r>
        <w:rPr>
          <w:rFonts w:ascii="Palatino Linotype" w:eastAsia="Palatino Linotype" w:hAnsi="Palatino Linotype" w:cs="Palatino Linotype"/>
        </w:rPr>
        <w:t xml:space="preserve"> la respuesta emitida por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y se ordena, haga entrega vía Sistema de Acceso a la Información Mexiquense (SAIMEX), en versión pública, la siguiente información:</w:t>
      </w:r>
    </w:p>
    <w:p w14:paraId="28271825" w14:textId="77777777" w:rsidR="00F2419E" w:rsidRDefault="0034450F">
      <w:pPr>
        <w:numPr>
          <w:ilvl w:val="0"/>
          <w:numId w:val="7"/>
        </w:numPr>
        <w:pBdr>
          <w:top w:val="nil"/>
          <w:left w:val="nil"/>
          <w:bottom w:val="nil"/>
          <w:right w:val="nil"/>
          <w:between w:val="nil"/>
        </w:pBdr>
        <w:spacing w:before="240" w:after="240" w:line="276" w:lineRule="auto"/>
        <w:ind w:left="851" w:right="616" w:hanging="142"/>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 xml:space="preserve">Acta constitutiva de la Comercializadora Macano, S.A. de C.V. remitida por el Sujeto Obligado en informe justificado. </w:t>
      </w:r>
    </w:p>
    <w:p w14:paraId="7ED6115D" w14:textId="77777777" w:rsidR="00F2419E" w:rsidRDefault="0034450F">
      <w:pPr>
        <w:pBdr>
          <w:top w:val="nil"/>
          <w:left w:val="nil"/>
          <w:bottom w:val="nil"/>
          <w:right w:val="nil"/>
          <w:between w:val="nil"/>
        </w:pBdr>
        <w:spacing w:before="120" w:after="120"/>
        <w:ind w:left="851" w:right="709"/>
        <w:jc w:val="both"/>
        <w:rPr>
          <w:rFonts w:ascii="Palatino Linotype" w:eastAsia="Palatino Linotype" w:hAnsi="Palatino Linotype" w:cs="Palatino Linotype"/>
          <w:i/>
        </w:rPr>
      </w:pPr>
      <w:r>
        <w:rPr>
          <w:rFonts w:ascii="Palatino Linotype" w:eastAsia="Palatino Linotype" w:hAnsi="Palatino Linotype" w:cs="Palatino Linotype"/>
          <w:i/>
        </w:rPr>
        <w:t>Deberá emitir el Acuerdo del Comité de Transparencia de conformidad con lo dispuesto en la Ley de Transparencia y Acceso a la Información Pública del Estado de México y Municipios, en el que funde y motive las razones sobre los datos que se supriman o eliminen de los soportes documentales objeto de las versiones públicas que se formulen y se pongan a disposición de la parte recurrente, mismo que igualmente hará de su conocimiento.</w:t>
      </w:r>
    </w:p>
    <w:p w14:paraId="75651963" w14:textId="77777777" w:rsidR="00337944" w:rsidRDefault="00337944">
      <w:pPr>
        <w:pBdr>
          <w:top w:val="nil"/>
          <w:left w:val="nil"/>
          <w:bottom w:val="nil"/>
          <w:right w:val="nil"/>
          <w:between w:val="nil"/>
        </w:pBdr>
        <w:spacing w:before="120" w:after="120"/>
        <w:ind w:left="851" w:right="709"/>
        <w:jc w:val="both"/>
        <w:rPr>
          <w:rFonts w:ascii="Palatino Linotype" w:eastAsia="Palatino Linotype" w:hAnsi="Palatino Linotype" w:cs="Palatino Linotype"/>
          <w:i/>
        </w:rPr>
      </w:pPr>
    </w:p>
    <w:p w14:paraId="428BEDDD" w14:textId="77777777" w:rsidR="00337944" w:rsidRDefault="0034450F">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TERCERO.</w:t>
      </w:r>
      <w:r>
        <w:rPr>
          <w:rFonts w:ascii="Palatino Linotype" w:eastAsia="Palatino Linotype" w:hAnsi="Palatino Linotype" w:cs="Palatino Linotype"/>
          <w:b/>
          <w:sz w:val="28"/>
          <w:szCs w:val="28"/>
        </w:rPr>
        <w:t xml:space="preserve"> </w:t>
      </w:r>
      <w:r>
        <w:rPr>
          <w:rFonts w:ascii="Palatino Linotype" w:eastAsia="Palatino Linotype" w:hAnsi="Palatino Linotype" w:cs="Palatino Linotype"/>
          <w:b/>
        </w:rPr>
        <w:t xml:space="preserve">Notifíquese, vía SAIMEX </w:t>
      </w:r>
      <w:r>
        <w:rPr>
          <w:rFonts w:ascii="Palatino Linotype" w:eastAsia="Palatino Linotype" w:hAnsi="Palatino Linotype" w:cs="Palatino Linotype"/>
        </w:rPr>
        <w:t>al Responsable de la Unidad de Transparencia del Sujeto Obligado la presente resolución,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misma.</w:t>
      </w:r>
    </w:p>
    <w:p w14:paraId="0D311DB7" w14:textId="77777777" w:rsidR="00F2419E" w:rsidRDefault="0034450F">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lastRenderedPageBreak/>
        <w:t xml:space="preserve">CUARTO. </w:t>
      </w:r>
      <w:r>
        <w:rPr>
          <w:rFonts w:ascii="Palatino Linotype" w:eastAsia="Palatino Linotype" w:hAnsi="Palatino Linotype" w:cs="Palatino Linotype"/>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304DB492" w14:textId="77777777" w:rsidR="00F2419E" w:rsidRDefault="0034450F">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QUINTO. Notifíquese </w:t>
      </w:r>
      <w:r>
        <w:rPr>
          <w:rFonts w:ascii="Palatino Linotype" w:eastAsia="Palatino Linotype" w:hAnsi="Palatino Linotype" w:cs="Palatino Linotype"/>
        </w:rPr>
        <w:t>vía Sistema de Acceso a la Información Mexiquense (SAIMEX)</w:t>
      </w:r>
      <w:r>
        <w:rPr>
          <w:rFonts w:ascii="Palatino Linotype" w:eastAsia="Palatino Linotype" w:hAnsi="Palatino Linotype" w:cs="Palatino Linotype"/>
          <w:color w:val="000000"/>
        </w:rPr>
        <w:t>,</w:t>
      </w:r>
      <w:r>
        <w:rPr>
          <w:rFonts w:ascii="Palatino Linotype" w:eastAsia="Palatino Linotype" w:hAnsi="Palatino Linotype" w:cs="Palatino Linotype"/>
          <w:b/>
          <w:color w:val="000000"/>
        </w:rPr>
        <w:t xml:space="preserve"> </w:t>
      </w:r>
      <w:r>
        <w:rPr>
          <w:rFonts w:ascii="Palatino Linotype" w:eastAsia="Palatino Linotype" w:hAnsi="Palatino Linotype" w:cs="Palatino Linotype"/>
        </w:rPr>
        <w:t>la presente resolución a la parte recurrente, así como, que de conformidad con lo establecido en el artículo 196 de la Ley de Transparencia y Acceso a la Información Pública del Estado de México y Municipios, podrá impugnarla vía Juicio de Amparo en los términos de las leyes aplicables.</w:t>
      </w:r>
    </w:p>
    <w:p w14:paraId="30151CA2" w14:textId="77777777" w:rsidR="009B51B0" w:rsidRDefault="009B51B0" w:rsidP="009B51B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SEXTO. Gírese</w:t>
      </w:r>
      <w:r>
        <w:rPr>
          <w:rFonts w:ascii="Palatino Linotype" w:eastAsia="Palatino Linotype" w:hAnsi="Palatino Linotype" w:cs="Palatino Linotype"/>
        </w:rPr>
        <w:t xml:space="preserve"> oficio al Titular de la Dirección General de Protección de Datos Personales de este Instituto con fundamento en el artículo 82 fracción XXVII de la Ley de Protección de Datos Personales en Posesión de Sujetos Obligados del Estado de México y Municipios, para que actúen en razón de su competencia, en términos de lo expuesto en el Considerando </w:t>
      </w:r>
      <w:r>
        <w:rPr>
          <w:rFonts w:ascii="Palatino Linotype" w:eastAsia="Palatino Linotype" w:hAnsi="Palatino Linotype" w:cs="Palatino Linotype"/>
          <w:b/>
        </w:rPr>
        <w:t>Cuarto</w:t>
      </w:r>
      <w:r>
        <w:rPr>
          <w:rFonts w:ascii="Palatino Linotype" w:eastAsia="Palatino Linotype" w:hAnsi="Palatino Linotype" w:cs="Palatino Linotype"/>
        </w:rPr>
        <w:t xml:space="preserve"> de la presente resolución.</w:t>
      </w:r>
    </w:p>
    <w:p w14:paraId="34F8334A" w14:textId="77777777" w:rsidR="00F2419E" w:rsidRDefault="0034450F">
      <w:pPr>
        <w:spacing w:before="240" w:after="240" w:line="360" w:lineRule="auto"/>
        <w:jc w:val="both"/>
        <w:rPr>
          <w:rFonts w:ascii="Palatino Linotype" w:eastAsia="Palatino Linotype" w:hAnsi="Palatino Linotype" w:cs="Palatino Linotype"/>
          <w:sz w:val="20"/>
          <w:szCs w:val="20"/>
        </w:rPr>
      </w:pPr>
      <w:r>
        <w:rPr>
          <w:rFonts w:ascii="Palatino Linotype" w:eastAsia="Palatino Linotype" w:hAnsi="Palatino Linotype" w:cs="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w:t>
      </w:r>
      <w:r w:rsidR="00337944">
        <w:rPr>
          <w:rFonts w:ascii="Palatino Linotype" w:eastAsia="Palatino Linotype" w:hAnsi="Palatino Linotype" w:cs="Palatino Linotype"/>
        </w:rPr>
        <w:t>,</w:t>
      </w:r>
      <w:r w:rsidR="00197019">
        <w:rPr>
          <w:rFonts w:ascii="Palatino Linotype" w:eastAsia="Palatino Linotype" w:hAnsi="Palatino Linotype" w:cs="Palatino Linotype"/>
        </w:rPr>
        <w:t xml:space="preserve"> EMITIENDO VOTO PARTICULAR</w:t>
      </w:r>
      <w:r>
        <w:rPr>
          <w:rFonts w:ascii="Palatino Linotype" w:eastAsia="Palatino Linotype" w:hAnsi="Palatino Linotype" w:cs="Palatino Linotype"/>
        </w:rPr>
        <w:t>, SHARON CRISTINA MORALES MARTÍNEZ; LUIS GUSTAVO PARRA NORIEGA</w:t>
      </w:r>
      <w:r w:rsidR="00337944">
        <w:rPr>
          <w:rFonts w:ascii="Palatino Linotype" w:eastAsia="Palatino Linotype" w:hAnsi="Palatino Linotype" w:cs="Palatino Linotype"/>
        </w:rPr>
        <w:t>,</w:t>
      </w:r>
      <w:r w:rsidR="00197019">
        <w:rPr>
          <w:rFonts w:ascii="Palatino Linotype" w:eastAsia="Palatino Linotype" w:hAnsi="Palatino Linotype" w:cs="Palatino Linotype"/>
        </w:rPr>
        <w:t xml:space="preserve"> EMITIENDO VOTO PARTICULAR </w:t>
      </w:r>
      <w:r>
        <w:rPr>
          <w:rFonts w:ascii="Palatino Linotype" w:eastAsia="Palatino Linotype" w:hAnsi="Palatino Linotype" w:cs="Palatino Linotype"/>
        </w:rPr>
        <w:t xml:space="preserve">Y GUADALUPE RAMÍREZ PEÑA; EN LA VIGÉSIMA SEXTA SESIÓN ORDINARIA CELEBRADA </w:t>
      </w:r>
      <w:r>
        <w:rPr>
          <w:rFonts w:ascii="Palatino Linotype" w:eastAsia="Palatino Linotype" w:hAnsi="Palatino Linotype" w:cs="Palatino Linotype"/>
        </w:rPr>
        <w:lastRenderedPageBreak/>
        <w:t>EL TRECE DE JULIO DE DOS MIL VEINTIDÓS, ANTE EL SECRETARIO TÉCNICO DEL PLENO, ALEXIS TAPIA RAMÍREZ.</w:t>
      </w:r>
    </w:p>
    <w:p w14:paraId="30D47FD1" w14:textId="3B5F33CD" w:rsidR="00F2419E" w:rsidRDefault="009B23C2">
      <w:pPr>
        <w:spacing w:before="240" w:after="240"/>
        <w:jc w:val="both"/>
        <w:rPr>
          <w:rFonts w:ascii="Palatino Linotype" w:eastAsia="Palatino Linotype" w:hAnsi="Palatino Linotype" w:cs="Palatino Linotype"/>
          <w:sz w:val="20"/>
          <w:szCs w:val="20"/>
        </w:rPr>
      </w:pPr>
      <w:r>
        <w:rPr>
          <w:rFonts w:ascii="Palatino Linotype" w:eastAsia="Palatino Linotype" w:hAnsi="Palatino Linotype" w:cs="Palatino Linotype"/>
          <w:noProof/>
          <w:sz w:val="20"/>
          <w:szCs w:val="20"/>
          <w:lang w:val="es-MX"/>
        </w:rPr>
        <mc:AlternateContent>
          <mc:Choice Requires="wps">
            <w:drawing>
              <wp:anchor distT="0" distB="0" distL="114300" distR="114300" simplePos="0" relativeHeight="251659264" behindDoc="0" locked="0" layoutInCell="1" allowOverlap="1" wp14:anchorId="4E531DF5" wp14:editId="6E4F51E3">
                <wp:simplePos x="0" y="0"/>
                <wp:positionH relativeFrom="column">
                  <wp:posOffset>181105</wp:posOffset>
                </wp:positionH>
                <wp:positionV relativeFrom="paragraph">
                  <wp:posOffset>193018</wp:posOffset>
                </wp:positionV>
                <wp:extent cx="5370787" cy="6327228"/>
                <wp:effectExtent l="38100" t="19050" r="59055" b="92710"/>
                <wp:wrapNone/>
                <wp:docPr id="2" name="Conector recto 2"/>
                <wp:cNvGraphicFramePr/>
                <a:graphic xmlns:a="http://schemas.openxmlformats.org/drawingml/2006/main">
                  <a:graphicData uri="http://schemas.microsoft.com/office/word/2010/wordprocessingShape">
                    <wps:wsp>
                      <wps:cNvCnPr/>
                      <wps:spPr>
                        <a:xfrm>
                          <a:off x="0" y="0"/>
                          <a:ext cx="5370787" cy="6327228"/>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9C15324" id="Conector recto 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4.25pt,15.2pt" to="437.15pt,5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" strokecolor="#4f81bd [3204]" strokeweight="2pt">
                <v:shadow on="t" color="black" opacity="24903f" origin=",.5" offset="0,.55556mm"/>
              </v:line>
            </w:pict>
          </mc:Fallback>
        </mc:AlternateContent>
      </w:r>
    </w:p>
    <w:p w14:paraId="633837E9" w14:textId="77777777" w:rsidR="00F2419E" w:rsidRDefault="00F2419E">
      <w:pPr>
        <w:spacing w:before="240" w:after="240"/>
        <w:jc w:val="both"/>
        <w:rPr>
          <w:rFonts w:ascii="Palatino Linotype" w:eastAsia="Palatino Linotype" w:hAnsi="Palatino Linotype" w:cs="Palatino Linotype"/>
          <w:sz w:val="20"/>
          <w:szCs w:val="20"/>
        </w:rPr>
      </w:pPr>
    </w:p>
    <w:p w14:paraId="7EC5CE51" w14:textId="77777777" w:rsidR="00F2419E" w:rsidRDefault="00F2419E">
      <w:pPr>
        <w:spacing w:before="240" w:after="240"/>
        <w:jc w:val="both"/>
        <w:rPr>
          <w:rFonts w:ascii="Palatino Linotype" w:eastAsia="Palatino Linotype" w:hAnsi="Palatino Linotype" w:cs="Palatino Linotype"/>
          <w:sz w:val="20"/>
          <w:szCs w:val="20"/>
        </w:rPr>
      </w:pPr>
    </w:p>
    <w:p w14:paraId="0588F01E" w14:textId="77777777" w:rsidR="00F2419E" w:rsidRDefault="00F2419E">
      <w:pPr>
        <w:spacing w:before="240" w:after="240"/>
        <w:jc w:val="both"/>
        <w:rPr>
          <w:rFonts w:ascii="Palatino Linotype" w:eastAsia="Palatino Linotype" w:hAnsi="Palatino Linotype" w:cs="Palatino Linotype"/>
          <w:sz w:val="20"/>
          <w:szCs w:val="20"/>
        </w:rPr>
      </w:pPr>
    </w:p>
    <w:p w14:paraId="71705795" w14:textId="77777777" w:rsidR="00F2419E" w:rsidRDefault="00F2419E">
      <w:pPr>
        <w:spacing w:before="240" w:after="240"/>
        <w:jc w:val="both"/>
        <w:rPr>
          <w:rFonts w:ascii="Palatino Linotype" w:eastAsia="Palatino Linotype" w:hAnsi="Palatino Linotype" w:cs="Palatino Linotype"/>
          <w:sz w:val="20"/>
          <w:szCs w:val="20"/>
        </w:rPr>
      </w:pPr>
    </w:p>
    <w:p w14:paraId="7DDCE12B" w14:textId="77777777" w:rsidR="00F2419E" w:rsidRDefault="00F2419E">
      <w:pPr>
        <w:spacing w:before="240" w:after="240"/>
        <w:jc w:val="both"/>
        <w:rPr>
          <w:rFonts w:ascii="Palatino Linotype" w:eastAsia="Palatino Linotype" w:hAnsi="Palatino Linotype" w:cs="Palatino Linotype"/>
          <w:sz w:val="20"/>
          <w:szCs w:val="20"/>
        </w:rPr>
      </w:pPr>
    </w:p>
    <w:p w14:paraId="1DB71A25" w14:textId="77777777" w:rsidR="00F2419E" w:rsidRDefault="00F2419E">
      <w:pPr>
        <w:spacing w:before="240" w:after="240"/>
        <w:jc w:val="both"/>
        <w:rPr>
          <w:rFonts w:ascii="Palatino Linotype" w:eastAsia="Palatino Linotype" w:hAnsi="Palatino Linotype" w:cs="Palatino Linotype"/>
          <w:sz w:val="20"/>
          <w:szCs w:val="20"/>
        </w:rPr>
      </w:pPr>
    </w:p>
    <w:p w14:paraId="1472CA19" w14:textId="77777777" w:rsidR="00F2419E" w:rsidRDefault="00F2419E">
      <w:pPr>
        <w:spacing w:before="240" w:after="240"/>
        <w:jc w:val="both"/>
        <w:rPr>
          <w:rFonts w:ascii="Palatino Linotype" w:eastAsia="Palatino Linotype" w:hAnsi="Palatino Linotype" w:cs="Palatino Linotype"/>
          <w:sz w:val="20"/>
          <w:szCs w:val="20"/>
        </w:rPr>
      </w:pPr>
    </w:p>
    <w:p w14:paraId="12BFCD98" w14:textId="77777777" w:rsidR="00F2419E" w:rsidRDefault="00F2419E">
      <w:pPr>
        <w:spacing w:before="240" w:after="240"/>
        <w:jc w:val="both"/>
        <w:rPr>
          <w:rFonts w:ascii="Palatino Linotype" w:eastAsia="Palatino Linotype" w:hAnsi="Palatino Linotype" w:cs="Palatino Linotype"/>
          <w:sz w:val="20"/>
          <w:szCs w:val="20"/>
        </w:rPr>
      </w:pPr>
    </w:p>
    <w:p w14:paraId="633EEFA6" w14:textId="77777777" w:rsidR="00F2419E" w:rsidRDefault="00F2419E">
      <w:pPr>
        <w:spacing w:before="240" w:after="240"/>
        <w:jc w:val="both"/>
        <w:rPr>
          <w:rFonts w:ascii="Palatino Linotype" w:eastAsia="Palatino Linotype" w:hAnsi="Palatino Linotype" w:cs="Palatino Linotype"/>
          <w:sz w:val="20"/>
          <w:szCs w:val="20"/>
        </w:rPr>
      </w:pPr>
    </w:p>
    <w:p w14:paraId="007C8C53" w14:textId="77777777" w:rsidR="00F2419E" w:rsidRDefault="00F2419E">
      <w:pPr>
        <w:spacing w:before="240" w:after="240"/>
        <w:jc w:val="both"/>
        <w:rPr>
          <w:rFonts w:ascii="Palatino Linotype" w:eastAsia="Palatino Linotype" w:hAnsi="Palatino Linotype" w:cs="Palatino Linotype"/>
          <w:sz w:val="20"/>
          <w:szCs w:val="20"/>
        </w:rPr>
      </w:pPr>
    </w:p>
    <w:p w14:paraId="451FF789" w14:textId="77777777" w:rsidR="00F2419E" w:rsidRDefault="00F2419E">
      <w:pPr>
        <w:spacing w:before="240" w:after="240"/>
        <w:jc w:val="both"/>
        <w:rPr>
          <w:rFonts w:ascii="Palatino Linotype" w:eastAsia="Palatino Linotype" w:hAnsi="Palatino Linotype" w:cs="Palatino Linotype"/>
          <w:sz w:val="20"/>
          <w:szCs w:val="20"/>
        </w:rPr>
      </w:pPr>
    </w:p>
    <w:p w14:paraId="76682320" w14:textId="77777777" w:rsidR="00F2419E" w:rsidRDefault="00F2419E">
      <w:pPr>
        <w:spacing w:before="240" w:after="240"/>
        <w:jc w:val="both"/>
        <w:rPr>
          <w:rFonts w:ascii="Palatino Linotype" w:eastAsia="Palatino Linotype" w:hAnsi="Palatino Linotype" w:cs="Palatino Linotype"/>
          <w:sz w:val="20"/>
          <w:szCs w:val="20"/>
        </w:rPr>
      </w:pPr>
    </w:p>
    <w:p w14:paraId="14187E8F" w14:textId="77777777" w:rsidR="00F2419E" w:rsidRDefault="00F2419E">
      <w:pPr>
        <w:spacing w:before="240" w:after="240"/>
        <w:jc w:val="both"/>
        <w:rPr>
          <w:rFonts w:ascii="Palatino Linotype" w:eastAsia="Palatino Linotype" w:hAnsi="Palatino Linotype" w:cs="Palatino Linotype"/>
          <w:sz w:val="20"/>
          <w:szCs w:val="20"/>
        </w:rPr>
      </w:pPr>
    </w:p>
    <w:p w14:paraId="0ABBF836" w14:textId="77777777" w:rsidR="00F2419E" w:rsidRDefault="00F2419E">
      <w:pPr>
        <w:spacing w:before="240" w:after="240"/>
        <w:jc w:val="both"/>
        <w:rPr>
          <w:rFonts w:ascii="Palatino Linotype" w:eastAsia="Palatino Linotype" w:hAnsi="Palatino Linotype" w:cs="Palatino Linotype"/>
          <w:sz w:val="20"/>
          <w:szCs w:val="20"/>
        </w:rPr>
      </w:pPr>
    </w:p>
    <w:p w14:paraId="682DF54C" w14:textId="77777777" w:rsidR="00F2419E" w:rsidRDefault="00F2419E">
      <w:pPr>
        <w:spacing w:before="240" w:after="240"/>
        <w:jc w:val="both"/>
        <w:rPr>
          <w:rFonts w:ascii="Palatino Linotype" w:eastAsia="Palatino Linotype" w:hAnsi="Palatino Linotype" w:cs="Palatino Linotype"/>
          <w:sz w:val="20"/>
          <w:szCs w:val="20"/>
        </w:rPr>
      </w:pPr>
    </w:p>
    <w:p w14:paraId="462861F7" w14:textId="77777777" w:rsidR="00F2419E" w:rsidRDefault="00F2419E">
      <w:pPr>
        <w:spacing w:before="240" w:after="240"/>
        <w:jc w:val="both"/>
        <w:rPr>
          <w:rFonts w:ascii="Palatino Linotype" w:eastAsia="Palatino Linotype" w:hAnsi="Palatino Linotype" w:cs="Palatino Linotype"/>
          <w:sz w:val="20"/>
          <w:szCs w:val="20"/>
        </w:rPr>
      </w:pPr>
    </w:p>
    <w:p w14:paraId="16431627" w14:textId="77777777" w:rsidR="00F2419E" w:rsidRDefault="00F2419E">
      <w:pPr>
        <w:spacing w:before="240" w:after="240"/>
        <w:jc w:val="both"/>
        <w:rPr>
          <w:rFonts w:ascii="Palatino Linotype" w:eastAsia="Palatino Linotype" w:hAnsi="Palatino Linotype" w:cs="Palatino Linotype"/>
          <w:sz w:val="20"/>
          <w:szCs w:val="20"/>
        </w:rPr>
      </w:pPr>
    </w:p>
    <w:p w14:paraId="26B58C58" w14:textId="77777777" w:rsidR="00F2419E" w:rsidRDefault="00F2419E">
      <w:pPr>
        <w:spacing w:before="240" w:after="240"/>
        <w:jc w:val="both"/>
        <w:rPr>
          <w:rFonts w:ascii="Palatino Linotype" w:eastAsia="Palatino Linotype" w:hAnsi="Palatino Linotype" w:cs="Palatino Linotype"/>
          <w:sz w:val="20"/>
          <w:szCs w:val="20"/>
        </w:rPr>
      </w:pPr>
    </w:p>
    <w:p w14:paraId="1DD5CBF6" w14:textId="77777777" w:rsidR="00F2419E" w:rsidRDefault="00F2419E">
      <w:pPr>
        <w:spacing w:before="240" w:after="240"/>
        <w:jc w:val="both"/>
        <w:rPr>
          <w:rFonts w:ascii="Palatino Linotype" w:eastAsia="Palatino Linotype" w:hAnsi="Palatino Linotype" w:cs="Palatino Linotype"/>
          <w:sz w:val="20"/>
          <w:szCs w:val="20"/>
        </w:rPr>
      </w:pPr>
    </w:p>
    <w:p w14:paraId="2DFE547D" w14:textId="77777777" w:rsidR="00F2419E" w:rsidRDefault="00F2419E">
      <w:pPr>
        <w:spacing w:before="240" w:after="240"/>
        <w:jc w:val="both"/>
        <w:rPr>
          <w:rFonts w:ascii="Palatino Linotype" w:eastAsia="Palatino Linotype" w:hAnsi="Palatino Linotype" w:cs="Palatino Linotype"/>
          <w:sz w:val="20"/>
          <w:szCs w:val="20"/>
        </w:rPr>
      </w:pPr>
    </w:p>
    <w:p w14:paraId="10FC1B20" w14:textId="77777777" w:rsidR="00F2419E" w:rsidRDefault="00F2419E">
      <w:pPr>
        <w:spacing w:before="240" w:after="240"/>
        <w:jc w:val="both"/>
        <w:rPr>
          <w:rFonts w:ascii="Palatino Linotype" w:eastAsia="Palatino Linotype" w:hAnsi="Palatino Linotype" w:cs="Palatino Linotype"/>
          <w:sz w:val="20"/>
          <w:szCs w:val="20"/>
        </w:rPr>
      </w:pPr>
    </w:p>
    <w:p w14:paraId="32A95AB1" w14:textId="77777777" w:rsidR="00F2419E" w:rsidRDefault="00F2419E">
      <w:pPr>
        <w:spacing w:before="240" w:after="240"/>
        <w:jc w:val="both"/>
        <w:rPr>
          <w:rFonts w:ascii="Palatino Linotype" w:eastAsia="Palatino Linotype" w:hAnsi="Palatino Linotype" w:cs="Palatino Linotype"/>
          <w:sz w:val="20"/>
          <w:szCs w:val="20"/>
        </w:rPr>
      </w:pPr>
    </w:p>
    <w:sectPr w:rsidR="00F2419E">
      <w:headerReference w:type="default" r:id="rId13"/>
      <w:footerReference w:type="default" r:id="rId14"/>
      <w:headerReference w:type="first" r:id="rId15"/>
      <w:footerReference w:type="first" r:id="rId16"/>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1F357EC" w14:textId="77777777" w:rsidR="009C0624" w:rsidRDefault="009C0624">
      <w:r>
        <w:separator/>
      </w:r>
    </w:p>
  </w:endnote>
  <w:endnote w:type="continuationSeparator" w:id="0">
    <w:p w14:paraId="5966623E" w14:textId="77777777" w:rsidR="009C0624" w:rsidRDefault="009C06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Myriad Pro">
    <w:panose1 w:val="00000000000000000000"/>
    <w:charset w:val="00"/>
    <w:family w:val="roman"/>
    <w:notTrueType/>
    <w:pitch w:val="default"/>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07AA81" w14:textId="77777777" w:rsidR="00F2419E" w:rsidRDefault="0034450F">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0C4A2B">
      <w:rPr>
        <w:rFonts w:ascii="Palatino Linotype" w:eastAsia="Palatino Linotype" w:hAnsi="Palatino Linotype" w:cs="Palatino Linotype"/>
        <w:b/>
        <w:noProof/>
        <w:color w:val="000000"/>
        <w:sz w:val="20"/>
        <w:szCs w:val="20"/>
      </w:rPr>
      <w:t>21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0C4A2B">
      <w:rPr>
        <w:rFonts w:ascii="Palatino Linotype" w:eastAsia="Palatino Linotype" w:hAnsi="Palatino Linotype" w:cs="Palatino Linotype"/>
        <w:b/>
        <w:noProof/>
        <w:color w:val="000000"/>
        <w:sz w:val="20"/>
        <w:szCs w:val="20"/>
      </w:rPr>
      <w:t>53</w:t>
    </w:r>
    <w:r>
      <w:rPr>
        <w:rFonts w:ascii="Palatino Linotype" w:eastAsia="Palatino Linotype" w:hAnsi="Palatino Linotype" w:cs="Palatino Linotype"/>
        <w:b/>
        <w:color w:val="000000"/>
        <w:sz w:val="20"/>
        <w:szCs w:val="20"/>
      </w:rPr>
      <w:fldChar w:fldCharType="end"/>
    </w:r>
  </w:p>
  <w:p w14:paraId="0324D7D5" w14:textId="77777777" w:rsidR="00F2419E" w:rsidRDefault="00F2419E">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A70AC0" w14:textId="77777777" w:rsidR="00F2419E" w:rsidRDefault="0034450F">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0C4A2B">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0C4A2B">
      <w:rPr>
        <w:rFonts w:ascii="Palatino Linotype" w:eastAsia="Palatino Linotype" w:hAnsi="Palatino Linotype" w:cs="Palatino Linotype"/>
        <w:b/>
        <w:noProof/>
        <w:color w:val="000000"/>
        <w:sz w:val="20"/>
        <w:szCs w:val="20"/>
      </w:rPr>
      <w:t>53</w:t>
    </w:r>
    <w:r>
      <w:rPr>
        <w:rFonts w:ascii="Palatino Linotype" w:eastAsia="Palatino Linotype" w:hAnsi="Palatino Linotype" w:cs="Palatino Linotype"/>
        <w:b/>
        <w:color w:val="000000"/>
        <w:sz w:val="20"/>
        <w:szCs w:val="20"/>
      </w:rPr>
      <w:fldChar w:fldCharType="end"/>
    </w:r>
  </w:p>
  <w:p w14:paraId="4D542D95" w14:textId="77777777" w:rsidR="00F2419E" w:rsidRDefault="00F2419E">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BFC4F25" w14:textId="77777777" w:rsidR="009C0624" w:rsidRDefault="009C0624">
      <w:r>
        <w:separator/>
      </w:r>
    </w:p>
  </w:footnote>
  <w:footnote w:type="continuationSeparator" w:id="0">
    <w:p w14:paraId="7C599204" w14:textId="77777777" w:rsidR="009C0624" w:rsidRDefault="009C0624">
      <w:r>
        <w:continuationSeparator/>
      </w:r>
    </w:p>
  </w:footnote>
  <w:footnote w:id="1">
    <w:p w14:paraId="633DCD52" w14:textId="77777777" w:rsidR="00F2419E" w:rsidRDefault="0034450F">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w:t>
      </w:r>
      <w:r>
        <w:rPr>
          <w:rFonts w:ascii="Palatino Linotype" w:eastAsia="Palatino Linotype" w:hAnsi="Palatino Linotype" w:cs="Palatino Linotype"/>
          <w:color w:val="000000"/>
          <w:sz w:val="16"/>
          <w:szCs w:val="16"/>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Pr>
          <w:rFonts w:ascii="Calibri" w:eastAsia="Calibri" w:hAnsi="Calibri" w:cs="Calibri"/>
          <w:color w:val="000000"/>
          <w:sz w:val="20"/>
          <w:szCs w:val="20"/>
        </w:rPr>
        <w:t xml:space="preserve"> (…)</w:t>
      </w:r>
    </w:p>
  </w:footnote>
  <w:footnote w:id="2">
    <w:p w14:paraId="54FAC05E" w14:textId="77777777" w:rsidR="00F2419E" w:rsidRDefault="0034450F">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9"/>
          <w:szCs w:val="19"/>
        </w:rPr>
        <w:t xml:space="preserve"> </w:t>
      </w:r>
      <w:r>
        <w:rPr>
          <w:rFonts w:ascii="Palatino Linotype" w:eastAsia="Palatino Linotype" w:hAnsi="Palatino Linotype" w:cs="Palatino Linotype"/>
          <w:color w:val="000000"/>
          <w:sz w:val="16"/>
          <w:szCs w:val="16"/>
        </w:rPr>
        <w:t>“Artículo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 w:id="3">
    <w:p w14:paraId="32B2C079" w14:textId="77777777" w:rsidR="00FC59BF" w:rsidRDefault="00FC59BF" w:rsidP="00FC59BF">
      <w:pPr>
        <w:ind w:right="49"/>
        <w:jc w:val="both"/>
        <w:rPr>
          <w:rFonts w:ascii="Palatino Linotype" w:eastAsia="Palatino Linotype" w:hAnsi="Palatino Linotype" w:cs="Palatino Linotype"/>
          <w:i/>
          <w:sz w:val="16"/>
          <w:szCs w:val="16"/>
        </w:rPr>
      </w:pPr>
      <w:r>
        <w:rPr>
          <w:vertAlign w:val="superscript"/>
        </w:rPr>
        <w:footnoteRef/>
      </w:r>
      <w:r>
        <w:rPr>
          <w:rFonts w:ascii="Palatino Linotype" w:eastAsia="Palatino Linotype" w:hAnsi="Palatino Linotype" w:cs="Palatino Linotype"/>
          <w:sz w:val="16"/>
          <w:szCs w:val="16"/>
        </w:rPr>
        <w:t xml:space="preserve"> </w:t>
      </w:r>
      <w:r>
        <w:rPr>
          <w:rFonts w:ascii="Palatino Linotype" w:eastAsia="Palatino Linotype" w:hAnsi="Palatino Linotype" w:cs="Palatino Linotype"/>
          <w:b/>
          <w:i/>
          <w:sz w:val="16"/>
          <w:szCs w:val="16"/>
        </w:rPr>
        <w:t>Artículo 53.</w:t>
      </w:r>
      <w:r>
        <w:rPr>
          <w:rFonts w:ascii="Palatino Linotype" w:eastAsia="Palatino Linotype" w:hAnsi="Palatino Linotype" w:cs="Palatino Linotype"/>
          <w:i/>
          <w:sz w:val="16"/>
          <w:szCs w:val="16"/>
        </w:rPr>
        <w:t xml:space="preserve"> Las </w:t>
      </w:r>
      <w:r>
        <w:rPr>
          <w:rFonts w:ascii="Palatino Linotype" w:eastAsia="Palatino Linotype" w:hAnsi="Palatino Linotype" w:cs="Palatino Linotype"/>
          <w:b/>
          <w:i/>
          <w:sz w:val="16"/>
          <w:szCs w:val="16"/>
        </w:rPr>
        <w:t>Unidades de Transparencia</w:t>
      </w:r>
      <w:r>
        <w:rPr>
          <w:rFonts w:ascii="Palatino Linotype" w:eastAsia="Palatino Linotype" w:hAnsi="Palatino Linotype" w:cs="Palatino Linotype"/>
          <w:i/>
          <w:sz w:val="16"/>
          <w:szCs w:val="16"/>
        </w:rPr>
        <w:t xml:space="preserve"> tendrán las siguientes funciones:</w:t>
      </w:r>
    </w:p>
    <w:p w14:paraId="0E8EB222" w14:textId="77777777" w:rsidR="00FC59BF" w:rsidRDefault="00FC59BF" w:rsidP="00FC59BF">
      <w:pPr>
        <w:ind w:right="49"/>
        <w:jc w:val="both"/>
        <w:rPr>
          <w:rFonts w:ascii="Palatino Linotype" w:eastAsia="Palatino Linotype" w:hAnsi="Palatino Linotype" w:cs="Palatino Linotype"/>
          <w:sz w:val="16"/>
          <w:szCs w:val="16"/>
        </w:rPr>
      </w:pPr>
      <w:r>
        <w:rPr>
          <w:rFonts w:ascii="Palatino Linotype" w:eastAsia="Palatino Linotype" w:hAnsi="Palatino Linotype" w:cs="Palatino Linotype"/>
          <w:b/>
          <w:i/>
          <w:sz w:val="16"/>
          <w:szCs w:val="16"/>
        </w:rPr>
        <w:t>II.</w:t>
      </w:r>
      <w:r>
        <w:rPr>
          <w:rFonts w:ascii="Palatino Linotype" w:eastAsia="Palatino Linotype" w:hAnsi="Palatino Linotype" w:cs="Palatino Linotype"/>
          <w:i/>
          <w:sz w:val="16"/>
          <w:szCs w:val="16"/>
        </w:rPr>
        <w:t xml:space="preserve"> Recibir, tramitar y dar respuesta a las solicitudes de acceso a la información;</w:t>
      </w:r>
    </w:p>
  </w:footnote>
  <w:footnote w:id="4">
    <w:p w14:paraId="13548378" w14:textId="77777777" w:rsidR="00FC59BF" w:rsidRDefault="00FC59BF" w:rsidP="00FC59BF">
      <w:pPr>
        <w:pBdr>
          <w:top w:val="nil"/>
          <w:left w:val="nil"/>
          <w:bottom w:val="nil"/>
          <w:right w:val="nil"/>
          <w:between w:val="nil"/>
        </w:pBdr>
        <w:ind w:right="49"/>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w:t>
      </w:r>
      <w:r>
        <w:rPr>
          <w:rFonts w:ascii="Palatino Linotype" w:eastAsia="Palatino Linotype" w:hAnsi="Palatino Linotype" w:cs="Palatino Linotype"/>
          <w:b/>
          <w:i/>
          <w:color w:val="000000"/>
          <w:sz w:val="16"/>
          <w:szCs w:val="16"/>
        </w:rPr>
        <w:t>Artículo 162.</w:t>
      </w:r>
      <w:r>
        <w:rPr>
          <w:rFonts w:ascii="Palatino Linotype" w:eastAsia="Palatino Linotype" w:hAnsi="Palatino Linotype" w:cs="Palatino Linotype"/>
          <w:i/>
          <w:color w:val="000000"/>
          <w:sz w:val="16"/>
          <w:szCs w:val="16"/>
        </w:rPr>
        <w:t xml:space="preserve"> Las </w:t>
      </w:r>
      <w:r>
        <w:rPr>
          <w:rFonts w:ascii="Palatino Linotype" w:eastAsia="Palatino Linotype" w:hAnsi="Palatino Linotype" w:cs="Palatino Linotype"/>
          <w:b/>
          <w:i/>
          <w:color w:val="000000"/>
          <w:sz w:val="16"/>
          <w:szCs w:val="16"/>
        </w:rPr>
        <w:t>unidades de transparencia</w:t>
      </w:r>
      <w:r>
        <w:rPr>
          <w:rFonts w:ascii="Palatino Linotype" w:eastAsia="Palatino Linotype" w:hAnsi="Palatino Linotype" w:cs="Palatino Linotype"/>
          <w:i/>
          <w:color w:val="000000"/>
          <w:sz w:val="16"/>
          <w:szCs w:val="16"/>
        </w:rPr>
        <w:t xml:space="preserve"> deberán </w:t>
      </w:r>
      <w:r>
        <w:rPr>
          <w:rFonts w:ascii="Palatino Linotype" w:eastAsia="Palatino Linotype" w:hAnsi="Palatino Linotype" w:cs="Palatino Linotype"/>
          <w:b/>
          <w:i/>
          <w:color w:val="000000"/>
          <w:sz w:val="16"/>
          <w:szCs w:val="16"/>
        </w:rPr>
        <w:t>garantizar que las solicitudes se turnen a todas las Áreas competentes</w:t>
      </w:r>
      <w:r>
        <w:rPr>
          <w:rFonts w:ascii="Palatino Linotype" w:eastAsia="Palatino Linotype" w:hAnsi="Palatino Linotype" w:cs="Palatino Linotype"/>
          <w:i/>
          <w:color w:val="000000"/>
          <w:sz w:val="16"/>
          <w:szCs w:val="16"/>
        </w:rPr>
        <w:t xml:space="preserve"> que </w:t>
      </w:r>
      <w:r>
        <w:rPr>
          <w:rFonts w:ascii="Palatino Linotype" w:eastAsia="Palatino Linotype" w:hAnsi="Palatino Linotype" w:cs="Palatino Linotype"/>
          <w:b/>
          <w:i/>
          <w:color w:val="000000"/>
          <w:sz w:val="16"/>
          <w:szCs w:val="16"/>
        </w:rPr>
        <w:t>cuenten con la información o deban tenerla de acuerdo a sus facultades, competencias y funciones,</w:t>
      </w:r>
      <w:r>
        <w:rPr>
          <w:rFonts w:ascii="Palatino Linotype" w:eastAsia="Palatino Linotype" w:hAnsi="Palatino Linotype" w:cs="Palatino Linotype"/>
          <w:i/>
          <w:color w:val="000000"/>
          <w:sz w:val="16"/>
          <w:szCs w:val="16"/>
        </w:rPr>
        <w:t xml:space="preserve"> con el objeto de que realicen una </w:t>
      </w:r>
      <w:r>
        <w:rPr>
          <w:rFonts w:ascii="Palatino Linotype" w:eastAsia="Palatino Linotype" w:hAnsi="Palatino Linotype" w:cs="Palatino Linotype"/>
          <w:b/>
          <w:i/>
          <w:color w:val="000000"/>
          <w:sz w:val="16"/>
          <w:szCs w:val="16"/>
        </w:rPr>
        <w:t>búsqueda exhaustiva y razonable</w:t>
      </w:r>
      <w:r>
        <w:rPr>
          <w:rFonts w:ascii="Palatino Linotype" w:eastAsia="Palatino Linotype" w:hAnsi="Palatino Linotype" w:cs="Palatino Linotype"/>
          <w:i/>
          <w:color w:val="000000"/>
          <w:sz w:val="16"/>
          <w:szCs w:val="16"/>
        </w:rPr>
        <w:t xml:space="preserve"> de la información solicitada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7DB3C3" w14:textId="77777777" w:rsidR="00F2419E" w:rsidRDefault="0034450F">
    <w:pPr>
      <w:rPr>
        <w:rFonts w:ascii="Cambria" w:eastAsia="Cambria" w:hAnsi="Cambria" w:cs="Cambria"/>
        <w:color w:val="000000"/>
      </w:rPr>
    </w:pPr>
    <w:r>
      <w:rPr>
        <w:noProof/>
        <w:lang w:val="es-MX"/>
      </w:rPr>
      <w:drawing>
        <wp:anchor distT="0" distB="0" distL="0" distR="0" simplePos="0" relativeHeight="251658240" behindDoc="1" locked="0" layoutInCell="1" hidden="0" allowOverlap="1" wp14:anchorId="5EEDD569" wp14:editId="6520FC74">
          <wp:simplePos x="0" y="0"/>
          <wp:positionH relativeFrom="column">
            <wp:posOffset>-1080126</wp:posOffset>
          </wp:positionH>
          <wp:positionV relativeFrom="paragraph">
            <wp:posOffset>-396393</wp:posOffset>
          </wp:positionV>
          <wp:extent cx="7809865" cy="10165715"/>
          <wp:effectExtent l="0" t="0" r="0" b="0"/>
          <wp:wrapNone/>
          <wp:docPr id="4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c"/>
      <w:tblW w:w="5953" w:type="dxa"/>
      <w:tblInd w:w="3261" w:type="dxa"/>
      <w:tblLayout w:type="fixed"/>
      <w:tblLook w:val="0400" w:firstRow="0" w:lastRow="0" w:firstColumn="0" w:lastColumn="0" w:noHBand="0" w:noVBand="1"/>
    </w:tblPr>
    <w:tblGrid>
      <w:gridCol w:w="2489"/>
      <w:gridCol w:w="3464"/>
    </w:tblGrid>
    <w:tr w:rsidR="00F2419E" w14:paraId="7715DD4F" w14:textId="77777777">
      <w:tc>
        <w:tcPr>
          <w:tcW w:w="2489" w:type="dxa"/>
          <w:shd w:val="clear" w:color="auto" w:fill="auto"/>
        </w:tcPr>
        <w:p w14:paraId="17662991" w14:textId="77777777" w:rsidR="00F2419E" w:rsidRDefault="0034450F">
          <w:pPr>
            <w:rPr>
              <w:rFonts w:ascii="Palatino Linotype" w:eastAsia="Palatino Linotype" w:hAnsi="Palatino Linotype" w:cs="Palatino Linotype"/>
              <w:b/>
            </w:rPr>
          </w:pPr>
          <w:r>
            <w:rPr>
              <w:rFonts w:ascii="Palatino Linotype" w:eastAsia="Palatino Linotype" w:hAnsi="Palatino Linotype" w:cs="Palatino Linotype"/>
              <w:b/>
            </w:rPr>
            <w:t>Recurso de Revisión:</w:t>
          </w:r>
        </w:p>
      </w:tc>
      <w:tc>
        <w:tcPr>
          <w:tcW w:w="3464" w:type="dxa"/>
          <w:shd w:val="clear" w:color="auto" w:fill="auto"/>
          <w:vAlign w:val="center"/>
        </w:tcPr>
        <w:p w14:paraId="45555E77" w14:textId="77777777" w:rsidR="00F2419E" w:rsidRDefault="0034450F">
          <w:pPr>
            <w:ind w:right="175"/>
            <w:jc w:val="both"/>
            <w:rPr>
              <w:rFonts w:ascii="Palatino Linotype" w:eastAsia="Palatino Linotype" w:hAnsi="Palatino Linotype" w:cs="Palatino Linotype"/>
              <w:b/>
            </w:rPr>
          </w:pPr>
          <w:r>
            <w:rPr>
              <w:rFonts w:ascii="Palatino Linotype" w:eastAsia="Palatino Linotype" w:hAnsi="Palatino Linotype" w:cs="Palatino Linotype"/>
              <w:b/>
            </w:rPr>
            <w:t>03944/INFOEM/IP/RR/2022</w:t>
          </w:r>
        </w:p>
      </w:tc>
    </w:tr>
    <w:tr w:rsidR="00F2419E" w14:paraId="18B0EB42" w14:textId="77777777">
      <w:trPr>
        <w:trHeight w:val="228"/>
      </w:trPr>
      <w:tc>
        <w:tcPr>
          <w:tcW w:w="2489" w:type="dxa"/>
          <w:shd w:val="clear" w:color="auto" w:fill="auto"/>
          <w:vAlign w:val="center"/>
        </w:tcPr>
        <w:p w14:paraId="1CD816FD" w14:textId="77777777" w:rsidR="00F2419E" w:rsidRDefault="0034450F">
          <w:pPr>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3464" w:type="dxa"/>
          <w:shd w:val="clear" w:color="auto" w:fill="auto"/>
          <w:vAlign w:val="center"/>
        </w:tcPr>
        <w:p w14:paraId="28F6A1FB" w14:textId="77777777" w:rsidR="00F2419E" w:rsidRDefault="0034450F">
          <w:pPr>
            <w:ind w:left="-45" w:right="176"/>
            <w:jc w:val="both"/>
            <w:rPr>
              <w:rFonts w:ascii="Palatino Linotype" w:eastAsia="Palatino Linotype" w:hAnsi="Palatino Linotype" w:cs="Palatino Linotype"/>
              <w:b/>
            </w:rPr>
          </w:pPr>
          <w:r>
            <w:rPr>
              <w:rFonts w:ascii="Palatino Linotype" w:eastAsia="Palatino Linotype" w:hAnsi="Palatino Linotype" w:cs="Palatino Linotype"/>
              <w:b/>
            </w:rPr>
            <w:t xml:space="preserve">Comisión del Agua del Estado de México. </w:t>
          </w:r>
        </w:p>
      </w:tc>
    </w:tr>
    <w:tr w:rsidR="00F2419E" w14:paraId="775807FE" w14:textId="77777777">
      <w:trPr>
        <w:trHeight w:val="311"/>
      </w:trPr>
      <w:tc>
        <w:tcPr>
          <w:tcW w:w="2489" w:type="dxa"/>
          <w:shd w:val="clear" w:color="auto" w:fill="auto"/>
          <w:vAlign w:val="center"/>
        </w:tcPr>
        <w:p w14:paraId="563E0AFB" w14:textId="77777777" w:rsidR="00F2419E" w:rsidRDefault="0034450F">
          <w:pPr>
            <w:ind w:right="-108"/>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3464" w:type="dxa"/>
          <w:shd w:val="clear" w:color="auto" w:fill="auto"/>
          <w:vAlign w:val="center"/>
        </w:tcPr>
        <w:p w14:paraId="25382E61" w14:textId="77777777" w:rsidR="00F2419E" w:rsidRDefault="0034450F">
          <w:pPr>
            <w:ind w:right="175"/>
            <w:jc w:val="both"/>
            <w:rPr>
              <w:rFonts w:ascii="Palatino Linotype" w:eastAsia="Palatino Linotype" w:hAnsi="Palatino Linotype" w:cs="Palatino Linotype"/>
              <w:b/>
            </w:rPr>
          </w:pPr>
          <w:r>
            <w:rPr>
              <w:rFonts w:ascii="Palatino Linotype" w:eastAsia="Palatino Linotype" w:hAnsi="Palatino Linotype" w:cs="Palatino Linotype"/>
              <w:b/>
            </w:rPr>
            <w:t>Guadalupe Ramírez Peña</w:t>
          </w:r>
        </w:p>
      </w:tc>
    </w:tr>
  </w:tbl>
  <w:p w14:paraId="0737836D" w14:textId="77777777" w:rsidR="00F2419E" w:rsidRDefault="0034450F">
    <w:pPr>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851A81" w14:textId="77777777" w:rsidR="00F2419E" w:rsidRDefault="0034450F">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r>
      <w:rPr>
        <w:noProof/>
        <w:lang w:val="es-MX"/>
      </w:rPr>
      <w:drawing>
        <wp:anchor distT="0" distB="0" distL="0" distR="0" simplePos="0" relativeHeight="251659264" behindDoc="1" locked="0" layoutInCell="1" hidden="0" allowOverlap="1" wp14:anchorId="3D81C9C7" wp14:editId="3726B6C1">
          <wp:simplePos x="0" y="0"/>
          <wp:positionH relativeFrom="column">
            <wp:posOffset>-943604</wp:posOffset>
          </wp:positionH>
          <wp:positionV relativeFrom="paragraph">
            <wp:posOffset>-360674</wp:posOffset>
          </wp:positionV>
          <wp:extent cx="7809865" cy="10165715"/>
          <wp:effectExtent l="0" t="0" r="0" b="0"/>
          <wp:wrapNone/>
          <wp:docPr id="4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b"/>
      <w:tblW w:w="6095" w:type="dxa"/>
      <w:tblInd w:w="3261" w:type="dxa"/>
      <w:tblLayout w:type="fixed"/>
      <w:tblLook w:val="0400" w:firstRow="0" w:lastRow="0" w:firstColumn="0" w:lastColumn="0" w:noHBand="0" w:noVBand="1"/>
    </w:tblPr>
    <w:tblGrid>
      <w:gridCol w:w="2551"/>
      <w:gridCol w:w="3544"/>
    </w:tblGrid>
    <w:tr w:rsidR="00F2419E" w14:paraId="0F7D3325" w14:textId="77777777">
      <w:tc>
        <w:tcPr>
          <w:tcW w:w="2551" w:type="dxa"/>
          <w:shd w:val="clear" w:color="auto" w:fill="auto"/>
          <w:vAlign w:val="center"/>
        </w:tcPr>
        <w:p w14:paraId="4F56A2CD" w14:textId="77777777" w:rsidR="00F2419E" w:rsidRDefault="0034450F">
          <w:pPr>
            <w:rPr>
              <w:rFonts w:ascii="Palatino Linotype" w:eastAsia="Palatino Linotype" w:hAnsi="Palatino Linotype" w:cs="Palatino Linotype"/>
              <w:b/>
            </w:rPr>
          </w:pPr>
          <w:r>
            <w:rPr>
              <w:rFonts w:ascii="Palatino Linotype" w:eastAsia="Palatino Linotype" w:hAnsi="Palatino Linotype" w:cs="Palatino Linotype"/>
              <w:b/>
            </w:rPr>
            <w:t>Recurso de Revisión:</w:t>
          </w:r>
        </w:p>
      </w:tc>
      <w:tc>
        <w:tcPr>
          <w:tcW w:w="3544" w:type="dxa"/>
          <w:shd w:val="clear" w:color="auto" w:fill="auto"/>
          <w:vAlign w:val="center"/>
        </w:tcPr>
        <w:p w14:paraId="49B06771" w14:textId="77777777" w:rsidR="00F2419E" w:rsidRDefault="0034450F">
          <w:pPr>
            <w:tabs>
              <w:tab w:val="left" w:pos="3153"/>
            </w:tabs>
            <w:ind w:left="-45"/>
            <w:jc w:val="both"/>
            <w:rPr>
              <w:rFonts w:ascii="Palatino Linotype" w:eastAsia="Palatino Linotype" w:hAnsi="Palatino Linotype" w:cs="Palatino Linotype"/>
              <w:b/>
            </w:rPr>
          </w:pPr>
          <w:r>
            <w:rPr>
              <w:rFonts w:ascii="Palatino Linotype" w:eastAsia="Palatino Linotype" w:hAnsi="Palatino Linotype" w:cs="Palatino Linotype"/>
              <w:b/>
            </w:rPr>
            <w:t>03944/INFOEM/IP/RR/2022</w:t>
          </w:r>
        </w:p>
      </w:tc>
    </w:tr>
    <w:tr w:rsidR="00F2419E" w14:paraId="481A3D07" w14:textId="77777777">
      <w:trPr>
        <w:trHeight w:val="130"/>
      </w:trPr>
      <w:tc>
        <w:tcPr>
          <w:tcW w:w="2551" w:type="dxa"/>
          <w:shd w:val="clear" w:color="auto" w:fill="auto"/>
          <w:vAlign w:val="center"/>
        </w:tcPr>
        <w:p w14:paraId="511FC4CB" w14:textId="77777777" w:rsidR="00F2419E" w:rsidRDefault="0034450F">
          <w:pPr>
            <w:rPr>
              <w:rFonts w:ascii="Palatino Linotype" w:eastAsia="Palatino Linotype" w:hAnsi="Palatino Linotype" w:cs="Palatino Linotype"/>
              <w:b/>
            </w:rPr>
          </w:pPr>
          <w:r>
            <w:rPr>
              <w:rFonts w:ascii="Palatino Linotype" w:eastAsia="Palatino Linotype" w:hAnsi="Palatino Linotype" w:cs="Palatino Linotype"/>
              <w:b/>
            </w:rPr>
            <w:t>Recurrente:</w:t>
          </w:r>
        </w:p>
      </w:tc>
      <w:tc>
        <w:tcPr>
          <w:tcW w:w="3544" w:type="dxa"/>
          <w:shd w:val="clear" w:color="auto" w:fill="auto"/>
          <w:vAlign w:val="center"/>
        </w:tcPr>
        <w:p w14:paraId="4ACD7BFC" w14:textId="77777777" w:rsidR="00F2419E" w:rsidRDefault="00F2419E">
          <w:pPr>
            <w:jc w:val="both"/>
            <w:rPr>
              <w:rFonts w:ascii="Palatino Linotype" w:eastAsia="Palatino Linotype" w:hAnsi="Palatino Linotype" w:cs="Palatino Linotype"/>
              <w:b/>
            </w:rPr>
          </w:pPr>
        </w:p>
      </w:tc>
    </w:tr>
    <w:tr w:rsidR="00F2419E" w14:paraId="3FDAD7F8" w14:textId="77777777">
      <w:trPr>
        <w:trHeight w:val="228"/>
      </w:trPr>
      <w:tc>
        <w:tcPr>
          <w:tcW w:w="2551" w:type="dxa"/>
          <w:shd w:val="clear" w:color="auto" w:fill="auto"/>
          <w:vAlign w:val="center"/>
        </w:tcPr>
        <w:p w14:paraId="31A3FE26" w14:textId="77777777" w:rsidR="00F2419E" w:rsidRDefault="0034450F">
          <w:pPr>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3544" w:type="dxa"/>
          <w:shd w:val="clear" w:color="auto" w:fill="auto"/>
          <w:vAlign w:val="center"/>
        </w:tcPr>
        <w:p w14:paraId="7B59D204" w14:textId="77777777" w:rsidR="00F2419E" w:rsidRDefault="0034450F">
          <w:pPr>
            <w:ind w:left="-45" w:right="176"/>
            <w:jc w:val="both"/>
            <w:rPr>
              <w:rFonts w:ascii="Palatino Linotype" w:eastAsia="Palatino Linotype" w:hAnsi="Palatino Linotype" w:cs="Palatino Linotype"/>
              <w:b/>
            </w:rPr>
          </w:pPr>
          <w:r>
            <w:rPr>
              <w:rFonts w:ascii="Palatino Linotype" w:eastAsia="Palatino Linotype" w:hAnsi="Palatino Linotype" w:cs="Palatino Linotype"/>
              <w:b/>
            </w:rPr>
            <w:t>Comisión del Agua del Estado de México</w:t>
          </w:r>
        </w:p>
      </w:tc>
    </w:tr>
    <w:tr w:rsidR="00F2419E" w14:paraId="068C7825" w14:textId="77777777">
      <w:tc>
        <w:tcPr>
          <w:tcW w:w="2551" w:type="dxa"/>
          <w:shd w:val="clear" w:color="auto" w:fill="auto"/>
          <w:vAlign w:val="center"/>
        </w:tcPr>
        <w:p w14:paraId="499C09F4" w14:textId="77777777" w:rsidR="00F2419E" w:rsidRDefault="0034450F">
          <w:pPr>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3544" w:type="dxa"/>
          <w:shd w:val="clear" w:color="auto" w:fill="auto"/>
          <w:vAlign w:val="center"/>
        </w:tcPr>
        <w:p w14:paraId="0236ACB6" w14:textId="77777777" w:rsidR="00F2419E" w:rsidRDefault="0034450F">
          <w:pPr>
            <w:ind w:left="-45" w:right="-533"/>
            <w:jc w:val="both"/>
            <w:rPr>
              <w:rFonts w:ascii="Palatino Linotype" w:eastAsia="Palatino Linotype" w:hAnsi="Palatino Linotype" w:cs="Palatino Linotype"/>
              <w:b/>
            </w:rPr>
          </w:pPr>
          <w:r>
            <w:rPr>
              <w:rFonts w:ascii="Palatino Linotype" w:eastAsia="Palatino Linotype" w:hAnsi="Palatino Linotype" w:cs="Palatino Linotype"/>
              <w:b/>
            </w:rPr>
            <w:t>Guadalupe Ramírez Peña</w:t>
          </w:r>
        </w:p>
      </w:tc>
    </w:tr>
  </w:tbl>
  <w:p w14:paraId="55E9D57F" w14:textId="77777777" w:rsidR="00F2419E" w:rsidRDefault="00F2419E">
    <w:pPr>
      <w:pBdr>
        <w:top w:val="nil"/>
        <w:left w:val="nil"/>
        <w:bottom w:val="nil"/>
        <w:right w:val="nil"/>
        <w:between w:val="nil"/>
      </w:pBdr>
      <w:tabs>
        <w:tab w:val="center" w:pos="4252"/>
        <w:tab w:val="right" w:pos="8504"/>
      </w:tabs>
      <w:rPr>
        <w:rFonts w:ascii="Cambria" w:eastAsia="Cambria" w:hAnsi="Cambria" w:cs="Cambria"/>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7E204D"/>
    <w:multiLevelType w:val="multilevel"/>
    <w:tmpl w:val="C096ADE8"/>
    <w:lvl w:ilvl="0">
      <w:start w:val="1"/>
      <w:numFmt w:val="bullet"/>
      <w:lvlText w:val="-"/>
      <w:lvlJc w:val="left"/>
      <w:pPr>
        <w:ind w:left="1211" w:hanging="360"/>
      </w:pPr>
      <w:rPr>
        <w:rFonts w:ascii="Palatino Linotype" w:eastAsia="Palatino Linotype" w:hAnsi="Palatino Linotype" w:cs="Palatino Linotype"/>
      </w:rPr>
    </w:lvl>
    <w:lvl w:ilvl="1">
      <w:start w:val="1"/>
      <w:numFmt w:val="bullet"/>
      <w:lvlText w:val="o"/>
      <w:lvlJc w:val="left"/>
      <w:pPr>
        <w:ind w:left="1931" w:hanging="360"/>
      </w:pPr>
      <w:rPr>
        <w:rFonts w:ascii="Courier New" w:eastAsia="Courier New" w:hAnsi="Courier New" w:cs="Courier New"/>
      </w:rPr>
    </w:lvl>
    <w:lvl w:ilvl="2">
      <w:start w:val="1"/>
      <w:numFmt w:val="bullet"/>
      <w:lvlText w:val="▪"/>
      <w:lvlJc w:val="left"/>
      <w:pPr>
        <w:ind w:left="2651" w:hanging="360"/>
      </w:pPr>
      <w:rPr>
        <w:rFonts w:ascii="Noto Sans Symbols" w:eastAsia="Noto Sans Symbols" w:hAnsi="Noto Sans Symbols" w:cs="Noto Sans Symbols"/>
      </w:rPr>
    </w:lvl>
    <w:lvl w:ilvl="3">
      <w:start w:val="1"/>
      <w:numFmt w:val="bullet"/>
      <w:lvlText w:val="●"/>
      <w:lvlJc w:val="left"/>
      <w:pPr>
        <w:ind w:left="3371" w:hanging="360"/>
      </w:pPr>
      <w:rPr>
        <w:rFonts w:ascii="Noto Sans Symbols" w:eastAsia="Noto Sans Symbols" w:hAnsi="Noto Sans Symbols" w:cs="Noto Sans Symbols"/>
      </w:rPr>
    </w:lvl>
    <w:lvl w:ilvl="4">
      <w:start w:val="1"/>
      <w:numFmt w:val="bullet"/>
      <w:lvlText w:val="o"/>
      <w:lvlJc w:val="left"/>
      <w:pPr>
        <w:ind w:left="4091" w:hanging="360"/>
      </w:pPr>
      <w:rPr>
        <w:rFonts w:ascii="Courier New" w:eastAsia="Courier New" w:hAnsi="Courier New" w:cs="Courier New"/>
      </w:rPr>
    </w:lvl>
    <w:lvl w:ilvl="5">
      <w:start w:val="1"/>
      <w:numFmt w:val="bullet"/>
      <w:lvlText w:val="▪"/>
      <w:lvlJc w:val="left"/>
      <w:pPr>
        <w:ind w:left="4811" w:hanging="360"/>
      </w:pPr>
      <w:rPr>
        <w:rFonts w:ascii="Noto Sans Symbols" w:eastAsia="Noto Sans Symbols" w:hAnsi="Noto Sans Symbols" w:cs="Noto Sans Symbols"/>
      </w:rPr>
    </w:lvl>
    <w:lvl w:ilvl="6">
      <w:start w:val="1"/>
      <w:numFmt w:val="bullet"/>
      <w:lvlText w:val="●"/>
      <w:lvlJc w:val="left"/>
      <w:pPr>
        <w:ind w:left="5531" w:hanging="360"/>
      </w:pPr>
      <w:rPr>
        <w:rFonts w:ascii="Noto Sans Symbols" w:eastAsia="Noto Sans Symbols" w:hAnsi="Noto Sans Symbols" w:cs="Noto Sans Symbols"/>
      </w:rPr>
    </w:lvl>
    <w:lvl w:ilvl="7">
      <w:start w:val="1"/>
      <w:numFmt w:val="bullet"/>
      <w:lvlText w:val="o"/>
      <w:lvlJc w:val="left"/>
      <w:pPr>
        <w:ind w:left="6251" w:hanging="360"/>
      </w:pPr>
      <w:rPr>
        <w:rFonts w:ascii="Courier New" w:eastAsia="Courier New" w:hAnsi="Courier New" w:cs="Courier New"/>
      </w:rPr>
    </w:lvl>
    <w:lvl w:ilvl="8">
      <w:start w:val="1"/>
      <w:numFmt w:val="bullet"/>
      <w:lvlText w:val="▪"/>
      <w:lvlJc w:val="left"/>
      <w:pPr>
        <w:ind w:left="6971" w:hanging="360"/>
      </w:pPr>
      <w:rPr>
        <w:rFonts w:ascii="Noto Sans Symbols" w:eastAsia="Noto Sans Symbols" w:hAnsi="Noto Sans Symbols" w:cs="Noto Sans Symbols"/>
      </w:rPr>
    </w:lvl>
  </w:abstractNum>
  <w:abstractNum w:abstractNumId="1" w15:restartNumberingAfterBreak="0">
    <w:nsid w:val="08376883"/>
    <w:multiLevelType w:val="multilevel"/>
    <w:tmpl w:val="5E5C8A58"/>
    <w:lvl w:ilvl="0">
      <w:start w:val="1"/>
      <w:numFmt w:val="bullet"/>
      <w:pStyle w:val="Listaconvietas3"/>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7287C7C"/>
    <w:multiLevelType w:val="multilevel"/>
    <w:tmpl w:val="D9D454AE"/>
    <w:lvl w:ilvl="0">
      <w:start w:val="3"/>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FC87F23"/>
    <w:multiLevelType w:val="multilevel"/>
    <w:tmpl w:val="856E65F6"/>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4" w15:restartNumberingAfterBreak="0">
    <w:nsid w:val="37C54AAF"/>
    <w:multiLevelType w:val="multilevel"/>
    <w:tmpl w:val="D3FCEFFA"/>
    <w:lvl w:ilvl="0">
      <w:start w:val="1"/>
      <w:numFmt w:val="lowerLetter"/>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60E27B55"/>
    <w:multiLevelType w:val="multilevel"/>
    <w:tmpl w:val="9C223068"/>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6F6844BB"/>
    <w:multiLevelType w:val="multilevel"/>
    <w:tmpl w:val="D76032FA"/>
    <w:lvl w:ilvl="0">
      <w:start w:val="1"/>
      <w:numFmt w:val="bullet"/>
      <w:lvlText w:val="●"/>
      <w:lvlJc w:val="left"/>
      <w:pPr>
        <w:ind w:left="1571" w:hanging="360"/>
      </w:pPr>
      <w:rPr>
        <w:rFonts w:ascii="Noto Sans Symbols" w:eastAsia="Noto Sans Symbols" w:hAnsi="Noto Sans Symbols" w:cs="Noto Sans Symbols"/>
      </w:rPr>
    </w:lvl>
    <w:lvl w:ilvl="1">
      <w:start w:val="1"/>
      <w:numFmt w:val="bullet"/>
      <w:lvlText w:val="o"/>
      <w:lvlJc w:val="left"/>
      <w:pPr>
        <w:ind w:left="2291" w:hanging="360"/>
      </w:pPr>
      <w:rPr>
        <w:rFonts w:ascii="Courier New" w:eastAsia="Courier New" w:hAnsi="Courier New" w:cs="Courier New"/>
      </w:rPr>
    </w:lvl>
    <w:lvl w:ilvl="2">
      <w:start w:val="1"/>
      <w:numFmt w:val="bullet"/>
      <w:lvlText w:val="▪"/>
      <w:lvlJc w:val="left"/>
      <w:pPr>
        <w:ind w:left="3011" w:hanging="360"/>
      </w:pPr>
      <w:rPr>
        <w:rFonts w:ascii="Noto Sans Symbols" w:eastAsia="Noto Sans Symbols" w:hAnsi="Noto Sans Symbols" w:cs="Noto Sans Symbols"/>
      </w:rPr>
    </w:lvl>
    <w:lvl w:ilvl="3">
      <w:start w:val="1"/>
      <w:numFmt w:val="bullet"/>
      <w:lvlText w:val="●"/>
      <w:lvlJc w:val="left"/>
      <w:pPr>
        <w:ind w:left="3731" w:hanging="360"/>
      </w:pPr>
      <w:rPr>
        <w:rFonts w:ascii="Noto Sans Symbols" w:eastAsia="Noto Sans Symbols" w:hAnsi="Noto Sans Symbols" w:cs="Noto Sans Symbols"/>
      </w:rPr>
    </w:lvl>
    <w:lvl w:ilvl="4">
      <w:start w:val="1"/>
      <w:numFmt w:val="bullet"/>
      <w:lvlText w:val="o"/>
      <w:lvlJc w:val="left"/>
      <w:pPr>
        <w:ind w:left="4451" w:hanging="360"/>
      </w:pPr>
      <w:rPr>
        <w:rFonts w:ascii="Courier New" w:eastAsia="Courier New" w:hAnsi="Courier New" w:cs="Courier New"/>
      </w:rPr>
    </w:lvl>
    <w:lvl w:ilvl="5">
      <w:start w:val="1"/>
      <w:numFmt w:val="bullet"/>
      <w:lvlText w:val="▪"/>
      <w:lvlJc w:val="left"/>
      <w:pPr>
        <w:ind w:left="5171" w:hanging="360"/>
      </w:pPr>
      <w:rPr>
        <w:rFonts w:ascii="Noto Sans Symbols" w:eastAsia="Noto Sans Symbols" w:hAnsi="Noto Sans Symbols" w:cs="Noto Sans Symbols"/>
      </w:rPr>
    </w:lvl>
    <w:lvl w:ilvl="6">
      <w:start w:val="1"/>
      <w:numFmt w:val="bullet"/>
      <w:lvlText w:val="●"/>
      <w:lvlJc w:val="left"/>
      <w:pPr>
        <w:ind w:left="5891" w:hanging="360"/>
      </w:pPr>
      <w:rPr>
        <w:rFonts w:ascii="Noto Sans Symbols" w:eastAsia="Noto Sans Symbols" w:hAnsi="Noto Sans Symbols" w:cs="Noto Sans Symbols"/>
      </w:rPr>
    </w:lvl>
    <w:lvl w:ilvl="7">
      <w:start w:val="1"/>
      <w:numFmt w:val="bullet"/>
      <w:lvlText w:val="o"/>
      <w:lvlJc w:val="left"/>
      <w:pPr>
        <w:ind w:left="6611" w:hanging="360"/>
      </w:pPr>
      <w:rPr>
        <w:rFonts w:ascii="Courier New" w:eastAsia="Courier New" w:hAnsi="Courier New" w:cs="Courier New"/>
      </w:rPr>
    </w:lvl>
    <w:lvl w:ilvl="8">
      <w:start w:val="1"/>
      <w:numFmt w:val="bullet"/>
      <w:lvlText w:val="▪"/>
      <w:lvlJc w:val="left"/>
      <w:pPr>
        <w:ind w:left="7331" w:hanging="360"/>
      </w:pPr>
      <w:rPr>
        <w:rFonts w:ascii="Noto Sans Symbols" w:eastAsia="Noto Sans Symbols" w:hAnsi="Noto Sans Symbols" w:cs="Noto Sans Symbols"/>
      </w:rPr>
    </w:lvl>
  </w:abstractNum>
  <w:abstractNum w:abstractNumId="7" w15:restartNumberingAfterBreak="0">
    <w:nsid w:val="798F3A61"/>
    <w:multiLevelType w:val="multilevel"/>
    <w:tmpl w:val="AA54E60A"/>
    <w:lvl w:ilvl="0">
      <w:start w:val="1"/>
      <w:numFmt w:val="bullet"/>
      <w:pStyle w:val="Listaconvietas2"/>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7F7218D9"/>
    <w:multiLevelType w:val="multilevel"/>
    <w:tmpl w:val="C6B6E474"/>
    <w:lvl w:ilvl="0">
      <w:start w:val="2"/>
      <w:numFmt w:val="bullet"/>
      <w:lvlText w:val="-"/>
      <w:lvlJc w:val="left"/>
      <w:pPr>
        <w:ind w:left="1080" w:hanging="360"/>
      </w:pPr>
      <w:rPr>
        <w:rFonts w:ascii="Palatino Linotype" w:eastAsia="Palatino Linotype" w:hAnsi="Palatino Linotype" w:cs="Palatino Linotype"/>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num w:numId="1">
    <w:abstractNumId w:val="3"/>
  </w:num>
  <w:num w:numId="2">
    <w:abstractNumId w:val="1"/>
  </w:num>
  <w:num w:numId="3">
    <w:abstractNumId w:val="6"/>
  </w:num>
  <w:num w:numId="4">
    <w:abstractNumId w:val="8"/>
  </w:num>
  <w:num w:numId="5">
    <w:abstractNumId w:val="5"/>
  </w:num>
  <w:num w:numId="6">
    <w:abstractNumId w:val="4"/>
  </w:num>
  <w:num w:numId="7">
    <w:abstractNumId w:val="0"/>
  </w:num>
  <w:num w:numId="8">
    <w:abstractNumId w:val="2"/>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419E"/>
    <w:rsid w:val="00022E04"/>
    <w:rsid w:val="000C4A2B"/>
    <w:rsid w:val="001503EE"/>
    <w:rsid w:val="00197019"/>
    <w:rsid w:val="002419F9"/>
    <w:rsid w:val="00337944"/>
    <w:rsid w:val="0034450F"/>
    <w:rsid w:val="004227FF"/>
    <w:rsid w:val="00763B48"/>
    <w:rsid w:val="00924557"/>
    <w:rsid w:val="009B23C2"/>
    <w:rsid w:val="009B51B0"/>
    <w:rsid w:val="009C0624"/>
    <w:rsid w:val="00A47DDB"/>
    <w:rsid w:val="00B01833"/>
    <w:rsid w:val="00F2419E"/>
    <w:rsid w:val="00FC59B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DE2DA6"/>
  <w15:docId w15:val="{EF00DBDE-0341-4D72-93E0-12039D0E68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2902"/>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unhideWhenUsed/>
    <w:qFormat/>
    <w:rsid w:val="003B73CD"/>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unhideWhenUsed/>
    <w:qFormat/>
    <w:rsid w:val="003B73CD"/>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unhideWhenUsed/>
    <w:qFormat/>
    <w:rsid w:val="003B73CD"/>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unhideWhenUsed/>
    <w:qFormat/>
    <w:rsid w:val="003B73CD"/>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3B73CD"/>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3B73CD"/>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3B73C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30">
    <w:name w:val="Table Normal3"/>
    <w:tblPr>
      <w:tblCellMar>
        <w:top w:w="0" w:type="dxa"/>
        <w:left w:w="0" w:type="dxa"/>
        <w:bottom w:w="0" w:type="dxa"/>
        <w:right w:w="0" w:type="dxa"/>
      </w:tblCellMar>
    </w:tblPr>
  </w:style>
  <w:style w:type="table" w:customStyle="1" w:styleId="TableNormal20">
    <w:name w:val="Table Normal2"/>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2944C8"/>
    <w:rPr>
      <w:vertAlign w:val="superscript"/>
    </w:rPr>
  </w:style>
  <w:style w:type="paragraph" w:styleId="Sinespaciado">
    <w:name w:val="No Spacing"/>
    <w:aliases w:val="Francesa,INAI"/>
    <w:link w:val="SinespaciadoCar"/>
    <w:uiPriority w:val="1"/>
    <w:qFormat/>
    <w:rsid w:val="002944C8"/>
    <w:rPr>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INAI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val="es-MX"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val="es-MX" w:eastAsia="en-US"/>
    </w:rPr>
  </w:style>
  <w:style w:type="paragraph" w:customStyle="1" w:styleId="m5127500252372250437gmail-paragraph">
    <w:name w:val="m_5127500252372250437gmail-paragraph"/>
    <w:basedOn w:val="Normal"/>
    <w:rsid w:val="00980B7E"/>
    <w:pPr>
      <w:spacing w:before="100" w:beforeAutospacing="1" w:after="100" w:afterAutospacing="1"/>
    </w:pPr>
    <w:rPr>
      <w:lang w:val="es-MX"/>
    </w:r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rPr>
      <w:lang w:val="es-MX"/>
    </w:r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rPr>
      <w:lang w:val="es-MX"/>
    </w:r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rPr>
      <w:lang w:val="es-MX"/>
    </w:rPr>
  </w:style>
  <w:style w:type="paragraph" w:customStyle="1" w:styleId="m">
    <w:name w:val="m"/>
    <w:basedOn w:val="Normal"/>
    <w:rsid w:val="007B00BD"/>
    <w:pPr>
      <w:spacing w:before="100" w:beforeAutospacing="1" w:after="100" w:afterAutospacing="1"/>
    </w:pPr>
    <w:rPr>
      <w:lang w:val="es-MX"/>
    </w:r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val="es-MX"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style>
  <w:style w:type="paragraph" w:styleId="Lista2">
    <w:name w:val="List 2"/>
    <w:basedOn w:val="Normal"/>
    <w:uiPriority w:val="99"/>
    <w:unhideWhenUsed/>
    <w:rsid w:val="00603D72"/>
    <w:pPr>
      <w:ind w:left="566" w:hanging="283"/>
      <w:contextualSpacing/>
    </w:pPr>
  </w:style>
  <w:style w:type="paragraph" w:styleId="Lista3">
    <w:name w:val="List 3"/>
    <w:basedOn w:val="Normal"/>
    <w:uiPriority w:val="99"/>
    <w:unhideWhenUsed/>
    <w:rsid w:val="00603D72"/>
    <w:pPr>
      <w:ind w:left="849" w:hanging="283"/>
      <w:contextualSpacing/>
    </w:pPr>
  </w:style>
  <w:style w:type="paragraph" w:styleId="Listaconvietas3">
    <w:name w:val="List Bullet 3"/>
    <w:basedOn w:val="Normal"/>
    <w:uiPriority w:val="99"/>
    <w:unhideWhenUsed/>
    <w:rsid w:val="00603D72"/>
    <w:pPr>
      <w:numPr>
        <w:numId w:val="2"/>
      </w:numPr>
      <w:contextualSpacing/>
    </w:pPr>
  </w:style>
  <w:style w:type="paragraph" w:styleId="Continuarlista">
    <w:name w:val="List Continue"/>
    <w:basedOn w:val="Normal"/>
    <w:uiPriority w:val="99"/>
    <w:unhideWhenUsed/>
    <w:rsid w:val="00603D72"/>
    <w:pPr>
      <w:spacing w:after="120"/>
      <w:ind w:left="283"/>
      <w:contextualSpacing/>
    </w:pPr>
  </w:style>
  <w:style w:type="paragraph" w:styleId="Continuarlista2">
    <w:name w:val="List Continue 2"/>
    <w:basedOn w:val="Normal"/>
    <w:uiPriority w:val="99"/>
    <w:unhideWhenUsed/>
    <w:rsid w:val="00603D72"/>
    <w:pPr>
      <w:spacing w:after="120"/>
      <w:ind w:left="566"/>
      <w:contextualSpacing/>
    </w:pPr>
  </w:style>
  <w:style w:type="paragraph" w:styleId="Textoindependiente">
    <w:name w:val="Body Text"/>
    <w:basedOn w:val="Normal"/>
    <w:link w:val="TextoindependienteCar"/>
    <w:uiPriority w:val="99"/>
    <w:unhideWhenUsed/>
    <w:rsid w:val="00603D72"/>
    <w:pPr>
      <w:spacing w:after="120"/>
    </w:p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603D72"/>
    <w:pPr>
      <w:spacing w:after="120"/>
      <w:ind w:left="283"/>
    </w:pPr>
  </w:style>
  <w:style w:type="character" w:customStyle="1" w:styleId="SangradetextonormalCar">
    <w:name w:val="Sangría de texto normal Car"/>
    <w:basedOn w:val="Fuentedeprrafopredeter"/>
    <w:link w:val="Sangradetextonormal"/>
    <w:uiPriority w:val="99"/>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rPr>
      <w:lang w:val="es-MX"/>
    </w:rPr>
  </w:style>
  <w:style w:type="paragraph" w:customStyle="1" w:styleId="n2">
    <w:name w:val="n2"/>
    <w:basedOn w:val="Normal"/>
    <w:rsid w:val="009D307C"/>
    <w:pPr>
      <w:spacing w:before="100" w:beforeAutospacing="1" w:after="100" w:afterAutospacing="1"/>
    </w:pPr>
    <w:rPr>
      <w:lang w:val="es-MX"/>
    </w:r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rPr>
      <w:lang w:val="es-MX"/>
    </w:rPr>
  </w:style>
  <w:style w:type="paragraph" w:customStyle="1" w:styleId="j2">
    <w:name w:val="j2"/>
    <w:basedOn w:val="Normal"/>
    <w:rsid w:val="009D307C"/>
    <w:pPr>
      <w:spacing w:before="100" w:beforeAutospacing="1" w:after="100" w:afterAutospacing="1"/>
    </w:pPr>
    <w:rPr>
      <w:lang w:val="es-MX"/>
    </w:rPr>
  </w:style>
  <w:style w:type="table" w:styleId="Tabladelista1clara-nfasis1">
    <w:name w:val="List Table 1 Light Accent 1"/>
    <w:basedOn w:val="Tablanormal"/>
    <w:uiPriority w:val="46"/>
    <w:rsid w:val="00A01B91"/>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457753"/>
    <w:rPr>
      <w:color w:val="605E5C"/>
      <w:shd w:val="clear" w:color="auto" w:fill="E1DFDD"/>
    </w:rPr>
  </w:style>
  <w:style w:type="character" w:customStyle="1" w:styleId="Mencinsinresolver2">
    <w:name w:val="Mención sin resolver2"/>
    <w:basedOn w:val="Fuentedeprrafopredeter"/>
    <w:uiPriority w:val="99"/>
    <w:semiHidden/>
    <w:unhideWhenUsed/>
    <w:rsid w:val="00CE48D4"/>
    <w:rPr>
      <w:color w:val="605E5C"/>
      <w:shd w:val="clear" w:color="auto" w:fill="E1DFDD"/>
    </w:rPr>
  </w:style>
  <w:style w:type="table" w:customStyle="1" w:styleId="Tabladelista1clara-nfasis11">
    <w:name w:val="Tabla de lista 1 clara - Énfasis 11"/>
    <w:basedOn w:val="Tablanormal"/>
    <w:uiPriority w:val="46"/>
    <w:rsid w:val="008F79FD"/>
    <w:rPr>
      <w:rFonts w:eastAsia="MS Mincho"/>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3Car">
    <w:name w:val="Título 3 Car"/>
    <w:basedOn w:val="Fuentedeprrafopredeter"/>
    <w:link w:val="Ttulo3"/>
    <w:uiPriority w:val="9"/>
    <w:rsid w:val="003B73CD"/>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rsid w:val="003B73CD"/>
    <w:rPr>
      <w:b/>
      <w:bCs/>
      <w:sz w:val="28"/>
      <w:szCs w:val="28"/>
      <w:lang w:val="en-US" w:eastAsia="en-US"/>
    </w:rPr>
  </w:style>
  <w:style w:type="character" w:customStyle="1" w:styleId="Ttulo5Car">
    <w:name w:val="Título 5 Car"/>
    <w:basedOn w:val="Fuentedeprrafopredeter"/>
    <w:link w:val="Ttulo5"/>
    <w:uiPriority w:val="9"/>
    <w:rsid w:val="003B73CD"/>
    <w:rPr>
      <w:b/>
      <w:bCs/>
      <w:i/>
      <w:iCs/>
      <w:sz w:val="26"/>
      <w:szCs w:val="26"/>
      <w:lang w:val="en-US" w:eastAsia="en-US"/>
    </w:rPr>
  </w:style>
  <w:style w:type="character" w:customStyle="1" w:styleId="Ttulo6Car">
    <w:name w:val="Título 6 Car"/>
    <w:basedOn w:val="Fuentedeprrafopredeter"/>
    <w:link w:val="Ttulo6"/>
    <w:rsid w:val="003B73CD"/>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3B73CD"/>
    <w:rPr>
      <w:lang w:val="en-US" w:eastAsia="en-US"/>
    </w:rPr>
  </w:style>
  <w:style w:type="character" w:customStyle="1" w:styleId="Ttulo8Car">
    <w:name w:val="Título 8 Car"/>
    <w:basedOn w:val="Fuentedeprrafopredeter"/>
    <w:link w:val="Ttulo8"/>
    <w:uiPriority w:val="9"/>
    <w:semiHidden/>
    <w:rsid w:val="003B73CD"/>
    <w:rPr>
      <w:i/>
      <w:iCs/>
      <w:lang w:val="en-US" w:eastAsia="en-US"/>
    </w:rPr>
  </w:style>
  <w:style w:type="character" w:customStyle="1" w:styleId="Ttulo9Car">
    <w:name w:val="Título 9 Car"/>
    <w:basedOn w:val="Fuentedeprrafopredeter"/>
    <w:link w:val="Ttulo9"/>
    <w:uiPriority w:val="9"/>
    <w:semiHidden/>
    <w:rsid w:val="003B73CD"/>
    <w:rPr>
      <w:rFonts w:asciiTheme="majorHAnsi" w:eastAsiaTheme="majorEastAsia" w:hAnsiTheme="majorHAnsi" w:cstheme="majorBidi"/>
      <w:sz w:val="22"/>
      <w:szCs w:val="22"/>
      <w:lang w:val="en-US" w:eastAsia="en-US"/>
    </w:rPr>
  </w:style>
  <w:style w:type="paragraph" w:styleId="Revisin">
    <w:name w:val="Revision"/>
    <w:hidden/>
    <w:uiPriority w:val="99"/>
    <w:semiHidden/>
    <w:rsid w:val="00564B24"/>
  </w:style>
  <w:style w:type="table" w:customStyle="1" w:styleId="Tablanormal11">
    <w:name w:val="Tabla normal 11"/>
    <w:basedOn w:val="Tablanormal"/>
    <w:next w:val="Tablanormal1"/>
    <w:uiPriority w:val="41"/>
    <w:rsid w:val="007A5E15"/>
    <w:rPr>
      <w:rFonts w:eastAsia="Calibri"/>
      <w:sz w:val="22"/>
      <w:szCs w:val="22"/>
      <w:lang w:val="es-MX"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Tablanormal1">
    <w:name w:val="Plain Table 1"/>
    <w:basedOn w:val="Tablanormal"/>
    <w:uiPriority w:val="41"/>
    <w:rsid w:val="007A5E15"/>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TextonotapieCar1">
    <w:name w:val="Texto nota pie Car1"/>
    <w:uiPriority w:val="99"/>
    <w:rsid w:val="006233E2"/>
    <w:rPr>
      <w:rFonts w:ascii="Times New Roman" w:eastAsia="Times New Roman" w:hAnsi="Times New Roman" w:cs="Times New Roman"/>
      <w:sz w:val="20"/>
      <w:szCs w:val="20"/>
      <w:lang w:val="es-ES" w:eastAsia="es-ES"/>
    </w:rPr>
  </w:style>
  <w:style w:type="paragraph" w:styleId="Subttulo">
    <w:name w:val="Subtitle"/>
    <w:basedOn w:val="Normal"/>
    <w:next w:val="Normal"/>
    <w:link w:val="SubttuloCar"/>
    <w:pPr>
      <w:spacing w:after="160"/>
    </w:pPr>
    <w:rPr>
      <w:rFonts w:ascii="Cambria" w:eastAsia="Cambria" w:hAnsi="Cambria" w:cs="Cambria"/>
      <w:color w:val="5A5A5A"/>
      <w:sz w:val="22"/>
      <w:szCs w:val="22"/>
    </w:rPr>
  </w:style>
  <w:style w:type="character" w:customStyle="1" w:styleId="SubttuloCar">
    <w:name w:val="Subtítulo Car"/>
    <w:basedOn w:val="Fuentedeprrafopredeter"/>
    <w:link w:val="Subttulo"/>
    <w:uiPriority w:val="11"/>
    <w:rsid w:val="00D91005"/>
    <w:rPr>
      <w:color w:val="5A5A5A" w:themeColor="text1" w:themeTint="A5"/>
      <w:spacing w:val="15"/>
      <w:sz w:val="22"/>
      <w:szCs w:val="22"/>
      <w:lang w:val="es-ES"/>
    </w:rPr>
  </w:style>
  <w:style w:type="table" w:customStyle="1" w:styleId="12">
    <w:name w:val="12"/>
    <w:basedOn w:val="TableNormal10"/>
    <w:rPr>
      <w:sz w:val="22"/>
      <w:szCs w:val="22"/>
    </w:rPr>
    <w:tblPr>
      <w:tblStyleRowBandSize w:val="1"/>
      <w:tblStyleColBandSize w:val="1"/>
      <w:tblCellMar>
        <w:left w:w="108" w:type="dxa"/>
        <w:right w:w="108" w:type="dxa"/>
      </w:tblCellMar>
    </w:tblPr>
  </w:style>
  <w:style w:type="table" w:customStyle="1" w:styleId="11">
    <w:name w:val="11"/>
    <w:basedOn w:val="TableNormal10"/>
    <w:rPr>
      <w:sz w:val="22"/>
      <w:szCs w:val="22"/>
    </w:rPr>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10">
    <w:name w:val="10"/>
    <w:basedOn w:val="TableNormal10"/>
    <w:tblPr>
      <w:tblStyleRowBandSize w:val="1"/>
      <w:tblStyleColBandSize w:val="1"/>
      <w:tblCellMar>
        <w:left w:w="115" w:type="dxa"/>
        <w:right w:w="115" w:type="dxa"/>
      </w:tblCellMar>
    </w:tblPr>
  </w:style>
  <w:style w:type="table" w:customStyle="1" w:styleId="9">
    <w:name w:val="9"/>
    <w:basedOn w:val="TableNormal10"/>
    <w:tblPr>
      <w:tblStyleRowBandSize w:val="1"/>
      <w:tblStyleColBandSize w:val="1"/>
      <w:tblCellMar>
        <w:left w:w="115" w:type="dxa"/>
        <w:right w:w="115" w:type="dxa"/>
      </w:tblCellMar>
    </w:tblPr>
  </w:style>
  <w:style w:type="table" w:customStyle="1" w:styleId="8">
    <w:name w:val="8"/>
    <w:basedOn w:val="TableNormal10"/>
    <w:rPr>
      <w:sz w:val="22"/>
      <w:szCs w:val="22"/>
    </w:rPr>
    <w:tblPr>
      <w:tblStyleRowBandSize w:val="1"/>
      <w:tblStyleColBandSize w:val="1"/>
      <w:tblCellMar>
        <w:left w:w="115" w:type="dxa"/>
        <w:right w:w="115"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7">
    <w:name w:val="7"/>
    <w:basedOn w:val="TableNormal10"/>
    <w:rPr>
      <w:sz w:val="22"/>
      <w:szCs w:val="22"/>
    </w:rPr>
    <w:tblPr>
      <w:tblStyleRowBandSize w:val="1"/>
      <w:tblStyleColBandSize w:val="1"/>
      <w:tblCellMar>
        <w:left w:w="115" w:type="dxa"/>
        <w:right w:w="115" w:type="dxa"/>
      </w:tblCellMar>
    </w:tblPr>
  </w:style>
  <w:style w:type="table" w:customStyle="1" w:styleId="6">
    <w:name w:val="6"/>
    <w:basedOn w:val="TableNormal10"/>
    <w:rPr>
      <w:sz w:val="22"/>
      <w:szCs w:val="22"/>
    </w:rPr>
    <w:tblPr>
      <w:tblStyleRowBandSize w:val="1"/>
      <w:tblStyleColBandSize w:val="1"/>
      <w:tblCellMar>
        <w:left w:w="115" w:type="dxa"/>
        <w:right w:w="115" w:type="dxa"/>
      </w:tblCellMar>
    </w:tblPr>
  </w:style>
  <w:style w:type="table" w:customStyle="1" w:styleId="5">
    <w:name w:val="5"/>
    <w:basedOn w:val="TableNormal20"/>
    <w:rPr>
      <w:sz w:val="22"/>
      <w:szCs w:val="22"/>
    </w:rPr>
    <w:tblPr>
      <w:tblStyleRowBandSize w:val="1"/>
      <w:tblStyleColBandSize w:val="1"/>
      <w:tblCellMar>
        <w:left w:w="115" w:type="dxa"/>
        <w:right w:w="115"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4">
    <w:name w:val="4"/>
    <w:basedOn w:val="TableNormal20"/>
    <w:rPr>
      <w:sz w:val="22"/>
      <w:szCs w:val="22"/>
    </w:rPr>
    <w:tblPr>
      <w:tblStyleRowBandSize w:val="1"/>
      <w:tblStyleColBandSize w:val="1"/>
      <w:tblCellMar>
        <w:left w:w="115" w:type="dxa"/>
        <w:right w:w="115" w:type="dxa"/>
      </w:tblCellMar>
    </w:tblPr>
  </w:style>
  <w:style w:type="table" w:customStyle="1" w:styleId="3">
    <w:name w:val="3"/>
    <w:basedOn w:val="TableNormal20"/>
    <w:rPr>
      <w:sz w:val="22"/>
      <w:szCs w:val="22"/>
    </w:rPr>
    <w:tblPr>
      <w:tblStyleRowBandSize w:val="1"/>
      <w:tblStyleColBandSize w:val="1"/>
      <w:tblCellMar>
        <w:left w:w="115" w:type="dxa"/>
        <w:right w:w="115" w:type="dxa"/>
      </w:tblCellMar>
    </w:tblPr>
  </w:style>
  <w:style w:type="table" w:customStyle="1" w:styleId="2">
    <w:name w:val="2"/>
    <w:basedOn w:val="TableNormal30"/>
    <w:rPr>
      <w:sz w:val="22"/>
      <w:szCs w:val="22"/>
    </w:rPr>
    <w:tblPr>
      <w:tblStyleRowBandSize w:val="1"/>
      <w:tblStyleColBandSize w:val="1"/>
      <w:tblCellMar>
        <w:left w:w="115" w:type="dxa"/>
        <w:right w:w="115" w:type="dxa"/>
      </w:tblCellMar>
    </w:tblPr>
  </w:style>
  <w:style w:type="table" w:customStyle="1" w:styleId="1">
    <w:name w:val="1"/>
    <w:basedOn w:val="TableNormal30"/>
    <w:rPr>
      <w:sz w:val="22"/>
      <w:szCs w:val="22"/>
    </w:rPr>
    <w:tblPr>
      <w:tblStyleRowBandSize w:val="1"/>
      <w:tblStyleColBandSize w:val="1"/>
      <w:tblCellMar>
        <w:left w:w="115" w:type="dxa"/>
        <w:right w:w="115" w:type="dxa"/>
      </w:tblCellMar>
    </w:tblPr>
  </w:style>
  <w:style w:type="table" w:customStyle="1" w:styleId="Tablaconcuadrcula1">
    <w:name w:val="Tabla con cuadrícula1"/>
    <w:basedOn w:val="Tablanormal"/>
    <w:next w:val="Tablaconcuadrcula"/>
    <w:uiPriority w:val="59"/>
    <w:rsid w:val="001F195A"/>
    <w:rPr>
      <w:rFonts w:ascii="Calibri" w:eastAsia="Calibri" w:hAnsi="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
    <w:basedOn w:val="TableNormal4"/>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0">
    <w:basedOn w:val="TableNormal4"/>
    <w:tblPr>
      <w:tblStyleRowBandSize w:val="1"/>
      <w:tblStyleColBandSize w:val="1"/>
      <w:tblCellMar>
        <w:left w:w="70" w:type="dxa"/>
        <w:right w:w="70" w:type="dxa"/>
      </w:tblCellMar>
    </w:tblPr>
  </w:style>
  <w:style w:type="table" w:customStyle="1" w:styleId="a2">
    <w:basedOn w:val="TableNormal4"/>
    <w:rPr>
      <w:sz w:val="22"/>
      <w:szCs w:val="22"/>
    </w:rPr>
    <w:tblPr>
      <w:tblStyleRowBandSize w:val="1"/>
      <w:tblStyleColBandSize w:val="1"/>
      <w:tblCellMar>
        <w:left w:w="115" w:type="dxa"/>
        <w:right w:w="115" w:type="dxa"/>
      </w:tblCellMar>
    </w:tblPr>
  </w:style>
  <w:style w:type="table" w:customStyle="1" w:styleId="a3">
    <w:basedOn w:val="TableNormal4"/>
    <w:rPr>
      <w:sz w:val="22"/>
      <w:szCs w:val="22"/>
    </w:rPr>
    <w:tblPr>
      <w:tblStyleRowBandSize w:val="1"/>
      <w:tblStyleColBandSize w:val="1"/>
      <w:tblCellMar>
        <w:left w:w="115" w:type="dxa"/>
        <w:right w:w="115" w:type="dxa"/>
      </w:tblCellMar>
    </w:tblPr>
  </w:style>
  <w:style w:type="table" w:customStyle="1" w:styleId="a4">
    <w:basedOn w:val="TableNormal3"/>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5">
    <w:basedOn w:val="TableNormal3"/>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6">
    <w:basedOn w:val="TableNormal2"/>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7">
    <w:basedOn w:val="TableNormal2"/>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8">
    <w:basedOn w:val="TableNormal1"/>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9">
    <w:basedOn w:val="TableNormal1"/>
    <w:rPr>
      <w:rFonts w:ascii="Calibri" w:eastAsia="Calibri" w:hAnsi="Calibri" w:cs="Calibri"/>
      <w:sz w:val="22"/>
      <w:szCs w:val="22"/>
    </w:rPr>
    <w:tblPr>
      <w:tblStyleRowBandSize w:val="1"/>
      <w:tblStyleColBandSize w:val="1"/>
      <w:tblCellMar>
        <w:left w:w="115" w:type="dxa"/>
        <w:right w:w="115" w:type="dxa"/>
      </w:tblCellMar>
    </w:tblPr>
  </w:style>
  <w:style w:type="paragraph" w:styleId="Listaconvietas2">
    <w:name w:val="List Bullet 2"/>
    <w:basedOn w:val="Normal"/>
    <w:uiPriority w:val="99"/>
    <w:unhideWhenUsed/>
    <w:rsid w:val="00954C29"/>
    <w:pPr>
      <w:numPr>
        <w:numId w:val="9"/>
      </w:numPr>
      <w:contextualSpacing/>
    </w:pPr>
  </w:style>
  <w:style w:type="table" w:customStyle="1" w:styleId="aa">
    <w:basedOn w:val="TableNormal0"/>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b">
    <w:basedOn w:val="TableNormal0"/>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c">
    <w:basedOn w:val="TableNormal0"/>
    <w:rPr>
      <w:rFonts w:ascii="Calibri" w:eastAsia="Calibri" w:hAnsi="Calibri" w:cs="Calibri"/>
      <w:sz w:val="22"/>
      <w:szCs w:val="22"/>
    </w:rPr>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MM9GdUv1sqSzhj19Cozpxz4uI5w==">AMUW2mWVRHMdpDg8v9kY9MlzSdi+U3v/DLl/0Ax8u2Rl24V38gWknw18J/iwJREo7JMsFnpaDXzwgD/LgAnetJF9f5oS3muyWLzJ2YGL2G7Fxj/CwxCPlcMh1zefgIuhczfKqb0v+dDbgFSaak1XuIpEN/kaGH+jE6uRAxEm7rQKYZ0RKIFE2T1ZPE+xv2v+x2vZ5uM0RQsX//gOhpyBRLqzCgJ6jTqv9g==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53</Pages>
  <Words>11897</Words>
  <Characters>65436</Characters>
  <Application>Microsoft Office Word</Application>
  <DocSecurity>0</DocSecurity>
  <Lines>545</Lines>
  <Paragraphs>154</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77179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USUARIO</cp:lastModifiedBy>
  <cp:revision>2</cp:revision>
  <cp:lastPrinted>2022-07-14T16:47:00Z</cp:lastPrinted>
  <dcterms:created xsi:type="dcterms:W3CDTF">2022-08-04T22:48:00Z</dcterms:created>
  <dcterms:modified xsi:type="dcterms:W3CDTF">2022-08-04T22:48:00Z</dcterms:modified>
</cp:coreProperties>
</file>