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diez de febrero del dos mil veintidós.</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05829/INFOEM/IP/RR/2021;</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un particular que no proporcionó nombre o seudónimo</w:t>
      </w:r>
      <w:r>
        <w:rPr>
          <w:rFonts w:ascii="Palatino Linotype" w:eastAsia="Palatino Linotype" w:hAnsi="Palatino Linotype" w:cs="Palatino Linotype"/>
        </w:rPr>
        <w:t xml:space="preserve">, en lo sucesivo se le denominara el </w:t>
      </w:r>
      <w:r>
        <w:rPr>
          <w:rFonts w:ascii="Palatino Linotype" w:eastAsia="Palatino Linotype" w:hAnsi="Palatino Linotype" w:cs="Palatino Linotype"/>
          <w:b/>
        </w:rPr>
        <w:t>RECURRENTE</w:t>
      </w:r>
      <w:r>
        <w:rPr>
          <w:rFonts w:ascii="Palatino Linotype" w:eastAsia="Palatino Linotype" w:hAnsi="Palatino Linotype" w:cs="Palatino Linotype"/>
        </w:rPr>
        <w:t>, en contra de la respuesta a su solicitud de información con número d</w:t>
      </w:r>
      <w:r>
        <w:rPr>
          <w:rFonts w:ascii="Palatino Linotype" w:eastAsia="Palatino Linotype" w:hAnsi="Palatino Linotype" w:cs="Palatino Linotype"/>
        </w:rPr>
        <w:t xml:space="preserve">e folio </w:t>
      </w:r>
      <w:r>
        <w:rPr>
          <w:rFonts w:ascii="Palatino Linotype" w:eastAsia="Palatino Linotype" w:hAnsi="Palatino Linotype" w:cs="Palatino Linotype"/>
          <w:b/>
        </w:rPr>
        <w:t xml:space="preserve">00564/TEOLOYU/IP/2021,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Ayuntamiento de Teoloyucan</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02543D" w:rsidRDefault="00661467">
      <w:pPr>
        <w:numPr>
          <w:ilvl w:val="0"/>
          <w:numId w:val="2"/>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02543D" w:rsidRDefault="0066146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rPr>
        <w:t xml:space="preserve">ocho de noviembre de dos mil veintiuno,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02543D" w:rsidRDefault="0066146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la lista </w:t>
      </w:r>
      <w:r>
        <w:rPr>
          <w:rFonts w:ascii="Palatino Linotype" w:eastAsia="Palatino Linotype" w:hAnsi="Palatino Linotype" w:cs="Palatino Linotype"/>
          <w:i/>
          <w:sz w:val="22"/>
          <w:szCs w:val="22"/>
        </w:rPr>
        <w:t xml:space="preserve">de recursos federales </w:t>
      </w:r>
      <w:proofErr w:type="spellStart"/>
      <w:r>
        <w:rPr>
          <w:rFonts w:ascii="Palatino Linotype" w:eastAsia="Palatino Linotype" w:hAnsi="Palatino Linotype" w:cs="Palatino Linotype"/>
          <w:i/>
          <w:sz w:val="22"/>
          <w:szCs w:val="22"/>
        </w:rPr>
        <w:t>resividos</w:t>
      </w:r>
      <w:proofErr w:type="spellEnd"/>
      <w:r>
        <w:rPr>
          <w:rFonts w:ascii="Palatino Linotype" w:eastAsia="Palatino Linotype" w:hAnsi="Palatino Linotype" w:cs="Palatino Linotype"/>
          <w:i/>
          <w:sz w:val="22"/>
          <w:szCs w:val="22"/>
        </w:rPr>
        <w:t xml:space="preserve"> al municipio o ayuntamiento en el 2021” (Sic)</w:t>
      </w:r>
    </w:p>
    <w:p w:rsidR="0002543D" w:rsidRDefault="0002543D">
      <w:pPr>
        <w:ind w:left="851" w:right="902"/>
        <w:jc w:val="both"/>
        <w:rPr>
          <w:rFonts w:ascii="Palatino Linotype" w:eastAsia="Palatino Linotype" w:hAnsi="Palatino Linotype" w:cs="Palatino Linotype"/>
          <w:i/>
          <w:color w:val="000000"/>
          <w:sz w:val="22"/>
          <w:szCs w:val="22"/>
        </w:rPr>
      </w:pPr>
    </w:p>
    <w:p w:rsidR="0002543D" w:rsidRDefault="0002543D">
      <w:pPr>
        <w:ind w:left="851" w:right="902"/>
        <w:jc w:val="both"/>
        <w:rPr>
          <w:rFonts w:ascii="Palatino Linotype" w:eastAsia="Palatino Linotype" w:hAnsi="Palatino Linotype" w:cs="Palatino Linotype"/>
          <w:i/>
          <w:color w:val="000000"/>
          <w:sz w:val="22"/>
          <w:szCs w:val="22"/>
        </w:rPr>
      </w:pPr>
    </w:p>
    <w:p w:rsidR="0002543D" w:rsidRDefault="00661467">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SAIMEX.</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dieciocho de noviembre de dos mil veintiuno,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w:t>
      </w:r>
      <w:r>
        <w:rPr>
          <w:rFonts w:ascii="Palatino Linotype" w:eastAsia="Palatino Linotype" w:hAnsi="Palatino Linotype" w:cs="Palatino Linotype"/>
        </w:rPr>
        <w:t>esta a la solicitud de acceso a la información a través del SAIMEX, la cual versa como sigue:</w:t>
      </w:r>
    </w:p>
    <w:p w:rsidR="0002543D" w:rsidRDefault="00661467">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2543D" w:rsidRDefault="00661467">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w:t>
      </w:r>
      <w:r>
        <w:rPr>
          <w:rFonts w:ascii="Palatino Linotype" w:eastAsia="Palatino Linotype" w:hAnsi="Palatino Linotype" w:cs="Palatino Linotype"/>
          <w:i/>
          <w:color w:val="000000"/>
          <w:sz w:val="22"/>
          <w:szCs w:val="22"/>
        </w:rPr>
        <w:t>stando en tiempo y forma para dar debida contestación, esto con fundamento en el artículo 163 de la LEY DE TRANSPARENCIA Y ACCESO A LA INFORMACIÓN PÚBLICA DEL ESTADO DE MÉXICO Y MUNICIPIOS y de acuerdo con su solicitud se informa lo siguiente: Se remite el</w:t>
      </w:r>
      <w:r>
        <w:rPr>
          <w:rFonts w:ascii="Palatino Linotype" w:eastAsia="Palatino Linotype" w:hAnsi="Palatino Linotype" w:cs="Palatino Linotype"/>
          <w:i/>
          <w:color w:val="000000"/>
          <w:sz w:val="22"/>
          <w:szCs w:val="22"/>
        </w:rPr>
        <w:t xml:space="preserve"> oficio TESO/OI/281/11/2021, suscrito por la Lic. Blanca Estela Mendoza </w:t>
      </w:r>
      <w:proofErr w:type="spellStart"/>
      <w:r>
        <w:rPr>
          <w:rFonts w:ascii="Palatino Linotype" w:eastAsia="Palatino Linotype" w:hAnsi="Palatino Linotype" w:cs="Palatino Linotype"/>
          <w:i/>
          <w:color w:val="000000"/>
          <w:sz w:val="22"/>
          <w:szCs w:val="22"/>
        </w:rPr>
        <w:t>Choreño</w:t>
      </w:r>
      <w:proofErr w:type="spellEnd"/>
      <w:r>
        <w:rPr>
          <w:rFonts w:ascii="Palatino Linotype" w:eastAsia="Palatino Linotype" w:hAnsi="Palatino Linotype" w:cs="Palatino Linotype"/>
          <w:i/>
          <w:color w:val="000000"/>
          <w:sz w:val="22"/>
          <w:szCs w:val="22"/>
        </w:rPr>
        <w:t>, Tesorera municipal atendiendo a la solicitud de información. Con fundamento en la LEY DE TRANSPARENCIA Y ACCESO A LA INFORMACIÓN PÚBLICA DEL ESTADO DE MÉXICO Y MUNICIPIOS en s</w:t>
      </w:r>
      <w:r>
        <w:rPr>
          <w:rFonts w:ascii="Palatino Linotype" w:eastAsia="Palatino Linotype" w:hAnsi="Palatino Linotype" w:cs="Palatino Linotype"/>
          <w:i/>
          <w:color w:val="000000"/>
          <w:sz w:val="22"/>
          <w:szCs w:val="22"/>
        </w:rPr>
        <w:t>u Artículo 12. Quienes generen, recopilen, administren, manejen, procesen, archiven o conserven información pública serán responsables de la misma en los términos de las disposiciones jurídicas aplicables. Los sujetos obligados sólo proporcionarán la infor</w:t>
      </w:r>
      <w:r>
        <w:rPr>
          <w:rFonts w:ascii="Palatino Linotype" w:eastAsia="Palatino Linotype" w:hAnsi="Palatino Linotype" w:cs="Palatino Linotype"/>
          <w:i/>
          <w:color w:val="000000"/>
          <w:sz w:val="22"/>
          <w:szCs w:val="22"/>
        </w:rPr>
        <w:t>mación pública que se les requiera y que obre en sus archivos y en el estado en que ésta se encuentre. La obligación de proporcionar información no comprende el procesamiento de la misma, ni el presentarla conforme al interés del solicitante; no estarán ob</w:t>
      </w:r>
      <w:r>
        <w:rPr>
          <w:rFonts w:ascii="Palatino Linotype" w:eastAsia="Palatino Linotype" w:hAnsi="Palatino Linotype" w:cs="Palatino Linotype"/>
          <w:i/>
          <w:color w:val="000000"/>
          <w:sz w:val="22"/>
          <w:szCs w:val="22"/>
        </w:rPr>
        <w:t>ligados a generarla, resumirla, efectuar cálculos o practicar investigaciones.</w:t>
      </w:r>
    </w:p>
    <w:p w:rsidR="0002543D" w:rsidRDefault="00661467">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02543D" w:rsidRDefault="00661467">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Brenda Anaya </w:t>
      </w:r>
      <w:proofErr w:type="spellStart"/>
      <w:r>
        <w:rPr>
          <w:rFonts w:ascii="Palatino Linotype" w:eastAsia="Palatino Linotype" w:hAnsi="Palatino Linotype" w:cs="Palatino Linotype"/>
          <w:i/>
          <w:color w:val="000000"/>
          <w:sz w:val="22"/>
          <w:szCs w:val="22"/>
        </w:rPr>
        <w:t>Beltran</w:t>
      </w:r>
      <w:proofErr w:type="spellEnd"/>
      <w:r>
        <w:rPr>
          <w:rFonts w:ascii="Palatino Linotype" w:eastAsia="Palatino Linotype" w:hAnsi="Palatino Linotype" w:cs="Palatino Linotype"/>
          <w:i/>
          <w:color w:val="000000"/>
          <w:sz w:val="22"/>
          <w:szCs w:val="22"/>
        </w:rPr>
        <w:t>” (Sic)</w:t>
      </w:r>
    </w:p>
    <w:p w:rsidR="0002543D" w:rsidRDefault="0002543D">
      <w:pPr>
        <w:ind w:right="902"/>
        <w:jc w:val="both"/>
        <w:rPr>
          <w:rFonts w:ascii="Palatino Linotype" w:eastAsia="Palatino Linotype" w:hAnsi="Palatino Linotype" w:cs="Palatino Linotype"/>
          <w:b/>
        </w:rPr>
      </w:pPr>
    </w:p>
    <w:p w:rsidR="0002543D" w:rsidRDefault="0066146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Adjuntando a su respuesta los archivos electrónicos: “</w:t>
      </w:r>
      <w:hyperlink r:id="rId8">
        <w:r>
          <w:rPr>
            <w:rFonts w:ascii="Palatino Linotype" w:eastAsia="Palatino Linotype" w:hAnsi="Palatino Linotype" w:cs="Palatino Linotype"/>
          </w:rPr>
          <w:t>Teso 554.pdf</w:t>
        </w:r>
      </w:hyperlink>
      <w:r>
        <w:rPr>
          <w:rFonts w:ascii="Palatino Linotype" w:eastAsia="Palatino Linotype" w:hAnsi="Palatino Linotype" w:cs="Palatino Linotype"/>
        </w:rPr>
        <w:t>” y “</w:t>
      </w:r>
      <w:hyperlink r:id="rId9">
        <w:r>
          <w:rPr>
            <w:rFonts w:ascii="Palatino Linotype" w:eastAsia="Palatino Linotype" w:hAnsi="Palatino Linotype" w:cs="Palatino Linotype"/>
          </w:rPr>
          <w:t>OFICIOS DE RESPUESTA 564.pdf</w:t>
        </w:r>
      </w:hyperlink>
      <w:r>
        <w:rPr>
          <w:rFonts w:ascii="Palatino Linotype" w:eastAsia="Palatino Linotype" w:hAnsi="Palatino Linotype" w:cs="Palatino Linotype"/>
        </w:rPr>
        <w:t xml:space="preserve">”, los cuales serán detallados y </w:t>
      </w:r>
      <w:r>
        <w:rPr>
          <w:rFonts w:ascii="Palatino Linotype" w:eastAsia="Palatino Linotype" w:hAnsi="Palatino Linotype" w:cs="Palatino Linotype"/>
        </w:rPr>
        <w:t>analizados más adelante en el apartado correspondiente.</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veintitrés de noviembre de dos m</w:t>
      </w:r>
      <w:r>
        <w:rPr>
          <w:rFonts w:ascii="Palatino Linotype" w:eastAsia="Palatino Linotype" w:hAnsi="Palatino Linotype" w:cs="Palatino Linotype"/>
        </w:rPr>
        <w:t>il veintiuno, a través del cual expresó lo siguiente:</w:t>
      </w:r>
    </w:p>
    <w:p w:rsidR="0002543D" w:rsidRDefault="00661467">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02543D" w:rsidRDefault="00661467">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“respuesta” (Sic)</w:t>
      </w:r>
    </w:p>
    <w:p w:rsidR="0002543D" w:rsidRDefault="0066146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02543D" w:rsidRDefault="00661467">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“las ligas que mandan nos lleva a una </w:t>
      </w:r>
      <w:proofErr w:type="spellStart"/>
      <w:r>
        <w:rPr>
          <w:rFonts w:ascii="Palatino Linotype" w:eastAsia="Palatino Linotype" w:hAnsi="Palatino Linotype" w:cs="Palatino Linotype"/>
          <w:i/>
          <w:color w:val="000000"/>
        </w:rPr>
        <w:t>informacion</w:t>
      </w:r>
      <w:proofErr w:type="spellEnd"/>
      <w:r>
        <w:rPr>
          <w:rFonts w:ascii="Palatino Linotype" w:eastAsia="Palatino Linotype" w:hAnsi="Palatino Linotype" w:cs="Palatino Linotype"/>
          <w:i/>
          <w:color w:val="000000"/>
        </w:rPr>
        <w:t xml:space="preserve"> que no </w:t>
      </w:r>
      <w:proofErr w:type="spellStart"/>
      <w:r>
        <w:rPr>
          <w:rFonts w:ascii="Palatino Linotype" w:eastAsia="Palatino Linotype" w:hAnsi="Palatino Linotype" w:cs="Palatino Linotype"/>
          <w:i/>
          <w:color w:val="000000"/>
        </w:rPr>
        <w:t>esta</w:t>
      </w:r>
      <w:proofErr w:type="spellEnd"/>
      <w:r>
        <w:rPr>
          <w:rFonts w:ascii="Palatino Linotype" w:eastAsia="Palatino Linotype" w:hAnsi="Palatino Linotype" w:cs="Palatino Linotype"/>
          <w:i/>
          <w:color w:val="000000"/>
        </w:rPr>
        <w:t xml:space="preserve"> completa” (Sic)</w:t>
      </w:r>
    </w:p>
    <w:p w:rsidR="0002543D" w:rsidRDefault="0066146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w:t>
      </w:r>
      <w:r>
        <w:rPr>
          <w:rFonts w:ascii="Palatino Linotype" w:eastAsia="Palatino Linotype" w:hAnsi="Palatino Linotype" w:cs="Palatino Linotype"/>
        </w:rPr>
        <w:t xml:space="preserve">e la Ley de Transparencia y Acceso a la Información Pública del Estado de México y Municipios vigente, el recurso de revisión número </w:t>
      </w:r>
      <w:r>
        <w:rPr>
          <w:rFonts w:ascii="Palatino Linotype" w:eastAsia="Palatino Linotype" w:hAnsi="Palatino Linotype" w:cs="Palatino Linotype"/>
          <w:b/>
        </w:rPr>
        <w:t xml:space="preserve">05829/INFOEM/IP/RR/2021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turnado por el sistema electrónico del Instituto de Transparencia, Acceso a la Información Públ</w:t>
      </w:r>
      <w:r>
        <w:rPr>
          <w:rFonts w:ascii="Palatino Linotype" w:eastAsia="Palatino Linotype" w:hAnsi="Palatino Linotype" w:cs="Palatino Linotype"/>
        </w:rPr>
        <w:t xml:space="preserve">ica y Protección de Datos Personales del Estado de México y Municipios, a la Comisionada Ponente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02543D" w:rsidRDefault="0002543D">
      <w:pPr>
        <w:spacing w:after="40" w:line="360" w:lineRule="auto"/>
        <w:jc w:val="both"/>
        <w:rPr>
          <w:rFonts w:ascii="Palatino Linotype" w:eastAsia="Palatino Linotype" w:hAnsi="Palatino Linotype" w:cs="Palatino Linotype"/>
        </w:rPr>
      </w:pPr>
    </w:p>
    <w:p w:rsidR="0002543D" w:rsidRDefault="00661467">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b/>
        </w:rPr>
        <w:t xml:space="preserve">: </w:t>
      </w:r>
      <w:r>
        <w:rPr>
          <w:rFonts w:ascii="Palatino Linotype" w:eastAsia="Palatino Linotype" w:hAnsi="Palatino Linotype" w:cs="Palatino Linotype"/>
        </w:rPr>
        <w:t>En fecha veintinueve de noviembre de dos mil veintiuno, la Comisionada ponente, admitió a trámite el recurso de revisión que ahora se resuelve, dando un plazo máximo de siete días hábiles para que las partes manifestaran lo que a su derecho resultara con</w:t>
      </w:r>
      <w:r>
        <w:rPr>
          <w:rFonts w:ascii="Palatino Linotype" w:eastAsia="Palatino Linotype" w:hAnsi="Palatino Linotype" w:cs="Palatino Linotype"/>
        </w:rPr>
        <w:t xml:space="preserve">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02543D" w:rsidRDefault="00661467">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integran el expediente en que se actúa se advierte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fue omiso en ofrecer pruebas y alegatos, 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w:t>
      </w:r>
    </w:p>
    <w:p w:rsidR="0002543D" w:rsidRDefault="00661467">
      <w:pPr>
        <w:widowControl w:val="0"/>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En fecha trece de diciembre del año dos mil veintiuno, la Comisionada ponente determinó el cierre de instrucció</w:t>
      </w:r>
      <w:r>
        <w:rPr>
          <w:rFonts w:ascii="Palatino Linotype" w:eastAsia="Palatino Linotype" w:hAnsi="Palatino Linotype" w:cs="Palatino Linotype"/>
        </w:rPr>
        <w:t>n en términos de la fracción VI del artículo 185 de la Ley de Transparencia y Acceso a la Información Pública del Estado de México y Municipios.</w:t>
      </w:r>
    </w:p>
    <w:p w:rsidR="0002543D" w:rsidRDefault="0002543D">
      <w:pPr>
        <w:widowControl w:val="0"/>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7. Alcance a la Entrega de la Información del Recurso de Revisión</w:t>
      </w:r>
      <w:r>
        <w:rPr>
          <w:rFonts w:ascii="Palatino Linotype" w:eastAsia="Palatino Linotype" w:hAnsi="Palatino Linotype" w:cs="Palatino Linotype"/>
        </w:rPr>
        <w:t>, el Sujeto Obligado en fecha veintidós de di</w:t>
      </w:r>
      <w:r>
        <w:rPr>
          <w:rFonts w:ascii="Palatino Linotype" w:eastAsia="Palatino Linotype" w:hAnsi="Palatino Linotype" w:cs="Palatino Linotype"/>
        </w:rPr>
        <w:t>ciembre del año dos mil veintiuno, remitió a través del SAIMEX, en alcance al Recurso de Revisión los archivos electrónicos siguientes:</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1.- “</w:t>
      </w:r>
      <w:hyperlink r:id="rId10">
        <w:r>
          <w:rPr>
            <w:rFonts w:ascii="Palatino Linotype" w:eastAsia="Palatino Linotype" w:hAnsi="Palatino Linotype" w:cs="Palatino Linotype"/>
          </w:rPr>
          <w:t>respuesta 564.pdf</w:t>
        </w:r>
      </w:hyperlink>
      <w:r>
        <w:rPr>
          <w:rFonts w:ascii="Palatino Linotype" w:eastAsia="Palatino Linotype" w:hAnsi="Palatino Linotype" w:cs="Palatino Linotype"/>
        </w:rPr>
        <w:t>”, el c</w:t>
      </w:r>
      <w:r>
        <w:rPr>
          <w:rFonts w:ascii="Palatino Linotype" w:eastAsia="Palatino Linotype" w:hAnsi="Palatino Linotype" w:cs="Palatino Linotype"/>
        </w:rPr>
        <w:t>ual contiene la respuesta descrita en el antecedentes número dos de la presente resolución, en específico la respuesta del Tesorero Municipal del Ayuntamiento de Teoloyucan, a través del cual informó al Titular de la Unidad de Transparencia también del Ayu</w:t>
      </w:r>
      <w:r>
        <w:rPr>
          <w:rFonts w:ascii="Palatino Linotype" w:eastAsia="Palatino Linotype" w:hAnsi="Palatino Linotype" w:cs="Palatino Linotype"/>
        </w:rPr>
        <w:t>ntamiento de Teoloyucan, que con el objeto de dar cumplimiento a la solicitud 00564/TEOLOYU/IP/2021, referente a:</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 </w:t>
      </w:r>
      <w:r>
        <w:rPr>
          <w:rFonts w:ascii="Palatino Linotype" w:eastAsia="Palatino Linotype" w:hAnsi="Palatino Linotype" w:cs="Palatino Linotype"/>
          <w:i/>
        </w:rPr>
        <w:t xml:space="preserve">“solicito lista de recursos federales </w:t>
      </w:r>
      <w:proofErr w:type="spellStart"/>
      <w:r>
        <w:rPr>
          <w:rFonts w:ascii="Palatino Linotype" w:eastAsia="Palatino Linotype" w:hAnsi="Palatino Linotype" w:cs="Palatino Linotype"/>
          <w:i/>
        </w:rPr>
        <w:t>resividos</w:t>
      </w:r>
      <w:proofErr w:type="spellEnd"/>
      <w:r>
        <w:rPr>
          <w:rFonts w:ascii="Palatino Linotype" w:eastAsia="Palatino Linotype" w:hAnsi="Palatino Linotype" w:cs="Palatino Linotype"/>
          <w:i/>
        </w:rPr>
        <w:t xml:space="preserve"> al municipio o ayuntamiento en el 2021”</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Señalando que, de acuerdo a lo anterior, se encuentra para su consulta en el siguiente link:</w:t>
      </w:r>
    </w:p>
    <w:p w:rsidR="0002543D" w:rsidRDefault="00661467">
      <w:pPr>
        <w:spacing w:line="360" w:lineRule="auto"/>
        <w:jc w:val="both"/>
        <w:rPr>
          <w:rFonts w:ascii="Palatino Linotype" w:eastAsia="Palatino Linotype" w:hAnsi="Palatino Linotype" w:cs="Palatino Linotype"/>
        </w:rPr>
      </w:pPr>
      <w:hyperlink r:id="rId11">
        <w:r>
          <w:rPr>
            <w:rFonts w:ascii="Palatino Linotype" w:eastAsia="Palatino Linotype" w:hAnsi="Palatino Linotype" w:cs="Palatino Linotype"/>
            <w:color w:val="0000FF"/>
            <w:u w:val="single"/>
          </w:rPr>
          <w:t>https://www.teoloyucan.gob.mx/presupuestos/2021</w:t>
        </w:r>
      </w:hyperlink>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2.- “</w:t>
      </w:r>
      <w:hyperlink r:id="rId12">
        <w:r>
          <w:rPr>
            <w:rFonts w:ascii="Palatino Linotype" w:eastAsia="Palatino Linotype" w:hAnsi="Palatino Linotype" w:cs="Palatino Linotype"/>
          </w:rPr>
          <w:t>ingresos 3.pdf</w:t>
        </w:r>
      </w:hyperlink>
      <w:r>
        <w:rPr>
          <w:rFonts w:ascii="Palatino Linotype" w:eastAsia="Palatino Linotype" w:hAnsi="Palatino Linotype" w:cs="Palatino Linotype"/>
        </w:rPr>
        <w:t xml:space="preserve">”, el cual contiene el presupuesto de ingresos detallado del mes de enero al mes de diciembre del ejercicio fiscal 2021, correspondiente al formato PbRM-03a, del Ayuntamiento de Teoloyucan. </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3.</w:t>
      </w:r>
      <w:r>
        <w:rPr>
          <w:rFonts w:ascii="Palatino Linotype" w:eastAsia="Palatino Linotype" w:hAnsi="Palatino Linotype" w:cs="Palatino Linotype"/>
        </w:rPr>
        <w:t>- “</w:t>
      </w:r>
      <w:hyperlink r:id="rId13">
        <w:r>
          <w:rPr>
            <w:rFonts w:ascii="Palatino Linotype" w:eastAsia="Palatino Linotype" w:hAnsi="Palatino Linotype" w:cs="Palatino Linotype"/>
          </w:rPr>
          <w:t>ingresos 2.pdf</w:t>
        </w:r>
      </w:hyperlink>
      <w:r>
        <w:rPr>
          <w:rFonts w:ascii="Palatino Linotype" w:eastAsia="Palatino Linotype" w:hAnsi="Palatino Linotype" w:cs="Palatino Linotype"/>
        </w:rPr>
        <w:t>”, el cual contiene los resultados de ingresos de los años 2017, 2018, 2019 y 2020, del Ayuntamiento de Teoloyucan.</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4.- “</w:t>
      </w:r>
      <w:hyperlink r:id="rId14">
        <w:r>
          <w:rPr>
            <w:rFonts w:ascii="Palatino Linotype" w:eastAsia="Palatino Linotype" w:hAnsi="Palatino Linotype" w:cs="Palatino Linotype"/>
          </w:rPr>
          <w:t>ingresos 4.pdf</w:t>
        </w:r>
      </w:hyperlink>
      <w:r>
        <w:rPr>
          <w:rFonts w:ascii="Palatino Linotype" w:eastAsia="Palatino Linotype" w:hAnsi="Palatino Linotype" w:cs="Palatino Linotype"/>
        </w:rPr>
        <w:t xml:space="preserve">”, el cual contiene las proyecciones de ingresos de los años 2021, 2022, 2023 y 2024, del Ayuntamiento de Teoloyucan. </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5.- “</w:t>
      </w:r>
      <w:hyperlink r:id="rId15">
        <w:r>
          <w:rPr>
            <w:rFonts w:ascii="Palatino Linotype" w:eastAsia="Palatino Linotype" w:hAnsi="Palatino Linotype" w:cs="Palatino Linotype"/>
          </w:rPr>
          <w:t>ingresos 1.pdf</w:t>
        </w:r>
      </w:hyperlink>
      <w:r>
        <w:rPr>
          <w:rFonts w:ascii="Palatino Linotype" w:eastAsia="Palatino Linotype" w:hAnsi="Palatino Linotype" w:cs="Palatino Linotype"/>
        </w:rPr>
        <w:t xml:space="preserve">”, el cual contiene la caratula de presupuesto de ingresos, basado en resultados del ejercicio fiscal 2021, en específico el formato PbRM-03b, del Ayuntamiento de Teoloyucan. </w:t>
      </w:r>
    </w:p>
    <w:p w:rsidR="0002543D" w:rsidRDefault="0002543D">
      <w:pPr>
        <w:spacing w:line="360" w:lineRule="auto"/>
        <w:jc w:val="both"/>
        <w:rPr>
          <w:rFonts w:ascii="Palatino Linotype" w:eastAsia="Palatino Linotype" w:hAnsi="Palatino Linotype" w:cs="Palatino Linotype"/>
        </w:rPr>
      </w:pPr>
    </w:p>
    <w:p w:rsidR="0002543D" w:rsidRDefault="0066146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Ampliación del plazo para </w:t>
      </w:r>
      <w:r>
        <w:rPr>
          <w:rFonts w:ascii="Palatino Linotype" w:eastAsia="Palatino Linotype" w:hAnsi="Palatino Linotype" w:cs="Palatino Linotype"/>
          <w:b/>
        </w:rPr>
        <w:t>emitir resolución</w:t>
      </w:r>
      <w:r>
        <w:rPr>
          <w:rFonts w:ascii="Palatino Linotype" w:eastAsia="Palatino Linotype" w:hAnsi="Palatino Linotype" w:cs="Palatino Linotype"/>
        </w:rPr>
        <w:t xml:space="preserve">. En fecha veintiséis de enero del dos mil veintidós, este Instituto con fundamento en el artículo 181, párrafo tercero, de la Ley de Transparencia y Acceso a la Información Pública del Estado de México y Municipios, determinó mediante el </w:t>
      </w:r>
      <w:r>
        <w:rPr>
          <w:rFonts w:ascii="Palatino Linotype" w:eastAsia="Palatino Linotype" w:hAnsi="Palatino Linotype" w:cs="Palatino Linotype"/>
        </w:rPr>
        <w:t>acuerdo respectivo, ampliar por quince días hábiles adicionales el plazo para emitir la presente resolución a fin de realizar un mejor estudio del asunto.</w:t>
      </w:r>
    </w:p>
    <w:p w:rsidR="0002543D" w:rsidRDefault="00661467">
      <w:pPr>
        <w:numPr>
          <w:ilvl w:val="0"/>
          <w:numId w:val="2"/>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02543D" w:rsidRDefault="00661467">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w:t>
      </w:r>
      <w:r>
        <w:rPr>
          <w:rFonts w:ascii="Palatino Linotype" w:eastAsia="Palatino Linotype" w:hAnsi="Palatino Linotype" w:cs="Palatino Linotype"/>
          <w:highlight w:val="white"/>
        </w:rPr>
        <w:t>dispuesto en los artículos 6, apartado A de la Constitución Política de los Estados Unidos Mexicanos; 5, párrafos trigésimo, trigésimo primero y trigésimo segundo, fracciones IV y V de la Constitución Política del Estado Libre y Soberano de México; 1, 2, f</w:t>
      </w:r>
      <w:r>
        <w:rPr>
          <w:rFonts w:ascii="Palatino Linotype" w:eastAsia="Palatino Linotype" w:hAnsi="Palatino Linotype" w:cs="Palatino Linotype"/>
          <w:highlight w:val="white"/>
        </w:rPr>
        <w:t xml:space="preserve">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w:t>
      </w:r>
      <w:r>
        <w:rPr>
          <w:rFonts w:ascii="Palatino Linotype" w:eastAsia="Palatino Linotype" w:hAnsi="Palatino Linotype" w:cs="Palatino Linotype"/>
          <w:highlight w:val="white"/>
        </w:rPr>
        <w:t>ncia, Acceso a la Información Pública y Protección de Datos Personales del Estado de México y Municipios.</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De conformidad con los requisitos de Oportunidad y Procedibilidad que debe reunir el re</w:t>
      </w:r>
      <w:r>
        <w:rPr>
          <w:rFonts w:ascii="Palatino Linotype" w:eastAsia="Palatino Linotype" w:hAnsi="Palatino Linotype" w:cs="Palatino Linotype"/>
        </w:rPr>
        <w:t>curso de revisión interpuesto, previstos en los artículos 178 y 180 de la Ley de Transparencia y Acceso a la Información Pública del Estado de México y Municipios; en la especie se advierte que el presente medio de impugnación fue interpuesto dentro del pl</w:t>
      </w:r>
      <w:r>
        <w:rPr>
          <w:rFonts w:ascii="Palatino Linotype" w:eastAsia="Palatino Linotype" w:hAnsi="Palatino Linotype" w:cs="Palatino Linotype"/>
        </w:rPr>
        <w:t xml:space="preserve">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dieciocho de noviembre de año dos mil veintiuno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w:t>
      </w:r>
      <w:r>
        <w:rPr>
          <w:rFonts w:ascii="Palatino Linotype" w:eastAsia="Palatino Linotype" w:hAnsi="Palatino Linotype" w:cs="Palatino Linotype"/>
        </w:rPr>
        <w:t xml:space="preserve"> revisión el veintitrés de noviembre del mismo año, esto es al tercer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sin contabilizar los días sábado y domingo por corresponder a días inhábiles, evidenciándose que la interposición d</w:t>
      </w:r>
      <w:r>
        <w:rPr>
          <w:rFonts w:ascii="Palatino Linotype" w:eastAsia="Palatino Linotype" w:hAnsi="Palatino Linotype" w:cs="Palatino Linotype"/>
        </w:rPr>
        <w:t>el recurso se encuentra dentro de los márgenes temporales previstos en el citado precepto legal.</w:t>
      </w:r>
    </w:p>
    <w:p w:rsidR="0002543D" w:rsidRDefault="0066146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por cuanto hace a la procedibilidad de los recursos de revisión, es de suma importancia señalar que la parte recurrente se identifica como "</w:t>
      </w:r>
      <w:r>
        <w:rPr>
          <w:rFonts w:ascii="Palatino Linotype" w:eastAsia="Palatino Linotype" w:hAnsi="Palatino Linotype" w:cs="Palatino Linotype"/>
          <w:b/>
        </w:rPr>
        <w:t>un particular que no proporciono nombre o seudónimo</w:t>
      </w:r>
      <w:r>
        <w:rPr>
          <w:rFonts w:ascii="Palatino Linotype" w:eastAsia="Palatino Linotype" w:hAnsi="Palatino Linotype" w:cs="Palatino Linotype"/>
        </w:rPr>
        <w:t>" como se advierte en el detalle de seguimiento del SAIMEX, no obstante lo anterior, no proporcionar el nombre no es motivo para archivar la solicitud de acceso a la información pública como concluida, con</w:t>
      </w:r>
      <w:r>
        <w:rPr>
          <w:rFonts w:ascii="Palatino Linotype" w:eastAsia="Palatino Linotype" w:hAnsi="Palatino Linotype" w:cs="Palatino Linotype"/>
        </w:rPr>
        <w:t>forme a lo previsto en el artículo 155, penúltimo párrafo de la Ley de Transparencia y Acceso a la Información Pública del Estado de México y Municipios que establece lo siguiente:</w:t>
      </w:r>
    </w:p>
    <w:p w:rsidR="0002543D" w:rsidRDefault="0002543D">
      <w:pPr>
        <w:ind w:left="567" w:right="474"/>
        <w:jc w:val="both"/>
        <w:rPr>
          <w:rFonts w:ascii="Palatino Linotype" w:eastAsia="Palatino Linotype" w:hAnsi="Palatino Linotype" w:cs="Palatino Linotype"/>
          <w:i/>
        </w:rPr>
      </w:pP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w:t>
      </w:r>
      <w:r>
        <w:rPr>
          <w:rFonts w:ascii="Palatino Linotype" w:eastAsia="Palatino Linotype" w:hAnsi="Palatino Linotype" w:cs="Palatino Linotype"/>
          <w:b/>
          <w:i/>
          <w:sz w:val="22"/>
          <w:szCs w:val="22"/>
        </w:rPr>
        <w:t>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rsidR="0002543D" w:rsidRDefault="0002543D">
      <w:pPr>
        <w:spacing w:line="360" w:lineRule="auto"/>
        <w:jc w:val="both"/>
        <w:rPr>
          <w:i/>
          <w:color w:val="1F1F1F"/>
          <w:sz w:val="22"/>
          <w:szCs w:val="22"/>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Robusteciendo lo anterior se encuentra lo dispuesto en el artículo 6, Apartado A,</w:t>
      </w:r>
      <w:r>
        <w:rPr>
          <w:rFonts w:ascii="Palatino Linotype" w:eastAsia="Palatino Linotype" w:hAnsi="Palatino Linotype" w:cs="Palatino Linotype"/>
        </w:rPr>
        <w:t xml:space="preserve"> fracciones III de la Constitución Política de los Estados Unidos Mexicanos que establece:</w:t>
      </w:r>
    </w:p>
    <w:p w:rsidR="0002543D" w:rsidRDefault="00661467">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w:t>
      </w:r>
      <w:r>
        <w:rPr>
          <w:rFonts w:ascii="Palatino Linotype" w:eastAsia="Palatino Linotype" w:hAnsi="Palatino Linotype" w:cs="Palatino Linotype"/>
          <w:i/>
          <w:sz w:val="22"/>
          <w:szCs w:val="22"/>
        </w:rPr>
        <w:t>será ejercido en los términos dispuestos por la ley. El derecho a la información será garantizado por el Estado.</w:t>
      </w: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rsidR="0002543D" w:rsidRDefault="0002543D">
      <w:pPr>
        <w:ind w:left="567" w:right="474"/>
        <w:jc w:val="both"/>
        <w:rPr>
          <w:rFonts w:ascii="Palatino Linotype" w:eastAsia="Palatino Linotype" w:hAnsi="Palatino Linotype" w:cs="Palatino Linotype"/>
          <w:i/>
          <w:sz w:val="22"/>
          <w:szCs w:val="22"/>
        </w:rPr>
      </w:pP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w:t>
      </w:r>
      <w:r>
        <w:rPr>
          <w:rFonts w:ascii="Palatino Linotype" w:eastAsia="Palatino Linotype" w:hAnsi="Palatino Linotype" w:cs="Palatino Linotype"/>
          <w:i/>
          <w:sz w:val="22"/>
          <w:szCs w:val="22"/>
        </w:rPr>
        <w:t>a Federación, los Estados y el Distrito Federal, en el ámbito de sus respectivas competencias, se regirán por los siguientes principios y bases:</w:t>
      </w:r>
    </w:p>
    <w:p w:rsidR="0002543D" w:rsidRDefault="0002543D">
      <w:pPr>
        <w:ind w:left="567" w:right="474"/>
        <w:jc w:val="both"/>
        <w:rPr>
          <w:rFonts w:ascii="Palatino Linotype" w:eastAsia="Palatino Linotype" w:hAnsi="Palatino Linotype" w:cs="Palatino Linotype"/>
          <w:i/>
          <w:sz w:val="22"/>
          <w:szCs w:val="22"/>
        </w:rPr>
      </w:pP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w:t>
      </w:r>
      <w:r>
        <w:rPr>
          <w:rFonts w:ascii="Palatino Linotype" w:eastAsia="Palatino Linotype" w:hAnsi="Palatino Linotype" w:cs="Palatino Linotype"/>
          <w:i/>
          <w:sz w:val="22"/>
          <w:szCs w:val="22"/>
        </w:rPr>
        <w:t>to a la información pública, a sus datos personales o a la rectificación de éstos.</w:t>
      </w:r>
    </w:p>
    <w:p w:rsidR="0002543D" w:rsidRDefault="0002543D">
      <w:pPr>
        <w:ind w:left="567" w:right="474"/>
        <w:jc w:val="both"/>
        <w:rPr>
          <w:rFonts w:ascii="Palatino Linotype" w:eastAsia="Palatino Linotype" w:hAnsi="Palatino Linotype" w:cs="Palatino Linotype"/>
          <w:i/>
          <w:sz w:val="22"/>
          <w:szCs w:val="22"/>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como el artículo 5 fracción III, párrafo vigésimo segundo, vigésimo tercero y vigésimo cuarto, de la Constitución Política del Estado Libre y Soberano de México, que de</w:t>
      </w:r>
      <w:r>
        <w:rPr>
          <w:rFonts w:ascii="Palatino Linotype" w:eastAsia="Palatino Linotype" w:hAnsi="Palatino Linotype" w:cs="Palatino Linotype"/>
        </w:rPr>
        <w:t>termina lo siguiente:</w:t>
      </w:r>
    </w:p>
    <w:p w:rsidR="0002543D" w:rsidRDefault="0002543D">
      <w:pPr>
        <w:ind w:right="474"/>
        <w:jc w:val="both"/>
        <w:rPr>
          <w:rFonts w:ascii="Palatino Linotype" w:eastAsia="Palatino Linotype" w:hAnsi="Palatino Linotype" w:cs="Palatino Linotype"/>
          <w:i/>
          <w:sz w:val="22"/>
          <w:szCs w:val="22"/>
        </w:rPr>
      </w:pP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w:t>
      </w:r>
      <w:r>
        <w:rPr>
          <w:rFonts w:ascii="Palatino Linotype" w:eastAsia="Palatino Linotype" w:hAnsi="Palatino Linotype" w:cs="Palatino Linotype"/>
          <w:i/>
          <w:sz w:val="22"/>
          <w:szCs w:val="22"/>
        </w:rPr>
        <w:t xml:space="preserve"> en esta Constitución y en las leyes que de ésta emanen, por lo que gozarán de las garantías para su protección, las cuales no podrán restringirse ni suspenderse salvo en los casos y bajo las condiciones que la Constitución Política de los Estados Unidos M</w:t>
      </w:r>
      <w:r>
        <w:rPr>
          <w:rFonts w:ascii="Palatino Linotype" w:eastAsia="Palatino Linotype" w:hAnsi="Palatino Linotype" w:cs="Palatino Linotype"/>
          <w:i/>
          <w:sz w:val="22"/>
          <w:szCs w:val="22"/>
        </w:rPr>
        <w:t>exicanos establece”.(Sic)</w:t>
      </w: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w:t>
      </w:r>
      <w:r>
        <w:rPr>
          <w:rFonts w:ascii="Palatino Linotype" w:eastAsia="Palatino Linotype" w:hAnsi="Palatino Linotype" w:cs="Palatino Linotype"/>
          <w:i/>
          <w:sz w:val="22"/>
          <w:szCs w:val="22"/>
        </w:rPr>
        <w:t>o a la información será garantizado por el Estado. La ley establecerá las previsiones que permitan asegurar la protección, el respeto y la difusión de este derecho.</w:t>
      </w: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Para garantizar el ejercicio del derecho de transparencia, acceso a la información pública </w:t>
      </w:r>
      <w:r>
        <w:rPr>
          <w:rFonts w:ascii="Palatino Linotype" w:eastAsia="Palatino Linotype" w:hAnsi="Palatino Linotype" w:cs="Palatino Linotype"/>
          <w:i/>
          <w:sz w:val="22"/>
          <w:szCs w:val="22"/>
        </w:rPr>
        <w:t>y protección de datos personales, los poderes públicos y los organismos autónomos, transparentarán sus acciones, en términos de las disposiciones aplicables, la información será oportuna, clara, veraz y de fácil acceso. Este derecho se regirá por los princ</w:t>
      </w:r>
      <w:r>
        <w:rPr>
          <w:rFonts w:ascii="Palatino Linotype" w:eastAsia="Palatino Linotype" w:hAnsi="Palatino Linotype" w:cs="Palatino Linotype"/>
          <w:i/>
          <w:sz w:val="22"/>
          <w:szCs w:val="22"/>
        </w:rPr>
        <w:t>ipios y bases siguientes:</w:t>
      </w: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El Estado contará con un </w:t>
      </w:r>
      <w:r>
        <w:rPr>
          <w:rFonts w:ascii="Palatino Linotype" w:eastAsia="Palatino Linotype" w:hAnsi="Palatino Linotype" w:cs="Palatino Linotype"/>
          <w:i/>
          <w:sz w:val="22"/>
          <w:szCs w:val="22"/>
        </w:rPr>
        <w:t>organismo autónomo, especializado, imparcial, colegiado, con personalidad jurídica y patrimonio propio, con plena autonomía técnica y de gestión, con capacidad para decidir sobre el ejercicio de su presupuesto y determinar su organización interna, responsa</w:t>
      </w:r>
      <w:r>
        <w:rPr>
          <w:rFonts w:ascii="Palatino Linotype" w:eastAsia="Palatino Linotype" w:hAnsi="Palatino Linotype" w:cs="Palatino Linotype"/>
          <w:i/>
          <w:sz w:val="22"/>
          <w:szCs w:val="22"/>
        </w:rPr>
        <w:t>ble de garantizar el cumplimiento del derecho de transparencia, acceso a la información pública y a la protección de datos personales en posesión de los sujetos obligados en los términos que establezca la ley.” (...)</w:t>
      </w:r>
    </w:p>
    <w:p w:rsidR="0002543D" w:rsidRDefault="0002543D">
      <w:pPr>
        <w:ind w:left="567" w:right="474"/>
        <w:jc w:val="both"/>
        <w:rPr>
          <w:rFonts w:ascii="Palatino Linotype" w:eastAsia="Palatino Linotype" w:hAnsi="Palatino Linotype" w:cs="Palatino Linotype"/>
          <w:i/>
          <w:sz w:val="22"/>
          <w:szCs w:val="22"/>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del contenido del artículo 1 de la Constitución Política de los Estados</w:t>
      </w: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Unidos mexicanos, se destaca lo siguiente:</w:t>
      </w:r>
    </w:p>
    <w:p w:rsidR="0002543D" w:rsidRDefault="0002543D">
      <w:pPr>
        <w:ind w:left="567" w:right="474"/>
        <w:jc w:val="both"/>
        <w:rPr>
          <w:rFonts w:ascii="Palatino Linotype" w:eastAsia="Palatino Linotype" w:hAnsi="Palatino Linotype" w:cs="Palatino Linotype"/>
          <w:i/>
          <w:sz w:val="22"/>
          <w:szCs w:val="22"/>
        </w:rPr>
      </w:pP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En los Estados Unidos Mexicanos todas las personas gozarán de los derechos humanos reconocidos en esta Constitu</w:t>
      </w:r>
      <w:r>
        <w:rPr>
          <w:rFonts w:ascii="Palatino Linotype" w:eastAsia="Palatino Linotype" w:hAnsi="Palatino Linotype" w:cs="Palatino Linotype"/>
          <w:i/>
          <w:sz w:val="22"/>
          <w:szCs w:val="22"/>
        </w:rPr>
        <w:t>ción y en los tratados  internacionales de los que el Estado Mexicano sea parte, así como de las garantías para su protección, cuyo ejercicio no podrá restringirse ni suspenderse, salvo en los casos y bajo las condiciones que esta Constitución establece.</w:t>
      </w: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w:t>
      </w:r>
      <w:r>
        <w:rPr>
          <w:rFonts w:ascii="Palatino Linotype" w:eastAsia="Palatino Linotype" w:hAnsi="Palatino Linotype" w:cs="Palatino Linotype"/>
          <w:i/>
          <w:sz w:val="22"/>
          <w:szCs w:val="22"/>
        </w:rPr>
        <w:t>as normas relativas a los derechos humanos se interpretarán de conformidad con esta Constitución y con los tratados internacionales de la materia favoreciendo en todo tiempo a las personas la protección más amplia.</w:t>
      </w:r>
    </w:p>
    <w:p w:rsidR="0002543D" w:rsidRDefault="0066146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w:t>
      </w:r>
      <w:r>
        <w:rPr>
          <w:rFonts w:ascii="Palatino Linotype" w:eastAsia="Palatino Linotype" w:hAnsi="Palatino Linotype" w:cs="Palatino Linotype"/>
          <w:i/>
          <w:sz w:val="22"/>
          <w:szCs w:val="22"/>
        </w:rPr>
        <w:t>s competencias, tienen la obligación de promover, respetar, proteger y garantizar los derechos humanos de conformidad con los principios de universalidad, interdependencia, indivisibilidad y progresividad. En consecuencia, el Estado deberá prevenir, invest</w:t>
      </w:r>
      <w:r>
        <w:rPr>
          <w:rFonts w:ascii="Palatino Linotype" w:eastAsia="Palatino Linotype" w:hAnsi="Palatino Linotype" w:cs="Palatino Linotype"/>
          <w:i/>
          <w:sz w:val="22"/>
          <w:szCs w:val="22"/>
        </w:rPr>
        <w:t>igar, sancionar y reparar las violaciones a los derechos humanos, en los términos que establezca la ley."</w:t>
      </w:r>
    </w:p>
    <w:p w:rsidR="0002543D" w:rsidRDefault="0002543D">
      <w:pPr>
        <w:spacing w:line="360" w:lineRule="auto"/>
        <w:jc w:val="both"/>
        <w:rPr>
          <w:i/>
          <w:sz w:val="23"/>
          <w:szCs w:val="23"/>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el derecho humano de acceso a la información pública, se aprecia que toda persona, sin necesidad de acreditar interés alguno o justifica</w:t>
      </w:r>
      <w:r>
        <w:rPr>
          <w:rFonts w:ascii="Palatino Linotype" w:eastAsia="Palatino Linotype" w:hAnsi="Palatino Linotype" w:cs="Palatino Linotype"/>
        </w:rPr>
        <w:t xml:space="preserve">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xml:space="preserve">, de acreditar su legitimación en la causa o su interés en el </w:t>
      </w:r>
      <w:r>
        <w:rPr>
          <w:rFonts w:ascii="Palatino Linotype" w:eastAsia="Palatino Linotype" w:hAnsi="Palatino Linotype" w:cs="Palatino Linotype"/>
        </w:rPr>
        <w:lastRenderedPageBreak/>
        <w:t>asunto, lo que permite la posibilidad de que, incluso, la solicitud d</w:t>
      </w:r>
      <w:r>
        <w:rPr>
          <w:rFonts w:ascii="Palatino Linotype" w:eastAsia="Palatino Linotype" w:hAnsi="Palatino Linotype" w:cs="Palatino Linotype"/>
        </w:rPr>
        <w:t>e acceso a la información pueda ser anónima o no contener un nombre que identifique al solicitante o que permita tener certeza sobre su identidad.</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se fortalece con el Criterio 6/2014 del entonces Instituto Federal de Acceso a la Información y Prote</w:t>
      </w:r>
      <w:r>
        <w:rPr>
          <w:rFonts w:ascii="Palatino Linotype" w:eastAsia="Palatino Linotype" w:hAnsi="Palatino Linotype" w:cs="Palatino Linotype"/>
        </w:rPr>
        <w:t>cción de Datos, ahora Instituto Nacional de Transparencia Acceso a la Información y Protección de Datos Personales, el cual se reproduce para una mayor referencia:</w:t>
      </w:r>
    </w:p>
    <w:p w:rsidR="0002543D" w:rsidRDefault="0002543D">
      <w:pPr>
        <w:spacing w:line="360" w:lineRule="auto"/>
        <w:jc w:val="both"/>
        <w:rPr>
          <w:rFonts w:ascii="Palatino Linotype" w:eastAsia="Palatino Linotype" w:hAnsi="Palatino Linotype" w:cs="Palatino Linotype"/>
        </w:rPr>
      </w:pPr>
    </w:p>
    <w:p w:rsidR="0002543D" w:rsidRDefault="00661467">
      <w:pPr>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“Acceso a información gubernamental. No debe condicionarse a que el solicitante acredite su</w:t>
      </w:r>
      <w:r>
        <w:rPr>
          <w:rFonts w:ascii="Palatino Linotype" w:eastAsia="Palatino Linotype" w:hAnsi="Palatino Linotype" w:cs="Palatino Linotype"/>
          <w:i/>
        </w:rPr>
        <w:t xml:space="preserve"> personalidad, demuestre interés alguno o justifique su utilización. De conformidad con lo dispuesto en los artículos 6o., apartado A, fracción III de la Constitución Política de los Estados Unidos Mexicanos, y 1º, 2º, 4º y 40 de la Ley Federal de Transpar</w:t>
      </w:r>
      <w:r>
        <w:rPr>
          <w:rFonts w:ascii="Palatino Linotype" w:eastAsia="Palatino Linotype" w:hAnsi="Palatino Linotype" w:cs="Palatino Linotype"/>
          <w:i/>
        </w:rPr>
        <w:t>encia y Acceso a la Información Pública Gubernamental, la respuesta a una solicitud de acceso a información y entrega de la misma, no debe estar condicionada a que el particular acredite su personalidad, demuestre interés alguno o justifique su utilización</w:t>
      </w:r>
      <w:r>
        <w:rPr>
          <w:rFonts w:ascii="Palatino Linotype" w:eastAsia="Palatino Linotype" w:hAnsi="Palatino Linotype" w:cs="Palatino Linotype"/>
          <w:i/>
        </w:rPr>
        <w:t>, en virtud de que los sujetos obligados no deben requerir al solicitante mayores requisitos que los establecidos en la Ley. En este sentido, las dependencias y entidades, sólo deberán asegurarse de que, en su caso, se haya cubierto el pago de reproducción</w:t>
      </w:r>
      <w:r>
        <w:rPr>
          <w:rFonts w:ascii="Palatino Linotype" w:eastAsia="Palatino Linotype" w:hAnsi="Palatino Linotype" w:cs="Palatino Linotype"/>
          <w:i/>
        </w:rPr>
        <w:t xml:space="preserve"> y envío de la información, mediante la exhibición del recibo correspondiente.”(Sic)</w:t>
      </w:r>
    </w:p>
    <w:p w:rsidR="0002543D" w:rsidRDefault="0002543D">
      <w:pPr>
        <w:ind w:left="851" w:right="758"/>
        <w:jc w:val="both"/>
        <w:rPr>
          <w:rFonts w:ascii="Palatino Linotype" w:eastAsia="Palatino Linotype" w:hAnsi="Palatino Linotype" w:cs="Palatino Linotype"/>
          <w:i/>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dado lo expuesto y fundado con anterioridad, se estima que el requisito relativo al nombre del recurrente no constituye un presupuesto indispensable de p</w:t>
      </w:r>
      <w:r>
        <w:rPr>
          <w:rFonts w:ascii="Palatino Linotype" w:eastAsia="Palatino Linotype" w:hAnsi="Palatino Linotype" w:cs="Palatino Linotype"/>
        </w:rPr>
        <w:t>rocedibilidad del Recurso de Revisión, en términos de los artículos 25 de la Convención Americana de Derechos Humanos, 1, párrafos segundo y tercero, 6 apartado A fracción III de la Constitución Política de los Estados Unidos Mexicanos y 5 párrafo vigésimo</w:t>
      </w:r>
      <w:r>
        <w:rPr>
          <w:rFonts w:ascii="Palatino Linotype" w:eastAsia="Palatino Linotype" w:hAnsi="Palatino Linotype" w:cs="Palatino Linotype"/>
        </w:rPr>
        <w:t xml:space="preserve"> segundo de la Constitución Política del </w:t>
      </w:r>
      <w:r>
        <w:rPr>
          <w:rFonts w:ascii="Palatino Linotype" w:eastAsia="Palatino Linotype" w:hAnsi="Palatino Linotype" w:cs="Palatino Linotype"/>
        </w:rPr>
        <w:lastRenderedPageBreak/>
        <w:t>Estado Libre y Soberano de México, debido a que el acceso a la información pública es un derecho humano que no requiere legitimación en la causa, si no que únicamente basta con que se encuentre legitimado en el proc</w:t>
      </w:r>
      <w:r>
        <w:rPr>
          <w:rFonts w:ascii="Palatino Linotype" w:eastAsia="Palatino Linotype" w:hAnsi="Palatino Linotype" w:cs="Palatino Linotype"/>
        </w:rPr>
        <w:t>edimiento de Recurso de Revisión, circunstancia que se acredita en las constancias electrónicas de los expedientes en revisión, de las que se desprende que la parte recurrente, es la misma que realizó la solicitud de acceso a la información pública que aho</w:t>
      </w:r>
      <w:r>
        <w:rPr>
          <w:rFonts w:ascii="Palatino Linotype" w:eastAsia="Palatino Linotype" w:hAnsi="Palatino Linotype" w:cs="Palatino Linotype"/>
        </w:rPr>
        <w:t>ra se impugna.</w:t>
      </w:r>
    </w:p>
    <w:p w:rsidR="0002543D" w:rsidRDefault="0002543D">
      <w:pPr>
        <w:spacing w:line="360" w:lineRule="auto"/>
        <w:jc w:val="both"/>
        <w:rPr>
          <w:rFonts w:ascii="Palatino Linotype" w:eastAsia="Palatino Linotype" w:hAnsi="Palatino Linotype" w:cs="Palatino Linotype"/>
        </w:rPr>
      </w:pPr>
    </w:p>
    <w:p w:rsidR="0002543D" w:rsidRDefault="00661467">
      <w:pPr>
        <w:pBdr>
          <w:top w:val="nil"/>
          <w:left w:val="nil"/>
          <w:bottom w:val="nil"/>
          <w:right w:val="nil"/>
          <w:between w:val="nil"/>
        </w:pBdr>
        <w:spacing w:line="360" w:lineRule="auto"/>
        <w:ind w:right="-147"/>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del formato de interposición del mismo, se concluye la acreditación plena de los elementos formales precisados por el artículo 180 de la Ley de Transpar</w:t>
      </w:r>
      <w:r>
        <w:rPr>
          <w:rFonts w:ascii="Palatino Linotype" w:eastAsia="Palatino Linotype" w:hAnsi="Palatino Linotype" w:cs="Palatino Linotype"/>
        </w:rPr>
        <w:t xml:space="preserve">encia y Acceso a la Información Pública del Estado de México y Municipios, en atención a que fue presentado mediante formato visible en el SAIMEX. </w:t>
      </w:r>
    </w:p>
    <w:p w:rsidR="0002543D" w:rsidRDefault="0002543D">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rsidR="0002543D" w:rsidRDefault="00661467">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el recurrente en sus razo</w:t>
      </w:r>
      <w:r>
        <w:rPr>
          <w:rFonts w:ascii="Palatino Linotype" w:eastAsia="Palatino Linotype" w:hAnsi="Palatino Linotype" w:cs="Palatino Linotype"/>
          <w:color w:val="000000"/>
        </w:rPr>
        <w:t>nes o motivos de inconformidad, de acuerdo al artículo 179, fracción I de la Ley de Transparencia y Acceso a la Información Pública del Estado de México y Municipios; que a la letra dice:</w:t>
      </w:r>
    </w:p>
    <w:p w:rsidR="0002543D" w:rsidRDefault="0002543D">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rsidR="0002543D" w:rsidRDefault="0066146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02543D" w:rsidRDefault="0066146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rsidR="0002543D" w:rsidRDefault="0066146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La entrega de información incompleta;” </w:t>
      </w:r>
    </w:p>
    <w:p w:rsidR="0002543D" w:rsidRDefault="0066146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…(Sic)</w:t>
      </w:r>
    </w:p>
    <w:p w:rsidR="0002543D" w:rsidRDefault="0002543D">
      <w:pPr>
        <w:pBdr>
          <w:top w:val="nil"/>
          <w:left w:val="nil"/>
          <w:bottom w:val="nil"/>
          <w:right w:val="nil"/>
          <w:between w:val="nil"/>
        </w:pBdr>
        <w:ind w:left="992" w:right="1043"/>
        <w:jc w:val="both"/>
        <w:rPr>
          <w:i/>
          <w:color w:val="000000"/>
        </w:rPr>
      </w:pPr>
    </w:p>
    <w:p w:rsidR="0002543D" w:rsidRDefault="00661467">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Análisis de las causales de sobreseimiento.</w:t>
      </w:r>
      <w:r>
        <w:rPr>
          <w:rFonts w:ascii="Palatino Linotype" w:eastAsia="Palatino Linotype" w:hAnsi="Palatino Linotype" w:cs="Palatino Linotype"/>
          <w:color w:val="000000"/>
        </w:rPr>
        <w:t xml:space="preserve"> Del análisis de la solicitud de información pública que motivó el recurso de revisión que ahora se resuelve, se advierte que el particular requirió al Ayuntamiento de Teoloyucan, lo siguiente:</w:t>
      </w:r>
    </w:p>
    <w:p w:rsidR="0002543D" w:rsidRDefault="0066146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 lista d</w:t>
      </w:r>
      <w:r>
        <w:rPr>
          <w:rFonts w:ascii="Palatino Linotype" w:eastAsia="Palatino Linotype" w:hAnsi="Palatino Linotype" w:cs="Palatino Linotype"/>
          <w:color w:val="000000"/>
        </w:rPr>
        <w:t>e recursos federales recibidos al municipio o ayuntamiento en el 2021.</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 los archivos adjuntos siguientes:</w:t>
      </w: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6">
        <w:r>
          <w:rPr>
            <w:rFonts w:ascii="Palatino Linotype" w:eastAsia="Palatino Linotype" w:hAnsi="Palatino Linotype" w:cs="Palatino Linotype"/>
          </w:rPr>
          <w:t>Teso 554.pdf</w:t>
        </w:r>
      </w:hyperlink>
      <w:r>
        <w:rPr>
          <w:rFonts w:ascii="Palatino Linotype" w:eastAsia="Palatino Linotype" w:hAnsi="Palatino Linotype" w:cs="Palatino Linotype"/>
        </w:rPr>
        <w:t>”, el cual contiene la respuesta del Tesorero Municipal del Ayuntamiento de Teoloyucan, a través del cual informó al Titular de la Unidad de Transparencia t</w:t>
      </w:r>
      <w:r>
        <w:rPr>
          <w:rFonts w:ascii="Palatino Linotype" w:eastAsia="Palatino Linotype" w:hAnsi="Palatino Linotype" w:cs="Palatino Linotype"/>
        </w:rPr>
        <w:t xml:space="preserve">ambién del Ayuntamiento de Teoloyucan, lo siguiente: </w:t>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469900</wp:posOffset>
                </wp:positionH>
                <wp:positionV relativeFrom="paragraph">
                  <wp:posOffset>1016000</wp:posOffset>
                </wp:positionV>
                <wp:extent cx="4509963" cy="4573573"/>
                <wp:effectExtent l="0" t="0" r="0" b="0"/>
                <wp:wrapNone/>
                <wp:docPr id="37" name=""/>
                <wp:cNvGraphicFramePr/>
                <a:graphic xmlns:a="http://schemas.openxmlformats.org/drawingml/2006/main">
                  <a:graphicData uri="http://schemas.microsoft.com/office/word/2010/wordprocessingShape">
                    <wps:wsp>
                      <wps:cNvCnPr/>
                      <wps:spPr>
                        <a:xfrm>
                          <a:off x="3095781" y="1497976"/>
                          <a:ext cx="4500438" cy="4564048"/>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1016000</wp:posOffset>
                </wp:positionV>
                <wp:extent cx="4509963" cy="4573573"/>
                <wp:effectExtent b="0" l="0" r="0" t="0"/>
                <wp:wrapNone/>
                <wp:docPr id="37"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4509963" cy="4573573"/>
                        </a:xfrm>
                        <a:prstGeom prst="rect"/>
                        <a:ln/>
                      </pic:spPr>
                    </pic:pic>
                  </a:graphicData>
                </a:graphic>
              </wp:anchor>
            </w:drawing>
          </mc:Fallback>
        </mc:AlternateContent>
      </w:r>
    </w:p>
    <w:p w:rsidR="0002543D" w:rsidRDefault="00661467">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612130" cy="6143625"/>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612130" cy="6143625"/>
                    </a:xfrm>
                    <a:prstGeom prst="rect">
                      <a:avLst/>
                    </a:prstGeom>
                    <a:ln/>
                  </pic:spPr>
                </pic:pic>
              </a:graphicData>
            </a:graphic>
          </wp:inline>
        </w:drawing>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dicha respuesta la solicitante se inconformó, en lo medular porque los links proporcionados llevan a una información que no está completa. </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Ante la interposición del Recurso de Revisión</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no obstante, el Ayuntamiento de Teoloyucan en fecha veintidós de diciembre del año dos mil veintiuno, remitió a través del SAIMEX, en alcance al Recurso de Revisión, diversos archivos electrón</w:t>
      </w:r>
      <w:r>
        <w:rPr>
          <w:rFonts w:ascii="Palatino Linotype" w:eastAsia="Palatino Linotype" w:hAnsi="Palatino Linotype" w:cs="Palatino Linotype"/>
        </w:rPr>
        <w:t>icos, dentro los que se destacan los siguientes:</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9">
        <w:r>
          <w:rPr>
            <w:rFonts w:ascii="Palatino Linotype" w:eastAsia="Palatino Linotype" w:hAnsi="Palatino Linotype" w:cs="Palatino Linotype"/>
          </w:rPr>
          <w:t>ingresos 3.pdf</w:t>
        </w:r>
      </w:hyperlink>
      <w:r>
        <w:rPr>
          <w:rFonts w:ascii="Palatino Linotype" w:eastAsia="Palatino Linotype" w:hAnsi="Palatino Linotype" w:cs="Palatino Linotype"/>
        </w:rPr>
        <w:t>”, el cual contiene el presupuesto de ingresos detallado del mes de enero al mes de diciembre del ej</w:t>
      </w:r>
      <w:r>
        <w:rPr>
          <w:rFonts w:ascii="Palatino Linotype" w:eastAsia="Palatino Linotype" w:hAnsi="Palatino Linotype" w:cs="Palatino Linotype"/>
        </w:rPr>
        <w:t xml:space="preserve">ercicio fiscal 2021, correspondiente al formato PbRM-03a, del Ayuntamiento de Teoloyucan. </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0">
        <w:r>
          <w:rPr>
            <w:rFonts w:ascii="Palatino Linotype" w:eastAsia="Palatino Linotype" w:hAnsi="Palatino Linotype" w:cs="Palatino Linotype"/>
          </w:rPr>
          <w:t>ingresos 1.pdf</w:t>
        </w:r>
      </w:hyperlink>
      <w:r>
        <w:rPr>
          <w:rFonts w:ascii="Palatino Linotype" w:eastAsia="Palatino Linotype" w:hAnsi="Palatino Linotype" w:cs="Palatino Linotype"/>
        </w:rPr>
        <w:t>”, el cual contiene la caratula de presupuesto de ingresos</w:t>
      </w:r>
      <w:r>
        <w:rPr>
          <w:rFonts w:ascii="Palatino Linotype" w:eastAsia="Palatino Linotype" w:hAnsi="Palatino Linotype" w:cs="Palatino Linotype"/>
        </w:rPr>
        <w:t>, basado en resultados del ejercicio fiscal 2021, en específico el formato PbRM-03b, del Ayuntamiento de Teoloyucan.</w:t>
      </w:r>
    </w:p>
    <w:p w:rsidR="0002543D" w:rsidRDefault="0002543D">
      <w:pPr>
        <w:spacing w:after="240" w:line="360" w:lineRule="auto"/>
        <w:jc w:val="both"/>
        <w:rPr>
          <w:rFonts w:ascii="Palatino Linotype" w:eastAsia="Palatino Linotype" w:hAnsi="Palatino Linotype" w:cs="Palatino Linotype"/>
        </w:rPr>
      </w:pPr>
    </w:p>
    <w:p w:rsidR="0002543D" w:rsidRDefault="00661467">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Ahora bien, del análisis a los archivos descritos anteriormente, remitido en alcance al recurso de revisión del Sistema de Acceso a la Información Mexiquense (SAIMEX), modifica su deficiencia que incurrió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colmando con el</w:t>
      </w:r>
      <w:r>
        <w:rPr>
          <w:rFonts w:ascii="Palatino Linotype" w:eastAsia="Palatino Linotype" w:hAnsi="Palatino Linotype" w:cs="Palatino Linotype"/>
        </w:rPr>
        <w:t xml:space="preserve">lo el derecho de acceso a la información del particular; ya que, de la respuesta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incumplió con los requisitos y procedimientos del derecho de acceso a la información pública, en atención a que en la Ley de Transparencia </w:t>
      </w:r>
      <w:r>
        <w:rPr>
          <w:rFonts w:ascii="Palatino Linotype" w:eastAsia="Palatino Linotype" w:hAnsi="Palatino Linotype" w:cs="Palatino Linotype"/>
        </w:rPr>
        <w:t xml:space="preserve">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w:t>
      </w:r>
      <w:r>
        <w:rPr>
          <w:rFonts w:ascii="Palatino Linotype" w:eastAsia="Palatino Linotype" w:hAnsi="Palatino Linotype" w:cs="Palatino Linotype"/>
          <w:color w:val="000000"/>
        </w:rPr>
        <w:t xml:space="preserve">a cualquier persona, </w:t>
      </w:r>
      <w:r>
        <w:rPr>
          <w:rFonts w:ascii="Palatino Linotype" w:eastAsia="Palatino Linotype" w:hAnsi="Palatino Linotype" w:cs="Palatino Linotype"/>
          <w:color w:val="000000"/>
        </w:rPr>
        <w:lastRenderedPageBreak/>
        <w:t>privilegiando el principio de máxima publicidad, como así lo establece dicha determinación, que a continuación se trascribe para un mejor entendimiento:</w:t>
      </w:r>
    </w:p>
    <w:p w:rsidR="0002543D" w:rsidRDefault="00661467">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w:t>
      </w:r>
      <w:r>
        <w:rPr>
          <w:rFonts w:ascii="Palatino Linotype" w:eastAsia="Palatino Linotype" w:hAnsi="Palatino Linotype" w:cs="Palatino Linotype"/>
          <w:i/>
          <w:sz w:val="22"/>
          <w:szCs w:val="22"/>
        </w:rPr>
        <w:t xml:space="preserve">va de las personas para buscar, difundir, investigar, recabar, recibir y solicitar información pública, sin necesidad de acreditar personalidad ni interés jurídico. </w:t>
      </w:r>
    </w:p>
    <w:p w:rsidR="0002543D" w:rsidRDefault="00661467">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w:t>
      </w:r>
      <w:r>
        <w:rPr>
          <w:rFonts w:ascii="Palatino Linotype" w:eastAsia="Palatino Linotype" w:hAnsi="Palatino Linotype" w:cs="Palatino Linotype"/>
          <w:b/>
          <w:i/>
          <w:sz w:val="22"/>
          <w:szCs w:val="22"/>
        </w:rPr>
        <w:t>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w:t>
      </w:r>
      <w:r>
        <w:rPr>
          <w:rFonts w:ascii="Palatino Linotype" w:eastAsia="Palatino Linotype" w:hAnsi="Palatino Linotype" w:cs="Palatino Linotype"/>
          <w:i/>
          <w:sz w:val="22"/>
          <w:szCs w:val="22"/>
        </w:rPr>
        <w:t xml:space="preserve"> disposiciones de la materia, privilegiando el principio de máxima publicidad de la información. Solo podrá ser clasificada excepcionalmente Ley de Transparencia y Acceso a la Información Pública del Estado de México y Municipios 29 como reservada temporal</w:t>
      </w:r>
      <w:r>
        <w:rPr>
          <w:rFonts w:ascii="Palatino Linotype" w:eastAsia="Palatino Linotype" w:hAnsi="Palatino Linotype" w:cs="Palatino Linotype"/>
          <w:i/>
          <w:sz w:val="22"/>
          <w:szCs w:val="22"/>
        </w:rPr>
        <w:t>mente por razones de interés público, en los términos de las causas legítimas y estrictamente necesarias previstas por esta Ley.</w:t>
      </w:r>
    </w:p>
    <w:p w:rsidR="0002543D" w:rsidRDefault="00661467">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w:t>
      </w:r>
      <w:r>
        <w:rPr>
          <w:rFonts w:ascii="Palatino Linotype" w:eastAsia="Palatino Linotype" w:hAnsi="Palatino Linotype" w:cs="Palatino Linotype"/>
          <w:b/>
          <w:i/>
          <w:sz w:val="22"/>
          <w:szCs w:val="22"/>
        </w:rPr>
        <w:t>ublicidad, veracidad, oportunidad, precisión y suficiencia en beneficio de los solicitantes</w:t>
      </w:r>
      <w:r>
        <w:rPr>
          <w:rFonts w:ascii="Palatino Linotype" w:eastAsia="Palatino Linotype" w:hAnsi="Palatino Linotype" w:cs="Palatino Linotype"/>
          <w:i/>
          <w:sz w:val="22"/>
          <w:szCs w:val="22"/>
        </w:rPr>
        <w:t>.” (Sic)</w:t>
      </w:r>
    </w:p>
    <w:p w:rsidR="0002543D" w:rsidRDefault="0002543D">
      <w:pPr>
        <w:ind w:left="709" w:right="760"/>
        <w:jc w:val="both"/>
        <w:rPr>
          <w:rFonts w:ascii="Palatino Linotype" w:eastAsia="Palatino Linotype" w:hAnsi="Palatino Linotype" w:cs="Palatino Linotype"/>
          <w:i/>
        </w:rPr>
      </w:pP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w:t>
      </w:r>
      <w:r>
        <w:rPr>
          <w:rFonts w:ascii="Palatino Linotype" w:eastAsia="Palatino Linotype" w:hAnsi="Palatino Linotype" w:cs="Palatino Linotype"/>
        </w:rPr>
        <w:t xml:space="preserve"> hagan de su conocimiento y proporcionar la información pública que obren en su poder conforme el estado que se encuentra y no hacer un procesamiento de la misma, ni presentarla conforme al interés del solicitante; como así lo establece el artículo 12 de l</w:t>
      </w:r>
      <w:r>
        <w:rPr>
          <w:rFonts w:ascii="Palatino Linotype" w:eastAsia="Palatino Linotype" w:hAnsi="Palatino Linotype" w:cs="Palatino Linotype"/>
        </w:rPr>
        <w:t>a Ley de Transparencia y Acceso a la Información Pública del Estado de México y Municipios, el cual a la letra dice:</w:t>
      </w:r>
    </w:p>
    <w:p w:rsidR="0002543D" w:rsidRDefault="00661467">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w:t>
      </w:r>
      <w:r>
        <w:rPr>
          <w:rFonts w:ascii="Palatino Linotype" w:eastAsia="Palatino Linotype" w:hAnsi="Palatino Linotype" w:cs="Palatino Linotype"/>
          <w:i/>
          <w:sz w:val="22"/>
          <w:szCs w:val="22"/>
        </w:rPr>
        <w:t xml:space="preserve"> misma en los términos de las disposiciones jurídicas aplicables. </w:t>
      </w:r>
    </w:p>
    <w:p w:rsidR="0002543D" w:rsidRDefault="0002543D">
      <w:pPr>
        <w:ind w:left="567" w:right="758"/>
        <w:jc w:val="both"/>
        <w:rPr>
          <w:rFonts w:ascii="Palatino Linotype" w:eastAsia="Palatino Linotype" w:hAnsi="Palatino Linotype" w:cs="Palatino Linotype"/>
          <w:i/>
          <w:sz w:val="22"/>
          <w:szCs w:val="22"/>
        </w:rPr>
      </w:pPr>
    </w:p>
    <w:p w:rsidR="0002543D" w:rsidRDefault="00661467">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w:t>
      </w:r>
      <w:r>
        <w:rPr>
          <w:rFonts w:ascii="Palatino Linotype" w:eastAsia="Palatino Linotype" w:hAnsi="Palatino Linotype" w:cs="Palatino Linotype"/>
          <w:b/>
          <w:i/>
          <w:sz w:val="22"/>
          <w:szCs w:val="22"/>
        </w:rPr>
        <w:lastRenderedPageBreak/>
        <w:t>obligación de proporcionar infor</w:t>
      </w:r>
      <w:r>
        <w:rPr>
          <w:rFonts w:ascii="Palatino Linotype" w:eastAsia="Palatino Linotype" w:hAnsi="Palatino Linotype" w:cs="Palatino Linotype"/>
          <w:b/>
          <w:i/>
          <w:sz w:val="22"/>
          <w:szCs w:val="22"/>
        </w:rPr>
        <w:t>mación no comprende el procesamiento de la misma, ni el presentarla conforme al interés del solicitante; no estarán obligados a generarla, resumirla, efectuar cálculos o practicar investigaciones.</w:t>
      </w:r>
    </w:p>
    <w:p w:rsidR="0002543D" w:rsidRDefault="0002543D">
      <w:pPr>
        <w:spacing w:line="360" w:lineRule="auto"/>
        <w:ind w:right="-93"/>
        <w:jc w:val="both"/>
        <w:rPr>
          <w:rFonts w:ascii="Palatino Linotype" w:eastAsia="Palatino Linotype" w:hAnsi="Palatino Linotype" w:cs="Palatino Linotype"/>
          <w:color w:val="000000"/>
        </w:rPr>
      </w:pPr>
    </w:p>
    <w:p w:rsidR="0002543D" w:rsidRDefault="00661467">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todo Sujeto Obligado que genere, recopile, administre, procese, archive, posea o conserve información es responsables de la misma, teniendo a su vez la obligación de proporcionarla cuando se le requiera, sin necesidad de resumirla, efectuar proce</w:t>
      </w:r>
      <w:r>
        <w:rPr>
          <w:rFonts w:ascii="Palatino Linotype" w:eastAsia="Palatino Linotype" w:hAnsi="Palatino Linotype" w:cs="Palatino Linotype"/>
          <w:color w:val="000000"/>
        </w:rPr>
        <w:t>dimientos para obtenerla, calcular y practicar investigaciones; es decir, los Sujetos Obligados sólo se concretarán a proporcionar la información solicitada que tengan en su poder en el estado que se encuentran, sin necesidad de concretarse al interés o té</w:t>
      </w:r>
      <w:r>
        <w:rPr>
          <w:rFonts w:ascii="Palatino Linotype" w:eastAsia="Palatino Linotype" w:hAnsi="Palatino Linotype" w:cs="Palatino Linotype"/>
          <w:color w:val="000000"/>
        </w:rPr>
        <w:t xml:space="preserve">rminos específicos del solicitante. </w:t>
      </w:r>
    </w:p>
    <w:p w:rsidR="0002543D" w:rsidRDefault="0002543D">
      <w:pPr>
        <w:spacing w:line="360" w:lineRule="auto"/>
        <w:ind w:right="-93"/>
        <w:jc w:val="both"/>
        <w:rPr>
          <w:rFonts w:ascii="Palatino Linotype" w:eastAsia="Palatino Linotype" w:hAnsi="Palatino Linotype" w:cs="Palatino Linotype"/>
          <w:color w:val="000000"/>
        </w:rPr>
      </w:pPr>
    </w:p>
    <w:p w:rsidR="0002543D" w:rsidRDefault="0066146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este sentido se procedió a revisar los </w:t>
      </w:r>
      <w:r>
        <w:rPr>
          <w:rFonts w:ascii="Palatino Linotype" w:eastAsia="Palatino Linotype" w:hAnsi="Palatino Linotype" w:cs="Palatino Linotype"/>
        </w:rPr>
        <w:t xml:space="preserve">links proporcionados por el SUJETO OBLIGADO en respuesta a la solicitud de información, a fin de confirmar si con ello se colma el derecho ejercido por el ahora Recurrente, de </w:t>
      </w:r>
      <w:r>
        <w:rPr>
          <w:rFonts w:ascii="Palatino Linotype" w:eastAsia="Palatino Linotype" w:hAnsi="Palatino Linotype" w:cs="Palatino Linotype"/>
        </w:rPr>
        <w:t xml:space="preserve">lo cual se advirtió lo siguiente: </w:t>
      </w:r>
    </w:p>
    <w:p w:rsidR="0002543D" w:rsidRDefault="00661467">
      <w:pPr>
        <w:spacing w:line="360" w:lineRule="auto"/>
        <w:jc w:val="both"/>
      </w:pPr>
      <w:r>
        <w:rPr>
          <w:noProof/>
          <w:lang w:val="es-MX" w:eastAsia="es-MX"/>
        </w:rPr>
        <mc:AlternateContent>
          <mc:Choice Requires="wps">
            <w:drawing>
              <wp:anchor distT="0" distB="0" distL="114300" distR="114300" simplePos="0" relativeHeight="251659264" behindDoc="0" locked="0" layoutInCell="1" hidden="0" allowOverlap="1">
                <wp:simplePos x="0" y="0"/>
                <wp:positionH relativeFrom="column">
                  <wp:posOffset>79925</wp:posOffset>
                </wp:positionH>
                <wp:positionV relativeFrom="paragraph">
                  <wp:posOffset>8121</wp:posOffset>
                </wp:positionV>
                <wp:extent cx="5363570" cy="2818263"/>
                <wp:effectExtent l="0" t="0" r="27940" b="20320"/>
                <wp:wrapNone/>
                <wp:docPr id="43" name=""/>
                <wp:cNvGraphicFramePr/>
                <a:graphic xmlns:a="http://schemas.openxmlformats.org/drawingml/2006/main">
                  <a:graphicData uri="http://schemas.microsoft.com/office/word/2010/wordprocessingShape">
                    <wps:wsp>
                      <wps:cNvCnPr/>
                      <wps:spPr>
                        <a:xfrm>
                          <a:off x="0" y="0"/>
                          <a:ext cx="5363570" cy="2818263"/>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17A895AA" id="_x0000_t32" coordsize="21600,21600" o:spt="32" o:oned="t" path="m,l21600,21600e" filled="f">
                <v:path arrowok="t" fillok="f" o:connecttype="none"/>
                <o:lock v:ext="edit" shapetype="t"/>
              </v:shapetype>
              <v:shape id="Conector recto de flecha 43" o:spid="_x0000_s1026" type="#_x0000_t32" style="position:absolute;margin-left:6.3pt;margin-top:.65pt;width:422.35pt;height:2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" strokecolor="#5b9bd5 [3204]">
                <v:stroke startarrowwidth="narrow" startarrowlength="short" endarrowwidth="narrow" endarrowlength="short" joinstyle="miter"/>
              </v:shape>
            </w:pict>
          </mc:Fallback>
        </mc:AlternateContent>
      </w:r>
    </w:p>
    <w:p w:rsidR="0002543D" w:rsidRDefault="00661467">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581650" cy="3390900"/>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t="8050" r="11630"/>
                    <a:stretch>
                      <a:fillRect/>
                    </a:stretch>
                  </pic:blipFill>
                  <pic:spPr>
                    <a:xfrm>
                      <a:off x="0" y="0"/>
                      <a:ext cx="5581650" cy="3390900"/>
                    </a:xfrm>
                    <a:prstGeom prst="rect">
                      <a:avLst/>
                    </a:prstGeom>
                    <a:ln/>
                  </pic:spPr>
                </pic:pic>
              </a:graphicData>
            </a:graphic>
          </wp:inline>
        </w:drawing>
      </w:r>
    </w:p>
    <w:p w:rsidR="0002543D" w:rsidRDefault="0002543D">
      <w:pPr>
        <w:spacing w:line="360" w:lineRule="auto"/>
        <w:ind w:right="-93"/>
        <w:jc w:val="both"/>
        <w:rPr>
          <w:rFonts w:ascii="Palatino Linotype" w:eastAsia="Palatino Linotype" w:hAnsi="Palatino Linotype" w:cs="Palatino Linotype"/>
        </w:rPr>
      </w:pPr>
    </w:p>
    <w:p w:rsidR="0002543D" w:rsidRDefault="0066146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De la imagen anterior se confirma que no se logra visualizar la información correspondiente a los recursos federales recibidos por el Sujeto Obligado para el ejercicio fiscal 2021, determinándose que, con el link pro</w:t>
      </w:r>
      <w:r>
        <w:rPr>
          <w:rFonts w:ascii="Palatino Linotype" w:eastAsia="Palatino Linotype" w:hAnsi="Palatino Linotype" w:cs="Palatino Linotype"/>
        </w:rPr>
        <w:t xml:space="preserve">porcionado por el Tesorero Municipal de Ayuntamiento de Teoloyucan, el respuesta a la solicitud de información no se colma el derecho de acceso a la información del solicitante. </w:t>
      </w:r>
    </w:p>
    <w:p w:rsidR="0002543D" w:rsidRDefault="0002543D">
      <w:pPr>
        <w:spacing w:line="360" w:lineRule="auto"/>
        <w:ind w:right="-93"/>
        <w:jc w:val="both"/>
        <w:rPr>
          <w:rFonts w:ascii="Palatino Linotype" w:eastAsia="Palatino Linotype" w:hAnsi="Palatino Linotype" w:cs="Palatino Linotype"/>
        </w:rPr>
      </w:pPr>
    </w:p>
    <w:p w:rsidR="0002543D" w:rsidRDefault="0066146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procedió a revisar los archivos electrónicos que remitió, el </w:t>
      </w:r>
      <w:r>
        <w:rPr>
          <w:rFonts w:ascii="Palatino Linotype" w:eastAsia="Palatino Linotype" w:hAnsi="Palatino Linotype" w:cs="Palatino Linotype"/>
          <w:b/>
        </w:rPr>
        <w:t>SU</w:t>
      </w:r>
      <w:r>
        <w:rPr>
          <w:rFonts w:ascii="Palatino Linotype" w:eastAsia="Palatino Linotype" w:hAnsi="Palatino Linotype" w:cs="Palatino Linotype"/>
          <w:b/>
        </w:rPr>
        <w:t>JETO OBLIGADO</w:t>
      </w:r>
      <w:r>
        <w:rPr>
          <w:rFonts w:ascii="Palatino Linotype" w:eastAsia="Palatino Linotype" w:hAnsi="Palatino Linotype" w:cs="Palatino Linotype"/>
        </w:rPr>
        <w:t xml:space="preserve"> en alcance al Recurso de Revisión, en concreto  los denominados “</w:t>
      </w:r>
      <w:hyperlink r:id="rId22">
        <w:r>
          <w:rPr>
            <w:rFonts w:ascii="Palatino Linotype" w:eastAsia="Palatino Linotype" w:hAnsi="Palatino Linotype" w:cs="Palatino Linotype"/>
          </w:rPr>
          <w:t>ingresos 3.pdf</w:t>
        </w:r>
      </w:hyperlink>
      <w:r>
        <w:rPr>
          <w:rFonts w:ascii="Palatino Linotype" w:eastAsia="Palatino Linotype" w:hAnsi="Palatino Linotype" w:cs="Palatino Linotype"/>
        </w:rPr>
        <w:t>” y “</w:t>
      </w:r>
      <w:hyperlink r:id="rId23">
        <w:r>
          <w:rPr>
            <w:rFonts w:ascii="Palatino Linotype" w:eastAsia="Palatino Linotype" w:hAnsi="Palatino Linotype" w:cs="Palatino Linotype"/>
          </w:rPr>
          <w:t>ingresos 1.pdf</w:t>
        </w:r>
      </w:hyperlink>
      <w:r>
        <w:rPr>
          <w:rFonts w:ascii="Palatino Linotype" w:eastAsia="Palatino Linotype" w:hAnsi="Palatino Linotype" w:cs="Palatino Linotype"/>
        </w:rPr>
        <w:t>”, los cuales contienen la siguiente información:</w:t>
      </w:r>
    </w:p>
    <w:p w:rsidR="0002543D" w:rsidRDefault="0002543D">
      <w:pPr>
        <w:spacing w:line="360" w:lineRule="auto"/>
        <w:ind w:right="-93"/>
        <w:jc w:val="both"/>
        <w:rPr>
          <w:rFonts w:ascii="Palatino Linotype" w:eastAsia="Palatino Linotype" w:hAnsi="Palatino Linotype" w:cs="Palatino Linotype"/>
        </w:rPr>
      </w:pPr>
    </w:p>
    <w:p w:rsidR="0002543D" w:rsidRDefault="0066146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Ingresos 3.pdf: el cual corresponde al formato PbRMB-03a, correspondiente al presupuesto de ingresos de</w:t>
      </w:r>
      <w:r>
        <w:rPr>
          <w:rFonts w:ascii="Palatino Linotype" w:eastAsia="Palatino Linotype" w:hAnsi="Palatino Linotype" w:cs="Palatino Linotype"/>
        </w:rPr>
        <w:t>tallado desde el mes de enero al mes de diciembre del ejercicio fiscal 2021, localizándose en las páginas 8 y 9, respectivamente lo siguiente:</w:t>
      </w:r>
    </w:p>
    <w:p w:rsidR="0002543D" w:rsidRDefault="008E68F2">
      <w:pPr>
        <w:spacing w:line="360" w:lineRule="auto"/>
        <w:ind w:right="-93"/>
        <w:jc w:val="both"/>
        <w:rPr>
          <w:rFonts w:ascii="Palatino Linotype" w:eastAsia="Palatino Linotype" w:hAnsi="Palatino Linotype" w:cs="Palatino Linotype"/>
        </w:rPr>
      </w:pPr>
      <w:r>
        <w:rPr>
          <w:noProof/>
          <w:lang w:val="es-MX" w:eastAsia="es-MX"/>
        </w:rPr>
        <w:lastRenderedPageBreak/>
        <w:drawing>
          <wp:inline distT="0" distB="0" distL="0" distR="0" wp14:anchorId="6AD65184" wp14:editId="7F6902A9">
            <wp:extent cx="5793105" cy="682388"/>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589" t="13836" r="607" b="76203"/>
                    <a:stretch/>
                  </pic:blipFill>
                  <pic:spPr bwMode="auto">
                    <a:xfrm>
                      <a:off x="0" y="0"/>
                      <a:ext cx="5859693" cy="690232"/>
                    </a:xfrm>
                    <a:prstGeom prst="rect">
                      <a:avLst/>
                    </a:prstGeom>
                    <a:ln>
                      <a:noFill/>
                    </a:ln>
                    <a:extLst>
                      <a:ext uri="{53640926-AAD7-44D8-BBD7-CCE9431645EC}">
                        <a14:shadowObscured xmlns:a14="http://schemas.microsoft.com/office/drawing/2010/main"/>
                      </a:ext>
                    </a:extLst>
                  </pic:spPr>
                </pic:pic>
              </a:graphicData>
            </a:graphic>
          </wp:inline>
        </w:drawing>
      </w:r>
    </w:p>
    <w:p w:rsidR="0002543D" w:rsidRDefault="00661467">
      <w:pPr>
        <w:spacing w:line="360" w:lineRule="auto"/>
        <w:ind w:right="-93"/>
        <w:jc w:val="both"/>
      </w:pPr>
      <w:r>
        <w:rPr>
          <w:noProof/>
          <w:lang w:val="es-MX" w:eastAsia="es-MX"/>
        </w:rPr>
        <w:drawing>
          <wp:inline distT="0" distB="0" distL="0" distR="0">
            <wp:extent cx="5813946" cy="1694815"/>
            <wp:effectExtent l="0" t="0" r="0" b="635"/>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l="23988" t="41860" r="1901" b="38333"/>
                    <a:stretch>
                      <a:fillRect/>
                    </a:stretch>
                  </pic:blipFill>
                  <pic:spPr>
                    <a:xfrm>
                      <a:off x="0" y="0"/>
                      <a:ext cx="5888474" cy="1716540"/>
                    </a:xfrm>
                    <a:prstGeom prst="rect">
                      <a:avLst/>
                    </a:prstGeom>
                    <a:ln/>
                  </pic:spPr>
                </pic:pic>
              </a:graphicData>
            </a:graphic>
          </wp:inline>
        </w:drawing>
      </w:r>
    </w:p>
    <w:p w:rsidR="0002543D" w:rsidRDefault="0002543D">
      <w:pPr>
        <w:spacing w:line="360" w:lineRule="auto"/>
        <w:ind w:right="-93"/>
        <w:jc w:val="both"/>
      </w:pPr>
    </w:p>
    <w:p w:rsidR="0002543D" w:rsidRDefault="00661467">
      <w:pPr>
        <w:spacing w:line="360" w:lineRule="auto"/>
        <w:ind w:right="-93"/>
        <w:jc w:val="both"/>
        <w:rPr>
          <w:rFonts w:ascii="Palatino Linotype" w:eastAsia="Palatino Linotype" w:hAnsi="Palatino Linotype" w:cs="Palatino Linotype"/>
        </w:rPr>
      </w:pPr>
      <w:r>
        <w:rPr>
          <w:noProof/>
          <w:lang w:val="es-MX" w:eastAsia="es-MX"/>
        </w:rPr>
        <w:drawing>
          <wp:inline distT="0" distB="0" distL="0" distR="0">
            <wp:extent cx="5975350" cy="125095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24666" t="59795" r="1675" b="23324"/>
                    <a:stretch>
                      <a:fillRect/>
                    </a:stretch>
                  </pic:blipFill>
                  <pic:spPr>
                    <a:xfrm>
                      <a:off x="0" y="0"/>
                      <a:ext cx="5975350" cy="1250950"/>
                    </a:xfrm>
                    <a:prstGeom prst="rect">
                      <a:avLst/>
                    </a:prstGeom>
                    <a:ln/>
                  </pic:spPr>
                </pic:pic>
              </a:graphicData>
            </a:graphic>
          </wp:inline>
        </w:drawing>
      </w:r>
    </w:p>
    <w:p w:rsidR="0002543D" w:rsidRDefault="0002543D">
      <w:pPr>
        <w:spacing w:line="360" w:lineRule="auto"/>
        <w:ind w:right="-93"/>
        <w:jc w:val="both"/>
      </w:pPr>
    </w:p>
    <w:p w:rsidR="0002543D" w:rsidRDefault="0066146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Como se puede observar, dicho formato contiene información  relacionada con las diversas aportaciones y</w:t>
      </w:r>
      <w:r>
        <w:rPr>
          <w:rFonts w:ascii="Palatino Linotype" w:eastAsia="Palatino Linotype" w:hAnsi="Palatino Linotype" w:cs="Palatino Linotype"/>
        </w:rPr>
        <w:t xml:space="preserve"> fondos que se le otorgaron al Ayuntamiento de Teoloyucan desde el mes de enero al mes de diciembre del 2021, visualizándose también su total o el presupuestado. </w:t>
      </w:r>
    </w:p>
    <w:p w:rsidR="0002543D" w:rsidRDefault="0002543D">
      <w:pPr>
        <w:spacing w:line="360" w:lineRule="auto"/>
        <w:ind w:right="-93"/>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archivo “</w:t>
      </w:r>
      <w:hyperlink r:id="rId27">
        <w:r>
          <w:rPr>
            <w:rFonts w:ascii="Palatino Linotype" w:eastAsia="Palatino Linotype" w:hAnsi="Palatino Linotype" w:cs="Palatino Linotype"/>
          </w:rPr>
          <w:t>ingresos 1.pdf</w:t>
        </w:r>
      </w:hyperlink>
      <w:r>
        <w:rPr>
          <w:rFonts w:ascii="Palatino Linotype" w:eastAsia="Palatino Linotype" w:hAnsi="Palatino Linotype" w:cs="Palatino Linotype"/>
        </w:rPr>
        <w:t>”, contiene la caratula de presupuesto de ingresos, basado en resultados del ejercicio fiscal 2021, en específico el formato PbRM-03b, del Ayuntamiento de Teoloyucan, como así se observa en la siguiente imagen:</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543550" cy="469265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l="34058" t="16704" r="13555" b="21311"/>
                    <a:stretch>
                      <a:fillRect/>
                    </a:stretch>
                  </pic:blipFill>
                  <pic:spPr>
                    <a:xfrm>
                      <a:off x="0" y="0"/>
                      <a:ext cx="5543550" cy="469265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0288" behindDoc="0" locked="0" layoutInCell="1" hidden="0" allowOverlap="1">
                <wp:simplePos x="0" y="0"/>
                <wp:positionH relativeFrom="column">
                  <wp:posOffset>-126999</wp:posOffset>
                </wp:positionH>
                <wp:positionV relativeFrom="paragraph">
                  <wp:posOffset>2857500</wp:posOffset>
                </wp:positionV>
                <wp:extent cx="5854700" cy="514350"/>
                <wp:effectExtent l="0" t="0" r="0" b="0"/>
                <wp:wrapNone/>
                <wp:docPr id="41" name=""/>
                <wp:cNvGraphicFramePr/>
                <a:graphic xmlns:a="http://schemas.openxmlformats.org/drawingml/2006/main">
                  <a:graphicData uri="http://schemas.microsoft.com/office/word/2010/wordprocessingShape">
                    <wps:wsp>
                      <wps:cNvSpPr/>
                      <wps:spPr>
                        <a:xfrm>
                          <a:off x="2434525" y="3538700"/>
                          <a:ext cx="5822950" cy="482600"/>
                        </a:xfrm>
                        <a:prstGeom prst="rect">
                          <a:avLst/>
                        </a:prstGeom>
                        <a:noFill/>
                        <a:ln w="31750" cap="flat" cmpd="sng">
                          <a:solidFill>
                            <a:schemeClr val="dk1">
                              <a:alpha val="96862"/>
                            </a:schemeClr>
                          </a:solidFill>
                          <a:prstDash val="solid"/>
                          <a:miter lim="800000"/>
                          <a:headEnd type="none" w="sm" len="sm"/>
                          <a:tailEnd type="none" w="sm" len="sm"/>
                        </a:ln>
                      </wps:spPr>
                      <wps:txbx>
                        <w:txbxContent>
                          <w:p w:rsidR="0002543D" w:rsidRDefault="0002543D">
                            <w:pPr>
                              <w:textDirection w:val="btLr"/>
                            </w:pPr>
                          </w:p>
                        </w:txbxContent>
                      </wps:txbx>
                      <wps:bodyPr spcFirstLastPara="1" wrap="square" lIns="91425" tIns="91425" rIns="91425" bIns="91425" anchor="ctr" anchorCtr="0">
                        <a:noAutofit/>
                      </wps:bodyPr>
                    </wps:wsp>
                  </a:graphicData>
                </a:graphic>
              </wp:anchor>
            </w:drawing>
          </mc:Choice>
          <mc:Fallback>
            <w:pict>
              <v:rect id="_x0000_s1026" style="position:absolute;left:0;text-align:left;margin-left:-10pt;margin-top:225pt;width:461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" filled="f" strokecolor="black [3200]" strokeweight="2.5pt">
                <v:stroke startarrowwidth="narrow" startarrowlength="short" endarrowwidth="narrow" endarrowlength="short" opacity="63479f"/>
                <v:textbox inset="2.53958mm,2.53958mm,2.53958mm,2.53958mm">
                  <w:txbxContent>
                    <w:p w:rsidR="0002543D" w:rsidRDefault="0002543D">
                      <w:pPr>
                        <w:textDirection w:val="btLr"/>
                      </w:pPr>
                    </w:p>
                  </w:txbxContent>
                </v:textbox>
              </v:rect>
            </w:pict>
          </mc:Fallback>
        </mc:AlternateContent>
      </w:r>
    </w:p>
    <w:p w:rsidR="0002543D" w:rsidRDefault="0066146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El cual, de igual forma, contiene las participaciones presupuestadas</w:t>
      </w:r>
      <w:r>
        <w:rPr>
          <w:rFonts w:ascii="Palatino Linotype" w:eastAsia="Palatino Linotype" w:hAnsi="Palatino Linotype" w:cs="Palatino Linotype"/>
        </w:rPr>
        <w:t xml:space="preserve"> </w:t>
      </w:r>
      <w:r w:rsidR="00A23B22">
        <w:rPr>
          <w:rFonts w:ascii="Palatino Linotype" w:eastAsia="Palatino Linotype" w:hAnsi="Palatino Linotype" w:cs="Palatino Linotype"/>
        </w:rPr>
        <w:t xml:space="preserve">y las definitivas </w:t>
      </w:r>
      <w:r>
        <w:rPr>
          <w:rFonts w:ascii="Palatino Linotype" w:eastAsia="Palatino Linotype" w:hAnsi="Palatino Linotype" w:cs="Palatino Linotype"/>
        </w:rPr>
        <w:t>para el año 2021</w:t>
      </w:r>
      <w:r>
        <w:rPr>
          <w:rFonts w:ascii="Palatino Linotype" w:eastAsia="Palatino Linotype" w:hAnsi="Palatino Linotype" w:cs="Palatino Linotype"/>
        </w:rPr>
        <w:t xml:space="preserve">, lo que coincide con lo señalado en el presupuesto de ingresos detallado, indicado en el archivo anterior. </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ese sentido, dichas aportaciones y fondos, coinciden con l</w:t>
      </w:r>
      <w:r>
        <w:rPr>
          <w:rFonts w:ascii="Palatino Linotype" w:eastAsia="Palatino Linotype" w:hAnsi="Palatino Linotype" w:cs="Palatino Linotype"/>
        </w:rPr>
        <w:t xml:space="preserve">o señalado por el Glosario de Términos más usuales en materia de Ingreso, Gasto y Deuda Pública (consultado en: </w:t>
      </w:r>
      <w:hyperlink r:id="rId29">
        <w:r>
          <w:rPr>
            <w:rFonts w:ascii="Palatino Linotype" w:eastAsia="Palatino Linotype" w:hAnsi="Palatino Linotype" w:cs="Palatino Linotype"/>
          </w:rPr>
          <w:t>https://www.cefp.gob.mx/publicaciones/document</w:t>
        </w:r>
        <w:r>
          <w:rPr>
            <w:rFonts w:ascii="Palatino Linotype" w:eastAsia="Palatino Linotype" w:hAnsi="Palatino Linotype" w:cs="Palatino Linotype"/>
          </w:rPr>
          <w:t>o/2014/noviembre/cefp0202014.pdf</w:t>
        </w:r>
      </w:hyperlink>
      <w:r>
        <w:rPr>
          <w:rFonts w:ascii="Palatino Linotype" w:eastAsia="Palatino Linotype" w:hAnsi="Palatino Linotype" w:cs="Palatino Linotype"/>
        </w:rPr>
        <w:t xml:space="preserve">) que al respecto señalan lo siguiente: </w:t>
      </w:r>
    </w:p>
    <w:p w:rsidR="0002543D" w:rsidRDefault="0002543D">
      <w:pPr>
        <w:spacing w:line="360" w:lineRule="auto"/>
      </w:pPr>
    </w:p>
    <w:p w:rsidR="0002543D" w:rsidRDefault="00661467">
      <w:pPr>
        <w:ind w:left="567" w:right="567"/>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“PARTICIPACIONES FEDERALES </w:t>
      </w:r>
    </w:p>
    <w:p w:rsidR="0002543D" w:rsidRDefault="0066146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Son los recursos que corresponden a los</w:t>
      </w:r>
      <w:r>
        <w:rPr>
          <w:rFonts w:ascii="Palatino Linotype" w:eastAsia="Palatino Linotype" w:hAnsi="Palatino Linotype" w:cs="Palatino Linotype"/>
          <w:i/>
          <w:sz w:val="22"/>
          <w:szCs w:val="22"/>
        </w:rPr>
        <w:t xml:space="preserve"> estados, </w:t>
      </w:r>
      <w:r>
        <w:rPr>
          <w:rFonts w:ascii="Palatino Linotype" w:eastAsia="Palatino Linotype" w:hAnsi="Palatino Linotype" w:cs="Palatino Linotype"/>
          <w:b/>
          <w:i/>
          <w:sz w:val="22"/>
          <w:szCs w:val="22"/>
          <w:u w:val="single"/>
        </w:rPr>
        <w:t xml:space="preserve">municipios </w:t>
      </w:r>
      <w:r>
        <w:rPr>
          <w:rFonts w:ascii="Palatino Linotype" w:eastAsia="Palatino Linotype" w:hAnsi="Palatino Linotype" w:cs="Palatino Linotype"/>
          <w:i/>
          <w:sz w:val="22"/>
          <w:szCs w:val="22"/>
        </w:rPr>
        <w:t xml:space="preserve">y Distrito Federal, conforme al pacto federal, dispuesto en la Ley de Coordinación Fiscal. </w:t>
      </w:r>
      <w:r>
        <w:rPr>
          <w:rFonts w:ascii="Palatino Linotype" w:eastAsia="Palatino Linotype" w:hAnsi="Palatino Linotype" w:cs="Palatino Linotype"/>
          <w:b/>
          <w:i/>
          <w:sz w:val="22"/>
          <w:szCs w:val="22"/>
          <w:u w:val="single"/>
        </w:rPr>
        <w:t xml:space="preserve">Los cuales provienen de la Recaudación Federal Participable del ejercicio fiscal correspondiente (que captan las oficinas recaudadoras) y que, en términos de la normatividad aplicable, se distribuyen a través del Ramo General 28 del Presupuesto de Egresos </w:t>
      </w:r>
      <w:r>
        <w:rPr>
          <w:rFonts w:ascii="Palatino Linotype" w:eastAsia="Palatino Linotype" w:hAnsi="Palatino Linotype" w:cs="Palatino Linotype"/>
          <w:b/>
          <w:i/>
          <w:sz w:val="22"/>
          <w:szCs w:val="22"/>
          <w:u w:val="single"/>
        </w:rPr>
        <w:t>de la Federación:</w:t>
      </w:r>
      <w:r>
        <w:rPr>
          <w:rFonts w:ascii="Palatino Linotype" w:eastAsia="Palatino Linotype" w:hAnsi="Palatino Linotype" w:cs="Palatino Linotype"/>
          <w:i/>
          <w:sz w:val="22"/>
          <w:szCs w:val="22"/>
        </w:rPr>
        <w:t xml:space="preserve"> (Participaciones a entidades Federativas y Municipios).</w:t>
      </w:r>
    </w:p>
    <w:p w:rsidR="0002543D" w:rsidRDefault="0002543D">
      <w:pPr>
        <w:ind w:left="567" w:right="567"/>
        <w:rPr>
          <w:rFonts w:ascii="Palatino Linotype" w:eastAsia="Palatino Linotype" w:hAnsi="Palatino Linotype" w:cs="Palatino Linotype"/>
          <w:i/>
          <w:sz w:val="22"/>
          <w:szCs w:val="22"/>
        </w:rPr>
      </w:pPr>
    </w:p>
    <w:p w:rsidR="0002543D" w:rsidRDefault="00661467">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PARTICIPACIONES Y APORTACIONES </w:t>
      </w:r>
    </w:p>
    <w:p w:rsidR="0002543D" w:rsidRDefault="0066146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Asignaciones destinadas a cubrir las participaciones y aportaciones para</w:t>
      </w:r>
      <w:r>
        <w:rPr>
          <w:rFonts w:ascii="Palatino Linotype" w:eastAsia="Palatino Linotype" w:hAnsi="Palatino Linotype" w:cs="Palatino Linotype"/>
          <w:i/>
          <w:sz w:val="22"/>
          <w:szCs w:val="22"/>
        </w:rPr>
        <w:t xml:space="preserve"> las entidades federativas y </w:t>
      </w:r>
      <w:r>
        <w:rPr>
          <w:rFonts w:ascii="Palatino Linotype" w:eastAsia="Palatino Linotype" w:hAnsi="Palatino Linotype" w:cs="Palatino Linotype"/>
          <w:b/>
          <w:i/>
          <w:sz w:val="22"/>
          <w:szCs w:val="22"/>
          <w:u w:val="single"/>
        </w:rPr>
        <w:t>los municipios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Incluye las asignaciones destina</w:t>
      </w:r>
      <w:r>
        <w:rPr>
          <w:rFonts w:ascii="Palatino Linotype" w:eastAsia="Palatino Linotype" w:hAnsi="Palatino Linotype" w:cs="Palatino Linotype"/>
          <w:b/>
          <w:i/>
          <w:sz w:val="22"/>
          <w:szCs w:val="22"/>
          <w:u w:val="single"/>
        </w:rPr>
        <w:t>das a la ejecución de programas federales en las entidades federativas</w:t>
      </w:r>
      <w:r>
        <w:rPr>
          <w:rFonts w:ascii="Palatino Linotype" w:eastAsia="Palatino Linotype" w:hAnsi="Palatino Linotype" w:cs="Palatino Linotype"/>
          <w:i/>
          <w:sz w:val="22"/>
          <w:szCs w:val="22"/>
        </w:rPr>
        <w:t>, mediante la reasignación de responsabilidades y recursos presupuestarios, en los términos de los convenios que celebre el Gobierno federal con éstas.</w:t>
      </w:r>
    </w:p>
    <w:p w:rsidR="0002543D" w:rsidRDefault="0002543D">
      <w:pPr>
        <w:ind w:left="567" w:right="567"/>
        <w:jc w:val="both"/>
        <w:rPr>
          <w:rFonts w:ascii="Palatino Linotype" w:eastAsia="Palatino Linotype" w:hAnsi="Palatino Linotype" w:cs="Palatino Linotype"/>
          <w:i/>
          <w:sz w:val="22"/>
          <w:szCs w:val="22"/>
        </w:rPr>
      </w:pPr>
    </w:p>
    <w:p w:rsidR="0002543D" w:rsidRDefault="00661467">
      <w:pPr>
        <w:ind w:left="567" w:right="567"/>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APORTACIONES FEDERALES </w:t>
      </w:r>
    </w:p>
    <w:p w:rsidR="0002543D" w:rsidRDefault="0066146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Son los r</w:t>
      </w:r>
      <w:r>
        <w:rPr>
          <w:rFonts w:ascii="Palatino Linotype" w:eastAsia="Palatino Linotype" w:hAnsi="Palatino Linotype" w:cs="Palatino Linotype"/>
          <w:b/>
          <w:i/>
          <w:sz w:val="22"/>
          <w:szCs w:val="22"/>
          <w:u w:val="single"/>
        </w:rPr>
        <w:t xml:space="preserve">ecursos que la Federación transfiere a las haciendas públicas </w:t>
      </w:r>
      <w:r>
        <w:rPr>
          <w:rFonts w:ascii="Palatino Linotype" w:eastAsia="Palatino Linotype" w:hAnsi="Palatino Linotype" w:cs="Palatino Linotype"/>
          <w:i/>
          <w:sz w:val="22"/>
          <w:szCs w:val="22"/>
        </w:rPr>
        <w:t xml:space="preserve">de los Estados, Distrito Federal, </w:t>
      </w:r>
      <w:r>
        <w:rPr>
          <w:rFonts w:ascii="Palatino Linotype" w:eastAsia="Palatino Linotype" w:hAnsi="Palatino Linotype" w:cs="Palatino Linotype"/>
          <w:b/>
          <w:i/>
          <w:sz w:val="22"/>
          <w:szCs w:val="22"/>
          <w:u w:val="single"/>
        </w:rPr>
        <w:t>y en su caso, de los Municipios, a través del Ramo 33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 xml:space="preserve">condicionando su gasto a la consecución y cumplimiento de los objetivos que para cada tipo de aportación </w:t>
      </w:r>
      <w:r>
        <w:rPr>
          <w:rFonts w:ascii="Palatino Linotype" w:eastAsia="Palatino Linotype" w:hAnsi="Palatino Linotype" w:cs="Palatino Linotype"/>
          <w:b/>
          <w:i/>
          <w:sz w:val="22"/>
          <w:szCs w:val="22"/>
          <w:u w:val="single"/>
        </w:rPr>
        <w:t>establece esta Ley, para los Fondos siguientes</w:t>
      </w:r>
      <w:r>
        <w:rPr>
          <w:rFonts w:ascii="Palatino Linotype" w:eastAsia="Palatino Linotype" w:hAnsi="Palatino Linotype" w:cs="Palatino Linotype"/>
          <w:i/>
          <w:sz w:val="22"/>
          <w:szCs w:val="22"/>
        </w:rPr>
        <w:t>:</w:t>
      </w:r>
    </w:p>
    <w:p w:rsidR="0002543D" w:rsidRDefault="0002543D">
      <w:pPr>
        <w:ind w:left="567" w:right="567"/>
        <w:rPr>
          <w:rFonts w:ascii="Palatino Linotype" w:eastAsia="Palatino Linotype" w:hAnsi="Palatino Linotype" w:cs="Palatino Linotype"/>
          <w:i/>
          <w:sz w:val="22"/>
          <w:szCs w:val="22"/>
        </w:rPr>
      </w:pPr>
    </w:p>
    <w:p w:rsidR="0002543D" w:rsidRDefault="00661467">
      <w:pPr>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 Fondo de Aportaciones para la Nómina Educativa y Gasto Operativo (FONE); </w:t>
      </w:r>
    </w:p>
    <w:p w:rsidR="0002543D" w:rsidRDefault="00661467">
      <w:pPr>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 Fondo de Aportaciones para los Servicios de Salud (FASSA); </w:t>
      </w:r>
    </w:p>
    <w:p w:rsidR="0002543D" w:rsidRDefault="00661467">
      <w:pPr>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III. Fondo de Aportaciones para la Infraestructura Social (FAIS); </w:t>
      </w:r>
    </w:p>
    <w:p w:rsidR="0002543D" w:rsidRDefault="00661467">
      <w:pPr>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IV. Fondo de Aportaciones para el Fortalecimiento de los Municipios y de las Demarcaciones Territoriales del Distrito Federal (FORTAMUNDF); </w:t>
      </w:r>
    </w:p>
    <w:p w:rsidR="0002543D" w:rsidRDefault="00661467">
      <w:pPr>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V. Fondo de Aportaciones Múltiples (FAM).</w:t>
      </w:r>
    </w:p>
    <w:p w:rsidR="0002543D" w:rsidRDefault="00661467">
      <w:pPr>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VI. Fondo de Aportaciones para la Educación Tecnológica y de Adultos (FA</w:t>
      </w:r>
      <w:r>
        <w:rPr>
          <w:rFonts w:ascii="Palatino Linotype" w:eastAsia="Palatino Linotype" w:hAnsi="Palatino Linotype" w:cs="Palatino Linotype"/>
          <w:b/>
          <w:i/>
          <w:sz w:val="22"/>
          <w:szCs w:val="22"/>
          <w:u w:val="single"/>
        </w:rPr>
        <w:t xml:space="preserve">ETA); </w:t>
      </w:r>
    </w:p>
    <w:p w:rsidR="0002543D" w:rsidRDefault="00661467">
      <w:pPr>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VII. Fondo de Aportaciones para la Seguridad Pública de los Estados y del Distrito Federal (FASP), y </w:t>
      </w:r>
    </w:p>
    <w:p w:rsidR="0002543D" w:rsidRDefault="00661467">
      <w:pPr>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VIII. Fondo de Aportaciones para el Fortalecimiento de las Entidades Federativas (FAFEF)</w:t>
      </w:r>
    </w:p>
    <w:p w:rsidR="0002543D" w:rsidRDefault="0002543D">
      <w:pPr>
        <w:ind w:left="567" w:right="567"/>
        <w:jc w:val="both"/>
        <w:rPr>
          <w:rFonts w:ascii="Palatino Linotype" w:eastAsia="Palatino Linotype" w:hAnsi="Palatino Linotype" w:cs="Palatino Linotype"/>
          <w:i/>
          <w:sz w:val="22"/>
          <w:szCs w:val="22"/>
        </w:rPr>
      </w:pPr>
    </w:p>
    <w:p w:rsidR="0002543D" w:rsidRDefault="0066146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Dichos Fondos se integrarán, distribuirán, administrarán, ejercerán y supervisarán, de acuerdo a lo dispuesto en la Ley de Coordinación Fiscal.</w:t>
      </w:r>
    </w:p>
    <w:p w:rsidR="0002543D" w:rsidRDefault="0002543D">
      <w:pPr>
        <w:ind w:left="567" w:right="567"/>
        <w:jc w:val="both"/>
        <w:rPr>
          <w:rFonts w:ascii="Palatino Linotype" w:eastAsia="Palatino Linotype" w:hAnsi="Palatino Linotype" w:cs="Palatino Linotype"/>
          <w:i/>
          <w:sz w:val="22"/>
          <w:szCs w:val="22"/>
        </w:rPr>
      </w:pPr>
    </w:p>
    <w:p w:rsidR="0002543D" w:rsidRDefault="0066146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El Fondo de Aportaciones para la Nómina Educativa y Gasto Operativo será administrado por la Secretaría de Haci</w:t>
      </w:r>
      <w:r>
        <w:rPr>
          <w:rFonts w:ascii="Palatino Linotype" w:eastAsia="Palatino Linotype" w:hAnsi="Palatino Linotype" w:cs="Palatino Linotype"/>
          <w:i/>
          <w:sz w:val="22"/>
          <w:szCs w:val="22"/>
        </w:rPr>
        <w:t>enda y Crédito Público.” (Sic)</w:t>
      </w:r>
    </w:p>
    <w:p w:rsidR="0002543D" w:rsidRDefault="0002543D">
      <w:pPr>
        <w:spacing w:line="360" w:lineRule="auto"/>
        <w:jc w:val="both"/>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Conforme a lo anterior, se logra visualizar en qué consisten las Participaciones y Aportaciones Federales realizadas a los Ayuntamientos del Estado de México, entre ellos el Ayuntamiento de Teoloyucan, por ello, este Institu</w:t>
      </w:r>
      <w:r>
        <w:rPr>
          <w:rFonts w:ascii="Palatino Linotype" w:eastAsia="Palatino Linotype" w:hAnsi="Palatino Linotype" w:cs="Palatino Linotype"/>
        </w:rPr>
        <w:t xml:space="preserve">to localizó en: </w:t>
      </w:r>
      <w:hyperlink r:id="rId30">
        <w:r>
          <w:rPr>
            <w:rFonts w:ascii="Palatino Linotype" w:eastAsia="Palatino Linotype" w:hAnsi="Palatino Linotype" w:cs="Palatino Linotype"/>
            <w:color w:val="0000FF"/>
            <w:u w:val="single"/>
          </w:rPr>
          <w:t>https://www.ppef.hacienda.gob.mx/es/PPEF2021/tomoI-III</w:t>
        </w:r>
      </w:hyperlink>
      <w:r>
        <w:rPr>
          <w:rFonts w:ascii="Palatino Linotype" w:eastAsia="Palatino Linotype" w:hAnsi="Palatino Linotype" w:cs="Palatino Linotype"/>
        </w:rPr>
        <w:t xml:space="preserve"> que respecto al ejercicio fiscal de dos mil veintiuno, los Ramos Generales 28 y 33, que comprenden: </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center"/>
      </w:pPr>
      <w:r>
        <w:rPr>
          <w:noProof/>
          <w:lang w:val="es-MX" w:eastAsia="es-MX"/>
        </w:rPr>
        <w:drawing>
          <wp:inline distT="0" distB="0" distL="0" distR="0">
            <wp:extent cx="2305050" cy="2038350"/>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2305050" cy="203835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1312" behindDoc="0" locked="0" layoutInCell="1" hidden="0" allowOverlap="1">
                <wp:simplePos x="0" y="0"/>
                <wp:positionH relativeFrom="column">
                  <wp:posOffset>1752600</wp:posOffset>
                </wp:positionH>
                <wp:positionV relativeFrom="paragraph">
                  <wp:posOffset>1447800</wp:posOffset>
                </wp:positionV>
                <wp:extent cx="2286635" cy="299085"/>
                <wp:effectExtent l="0" t="0" r="0" b="0"/>
                <wp:wrapNone/>
                <wp:docPr id="38" name=""/>
                <wp:cNvGraphicFramePr/>
                <a:graphic xmlns:a="http://schemas.openxmlformats.org/drawingml/2006/main">
                  <a:graphicData uri="http://schemas.microsoft.com/office/word/2010/wordprocessingShape">
                    <wps:wsp>
                      <wps:cNvSpPr/>
                      <wps:spPr>
                        <a:xfrm>
                          <a:off x="4209350" y="3637125"/>
                          <a:ext cx="2273300" cy="285750"/>
                        </a:xfrm>
                        <a:prstGeom prst="rect">
                          <a:avLst/>
                        </a:prstGeom>
                        <a:noFill/>
                        <a:ln w="12700" cap="flat" cmpd="sng">
                          <a:solidFill>
                            <a:schemeClr val="dk1"/>
                          </a:solidFill>
                          <a:prstDash val="solid"/>
                          <a:miter lim="800000"/>
                          <a:headEnd type="none" w="sm" len="sm"/>
                          <a:tailEnd type="none" w="sm" len="sm"/>
                        </a:ln>
                      </wps:spPr>
                      <wps:txbx>
                        <w:txbxContent>
                          <w:p w:rsidR="0002543D" w:rsidRDefault="0002543D">
                            <w:pPr>
                              <w:textDirection w:val="btLr"/>
                            </w:pPr>
                          </w:p>
                        </w:txbxContent>
                      </wps:txbx>
                      <wps:bodyPr spcFirstLastPara="1" wrap="square" lIns="91425" tIns="91425" rIns="91425" bIns="91425" anchor="ctr" anchorCtr="0">
                        <a:noAutofit/>
                      </wps:bodyPr>
                    </wps:wsp>
                  </a:graphicData>
                </a:graphic>
              </wp:anchor>
            </w:drawing>
          </mc:Choice>
          <mc:Fallback>
            <w:pict>
              <v:rect id="_x0000_s1027" style="position:absolute;left:0;text-align:left;margin-left:138pt;margin-top:114pt;width:180.05pt;height:23.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" filled="f" strokecolor="black [3200]" strokeweight="1pt">
                <v:stroke startarrowwidth="narrow" startarrowlength="short" endarrowwidth="narrow" endarrowlength="short"/>
                <v:textbox inset="2.53958mm,2.53958mm,2.53958mm,2.53958mm">
                  <w:txbxContent>
                    <w:p w:rsidR="0002543D" w:rsidRDefault="0002543D">
                      <w:pPr>
                        <w:textDirection w:val="btLr"/>
                      </w:pPr>
                    </w:p>
                  </w:txbxContent>
                </v:textbox>
              </v:rect>
            </w:pict>
          </mc:Fallback>
        </mc:AlternateContent>
      </w:r>
      <w:r>
        <w:rPr>
          <w:noProof/>
          <w:lang w:val="es-MX" w:eastAsia="es-MX"/>
        </w:rPr>
        <mc:AlternateContent>
          <mc:Choice Requires="wps">
            <w:drawing>
              <wp:anchor distT="0" distB="0" distL="114300" distR="114300" simplePos="0" relativeHeight="251662336" behindDoc="0" locked="0" layoutInCell="1" hidden="0" allowOverlap="1">
                <wp:simplePos x="0" y="0"/>
                <wp:positionH relativeFrom="column">
                  <wp:posOffset>1765300</wp:posOffset>
                </wp:positionH>
                <wp:positionV relativeFrom="paragraph">
                  <wp:posOffset>1092200</wp:posOffset>
                </wp:positionV>
                <wp:extent cx="2286635" cy="203835"/>
                <wp:effectExtent l="0" t="0" r="0" b="0"/>
                <wp:wrapNone/>
                <wp:docPr id="36" name=""/>
                <wp:cNvGraphicFramePr/>
                <a:graphic xmlns:a="http://schemas.openxmlformats.org/drawingml/2006/main">
                  <a:graphicData uri="http://schemas.microsoft.com/office/word/2010/wordprocessingShape">
                    <wps:wsp>
                      <wps:cNvSpPr/>
                      <wps:spPr>
                        <a:xfrm>
                          <a:off x="4209350" y="3684750"/>
                          <a:ext cx="2273300" cy="190500"/>
                        </a:xfrm>
                        <a:prstGeom prst="rect">
                          <a:avLst/>
                        </a:prstGeom>
                        <a:noFill/>
                        <a:ln w="12700" cap="flat" cmpd="sng">
                          <a:solidFill>
                            <a:schemeClr val="dk1"/>
                          </a:solidFill>
                          <a:prstDash val="solid"/>
                          <a:miter lim="800000"/>
                          <a:headEnd type="none" w="sm" len="sm"/>
                          <a:tailEnd type="none" w="sm" len="sm"/>
                        </a:ln>
                      </wps:spPr>
                      <wps:txbx>
                        <w:txbxContent>
                          <w:p w:rsidR="0002543D" w:rsidRDefault="0002543D">
                            <w:pPr>
                              <w:textDirection w:val="btLr"/>
                            </w:pPr>
                          </w:p>
                        </w:txbxContent>
                      </wps:txbx>
                      <wps:bodyPr spcFirstLastPara="1" wrap="square" lIns="91425" tIns="91425" rIns="91425" bIns="91425" anchor="ctr" anchorCtr="0">
                        <a:noAutofit/>
                      </wps:bodyPr>
                    </wps:wsp>
                  </a:graphicData>
                </a:graphic>
              </wp:anchor>
            </w:drawing>
          </mc:Choice>
          <mc:Fallback>
            <w:pict>
              <v:rect id="_x0000_s1028" style="position:absolute;left:0;text-align:left;margin-left:139pt;margin-top:86pt;width:180.05pt;height:16.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" filled="f" strokecolor="black [3200]" strokeweight="1pt">
                <v:stroke startarrowwidth="narrow" startarrowlength="short" endarrowwidth="narrow" endarrowlength="short"/>
                <v:textbox inset="2.53958mm,2.53958mm,2.53958mm,2.53958mm">
                  <w:txbxContent>
                    <w:p w:rsidR="0002543D" w:rsidRDefault="0002543D">
                      <w:pPr>
                        <w:textDirection w:val="btLr"/>
                      </w:pPr>
                    </w:p>
                  </w:txbxContent>
                </v:textbox>
              </v:rect>
            </w:pict>
          </mc:Fallback>
        </mc:AlternateContent>
      </w:r>
    </w:p>
    <w:p w:rsidR="0002543D" w:rsidRDefault="00A23B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45804</wp:posOffset>
                </wp:positionH>
                <wp:positionV relativeFrom="paragraph">
                  <wp:posOffset>599591</wp:posOffset>
                </wp:positionV>
                <wp:extent cx="5424985" cy="1856095"/>
                <wp:effectExtent l="0" t="0" r="23495" b="30480"/>
                <wp:wrapNone/>
                <wp:docPr id="1" name="Conector recto 1"/>
                <wp:cNvGraphicFramePr/>
                <a:graphic xmlns:a="http://schemas.openxmlformats.org/drawingml/2006/main">
                  <a:graphicData uri="http://schemas.microsoft.com/office/word/2010/wordprocessingShape">
                    <wps:wsp>
                      <wps:cNvCnPr/>
                      <wps:spPr>
                        <a:xfrm>
                          <a:off x="0" y="0"/>
                          <a:ext cx="5424985" cy="1856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515C25" id="Conector recto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6pt,47.2pt" to="430.75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" strokecolor="black [3200]" strokeweight=".5pt">
                <v:stroke joinstyle="miter"/>
              </v:line>
            </w:pict>
          </mc:Fallback>
        </mc:AlternateContent>
      </w:r>
      <w:r w:rsidR="00661467">
        <w:rPr>
          <w:rFonts w:ascii="Palatino Linotype" w:eastAsia="Palatino Linotype" w:hAnsi="Palatino Linotype" w:cs="Palatino Linotype"/>
        </w:rPr>
        <w:t xml:space="preserve">Las transferencias de recursos que se realizan a los Municipios, los cuales se basan de acuerdo a la siguiente estructura: </w:t>
      </w:r>
    </w:p>
    <w:p w:rsidR="0002543D" w:rsidRDefault="0002543D">
      <w:pPr>
        <w:spacing w:line="360" w:lineRule="auto"/>
      </w:pPr>
    </w:p>
    <w:p w:rsidR="0002543D" w:rsidRDefault="0002543D">
      <w:pPr>
        <w:spacing w:line="360" w:lineRule="auto"/>
      </w:pPr>
    </w:p>
    <w:p w:rsidR="0002543D" w:rsidRDefault="00661467">
      <w:pPr>
        <w:spacing w:line="360" w:lineRule="auto"/>
        <w:jc w:val="center"/>
      </w:pPr>
      <w:r>
        <w:rPr>
          <w:noProof/>
          <w:lang w:val="es-MX" w:eastAsia="es-MX"/>
        </w:rPr>
        <w:lastRenderedPageBreak/>
        <w:drawing>
          <wp:inline distT="0" distB="0" distL="0" distR="0">
            <wp:extent cx="3971925" cy="2959100"/>
            <wp:effectExtent l="0" t="0" r="0" b="0"/>
            <wp:docPr id="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971925" cy="295910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3360" behindDoc="0" locked="0" layoutInCell="1" hidden="0" allowOverlap="1">
                <wp:simplePos x="0" y="0"/>
                <wp:positionH relativeFrom="column">
                  <wp:posOffset>622300</wp:posOffset>
                </wp:positionH>
                <wp:positionV relativeFrom="paragraph">
                  <wp:posOffset>1574800</wp:posOffset>
                </wp:positionV>
                <wp:extent cx="4250055" cy="1574800"/>
                <wp:effectExtent l="0" t="0" r="0" b="0"/>
                <wp:wrapNone/>
                <wp:docPr id="42" name=""/>
                <wp:cNvGraphicFramePr/>
                <a:graphic xmlns:a="http://schemas.openxmlformats.org/drawingml/2006/main">
                  <a:graphicData uri="http://schemas.microsoft.com/office/word/2010/wordprocessingShape">
                    <wps:wsp>
                      <wps:cNvSpPr/>
                      <wps:spPr>
                        <a:xfrm>
                          <a:off x="3230498" y="3002125"/>
                          <a:ext cx="4231005" cy="1555750"/>
                        </a:xfrm>
                        <a:prstGeom prst="rect">
                          <a:avLst/>
                        </a:prstGeom>
                        <a:noFill/>
                        <a:ln w="19050" cap="flat" cmpd="sng">
                          <a:solidFill>
                            <a:schemeClr val="dk1"/>
                          </a:solidFill>
                          <a:prstDash val="solid"/>
                          <a:miter lim="800000"/>
                          <a:headEnd type="none" w="sm" len="sm"/>
                          <a:tailEnd type="none" w="sm" len="sm"/>
                        </a:ln>
                      </wps:spPr>
                      <wps:txbx>
                        <w:txbxContent>
                          <w:p w:rsidR="0002543D" w:rsidRDefault="0002543D">
                            <w:pPr>
                              <w:textDirection w:val="btLr"/>
                            </w:pPr>
                          </w:p>
                        </w:txbxContent>
                      </wps:txbx>
                      <wps:bodyPr spcFirstLastPara="1" wrap="square" lIns="91425" tIns="91425" rIns="91425" bIns="91425" anchor="ctr" anchorCtr="0">
                        <a:noAutofit/>
                      </wps:bodyPr>
                    </wps:wsp>
                  </a:graphicData>
                </a:graphic>
              </wp:anchor>
            </w:drawing>
          </mc:Choice>
          <mc:Fallback>
            <w:pict>
              <v:rect id="_x0000_s1029" style="position:absolute;left:0;text-align:left;margin-left:49pt;margin-top:124pt;width:334.65pt;height:1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" filled="f" strokecolor="black [3200]" strokeweight="1.5pt">
                <v:stroke startarrowwidth="narrow" startarrowlength="short" endarrowwidth="narrow" endarrowlength="short"/>
                <v:textbox inset="2.53958mm,2.53958mm,2.53958mm,2.53958mm">
                  <w:txbxContent>
                    <w:p w:rsidR="0002543D" w:rsidRDefault="0002543D">
                      <w:pPr>
                        <w:textDirection w:val="btLr"/>
                      </w:pPr>
                    </w:p>
                  </w:txbxContent>
                </v:textbox>
              </v:rect>
            </w:pict>
          </mc:Fallback>
        </mc:AlternateContent>
      </w:r>
    </w:p>
    <w:p w:rsidR="0002543D" w:rsidRDefault="00661467">
      <w:pPr>
        <w:spacing w:line="360" w:lineRule="auto"/>
        <w:jc w:val="center"/>
      </w:pPr>
      <w:r>
        <w:rPr>
          <w:noProof/>
          <w:lang w:val="es-MX" w:eastAsia="es-MX"/>
        </w:rPr>
        <w:drawing>
          <wp:inline distT="0" distB="0" distL="0" distR="0">
            <wp:extent cx="4200525" cy="2238375"/>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4200525" cy="2238375"/>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4384" behindDoc="0" locked="0" layoutInCell="1" hidden="0" allowOverlap="1">
                <wp:simplePos x="0" y="0"/>
                <wp:positionH relativeFrom="column">
                  <wp:posOffset>457200</wp:posOffset>
                </wp:positionH>
                <wp:positionV relativeFrom="paragraph">
                  <wp:posOffset>1219200</wp:posOffset>
                </wp:positionV>
                <wp:extent cx="4533265" cy="1017270"/>
                <wp:effectExtent l="0" t="0" r="0" b="0"/>
                <wp:wrapNone/>
                <wp:docPr id="44" name=""/>
                <wp:cNvGraphicFramePr/>
                <a:graphic xmlns:a="http://schemas.openxmlformats.org/drawingml/2006/main">
                  <a:graphicData uri="http://schemas.microsoft.com/office/word/2010/wordprocessingShape">
                    <wps:wsp>
                      <wps:cNvSpPr/>
                      <wps:spPr>
                        <a:xfrm>
                          <a:off x="3088893" y="3280890"/>
                          <a:ext cx="4514215" cy="998220"/>
                        </a:xfrm>
                        <a:prstGeom prst="rect">
                          <a:avLst/>
                        </a:prstGeom>
                        <a:noFill/>
                        <a:ln w="19050" cap="flat" cmpd="sng">
                          <a:solidFill>
                            <a:schemeClr val="dk1"/>
                          </a:solidFill>
                          <a:prstDash val="solid"/>
                          <a:miter lim="800000"/>
                          <a:headEnd type="none" w="sm" len="sm"/>
                          <a:tailEnd type="none" w="sm" len="sm"/>
                        </a:ln>
                      </wps:spPr>
                      <wps:txbx>
                        <w:txbxContent>
                          <w:p w:rsidR="0002543D" w:rsidRDefault="0002543D">
                            <w:pPr>
                              <w:textDirection w:val="btLr"/>
                            </w:pPr>
                          </w:p>
                        </w:txbxContent>
                      </wps:txbx>
                      <wps:bodyPr spcFirstLastPara="1" wrap="square" lIns="91425" tIns="91425" rIns="91425" bIns="91425" anchor="ctr" anchorCtr="0">
                        <a:noAutofit/>
                      </wps:bodyPr>
                    </wps:wsp>
                  </a:graphicData>
                </a:graphic>
              </wp:anchor>
            </w:drawing>
          </mc:Choice>
          <mc:Fallback>
            <w:pict>
              <v:rect id="_x0000_s1030" style="position:absolute;left:0;text-align:left;margin-left:36pt;margin-top:96pt;width:356.95pt;height:80.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" filled="f" strokecolor="black [3200]" strokeweight="1.5pt">
                <v:stroke startarrowwidth="narrow" startarrowlength="short" endarrowwidth="narrow" endarrowlength="short"/>
                <v:textbox inset="2.53958mm,2.53958mm,2.53958mm,2.53958mm">
                  <w:txbxContent>
                    <w:p w:rsidR="0002543D" w:rsidRDefault="0002543D">
                      <w:pPr>
                        <w:textDirection w:val="btLr"/>
                      </w:pPr>
                    </w:p>
                  </w:txbxContent>
                </v:textbox>
              </v:rect>
            </w:pict>
          </mc:Fallback>
        </mc:AlternateContent>
      </w:r>
    </w:p>
    <w:p w:rsidR="0002543D" w:rsidRDefault="0002543D">
      <w:pPr>
        <w:spacing w:line="360" w:lineRule="auto"/>
      </w:pPr>
    </w:p>
    <w:p w:rsidR="0002543D" w:rsidRDefault="00661467">
      <w:pPr>
        <w:spacing w:line="360" w:lineRule="auto"/>
        <w:rPr>
          <w:rFonts w:ascii="Palatino Linotype" w:eastAsia="Palatino Linotype" w:hAnsi="Palatino Linotype" w:cs="Palatino Linotype"/>
        </w:rPr>
      </w:pPr>
      <w:r>
        <w:rPr>
          <w:rFonts w:ascii="Palatino Linotype" w:eastAsia="Palatino Linotype" w:hAnsi="Palatino Linotype" w:cs="Palatino Linotype"/>
        </w:rPr>
        <w:t xml:space="preserve">De acuerdo a lo anteriormente expuesto se logra inferir lo siguiente: </w:t>
      </w:r>
    </w:p>
    <w:p w:rsidR="0002543D" w:rsidRDefault="0002543D">
      <w:pPr>
        <w:spacing w:line="360" w:lineRule="auto"/>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*Los recursos del Ramo General 28 no están etiquetados</w:t>
      </w:r>
      <w:r>
        <w:rPr>
          <w:rFonts w:ascii="Palatino Linotype" w:eastAsia="Palatino Linotype" w:hAnsi="Palatino Linotype" w:cs="Palatino Linotype"/>
        </w:rPr>
        <w:t>, es decir, estos recursos no tienen un destino específico en el gasto de los gobiernos locales. Su carácter principal es resarcitorio por lo que, tiene como fin asignar los recursos de manera proporcio</w:t>
      </w:r>
      <w:r>
        <w:rPr>
          <w:rFonts w:ascii="Palatino Linotype" w:eastAsia="Palatino Linotype" w:hAnsi="Palatino Linotype" w:cs="Palatino Linotype"/>
        </w:rPr>
        <w:t xml:space="preserve">nal a la participación de las entidades en la actividad económica y la </w:t>
      </w:r>
      <w:r>
        <w:rPr>
          <w:rFonts w:ascii="Palatino Linotype" w:eastAsia="Palatino Linotype" w:hAnsi="Palatino Linotype" w:cs="Palatino Linotype"/>
        </w:rPr>
        <w:lastRenderedPageBreak/>
        <w:t xml:space="preserve">recaudación, y por lo tanto pretende generar incentivos para incrementar el crecimiento económico y el esfuerzo recaudatorio. </w:t>
      </w:r>
    </w:p>
    <w:p w:rsidR="0002543D" w:rsidRDefault="0002543D">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*Los recursos del Ramo General 33 comprende recursos</w:t>
      </w:r>
      <w:r>
        <w:rPr>
          <w:rFonts w:ascii="Palatino Linotype" w:eastAsia="Palatino Linotype" w:hAnsi="Palatino Linotype" w:cs="Palatino Linotype"/>
        </w:rPr>
        <w:t xml:space="preserve"> que </w:t>
      </w:r>
      <w:r>
        <w:rPr>
          <w:rFonts w:ascii="Palatino Linotype" w:eastAsia="Palatino Linotype" w:hAnsi="Palatino Linotype" w:cs="Palatino Linotype"/>
        </w:rPr>
        <w:t xml:space="preserve">la Federación transfiere a las haciendas públicas de los Estados, Distrito Federal, y en su caso, de los Municipios, </w:t>
      </w:r>
      <w:r>
        <w:rPr>
          <w:rFonts w:ascii="Palatino Linotype" w:eastAsia="Palatino Linotype" w:hAnsi="Palatino Linotype" w:cs="Palatino Linotype"/>
          <w:b/>
        </w:rPr>
        <w:t>condicionando su gasto a la consecución y cumplimiento de los objetivos</w:t>
      </w:r>
      <w:r>
        <w:rPr>
          <w:rFonts w:ascii="Palatino Linotype" w:eastAsia="Palatino Linotype" w:hAnsi="Palatino Linotype" w:cs="Palatino Linotype"/>
        </w:rPr>
        <w:t>. Las aportaciones federales para la ejecución de las actividades re</w:t>
      </w:r>
      <w:r>
        <w:rPr>
          <w:rFonts w:ascii="Palatino Linotype" w:eastAsia="Palatino Linotype" w:hAnsi="Palatino Linotype" w:cs="Palatino Linotype"/>
        </w:rPr>
        <w:t xml:space="preserve">lacionadas con áreas prioritarias para el desarrollo nacional, como la educación básica y normal, salud, combate a la pobreza, asistencia social, infraestructura educativa, fortalecimiento de las entidades federativas y para los municipios y demarcaciones </w:t>
      </w:r>
      <w:r>
        <w:rPr>
          <w:rFonts w:ascii="Palatino Linotype" w:eastAsia="Palatino Linotype" w:hAnsi="Palatino Linotype" w:cs="Palatino Linotype"/>
        </w:rPr>
        <w:t xml:space="preserve">territoriales de la Ciudad de México, seguridad pública, educación tecnológica y de adultos. </w:t>
      </w:r>
    </w:p>
    <w:p w:rsidR="00A23B22" w:rsidRDefault="00A23B22">
      <w:pPr>
        <w:spacing w:line="360" w:lineRule="auto"/>
        <w:jc w:val="both"/>
        <w:rPr>
          <w:rFonts w:ascii="Palatino Linotype" w:eastAsia="Palatino Linotype" w:hAnsi="Palatino Linotype" w:cs="Palatino Linotype"/>
        </w:rPr>
      </w:pPr>
    </w:p>
    <w:p w:rsidR="008E68F2"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advierte que efectivamente dentro </w:t>
      </w:r>
      <w:r w:rsidR="00D97CED">
        <w:rPr>
          <w:rFonts w:ascii="Palatino Linotype" w:eastAsia="Palatino Linotype" w:hAnsi="Palatino Linotype" w:cs="Palatino Linotype"/>
        </w:rPr>
        <w:t xml:space="preserve">de la información proporcionada por el </w:t>
      </w:r>
      <w:r w:rsidR="00D97CED" w:rsidRPr="00D97CED">
        <w:rPr>
          <w:rFonts w:ascii="Palatino Linotype" w:eastAsia="Palatino Linotype" w:hAnsi="Palatino Linotype" w:cs="Palatino Linotype"/>
          <w:b/>
        </w:rPr>
        <w:t>SUJETO OBLIGADO</w:t>
      </w:r>
      <w:r w:rsidR="00D97CED">
        <w:rPr>
          <w:rFonts w:ascii="Palatino Linotype" w:eastAsia="Palatino Linotype" w:hAnsi="Palatino Linotype" w:cs="Palatino Linotype"/>
        </w:rPr>
        <w:t>, en alcance al recurso de revisión,</w:t>
      </w:r>
      <w:r w:rsidR="008E68F2">
        <w:rPr>
          <w:rFonts w:ascii="Palatino Linotype" w:eastAsia="Palatino Linotype" w:hAnsi="Palatino Linotype" w:cs="Palatino Linotype"/>
        </w:rPr>
        <w:t xml:space="preserve"> en específico en el formato de ingresos detallados;</w:t>
      </w:r>
      <w:r w:rsidR="00D97CED">
        <w:rPr>
          <w:rFonts w:ascii="Palatino Linotype" w:eastAsia="Palatino Linotype" w:hAnsi="Palatino Linotype" w:cs="Palatino Linotype"/>
        </w:rPr>
        <w:t xml:space="preserve"> podemos visualizar la información de los recursos federales que se le otorgaron al Ayuntamiento de Teoloyucan en el ejercicio fiscal 2021, </w:t>
      </w:r>
      <w:r w:rsidR="001A3C2A">
        <w:rPr>
          <w:rFonts w:ascii="Palatino Linotype" w:eastAsia="Palatino Linotype" w:hAnsi="Palatino Linotype" w:cs="Palatino Linotype"/>
        </w:rPr>
        <w:t xml:space="preserve">ya que por ejemplo en </w:t>
      </w:r>
      <w:r w:rsidR="008E68F2">
        <w:rPr>
          <w:rFonts w:ascii="Palatino Linotype" w:eastAsia="Palatino Linotype" w:hAnsi="Palatino Linotype" w:cs="Palatino Linotype"/>
        </w:rPr>
        <w:t>atención a los acuerdos:</w:t>
      </w:r>
    </w:p>
    <w:p w:rsidR="008E68F2" w:rsidRDefault="008E68F2">
      <w:pPr>
        <w:spacing w:line="360" w:lineRule="auto"/>
        <w:jc w:val="both"/>
        <w:rPr>
          <w:rFonts w:ascii="Palatino Linotype" w:eastAsia="Palatino Linotype" w:hAnsi="Palatino Linotype" w:cs="Palatino Linotype"/>
        </w:rPr>
      </w:pPr>
    </w:p>
    <w:p w:rsidR="008E68F2" w:rsidRDefault="008E68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1.- </w:t>
      </w:r>
      <w:r w:rsidRPr="008E68F2">
        <w:rPr>
          <w:rFonts w:ascii="Palatino Linotype" w:eastAsia="Palatino Linotype" w:hAnsi="Palatino Linotype" w:cs="Palatino Linotype"/>
        </w:rPr>
        <w:t xml:space="preserve">ACUERDO POR EL QUE SE DAN A CONOCER LA FÓRMULA, METODOLOGÍA, DISTRIBUCIÓN Y EL CALENDARIO DE LAS ASIGNACIONES POR MUNICIPIO QUE CORRESPONDEN AL FONDO PARA LA INFRAESTRUCTURA SOCIAL MUNICIPAL Y DE LAS DEMARCACIONES TERRITORIALES DEL DISTRITO FEDERAL (FISMDF) PARA EL EJERCICIO FISCAL 2021. </w:t>
      </w:r>
    </w:p>
    <w:p w:rsidR="0002543D" w:rsidRDefault="008E68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2.-</w:t>
      </w:r>
      <w:r w:rsidRPr="008E68F2">
        <w:rPr>
          <w:rFonts w:ascii="Palatino Linotype" w:eastAsia="Palatino Linotype" w:hAnsi="Palatino Linotype" w:cs="Palatino Linotype"/>
        </w:rPr>
        <w:t>ACUERDO POR EL QUE SE DAN A CONOCER LAS VARIABLES, LA FÓRMULA, METODOLOGÍA, DISTRIBUCIÓN Y EL CALENDARIO DE LAS ASIGNACIONES POR MUNICIPIO QUE CORRESPONDEN AL FONDO DE APORTACIONES PARA EL FORTALECIMIENTO DE LOS MUNICIPIOS Y DE LAS DEMARCACIONES TERRITORIALES DEL DISTRITO FEDERAL (FORTAMUN) PARA EL EJERCICIO FISCAL 2021.</w:t>
      </w:r>
    </w:p>
    <w:p w:rsidR="008E68F2" w:rsidRDefault="008E68F2">
      <w:pPr>
        <w:spacing w:line="360" w:lineRule="auto"/>
        <w:jc w:val="both"/>
        <w:rPr>
          <w:rFonts w:ascii="Palatino Linotype" w:eastAsia="Palatino Linotype" w:hAnsi="Palatino Linotype" w:cs="Palatino Linotype"/>
        </w:rPr>
      </w:pPr>
    </w:p>
    <w:p w:rsidR="008E68F2" w:rsidRDefault="008E68F2">
      <w:pPr>
        <w:spacing w:line="360" w:lineRule="auto"/>
        <w:jc w:val="both"/>
        <w:rPr>
          <w:rFonts w:ascii="Palatino Linotype" w:eastAsia="Palatino Linotype" w:hAnsi="Palatino Linotype" w:cs="Palatino Linotype"/>
        </w:rPr>
      </w:pPr>
      <w:r w:rsidRPr="008E68F2">
        <w:rPr>
          <w:rFonts w:ascii="Palatino Linotype" w:eastAsia="Palatino Linotype" w:hAnsi="Palatino Linotype" w:cs="Palatino Linotype"/>
        </w:rPr>
        <w:t xml:space="preserve">Publicados en la gaceta </w:t>
      </w:r>
      <w:r>
        <w:rPr>
          <w:rFonts w:ascii="Palatino Linotype" w:eastAsia="Palatino Linotype" w:hAnsi="Palatino Linotype" w:cs="Palatino Linotype"/>
        </w:rPr>
        <w:t>número 001 1021 de fecha 29 de enero del 2021, los recursos otorgados al Ayuntamiento de Teoloyucan por el</w:t>
      </w:r>
      <w:r w:rsidRPr="008E68F2">
        <w:rPr>
          <w:rFonts w:ascii="Palatino Linotype" w:eastAsia="Palatino Linotype" w:hAnsi="Palatino Linotype" w:cs="Palatino Linotype"/>
        </w:rPr>
        <w:t xml:space="preserve"> </w:t>
      </w:r>
      <w:r w:rsidRPr="008E68F2">
        <w:rPr>
          <w:rFonts w:ascii="Palatino Linotype" w:eastAsia="Palatino Linotype" w:hAnsi="Palatino Linotype" w:cs="Palatino Linotype"/>
        </w:rPr>
        <w:t>fondo para la infraestructura social municipal y de las demarcaciones territoriales del distrito federal (FISMDF)</w:t>
      </w:r>
      <w:r w:rsidR="001A3C2A">
        <w:rPr>
          <w:rFonts w:ascii="Palatino Linotype" w:eastAsia="Palatino Linotype" w:hAnsi="Palatino Linotype" w:cs="Palatino Linotype"/>
        </w:rPr>
        <w:t>, fueron de:</w:t>
      </w:r>
    </w:p>
    <w:p w:rsidR="001A3C2A" w:rsidRDefault="001A3C2A">
      <w:pPr>
        <w:spacing w:line="360" w:lineRule="auto"/>
        <w:jc w:val="both"/>
        <w:rPr>
          <w:rFonts w:ascii="Palatino Linotype" w:eastAsia="Palatino Linotype" w:hAnsi="Palatino Linotype" w:cs="Palatino Linotype"/>
        </w:rPr>
      </w:pPr>
      <w:r>
        <w:rPr>
          <w:noProof/>
          <w:lang w:val="es-MX" w:eastAsia="es-MX"/>
        </w:rPr>
        <w:drawing>
          <wp:inline distT="0" distB="0" distL="0" distR="0" wp14:anchorId="1809EB3D" wp14:editId="300DEB41">
            <wp:extent cx="5684293" cy="321524"/>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0263" t="51883" r="25315" b="44655"/>
                    <a:stretch/>
                  </pic:blipFill>
                  <pic:spPr bwMode="auto">
                    <a:xfrm>
                      <a:off x="0" y="0"/>
                      <a:ext cx="5985748" cy="338575"/>
                    </a:xfrm>
                    <a:prstGeom prst="rect">
                      <a:avLst/>
                    </a:prstGeom>
                    <a:ln>
                      <a:noFill/>
                    </a:ln>
                    <a:extLst>
                      <a:ext uri="{53640926-AAD7-44D8-BBD7-CCE9431645EC}">
                        <a14:shadowObscured xmlns:a14="http://schemas.microsoft.com/office/drawing/2010/main"/>
                      </a:ext>
                    </a:extLst>
                  </pic:spPr>
                </pic:pic>
              </a:graphicData>
            </a:graphic>
          </wp:inline>
        </w:drawing>
      </w:r>
    </w:p>
    <w:p w:rsidR="008E68F2" w:rsidRDefault="001A3C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Y en los ingresos detallados de advierte:</w:t>
      </w:r>
    </w:p>
    <w:p w:rsidR="001A3C2A" w:rsidRDefault="001A3C2A">
      <w:pPr>
        <w:spacing w:line="360" w:lineRule="auto"/>
        <w:jc w:val="both"/>
        <w:rPr>
          <w:noProof/>
          <w:lang w:val="es-MX" w:eastAsia="es-MX"/>
        </w:rPr>
      </w:pPr>
    </w:p>
    <w:p w:rsidR="001A3C2A" w:rsidRDefault="001A3C2A">
      <w:pPr>
        <w:spacing w:line="360" w:lineRule="auto"/>
        <w:jc w:val="both"/>
        <w:rPr>
          <w:rFonts w:ascii="Palatino Linotype" w:eastAsia="Palatino Linotype" w:hAnsi="Palatino Linotype" w:cs="Palatino Linotype"/>
        </w:rPr>
      </w:pPr>
      <w:r>
        <w:rPr>
          <w:noProof/>
          <w:lang w:val="es-MX" w:eastAsia="es-MX"/>
        </w:rPr>
        <w:drawing>
          <wp:inline distT="0" distB="0" distL="0" distR="0" wp14:anchorId="27B68698" wp14:editId="63F8A0EB">
            <wp:extent cx="2659380" cy="525425"/>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861" t="60533" r="49670" b="36249"/>
                    <a:stretch/>
                  </pic:blipFill>
                  <pic:spPr bwMode="auto">
                    <a:xfrm>
                      <a:off x="0" y="0"/>
                      <a:ext cx="2722509" cy="537898"/>
                    </a:xfrm>
                    <a:prstGeom prst="rect">
                      <a:avLst/>
                    </a:prstGeom>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14:anchorId="0748A489" wp14:editId="08DCDACA">
            <wp:extent cx="1964286" cy="588702"/>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5489" t="59235" r="7208" b="36874"/>
                    <a:stretch/>
                  </pic:blipFill>
                  <pic:spPr bwMode="auto">
                    <a:xfrm>
                      <a:off x="0" y="0"/>
                      <a:ext cx="2006669" cy="601404"/>
                    </a:xfrm>
                    <a:prstGeom prst="rect">
                      <a:avLst/>
                    </a:prstGeom>
                    <a:ln>
                      <a:noFill/>
                    </a:ln>
                    <a:extLst>
                      <a:ext uri="{53640926-AAD7-44D8-BBD7-CCE9431645EC}">
                        <a14:shadowObscured xmlns:a14="http://schemas.microsoft.com/office/drawing/2010/main"/>
                      </a:ext>
                    </a:extLst>
                  </pic:spPr>
                </pic:pic>
              </a:graphicData>
            </a:graphic>
          </wp:inline>
        </w:drawing>
      </w:r>
    </w:p>
    <w:p w:rsidR="001A3C2A" w:rsidRDefault="001A3C2A">
      <w:pPr>
        <w:spacing w:line="360" w:lineRule="auto"/>
        <w:jc w:val="both"/>
        <w:rPr>
          <w:noProof/>
          <w:lang w:val="es-MX" w:eastAsia="es-MX"/>
        </w:rPr>
      </w:pPr>
    </w:p>
    <w:p w:rsidR="008E68F2" w:rsidRDefault="001A3C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Y para el </w:t>
      </w:r>
      <w:r w:rsidRPr="001A3C2A">
        <w:rPr>
          <w:rFonts w:ascii="Palatino Linotype" w:eastAsia="Palatino Linotype" w:hAnsi="Palatino Linotype" w:cs="Palatino Linotype"/>
        </w:rPr>
        <w:t>fondo de aportaciones para el fortalecimiento de los municipios y de las demarcaciones territoriales del distrito federal (FORTAMUN</w:t>
      </w:r>
      <w:r>
        <w:rPr>
          <w:rFonts w:ascii="Palatino Linotype" w:eastAsia="Palatino Linotype" w:hAnsi="Palatino Linotype" w:cs="Palatino Linotype"/>
        </w:rPr>
        <w:t>), fueron de:</w:t>
      </w:r>
    </w:p>
    <w:p w:rsidR="001A3C2A" w:rsidRDefault="001A3C2A">
      <w:pPr>
        <w:spacing w:line="360" w:lineRule="auto"/>
        <w:jc w:val="both"/>
        <w:rPr>
          <w:noProof/>
          <w:lang w:val="es-MX" w:eastAsia="es-MX"/>
        </w:rPr>
      </w:pPr>
    </w:p>
    <w:p w:rsidR="001A3C2A" w:rsidRDefault="001A3C2A">
      <w:pPr>
        <w:spacing w:line="360" w:lineRule="auto"/>
        <w:jc w:val="both"/>
        <w:rPr>
          <w:rFonts w:ascii="Palatino Linotype" w:eastAsia="Palatino Linotype" w:hAnsi="Palatino Linotype" w:cs="Palatino Linotype"/>
        </w:rPr>
      </w:pPr>
      <w:r>
        <w:rPr>
          <w:noProof/>
          <w:lang w:val="es-MX" w:eastAsia="es-MX"/>
        </w:rPr>
        <w:drawing>
          <wp:inline distT="0" distB="0" distL="0" distR="0" wp14:anchorId="73E7EEF9" wp14:editId="16F62D8A">
            <wp:extent cx="5479576" cy="302945"/>
            <wp:effectExtent l="0" t="0" r="698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9904" t="51669" r="32501" b="44635"/>
                    <a:stretch/>
                  </pic:blipFill>
                  <pic:spPr bwMode="auto">
                    <a:xfrm>
                      <a:off x="0" y="0"/>
                      <a:ext cx="5684272" cy="314262"/>
                    </a:xfrm>
                    <a:prstGeom prst="rect">
                      <a:avLst/>
                    </a:prstGeom>
                    <a:ln>
                      <a:noFill/>
                    </a:ln>
                    <a:extLst>
                      <a:ext uri="{53640926-AAD7-44D8-BBD7-CCE9431645EC}">
                        <a14:shadowObscured xmlns:a14="http://schemas.microsoft.com/office/drawing/2010/main"/>
                      </a:ext>
                    </a:extLst>
                  </pic:spPr>
                </pic:pic>
              </a:graphicData>
            </a:graphic>
          </wp:inline>
        </w:drawing>
      </w:r>
    </w:p>
    <w:p w:rsidR="001A3C2A" w:rsidRDefault="001A3C2A">
      <w:pPr>
        <w:spacing w:line="360" w:lineRule="auto"/>
        <w:jc w:val="both"/>
        <w:rPr>
          <w:rFonts w:ascii="Palatino Linotype" w:eastAsia="Palatino Linotype" w:hAnsi="Palatino Linotype" w:cs="Palatino Linotype"/>
        </w:rPr>
      </w:pPr>
    </w:p>
    <w:p w:rsidR="001A3C2A" w:rsidRDefault="001A3C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Y en los ingresos detallados se advierte:</w:t>
      </w:r>
    </w:p>
    <w:p w:rsidR="001A3C2A" w:rsidRPr="008E68F2" w:rsidRDefault="001A3C2A">
      <w:pPr>
        <w:spacing w:line="360" w:lineRule="auto"/>
        <w:jc w:val="both"/>
        <w:rPr>
          <w:rFonts w:ascii="Palatino Linotype" w:eastAsia="Palatino Linotype" w:hAnsi="Palatino Linotype" w:cs="Palatino Linotype"/>
        </w:rPr>
      </w:pPr>
    </w:p>
    <w:p w:rsidR="001A3C2A" w:rsidRDefault="001A3C2A">
      <w:pPr>
        <w:spacing w:line="360" w:lineRule="auto"/>
        <w:jc w:val="both"/>
        <w:rPr>
          <w:noProof/>
          <w:lang w:val="es-MX" w:eastAsia="es-MX"/>
        </w:rPr>
      </w:pPr>
    </w:p>
    <w:p w:rsidR="001A3C2A" w:rsidRDefault="001A3C2A">
      <w:pPr>
        <w:spacing w:line="360" w:lineRule="auto"/>
        <w:jc w:val="both"/>
        <w:rPr>
          <w:noProof/>
          <w:lang w:val="es-MX" w:eastAsia="es-MX"/>
        </w:rPr>
      </w:pPr>
    </w:p>
    <w:p w:rsidR="003E54C4" w:rsidRDefault="001A3C2A">
      <w:pPr>
        <w:spacing w:line="360" w:lineRule="auto"/>
        <w:jc w:val="both"/>
        <w:rPr>
          <w:noProof/>
          <w:lang w:val="es-MX" w:eastAsia="es-MX"/>
        </w:rPr>
      </w:pPr>
      <w:r>
        <w:rPr>
          <w:noProof/>
          <w:lang w:val="es-MX" w:eastAsia="es-MX"/>
        </w:rPr>
        <w:drawing>
          <wp:inline distT="0" distB="0" distL="0" distR="0" wp14:anchorId="3A2E78E8" wp14:editId="6BD908A8">
            <wp:extent cx="3165415" cy="607079"/>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032" t="63775" r="44046" b="32119"/>
                    <a:stretch/>
                  </pic:blipFill>
                  <pic:spPr bwMode="auto">
                    <a:xfrm>
                      <a:off x="0" y="0"/>
                      <a:ext cx="3208675" cy="615376"/>
                    </a:xfrm>
                    <a:prstGeom prst="rect">
                      <a:avLst/>
                    </a:prstGeom>
                    <a:ln>
                      <a:noFill/>
                    </a:ln>
                    <a:extLst>
                      <a:ext uri="{53640926-AAD7-44D8-BBD7-CCE9431645EC}">
                        <a14:shadowObscured xmlns:a14="http://schemas.microsoft.com/office/drawing/2010/main"/>
                      </a:ext>
                    </a:extLst>
                  </pic:spPr>
                </pic:pic>
              </a:graphicData>
            </a:graphic>
          </wp:inline>
        </w:drawing>
      </w:r>
      <w:r w:rsidR="003E54C4" w:rsidRPr="003E54C4">
        <w:rPr>
          <w:noProof/>
          <w:lang w:val="es-MX" w:eastAsia="es-MX"/>
        </w:rPr>
        <w:t xml:space="preserve"> </w:t>
      </w:r>
      <w:r w:rsidR="003E54C4">
        <w:rPr>
          <w:noProof/>
          <w:lang w:val="es-MX" w:eastAsia="es-MX"/>
        </w:rPr>
        <w:drawing>
          <wp:inline distT="0" distB="0" distL="0" distR="0" wp14:anchorId="02E07D27" wp14:editId="792DE08F">
            <wp:extent cx="1678675" cy="5962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85958" t="63124" r="7092" b="32983"/>
                    <a:stretch/>
                  </pic:blipFill>
                  <pic:spPr bwMode="auto">
                    <a:xfrm>
                      <a:off x="0" y="0"/>
                      <a:ext cx="1762562" cy="626062"/>
                    </a:xfrm>
                    <a:prstGeom prst="rect">
                      <a:avLst/>
                    </a:prstGeom>
                    <a:ln>
                      <a:noFill/>
                    </a:ln>
                    <a:extLst>
                      <a:ext uri="{53640926-AAD7-44D8-BBD7-CCE9431645EC}">
                        <a14:shadowObscured xmlns:a14="http://schemas.microsoft.com/office/drawing/2010/main"/>
                      </a:ext>
                    </a:extLst>
                  </pic:spPr>
                </pic:pic>
              </a:graphicData>
            </a:graphic>
          </wp:inline>
        </w:drawing>
      </w:r>
    </w:p>
    <w:p w:rsidR="001A3C2A" w:rsidRDefault="001A3C2A">
      <w:pPr>
        <w:spacing w:line="360" w:lineRule="auto"/>
        <w:jc w:val="both"/>
        <w:rPr>
          <w:rFonts w:ascii="Palatino Linotype" w:eastAsia="Palatino Linotype" w:hAnsi="Palatino Linotype" w:cs="Palatino Linotype"/>
          <w:highlight w:val="yellow"/>
        </w:rPr>
      </w:pPr>
    </w:p>
    <w:p w:rsidR="0002543D" w:rsidRPr="003E54C4" w:rsidRDefault="00661467">
      <w:pPr>
        <w:spacing w:line="360" w:lineRule="auto"/>
        <w:jc w:val="both"/>
        <w:rPr>
          <w:rFonts w:ascii="Palatino Linotype" w:eastAsia="Palatino Linotype" w:hAnsi="Palatino Linotype" w:cs="Palatino Linotype"/>
        </w:rPr>
      </w:pPr>
      <w:r w:rsidRPr="003E54C4">
        <w:rPr>
          <w:rFonts w:ascii="Palatino Linotype" w:eastAsia="Palatino Linotype" w:hAnsi="Palatino Linotype" w:cs="Palatino Linotype"/>
        </w:rPr>
        <w:t>Aunado a que la respuesta fue proporcionada por el servido</w:t>
      </w:r>
      <w:r w:rsidR="003E54C4" w:rsidRPr="003E54C4">
        <w:rPr>
          <w:rFonts w:ascii="Palatino Linotype" w:eastAsia="Palatino Linotype" w:hAnsi="Palatino Linotype" w:cs="Palatino Linotype"/>
        </w:rPr>
        <w:t>r público habilitado competente, siendo el siguiente</w:t>
      </w:r>
      <w:r w:rsidR="003E54C4">
        <w:rPr>
          <w:rFonts w:ascii="Palatino Linotype" w:eastAsia="Palatino Linotype" w:hAnsi="Palatino Linotype" w:cs="Palatino Linotype"/>
        </w:rPr>
        <w:t>, en términos del artículo 95 fracción IV de la Ley Orgánica Municipal del Estado de México, que señala</w:t>
      </w:r>
      <w:r w:rsidR="003E54C4" w:rsidRPr="003E54C4">
        <w:rPr>
          <w:rFonts w:ascii="Palatino Linotype" w:eastAsia="Palatino Linotype" w:hAnsi="Palatino Linotype" w:cs="Palatino Linotype"/>
        </w:rPr>
        <w:t>:</w:t>
      </w:r>
    </w:p>
    <w:p w:rsidR="003E54C4" w:rsidRDefault="003E54C4">
      <w:pPr>
        <w:spacing w:line="360" w:lineRule="auto"/>
        <w:jc w:val="both"/>
        <w:rPr>
          <w:rFonts w:ascii="Palatino Linotype" w:eastAsia="Palatino Linotype" w:hAnsi="Palatino Linotype" w:cs="Palatino Linotype"/>
          <w:highlight w:val="yellow"/>
        </w:rPr>
      </w:pPr>
    </w:p>
    <w:p w:rsidR="003E54C4" w:rsidRDefault="003E54C4" w:rsidP="003E54C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3E54C4">
        <w:rPr>
          <w:rFonts w:ascii="Palatino Linotype" w:eastAsia="Palatino Linotype" w:hAnsi="Palatino Linotype" w:cs="Palatino Linotype"/>
          <w:i/>
          <w:sz w:val="22"/>
          <w:szCs w:val="22"/>
        </w:rPr>
        <w:t xml:space="preserve">Artículo 95.- Son atribuciones del tesorero municipal: </w:t>
      </w:r>
    </w:p>
    <w:p w:rsidR="003E54C4" w:rsidRDefault="003E54C4" w:rsidP="003E54C4">
      <w:pPr>
        <w:ind w:left="567" w:right="567"/>
        <w:jc w:val="both"/>
        <w:rPr>
          <w:rFonts w:ascii="Palatino Linotype" w:eastAsia="Palatino Linotype" w:hAnsi="Palatino Linotype" w:cs="Palatino Linotype"/>
          <w:i/>
          <w:sz w:val="22"/>
          <w:szCs w:val="22"/>
        </w:rPr>
      </w:pPr>
      <w:r w:rsidRPr="003E54C4">
        <w:rPr>
          <w:rFonts w:ascii="Palatino Linotype" w:eastAsia="Palatino Linotype" w:hAnsi="Palatino Linotype" w:cs="Palatino Linotype"/>
          <w:i/>
          <w:sz w:val="22"/>
          <w:szCs w:val="22"/>
        </w:rPr>
        <w:t xml:space="preserve">I. Administrar la hacienda pública municipal, de conformidad con las disposiciones legales aplicables; </w:t>
      </w:r>
    </w:p>
    <w:p w:rsidR="003E54C4" w:rsidRDefault="003E54C4" w:rsidP="003E54C4">
      <w:pPr>
        <w:ind w:left="567" w:right="567"/>
        <w:jc w:val="both"/>
        <w:rPr>
          <w:rFonts w:ascii="Palatino Linotype" w:eastAsia="Palatino Linotype" w:hAnsi="Palatino Linotype" w:cs="Palatino Linotype"/>
          <w:i/>
          <w:sz w:val="22"/>
          <w:szCs w:val="22"/>
        </w:rPr>
      </w:pPr>
      <w:r w:rsidRPr="003E54C4">
        <w:rPr>
          <w:rFonts w:ascii="Palatino Linotype" w:eastAsia="Palatino Linotype" w:hAnsi="Palatino Linotype" w:cs="Palatino Linotype"/>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3E54C4" w:rsidRDefault="003E54C4" w:rsidP="003E54C4">
      <w:pPr>
        <w:ind w:left="567" w:right="567"/>
        <w:jc w:val="both"/>
        <w:rPr>
          <w:rFonts w:ascii="Palatino Linotype" w:eastAsia="Palatino Linotype" w:hAnsi="Palatino Linotype" w:cs="Palatino Linotype"/>
          <w:i/>
          <w:sz w:val="22"/>
          <w:szCs w:val="22"/>
        </w:rPr>
      </w:pPr>
      <w:r w:rsidRPr="003E54C4">
        <w:rPr>
          <w:rFonts w:ascii="Palatino Linotype" w:eastAsia="Palatino Linotype" w:hAnsi="Palatino Linotype" w:cs="Palatino Linotype"/>
          <w:i/>
          <w:sz w:val="22"/>
          <w:szCs w:val="22"/>
        </w:rPr>
        <w:t xml:space="preserve">III. Imponer las sanciones administrativas que procedan por infracciones a las disposiciones fiscales; </w:t>
      </w:r>
    </w:p>
    <w:p w:rsidR="003E54C4" w:rsidRPr="003E54C4" w:rsidRDefault="003E54C4" w:rsidP="003E54C4">
      <w:pPr>
        <w:ind w:left="567" w:right="567"/>
        <w:jc w:val="both"/>
        <w:rPr>
          <w:rFonts w:ascii="Palatino Linotype" w:eastAsia="Palatino Linotype" w:hAnsi="Palatino Linotype" w:cs="Palatino Linotype"/>
          <w:i/>
          <w:sz w:val="22"/>
          <w:szCs w:val="22"/>
        </w:rPr>
      </w:pPr>
      <w:r w:rsidRPr="003E54C4">
        <w:rPr>
          <w:rFonts w:ascii="Palatino Linotype" w:eastAsia="Palatino Linotype" w:hAnsi="Palatino Linotype" w:cs="Palatino Linotype"/>
          <w:b/>
          <w:i/>
          <w:sz w:val="22"/>
          <w:szCs w:val="22"/>
        </w:rPr>
        <w:t>IV. Llevar los registros contables, financieros y administrativos de los ingresos</w:t>
      </w:r>
      <w:r>
        <w:rPr>
          <w:rFonts w:ascii="Palatino Linotype" w:eastAsia="Palatino Linotype" w:hAnsi="Palatino Linotype" w:cs="Palatino Linotype"/>
          <w:i/>
          <w:sz w:val="22"/>
          <w:szCs w:val="22"/>
        </w:rPr>
        <w:t>… (Sic)</w:t>
      </w:r>
    </w:p>
    <w:p w:rsidR="003E54C4" w:rsidRDefault="003E54C4">
      <w:pPr>
        <w:spacing w:line="360" w:lineRule="auto"/>
        <w:jc w:val="both"/>
        <w:rPr>
          <w:rFonts w:ascii="Palatino Linotype" w:eastAsia="Palatino Linotype" w:hAnsi="Palatino Linotype" w:cs="Palatino Linotype"/>
          <w:highlight w:val="yellow"/>
        </w:rPr>
      </w:pPr>
    </w:p>
    <w:p w:rsidR="003E54C4" w:rsidRDefault="003E54C4" w:rsidP="003E54C4">
      <w:pPr>
        <w:pStyle w:val="Sinespaciado"/>
        <w:spacing w:before="120" w:after="120" w:line="360" w:lineRule="auto"/>
        <w:contextualSpacing/>
        <w:jc w:val="both"/>
        <w:rPr>
          <w:rFonts w:ascii="Palatino Linotype" w:hAnsi="Palatino Linotype"/>
        </w:rPr>
      </w:pPr>
      <w:r>
        <w:rPr>
          <w:rFonts w:ascii="Palatino Linotype" w:eastAsia="Palatino Linotype" w:hAnsi="Palatino Linotype" w:cs="Palatino Linotype"/>
        </w:rPr>
        <w:t xml:space="preserve">Máxime, que </w:t>
      </w:r>
      <w:r>
        <w:rPr>
          <w:rFonts w:ascii="Palatino Linotype" w:hAnsi="Palatino Linotype"/>
        </w:rPr>
        <w:t>este Órgano Garante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3E54C4" w:rsidRDefault="003E54C4" w:rsidP="003E54C4">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w:t>
      </w:r>
      <w:r>
        <w:rPr>
          <w:rFonts w:ascii="Palatino Linotype" w:hAnsi="Palatino Linotype"/>
          <w:i/>
          <w:sz w:val="22"/>
          <w:szCs w:val="22"/>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E54C4" w:rsidRDefault="003E54C4" w:rsidP="003E54C4">
      <w:pPr>
        <w:pStyle w:val="Prrafodelista"/>
        <w:autoSpaceDE w:val="0"/>
        <w:autoSpaceDN w:val="0"/>
        <w:adjustRightInd w:val="0"/>
        <w:spacing w:line="360" w:lineRule="auto"/>
        <w:ind w:left="0"/>
        <w:jc w:val="both"/>
        <w:rPr>
          <w:rFonts w:ascii="Palatino Linotype" w:hAnsi="Palatino Linotype" w:cs="Arial"/>
          <w:sz w:val="24"/>
          <w:szCs w:val="24"/>
        </w:rPr>
      </w:pPr>
    </w:p>
    <w:p w:rsidR="003E54C4" w:rsidRDefault="003E54C4" w:rsidP="003E54C4">
      <w:pPr>
        <w:pStyle w:val="Prrafodelista"/>
        <w:autoSpaceDE w:val="0"/>
        <w:autoSpaceDN w:val="0"/>
        <w:adjustRightInd w:val="0"/>
        <w:spacing w:line="360" w:lineRule="auto"/>
        <w:ind w:left="0"/>
        <w:jc w:val="both"/>
        <w:rPr>
          <w:rFonts w:ascii="Palatino Linotype" w:hAnsi="Palatino Linotype" w:cs="Arial"/>
          <w:sz w:val="24"/>
          <w:szCs w:val="24"/>
        </w:rPr>
      </w:pPr>
      <w:r>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02543D" w:rsidRPr="003E54C4" w:rsidRDefault="0002543D">
      <w:pPr>
        <w:spacing w:line="360" w:lineRule="auto"/>
        <w:jc w:val="both"/>
        <w:rPr>
          <w:rFonts w:ascii="Palatino Linotype" w:eastAsia="Palatino Linotype" w:hAnsi="Palatino Linotype" w:cs="Palatino Linotype"/>
        </w:rPr>
      </w:pPr>
    </w:p>
    <w:p w:rsidR="0002543D" w:rsidRDefault="00661467">
      <w:pPr>
        <w:spacing w:line="360" w:lineRule="auto"/>
        <w:jc w:val="both"/>
        <w:rPr>
          <w:rFonts w:ascii="Palatino Linotype" w:eastAsia="Palatino Linotype" w:hAnsi="Palatino Linotype" w:cs="Palatino Linotype"/>
        </w:rPr>
      </w:pPr>
      <w:r w:rsidRPr="00661467">
        <w:rPr>
          <w:rFonts w:ascii="Palatino Linotype" w:eastAsia="Palatino Linotype" w:hAnsi="Palatino Linotype" w:cs="Palatino Linotype"/>
        </w:rPr>
        <w:t xml:space="preserve">Precisado todo lo anterior, es pertinente aclarar que, el </w:t>
      </w:r>
      <w:r w:rsidRPr="00661467">
        <w:rPr>
          <w:rFonts w:ascii="Palatino Linotype" w:eastAsia="Palatino Linotype" w:hAnsi="Palatino Linotype" w:cs="Palatino Linotype"/>
          <w:b/>
        </w:rPr>
        <w:t>SUJETO OBLIGADO</w:t>
      </w:r>
      <w:r w:rsidRPr="00661467">
        <w:rPr>
          <w:rFonts w:ascii="Palatino Linotype" w:eastAsia="Palatino Linotype" w:hAnsi="Palatino Linotype" w:cs="Palatino Linotype"/>
        </w:rPr>
        <w:t xml:space="preserve"> remitió la información que colma el derecho de acceso a la información pública del recurrente,</w:t>
      </w:r>
      <w:r w:rsidRPr="00661467">
        <w:rPr>
          <w:rFonts w:ascii="Palatino Linotype" w:eastAsia="Palatino Linotype" w:hAnsi="Palatino Linotype" w:cs="Palatino Linotype"/>
        </w:rPr>
        <w:t xml:space="preserve"> como se advierte en el seguimiento del SAIMEX, fuera del término concedid</w:t>
      </w:r>
      <w:r w:rsidR="003E54C4" w:rsidRPr="00661467">
        <w:rPr>
          <w:rFonts w:ascii="Palatino Linotype" w:eastAsia="Palatino Linotype" w:hAnsi="Palatino Linotype" w:cs="Palatino Linotype"/>
        </w:rPr>
        <w:t>o para ello, en el apartado de manifestaciones</w:t>
      </w:r>
      <w:r w:rsidRPr="00661467">
        <w:rPr>
          <w:rFonts w:ascii="Palatino Linotype" w:eastAsia="Palatino Linotype" w:hAnsi="Palatino Linotype" w:cs="Palatino Linotype"/>
        </w:rPr>
        <w:t xml:space="preserve">, en ese sentido se puede inferir  que la misma ya fue vista por el recurrente; </w:t>
      </w:r>
      <w:r w:rsidRPr="00661467">
        <w:rPr>
          <w:rFonts w:ascii="Palatino Linotype" w:eastAsia="Palatino Linotype" w:hAnsi="Palatino Linotype" w:cs="Palatino Linotype"/>
        </w:rPr>
        <w:t>pero, no se tiene la certeza de que la misma ya sea del conocimiento d</w:t>
      </w:r>
      <w:r w:rsidRPr="00661467">
        <w:rPr>
          <w:rFonts w:ascii="Palatino Linotype" w:eastAsia="Palatino Linotype" w:hAnsi="Palatino Linotype" w:cs="Palatino Linotype"/>
        </w:rPr>
        <w:t>e él,</w:t>
      </w:r>
      <w:r w:rsidRPr="00661467">
        <w:rPr>
          <w:rFonts w:ascii="Palatino Linotype" w:eastAsia="Palatino Linotype" w:hAnsi="Palatino Linotype" w:cs="Palatino Linotype"/>
        </w:rPr>
        <w:t xml:space="preserve"> no obstante para asegurar que el particular tenga acceso a la mimas,</w:t>
      </w:r>
      <w:r w:rsidRPr="00661467">
        <w:rPr>
          <w:rFonts w:ascii="Palatino Linotype" w:eastAsia="Palatino Linotype" w:hAnsi="Palatino Linotype" w:cs="Palatino Linotype"/>
        </w:rPr>
        <w:t xml:space="preserve"> al notificar la presente resolución al recurrente se le hará de su conocimiento los archivos que contienen la información que solicitó, para los efectos legales conducentes.</w:t>
      </w:r>
      <w:bookmarkStart w:id="0" w:name="_GoBack"/>
      <w:bookmarkEnd w:id="0"/>
      <w:r>
        <w:rPr>
          <w:rFonts w:ascii="Palatino Linotype" w:eastAsia="Palatino Linotype" w:hAnsi="Palatino Linotype" w:cs="Palatino Linotype"/>
        </w:rPr>
        <w:t xml:space="preserve"> </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w:t>
      </w:r>
      <w:r>
        <w:rPr>
          <w:rFonts w:ascii="Palatino Linotype" w:eastAsia="Palatino Linotype" w:hAnsi="Palatino Linotype" w:cs="Palatino Linotype"/>
        </w:rPr>
        <w:t xml:space="preserve">usión, al contar por este Órgano Garante con la información que colma el derecho de acceso a la información del particular y que fue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el sentido del presente fallo es el </w:t>
      </w:r>
      <w:r>
        <w:rPr>
          <w:rFonts w:ascii="Palatino Linotype" w:eastAsia="Palatino Linotype" w:hAnsi="Palatino Linotype" w:cs="Palatino Linotype"/>
        </w:rPr>
        <w:lastRenderedPageBreak/>
        <w:t>sobreseimiento, al actualizar la causal de sobreseimiento prevista en la fracción III del artículo 192 de la Ley de Transparencia y Acceso a la Información Pública del Estado de México y Municipios, que dispone lo sigu</w:t>
      </w:r>
      <w:r>
        <w:rPr>
          <w:rFonts w:ascii="Palatino Linotype" w:eastAsia="Palatino Linotype" w:hAnsi="Palatino Linotype" w:cs="Palatino Linotype"/>
        </w:rPr>
        <w:t>iente:</w:t>
      </w:r>
    </w:p>
    <w:p w:rsidR="0002543D" w:rsidRDefault="00661467">
      <w:pPr>
        <w:spacing w:before="240"/>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02543D" w:rsidRDefault="0066146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02543D" w:rsidRDefault="00661467">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02543D" w:rsidRDefault="0002543D">
      <w:pPr>
        <w:spacing w:line="360" w:lineRule="auto"/>
        <w:jc w:val="both"/>
        <w:rPr>
          <w:rFonts w:ascii="Palatino Linotype" w:eastAsia="Palatino Linotype" w:hAnsi="Palatino Linotype" w:cs="Palatino Linotype"/>
          <w:b/>
          <w:i/>
        </w:rPr>
      </w:pPr>
    </w:p>
    <w:p w:rsidR="0002543D" w:rsidRDefault="0066146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establecido en el precepto legal citado se advierte que el sobreseimiento del recurso de revisión procede en los </w:t>
      </w:r>
      <w:r>
        <w:rPr>
          <w:rFonts w:ascii="Palatino Linotype" w:eastAsia="Palatino Linotype" w:hAnsi="Palatino Linotype" w:cs="Palatino Linotype"/>
        </w:rPr>
        <w:t>siguientes casos:</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observa de lo anterior, un acto impugnado es mo</w:t>
      </w:r>
      <w:r>
        <w:rPr>
          <w:rFonts w:ascii="Palatino Linotype" w:eastAsia="Palatino Linotype" w:hAnsi="Palatino Linotype" w:cs="Palatino Linotype"/>
        </w:rPr>
        <w:t xml:space="preserve">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diversa de manera posterior y en ésta subsana las deficiencias que hubiera tenido, quedando satisfecho el derecho subjetivo accionado por la parte </w:t>
      </w:r>
      <w:r>
        <w:rPr>
          <w:rFonts w:ascii="Palatino Linotype" w:eastAsia="Palatino Linotype" w:hAnsi="Palatino Linotype" w:cs="Palatino Linotype"/>
          <w:b/>
        </w:rPr>
        <w:t>R</w:t>
      </w:r>
      <w:r>
        <w:rPr>
          <w:rFonts w:ascii="Palatino Linotype" w:eastAsia="Palatino Linotype" w:hAnsi="Palatino Linotype" w:cs="Palatino Linotype"/>
          <w:b/>
        </w:rPr>
        <w:t>ECURRENTE</w:t>
      </w:r>
      <w:r>
        <w:rPr>
          <w:rFonts w:ascii="Palatino Linotype" w:eastAsia="Palatino Linotype" w:hAnsi="Palatino Linotype" w:cs="Palatino Linotype"/>
        </w:rPr>
        <w:t>.</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w:t>
      </w:r>
      <w:r>
        <w:rPr>
          <w:rFonts w:ascii="Palatino Linotype" w:eastAsia="Palatino Linotype" w:hAnsi="Palatino Linotype" w:cs="Palatino Linotype"/>
        </w:rPr>
        <w:t xml:space="preserve"> a la información pública.</w:t>
      </w:r>
    </w:p>
    <w:p w:rsidR="0002543D" w:rsidRDefault="0066146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tenor, un acto impugnado queda sin efectos, cuando aun existiendo jurídicamente (esto es, que no se ha modificado, ni revocado) ya no genera ninguna consecuencia legal.</w:t>
      </w:r>
    </w:p>
    <w:p w:rsidR="0002543D" w:rsidRDefault="0002543D">
      <w:pPr>
        <w:spacing w:line="360" w:lineRule="auto"/>
        <w:jc w:val="both"/>
        <w:rPr>
          <w:rFonts w:ascii="Palatino Linotype" w:eastAsia="Palatino Linotype" w:hAnsi="Palatino Linotype" w:cs="Palatino Linotype"/>
        </w:rPr>
      </w:pPr>
    </w:p>
    <w:p w:rsidR="0002543D" w:rsidRDefault="0066146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tanto, en el presente caso queda sin materia toda</w:t>
      </w:r>
      <w:r>
        <w:rPr>
          <w:rFonts w:ascii="Palatino Linotype" w:eastAsia="Palatino Linotype" w:hAnsi="Palatino Linotype" w:cs="Palatino Linotype"/>
        </w:rPr>
        <w:t xml:space="preserve"> vez que a través del alcance al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modificó la respuesta al remitir los documentos en donde constan los recursos federales recibidos por el Ayuntamiento de Teoloyucan en el año 2021.</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manera, es evidente que con e</w:t>
      </w:r>
      <w:r>
        <w:rPr>
          <w:rFonts w:ascii="Palatino Linotype" w:eastAsia="Palatino Linotype" w:hAnsi="Palatino Linotype" w:cs="Palatino Linotype"/>
        </w:rPr>
        <w:t xml:space="preserve">llo queda sin materia el presente recurso de revisión, ya que la inconformidad sobre que las ligas que mandan nos </w:t>
      </w:r>
      <w:proofErr w:type="gramStart"/>
      <w:r>
        <w:rPr>
          <w:rFonts w:ascii="Palatino Linotype" w:eastAsia="Palatino Linotype" w:hAnsi="Palatino Linotype" w:cs="Palatino Linotype"/>
        </w:rPr>
        <w:t>lleva</w:t>
      </w:r>
      <w:proofErr w:type="gramEnd"/>
      <w:r>
        <w:rPr>
          <w:rFonts w:ascii="Palatino Linotype" w:eastAsia="Palatino Linotype" w:hAnsi="Palatino Linotype" w:cs="Palatino Linotype"/>
        </w:rPr>
        <w:t xml:space="preserve"> a una información que no está completa, se subsano con la información entregada en el SAIMEX a través del alcance al Recurso de Revisión</w:t>
      </w:r>
      <w:r>
        <w:rPr>
          <w:rFonts w:ascii="Palatino Linotype" w:eastAsia="Palatino Linotype" w:hAnsi="Palatino Linotype" w:cs="Palatino Linotype"/>
        </w:rPr>
        <w:t>.</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completa a la solicitud de acceso a la información pública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aunque ello haya sido de manera posterior a su respuesta inicial; dejando con ello sin materia el presente recurso de revisión, </w:t>
      </w:r>
      <w:r>
        <w:rPr>
          <w:rFonts w:ascii="Palatino Linotype" w:eastAsia="Palatino Linotype" w:hAnsi="Palatino Linotype" w:cs="Palatino Linotype"/>
        </w:rPr>
        <w:t xml:space="preserve">actualizándose entonces la causal prevista en la fracción III del artículo 192 de la Ley de la Materia vigente en la Entidad, antes transcrita. </w:t>
      </w:r>
    </w:p>
    <w:p w:rsidR="0002543D" w:rsidRDefault="006614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w:t>
      </w:r>
      <w:r>
        <w:rPr>
          <w:rFonts w:ascii="Palatino Linotype" w:eastAsia="Palatino Linotype" w:hAnsi="Palatino Linotype" w:cs="Palatino Linotype"/>
        </w:rPr>
        <w:t>er el fondo de la cuestión planteada, por presentarse causas que impiden a la autoridad referirse a lo sustancial de lo planteado por el recurrente, los efectos del sobreseimiento son los dar por concluido el recurso administrativo sin entrar al estudio de</w:t>
      </w:r>
      <w:r>
        <w:rPr>
          <w:rFonts w:ascii="Palatino Linotype" w:eastAsia="Palatino Linotype" w:hAnsi="Palatino Linotype" w:cs="Palatino Linotype"/>
        </w:rPr>
        <w:t xml:space="preserve"> fondo del asunto de que se trate; lo anterior con apoyo en el criterio del Poder Judicial de la Federación con rubro:</w:t>
      </w:r>
    </w:p>
    <w:p w:rsidR="0002543D" w:rsidRDefault="00661467">
      <w:pPr>
        <w:spacing w:before="240" w:after="24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SOBRESEIMIENTO, NO PERMITE ENTRAR AL ESTUDIO DE LAS CUESTIONES DE FONDO</w:t>
      </w:r>
    </w:p>
    <w:p w:rsidR="0002543D" w:rsidRDefault="00661467">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02543D" w:rsidRDefault="0066146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w:t>
      </w:r>
      <w:r>
        <w:rPr>
          <w:rFonts w:ascii="Palatino Linotype" w:eastAsia="Palatino Linotype" w:hAnsi="Palatino Linotype" w:cs="Palatino Linotype"/>
          <w:i/>
          <w:sz w:val="22"/>
          <w:szCs w:val="22"/>
        </w:rPr>
        <w:t>emostrar la inconstitucionalidad de los actos reclamados de las autoridades responsables, que constituyen el problema de fondo, si se decreta el sobreseimiento del juicio.” (Sic)</w:t>
      </w:r>
    </w:p>
    <w:p w:rsidR="0002543D" w:rsidRDefault="0002543D">
      <w:pPr>
        <w:ind w:left="567" w:right="567"/>
        <w:jc w:val="both"/>
        <w:rPr>
          <w:rFonts w:ascii="Palatino Linotype" w:eastAsia="Palatino Linotype" w:hAnsi="Palatino Linotype" w:cs="Palatino Linotype"/>
          <w:i/>
          <w:sz w:val="22"/>
          <w:szCs w:val="22"/>
        </w:rPr>
      </w:pPr>
    </w:p>
    <w:p w:rsidR="0002543D" w:rsidRDefault="0066146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w:t>
      </w:r>
      <w:r>
        <w:rPr>
          <w:rFonts w:ascii="Palatino Linotype" w:eastAsia="Palatino Linotype" w:hAnsi="Palatino Linotype" w:cs="Palatino Linotype"/>
        </w:rPr>
        <w:t>so de revisión no implica una limitación o negación a la justicia, según lo ha establecido el Poder Judicial Federal, en el criterio que es aplicable por analogía, con rubro:</w:t>
      </w:r>
    </w:p>
    <w:p w:rsidR="0002543D" w:rsidRDefault="00661467">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w:t>
      </w:r>
      <w:r>
        <w:rPr>
          <w:rFonts w:ascii="Palatino Linotype" w:eastAsia="Palatino Linotype" w:hAnsi="Palatino Linotype" w:cs="Palatino Linotype"/>
          <w:i/>
          <w:sz w:val="22"/>
          <w:szCs w:val="22"/>
        </w:rPr>
        <w:t xml:space="preserve"> JUSTICIA NI GENERA INSEGURIDAD JURÍDICA”</w:t>
      </w:r>
    </w:p>
    <w:p w:rsidR="0002543D" w:rsidRDefault="0066146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w:t>
      </w:r>
      <w:r>
        <w:rPr>
          <w:rFonts w:ascii="Palatino Linotype" w:eastAsia="Palatino Linotype" w:hAnsi="Palatino Linotype" w:cs="Palatino Linotype"/>
          <w:i/>
          <w:sz w:val="22"/>
          <w:szCs w:val="22"/>
        </w:rPr>
        <w:t>ver en el fondo todos los asuntos sometidos a su consideración en forma favorable a los intereses del solicitante, sino que se circunscribe a la posibilidad que tiene cualquier individuo de acudir ante los órganos jurisdiccionales, con su promoción (demand</w:t>
      </w:r>
      <w:r>
        <w:rPr>
          <w:rFonts w:ascii="Palatino Linotype" w:eastAsia="Palatino Linotype" w:hAnsi="Palatino Linotype" w:cs="Palatino Linotype"/>
          <w:i/>
          <w:sz w:val="22"/>
          <w:szCs w:val="22"/>
        </w:rPr>
        <w:t>a), a la cual debe darse el trámite acorde a las formalidades rectoras del procedimiento respectivo, dentro de las cuales el legislador previó las causales de improcedencia y sobreseimiento. Así, cuando el juzgador o tribunal de amparo se funda en una de e</w:t>
      </w:r>
      <w:r>
        <w:rPr>
          <w:rFonts w:ascii="Palatino Linotype" w:eastAsia="Palatino Linotype" w:hAnsi="Palatino Linotype" w:cs="Palatino Linotype"/>
          <w:i/>
          <w:sz w:val="22"/>
          <w:szCs w:val="22"/>
        </w:rPr>
        <w:t xml:space="preserve">llas para desechar o sobreseer en un juicio, imparte justicia, puesto que el acceso a ella no se ve menoscabado, sino que es efectivo, ni se deja en estado de indefensión al promovente, no obstante sea desfavorable, al no poder negar que se da respuesta a </w:t>
      </w:r>
      <w:r>
        <w:rPr>
          <w:rFonts w:ascii="Palatino Linotype" w:eastAsia="Palatino Linotype" w:hAnsi="Palatino Linotype" w:cs="Palatino Linotype"/>
          <w:i/>
          <w:sz w:val="22"/>
          <w:szCs w:val="22"/>
        </w:rPr>
        <w:t>la petición de amparo, con independencia de que no comparta el sentido de la resolución, dado que de esa forma quien imparte justicia se pronuncia sobre la acción, diciendo así el derecho y permitiendo que impere el orden jurídico.” (Sic)</w:t>
      </w:r>
    </w:p>
    <w:p w:rsidR="0002543D" w:rsidRDefault="0002543D">
      <w:pPr>
        <w:ind w:left="567" w:right="567"/>
        <w:jc w:val="both"/>
        <w:rPr>
          <w:rFonts w:ascii="Palatino Linotype" w:eastAsia="Palatino Linotype" w:hAnsi="Palatino Linotype" w:cs="Palatino Linotype"/>
          <w:i/>
          <w:sz w:val="22"/>
          <w:szCs w:val="22"/>
        </w:rPr>
      </w:pPr>
    </w:p>
    <w:p w:rsidR="0002543D" w:rsidRDefault="0066146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w:t>
      </w:r>
      <w:r>
        <w:rPr>
          <w:rFonts w:ascii="Palatino Linotype" w:eastAsia="Palatino Linotype" w:hAnsi="Palatino Linotype" w:cs="Palatino Linotype"/>
        </w:rPr>
        <w:t xml:space="preserve">nto en lo prescrito en los artículos 5 párrafos trigésimo, trigésimo primero y trigésimo segundo de la Constitución Política del Estado Libre y Soberano de México; 2, fracción II; 29, 36 fracciones I y II; 176, 178, 181, 185 y 186 fracción II de </w:t>
      </w:r>
      <w:r>
        <w:rPr>
          <w:rFonts w:ascii="Palatino Linotype" w:eastAsia="Palatino Linotype" w:hAnsi="Palatino Linotype" w:cs="Palatino Linotype"/>
        </w:rPr>
        <w:lastRenderedPageBreak/>
        <w:t xml:space="preserve">la Ley de </w:t>
      </w:r>
      <w:r>
        <w:rPr>
          <w:rFonts w:ascii="Palatino Linotype" w:eastAsia="Palatino Linotype" w:hAnsi="Palatino Linotype" w:cs="Palatino Linotype"/>
        </w:rPr>
        <w:t>Transparencia y Acceso a la Información Pública del Estado de México y Municipios, este Pleno:</w:t>
      </w:r>
    </w:p>
    <w:p w:rsidR="0002543D" w:rsidRDefault="00661467">
      <w:pPr>
        <w:spacing w:before="240" w:line="360" w:lineRule="auto"/>
        <w:ind w:left="360"/>
        <w:jc w:val="center"/>
        <w:rPr>
          <w:rFonts w:ascii="Palatino Linotype" w:eastAsia="Palatino Linotype" w:hAnsi="Palatino Linotype" w:cs="Palatino Linotype"/>
          <w:b/>
        </w:rPr>
      </w:pPr>
      <w:r>
        <w:rPr>
          <w:rFonts w:ascii="Palatino Linotype" w:eastAsia="Palatino Linotype" w:hAnsi="Palatino Linotype" w:cs="Palatino Linotype"/>
          <w:b/>
        </w:rPr>
        <w:t>III.R E S U E L V E:</w:t>
      </w: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Primero</w:t>
      </w:r>
      <w:r>
        <w:rPr>
          <w:rFonts w:ascii="Palatino Linotype" w:eastAsia="Palatino Linotype" w:hAnsi="Palatino Linotype" w:cs="Palatino Linotype"/>
          <w:highlight w:val="white"/>
        </w:rPr>
        <w:t xml:space="preserve">. Se </w:t>
      </w:r>
      <w:r>
        <w:rPr>
          <w:rFonts w:ascii="Palatino Linotype" w:eastAsia="Palatino Linotype" w:hAnsi="Palatino Linotype" w:cs="Palatino Linotype"/>
          <w:b/>
          <w:highlight w:val="white"/>
        </w:rPr>
        <w:t>SOBRESEE</w:t>
      </w:r>
      <w:r>
        <w:rPr>
          <w:rFonts w:ascii="Palatino Linotype" w:eastAsia="Palatino Linotype" w:hAnsi="Palatino Linotype" w:cs="Palatino Linotype"/>
          <w:highlight w:val="white"/>
        </w:rPr>
        <w:t xml:space="preserve"> el recurso de revisión número </w:t>
      </w:r>
      <w:r>
        <w:rPr>
          <w:rFonts w:ascii="Palatino Linotype" w:eastAsia="Palatino Linotype" w:hAnsi="Palatino Linotype" w:cs="Palatino Linotype"/>
          <w:b/>
          <w:highlight w:val="white"/>
        </w:rPr>
        <w:t>05829/INFOEM/IP/RR/2021</w:t>
      </w:r>
      <w:r>
        <w:rPr>
          <w:rFonts w:ascii="Palatino Linotype" w:eastAsia="Palatino Linotype" w:hAnsi="Palatino Linotype" w:cs="Palatino Linotype"/>
          <w:b/>
        </w:rPr>
        <w:t>,</w:t>
      </w:r>
      <w:r>
        <w:rPr>
          <w:rFonts w:ascii="Palatino Linotype" w:eastAsia="Palatino Linotype" w:hAnsi="Palatino Linotype" w:cs="Palatino Linotype"/>
        </w:rPr>
        <w:t xml:space="preserve"> porque al modificar la respuesta a la solicitud de información 0</w:t>
      </w:r>
      <w:r>
        <w:rPr>
          <w:rFonts w:ascii="Palatino Linotype" w:eastAsia="Palatino Linotype" w:hAnsi="Palatino Linotype" w:cs="Palatino Linotype"/>
        </w:rPr>
        <w:t>0564/TEOLOYU/IP/2021, el recurso de revisión quedó sin materia en términos del Considerando Tercero de la presente resolución.</w:t>
      </w:r>
    </w:p>
    <w:p w:rsidR="0002543D" w:rsidRDefault="0002543D">
      <w:pPr>
        <w:spacing w:line="360" w:lineRule="auto"/>
        <w:jc w:val="both"/>
        <w:rPr>
          <w:rFonts w:ascii="Palatino Linotype" w:eastAsia="Palatino Linotype" w:hAnsi="Palatino Linotype" w:cs="Palatino Linotype"/>
          <w:b/>
          <w:sz w:val="20"/>
          <w:szCs w:val="20"/>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Titular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su co</w:t>
      </w:r>
      <w:r>
        <w:rPr>
          <w:rFonts w:ascii="Palatino Linotype" w:eastAsia="Palatino Linotype" w:hAnsi="Palatino Linotype" w:cs="Palatino Linotype"/>
          <w:highlight w:val="white"/>
        </w:rPr>
        <w:t xml:space="preserve">nocimiento, lo anterior en términos del artículo 189 de la </w:t>
      </w:r>
      <w:r>
        <w:rPr>
          <w:rFonts w:ascii="Palatino Linotype" w:eastAsia="Palatino Linotype" w:hAnsi="Palatino Linotype" w:cs="Palatino Linotype"/>
        </w:rPr>
        <w:t>Ley de Transparencia y Acceso a la Información Pública del Estado de México y Municipios.</w:t>
      </w:r>
    </w:p>
    <w:p w:rsidR="0002543D" w:rsidRDefault="0002543D">
      <w:pPr>
        <w:spacing w:line="360" w:lineRule="auto"/>
        <w:jc w:val="both"/>
        <w:rPr>
          <w:rFonts w:ascii="Palatino Linotype" w:eastAsia="Palatino Linotype" w:hAnsi="Palatino Linotype" w:cs="Palatino Linotype"/>
          <w:highlight w:val="white"/>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a través </w:t>
      </w:r>
      <w:r>
        <w:rPr>
          <w:rFonts w:ascii="Palatino Linotype" w:eastAsia="Palatino Linotype" w:hAnsi="Palatino Linotype" w:cs="Palatino Linotype"/>
        </w:rPr>
        <w:t xml:space="preserve">del Sistema de Acceso a la Información Mexiquense, 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los archivos electrónicos</w:t>
      </w:r>
      <w:r>
        <w:rPr>
          <w:rFonts w:ascii="Palatino Linotype" w:eastAsia="Palatino Linotype" w:hAnsi="Palatino Linotype" w:cs="Palatino Linotype"/>
          <w:b/>
        </w:rPr>
        <w:t xml:space="preserve"> </w:t>
      </w:r>
      <w:r>
        <w:rPr>
          <w:rFonts w:ascii="Palatino Linotype" w:eastAsia="Palatino Linotype" w:hAnsi="Palatino Linotype" w:cs="Palatino Linotype"/>
        </w:rPr>
        <w:t>“</w:t>
      </w:r>
      <w:hyperlink r:id="rId40">
        <w:r>
          <w:rPr>
            <w:rFonts w:ascii="Palatino Linotype" w:eastAsia="Palatino Linotype" w:hAnsi="Palatino Linotype" w:cs="Palatino Linotype"/>
          </w:rPr>
          <w:t>ingresos 1.pdf</w:t>
        </w:r>
      </w:hyperlink>
      <w:r>
        <w:rPr>
          <w:rFonts w:ascii="Palatino Linotype" w:eastAsia="Palatino Linotype" w:hAnsi="Palatino Linotype" w:cs="Palatino Linotype"/>
        </w:rPr>
        <w:t>” y “</w:t>
      </w:r>
      <w:hyperlink r:id="rId41">
        <w:r>
          <w:rPr>
            <w:rFonts w:ascii="Palatino Linotype" w:eastAsia="Palatino Linotype" w:hAnsi="Palatino Linotype" w:cs="Palatino Linotype"/>
          </w:rPr>
          <w:t>ingresos 3.pdf</w:t>
        </w:r>
      </w:hyperlink>
      <w:r>
        <w:rPr>
          <w:rFonts w:ascii="Palatino Linotype" w:eastAsia="Palatino Linotype" w:hAnsi="Palatino Linotype" w:cs="Palatino Linotype"/>
        </w:rPr>
        <w:t>”, remitidos por</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SAIMEX, para los efectos legales conducentes. </w:t>
      </w:r>
    </w:p>
    <w:p w:rsidR="0002543D" w:rsidRDefault="0002543D">
      <w:pPr>
        <w:spacing w:line="360" w:lineRule="auto"/>
        <w:jc w:val="both"/>
        <w:rPr>
          <w:rFonts w:ascii="Palatino Linotype" w:eastAsia="Palatino Linotype" w:hAnsi="Palatino Linotype" w:cs="Palatino Linotype"/>
          <w:b/>
        </w:rPr>
      </w:pPr>
    </w:p>
    <w:p w:rsidR="0002543D" w:rsidRDefault="006614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a través </w:t>
      </w:r>
      <w:r>
        <w:rPr>
          <w:rFonts w:ascii="Palatino Linotype" w:eastAsia="Palatino Linotype" w:hAnsi="Palatino Linotype" w:cs="Palatino Linotype"/>
        </w:rPr>
        <w:t xml:space="preserve">del Sistema de Acceso a la Información Mexiquense,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w:t>
      </w:r>
      <w:r>
        <w:rPr>
          <w:rFonts w:ascii="Palatino Linotype" w:eastAsia="Palatino Linotype" w:hAnsi="Palatino Linotype" w:cs="Palatino Linotype"/>
        </w:rPr>
        <w:t>tículo 196 de la Ley de Transparencia y Acceso a la Información Pública del Estado de México y Municipios, podrá impugnarla en la vía Juicio de Amparo en los términos de las leyes aplicables.</w:t>
      </w:r>
    </w:p>
    <w:p w:rsidR="0002543D" w:rsidRDefault="0002543D">
      <w:pPr>
        <w:spacing w:line="360" w:lineRule="auto"/>
        <w:jc w:val="both"/>
        <w:rPr>
          <w:rFonts w:ascii="Palatino Linotype" w:eastAsia="Palatino Linotype" w:hAnsi="Palatino Linotype" w:cs="Palatino Linotype"/>
        </w:rPr>
      </w:pPr>
    </w:p>
    <w:p w:rsidR="0002543D" w:rsidRDefault="00661467">
      <w:pPr>
        <w:spacing w:line="360" w:lineRule="auto"/>
        <w:ind w:right="49"/>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rPr>
        <w:lastRenderedPageBreak/>
        <w:t>ASÍ LO RESUELVE, POR UNANIMIDAD DE VOTOS, EL PLENO DEL INSTITUT</w:t>
      </w:r>
      <w:r>
        <w:rPr>
          <w:rFonts w:ascii="Palatino Linotype" w:eastAsia="Palatino Linotype" w:hAnsi="Palatino Linotype" w:cs="Palatino Linotype"/>
        </w:rPr>
        <w:t>O DE TRANSPARENCIA, ACCESO A LA INFORMACIÓN PÚBLICA Y PROTECCIÓN DE DATOS PERSONALES DEL ESTADO DE MÉXICO Y MUNICIPIOS, CONFORMADO POR LOS COMISIONADOS JOSÉ MARTÍNEZ VILCHIS, MARÍA DEL ROSARIO MEJÍA AYALA, SHARON CRISTINA MORALES MARTÍNEZ (AUSENCIA JUSTIFI</w:t>
      </w:r>
      <w:r>
        <w:rPr>
          <w:rFonts w:ascii="Palatino Linotype" w:eastAsia="Palatino Linotype" w:hAnsi="Palatino Linotype" w:cs="Palatino Linotype"/>
        </w:rPr>
        <w:t>CADA), LUIS GUSTAVO PARRA NORIEGA Y GUADALUPE RAMÍREZ PEÑA; EN LA QUINTA SESIÓN ORDINARIA CELEBRADA EL DIEZ DE FEBRERO DEL DOS MIL VEINTIDÓS, ANTE EL SECRETARIO TÉCNICO DEL PLENO ALEXIS TAPIA RAMÍREZ.</w:t>
      </w:r>
    </w:p>
    <w:p w:rsidR="0002543D" w:rsidRDefault="0002543D">
      <w:pPr>
        <w:spacing w:line="360" w:lineRule="auto"/>
        <w:jc w:val="both"/>
        <w:rPr>
          <w:rFonts w:ascii="Palatino Linotype" w:eastAsia="Palatino Linotype" w:hAnsi="Palatino Linotype" w:cs="Palatino Linotype"/>
        </w:rPr>
      </w:pPr>
    </w:p>
    <w:p w:rsidR="0002543D" w:rsidRDefault="0002543D">
      <w:pPr>
        <w:jc w:val="both"/>
        <w:rPr>
          <w:rFonts w:ascii="Palatino Linotype" w:eastAsia="Palatino Linotype" w:hAnsi="Palatino Linotype" w:cs="Palatino Linotype"/>
          <w:sz w:val="20"/>
          <w:szCs w:val="20"/>
        </w:rPr>
      </w:pPr>
    </w:p>
    <w:sectPr w:rsidR="0002543D">
      <w:headerReference w:type="default" r:id="rId42"/>
      <w:footerReference w:type="default" r:id="rId43"/>
      <w:headerReference w:type="first" r:id="rId44"/>
      <w:footerReference w:type="first" r:id="rId45"/>
      <w:pgSz w:w="12240" w:h="15840"/>
      <w:pgMar w:top="1417" w:right="1701" w:bottom="1276"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61467">
      <w:r>
        <w:separator/>
      </w:r>
    </w:p>
  </w:endnote>
  <w:endnote w:type="continuationSeparator" w:id="0">
    <w:p w:rsidR="00000000" w:rsidRDefault="00661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rebuchet MS"/>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43D" w:rsidRDefault="0066146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DB6D83">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DB6D83">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rsidR="0002543D" w:rsidRDefault="0002543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43D" w:rsidRDefault="0066146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DB6D83">
      <w:rPr>
        <w:rFonts w:ascii="Palatino Linotype" w:eastAsia="Palatino Linotype" w:hAnsi="Palatino Linotype" w:cs="Palatino Linotype"/>
        <w:b/>
        <w:color w:val="000000"/>
        <w:sz w:val="20"/>
        <w:szCs w:val="20"/>
      </w:rPr>
      <w:fldChar w:fldCharType="separate"/>
    </w:r>
    <w:r w:rsidR="003E54C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DB6D83">
      <w:rPr>
        <w:rFonts w:ascii="Palatino Linotype" w:eastAsia="Palatino Linotype" w:hAnsi="Palatino Linotype" w:cs="Palatino Linotype"/>
        <w:b/>
        <w:color w:val="000000"/>
        <w:sz w:val="20"/>
        <w:szCs w:val="20"/>
      </w:rPr>
      <w:fldChar w:fldCharType="separate"/>
    </w:r>
    <w:r w:rsidR="003E54C4">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rsidR="0002543D" w:rsidRDefault="0002543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61467">
      <w:r>
        <w:separator/>
      </w:r>
    </w:p>
  </w:footnote>
  <w:footnote w:type="continuationSeparator" w:id="0">
    <w:p w:rsidR="00000000" w:rsidRDefault="00661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43D" w:rsidRDefault="00661467">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-714374</wp:posOffset>
          </wp:positionH>
          <wp:positionV relativeFrom="paragraph">
            <wp:posOffset>-267334</wp:posOffset>
          </wp:positionV>
          <wp:extent cx="7635600" cy="9943200"/>
          <wp:effectExtent l="0" t="0" r="0" b="0"/>
          <wp:wrapNone/>
          <wp:docPr id="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02543D">
      <w:tc>
        <w:tcPr>
          <w:tcW w:w="2551" w:type="dxa"/>
          <w:vAlign w:val="center"/>
        </w:tcPr>
        <w:p w:rsidR="0002543D" w:rsidRDefault="006614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02543D" w:rsidRDefault="0066146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05829/INFOEM/IP/RR/2021.</w:t>
          </w:r>
        </w:p>
      </w:tc>
    </w:tr>
    <w:tr w:rsidR="0002543D">
      <w:trPr>
        <w:trHeight w:val="228"/>
      </w:trPr>
      <w:tc>
        <w:tcPr>
          <w:tcW w:w="2551" w:type="dxa"/>
          <w:vAlign w:val="center"/>
        </w:tcPr>
        <w:p w:rsidR="0002543D" w:rsidRDefault="006614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02543D" w:rsidRDefault="0066146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Teoloyucan.</w:t>
          </w:r>
        </w:p>
      </w:tc>
    </w:tr>
    <w:tr w:rsidR="0002543D">
      <w:tc>
        <w:tcPr>
          <w:tcW w:w="2551" w:type="dxa"/>
          <w:vAlign w:val="center"/>
        </w:tcPr>
        <w:p w:rsidR="0002543D" w:rsidRDefault="006614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02543D" w:rsidRDefault="0066146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2543D" w:rsidRDefault="0002543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43D" w:rsidRDefault="00661467">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-638174</wp:posOffset>
          </wp:positionH>
          <wp:positionV relativeFrom="paragraph">
            <wp:posOffset>-172084</wp:posOffset>
          </wp:positionV>
          <wp:extent cx="7635600" cy="9943200"/>
          <wp:effectExtent l="0" t="0" r="0" b="0"/>
          <wp:wrapNone/>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
      <w:tblW w:w="5670" w:type="dxa"/>
      <w:tblInd w:w="3119" w:type="dxa"/>
      <w:tblLayout w:type="fixed"/>
      <w:tblLook w:val="0400" w:firstRow="0" w:lastRow="0" w:firstColumn="0" w:lastColumn="0" w:noHBand="0" w:noVBand="1"/>
    </w:tblPr>
    <w:tblGrid>
      <w:gridCol w:w="2551"/>
      <w:gridCol w:w="3119"/>
    </w:tblGrid>
    <w:tr w:rsidR="0002543D">
      <w:tc>
        <w:tcPr>
          <w:tcW w:w="2551" w:type="dxa"/>
          <w:vAlign w:val="center"/>
        </w:tcPr>
        <w:p w:rsidR="0002543D" w:rsidRDefault="006614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02543D" w:rsidRDefault="0066146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05829/INFOEM/IP/RR/2021.</w:t>
          </w:r>
        </w:p>
      </w:tc>
    </w:tr>
    <w:tr w:rsidR="0002543D">
      <w:tc>
        <w:tcPr>
          <w:tcW w:w="2551" w:type="dxa"/>
          <w:vAlign w:val="center"/>
        </w:tcPr>
        <w:p w:rsidR="0002543D" w:rsidRDefault="0066146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02543D" w:rsidRDefault="0002543D">
          <w:pPr>
            <w:jc w:val="both"/>
            <w:rPr>
              <w:rFonts w:ascii="Palatino Linotype" w:eastAsia="Palatino Linotype" w:hAnsi="Palatino Linotype" w:cs="Palatino Linotype"/>
              <w:b/>
              <w:sz w:val="22"/>
              <w:szCs w:val="22"/>
            </w:rPr>
          </w:pPr>
        </w:p>
      </w:tc>
    </w:tr>
    <w:tr w:rsidR="0002543D">
      <w:trPr>
        <w:trHeight w:val="228"/>
      </w:trPr>
      <w:tc>
        <w:tcPr>
          <w:tcW w:w="2551" w:type="dxa"/>
          <w:vAlign w:val="center"/>
        </w:tcPr>
        <w:p w:rsidR="0002543D" w:rsidRDefault="006614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02543D" w:rsidRDefault="0066146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Teoloyucan.</w:t>
          </w:r>
        </w:p>
      </w:tc>
    </w:tr>
    <w:tr w:rsidR="0002543D">
      <w:tc>
        <w:tcPr>
          <w:tcW w:w="2551" w:type="dxa"/>
          <w:vAlign w:val="center"/>
        </w:tcPr>
        <w:p w:rsidR="0002543D" w:rsidRDefault="006614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02543D" w:rsidRDefault="0066146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2543D" w:rsidRDefault="0002543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8D7129"/>
    <w:multiLevelType w:val="multilevel"/>
    <w:tmpl w:val="FF483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4C6AE2"/>
    <w:multiLevelType w:val="multilevel"/>
    <w:tmpl w:val="3712F4C8"/>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43D"/>
    <w:rsid w:val="0002543D"/>
    <w:rsid w:val="001A3C2A"/>
    <w:rsid w:val="00332B86"/>
    <w:rsid w:val="003E54C4"/>
    <w:rsid w:val="00661467"/>
    <w:rsid w:val="008E68F2"/>
    <w:rsid w:val="00A23B22"/>
    <w:rsid w:val="00D97CED"/>
    <w:rsid w:val="00DB6D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8C0A0B-99D7-4196-B2F7-B3B2B800D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A13C6C"/>
    <w:pPr>
      <w:autoSpaceDE w:val="0"/>
      <w:autoSpaceDN w:val="0"/>
      <w:adjustRightInd w:val="0"/>
    </w:pPr>
    <w:rPr>
      <w:rFonts w:ascii="Arial" w:hAnsi="Arial" w:cs="Arial"/>
      <w:color w:val="000000"/>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UnresolvedMention">
    <w:name w:val="Unresolved Mention"/>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300152.page" TargetMode="Externa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0.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265782.page" TargetMode="External"/><Relationship Id="rId29" Type="http://schemas.openxmlformats.org/officeDocument/2006/relationships/hyperlink" Target="https://www.cefp.gob.mx/publicaciones/documento/2014/noviembre/cefp020201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oloyucan.gob.mx/presupuestos/2021" TargetMode="Externa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image" Target="media/image14.png"/><Relationship Id="rId40" Type="http://schemas.openxmlformats.org/officeDocument/2006/relationships/hyperlink" Target="https://www.saimex.org.mx/saimex/solicitud/downloadAttach/1300154.page"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1300154.page" TargetMode="External"/><Relationship Id="rId23" Type="http://schemas.openxmlformats.org/officeDocument/2006/relationships/hyperlink" Target="https://www.saimex.org.mx/saimex/solicitud/downloadAttach/1300151.page" TargetMode="External"/><Relationship Id="rId28"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hyperlink" Target="https://www.saimex.org.mx/saimex/solicitud/downloadAttach/1300150.page" TargetMode="External"/><Relationship Id="rId19" Type="http://schemas.openxmlformats.org/officeDocument/2006/relationships/hyperlink" Target="https://www.saimex.org.mx/saimex/solicitud/downloadAttach/1300151.page" TargetMode="External"/><Relationship Id="rId31" Type="http://schemas.openxmlformats.org/officeDocument/2006/relationships/image" Target="media/image7.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265783.page" TargetMode="External"/><Relationship Id="rId14" Type="http://schemas.openxmlformats.org/officeDocument/2006/relationships/hyperlink" Target="https://www.saimex.org.mx/saimex/solicitud/downloadAttach/1300153.page" TargetMode="External"/><Relationship Id="rId22" Type="http://schemas.openxmlformats.org/officeDocument/2006/relationships/hyperlink" Target="https://www.saimex.org.mx/saimex/solicitud/downloadAttach/1300151.page" TargetMode="External"/><Relationship Id="rId27" Type="http://schemas.openxmlformats.org/officeDocument/2006/relationships/hyperlink" Target="https://www.saimex.org.mx/saimex/solicitud/downloadAttach/1300151.page" TargetMode="External"/><Relationship Id="rId30" Type="http://schemas.openxmlformats.org/officeDocument/2006/relationships/hyperlink" Target="https://www.ppef.hacienda.gob.mx/es/PPEF2021/tomoI-III" TargetMode="External"/><Relationship Id="rId35" Type="http://schemas.openxmlformats.org/officeDocument/2006/relationships/image" Target="media/image12.png"/><Relationship Id="rId43" Type="http://schemas.openxmlformats.org/officeDocument/2006/relationships/footer" Target="footer1.xml"/><Relationship Id="rId8" Type="http://schemas.openxmlformats.org/officeDocument/2006/relationships/hyperlink" Target="https://www.saimex.org.mx/saimex/solicitud/downloadAttach/1265782.page" TargetMode="External"/><Relationship Id="rId3" Type="http://schemas.openxmlformats.org/officeDocument/2006/relationships/styles" Target="styles.xml"/><Relationship Id="rId12" Type="http://schemas.openxmlformats.org/officeDocument/2006/relationships/hyperlink" Target="https://www.saimex.org.mx/saimex/solicitud/downloadAttach/1300151.page" TargetMode="External"/><Relationship Id="rId17" Type="http://schemas.openxmlformats.org/officeDocument/2006/relationships/image" Target="media/image11.png"/><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hyperlink" Target="https://www.saimex.org.mx/saimex/solicitud/downloadAttach/1300154.page" TargetMode="External"/><Relationship Id="rId41" Type="http://schemas.openxmlformats.org/officeDocument/2006/relationships/hyperlink" Target="https://www.saimex.org.mx/saimex/solicitud/downloadAttach/1300151.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vC2Mf642qkXq6+E3k5gq3Ov5pA==">AMUW2mWF1bmFD4i7hki2ml7PTBPPvy6qrGjNAJXsuuYUHku8fTMSOpeqvlzxwyjKAM+pURdEw7ATwKk0MRXLBlzC5CdthrvNsUm/dkeQxy3DUPXFPnZYrJ09aD8rYDIoLP3WNmSPT4oY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30</Pages>
  <Words>6633</Words>
  <Characters>36487</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 infoem</cp:lastModifiedBy>
  <cp:revision>4</cp:revision>
  <dcterms:created xsi:type="dcterms:W3CDTF">2022-02-02T05:05:00Z</dcterms:created>
  <dcterms:modified xsi:type="dcterms:W3CDTF">2022-02-02T19:11:00Z</dcterms:modified>
</cp:coreProperties>
</file>