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1020DE" w14:textId="5904F771" w:rsidR="006168E4" w:rsidRPr="00523CF0" w:rsidRDefault="006168E4" w:rsidP="00AE3CC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3442F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9B2719">
        <w:rPr>
          <w:rFonts w:ascii="Palatino Linotype" w:eastAsia="Times New Roman" w:hAnsi="Palatino Linotype" w:cs="Arial"/>
          <w:color w:val="000000"/>
          <w:sz w:val="24"/>
          <w:szCs w:val="24"/>
          <w:lang w:eastAsia="es-MX"/>
        </w:rPr>
        <w:t xml:space="preserve">México, a </w:t>
      </w:r>
      <w:r w:rsidR="00C511A9">
        <w:rPr>
          <w:rFonts w:ascii="Palatino Linotype" w:eastAsia="Times New Roman" w:hAnsi="Palatino Linotype" w:cs="Arial"/>
          <w:color w:val="000000"/>
          <w:sz w:val="24"/>
          <w:szCs w:val="24"/>
          <w:lang w:eastAsia="es-MX"/>
        </w:rPr>
        <w:t>diez de febrero</w:t>
      </w:r>
      <w:r w:rsidR="00AC0F6C">
        <w:rPr>
          <w:rFonts w:ascii="Palatino Linotype" w:eastAsia="Times New Roman" w:hAnsi="Palatino Linotype" w:cs="Arial"/>
          <w:color w:val="000000"/>
          <w:sz w:val="24"/>
          <w:szCs w:val="24"/>
          <w:lang w:eastAsia="es-MX"/>
        </w:rPr>
        <w:t xml:space="preserve"> de dos mil </w:t>
      </w:r>
      <w:r w:rsidR="00AC0F6C" w:rsidRPr="00EA63BB">
        <w:rPr>
          <w:rFonts w:ascii="Palatino Linotype" w:eastAsia="Times New Roman" w:hAnsi="Palatino Linotype" w:cs="Arial"/>
          <w:color w:val="000000"/>
          <w:sz w:val="24"/>
          <w:szCs w:val="24"/>
          <w:lang w:eastAsia="es-MX"/>
        </w:rPr>
        <w:t>veintidós.</w:t>
      </w:r>
      <w:r w:rsidR="00AC0F6C">
        <w:rPr>
          <w:rFonts w:ascii="Palatino Linotype" w:eastAsia="Times New Roman" w:hAnsi="Palatino Linotype" w:cs="Arial"/>
          <w:color w:val="000000"/>
          <w:sz w:val="24"/>
          <w:szCs w:val="24"/>
          <w:lang w:eastAsia="es-MX"/>
        </w:rPr>
        <w:t xml:space="preserve"> </w:t>
      </w:r>
      <w:r w:rsidR="00825BA0">
        <w:rPr>
          <w:rFonts w:ascii="Palatino Linotype" w:eastAsia="Times New Roman" w:hAnsi="Palatino Linotype" w:cs="Arial"/>
          <w:color w:val="000000"/>
          <w:sz w:val="24"/>
          <w:szCs w:val="24"/>
          <w:lang w:eastAsia="es-MX"/>
        </w:rPr>
        <w:t xml:space="preserve"> </w:t>
      </w:r>
      <w:r w:rsidR="00A84F28">
        <w:rPr>
          <w:rFonts w:ascii="Palatino Linotype" w:eastAsia="Times New Roman" w:hAnsi="Palatino Linotype" w:cs="Arial"/>
          <w:color w:val="000000"/>
          <w:sz w:val="24"/>
          <w:szCs w:val="24"/>
          <w:lang w:eastAsia="es-MX"/>
        </w:rPr>
        <w:t xml:space="preserve"> </w:t>
      </w:r>
      <w:r w:rsidR="00E72DA8">
        <w:rPr>
          <w:rFonts w:ascii="Palatino Linotype" w:eastAsia="Times New Roman" w:hAnsi="Palatino Linotype" w:cs="Arial"/>
          <w:color w:val="000000"/>
          <w:sz w:val="24"/>
          <w:szCs w:val="24"/>
          <w:lang w:eastAsia="es-MX"/>
        </w:rPr>
        <w:t xml:space="preserve"> </w:t>
      </w:r>
      <w:r w:rsidR="007E29AA">
        <w:rPr>
          <w:rFonts w:ascii="Palatino Linotype" w:eastAsia="Times New Roman" w:hAnsi="Palatino Linotype" w:cs="Arial"/>
          <w:color w:val="000000"/>
          <w:sz w:val="24"/>
          <w:szCs w:val="24"/>
          <w:lang w:eastAsia="es-MX"/>
        </w:rPr>
        <w:t xml:space="preserve"> </w:t>
      </w:r>
      <w:r w:rsidR="008E4C73">
        <w:rPr>
          <w:rFonts w:ascii="Palatino Linotype" w:eastAsia="Times New Roman" w:hAnsi="Palatino Linotype" w:cs="Arial"/>
          <w:color w:val="000000"/>
          <w:sz w:val="24"/>
          <w:szCs w:val="24"/>
          <w:lang w:eastAsia="es-MX"/>
        </w:rPr>
        <w:t xml:space="preserve"> </w:t>
      </w:r>
      <w:r w:rsidR="0017533E">
        <w:rPr>
          <w:rFonts w:ascii="Palatino Linotype" w:eastAsia="Times New Roman" w:hAnsi="Palatino Linotype" w:cs="Arial"/>
          <w:color w:val="000000"/>
          <w:sz w:val="24"/>
          <w:szCs w:val="24"/>
          <w:lang w:eastAsia="es-MX"/>
        </w:rPr>
        <w:t xml:space="preserve"> </w:t>
      </w:r>
    </w:p>
    <w:p w14:paraId="3DAFF39F" w14:textId="6E742D34" w:rsidR="00AC0F6C" w:rsidRPr="00AC0F6C" w:rsidRDefault="00955DA9" w:rsidP="0056513A">
      <w:pPr>
        <w:tabs>
          <w:tab w:val="left" w:pos="1701"/>
        </w:tabs>
        <w:spacing w:before="240" w:line="360" w:lineRule="auto"/>
        <w:jc w:val="both"/>
        <w:rPr>
          <w:rFonts w:ascii="Palatino Linotype" w:hAnsi="Palatino Linotype" w:cs="Arial"/>
          <w:sz w:val="24"/>
          <w:szCs w:val="24"/>
        </w:rPr>
      </w:pPr>
      <w:r w:rsidRPr="000E4742">
        <w:rPr>
          <w:rFonts w:ascii="Palatino Linotype" w:eastAsia="Times New Roman" w:hAnsi="Palatino Linotype" w:cs="Arial"/>
          <w:color w:val="000000"/>
          <w:sz w:val="24"/>
          <w:szCs w:val="24"/>
          <w:lang w:eastAsia="es-MX"/>
        </w:rPr>
        <w:t xml:space="preserve"> </w:t>
      </w:r>
      <w:r w:rsidR="0056513A" w:rsidRPr="00F403EA">
        <w:rPr>
          <w:rFonts w:ascii="Palatino Linotype" w:hAnsi="Palatino Linotype" w:cs="Arial"/>
          <w:b/>
          <w:sz w:val="24"/>
        </w:rPr>
        <w:t>VISTO</w:t>
      </w:r>
      <w:r w:rsidR="0056513A" w:rsidRPr="00F403EA">
        <w:rPr>
          <w:rFonts w:ascii="Palatino Linotype" w:hAnsi="Palatino Linotype" w:cs="Arial"/>
          <w:sz w:val="24"/>
        </w:rPr>
        <w:t xml:space="preserve"> el expediente electrónico formado con motivo del recurso de revisión número </w:t>
      </w:r>
      <w:r w:rsidR="00AC0F6C">
        <w:rPr>
          <w:rFonts w:ascii="Palatino Linotype" w:hAnsi="Palatino Linotype" w:cs="Arial"/>
          <w:b/>
          <w:bCs/>
          <w:sz w:val="24"/>
          <w:lang w:eastAsia="es-MX"/>
        </w:rPr>
        <w:t>06215</w:t>
      </w:r>
      <w:r w:rsidR="00E72DA8">
        <w:rPr>
          <w:rFonts w:ascii="Palatino Linotype" w:hAnsi="Palatino Linotype" w:cs="Arial"/>
          <w:b/>
          <w:bCs/>
          <w:sz w:val="24"/>
          <w:lang w:eastAsia="es-MX"/>
        </w:rPr>
        <w:t>/INFOEM/IP/RR/2021</w:t>
      </w:r>
      <w:r w:rsidR="0056513A" w:rsidRPr="00F403EA">
        <w:rPr>
          <w:rFonts w:ascii="Palatino Linotype" w:hAnsi="Palatino Linotype" w:cs="Arial"/>
          <w:sz w:val="24"/>
        </w:rPr>
        <w:t xml:space="preserve">, </w:t>
      </w:r>
      <w:r w:rsidR="0056513A" w:rsidRPr="00F403EA">
        <w:rPr>
          <w:rFonts w:ascii="Palatino Linotype" w:hAnsi="Palatino Linotype" w:cs="Arial"/>
          <w:sz w:val="24"/>
          <w:szCs w:val="24"/>
        </w:rPr>
        <w:t xml:space="preserve">interpuesto </w:t>
      </w:r>
      <w:r w:rsidR="00A84F28">
        <w:rPr>
          <w:rFonts w:ascii="Palatino Linotype" w:hAnsi="Palatino Linotype" w:cs="Arial"/>
          <w:sz w:val="24"/>
          <w:szCs w:val="24"/>
        </w:rPr>
        <w:t xml:space="preserve">por </w:t>
      </w:r>
      <w:r w:rsidR="00AC0F6C">
        <w:rPr>
          <w:rFonts w:ascii="Palatino Linotype" w:hAnsi="Palatino Linotype" w:cs="Arial"/>
          <w:sz w:val="24"/>
          <w:szCs w:val="24"/>
        </w:rPr>
        <w:t xml:space="preserve">el </w:t>
      </w:r>
      <w:r w:rsidR="00AC0F6C">
        <w:rPr>
          <w:rFonts w:ascii="Palatino Linotype" w:hAnsi="Palatino Linotype" w:cs="Arial"/>
          <w:b/>
          <w:sz w:val="24"/>
          <w:szCs w:val="24"/>
        </w:rPr>
        <w:t xml:space="preserve">C. </w:t>
      </w:r>
      <w:r w:rsidR="00745374">
        <w:rPr>
          <w:rFonts w:ascii="Palatino Linotype" w:hAnsi="Palatino Linotype" w:cs="Arial"/>
          <w:b/>
          <w:sz w:val="24"/>
          <w:szCs w:val="24"/>
        </w:rPr>
        <w:t>xxxxxxxx</w:t>
      </w:r>
      <w:bookmarkStart w:id="0" w:name="_GoBack"/>
      <w:bookmarkEnd w:id="0"/>
      <w:r w:rsidR="00AC0F6C">
        <w:rPr>
          <w:rFonts w:ascii="Palatino Linotype" w:hAnsi="Palatino Linotype" w:cs="Arial"/>
          <w:b/>
          <w:sz w:val="24"/>
          <w:szCs w:val="24"/>
        </w:rPr>
        <w:t xml:space="preserve">, </w:t>
      </w:r>
      <w:r w:rsidR="00AC0F6C">
        <w:rPr>
          <w:rFonts w:ascii="Palatino Linotype" w:hAnsi="Palatino Linotype" w:cs="Arial"/>
          <w:sz w:val="24"/>
          <w:szCs w:val="24"/>
        </w:rPr>
        <w:t xml:space="preserve">en contra de la respuesta del </w:t>
      </w:r>
      <w:r w:rsidR="00AC0F6C">
        <w:rPr>
          <w:rFonts w:ascii="Palatino Linotype" w:hAnsi="Palatino Linotype" w:cs="Arial"/>
          <w:b/>
          <w:sz w:val="24"/>
          <w:szCs w:val="24"/>
        </w:rPr>
        <w:t xml:space="preserve">Ayuntamiento de Coacalco de Berriozábal, </w:t>
      </w:r>
      <w:r w:rsidR="00AC0F6C">
        <w:rPr>
          <w:rFonts w:ascii="Palatino Linotype" w:hAnsi="Palatino Linotype" w:cs="Arial"/>
          <w:sz w:val="24"/>
          <w:szCs w:val="24"/>
        </w:rPr>
        <w:t xml:space="preserve">en lo subsecuente </w:t>
      </w:r>
      <w:r w:rsidR="00AC0F6C">
        <w:rPr>
          <w:rFonts w:ascii="Palatino Linotype" w:hAnsi="Palatino Linotype" w:cs="Arial"/>
          <w:b/>
          <w:sz w:val="24"/>
          <w:szCs w:val="24"/>
        </w:rPr>
        <w:t xml:space="preserve">El Sujeto Obligado, </w:t>
      </w:r>
      <w:r w:rsidR="00AC0F6C">
        <w:rPr>
          <w:rFonts w:ascii="Palatino Linotype" w:hAnsi="Palatino Linotype" w:cs="Arial"/>
          <w:sz w:val="24"/>
          <w:szCs w:val="24"/>
        </w:rPr>
        <w:t xml:space="preserve">se procede a dictar la presente resolución. </w:t>
      </w:r>
    </w:p>
    <w:p w14:paraId="2104E324" w14:textId="77777777" w:rsidR="0056513A" w:rsidRPr="0056513A" w:rsidRDefault="0056513A" w:rsidP="0056513A">
      <w:pPr>
        <w:tabs>
          <w:tab w:val="left" w:pos="1701"/>
        </w:tabs>
        <w:spacing w:before="240" w:line="360" w:lineRule="auto"/>
        <w:jc w:val="both"/>
        <w:rPr>
          <w:rFonts w:ascii="Palatino Linotype" w:hAnsi="Palatino Linotype" w:cs="Arial"/>
          <w:sz w:val="24"/>
          <w:szCs w:val="24"/>
        </w:rPr>
      </w:pPr>
    </w:p>
    <w:p w14:paraId="7F627740" w14:textId="77777777" w:rsidR="006168E4" w:rsidRPr="00523CF0" w:rsidRDefault="006168E4" w:rsidP="00AE3CCC">
      <w:pPr>
        <w:spacing w:before="240" w:after="240" w:line="360" w:lineRule="auto"/>
        <w:jc w:val="center"/>
        <w:rPr>
          <w:rFonts w:ascii="Palatino Linotype" w:hAnsi="Palatino Linotype"/>
          <w:b/>
          <w:sz w:val="28"/>
        </w:rPr>
      </w:pPr>
      <w:r w:rsidRPr="00523CF0">
        <w:rPr>
          <w:rFonts w:ascii="Palatino Linotype" w:hAnsi="Palatino Linotype"/>
          <w:b/>
          <w:sz w:val="28"/>
        </w:rPr>
        <w:t>A N T E C E D E N T E S   D E L   A S U N T O</w:t>
      </w:r>
    </w:p>
    <w:p w14:paraId="7F85C87C" w14:textId="77777777" w:rsidR="006168E4" w:rsidRPr="00523CF0" w:rsidRDefault="006168E4" w:rsidP="00AE3CCC">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6220F2D" w14:textId="1BFC9565" w:rsidR="00AC0F6C" w:rsidRPr="00AE4356"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AC0F6C">
        <w:rPr>
          <w:rFonts w:ascii="Palatino Linotype" w:hAnsi="Palatino Linotype" w:cs="Arial"/>
          <w:sz w:val="24"/>
        </w:rPr>
        <w:t xml:space="preserve">veinticinco de octubre de dos mil veintiuno, </w:t>
      </w:r>
      <w:r w:rsidR="00AC0F6C">
        <w:rPr>
          <w:rFonts w:ascii="Palatino Linotype" w:hAnsi="Palatino Linotype" w:cs="Arial"/>
          <w:b/>
          <w:sz w:val="24"/>
        </w:rPr>
        <w:t xml:space="preserve">El Recurrente, </w:t>
      </w:r>
      <w:r w:rsidR="00AE4356" w:rsidRPr="00523CF0">
        <w:rPr>
          <w:rFonts w:ascii="Palatino Linotype" w:hAnsi="Palatino Linotype" w:cs="Arial"/>
          <w:sz w:val="24"/>
        </w:rPr>
        <w:t>presentó a través del Sistema de Acceso a la Información Mexiquense (</w:t>
      </w:r>
      <w:r w:rsidR="00AE4356" w:rsidRPr="00523CF0">
        <w:rPr>
          <w:rFonts w:ascii="Palatino Linotype" w:hAnsi="Palatino Linotype" w:cs="Arial"/>
          <w:b/>
          <w:sz w:val="24"/>
        </w:rPr>
        <w:t>SAIMEX)</w:t>
      </w:r>
      <w:r w:rsidR="00AE4356" w:rsidRPr="00523CF0">
        <w:rPr>
          <w:rFonts w:ascii="Palatino Linotype" w:hAnsi="Palatino Linotype" w:cs="Arial"/>
          <w:sz w:val="24"/>
        </w:rPr>
        <w:t xml:space="preserve"> ante </w:t>
      </w:r>
      <w:r w:rsidR="00AE4356">
        <w:rPr>
          <w:rFonts w:ascii="Palatino Linotype" w:hAnsi="Palatino Linotype" w:cs="Arial"/>
          <w:b/>
          <w:sz w:val="24"/>
        </w:rPr>
        <w:t>El Sujeto Obligado</w:t>
      </w:r>
      <w:r w:rsidR="00AE4356" w:rsidRPr="00523CF0">
        <w:rPr>
          <w:rFonts w:ascii="Palatino Linotype" w:hAnsi="Palatino Linotype" w:cs="Arial"/>
          <w:sz w:val="24"/>
        </w:rPr>
        <w:t xml:space="preserve">, </w:t>
      </w:r>
      <w:r w:rsidR="00AE4356">
        <w:rPr>
          <w:rFonts w:ascii="Palatino Linotype" w:hAnsi="Palatino Linotype" w:cs="Arial"/>
          <w:sz w:val="24"/>
        </w:rPr>
        <w:t xml:space="preserve">la </w:t>
      </w:r>
      <w:r w:rsidR="00AE4356" w:rsidRPr="00523CF0">
        <w:rPr>
          <w:rFonts w:ascii="Palatino Linotype" w:hAnsi="Palatino Linotype" w:cs="Arial"/>
          <w:sz w:val="24"/>
        </w:rPr>
        <w:t>solicitud de acceso a la información pública, registrada</w:t>
      </w:r>
      <w:r w:rsidR="00AE4356">
        <w:rPr>
          <w:rFonts w:ascii="Palatino Linotype" w:hAnsi="Palatino Linotype" w:cs="Arial"/>
          <w:sz w:val="24"/>
        </w:rPr>
        <w:t xml:space="preserve"> bajo el</w:t>
      </w:r>
      <w:r w:rsidR="00AE4356" w:rsidRPr="00523CF0">
        <w:rPr>
          <w:rFonts w:ascii="Palatino Linotype" w:hAnsi="Palatino Linotype" w:cs="Arial"/>
          <w:sz w:val="24"/>
        </w:rPr>
        <w:t xml:space="preserve"> número de expediente</w:t>
      </w:r>
      <w:r w:rsidR="00AE4356">
        <w:rPr>
          <w:rFonts w:ascii="Palatino Linotype" w:hAnsi="Palatino Linotype" w:cs="Arial"/>
          <w:sz w:val="24"/>
        </w:rPr>
        <w:t xml:space="preserve"> </w:t>
      </w:r>
      <w:r w:rsidR="00AE4356">
        <w:rPr>
          <w:rFonts w:ascii="Palatino Linotype" w:hAnsi="Palatino Linotype" w:cs="Arial"/>
          <w:b/>
          <w:sz w:val="24"/>
        </w:rPr>
        <w:t xml:space="preserve">00605/COACALCO/IP/2021, </w:t>
      </w:r>
      <w:r w:rsidR="00AE4356">
        <w:rPr>
          <w:rFonts w:ascii="Palatino Linotype" w:hAnsi="Palatino Linotype" w:cs="Arial"/>
          <w:sz w:val="24"/>
        </w:rPr>
        <w:t xml:space="preserve">mediante la cual solicitó información en el tenor siguiente: </w:t>
      </w:r>
    </w:p>
    <w:p w14:paraId="0D586EA2" w14:textId="10BCFCA6" w:rsidR="00825BA0" w:rsidRPr="00825BA0" w:rsidRDefault="00AE4356" w:rsidP="00AE4356">
      <w:pPr>
        <w:pStyle w:val="Citas"/>
        <w:rPr>
          <w:b/>
          <w:sz w:val="24"/>
        </w:rPr>
      </w:pPr>
      <w:r>
        <w:t xml:space="preserve"> “El costo de los servicios de los deejays Nortec: Bostich + Fussible, que se presentaron durante la jornada de vacunación de los jóvenes de 18 a 28 años de edad, así como los contratos, convenios, facturas o cualquier otro documento que evidencie dicho costo.</w:t>
      </w:r>
      <w:r w:rsidR="00825BA0">
        <w:t xml:space="preserve">” </w:t>
      </w:r>
      <w:r w:rsidR="00825BA0">
        <w:rPr>
          <w:b/>
        </w:rPr>
        <w:t xml:space="preserve">[Sic] </w:t>
      </w:r>
    </w:p>
    <w:p w14:paraId="64AF5413" w14:textId="75F4F340" w:rsidR="006168E4" w:rsidRDefault="006168E4" w:rsidP="00AE3CCC">
      <w:pPr>
        <w:spacing w:before="240" w:line="360" w:lineRule="auto"/>
        <w:ind w:right="850"/>
        <w:jc w:val="both"/>
        <w:rPr>
          <w:rFonts w:ascii="Palatino Linotype" w:eastAsia="Times New Roman" w:hAnsi="Palatino Linotype" w:cs="Times New Roman"/>
          <w:sz w:val="24"/>
          <w:szCs w:val="24"/>
          <w:lang w:val="es-ES_tradnl" w:eastAsia="es-ES"/>
        </w:rPr>
      </w:pPr>
      <w:r w:rsidRPr="00277182">
        <w:rPr>
          <w:rFonts w:ascii="Palatino Linotype" w:eastAsia="Times New Roman" w:hAnsi="Palatino Linotype" w:cs="Times New Roman"/>
          <w:b/>
          <w:sz w:val="24"/>
          <w:szCs w:val="24"/>
          <w:lang w:val="es-ES_tradnl" w:eastAsia="es-ES"/>
        </w:rPr>
        <w:lastRenderedPageBreak/>
        <w:t>Modalidad de entrega:</w:t>
      </w:r>
      <w:r w:rsidR="00437DEC">
        <w:rPr>
          <w:rFonts w:ascii="Palatino Linotype" w:eastAsia="Times New Roman" w:hAnsi="Palatino Linotype" w:cs="Times New Roman"/>
          <w:sz w:val="24"/>
          <w:szCs w:val="24"/>
          <w:lang w:val="es-ES_tradnl" w:eastAsia="es-ES"/>
        </w:rPr>
        <w:t xml:space="preserve"> a través del SAIMEX. </w:t>
      </w:r>
    </w:p>
    <w:p w14:paraId="041AFCB2" w14:textId="77777777" w:rsidR="002B69C6" w:rsidRPr="00523CF0" w:rsidRDefault="002B69C6" w:rsidP="00AE3CCC">
      <w:pPr>
        <w:spacing w:before="240" w:line="360" w:lineRule="auto"/>
        <w:ind w:right="850"/>
        <w:jc w:val="both"/>
        <w:rPr>
          <w:rFonts w:ascii="Palatino Linotype" w:eastAsia="Times New Roman" w:hAnsi="Palatino Linotype" w:cs="Times New Roman"/>
          <w:sz w:val="24"/>
          <w:szCs w:val="24"/>
          <w:lang w:val="es-ES_tradnl" w:eastAsia="es-ES"/>
        </w:rPr>
      </w:pPr>
    </w:p>
    <w:p w14:paraId="3ECFEFF0" w14:textId="77777777" w:rsidR="002111AD" w:rsidRDefault="002111AD" w:rsidP="002111AD">
      <w:pPr>
        <w:spacing w:before="240" w:line="360" w:lineRule="auto"/>
        <w:ind w:right="850"/>
        <w:jc w:val="both"/>
        <w:rPr>
          <w:rFonts w:ascii="Palatino Linotype" w:hAnsi="Palatino Linotype" w:cs="Arial"/>
          <w:b/>
          <w:sz w:val="28"/>
        </w:rPr>
      </w:pPr>
      <w:r>
        <w:rPr>
          <w:rFonts w:ascii="Palatino Linotype" w:hAnsi="Palatino Linotype" w:cs="Arial"/>
          <w:b/>
          <w:sz w:val="28"/>
        </w:rPr>
        <w:t xml:space="preserve">SEGUNDO. De la prórroga del Sujeto Obligado. </w:t>
      </w:r>
    </w:p>
    <w:p w14:paraId="36400349" w14:textId="50CAE302" w:rsidR="00B86269" w:rsidRPr="001B4FAB" w:rsidRDefault="002111AD" w:rsidP="00B86269">
      <w:pPr>
        <w:spacing w:before="240" w:line="360" w:lineRule="auto"/>
        <w:jc w:val="both"/>
        <w:rPr>
          <w:rFonts w:ascii="Palatino Linotype" w:hAnsi="Palatino Linotype" w:cs="Arial"/>
          <w:b/>
          <w:bCs/>
          <w:sz w:val="24"/>
          <w:szCs w:val="24"/>
        </w:rPr>
      </w:pPr>
      <w:r w:rsidRPr="00441692">
        <w:rPr>
          <w:rFonts w:ascii="Palatino Linotype" w:hAnsi="Palatino Linotype" w:cs="Arial"/>
          <w:sz w:val="24"/>
          <w:szCs w:val="24"/>
        </w:rPr>
        <w:t>De las constancias que obra</w:t>
      </w:r>
      <w:r>
        <w:rPr>
          <w:rFonts w:ascii="Palatino Linotype" w:hAnsi="Palatino Linotype" w:cs="Arial"/>
          <w:sz w:val="24"/>
          <w:szCs w:val="24"/>
        </w:rPr>
        <w:t>n</w:t>
      </w:r>
      <w:r w:rsidRPr="00441692">
        <w:rPr>
          <w:rFonts w:ascii="Palatino Linotype" w:hAnsi="Palatino Linotype" w:cs="Arial"/>
          <w:sz w:val="24"/>
          <w:szCs w:val="24"/>
        </w:rPr>
        <w:t xml:space="preserve"> en </w:t>
      </w:r>
      <w:r>
        <w:rPr>
          <w:rFonts w:ascii="Palatino Linotype" w:hAnsi="Palatino Linotype" w:cs="Arial"/>
          <w:sz w:val="24"/>
          <w:szCs w:val="24"/>
        </w:rPr>
        <w:t xml:space="preserve">el expediente electrónico del </w:t>
      </w:r>
      <w:r>
        <w:rPr>
          <w:rFonts w:ascii="Palatino Linotype" w:hAnsi="Palatino Linotype" w:cs="Arial"/>
          <w:b/>
          <w:sz w:val="24"/>
          <w:szCs w:val="24"/>
        </w:rPr>
        <w:t xml:space="preserve">SAIMEX </w:t>
      </w:r>
      <w:r>
        <w:rPr>
          <w:rFonts w:ascii="Palatino Linotype" w:hAnsi="Palatino Linotype" w:cs="Arial"/>
          <w:sz w:val="24"/>
          <w:szCs w:val="24"/>
        </w:rPr>
        <w:t xml:space="preserve">correspondiente a la solicitud de información </w:t>
      </w:r>
      <w:r>
        <w:rPr>
          <w:rFonts w:ascii="Palatino Linotype" w:hAnsi="Palatino Linotype" w:cs="Arial"/>
          <w:b/>
          <w:sz w:val="24"/>
          <w:szCs w:val="24"/>
        </w:rPr>
        <w:t xml:space="preserve">00605/COACALCO/IP/2021, </w:t>
      </w:r>
      <w:r>
        <w:rPr>
          <w:rFonts w:ascii="Palatino Linotype" w:hAnsi="Palatino Linotype" w:cs="Arial"/>
          <w:sz w:val="24"/>
          <w:szCs w:val="24"/>
        </w:rPr>
        <w:t xml:space="preserve">se advierte que en fecha diecisiete de noviembre de dos mil veintiuno,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prórroga de </w:t>
      </w:r>
      <w:r w:rsidR="00B86269">
        <w:rPr>
          <w:rFonts w:ascii="Palatino Linotype" w:hAnsi="Palatino Linotype" w:cs="Arial"/>
          <w:sz w:val="24"/>
          <w:szCs w:val="24"/>
        </w:rPr>
        <w:t xml:space="preserve">siete días para recabar la información solicitada y dar cumplimiento a lo requerido por </w:t>
      </w:r>
      <w:r w:rsidR="00B86269">
        <w:rPr>
          <w:rFonts w:ascii="Palatino Linotype" w:hAnsi="Palatino Linotype" w:cs="Arial"/>
          <w:b/>
          <w:sz w:val="24"/>
          <w:szCs w:val="24"/>
        </w:rPr>
        <w:t xml:space="preserve">El Recurrente, </w:t>
      </w:r>
      <w:r w:rsidR="00B86269">
        <w:rPr>
          <w:rFonts w:ascii="Palatino Linotype" w:hAnsi="Palatino Linotype" w:cs="Arial"/>
          <w:sz w:val="24"/>
          <w:szCs w:val="24"/>
        </w:rPr>
        <w:t>advirtiendo que dicha</w:t>
      </w:r>
      <w:r w:rsidR="00B86269" w:rsidRPr="00441692">
        <w:rPr>
          <w:rFonts w:ascii="Palatino Linotype" w:hAnsi="Palatino Linotype"/>
          <w:sz w:val="24"/>
          <w:szCs w:val="24"/>
        </w:rPr>
        <w:t xml:space="preserve"> prórroga</w:t>
      </w:r>
      <w:r w:rsidR="00B86269" w:rsidRPr="00B86269">
        <w:rPr>
          <w:rFonts w:ascii="Palatino Linotype" w:hAnsi="Palatino Linotype"/>
          <w:sz w:val="24"/>
          <w:szCs w:val="24"/>
        </w:rPr>
        <w:t xml:space="preserve"> </w:t>
      </w:r>
      <w:r w:rsidR="00B86269" w:rsidRPr="00441692">
        <w:rPr>
          <w:rFonts w:ascii="Palatino Linotype" w:hAnsi="Palatino Linotype"/>
          <w:sz w:val="24"/>
          <w:szCs w:val="24"/>
        </w:rPr>
        <w:t xml:space="preserve">cumple con lo establecido en el artículo 49, fracción II, así como en el artículo 163 segundo párrafo, de la </w:t>
      </w:r>
      <w:r w:rsidR="00B86269" w:rsidRPr="00441692">
        <w:rPr>
          <w:rFonts w:ascii="Palatino Linotype" w:hAnsi="Palatino Linotype" w:cs="Arial"/>
          <w:sz w:val="24"/>
          <w:szCs w:val="24"/>
        </w:rPr>
        <w:t>Ley de Transparencia y Acceso a la Información Pública del Estado de México y Municipios.</w:t>
      </w:r>
    </w:p>
    <w:p w14:paraId="51F1B3A9" w14:textId="01A17706" w:rsidR="002111AD" w:rsidRPr="002111AD" w:rsidRDefault="002111AD" w:rsidP="002111AD">
      <w:pPr>
        <w:spacing w:before="240" w:line="360" w:lineRule="auto"/>
        <w:jc w:val="both"/>
        <w:rPr>
          <w:rFonts w:ascii="Palatino Linotype" w:hAnsi="Palatino Linotype" w:cs="Arial"/>
          <w:sz w:val="24"/>
          <w:szCs w:val="24"/>
        </w:rPr>
      </w:pPr>
    </w:p>
    <w:p w14:paraId="19B605DC" w14:textId="3110FEB8" w:rsidR="00825BA0" w:rsidRDefault="00825BA0" w:rsidP="00825BA0">
      <w:pPr>
        <w:spacing w:before="240" w:line="360" w:lineRule="auto"/>
        <w:jc w:val="both"/>
        <w:rPr>
          <w:rFonts w:ascii="Palatino Linotype" w:hAnsi="Palatino Linotype" w:cs="Arial"/>
          <w:b/>
          <w:sz w:val="28"/>
        </w:rPr>
      </w:pPr>
      <w:r>
        <w:rPr>
          <w:rFonts w:ascii="Palatino Linotype" w:hAnsi="Palatino Linotype" w:cs="Arial"/>
          <w:b/>
          <w:sz w:val="28"/>
        </w:rPr>
        <w:t xml:space="preserve">TERCERO. </w:t>
      </w:r>
      <w:r w:rsidRPr="00165D6E">
        <w:rPr>
          <w:rFonts w:ascii="Palatino Linotype" w:hAnsi="Palatino Linotype" w:cs="Arial"/>
          <w:b/>
          <w:sz w:val="28"/>
          <w:szCs w:val="20"/>
        </w:rPr>
        <w:t xml:space="preserve">De la </w:t>
      </w:r>
      <w:r>
        <w:rPr>
          <w:rFonts w:ascii="Palatino Linotype" w:hAnsi="Palatino Linotype" w:cs="Arial"/>
          <w:b/>
          <w:sz w:val="28"/>
          <w:szCs w:val="20"/>
        </w:rPr>
        <w:t>respuesta del Sujeto Obligado</w:t>
      </w:r>
    </w:p>
    <w:p w14:paraId="5DA6D987" w14:textId="7EE8F11D" w:rsidR="001337FB" w:rsidRDefault="00C9092F" w:rsidP="002B69C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1337FB">
        <w:rPr>
          <w:rFonts w:ascii="Palatino Linotype" w:hAnsi="Palatino Linotype" w:cs="Arial"/>
          <w:sz w:val="24"/>
          <w:szCs w:val="24"/>
        </w:rPr>
        <w:t xml:space="preserve">veintiséis de noviembre de dos mil veintiuno, </w:t>
      </w:r>
      <w:r w:rsidR="001337FB">
        <w:rPr>
          <w:rFonts w:ascii="Palatino Linotype" w:hAnsi="Palatino Linotype" w:cs="Arial"/>
          <w:b/>
          <w:sz w:val="24"/>
          <w:szCs w:val="24"/>
        </w:rPr>
        <w:t xml:space="preserve">El Sujeto Obligado </w:t>
      </w:r>
      <w:r w:rsidR="001337FB">
        <w:rPr>
          <w:rFonts w:ascii="Palatino Linotype" w:hAnsi="Palatino Linotype" w:cs="Arial"/>
          <w:sz w:val="24"/>
          <w:szCs w:val="24"/>
        </w:rPr>
        <w:t xml:space="preserve">dio respuesta a la solicitud de información en los siguientes términos: </w:t>
      </w:r>
    </w:p>
    <w:p w14:paraId="3821B164" w14:textId="77777777" w:rsidR="007A1DCF" w:rsidRDefault="007A1DCF" w:rsidP="007A1DCF">
      <w:pPr>
        <w:pStyle w:val="Citas"/>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60F8AC9C" w14:textId="36F01948" w:rsidR="007A1DCF" w:rsidRDefault="007A1DCF" w:rsidP="007A1DCF">
      <w:pPr>
        <w:pStyle w:val="Citas"/>
      </w:pPr>
      <w:r>
        <w:t xml:space="preserve">SE ADJUNTA RESPUESTA INTEGRADORA Y ANEXO” </w:t>
      </w:r>
      <w:r>
        <w:rPr>
          <w:b/>
        </w:rPr>
        <w:t xml:space="preserve">[Sic] </w:t>
      </w:r>
      <w:r>
        <w:t xml:space="preserve"> </w:t>
      </w:r>
    </w:p>
    <w:p w14:paraId="4CAC092D" w14:textId="69D4201A" w:rsidR="001337FB" w:rsidRPr="007D68D2" w:rsidRDefault="007A1DCF" w:rsidP="002B69C6">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Adicionalmente, adjuntó los documentos electrónicos </w:t>
      </w:r>
      <w:r>
        <w:rPr>
          <w:rFonts w:ascii="Palatino Linotype" w:hAnsi="Palatino Linotype" w:cs="Arial"/>
          <w:b/>
          <w:sz w:val="24"/>
          <w:szCs w:val="24"/>
        </w:rPr>
        <w:t>“</w:t>
      </w:r>
      <w:r w:rsidR="007D68D2">
        <w:rPr>
          <w:rFonts w:ascii="Palatino Linotype" w:hAnsi="Palatino Linotype" w:cs="Arial"/>
          <w:b/>
          <w:sz w:val="24"/>
          <w:szCs w:val="24"/>
        </w:rPr>
        <w:t xml:space="preserve">RESPUESTA 0605.docx” </w:t>
      </w:r>
      <w:r w:rsidR="007D68D2">
        <w:rPr>
          <w:rFonts w:ascii="Palatino Linotype" w:hAnsi="Palatino Linotype" w:cs="Arial"/>
          <w:sz w:val="24"/>
          <w:szCs w:val="24"/>
        </w:rPr>
        <w:t xml:space="preserve">y </w:t>
      </w:r>
      <w:r w:rsidR="007D68D2">
        <w:rPr>
          <w:rFonts w:ascii="Palatino Linotype" w:hAnsi="Palatino Linotype" w:cs="Arial"/>
          <w:b/>
          <w:sz w:val="24"/>
          <w:szCs w:val="24"/>
        </w:rPr>
        <w:t xml:space="preserve">“OF 2460.pdf”, </w:t>
      </w:r>
      <w:r w:rsidR="007D68D2">
        <w:rPr>
          <w:rFonts w:ascii="Palatino Linotype" w:hAnsi="Palatino Linotype" w:cs="Arial"/>
          <w:sz w:val="24"/>
          <w:szCs w:val="24"/>
        </w:rPr>
        <w:t xml:space="preserve">cuyo contenido se abordará en el considerando respectivo. </w:t>
      </w:r>
    </w:p>
    <w:p w14:paraId="2468929A" w14:textId="77777777" w:rsidR="007A1DCF" w:rsidRDefault="007A1DCF" w:rsidP="002B69C6">
      <w:pPr>
        <w:spacing w:before="240" w:line="360" w:lineRule="auto"/>
        <w:jc w:val="both"/>
        <w:rPr>
          <w:rFonts w:ascii="Palatino Linotype" w:hAnsi="Palatino Linotype" w:cs="Arial"/>
          <w:sz w:val="24"/>
          <w:szCs w:val="24"/>
        </w:rPr>
      </w:pPr>
    </w:p>
    <w:p w14:paraId="695D9190" w14:textId="2B16FB16" w:rsidR="006168E4" w:rsidRPr="00523CF0" w:rsidRDefault="00C9092F" w:rsidP="00AE3CCC">
      <w:pPr>
        <w:spacing w:before="240" w:line="360" w:lineRule="auto"/>
        <w:jc w:val="both"/>
        <w:rPr>
          <w:rFonts w:ascii="Palatino Linotype" w:hAnsi="Palatino Linotype" w:cs="Arial"/>
          <w:b/>
          <w:sz w:val="28"/>
        </w:rPr>
      </w:pPr>
      <w:r>
        <w:rPr>
          <w:rFonts w:ascii="Palatino Linotype" w:hAnsi="Palatino Linotype" w:cs="Arial"/>
          <w:b/>
          <w:sz w:val="28"/>
        </w:rPr>
        <w:t>CUARTO</w:t>
      </w:r>
      <w:r w:rsidR="006168E4" w:rsidRPr="00523CF0">
        <w:rPr>
          <w:rFonts w:ascii="Palatino Linotype" w:hAnsi="Palatino Linotype" w:cs="Arial"/>
          <w:b/>
          <w:sz w:val="28"/>
        </w:rPr>
        <w:t xml:space="preserve">. </w:t>
      </w:r>
      <w:r w:rsidR="006168E4" w:rsidRPr="00523CF0">
        <w:rPr>
          <w:rFonts w:ascii="Palatino Linotype" w:hAnsi="Palatino Linotype"/>
          <w:b/>
          <w:sz w:val="28"/>
        </w:rPr>
        <w:t>Del recurso de revisión.</w:t>
      </w:r>
    </w:p>
    <w:p w14:paraId="06719486" w14:textId="0087209E" w:rsidR="007D68D2" w:rsidRPr="007D68D2" w:rsidRDefault="006006AB" w:rsidP="006006AB">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 xml:space="preserve">Inconforme con la respuesta notificada por </w:t>
      </w:r>
      <w:r w:rsidRPr="00994280">
        <w:rPr>
          <w:rFonts w:ascii="Palatino Linotype" w:hAnsi="Palatino Linotype" w:cs="Arial"/>
          <w:b/>
          <w:sz w:val="24"/>
          <w:szCs w:val="24"/>
        </w:rPr>
        <w:t>El Sujeto O</w:t>
      </w:r>
      <w:r w:rsidR="007D68D2">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7D68D2">
        <w:rPr>
          <w:rFonts w:ascii="Palatino Linotype" w:hAnsi="Palatino Linotype" w:cs="Arial"/>
          <w:sz w:val="24"/>
          <w:szCs w:val="24"/>
        </w:rPr>
        <w:t xml:space="preserve">nueve de diciembre de dos mil veintiuno, el cual fue registrado en el sistema electrónico con el expediente número </w:t>
      </w:r>
      <w:r w:rsidR="007D68D2">
        <w:rPr>
          <w:rFonts w:ascii="Palatino Linotype" w:hAnsi="Palatino Linotype" w:cs="Arial"/>
          <w:b/>
          <w:sz w:val="24"/>
          <w:szCs w:val="24"/>
        </w:rPr>
        <w:t xml:space="preserve">06215/INFOEM/IP/RR/2021, </w:t>
      </w:r>
      <w:r w:rsidR="007D68D2">
        <w:rPr>
          <w:rFonts w:ascii="Palatino Linotype" w:hAnsi="Palatino Linotype" w:cs="Arial"/>
          <w:sz w:val="24"/>
          <w:szCs w:val="24"/>
        </w:rPr>
        <w:t xml:space="preserve">en el cual arguye las siguientes manifestaciones: </w:t>
      </w:r>
    </w:p>
    <w:p w14:paraId="18269472" w14:textId="45BC1909" w:rsidR="00076413" w:rsidRPr="00076413" w:rsidRDefault="00076413" w:rsidP="00AE3CCC">
      <w:pPr>
        <w:spacing w:before="240" w:line="360" w:lineRule="auto"/>
        <w:ind w:right="851"/>
        <w:jc w:val="both"/>
        <w:rPr>
          <w:rFonts w:ascii="Palatino Linotype" w:hAnsi="Palatino Linotype"/>
          <w:b/>
          <w:color w:val="000000"/>
        </w:rPr>
      </w:pPr>
      <w:r w:rsidRPr="00076413">
        <w:rPr>
          <w:rFonts w:ascii="Palatino Linotype" w:hAnsi="Palatino Linotype"/>
          <w:b/>
          <w:color w:val="000000"/>
        </w:rPr>
        <w:t>Acto Impugnado:</w:t>
      </w:r>
    </w:p>
    <w:p w14:paraId="65D0EE6D" w14:textId="3C036B04" w:rsidR="00AD6DB5" w:rsidRPr="00C9092F" w:rsidRDefault="00C9092F" w:rsidP="00D7743B">
      <w:pPr>
        <w:pStyle w:val="Citas"/>
        <w:rPr>
          <w:b/>
        </w:rPr>
      </w:pPr>
      <w:r>
        <w:t>“</w:t>
      </w:r>
      <w:r w:rsidR="00D7743B">
        <w:t>El gobierno de Coacalco no puede desconocer el costo (o la gratuidad en caso de que así sea) de un evento que fue ampliamente difundido en las redes sociales oficiales: https://www.facebook.com/CoacalcoGobMx/posts/1265936367217397</w:t>
      </w:r>
      <w:r>
        <w:t xml:space="preserve">” </w:t>
      </w:r>
      <w:r>
        <w:rPr>
          <w:b/>
        </w:rPr>
        <w:t>[Sic]</w:t>
      </w:r>
    </w:p>
    <w:p w14:paraId="3185780A" w14:textId="474BAFD5" w:rsidR="00C9092F" w:rsidRPr="006558ED" w:rsidRDefault="005768C4" w:rsidP="0005446E">
      <w:pPr>
        <w:spacing w:before="240" w:line="360" w:lineRule="auto"/>
        <w:jc w:val="both"/>
        <w:rPr>
          <w:rFonts w:ascii="Palatino Linotype" w:hAnsi="Palatino Linotype" w:cs="Arial"/>
          <w:sz w:val="24"/>
          <w:szCs w:val="24"/>
        </w:rPr>
      </w:pPr>
      <w:r>
        <w:rPr>
          <w:rFonts w:ascii="Palatino Linotype" w:hAnsi="Palatino Linotype" w:cs="Arial"/>
          <w:sz w:val="24"/>
          <w:szCs w:val="24"/>
        </w:rPr>
        <w:t>De forma complementaria, se precisa que el particular fue omiso en rendir razones o motivos de inconformidad.</w:t>
      </w:r>
      <w:r w:rsidR="006558ED">
        <w:rPr>
          <w:rFonts w:ascii="Palatino Linotype" w:hAnsi="Palatino Linotype" w:cs="Arial"/>
          <w:sz w:val="24"/>
          <w:szCs w:val="24"/>
        </w:rPr>
        <w:t xml:space="preserve"> En contraste, adjuntó el documento electrónico </w:t>
      </w:r>
      <w:r w:rsidR="006558ED" w:rsidRPr="006558ED">
        <w:rPr>
          <w:rFonts w:ascii="Palatino Linotype" w:hAnsi="Palatino Linotype" w:cs="Arial"/>
          <w:b/>
          <w:sz w:val="24"/>
          <w:szCs w:val="24"/>
        </w:rPr>
        <w:t>“Archivo1639113883889”</w:t>
      </w:r>
      <w:r w:rsidR="006558ED">
        <w:rPr>
          <w:rFonts w:ascii="Palatino Linotype" w:hAnsi="Palatino Linotype" w:cs="Arial"/>
          <w:b/>
          <w:sz w:val="24"/>
          <w:szCs w:val="24"/>
        </w:rPr>
        <w:t xml:space="preserve"> </w:t>
      </w:r>
      <w:r w:rsidR="006558ED">
        <w:rPr>
          <w:rFonts w:ascii="Palatino Linotype" w:hAnsi="Palatino Linotype" w:cs="Arial"/>
          <w:sz w:val="24"/>
          <w:szCs w:val="24"/>
        </w:rPr>
        <w:t xml:space="preserve">cuyo contenido será materia de análisis en párrafos subsecuentes. </w:t>
      </w:r>
    </w:p>
    <w:p w14:paraId="6A2D591C" w14:textId="77777777" w:rsidR="00D7743B" w:rsidRDefault="00D7743B" w:rsidP="0005446E">
      <w:pPr>
        <w:spacing w:before="240" w:line="360" w:lineRule="auto"/>
        <w:jc w:val="both"/>
        <w:rPr>
          <w:rFonts w:ascii="Palatino Linotype" w:hAnsi="Palatino Linotype" w:cs="Arial"/>
          <w:b/>
          <w:sz w:val="28"/>
        </w:rPr>
      </w:pPr>
    </w:p>
    <w:p w14:paraId="34B179C8" w14:textId="30BF3F9A" w:rsidR="0005446E" w:rsidRDefault="00C9092F" w:rsidP="0005446E">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05446E" w:rsidRPr="008551ED">
        <w:rPr>
          <w:rFonts w:ascii="Palatino Linotype" w:hAnsi="Palatino Linotype" w:cs="Arial"/>
          <w:b/>
          <w:sz w:val="24"/>
          <w:szCs w:val="24"/>
        </w:rPr>
        <w:t xml:space="preserve">. </w:t>
      </w:r>
      <w:r w:rsidR="0005446E" w:rsidRPr="0087163A">
        <w:rPr>
          <w:rFonts w:ascii="Palatino Linotype" w:hAnsi="Palatino Linotype" w:cs="Arial"/>
          <w:b/>
          <w:sz w:val="28"/>
          <w:szCs w:val="28"/>
        </w:rPr>
        <w:t>Del turno del recurso de revisión.</w:t>
      </w:r>
    </w:p>
    <w:p w14:paraId="13370388" w14:textId="77777777" w:rsidR="005768C4" w:rsidRDefault="0005446E" w:rsidP="005768C4">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Medio de impugnación que le fue turnado </w:t>
      </w:r>
      <w:r w:rsidR="002B57B4">
        <w:rPr>
          <w:rFonts w:ascii="Palatino Linotype" w:hAnsi="Palatino Linotype" w:cs="Arial"/>
          <w:sz w:val="24"/>
          <w:szCs w:val="24"/>
        </w:rPr>
        <w:t xml:space="preserve">al </w:t>
      </w:r>
      <w:r w:rsidR="002B57B4">
        <w:rPr>
          <w:rFonts w:ascii="Palatino Linotype" w:hAnsi="Palatino Linotype" w:cs="Arial"/>
          <w:b/>
          <w:sz w:val="24"/>
          <w:szCs w:val="24"/>
        </w:rPr>
        <w:t xml:space="preserve">Comisionado José Martínez Vilchis, </w:t>
      </w:r>
      <w:r w:rsidR="002B57B4">
        <w:rPr>
          <w:rFonts w:ascii="Palatino Linotype" w:hAnsi="Palatino Linotype" w:cs="Arial"/>
          <w:sz w:val="24"/>
          <w:szCs w:val="24"/>
        </w:rPr>
        <w:t xml:space="preserve">por medio del sistema electrónico en términos del </w:t>
      </w:r>
      <w:r w:rsidR="00E908F1">
        <w:rPr>
          <w:rFonts w:ascii="Palatino Linotype" w:hAnsi="Palatino Linotype" w:cs="Arial"/>
          <w:sz w:val="24"/>
          <w:szCs w:val="24"/>
        </w:rPr>
        <w:t xml:space="preserve">arábigo 185 fracción I de la Ley de Transparencia y Acceso a la información Pública del Estado de México y Municipios, del cual recayó acuerdo de admisión en fecha </w:t>
      </w:r>
      <w:r w:rsidR="005768C4">
        <w:rPr>
          <w:rFonts w:ascii="Palatino Linotype" w:hAnsi="Palatino Linotype" w:cs="Arial"/>
          <w:sz w:val="24"/>
          <w:szCs w:val="24"/>
        </w:rPr>
        <w:t xml:space="preserve">dieciséis de diciembre de dos mil veintiuno, determinándose en él, un plazo de siete días para que las partes manifestaran lo que a su derecho corresponda en términos del numeral ya citado. </w:t>
      </w:r>
    </w:p>
    <w:p w14:paraId="1CEDC125" w14:textId="111EF860" w:rsidR="005768C4" w:rsidRDefault="005768C4" w:rsidP="0091251B">
      <w:pPr>
        <w:spacing w:before="240" w:line="360" w:lineRule="auto"/>
        <w:jc w:val="both"/>
        <w:rPr>
          <w:rFonts w:ascii="Palatino Linotype" w:hAnsi="Palatino Linotype" w:cs="Arial"/>
          <w:sz w:val="24"/>
          <w:szCs w:val="24"/>
        </w:rPr>
      </w:pPr>
    </w:p>
    <w:p w14:paraId="6FBDD633" w14:textId="561AFE45" w:rsidR="00E908F1" w:rsidRDefault="00E908F1" w:rsidP="00E908F1">
      <w:pPr>
        <w:spacing w:before="240" w:line="360" w:lineRule="auto"/>
        <w:jc w:val="both"/>
        <w:rPr>
          <w:rFonts w:ascii="Palatino Linotype" w:hAnsi="Palatino Linotype" w:cs="Arial"/>
          <w:b/>
          <w:sz w:val="24"/>
          <w:szCs w:val="24"/>
        </w:rPr>
      </w:pPr>
      <w:r>
        <w:rPr>
          <w:rFonts w:ascii="Palatino Linotype" w:hAnsi="Palatino Linotype" w:cs="Arial"/>
          <w:b/>
          <w:sz w:val="28"/>
        </w:rPr>
        <w:t>SEXTO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73DC89A5" w14:textId="77777777" w:rsidR="00C54E84" w:rsidRDefault="00C54E84" w:rsidP="00C54E84">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682D54BE" w14:textId="286C236F" w:rsidR="00E908F1" w:rsidRDefault="00C9092F" w:rsidP="00E908F1">
      <w:pPr>
        <w:spacing w:before="240" w:line="360" w:lineRule="auto"/>
        <w:jc w:val="both"/>
        <w:rPr>
          <w:rFonts w:ascii="Palatino Linotype" w:hAnsi="Palatino Linotype" w:cs="Arial"/>
          <w:sz w:val="24"/>
          <w:szCs w:val="24"/>
        </w:rPr>
      </w:pPr>
      <w:r w:rsidRPr="00EC07C3">
        <w:rPr>
          <w:rFonts w:ascii="Palatino Linotype" w:hAnsi="Palatino Linotype" w:cs="Arial"/>
          <w:sz w:val="24"/>
          <w:szCs w:val="24"/>
        </w:rPr>
        <w:t xml:space="preserve">Por lo que una vez transcurrido el plazo establecido para que las partes manifestaran lo que a su derecho conviniera, en </w:t>
      </w:r>
      <w:r w:rsidRPr="00FE7406">
        <w:rPr>
          <w:rFonts w:ascii="Palatino Linotype" w:hAnsi="Palatino Linotype" w:cs="Arial"/>
          <w:sz w:val="24"/>
          <w:szCs w:val="24"/>
        </w:rPr>
        <w:t xml:space="preserve">fecha trece de enero de los corrientes, </w:t>
      </w:r>
      <w:r w:rsidR="00E908F1" w:rsidRPr="00FE7406">
        <w:rPr>
          <w:rFonts w:ascii="Palatino Linotype" w:hAnsi="Palatino Linotype" w:cs="Arial"/>
          <w:sz w:val="24"/>
          <w:szCs w:val="24"/>
        </w:rPr>
        <w:t>se decretó</w:t>
      </w:r>
      <w:r w:rsidR="00E908F1">
        <w:rPr>
          <w:rFonts w:ascii="Palatino Linotype" w:hAnsi="Palatino Linotype" w:cs="Arial"/>
          <w:sz w:val="24"/>
          <w:szCs w:val="24"/>
        </w:rPr>
        <w:t xml:space="preserve"> el cierre de instrucción en términos del artículo 185 fracción VI de la Ley de Transparencia y Acceso a la Información Pública del Estado de México y Municipios, iniciando el término legal para dictar resolución definitiva del asunto.</w:t>
      </w:r>
    </w:p>
    <w:p w14:paraId="0B145010" w14:textId="77777777" w:rsidR="00E908F1" w:rsidRDefault="00E908F1" w:rsidP="00E908F1">
      <w:pPr>
        <w:spacing w:before="240" w:line="360" w:lineRule="auto"/>
        <w:jc w:val="both"/>
        <w:rPr>
          <w:rFonts w:ascii="Palatino Linotype" w:hAnsi="Palatino Linotype" w:cs="Arial"/>
          <w:b/>
          <w:sz w:val="28"/>
        </w:rPr>
      </w:pPr>
    </w:p>
    <w:p w14:paraId="2D10638E" w14:textId="77777777" w:rsidR="00766B1F" w:rsidRPr="00523CF0" w:rsidRDefault="006168E4" w:rsidP="00C531DA">
      <w:pPr>
        <w:spacing w:before="240" w:line="360" w:lineRule="auto"/>
        <w:jc w:val="center"/>
        <w:rPr>
          <w:rFonts w:ascii="Palatino Linotype" w:hAnsi="Palatino Linotype" w:cs="Arial"/>
          <w:b/>
          <w:sz w:val="24"/>
        </w:rPr>
      </w:pPr>
      <w:r w:rsidRPr="00523CF0">
        <w:rPr>
          <w:rFonts w:ascii="Palatino Linotype" w:hAnsi="Palatino Linotype" w:cs="Arial"/>
          <w:b/>
          <w:sz w:val="24"/>
        </w:rPr>
        <w:t xml:space="preserve">C O N S I D E R A N D O </w:t>
      </w:r>
    </w:p>
    <w:p w14:paraId="68C8162D" w14:textId="77777777" w:rsidR="006168E4" w:rsidRPr="00523CF0" w:rsidRDefault="006168E4" w:rsidP="00AE3CCC">
      <w:pPr>
        <w:spacing w:before="240" w:line="360" w:lineRule="auto"/>
        <w:jc w:val="both"/>
        <w:rPr>
          <w:rFonts w:ascii="Palatino Linotype" w:hAnsi="Palatino Linotype" w:cs="Arial"/>
          <w:sz w:val="24"/>
        </w:rPr>
      </w:pPr>
      <w:r w:rsidRPr="00523CF0">
        <w:rPr>
          <w:rFonts w:ascii="Palatino Linotype" w:hAnsi="Palatino Linotype" w:cs="Arial"/>
          <w:b/>
          <w:sz w:val="28"/>
        </w:rPr>
        <w:t>PRIMERO.</w:t>
      </w:r>
      <w:r w:rsidRPr="00523CF0">
        <w:rPr>
          <w:rFonts w:ascii="Palatino Linotype" w:hAnsi="Palatino Linotype" w:cs="Arial"/>
          <w:b/>
        </w:rPr>
        <w:t xml:space="preserve"> </w:t>
      </w:r>
      <w:r w:rsidRPr="00523CF0">
        <w:rPr>
          <w:rFonts w:ascii="Palatino Linotype" w:hAnsi="Palatino Linotype" w:cs="Arial"/>
          <w:b/>
          <w:sz w:val="28"/>
          <w:szCs w:val="28"/>
        </w:rPr>
        <w:t>De la competencia</w:t>
      </w:r>
      <w:r w:rsidRPr="00523CF0">
        <w:rPr>
          <w:rFonts w:ascii="Palatino Linotype" w:hAnsi="Palatino Linotype" w:cs="Arial"/>
          <w:sz w:val="28"/>
          <w:szCs w:val="28"/>
        </w:rPr>
        <w:t>.</w:t>
      </w:r>
    </w:p>
    <w:p w14:paraId="55B7B59A" w14:textId="77777777" w:rsidR="00E908F1" w:rsidRDefault="00E908F1" w:rsidP="00E908F1">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430ACABC" w14:textId="77777777" w:rsidR="00766B1F" w:rsidRDefault="00766B1F" w:rsidP="00AE3CCC">
      <w:pPr>
        <w:spacing w:before="240" w:line="360" w:lineRule="auto"/>
        <w:jc w:val="both"/>
        <w:rPr>
          <w:rFonts w:ascii="Palatino Linotype" w:hAnsi="Palatino Linotype" w:cs="Arial"/>
          <w:sz w:val="24"/>
        </w:rPr>
      </w:pPr>
    </w:p>
    <w:p w14:paraId="101077A6"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b/>
        </w:rPr>
      </w:pPr>
      <w:r w:rsidRPr="00523CF0">
        <w:rPr>
          <w:rFonts w:ascii="Palatino Linotype" w:hAnsi="Palatino Linotype" w:cs="Arial"/>
          <w:b/>
          <w:sz w:val="28"/>
        </w:rPr>
        <w:t>SEGUNDO</w:t>
      </w:r>
      <w:r w:rsidRPr="00523CF0">
        <w:rPr>
          <w:rFonts w:ascii="Palatino Linotype" w:hAnsi="Palatino Linotype" w:cs="Arial"/>
          <w:b/>
        </w:rPr>
        <w:t xml:space="preserve">. </w:t>
      </w:r>
      <w:r w:rsidRPr="00523CF0">
        <w:rPr>
          <w:rFonts w:ascii="Palatino Linotype" w:hAnsi="Palatino Linotype" w:cs="Arial"/>
          <w:b/>
          <w:sz w:val="28"/>
          <w:szCs w:val="28"/>
        </w:rPr>
        <w:t>Sobre los alcances del recurso de revisión.</w:t>
      </w:r>
      <w:r w:rsidRPr="00523CF0">
        <w:rPr>
          <w:rFonts w:ascii="Palatino Linotype" w:hAnsi="Palatino Linotype" w:cs="Arial"/>
          <w:b/>
        </w:rPr>
        <w:t xml:space="preserve"> </w:t>
      </w:r>
    </w:p>
    <w:p w14:paraId="62CADD9D" w14:textId="77777777" w:rsidR="006168E4" w:rsidRPr="00523CF0" w:rsidRDefault="006168E4" w:rsidP="00AE3CCC">
      <w:pPr>
        <w:pStyle w:val="Prrafodelista"/>
        <w:autoSpaceDE w:val="0"/>
        <w:autoSpaceDN w:val="0"/>
        <w:adjustRightInd w:val="0"/>
        <w:spacing w:before="240" w:after="160" w:line="360" w:lineRule="auto"/>
        <w:ind w:left="0"/>
        <w:jc w:val="both"/>
        <w:rPr>
          <w:rFonts w:ascii="Palatino Linotype" w:hAnsi="Palatino Linotype" w:cs="Arial"/>
        </w:rPr>
      </w:pPr>
      <w:r w:rsidRPr="00523C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8A64A2" w14:textId="77777777" w:rsidR="00315341" w:rsidRDefault="00315341" w:rsidP="0031534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lastRenderedPageBreak/>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04434F1E" w14:textId="77777777" w:rsidR="00315341" w:rsidRPr="00514E66" w:rsidRDefault="00315341" w:rsidP="00315341">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53EECD5" w14:textId="77777777" w:rsidR="00315341" w:rsidRDefault="00315341" w:rsidP="00315341">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A1068AD" w14:textId="77777777" w:rsidR="00315341" w:rsidRDefault="00315341" w:rsidP="00315341">
      <w:pPr>
        <w:pStyle w:val="Prrafodelista"/>
        <w:autoSpaceDE w:val="0"/>
        <w:autoSpaceDN w:val="0"/>
        <w:adjustRightInd w:val="0"/>
        <w:spacing w:line="360" w:lineRule="auto"/>
        <w:ind w:left="0"/>
        <w:jc w:val="both"/>
        <w:rPr>
          <w:rFonts w:ascii="Palatino Linotype" w:hAnsi="Palatino Linotype" w:cs="Arial"/>
        </w:rPr>
      </w:pPr>
    </w:p>
    <w:p w14:paraId="628CAD5E" w14:textId="77777777" w:rsidR="00315341" w:rsidRDefault="00315341" w:rsidP="00315341">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49E3E2C3" w14:textId="77777777" w:rsidR="00315341" w:rsidRDefault="00315341" w:rsidP="0031534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67F3718" w14:textId="77777777" w:rsidR="00315341" w:rsidRPr="002869E1" w:rsidRDefault="00315341" w:rsidP="0031534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9716EE9"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FB8964B"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6A972F"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F36BB0B"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61B26E16"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5361AB6"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7AB6DFD" w14:textId="77777777" w:rsidR="00315341" w:rsidRPr="006010FE" w:rsidRDefault="00315341" w:rsidP="0031534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66A773C0"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1107BB8"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0671C0F"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7EAC3999" w14:textId="77777777" w:rsidR="00315341" w:rsidRPr="006010FE" w:rsidRDefault="00315341" w:rsidP="0031534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02A8DBB" w14:textId="77777777" w:rsidR="00315341" w:rsidRPr="006E4CCA" w:rsidRDefault="00315341" w:rsidP="0031534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6B8C0F2E" w14:textId="77777777" w:rsidR="00315341" w:rsidRDefault="00315341" w:rsidP="00315341">
      <w:pPr>
        <w:spacing w:after="0" w:line="360" w:lineRule="auto"/>
        <w:jc w:val="both"/>
        <w:rPr>
          <w:rFonts w:ascii="Palatino Linotype" w:eastAsia="Times New Roman" w:hAnsi="Palatino Linotype" w:cs="Times New Roman"/>
          <w:sz w:val="24"/>
          <w:szCs w:val="24"/>
          <w:lang w:eastAsia="es-ES"/>
        </w:rPr>
      </w:pPr>
    </w:p>
    <w:p w14:paraId="772F4627" w14:textId="77777777" w:rsidR="00315341" w:rsidRPr="006010FE" w:rsidRDefault="00315341" w:rsidP="0031534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6BA33C7A" w14:textId="77777777" w:rsidR="00315341" w:rsidRPr="006E4CCA" w:rsidRDefault="00315341" w:rsidP="00315341">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482EAB51" w14:textId="6026FD2B" w:rsidR="00E95355" w:rsidRPr="006C51AE" w:rsidRDefault="00E95355" w:rsidP="00E95355">
      <w:pPr>
        <w:spacing w:before="240" w:line="360" w:lineRule="auto"/>
        <w:jc w:val="both"/>
        <w:rPr>
          <w:rFonts w:ascii="Palatino Linotype" w:hAnsi="Palatino Linotype"/>
          <w:bCs/>
          <w:sz w:val="24"/>
          <w:szCs w:val="24"/>
        </w:rPr>
      </w:pPr>
      <w:r w:rsidRPr="005176AA">
        <w:rPr>
          <w:rFonts w:ascii="Palatino Linotype" w:hAnsi="Palatino Linotype"/>
          <w:bCs/>
          <w:sz w:val="24"/>
          <w:szCs w:val="24"/>
        </w:rPr>
        <w:lastRenderedPageBreak/>
        <w:t xml:space="preserve">Una vez sentado lo anterior, en una aproximación inicial, es procedente mencionar que mediante la solicitud de información </w:t>
      </w:r>
      <w:r>
        <w:rPr>
          <w:rFonts w:ascii="Palatino Linotype" w:hAnsi="Palatino Linotype"/>
          <w:b/>
          <w:bCs/>
          <w:sz w:val="24"/>
          <w:szCs w:val="24"/>
        </w:rPr>
        <w:t xml:space="preserve">00605/COACALCO/IP/2021 </w:t>
      </w:r>
      <w:r>
        <w:rPr>
          <w:rFonts w:ascii="Palatino Linotype" w:hAnsi="Palatino Linotype"/>
          <w:bCs/>
          <w:sz w:val="24"/>
          <w:szCs w:val="24"/>
        </w:rPr>
        <w:t xml:space="preserve">fue </w:t>
      </w:r>
      <w:r w:rsidR="006C51AE">
        <w:rPr>
          <w:rFonts w:ascii="Palatino Linotype" w:hAnsi="Palatino Linotype"/>
          <w:bCs/>
          <w:sz w:val="24"/>
          <w:szCs w:val="24"/>
        </w:rPr>
        <w:t xml:space="preserve">formulado </w:t>
      </w:r>
      <w:r w:rsidR="006C51AE">
        <w:rPr>
          <w:rFonts w:ascii="Palatino Linotype" w:hAnsi="Palatino Linotype"/>
          <w:b/>
          <w:bCs/>
          <w:sz w:val="24"/>
          <w:szCs w:val="24"/>
        </w:rPr>
        <w:t xml:space="preserve">1 –un- </w:t>
      </w:r>
      <w:r w:rsidR="006C51AE">
        <w:rPr>
          <w:rFonts w:ascii="Palatino Linotype" w:hAnsi="Palatino Linotype"/>
          <w:bCs/>
          <w:sz w:val="24"/>
          <w:szCs w:val="24"/>
        </w:rPr>
        <w:t xml:space="preserve">requerimiento, respecto del cual el particular fue omiso en señalar elemento temporal, debiendo de ser delimitado al veinticinco de octubre de dos mil veintiuno al corresponder a la fecha en que se ejerció el derecho de acceso a la información pública. </w:t>
      </w:r>
    </w:p>
    <w:p w14:paraId="4A5D58A9" w14:textId="77777777" w:rsidR="006C51AE" w:rsidRPr="00653D2A" w:rsidRDefault="006C51AE" w:rsidP="006C51AE">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7A1F3783" w14:textId="77777777" w:rsidR="006C51AE" w:rsidRPr="009878C2" w:rsidRDefault="006C51AE" w:rsidP="006C51AE">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1AA1A0EA" w14:textId="77777777" w:rsidR="006C51AE" w:rsidRPr="009878C2" w:rsidRDefault="006C51AE" w:rsidP="006C51A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45A70274" w14:textId="77777777" w:rsidR="006C51AE" w:rsidRPr="009878C2" w:rsidRDefault="006C51AE" w:rsidP="006C51A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6056DA75" w14:textId="77777777" w:rsidR="00E95355" w:rsidRDefault="00E95355" w:rsidP="00E95355">
      <w:pPr>
        <w:spacing w:before="240" w:line="360" w:lineRule="auto"/>
        <w:jc w:val="both"/>
        <w:rPr>
          <w:rFonts w:ascii="Palatino Linotype" w:hAnsi="Palatino Linotype"/>
          <w:bCs/>
          <w:sz w:val="24"/>
          <w:szCs w:val="24"/>
        </w:rPr>
      </w:pPr>
    </w:p>
    <w:p w14:paraId="6C533F87" w14:textId="77777777" w:rsidR="006C51AE" w:rsidRDefault="006C51AE" w:rsidP="006C51AE">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331606FD" w14:textId="5FE476FA" w:rsidR="006C51AE" w:rsidRPr="006C51AE" w:rsidRDefault="006C51AE" w:rsidP="00056B96">
      <w:pPr>
        <w:pStyle w:val="Prrafodelista"/>
        <w:numPr>
          <w:ilvl w:val="0"/>
          <w:numId w:val="12"/>
        </w:numPr>
        <w:spacing w:before="240" w:line="360" w:lineRule="auto"/>
        <w:jc w:val="both"/>
        <w:rPr>
          <w:rFonts w:ascii="Palatino Linotype" w:hAnsi="Palatino Linotype"/>
          <w:bCs/>
        </w:rPr>
      </w:pPr>
      <w:r>
        <w:rPr>
          <w:rFonts w:ascii="Palatino Linotype" w:hAnsi="Palatino Linotype"/>
          <w:bCs/>
        </w:rPr>
        <w:t>El o l</w:t>
      </w:r>
      <w:r w:rsidR="00B729F6">
        <w:rPr>
          <w:rFonts w:ascii="Palatino Linotype" w:hAnsi="Palatino Linotype"/>
          <w:bCs/>
        </w:rPr>
        <w:t>os documentos donde consten los</w:t>
      </w:r>
      <w:r>
        <w:rPr>
          <w:rFonts w:ascii="Palatino Linotype" w:hAnsi="Palatino Linotype"/>
          <w:bCs/>
        </w:rPr>
        <w:t xml:space="preserve"> costo</w:t>
      </w:r>
      <w:r w:rsidR="00B729F6">
        <w:rPr>
          <w:rFonts w:ascii="Palatino Linotype" w:hAnsi="Palatino Linotype"/>
          <w:bCs/>
        </w:rPr>
        <w:t>s</w:t>
      </w:r>
      <w:r>
        <w:rPr>
          <w:rFonts w:ascii="Palatino Linotype" w:hAnsi="Palatino Linotype"/>
          <w:bCs/>
        </w:rPr>
        <w:t xml:space="preserve"> </w:t>
      </w:r>
      <w:r w:rsidR="00B729F6">
        <w:rPr>
          <w:rFonts w:ascii="Palatino Linotype" w:hAnsi="Palatino Linotype"/>
          <w:bCs/>
        </w:rPr>
        <w:t xml:space="preserve">por los servicios musicales descritos en la solicitud de información </w:t>
      </w:r>
      <w:r w:rsidR="00B729F6">
        <w:rPr>
          <w:rFonts w:ascii="Palatino Linotype" w:hAnsi="Palatino Linotype"/>
          <w:b/>
          <w:bCs/>
        </w:rPr>
        <w:t>00605/COACALCO/IP/</w:t>
      </w:r>
      <w:r w:rsidR="004E17C2">
        <w:rPr>
          <w:rFonts w:ascii="Palatino Linotype" w:hAnsi="Palatino Linotype"/>
          <w:b/>
          <w:bCs/>
        </w:rPr>
        <w:t xml:space="preserve">2021, </w:t>
      </w:r>
      <w:r w:rsidR="004E17C2">
        <w:rPr>
          <w:rFonts w:ascii="Palatino Linotype" w:hAnsi="Palatino Linotype"/>
          <w:bCs/>
        </w:rPr>
        <w:t xml:space="preserve">así como </w:t>
      </w:r>
      <w:r w:rsidR="004E17C2">
        <w:rPr>
          <w:rFonts w:ascii="Palatino Linotype" w:hAnsi="Palatino Linotype"/>
          <w:bCs/>
        </w:rPr>
        <w:lastRenderedPageBreak/>
        <w:t xml:space="preserve">los contratos, convenios, facturas y/o cualquier otro documento que evidencie dicho costo, al veinticinco de octubre de dos mil veintiuno. </w:t>
      </w:r>
    </w:p>
    <w:p w14:paraId="7F07A56C" w14:textId="77777777" w:rsidR="00E95355" w:rsidRDefault="00E95355" w:rsidP="00E95355">
      <w:pPr>
        <w:spacing w:before="240" w:line="360" w:lineRule="auto"/>
        <w:jc w:val="both"/>
        <w:rPr>
          <w:rFonts w:ascii="Palatino Linotype" w:hAnsi="Palatino Linotype"/>
          <w:bCs/>
          <w:sz w:val="24"/>
          <w:szCs w:val="24"/>
        </w:rPr>
      </w:pPr>
    </w:p>
    <w:p w14:paraId="5ED86FFD" w14:textId="4DB1D201" w:rsidR="00505273" w:rsidRDefault="00505273" w:rsidP="00E95355">
      <w:pPr>
        <w:spacing w:before="240" w:line="360" w:lineRule="auto"/>
        <w:jc w:val="both"/>
        <w:rPr>
          <w:rFonts w:ascii="Palatino Linotype" w:hAnsi="Palatino Linotype"/>
          <w:bCs/>
          <w:sz w:val="24"/>
          <w:szCs w:val="24"/>
        </w:rPr>
      </w:pPr>
      <w:r>
        <w:rPr>
          <w:rFonts w:ascii="Palatino Linotype" w:hAnsi="Palatino Linotype"/>
          <w:bCs/>
          <w:sz w:val="24"/>
          <w:szCs w:val="24"/>
        </w:rPr>
        <w:t xml:space="preserve">En este tenor, en alusión al requerimiento formulado por el particular, resulta oportuno traer a colación el organigrama del </w:t>
      </w:r>
      <w:r>
        <w:rPr>
          <w:rFonts w:ascii="Palatino Linotype" w:hAnsi="Palatino Linotype"/>
          <w:b/>
          <w:bCs/>
          <w:sz w:val="24"/>
          <w:szCs w:val="24"/>
        </w:rPr>
        <w:t xml:space="preserve">Sujeto Obligado, </w:t>
      </w:r>
      <w:r>
        <w:rPr>
          <w:rFonts w:ascii="Palatino Linotype" w:hAnsi="Palatino Linotype"/>
          <w:bCs/>
          <w:sz w:val="24"/>
          <w:szCs w:val="24"/>
        </w:rPr>
        <w:t>susceptible de ser consultado en la siguiente dirección electrónica:</w:t>
      </w:r>
    </w:p>
    <w:p w14:paraId="39D2518C" w14:textId="52E67349" w:rsidR="00505273" w:rsidRPr="00505273" w:rsidRDefault="00745374" w:rsidP="00E95355">
      <w:pPr>
        <w:spacing w:before="240" w:line="360" w:lineRule="auto"/>
        <w:jc w:val="both"/>
        <w:rPr>
          <w:rFonts w:ascii="Palatino Linotype" w:hAnsi="Palatino Linotype"/>
          <w:bCs/>
          <w:sz w:val="24"/>
          <w:szCs w:val="24"/>
        </w:rPr>
      </w:pPr>
      <w:hyperlink r:id="rId8" w:anchor="goTo" w:history="1">
        <w:r w:rsidR="00950647" w:rsidRPr="00E74AA6">
          <w:rPr>
            <w:rStyle w:val="Hipervnculo"/>
            <w:rFonts w:ascii="Palatino Linotype" w:hAnsi="Palatino Linotype"/>
            <w:bCs/>
            <w:sz w:val="24"/>
            <w:szCs w:val="24"/>
          </w:rPr>
          <w:t>https://www.ipomex.org.mx/ipo3/lgt/indice/COACALCO/art_92_ii_b/3/0/.web#goTo</w:t>
        </w:r>
      </w:hyperlink>
      <w:r w:rsidR="00950647">
        <w:rPr>
          <w:rFonts w:ascii="Palatino Linotype" w:hAnsi="Palatino Linotype"/>
          <w:bCs/>
          <w:sz w:val="24"/>
          <w:szCs w:val="24"/>
        </w:rPr>
        <w:t xml:space="preserve"> </w:t>
      </w:r>
    </w:p>
    <w:p w14:paraId="4B510FD0" w14:textId="6BD0551D" w:rsidR="000B13B5" w:rsidRDefault="00950647" w:rsidP="001A0DB5">
      <w:pPr>
        <w:pStyle w:val="Sinespaciado"/>
        <w:spacing w:line="360" w:lineRule="auto"/>
        <w:jc w:val="both"/>
        <w:rPr>
          <w:rFonts w:ascii="Palatino Linotype" w:hAnsi="Palatino Linotype" w:cs="Arial"/>
          <w:bCs/>
          <w:lang w:eastAsia="es-MX"/>
        </w:rPr>
      </w:pPr>
      <w:r>
        <w:rPr>
          <w:rFonts w:ascii="Palatino Linotype" w:hAnsi="Palatino Linotype" w:cs="Arial"/>
          <w:bCs/>
          <w:lang w:eastAsia="es-MX"/>
        </w:rPr>
        <w:t>Sirven de sustento las siguientes imágenes ilustrativas:</w:t>
      </w:r>
    </w:p>
    <w:p w14:paraId="3472B0E9" w14:textId="03A5474C" w:rsidR="00950647" w:rsidRDefault="006953B9" w:rsidP="001A0DB5">
      <w:pPr>
        <w:pStyle w:val="Sinespaciado"/>
        <w:spacing w:line="360" w:lineRule="auto"/>
        <w:jc w:val="both"/>
        <w:rPr>
          <w:rFonts w:ascii="Palatino Linotype" w:hAnsi="Palatino Linotype" w:cs="Arial"/>
          <w:bCs/>
          <w:lang w:eastAsia="es-MX"/>
        </w:rPr>
      </w:pPr>
      <w:r>
        <w:rPr>
          <w:rFonts w:ascii="Palatino Linotype" w:hAnsi="Palatino Linotype" w:cs="Arial"/>
          <w:bCs/>
          <w:noProof/>
          <w:lang w:eastAsia="es-MX"/>
        </w:rPr>
        <w:drawing>
          <wp:anchor distT="0" distB="0" distL="114300" distR="114300" simplePos="0" relativeHeight="251673599" behindDoc="0" locked="0" layoutInCell="1" allowOverlap="1" wp14:anchorId="258DA0D5" wp14:editId="76ACE9E0">
            <wp:simplePos x="0" y="0"/>
            <wp:positionH relativeFrom="page">
              <wp:align>center</wp:align>
            </wp:positionH>
            <wp:positionV relativeFrom="paragraph">
              <wp:posOffset>252095</wp:posOffset>
            </wp:positionV>
            <wp:extent cx="5753100" cy="3562350"/>
            <wp:effectExtent l="19050" t="19050" r="19050" b="19050"/>
            <wp:wrapThrough wrapText="bothSides">
              <wp:wrapPolygon edited="0">
                <wp:start x="-72" y="-116"/>
                <wp:lineTo x="-72" y="21600"/>
                <wp:lineTo x="21600" y="21600"/>
                <wp:lineTo x="21600" y="-116"/>
                <wp:lineTo x="-72" y="-116"/>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3562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EF99CBC" w14:textId="1B2916C1" w:rsidR="00950647" w:rsidRDefault="00950647" w:rsidP="001A0DB5">
      <w:pPr>
        <w:pStyle w:val="Sinespaciado"/>
        <w:spacing w:line="360" w:lineRule="auto"/>
        <w:jc w:val="both"/>
        <w:rPr>
          <w:rFonts w:ascii="Palatino Linotype" w:hAnsi="Palatino Linotype" w:cs="Arial"/>
          <w:bCs/>
          <w:lang w:eastAsia="es-MX"/>
        </w:rPr>
      </w:pPr>
    </w:p>
    <w:p w14:paraId="38FE93B7" w14:textId="62297FFC" w:rsidR="00950647" w:rsidRDefault="00046D9E" w:rsidP="001A0DB5">
      <w:pPr>
        <w:pStyle w:val="Sinespaciado"/>
        <w:spacing w:line="360" w:lineRule="auto"/>
        <w:jc w:val="both"/>
        <w:rPr>
          <w:rFonts w:ascii="Palatino Linotype" w:hAnsi="Palatino Linotype" w:cs="Arial"/>
          <w:bCs/>
          <w:lang w:eastAsia="es-MX"/>
        </w:rPr>
      </w:pPr>
      <w:r>
        <w:rPr>
          <w:rFonts w:ascii="Palatino Linotype" w:hAnsi="Palatino Linotype" w:cs="Arial"/>
          <w:bCs/>
          <w:noProof/>
          <w:lang w:eastAsia="es-MX"/>
        </w:rPr>
        <w:lastRenderedPageBreak/>
        <w:drawing>
          <wp:anchor distT="0" distB="0" distL="114300" distR="114300" simplePos="0" relativeHeight="251677695" behindDoc="0" locked="0" layoutInCell="1" allowOverlap="1" wp14:anchorId="4401F072" wp14:editId="043288FB">
            <wp:simplePos x="0" y="0"/>
            <wp:positionH relativeFrom="margin">
              <wp:posOffset>-133350</wp:posOffset>
            </wp:positionH>
            <wp:positionV relativeFrom="paragraph">
              <wp:posOffset>4124325</wp:posOffset>
            </wp:positionV>
            <wp:extent cx="2847975" cy="1085850"/>
            <wp:effectExtent l="19050" t="19050" r="28575" b="19050"/>
            <wp:wrapThrough wrapText="bothSides">
              <wp:wrapPolygon edited="0">
                <wp:start x="-144" y="-379"/>
                <wp:lineTo x="-144" y="21600"/>
                <wp:lineTo x="21672" y="21600"/>
                <wp:lineTo x="21672" y="-379"/>
                <wp:lineTo x="-144" y="-379"/>
              </wp:wrapPolygon>
            </wp:wrapThrough>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7975" cy="1085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Cs/>
          <w:noProof/>
          <w:lang w:eastAsia="es-MX"/>
        </w:rPr>
        <w:drawing>
          <wp:anchor distT="0" distB="0" distL="114300" distR="114300" simplePos="0" relativeHeight="251678719" behindDoc="0" locked="0" layoutInCell="1" allowOverlap="1" wp14:anchorId="2B8758B5" wp14:editId="6D1FDFA1">
            <wp:simplePos x="0" y="0"/>
            <wp:positionH relativeFrom="margin">
              <wp:posOffset>2988945</wp:posOffset>
            </wp:positionH>
            <wp:positionV relativeFrom="paragraph">
              <wp:posOffset>4124325</wp:posOffset>
            </wp:positionV>
            <wp:extent cx="2867025" cy="1085850"/>
            <wp:effectExtent l="19050" t="19050" r="28575" b="19050"/>
            <wp:wrapThrough wrapText="bothSides">
              <wp:wrapPolygon edited="0">
                <wp:start x="-144" y="-379"/>
                <wp:lineTo x="-144" y="21600"/>
                <wp:lineTo x="21672" y="21600"/>
                <wp:lineTo x="21672" y="-379"/>
                <wp:lineTo x="-144" y="-379"/>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7025" cy="10858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816AD">
        <w:rPr>
          <w:rFonts w:ascii="Palatino Linotype" w:hAnsi="Palatino Linotype" w:cs="Arial"/>
          <w:bCs/>
          <w:noProof/>
          <w:lang w:eastAsia="es-MX"/>
        </w:rPr>
        <w:drawing>
          <wp:anchor distT="0" distB="0" distL="114300" distR="114300" simplePos="0" relativeHeight="251676671" behindDoc="0" locked="0" layoutInCell="1" allowOverlap="1" wp14:anchorId="46152808" wp14:editId="4ED93FBA">
            <wp:simplePos x="0" y="0"/>
            <wp:positionH relativeFrom="page">
              <wp:align>center</wp:align>
            </wp:positionH>
            <wp:positionV relativeFrom="paragraph">
              <wp:posOffset>66675</wp:posOffset>
            </wp:positionV>
            <wp:extent cx="5756910" cy="3533775"/>
            <wp:effectExtent l="19050" t="19050" r="15240" b="28575"/>
            <wp:wrapThrough wrapText="bothSides">
              <wp:wrapPolygon edited="0">
                <wp:start x="-71" y="-116"/>
                <wp:lineTo x="-71" y="21658"/>
                <wp:lineTo x="21586" y="21658"/>
                <wp:lineTo x="21586" y="-116"/>
                <wp:lineTo x="-71" y="-116"/>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910" cy="35337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975AEE5" w14:textId="2C2D9985" w:rsidR="00950647" w:rsidRDefault="00950647" w:rsidP="001A0DB5">
      <w:pPr>
        <w:pStyle w:val="Sinespaciado"/>
        <w:spacing w:line="360" w:lineRule="auto"/>
        <w:jc w:val="both"/>
        <w:rPr>
          <w:rFonts w:ascii="Palatino Linotype" w:hAnsi="Palatino Linotype" w:cs="Arial"/>
          <w:bCs/>
          <w:lang w:eastAsia="es-MX"/>
        </w:rPr>
      </w:pPr>
    </w:p>
    <w:p w14:paraId="7A0891F0" w14:textId="670965FD" w:rsidR="00A43213" w:rsidRDefault="00A43213" w:rsidP="00A43213">
      <w:pPr>
        <w:spacing w:before="240" w:line="360" w:lineRule="auto"/>
        <w:jc w:val="both"/>
        <w:rPr>
          <w:rFonts w:ascii="Palatino Linotype" w:hAnsi="Palatino Linotype"/>
          <w:bCs/>
          <w:sz w:val="24"/>
          <w:szCs w:val="24"/>
        </w:rPr>
      </w:pPr>
      <w:r>
        <w:rPr>
          <w:rFonts w:ascii="Palatino Linotype" w:hAnsi="Palatino Linotype"/>
          <w:bCs/>
          <w:sz w:val="24"/>
          <w:szCs w:val="24"/>
        </w:rPr>
        <w:t xml:space="preserve">De lo expuesto con anterioridad se desprende que </w:t>
      </w:r>
      <w:r>
        <w:rPr>
          <w:rFonts w:ascii="Palatino Linotype" w:hAnsi="Palatino Linotype"/>
          <w:b/>
          <w:sz w:val="24"/>
          <w:szCs w:val="24"/>
        </w:rPr>
        <w:t xml:space="preserve">El Sujeto Obligado </w:t>
      </w:r>
      <w:r>
        <w:rPr>
          <w:rFonts w:ascii="Palatino Linotype" w:hAnsi="Palatino Linotype"/>
          <w:bCs/>
          <w:sz w:val="24"/>
          <w:szCs w:val="24"/>
        </w:rPr>
        <w:t xml:space="preserve">se auxilia de diversas Direcciones, Departamentos y Unidades Administrativas para cumplir con sus fines y objetivos, resultando de nuestro más amplio interés la Tesorería Municipal, así como la Dirección de Administración. </w:t>
      </w:r>
    </w:p>
    <w:p w14:paraId="425236B4" w14:textId="45879B24" w:rsidR="00A43213" w:rsidRDefault="00977BC1" w:rsidP="00A43213">
      <w:pPr>
        <w:spacing w:before="240" w:line="360" w:lineRule="auto"/>
        <w:jc w:val="both"/>
        <w:rPr>
          <w:rFonts w:ascii="Palatino Linotype" w:hAnsi="Palatino Linotype"/>
          <w:bCs/>
          <w:sz w:val="24"/>
          <w:szCs w:val="24"/>
        </w:rPr>
      </w:pPr>
      <w:r>
        <w:rPr>
          <w:rFonts w:ascii="Palatino Linotype" w:hAnsi="Palatino Linotype"/>
          <w:bCs/>
          <w:sz w:val="24"/>
          <w:szCs w:val="24"/>
        </w:rPr>
        <w:lastRenderedPageBreak/>
        <w:t xml:space="preserve">Bajo este contexto, se traen a colación los artículos </w:t>
      </w:r>
      <w:r w:rsidR="006F2600">
        <w:rPr>
          <w:rFonts w:ascii="Palatino Linotype" w:hAnsi="Palatino Linotype"/>
          <w:bCs/>
          <w:sz w:val="24"/>
          <w:szCs w:val="24"/>
        </w:rPr>
        <w:t xml:space="preserve">95, </w:t>
      </w:r>
      <w:r w:rsidR="00C2785D">
        <w:rPr>
          <w:rFonts w:ascii="Palatino Linotype" w:hAnsi="Palatino Linotype"/>
          <w:bCs/>
          <w:sz w:val="24"/>
          <w:szCs w:val="24"/>
        </w:rPr>
        <w:t>fracciones I y IV</w:t>
      </w:r>
      <w:r w:rsidR="006F2600">
        <w:rPr>
          <w:rFonts w:ascii="Palatino Linotype" w:hAnsi="Palatino Linotype"/>
          <w:bCs/>
          <w:sz w:val="24"/>
          <w:szCs w:val="24"/>
        </w:rPr>
        <w:t xml:space="preserve"> de la Ley Orgánica Municipal del Estado de México, así como los numerales 40 y 46 del Bando Municipal de Coacalco, porciones normativas que disponen a la literalidad lo siguiente:</w:t>
      </w:r>
    </w:p>
    <w:p w14:paraId="1B2F98F6" w14:textId="43675D20" w:rsidR="00977BC1" w:rsidRPr="006F2600" w:rsidRDefault="006F2600" w:rsidP="006F2600">
      <w:pPr>
        <w:pStyle w:val="Citas"/>
        <w:jc w:val="center"/>
        <w:rPr>
          <w:b/>
        </w:rPr>
      </w:pPr>
      <w:r w:rsidRPr="006F2600">
        <w:rPr>
          <w:b/>
        </w:rPr>
        <w:t>Ley Orgánica Municipal del Estado de México</w:t>
      </w:r>
    </w:p>
    <w:p w14:paraId="6F6C5ECD" w14:textId="55053449" w:rsidR="006F2600" w:rsidRDefault="006F2600" w:rsidP="006F2600">
      <w:pPr>
        <w:pStyle w:val="Citas"/>
      </w:pPr>
      <w:r>
        <w:t>“</w:t>
      </w:r>
      <w:r w:rsidR="00977BC1">
        <w:t>Artículo 95.- Son atribuciones del tesorero municipal:</w:t>
      </w:r>
    </w:p>
    <w:p w14:paraId="52C351BF" w14:textId="2B7DD7EF" w:rsidR="00950647" w:rsidRDefault="00977BC1" w:rsidP="006F2600">
      <w:pPr>
        <w:pStyle w:val="Citas"/>
      </w:pPr>
      <w:r>
        <w:t xml:space="preserve"> I. Administrar la hacienda pública municipal, de conformidad con las disposiciones legales aplicables;</w:t>
      </w:r>
    </w:p>
    <w:p w14:paraId="004CD624" w14:textId="14A5E8F9" w:rsidR="00977BC1" w:rsidRDefault="00977BC1" w:rsidP="006F2600">
      <w:pPr>
        <w:pStyle w:val="Citas"/>
      </w:pPr>
      <w:r>
        <w:t>(…)</w:t>
      </w:r>
    </w:p>
    <w:p w14:paraId="3BE762A3" w14:textId="3DB224EA" w:rsidR="00977BC1" w:rsidRPr="006F2600" w:rsidRDefault="00977BC1" w:rsidP="006F2600">
      <w:pPr>
        <w:pStyle w:val="Citas"/>
        <w:rPr>
          <w:b/>
          <w:u w:val="single"/>
        </w:rPr>
      </w:pPr>
      <w:r w:rsidRPr="006F2600">
        <w:rPr>
          <w:b/>
          <w:u w:val="single"/>
        </w:rPr>
        <w:t>IV. Llevar los registros contables, financieros y administrativos de los ingresos, egresos, e inventarios;</w:t>
      </w:r>
    </w:p>
    <w:p w14:paraId="15D1B03D" w14:textId="5455251E" w:rsidR="006F2600" w:rsidRPr="006F2600" w:rsidRDefault="006F2600" w:rsidP="006F2600">
      <w:pPr>
        <w:pStyle w:val="Citas"/>
        <w:rPr>
          <w:b/>
        </w:rPr>
      </w:pPr>
      <w:r>
        <w:t xml:space="preserve">(…)” </w:t>
      </w:r>
      <w:r>
        <w:rPr>
          <w:b/>
        </w:rPr>
        <w:t xml:space="preserve">[Sic] </w:t>
      </w:r>
    </w:p>
    <w:p w14:paraId="763F01D7" w14:textId="77777777" w:rsidR="00977BC1" w:rsidRDefault="00977BC1" w:rsidP="00977BC1">
      <w:pPr>
        <w:spacing w:before="240" w:line="360" w:lineRule="auto"/>
        <w:jc w:val="both"/>
        <w:rPr>
          <w:rFonts w:ascii="Palatino Linotype" w:hAnsi="Palatino Linotype" w:cs="Arial"/>
          <w:bCs/>
          <w:lang w:eastAsia="es-MX"/>
        </w:rPr>
      </w:pPr>
    </w:p>
    <w:p w14:paraId="3CBA4276" w14:textId="484947E5" w:rsidR="00950647" w:rsidRPr="006F2600" w:rsidRDefault="00977BC1" w:rsidP="006F2600">
      <w:pPr>
        <w:pStyle w:val="Citas"/>
        <w:jc w:val="center"/>
        <w:rPr>
          <w:b/>
          <w:lang w:eastAsia="es-MX"/>
        </w:rPr>
      </w:pPr>
      <w:r w:rsidRPr="006F2600">
        <w:rPr>
          <w:b/>
          <w:lang w:eastAsia="es-MX"/>
        </w:rPr>
        <w:t>Bando Municipal de Coacalco</w:t>
      </w:r>
    </w:p>
    <w:p w14:paraId="0825E499" w14:textId="71902137" w:rsidR="00E95355" w:rsidRDefault="006F2600" w:rsidP="006F2600">
      <w:pPr>
        <w:pStyle w:val="Citas"/>
        <w:rPr>
          <w:lang w:eastAsia="es-MX"/>
        </w:rPr>
      </w:pPr>
      <w:r>
        <w:t>“</w:t>
      </w:r>
      <w:r w:rsidR="00977BC1">
        <w:t>Artículo 40. La Tesorería Municipal es el órgano encargado de la recaudación de los ingresos municipales, así como de la administración de la hacienda pública municipal, y la responsable de realizar las erogaciones que haga el Gobierno Municipal de conformidad con los ordenamientos legales aplicables.</w:t>
      </w:r>
    </w:p>
    <w:p w14:paraId="30BF8312" w14:textId="5219F142" w:rsidR="00E95355" w:rsidRPr="006F2600" w:rsidRDefault="00977BC1" w:rsidP="006F2600">
      <w:pPr>
        <w:pStyle w:val="Citas"/>
        <w:rPr>
          <w:b/>
          <w:lang w:eastAsia="es-MX"/>
        </w:rPr>
      </w:pPr>
      <w:r>
        <w:t xml:space="preserve">Artículo 46. La Dirección de Administración será la Dependencia responsable de administrar los recursos humanos, materiales, tecnológicos, financieros y de </w:t>
      </w:r>
      <w:r>
        <w:lastRenderedPageBreak/>
        <w:t>servicios de las Dependencias de la Administración Pública Municipal y asignará a éstas, previa autorización del Presidente Municipal, el personal capacitado que requieran para el cumplimiento de sus atribuciones, llevando el registro del mismo y, en coordinación con la Tesorería Municipal, realizará el pago de las remuneraciones, establecerá programas de capacitación, atenderá las relaciones laborales, efectuará las compras que requieren las dependencias y en general, cumplirá con todas las atribuciones que le otorguen las disposiciones legales que regulen sus actividades.</w:t>
      </w:r>
      <w:r w:rsidR="006F2600">
        <w:t xml:space="preserve">” </w:t>
      </w:r>
      <w:r w:rsidR="006F2600">
        <w:rPr>
          <w:b/>
        </w:rPr>
        <w:t xml:space="preserve">[Sic] </w:t>
      </w:r>
    </w:p>
    <w:p w14:paraId="3E1419F0" w14:textId="77777777" w:rsidR="00E95355" w:rsidRDefault="00E95355" w:rsidP="001A0DB5">
      <w:pPr>
        <w:pStyle w:val="Sinespaciado"/>
        <w:spacing w:line="360" w:lineRule="auto"/>
        <w:jc w:val="both"/>
        <w:rPr>
          <w:rFonts w:ascii="Palatino Linotype" w:hAnsi="Palatino Linotype" w:cs="Arial"/>
          <w:bCs/>
          <w:lang w:eastAsia="es-MX"/>
        </w:rPr>
      </w:pPr>
    </w:p>
    <w:p w14:paraId="2433E235" w14:textId="61002A1D" w:rsidR="00E95355" w:rsidRDefault="003418F9" w:rsidP="001A0DB5">
      <w:pPr>
        <w:pStyle w:val="Sinespaciado"/>
        <w:spacing w:line="360" w:lineRule="auto"/>
        <w:jc w:val="both"/>
        <w:rPr>
          <w:rFonts w:ascii="Palatino Linotype" w:hAnsi="Palatino Linotype"/>
          <w:bCs/>
        </w:rPr>
      </w:pPr>
      <w:r>
        <w:rPr>
          <w:rFonts w:ascii="Palatino Linotype" w:hAnsi="Palatino Linotype"/>
          <w:bCs/>
        </w:rPr>
        <w:t xml:space="preserve">En efecto, de la normatividad plasmada con anterioridad se desprende que la Dirección de Administración gestiona los recursos humanos, materiales, tecnológicos y financieros de la administración pública municipal. En contraste, la Tesorería Municipal funge como la unidad administrativa encauzada a realizar las erogaciones y llevar los registros contables respectivos. </w:t>
      </w:r>
    </w:p>
    <w:p w14:paraId="1B993E85" w14:textId="77777777" w:rsidR="003418F9" w:rsidRDefault="003418F9" w:rsidP="001A0DB5">
      <w:pPr>
        <w:pStyle w:val="Sinespaciado"/>
        <w:spacing w:line="360" w:lineRule="auto"/>
        <w:jc w:val="both"/>
        <w:rPr>
          <w:rFonts w:ascii="Palatino Linotype" w:hAnsi="Palatino Linotype" w:cs="Arial"/>
          <w:bCs/>
          <w:lang w:eastAsia="es-MX"/>
        </w:rPr>
      </w:pPr>
    </w:p>
    <w:p w14:paraId="3DF7A6C7" w14:textId="77777777" w:rsidR="003418F9" w:rsidRPr="00AA7EDD" w:rsidRDefault="003418F9" w:rsidP="003418F9">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parcialmente dentro de las obligaciones de transparencia común, robustece lo anterior los artículos 24, fracción XII y 92, fracción XXIX de la Ley de Transparencia y Acceso a la Información Pública del Estado de México y Municipios, normatividad invocada cuyo contenido literal es el siguiente: </w:t>
      </w:r>
    </w:p>
    <w:p w14:paraId="60C6055F"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 “Artículo 24. Para el cumplimiento de los objetivos de esta Ley, los sujetos obligados deberán cumplir con las siguientes obligaciones, según corresponda, de acuerdo a su naturaleza:</w:t>
      </w:r>
    </w:p>
    <w:p w14:paraId="27C8E8A0" w14:textId="77777777" w:rsidR="003418F9" w:rsidRPr="00E66BD3" w:rsidRDefault="003418F9" w:rsidP="003418F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6191172B"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632ACAF" w14:textId="77777777" w:rsidR="003418F9" w:rsidRPr="00E66BD3" w:rsidRDefault="003418F9" w:rsidP="003418F9">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311763CE" w14:textId="77777777" w:rsidR="003418F9" w:rsidRPr="00303BAD" w:rsidRDefault="003418F9" w:rsidP="003418F9">
      <w:pPr>
        <w:spacing w:before="240" w:line="360" w:lineRule="auto"/>
        <w:ind w:left="851" w:right="851"/>
        <w:jc w:val="both"/>
        <w:rPr>
          <w:rFonts w:ascii="Palatino Linotype" w:hAnsi="Palatino Linotype"/>
          <w:i/>
        </w:rPr>
      </w:pPr>
      <w:r w:rsidRPr="00303BAD">
        <w:rPr>
          <w:rFonts w:ascii="Palatino Linotype" w:hAnsi="Palatino Linotype"/>
          <w:i/>
        </w:rPr>
        <w:t xml:space="preserve">a) De licitaciones públicas o procedimientos de invitación restringida: </w:t>
      </w:r>
    </w:p>
    <w:p w14:paraId="695CB272"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1) La convocatoria o invitación emitida, así como los fundamentos legales aplicados para llevarla a cabo; </w:t>
      </w:r>
    </w:p>
    <w:p w14:paraId="2436ACBD"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608D82A9"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2FDA697C"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4) El área solicitante y la responsable de su ejecución; </w:t>
      </w:r>
    </w:p>
    <w:p w14:paraId="690D7696"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448B4FB4"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2F7D85DB" w14:textId="77777777" w:rsidR="003418F9" w:rsidRPr="00303BAD" w:rsidRDefault="003418F9" w:rsidP="003418F9">
      <w:pPr>
        <w:spacing w:before="240" w:line="360" w:lineRule="auto"/>
        <w:ind w:left="851" w:right="851"/>
        <w:jc w:val="both"/>
        <w:rPr>
          <w:rFonts w:ascii="Palatino Linotype" w:hAnsi="Palatino Linotype"/>
          <w:i/>
        </w:rPr>
      </w:pPr>
      <w:r w:rsidRPr="00303BAD">
        <w:rPr>
          <w:rFonts w:ascii="Palatino Linotype" w:hAnsi="Palatino Linotype"/>
          <w:i/>
        </w:rPr>
        <w:t xml:space="preserve">7) El contrato y, en su caso, sus anexos; </w:t>
      </w:r>
    </w:p>
    <w:p w14:paraId="7D84F7C0"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71216EBE"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2AA261BE" w14:textId="77777777" w:rsidR="003418F9" w:rsidRPr="00303BAD"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w:t>
      </w:r>
      <w:r w:rsidRPr="00303BAD">
        <w:rPr>
          <w:rFonts w:ascii="Palatino Linotype" w:hAnsi="Palatino Linotype"/>
          <w:i/>
        </w:rPr>
        <w:t xml:space="preserve">como el tipo de fondo de participación o aportación respectiva; </w:t>
      </w:r>
    </w:p>
    <w:p w14:paraId="328C6D19" w14:textId="77777777" w:rsidR="003418F9" w:rsidRPr="00303BAD" w:rsidRDefault="003418F9" w:rsidP="003418F9">
      <w:pPr>
        <w:spacing w:before="240" w:line="360" w:lineRule="auto"/>
        <w:ind w:left="851" w:right="851"/>
        <w:jc w:val="both"/>
        <w:rPr>
          <w:rFonts w:ascii="Palatino Linotype" w:hAnsi="Palatino Linotype"/>
          <w:i/>
        </w:rPr>
      </w:pPr>
      <w:r w:rsidRPr="00303BAD">
        <w:rPr>
          <w:rFonts w:ascii="Palatino Linotype" w:hAnsi="Palatino Linotype"/>
          <w:i/>
        </w:rPr>
        <w:t>11) Los convenios modificatorios que, en su caso, sean firmados, precisando el objeto y la fecha de celebración;</w:t>
      </w:r>
    </w:p>
    <w:p w14:paraId="50421EF7"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13AABD21"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182654D6" w14:textId="77777777" w:rsidR="003418F9" w:rsidRPr="00303BAD" w:rsidRDefault="003418F9" w:rsidP="003418F9">
      <w:pPr>
        <w:spacing w:before="240" w:line="360" w:lineRule="auto"/>
        <w:ind w:left="851" w:right="851"/>
        <w:jc w:val="both"/>
        <w:rPr>
          <w:rFonts w:ascii="Palatino Linotype" w:hAnsi="Palatino Linotype"/>
          <w:b/>
          <w:i/>
          <w:u w:val="single"/>
        </w:rPr>
      </w:pPr>
      <w:r w:rsidRPr="00303BAD">
        <w:rPr>
          <w:rFonts w:ascii="Palatino Linotype" w:hAnsi="Palatino Linotype"/>
          <w:b/>
          <w:i/>
          <w:u w:val="single"/>
        </w:rPr>
        <w:t xml:space="preserve">b) De las adjudicaciones directas: </w:t>
      </w:r>
    </w:p>
    <w:p w14:paraId="119151EA"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0F002C04"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14A55D2A"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26F3C137" w14:textId="77777777" w:rsidR="003418F9" w:rsidRPr="00303BAD" w:rsidRDefault="003418F9" w:rsidP="003418F9">
      <w:pPr>
        <w:spacing w:before="240" w:line="360" w:lineRule="auto"/>
        <w:ind w:left="851" w:right="851"/>
        <w:jc w:val="both"/>
        <w:rPr>
          <w:rFonts w:ascii="Palatino Linotype" w:hAnsi="Palatino Linotype"/>
          <w:i/>
        </w:rPr>
      </w:pPr>
      <w:r w:rsidRPr="00303BAD">
        <w:rPr>
          <w:rFonts w:ascii="Palatino Linotype" w:hAnsi="Palatino Linotype"/>
          <w:i/>
        </w:rPr>
        <w:lastRenderedPageBreak/>
        <w:t xml:space="preserve">4) En su caso, las cotizaciones consideradas, especificando los nombres de los proveedores y sus montos; </w:t>
      </w:r>
    </w:p>
    <w:p w14:paraId="70483438"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1D082EFF"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5DFFC0C8"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379391D2"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334E04F9"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53219C92" w14:textId="77777777" w:rsidR="003418F9" w:rsidRPr="00E66BD3" w:rsidRDefault="003418F9" w:rsidP="003418F9">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4B807E41" w14:textId="77777777" w:rsidR="003418F9" w:rsidRDefault="003418F9" w:rsidP="003418F9">
      <w:pPr>
        <w:spacing w:before="240" w:line="360" w:lineRule="auto"/>
        <w:ind w:left="851" w:right="851"/>
        <w:jc w:val="both"/>
        <w:rPr>
          <w:rFonts w:ascii="Palatino Linotype" w:hAnsi="Palatino Linotype"/>
          <w:i/>
        </w:rPr>
      </w:pPr>
      <w:r>
        <w:rPr>
          <w:rFonts w:ascii="Palatino Linotype" w:hAnsi="Palatino Linotype"/>
          <w:i/>
        </w:rPr>
        <w:t>11) El finiquito.</w:t>
      </w:r>
    </w:p>
    <w:p w14:paraId="1B786F10" w14:textId="77777777" w:rsidR="003418F9" w:rsidRPr="00264588" w:rsidRDefault="003418F9" w:rsidP="003418F9">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76497E6B" w14:textId="77777777" w:rsidR="003418F9" w:rsidRDefault="003418F9" w:rsidP="003418F9">
      <w:pPr>
        <w:pStyle w:val="infoemcitas"/>
        <w:tabs>
          <w:tab w:val="left" w:pos="7655"/>
        </w:tabs>
        <w:ind w:left="0" w:right="0"/>
        <w:rPr>
          <w:i w:val="0"/>
          <w:sz w:val="24"/>
          <w:szCs w:val="24"/>
        </w:rPr>
      </w:pPr>
    </w:p>
    <w:p w14:paraId="7C83C541" w14:textId="77777777" w:rsidR="003418F9" w:rsidRPr="00303BAD" w:rsidRDefault="003418F9" w:rsidP="003418F9">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66334E84" w14:textId="77777777" w:rsidR="003418F9" w:rsidRPr="00303BAD" w:rsidRDefault="00745374" w:rsidP="003418F9">
      <w:pPr>
        <w:pStyle w:val="Prrafodelista"/>
        <w:autoSpaceDE w:val="0"/>
        <w:autoSpaceDN w:val="0"/>
        <w:adjustRightInd w:val="0"/>
        <w:spacing w:before="240" w:after="160" w:line="360" w:lineRule="auto"/>
        <w:ind w:left="0"/>
        <w:jc w:val="both"/>
        <w:rPr>
          <w:rFonts w:ascii="Palatino Linotype" w:hAnsi="Palatino Linotype"/>
          <w:bCs/>
        </w:rPr>
      </w:pPr>
      <w:hyperlink r:id="rId13" w:history="1">
        <w:r w:rsidR="003418F9" w:rsidRPr="00303BAD">
          <w:rPr>
            <w:rStyle w:val="Hipervnculo"/>
            <w:rFonts w:ascii="Palatino Linotype" w:hAnsi="Palatino Linotype"/>
            <w:bCs/>
          </w:rPr>
          <w:t>https://www.infoem.org.mx/es/contenido/transparencia/directorio-de-sujetos-obligados</w:t>
        </w:r>
      </w:hyperlink>
      <w:r w:rsidR="003418F9" w:rsidRPr="00303BAD">
        <w:rPr>
          <w:rFonts w:ascii="Palatino Linotype" w:hAnsi="Palatino Linotype"/>
          <w:bCs/>
        </w:rPr>
        <w:t xml:space="preserve"> </w:t>
      </w:r>
    </w:p>
    <w:p w14:paraId="7CD62288" w14:textId="77777777" w:rsidR="003418F9" w:rsidRDefault="003418F9" w:rsidP="001A0DB5">
      <w:pPr>
        <w:pStyle w:val="Sinespaciado"/>
        <w:spacing w:line="360" w:lineRule="auto"/>
        <w:jc w:val="both"/>
        <w:rPr>
          <w:rFonts w:ascii="Palatino Linotype" w:hAnsi="Palatino Linotype" w:cs="Arial"/>
          <w:bCs/>
          <w:lang w:eastAsia="es-MX"/>
        </w:rPr>
      </w:pPr>
    </w:p>
    <w:p w14:paraId="11366A8F" w14:textId="0FD7A46E" w:rsidR="003418F9" w:rsidRDefault="00373BE7" w:rsidP="001A0DB5">
      <w:pPr>
        <w:pStyle w:val="Sinespaciado"/>
        <w:spacing w:line="360" w:lineRule="auto"/>
        <w:jc w:val="both"/>
        <w:rPr>
          <w:rFonts w:ascii="Palatino Linotype" w:hAnsi="Palatino Linotype" w:cs="Arial"/>
          <w:bCs/>
          <w:lang w:eastAsia="es-MX"/>
        </w:rPr>
      </w:pPr>
      <w:r>
        <w:rPr>
          <w:rFonts w:ascii="Palatino Linotype" w:hAnsi="Palatino Linotype" w:cs="Arial"/>
          <w:bCs/>
          <w:noProof/>
          <w:lang w:eastAsia="es-MX"/>
        </w:rPr>
        <w:lastRenderedPageBreak/>
        <w:drawing>
          <wp:anchor distT="0" distB="0" distL="114300" distR="114300" simplePos="0" relativeHeight="251682815" behindDoc="0" locked="0" layoutInCell="1" allowOverlap="1" wp14:anchorId="27FB11C5" wp14:editId="3D193ED1">
            <wp:simplePos x="0" y="0"/>
            <wp:positionH relativeFrom="column">
              <wp:posOffset>15240</wp:posOffset>
            </wp:positionH>
            <wp:positionV relativeFrom="paragraph">
              <wp:posOffset>3697605</wp:posOffset>
            </wp:positionV>
            <wp:extent cx="5760720" cy="3562350"/>
            <wp:effectExtent l="19050" t="19050" r="11430" b="19050"/>
            <wp:wrapThrough wrapText="bothSides">
              <wp:wrapPolygon edited="0">
                <wp:start x="-71" y="-116"/>
                <wp:lineTo x="-71" y="21600"/>
                <wp:lineTo x="21571" y="21600"/>
                <wp:lineTo x="21571" y="-116"/>
                <wp:lineTo x="-71" y="-116"/>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562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bCs/>
          <w:noProof/>
          <w:lang w:eastAsia="es-MX"/>
        </w:rPr>
        <w:drawing>
          <wp:anchor distT="0" distB="0" distL="114300" distR="114300" simplePos="0" relativeHeight="251681791" behindDoc="0" locked="0" layoutInCell="1" allowOverlap="1" wp14:anchorId="352D2589" wp14:editId="4475BF20">
            <wp:simplePos x="0" y="0"/>
            <wp:positionH relativeFrom="column">
              <wp:posOffset>18415</wp:posOffset>
            </wp:positionH>
            <wp:positionV relativeFrom="paragraph">
              <wp:posOffset>19050</wp:posOffset>
            </wp:positionV>
            <wp:extent cx="5760720" cy="3562350"/>
            <wp:effectExtent l="19050" t="19050" r="11430" b="19050"/>
            <wp:wrapThrough wrapText="bothSides">
              <wp:wrapPolygon edited="0">
                <wp:start x="-71" y="-116"/>
                <wp:lineTo x="-71" y="21600"/>
                <wp:lineTo x="21571" y="21600"/>
                <wp:lineTo x="21571" y="-116"/>
                <wp:lineTo x="-71" y="-116"/>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60720" cy="3562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FA2BD7F" w14:textId="29C006EB" w:rsidR="003418F9" w:rsidRDefault="00373BE7" w:rsidP="001A0DB5">
      <w:pPr>
        <w:pStyle w:val="Sinespaciado"/>
        <w:spacing w:line="360" w:lineRule="auto"/>
        <w:jc w:val="both"/>
        <w:rPr>
          <w:rFonts w:ascii="Palatino Linotype" w:hAnsi="Palatino Linotype" w:cs="Arial"/>
          <w:bCs/>
          <w:lang w:eastAsia="es-MX"/>
        </w:rPr>
      </w:pPr>
      <w:r>
        <w:rPr>
          <w:rFonts w:ascii="Palatino Linotype" w:hAnsi="Palatino Linotype" w:cs="Arial"/>
          <w:bCs/>
          <w:noProof/>
          <w:lang w:eastAsia="es-MX"/>
        </w:rPr>
        <w:lastRenderedPageBreak/>
        <w:drawing>
          <wp:anchor distT="0" distB="0" distL="114300" distR="114300" simplePos="0" relativeHeight="251683839" behindDoc="0" locked="0" layoutInCell="1" allowOverlap="1" wp14:anchorId="352B57EE" wp14:editId="46D62715">
            <wp:simplePos x="0" y="0"/>
            <wp:positionH relativeFrom="column">
              <wp:posOffset>15240</wp:posOffset>
            </wp:positionH>
            <wp:positionV relativeFrom="paragraph">
              <wp:posOffset>19050</wp:posOffset>
            </wp:positionV>
            <wp:extent cx="5753100" cy="3562350"/>
            <wp:effectExtent l="19050" t="19050" r="19050" b="19050"/>
            <wp:wrapThrough wrapText="bothSides">
              <wp:wrapPolygon edited="0">
                <wp:start x="-72" y="-116"/>
                <wp:lineTo x="-72" y="21600"/>
                <wp:lineTo x="21600" y="21600"/>
                <wp:lineTo x="21600" y="-116"/>
                <wp:lineTo x="-72" y="-116"/>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356235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14CB143" w14:textId="6153DF3F" w:rsidR="003418F9" w:rsidRDefault="003418F9" w:rsidP="001A0DB5">
      <w:pPr>
        <w:pStyle w:val="Sinespaciado"/>
        <w:spacing w:line="360" w:lineRule="auto"/>
        <w:jc w:val="both"/>
        <w:rPr>
          <w:rFonts w:ascii="Palatino Linotype" w:hAnsi="Palatino Linotype" w:cs="Arial"/>
          <w:bCs/>
          <w:lang w:eastAsia="es-MX"/>
        </w:rPr>
      </w:pPr>
    </w:p>
    <w:p w14:paraId="7E6BD57C" w14:textId="77777777" w:rsidR="00C606F4" w:rsidRPr="00E17B3E" w:rsidRDefault="00C606F4" w:rsidP="00C606F4">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sidRPr="00E17B3E">
        <w:rPr>
          <w:rFonts w:ascii="Palatino Linotype" w:hAnsi="Palatino Linotype"/>
          <w:bCs/>
        </w:rPr>
        <w:t xml:space="preserve">Con base en lo anteriormente expuesto, se arriba a la conclusión de que la esfera competencial del </w:t>
      </w:r>
      <w:r w:rsidRPr="00E17B3E">
        <w:rPr>
          <w:rFonts w:ascii="Palatino Linotype" w:hAnsi="Palatino Linotype"/>
          <w:b/>
        </w:rPr>
        <w:t xml:space="preserve">Sujeto Obligado </w:t>
      </w:r>
      <w:r w:rsidRPr="00E17B3E">
        <w:rPr>
          <w:rFonts w:ascii="Palatino Linotype" w:hAnsi="Palatino Linotype"/>
          <w:bCs/>
        </w:rPr>
        <w:t>lo constriñe a generar, poseer y administrar la información requerida</w:t>
      </w:r>
      <w:r>
        <w:rPr>
          <w:rFonts w:ascii="Palatino Linotype" w:hAnsi="Palatino Linotype"/>
          <w:bCs/>
        </w:rPr>
        <w:t>.</w:t>
      </w:r>
    </w:p>
    <w:p w14:paraId="70B27A52" w14:textId="77777777" w:rsidR="00C606F4" w:rsidRDefault="00C606F4" w:rsidP="00C606F4">
      <w:pPr>
        <w:pStyle w:val="Prrafodelista"/>
        <w:autoSpaceDE w:val="0"/>
        <w:autoSpaceDN w:val="0"/>
        <w:adjustRightInd w:val="0"/>
        <w:spacing w:before="240" w:after="160" w:line="360" w:lineRule="auto"/>
        <w:ind w:left="0"/>
        <w:jc w:val="both"/>
        <w:rPr>
          <w:rFonts w:ascii="Palatino Linotype" w:hAnsi="Palatino Linotype" w:cs="Arial"/>
          <w:bCs/>
          <w:lang w:eastAsia="es-MX"/>
        </w:rPr>
      </w:pPr>
      <w:r w:rsidRPr="00E17B3E">
        <w:rPr>
          <w:rFonts w:ascii="Palatino Linotype" w:hAnsi="Palatino Linotype" w:cs="Arial"/>
          <w:lang w:eastAsia="es-MX"/>
        </w:rPr>
        <w:t xml:space="preserve">Una vez sentado lo anterior, como se mencionó en el antecedente </w:t>
      </w:r>
      <w:r>
        <w:rPr>
          <w:rFonts w:ascii="Palatino Linotype" w:hAnsi="Palatino Linotype" w:cs="Arial"/>
          <w:lang w:eastAsia="es-MX"/>
        </w:rPr>
        <w:t>segundo</w:t>
      </w:r>
      <w:r w:rsidRPr="00E17B3E">
        <w:rPr>
          <w:rFonts w:ascii="Palatino Linotype" w:hAnsi="Palatino Linotype" w:cs="Arial"/>
          <w:lang w:eastAsia="es-MX"/>
        </w:rPr>
        <w:t xml:space="preserve"> </w:t>
      </w:r>
      <w:r w:rsidRPr="00E17B3E">
        <w:rPr>
          <w:rFonts w:ascii="Palatino Linotype" w:hAnsi="Palatino Linotype" w:cs="Arial"/>
          <w:b/>
          <w:bCs/>
          <w:lang w:eastAsia="es-MX"/>
        </w:rPr>
        <w:t>El Sujeto Obligado</w:t>
      </w:r>
      <w:r>
        <w:rPr>
          <w:rFonts w:ascii="Palatino Linotype" w:hAnsi="Palatino Linotype" w:cs="Arial"/>
          <w:b/>
          <w:bCs/>
          <w:lang w:eastAsia="es-MX"/>
        </w:rPr>
        <w:t xml:space="preserve"> </w:t>
      </w:r>
      <w:r>
        <w:rPr>
          <w:rFonts w:ascii="Palatino Linotype" w:hAnsi="Palatino Linotype" w:cs="Arial"/>
          <w:bCs/>
          <w:lang w:eastAsia="es-MX"/>
        </w:rPr>
        <w:t xml:space="preserve">rindió su respuesta, adjuntando para tal efecto los siguientes soportes documentales: </w:t>
      </w:r>
    </w:p>
    <w:p w14:paraId="77ED4DC1" w14:textId="72AA6A62" w:rsidR="003418F9" w:rsidRDefault="00C606F4" w:rsidP="00C606F4">
      <w:pPr>
        <w:pStyle w:val="Sinespaciado"/>
        <w:numPr>
          <w:ilvl w:val="0"/>
          <w:numId w:val="13"/>
        </w:numPr>
        <w:spacing w:line="360" w:lineRule="auto"/>
        <w:jc w:val="both"/>
        <w:rPr>
          <w:rFonts w:ascii="Palatino Linotype" w:hAnsi="Palatino Linotype" w:cs="Arial"/>
          <w:b/>
          <w:bCs/>
          <w:lang w:eastAsia="es-MX"/>
        </w:rPr>
      </w:pPr>
      <w:r>
        <w:rPr>
          <w:rFonts w:ascii="Palatino Linotype" w:hAnsi="Palatino Linotype" w:cs="Arial"/>
          <w:b/>
          <w:bCs/>
          <w:lang w:eastAsia="es-MX"/>
        </w:rPr>
        <w:t xml:space="preserve">“RESPUESTA 0605.docx”: </w:t>
      </w:r>
      <w:r w:rsidRPr="00C606F4">
        <w:rPr>
          <w:rFonts w:ascii="Palatino Linotype" w:hAnsi="Palatino Linotype" w:cs="Arial"/>
          <w:bCs/>
          <w:lang w:eastAsia="es-MX"/>
        </w:rPr>
        <w:t xml:space="preserve">Oficio </w:t>
      </w:r>
      <w:r w:rsidRPr="00C606F4">
        <w:rPr>
          <w:rFonts w:ascii="Palatino Linotype" w:hAnsi="Palatino Linotype" w:cs="Arial"/>
          <w:b/>
          <w:lang w:val="es-ES_tradnl"/>
        </w:rPr>
        <w:t>UT/IVA/1426/2021</w:t>
      </w:r>
      <w:r>
        <w:rPr>
          <w:rFonts w:ascii="Palatino Linotype" w:hAnsi="Palatino Linotype" w:cs="Arial"/>
          <w:lang w:val="es-ES_tradnl"/>
        </w:rPr>
        <w:t xml:space="preserve"> remitido por el Titular de la Unidad de Transparencia y Protección de Datos y dirigido al solicitante, en </w:t>
      </w:r>
      <w:r>
        <w:rPr>
          <w:rFonts w:ascii="Palatino Linotype" w:hAnsi="Palatino Linotype" w:cs="Arial"/>
          <w:lang w:val="es-ES_tradnl"/>
        </w:rPr>
        <w:lastRenderedPageBreak/>
        <w:t xml:space="preserve">lo medular señala que la solicitud de información </w:t>
      </w:r>
      <w:r>
        <w:rPr>
          <w:rFonts w:ascii="Palatino Linotype" w:hAnsi="Palatino Linotype" w:cs="Arial"/>
          <w:b/>
          <w:lang w:val="es-ES_tradnl"/>
        </w:rPr>
        <w:t xml:space="preserve">00605/COACALCO/IP/2021 </w:t>
      </w:r>
      <w:r>
        <w:rPr>
          <w:rFonts w:ascii="Palatino Linotype" w:hAnsi="Palatino Linotype" w:cs="Arial"/>
          <w:lang w:val="es-ES_tradnl"/>
        </w:rPr>
        <w:t xml:space="preserve">fue turnada al Director de Administración, adjuntando para tal efecto su respuesta; de fecha veintiséis de noviembre de dos mil veintiuno. </w:t>
      </w:r>
    </w:p>
    <w:p w14:paraId="0AA89149" w14:textId="36D69DF2" w:rsidR="00C606F4" w:rsidRPr="00C606F4" w:rsidRDefault="00C606F4" w:rsidP="00C606F4">
      <w:pPr>
        <w:pStyle w:val="Sinespaciado"/>
        <w:numPr>
          <w:ilvl w:val="0"/>
          <w:numId w:val="13"/>
        </w:numPr>
        <w:spacing w:line="360" w:lineRule="auto"/>
        <w:jc w:val="both"/>
        <w:rPr>
          <w:rFonts w:ascii="Palatino Linotype" w:hAnsi="Palatino Linotype" w:cs="Arial"/>
          <w:b/>
          <w:bCs/>
          <w:lang w:eastAsia="es-MX"/>
        </w:rPr>
      </w:pPr>
      <w:r>
        <w:rPr>
          <w:rFonts w:ascii="Palatino Linotype" w:hAnsi="Palatino Linotype" w:cs="Arial"/>
          <w:b/>
          <w:bCs/>
          <w:lang w:eastAsia="es-MX"/>
        </w:rPr>
        <w:t xml:space="preserve">“OF 2460.pdf”: </w:t>
      </w:r>
      <w:r>
        <w:rPr>
          <w:rFonts w:ascii="Palatino Linotype" w:hAnsi="Palatino Linotype" w:cs="Arial"/>
          <w:bCs/>
          <w:lang w:eastAsia="es-MX"/>
        </w:rPr>
        <w:t xml:space="preserve">Oficio </w:t>
      </w:r>
      <w:r>
        <w:rPr>
          <w:rFonts w:ascii="Palatino Linotype" w:hAnsi="Palatino Linotype" w:cs="Arial"/>
          <w:b/>
          <w:bCs/>
          <w:lang w:eastAsia="es-MX"/>
        </w:rPr>
        <w:t xml:space="preserve">DA/SRPA/2460/2021 </w:t>
      </w:r>
      <w:r>
        <w:rPr>
          <w:rFonts w:ascii="Palatino Linotype" w:hAnsi="Palatino Linotype" w:cs="Arial"/>
          <w:bCs/>
          <w:lang w:eastAsia="es-MX"/>
        </w:rPr>
        <w:t xml:space="preserve">signado por el Director de Administración y dirigido al Titular de la Unidad de Transparencia, en síntesis refiere que después de realizar una búsqueda exhaustiva y razonable en sus archivos </w:t>
      </w:r>
      <w:r w:rsidRPr="00C2785D">
        <w:rPr>
          <w:rFonts w:ascii="Palatino Linotype" w:hAnsi="Palatino Linotype" w:cs="Arial"/>
          <w:b/>
          <w:bCs/>
          <w:u w:val="single"/>
          <w:lang w:eastAsia="es-MX"/>
        </w:rPr>
        <w:t>no se encontró la información requerida;</w:t>
      </w:r>
      <w:r>
        <w:rPr>
          <w:rFonts w:ascii="Palatino Linotype" w:hAnsi="Palatino Linotype" w:cs="Arial"/>
          <w:bCs/>
          <w:lang w:eastAsia="es-MX"/>
        </w:rPr>
        <w:t xml:space="preserve"> de fecha veintiséis de noviembre de dos mil veintiuno. </w:t>
      </w:r>
    </w:p>
    <w:p w14:paraId="65CCEB3C" w14:textId="77777777" w:rsidR="003418F9" w:rsidRDefault="003418F9" w:rsidP="001A0DB5">
      <w:pPr>
        <w:pStyle w:val="Sinespaciado"/>
        <w:spacing w:line="360" w:lineRule="auto"/>
        <w:jc w:val="both"/>
        <w:rPr>
          <w:rFonts w:ascii="Palatino Linotype" w:hAnsi="Palatino Linotype" w:cs="Arial"/>
          <w:bCs/>
          <w:lang w:eastAsia="es-MX"/>
        </w:rPr>
      </w:pPr>
    </w:p>
    <w:p w14:paraId="10FEFC88" w14:textId="77777777" w:rsidR="001E1D4F" w:rsidRDefault="001E1D4F" w:rsidP="001E1D4F">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color w:val="000000"/>
          <w:sz w:val="24"/>
          <w:lang w:eastAsia="es-MX"/>
        </w:rPr>
        <w:t xml:space="preserve">En virtud de lo anterior, 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212A9CD7" w14:textId="77777777" w:rsidR="001E1D4F" w:rsidRPr="00D14967" w:rsidRDefault="001E1D4F" w:rsidP="001E1D4F">
      <w:pPr>
        <w:pStyle w:val="Citas"/>
        <w:rPr>
          <w:b/>
        </w:rPr>
      </w:pPr>
      <w:r>
        <w:t xml:space="preserve">“Artículo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Pr>
          <w:b/>
        </w:rPr>
        <w:t>[Sic]</w:t>
      </w:r>
    </w:p>
    <w:p w14:paraId="62760F60" w14:textId="77777777" w:rsidR="00C606F4" w:rsidRDefault="00C606F4" w:rsidP="0037721A">
      <w:pPr>
        <w:tabs>
          <w:tab w:val="left" w:pos="709"/>
        </w:tabs>
        <w:spacing w:before="240" w:after="240" w:line="360" w:lineRule="auto"/>
        <w:jc w:val="both"/>
        <w:rPr>
          <w:rFonts w:ascii="Palatino Linotype" w:hAnsi="Palatino Linotype"/>
          <w:bCs/>
          <w:sz w:val="24"/>
          <w:szCs w:val="24"/>
        </w:rPr>
      </w:pPr>
    </w:p>
    <w:p w14:paraId="388F3BAB" w14:textId="477F0C19" w:rsidR="00091B2E" w:rsidRDefault="00091B2E" w:rsidP="00091B2E">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Inconforme con la respuesta del </w:t>
      </w:r>
      <w:r>
        <w:rPr>
          <w:rFonts w:ascii="Palatino Linotype" w:hAnsi="Palatino Linotype"/>
          <w:b/>
          <w:sz w:val="24"/>
          <w:szCs w:val="24"/>
        </w:rPr>
        <w:t xml:space="preserve">Sujeto Obligado, El Recurrente </w:t>
      </w:r>
      <w:r>
        <w:rPr>
          <w:rFonts w:ascii="Palatino Linotype" w:hAnsi="Palatino Linotype"/>
          <w:sz w:val="24"/>
          <w:szCs w:val="24"/>
        </w:rPr>
        <w:t xml:space="preserve">interpuso recurso de revisión en fecha </w:t>
      </w:r>
      <w:r w:rsidR="009E7760">
        <w:rPr>
          <w:rFonts w:ascii="Palatino Linotype" w:hAnsi="Palatino Linotype"/>
          <w:sz w:val="24"/>
          <w:szCs w:val="24"/>
        </w:rPr>
        <w:t>nueve de diciembre</w:t>
      </w:r>
      <w:r>
        <w:rPr>
          <w:rFonts w:ascii="Palatino Linotype" w:hAnsi="Palatino Linotype"/>
          <w:sz w:val="24"/>
          <w:szCs w:val="24"/>
        </w:rPr>
        <w:t xml:space="preserve">, admitiéndose el </w:t>
      </w:r>
      <w:r w:rsidR="009E7760">
        <w:rPr>
          <w:rFonts w:ascii="Palatino Linotype" w:hAnsi="Palatino Linotype"/>
          <w:sz w:val="24"/>
          <w:szCs w:val="24"/>
        </w:rPr>
        <w:t>dieciséis de diciembre</w:t>
      </w:r>
      <w:r>
        <w:rPr>
          <w:rFonts w:ascii="Palatino Linotype" w:hAnsi="Palatino Linotype"/>
          <w:sz w:val="24"/>
          <w:szCs w:val="24"/>
        </w:rPr>
        <w:t xml:space="preserve">, ambos de dos mil veintiuno. Señalando como </w:t>
      </w:r>
      <w:r w:rsidR="009E7760">
        <w:rPr>
          <w:rFonts w:ascii="Palatino Linotype" w:hAnsi="Palatino Linotype"/>
          <w:sz w:val="24"/>
          <w:szCs w:val="24"/>
        </w:rPr>
        <w:t>acto impugnado</w:t>
      </w:r>
      <w:r>
        <w:rPr>
          <w:rFonts w:ascii="Palatino Linotype" w:hAnsi="Palatino Linotype"/>
          <w:sz w:val="24"/>
          <w:szCs w:val="24"/>
        </w:rPr>
        <w:t>:</w:t>
      </w:r>
    </w:p>
    <w:p w14:paraId="69F0E164" w14:textId="41EB852E" w:rsidR="00091B2E" w:rsidRPr="000F6CD3" w:rsidRDefault="00091B2E" w:rsidP="00091B2E">
      <w:pPr>
        <w:pStyle w:val="Citas"/>
        <w:rPr>
          <w:b/>
        </w:rPr>
      </w:pPr>
      <w:r w:rsidRPr="009E7760">
        <w:t>“</w:t>
      </w:r>
      <w:r w:rsidR="009E7760" w:rsidRPr="009E7760">
        <w:t xml:space="preserve">El gobierno de Coacalco no puede desconocer el costo (o la gratuidad en caso de que así sea) de un evento que fue ampliamente difundido en las redes sociales oficiales: </w:t>
      </w:r>
      <w:hyperlink r:id="rId17" w:history="1">
        <w:r w:rsidR="009E7760" w:rsidRPr="0059601D">
          <w:rPr>
            <w:rStyle w:val="Hipervnculo"/>
          </w:rPr>
          <w:t>https://www.facebook.com/CoacalcoGobMx/posts/1265936367217397</w:t>
        </w:r>
      </w:hyperlink>
      <w:r w:rsidRPr="009E7760">
        <w:t>”</w:t>
      </w:r>
      <w:r w:rsidRPr="000F6CD3">
        <w:t xml:space="preserve"> </w:t>
      </w:r>
      <w:r w:rsidRPr="000F6CD3">
        <w:rPr>
          <w:b/>
        </w:rPr>
        <w:t>[Sic]</w:t>
      </w:r>
    </w:p>
    <w:p w14:paraId="12F2B612" w14:textId="77777777" w:rsidR="00091B2E" w:rsidRDefault="00091B2E" w:rsidP="0037721A">
      <w:pPr>
        <w:tabs>
          <w:tab w:val="left" w:pos="709"/>
        </w:tabs>
        <w:spacing w:before="240" w:after="240" w:line="360" w:lineRule="auto"/>
        <w:jc w:val="both"/>
        <w:rPr>
          <w:rFonts w:ascii="Palatino Linotype" w:hAnsi="Palatino Linotype"/>
          <w:bCs/>
          <w:sz w:val="24"/>
          <w:szCs w:val="24"/>
        </w:rPr>
      </w:pPr>
    </w:p>
    <w:p w14:paraId="043F8CB6" w14:textId="2187A191" w:rsidR="00091B2E" w:rsidRDefault="009E7760" w:rsidP="0037721A">
      <w:pPr>
        <w:tabs>
          <w:tab w:val="left" w:pos="709"/>
        </w:tabs>
        <w:spacing w:before="240" w:after="240" w:line="360" w:lineRule="auto"/>
        <w:jc w:val="both"/>
        <w:rPr>
          <w:rFonts w:ascii="Palatino Linotype" w:hAnsi="Palatino Linotype"/>
          <w:bCs/>
          <w:sz w:val="24"/>
          <w:szCs w:val="24"/>
        </w:rPr>
      </w:pPr>
      <w:r>
        <w:rPr>
          <w:rFonts w:ascii="Palatino Linotype" w:hAnsi="Palatino Linotype"/>
          <w:bCs/>
          <w:sz w:val="24"/>
          <w:szCs w:val="24"/>
        </w:rPr>
        <w:t xml:space="preserve">Ahora bien, con relación a la liga electrónica en cita, resulta </w:t>
      </w:r>
      <w:r w:rsidR="00B20920">
        <w:rPr>
          <w:rFonts w:ascii="Palatino Linotype" w:hAnsi="Palatino Linotype"/>
          <w:bCs/>
          <w:sz w:val="24"/>
          <w:szCs w:val="24"/>
        </w:rPr>
        <w:t>necesario referir que remite a una publicación de red social</w:t>
      </w:r>
      <w:r w:rsidR="00F92C7B">
        <w:rPr>
          <w:rFonts w:ascii="Palatino Linotype" w:hAnsi="Palatino Linotype"/>
          <w:bCs/>
          <w:sz w:val="24"/>
          <w:szCs w:val="24"/>
        </w:rPr>
        <w:t>,</w:t>
      </w:r>
      <w:r w:rsidR="00B20920">
        <w:rPr>
          <w:rFonts w:ascii="Palatino Linotype" w:hAnsi="Palatino Linotype"/>
          <w:bCs/>
          <w:sz w:val="24"/>
          <w:szCs w:val="24"/>
        </w:rPr>
        <w:t xml:space="preserve"> correspondiente al veintidós de octubre de dos mil veintiuno, mediante la cual se difunde campaña de vacunación con motivo del Virus SARS-Cov2 (Covid-19) dirigida a población entre los 18 y 29 años, así como a rezagados. </w:t>
      </w:r>
    </w:p>
    <w:p w14:paraId="1141CC7C" w14:textId="6EF7612A" w:rsidR="009E7760" w:rsidRDefault="009E7760" w:rsidP="001E1D4F">
      <w:pPr>
        <w:spacing w:after="0" w:line="360" w:lineRule="auto"/>
        <w:jc w:val="both"/>
        <w:rPr>
          <w:rFonts w:ascii="Palatino Linotype" w:hAnsi="Palatino Linotype"/>
          <w:bCs/>
          <w:sz w:val="24"/>
          <w:szCs w:val="24"/>
        </w:rPr>
      </w:pPr>
      <w:r>
        <w:rPr>
          <w:rFonts w:ascii="Palatino Linotype" w:hAnsi="Palatino Linotype"/>
          <w:bCs/>
          <w:sz w:val="24"/>
          <w:szCs w:val="24"/>
        </w:rPr>
        <w:t>Por otra parte, con relación al documento electrónico “A</w:t>
      </w:r>
      <w:r w:rsidRPr="009E7760">
        <w:rPr>
          <w:rFonts w:ascii="Palatino Linotype" w:hAnsi="Palatino Linotype"/>
          <w:bCs/>
          <w:sz w:val="24"/>
          <w:szCs w:val="24"/>
        </w:rPr>
        <w:t>rchivo1639113883889</w:t>
      </w:r>
      <w:r>
        <w:rPr>
          <w:rFonts w:ascii="Palatino Linotype" w:hAnsi="Palatino Linotype"/>
          <w:bCs/>
          <w:sz w:val="24"/>
          <w:szCs w:val="24"/>
        </w:rPr>
        <w:t xml:space="preserve">” es menester señalar que su contenido fue imposible de visualizar. </w:t>
      </w:r>
    </w:p>
    <w:p w14:paraId="244E71F0" w14:textId="77777777" w:rsidR="009E7760" w:rsidRDefault="009E7760" w:rsidP="001E1D4F">
      <w:pPr>
        <w:spacing w:after="0" w:line="360" w:lineRule="auto"/>
        <w:jc w:val="both"/>
        <w:rPr>
          <w:rFonts w:ascii="Palatino Linotype" w:hAnsi="Palatino Linotype"/>
          <w:bCs/>
          <w:sz w:val="24"/>
          <w:szCs w:val="24"/>
        </w:rPr>
      </w:pPr>
    </w:p>
    <w:p w14:paraId="4F2DD7C7" w14:textId="7179669C" w:rsidR="001E1D4F" w:rsidRPr="001C649D" w:rsidRDefault="009E7760" w:rsidP="001E1D4F">
      <w:pPr>
        <w:spacing w:after="0" w:line="360" w:lineRule="auto"/>
        <w:jc w:val="both"/>
        <w:rPr>
          <w:rFonts w:ascii="Palatino Linotype" w:hAnsi="Palatino Linotype"/>
          <w:noProof/>
          <w:sz w:val="24"/>
          <w:szCs w:val="24"/>
          <w:lang w:eastAsia="es-MX"/>
        </w:rPr>
      </w:pPr>
      <w:r>
        <w:rPr>
          <w:rFonts w:ascii="Palatino Linotype" w:hAnsi="Palatino Linotype"/>
          <w:bCs/>
          <w:sz w:val="24"/>
          <w:szCs w:val="24"/>
        </w:rPr>
        <w:t>Ahora bien</w:t>
      </w:r>
      <w:r w:rsidR="001E1D4F">
        <w:rPr>
          <w:rFonts w:ascii="Palatino Linotype" w:hAnsi="Palatino Linotype"/>
          <w:bCs/>
          <w:sz w:val="24"/>
          <w:szCs w:val="24"/>
        </w:rPr>
        <w:t xml:space="preserve">, como se mencionó en el antecedente quinto, </w:t>
      </w:r>
      <w:r w:rsidR="001E1D4F">
        <w:rPr>
          <w:rFonts w:ascii="Palatino Linotype" w:hAnsi="Palatino Linotype"/>
          <w:b/>
          <w:bCs/>
          <w:sz w:val="24"/>
          <w:szCs w:val="24"/>
        </w:rPr>
        <w:t xml:space="preserve">El Sujeto Obligado </w:t>
      </w:r>
      <w:r w:rsidR="001E1D4F">
        <w:rPr>
          <w:rFonts w:ascii="Palatino Linotype" w:hAnsi="Palatino Linotype"/>
          <w:bCs/>
          <w:sz w:val="24"/>
          <w:szCs w:val="24"/>
        </w:rPr>
        <w:t xml:space="preserve">fue omiso en rendir su informe justificado. </w:t>
      </w:r>
      <w:r w:rsidR="001E1D4F" w:rsidRPr="001C649D">
        <w:rPr>
          <w:rFonts w:ascii="Palatino Linotype" w:hAnsi="Palatino Linotype"/>
          <w:noProof/>
          <w:sz w:val="24"/>
          <w:szCs w:val="24"/>
          <w:lang w:eastAsia="es-MX"/>
        </w:rPr>
        <w:t>Hasta aquí lo expuesto deben de arribarse a las siguientes consideraciones:</w:t>
      </w:r>
    </w:p>
    <w:p w14:paraId="2CBBBA9F" w14:textId="77777777" w:rsidR="001E1D4F" w:rsidRPr="00AB5ADD" w:rsidRDefault="001E1D4F" w:rsidP="001E1D4F">
      <w:pPr>
        <w:pStyle w:val="Prrafodelista"/>
        <w:numPr>
          <w:ilvl w:val="0"/>
          <w:numId w:val="8"/>
        </w:numPr>
        <w:autoSpaceDE w:val="0"/>
        <w:autoSpaceDN w:val="0"/>
        <w:adjustRightInd w:val="0"/>
        <w:spacing w:line="360" w:lineRule="auto"/>
        <w:jc w:val="both"/>
        <w:rPr>
          <w:rFonts w:ascii="Palatino Linotype" w:hAnsi="Palatino Linotype" w:cs="Arial"/>
        </w:rPr>
      </w:pPr>
      <w:r w:rsidRPr="00BB739A">
        <w:rPr>
          <w:rFonts w:ascii="Palatino Linotype" w:hAnsi="Palatino Linotype" w:cs="Arial"/>
          <w:color w:val="000000"/>
        </w:rPr>
        <w:t>A través del derecho de acceso a la información</w:t>
      </w:r>
      <w:r>
        <w:rPr>
          <w:rFonts w:ascii="Palatino Linotype" w:hAnsi="Palatino Linotype" w:cs="Arial"/>
          <w:color w:val="000000"/>
        </w:rPr>
        <w:t xml:space="preserve"> y con relación a la Compañía de Danza del Estado de México</w:t>
      </w:r>
      <w:r w:rsidRPr="00BB739A">
        <w:rPr>
          <w:rFonts w:ascii="Palatino Linotype" w:hAnsi="Palatino Linotype" w:cs="Arial"/>
          <w:color w:val="000000"/>
        </w:rPr>
        <w:t xml:space="preserve"> </w:t>
      </w:r>
      <w:r>
        <w:rPr>
          <w:rFonts w:ascii="Palatino Linotype" w:hAnsi="Palatino Linotype" w:cs="Arial"/>
          <w:color w:val="000000"/>
        </w:rPr>
        <w:t>fueron requeridos los siguientes soportes documentales:</w:t>
      </w:r>
    </w:p>
    <w:p w14:paraId="29E6BE1A" w14:textId="6AE20244" w:rsidR="001E1D4F" w:rsidRPr="006C51AE" w:rsidRDefault="001E1D4F" w:rsidP="001E1D4F">
      <w:pPr>
        <w:pStyle w:val="Prrafodelista"/>
        <w:numPr>
          <w:ilvl w:val="0"/>
          <w:numId w:val="15"/>
        </w:numPr>
        <w:spacing w:before="240" w:line="360" w:lineRule="auto"/>
        <w:jc w:val="both"/>
        <w:rPr>
          <w:rFonts w:ascii="Palatino Linotype" w:hAnsi="Palatino Linotype"/>
          <w:bCs/>
        </w:rPr>
      </w:pPr>
      <w:r>
        <w:rPr>
          <w:rFonts w:ascii="Palatino Linotype" w:hAnsi="Palatino Linotype"/>
          <w:bCs/>
        </w:rPr>
        <w:lastRenderedPageBreak/>
        <w:t xml:space="preserve">El o los documentos donde consten los costos por los servicios musicales descritos en la solicitud de información </w:t>
      </w:r>
      <w:r>
        <w:rPr>
          <w:rFonts w:ascii="Palatino Linotype" w:hAnsi="Palatino Linotype"/>
          <w:b/>
          <w:bCs/>
        </w:rPr>
        <w:t xml:space="preserve">00605/COACALCO/IP/2021, </w:t>
      </w:r>
      <w:r>
        <w:rPr>
          <w:rFonts w:ascii="Palatino Linotype" w:hAnsi="Palatino Linotype"/>
          <w:bCs/>
        </w:rPr>
        <w:t xml:space="preserve">así como los contratos, convenios, facturas y/o cualquier otro documento que evidencie dicho costo, al veinticinco de octubre de dos mil veintiuno. </w:t>
      </w:r>
    </w:p>
    <w:p w14:paraId="6DD6A21A" w14:textId="7E875C24" w:rsidR="001E1D4F" w:rsidRDefault="001E1D4F" w:rsidP="001E1D4F">
      <w:pPr>
        <w:pStyle w:val="Prrafodelista"/>
        <w:spacing w:before="240" w:line="360" w:lineRule="auto"/>
        <w:ind w:left="1211"/>
        <w:jc w:val="both"/>
        <w:rPr>
          <w:rFonts w:ascii="Palatino Linotype" w:hAnsi="Palatino Linotype" w:cs="Arial"/>
        </w:rPr>
      </w:pPr>
    </w:p>
    <w:p w14:paraId="5E1BF5E2" w14:textId="285974D6" w:rsidR="001E1D4F" w:rsidRPr="001E1D4F" w:rsidRDefault="001E1D4F" w:rsidP="00CD3736">
      <w:pPr>
        <w:pStyle w:val="Prrafodelista"/>
        <w:numPr>
          <w:ilvl w:val="0"/>
          <w:numId w:val="8"/>
        </w:numPr>
        <w:autoSpaceDE w:val="0"/>
        <w:autoSpaceDN w:val="0"/>
        <w:adjustRightInd w:val="0"/>
        <w:spacing w:line="360" w:lineRule="auto"/>
        <w:jc w:val="both"/>
        <w:rPr>
          <w:rFonts w:ascii="Palatino Linotype" w:hAnsi="Palatino Linotype" w:cs="Arial"/>
        </w:rPr>
      </w:pPr>
      <w:r w:rsidRPr="001E1D4F">
        <w:rPr>
          <w:rFonts w:ascii="Palatino Linotype" w:hAnsi="Palatino Linotype" w:cs="Arial"/>
        </w:rPr>
        <w:t xml:space="preserve">Que de una interpretación sistemática a los </w:t>
      </w:r>
      <w:r w:rsidRPr="001E1D4F">
        <w:rPr>
          <w:rFonts w:ascii="Palatino Linotype" w:hAnsi="Palatino Linotype"/>
          <w:bCs/>
        </w:rPr>
        <w:t xml:space="preserve">artículos 95, </w:t>
      </w:r>
      <w:r w:rsidR="00C2785D">
        <w:rPr>
          <w:rFonts w:ascii="Palatino Linotype" w:hAnsi="Palatino Linotype"/>
          <w:bCs/>
        </w:rPr>
        <w:t>fracciones I y IV</w:t>
      </w:r>
      <w:r w:rsidRPr="001E1D4F">
        <w:rPr>
          <w:rFonts w:ascii="Palatino Linotype" w:hAnsi="Palatino Linotype"/>
          <w:bCs/>
        </w:rPr>
        <w:t xml:space="preserve"> de la Ley Orgánica Municipal del Estado de México, así como los numerales 40 y 46 del Bando Municipal de Coacalco,</w:t>
      </w:r>
      <w:r>
        <w:rPr>
          <w:rFonts w:ascii="Palatino Linotype" w:hAnsi="Palatino Linotype"/>
          <w:bCs/>
        </w:rPr>
        <w:t xml:space="preserve"> se desprende que el Tesorero Municipal y el Director de Administración fungen como los sujetos habilitados competentes para atender la solicitud de información. </w:t>
      </w:r>
    </w:p>
    <w:p w14:paraId="03913331" w14:textId="77777777" w:rsidR="001E1D4F" w:rsidRPr="008071F1" w:rsidRDefault="001E1D4F" w:rsidP="001E1D4F">
      <w:pPr>
        <w:pStyle w:val="Prrafodelista"/>
        <w:autoSpaceDE w:val="0"/>
        <w:autoSpaceDN w:val="0"/>
        <w:adjustRightInd w:val="0"/>
        <w:spacing w:line="360" w:lineRule="auto"/>
        <w:ind w:left="720"/>
        <w:jc w:val="both"/>
        <w:rPr>
          <w:rFonts w:ascii="Palatino Linotype" w:hAnsi="Palatino Linotype" w:cs="Arial"/>
        </w:rPr>
      </w:pPr>
    </w:p>
    <w:p w14:paraId="0B0F311A" w14:textId="77777777" w:rsidR="00091B2E" w:rsidRPr="00091B2E" w:rsidRDefault="001E1D4F" w:rsidP="001E1D4F">
      <w:pPr>
        <w:pStyle w:val="Prrafodelista"/>
        <w:numPr>
          <w:ilvl w:val="0"/>
          <w:numId w:val="8"/>
        </w:numPr>
        <w:spacing w:line="360" w:lineRule="auto"/>
        <w:jc w:val="both"/>
        <w:rPr>
          <w:rFonts w:ascii="Palatino Linotype" w:hAnsi="Palatino Linotype" w:cs="Arial"/>
          <w:b/>
          <w:color w:val="000000"/>
          <w:u w:val="single"/>
        </w:rPr>
      </w:pPr>
      <w:r w:rsidRPr="008071F1">
        <w:rPr>
          <w:rFonts w:ascii="Palatino Linotype" w:hAnsi="Palatino Linotype" w:cs="Arial"/>
          <w:color w:val="000000"/>
        </w:rPr>
        <w:t xml:space="preserve">Mediante respuesta, </w:t>
      </w:r>
      <w:r w:rsidRPr="008071F1">
        <w:rPr>
          <w:rFonts w:ascii="Palatino Linotype" w:hAnsi="Palatino Linotype" w:cs="Arial"/>
          <w:b/>
          <w:color w:val="000000"/>
        </w:rPr>
        <w:t xml:space="preserve">El Sujeto Obligado, </w:t>
      </w:r>
      <w:r w:rsidR="00091B2E">
        <w:rPr>
          <w:rFonts w:ascii="Palatino Linotype" w:hAnsi="Palatino Linotype" w:cs="Arial"/>
          <w:color w:val="000000"/>
        </w:rPr>
        <w:t>mediante su Director de Administración se limitó a señalar que en sus archivos no obra la información requerida.</w:t>
      </w:r>
    </w:p>
    <w:p w14:paraId="5E4624DC" w14:textId="77777777" w:rsidR="00091B2E" w:rsidRPr="00091B2E" w:rsidRDefault="00091B2E" w:rsidP="00091B2E">
      <w:pPr>
        <w:pStyle w:val="Prrafodelista"/>
        <w:rPr>
          <w:rFonts w:ascii="Palatino Linotype" w:hAnsi="Palatino Linotype" w:cs="Arial"/>
          <w:color w:val="000000"/>
        </w:rPr>
      </w:pPr>
    </w:p>
    <w:p w14:paraId="7465884F" w14:textId="093EB20A" w:rsidR="001E1D4F" w:rsidRPr="00003382" w:rsidRDefault="00091B2E" w:rsidP="001E1D4F">
      <w:pPr>
        <w:pStyle w:val="Prrafodelista"/>
        <w:numPr>
          <w:ilvl w:val="0"/>
          <w:numId w:val="8"/>
        </w:numPr>
        <w:spacing w:line="360" w:lineRule="auto"/>
        <w:jc w:val="both"/>
        <w:rPr>
          <w:rFonts w:ascii="Palatino Linotype" w:hAnsi="Palatino Linotype" w:cs="Arial"/>
          <w:b/>
          <w:color w:val="000000"/>
          <w:u w:val="single"/>
        </w:rPr>
      </w:pPr>
      <w:r>
        <w:rPr>
          <w:rFonts w:ascii="Palatino Linotype" w:hAnsi="Palatino Linotype" w:cs="Arial"/>
          <w:color w:val="000000"/>
        </w:rPr>
        <w:t xml:space="preserve">Que el Pleno de este Organismo Garante ha sostenido que ante la presencia de un hecho negativo resulta innecesaria una declaratoria de inexistencia, no </w:t>
      </w:r>
      <w:r w:rsidR="001E1D4F">
        <w:rPr>
          <w:rFonts w:ascii="Palatino Linotype" w:hAnsi="Palatino Linotype" w:cs="Arial"/>
          <w:color w:val="000000"/>
        </w:rPr>
        <w:t xml:space="preserve"> </w:t>
      </w:r>
      <w:r>
        <w:rPr>
          <w:rFonts w:ascii="Palatino Linotype" w:hAnsi="Palatino Linotype" w:cs="Arial"/>
          <w:color w:val="000000"/>
        </w:rPr>
        <w:t xml:space="preserve">obstante lo anterior, la figura de hechos negativos en el caso en concreto no colma el derecho de acceso a la información pública al inobservar el numeral 162 de la Ley de Transparencia local </w:t>
      </w:r>
      <w:r>
        <w:rPr>
          <w:rFonts w:ascii="Palatino Linotype" w:hAnsi="Palatino Linotype" w:cs="Arial"/>
          <w:b/>
          <w:color w:val="000000"/>
        </w:rPr>
        <w:t>–obligación de turnar las solicitudes a todas las áreas competentes-</w:t>
      </w:r>
    </w:p>
    <w:p w14:paraId="762B30AA" w14:textId="77777777" w:rsidR="001E1D4F" w:rsidRPr="00003382" w:rsidRDefault="001E1D4F" w:rsidP="001E1D4F">
      <w:pPr>
        <w:pStyle w:val="Prrafodelista"/>
        <w:rPr>
          <w:rFonts w:ascii="Palatino Linotype" w:hAnsi="Palatino Linotype" w:cs="Arial"/>
          <w:b/>
          <w:color w:val="000000"/>
          <w:u w:val="single"/>
        </w:rPr>
      </w:pPr>
    </w:p>
    <w:p w14:paraId="71F6CE3C" w14:textId="72F0978B" w:rsidR="001E1D4F" w:rsidRPr="006D7FD9" w:rsidRDefault="001E1D4F" w:rsidP="001E1D4F">
      <w:pPr>
        <w:pStyle w:val="Prrafodelista"/>
        <w:numPr>
          <w:ilvl w:val="0"/>
          <w:numId w:val="8"/>
        </w:numPr>
        <w:autoSpaceDE w:val="0"/>
        <w:autoSpaceDN w:val="0"/>
        <w:adjustRightInd w:val="0"/>
        <w:spacing w:before="240" w:line="360" w:lineRule="auto"/>
        <w:jc w:val="both"/>
        <w:rPr>
          <w:rFonts w:ascii="Palatino Linotype" w:hAnsi="Palatino Linotype" w:cs="Arial"/>
        </w:rPr>
      </w:pPr>
      <w:r w:rsidRPr="00807A3D">
        <w:rPr>
          <w:rFonts w:ascii="Palatino Linotype" w:hAnsi="Palatino Linotype"/>
        </w:rPr>
        <w:lastRenderedPageBreak/>
        <w:t xml:space="preserve">Mediante etapa de manifestaciones, </w:t>
      </w:r>
      <w:r>
        <w:rPr>
          <w:rFonts w:ascii="Palatino Linotype" w:hAnsi="Palatino Linotype"/>
          <w:b/>
        </w:rPr>
        <w:t xml:space="preserve">El Sujeto Obligado </w:t>
      </w:r>
      <w:r w:rsidR="00091B2E">
        <w:rPr>
          <w:rFonts w:ascii="Palatino Linotype" w:hAnsi="Palatino Linotype"/>
        </w:rPr>
        <w:t xml:space="preserve">fue omiso en rendir su informe justificado. Asimismo, el particular fue omiso en rendir pruebas, alegatos o manifestaciones estimadas pertinentes. </w:t>
      </w:r>
    </w:p>
    <w:p w14:paraId="6638BF99" w14:textId="673AA08B" w:rsidR="00C606F4" w:rsidRDefault="001E1D4F" w:rsidP="0037721A">
      <w:pPr>
        <w:tabs>
          <w:tab w:val="left" w:pos="709"/>
        </w:tabs>
        <w:spacing w:before="240" w:after="240" w:line="360" w:lineRule="auto"/>
        <w:jc w:val="both"/>
        <w:rPr>
          <w:rFonts w:ascii="Palatino Linotype" w:hAnsi="Palatino Linotype"/>
          <w:bCs/>
          <w:sz w:val="24"/>
          <w:szCs w:val="24"/>
        </w:rPr>
      </w:pPr>
      <w:r>
        <w:rPr>
          <w:rFonts w:ascii="Palatino Linotype" w:hAnsi="Palatino Linotype"/>
          <w:bCs/>
          <w:sz w:val="24"/>
          <w:szCs w:val="24"/>
        </w:rPr>
        <w:t xml:space="preserve"> </w:t>
      </w:r>
    </w:p>
    <w:p w14:paraId="64736D4F" w14:textId="2677D016" w:rsidR="002812E6" w:rsidRPr="006329AB" w:rsidRDefault="002812E6" w:rsidP="002812E6">
      <w:pPr>
        <w:spacing w:line="360" w:lineRule="auto"/>
        <w:contextualSpacing/>
        <w:jc w:val="both"/>
        <w:rPr>
          <w:rFonts w:ascii="Palatino Linotype" w:eastAsia="MS Mincho" w:hAnsi="Palatino Linotype"/>
          <w:sz w:val="24"/>
          <w:szCs w:val="24"/>
        </w:rPr>
      </w:pPr>
      <w:r w:rsidRPr="006329AB">
        <w:rPr>
          <w:rFonts w:ascii="Palatino Linotype" w:eastAsia="MS Mincho" w:hAnsi="Palatino Linotype"/>
          <w:sz w:val="24"/>
          <w:szCs w:val="24"/>
        </w:rPr>
        <w:t xml:space="preserve">Con base en lo anteriormente expuesto, resulta procedente ordenar la entrega a través del Sistema de Acceso a la Información Mexiquense (SAIMEX), de la siguiente información: </w:t>
      </w:r>
    </w:p>
    <w:p w14:paraId="398BEB48" w14:textId="77777777" w:rsidR="009E7760" w:rsidRPr="006C51AE" w:rsidRDefault="009E7760" w:rsidP="009E7760">
      <w:pPr>
        <w:pStyle w:val="Prrafodelista"/>
        <w:numPr>
          <w:ilvl w:val="0"/>
          <w:numId w:val="17"/>
        </w:numPr>
        <w:spacing w:before="240" w:line="360" w:lineRule="auto"/>
        <w:jc w:val="both"/>
        <w:rPr>
          <w:rFonts w:ascii="Palatino Linotype" w:hAnsi="Palatino Linotype"/>
          <w:bCs/>
        </w:rPr>
      </w:pPr>
      <w:r>
        <w:rPr>
          <w:rFonts w:ascii="Palatino Linotype" w:hAnsi="Palatino Linotype"/>
          <w:bCs/>
        </w:rPr>
        <w:t xml:space="preserve">El o los documentos donde consten los costos por los servicios musicales descritos en la solicitud de información </w:t>
      </w:r>
      <w:r>
        <w:rPr>
          <w:rFonts w:ascii="Palatino Linotype" w:hAnsi="Palatino Linotype"/>
          <w:b/>
          <w:bCs/>
        </w:rPr>
        <w:t xml:space="preserve">00605/COACALCO/IP/2021, </w:t>
      </w:r>
      <w:r>
        <w:rPr>
          <w:rFonts w:ascii="Palatino Linotype" w:hAnsi="Palatino Linotype"/>
          <w:bCs/>
        </w:rPr>
        <w:t xml:space="preserve">así como los contratos, convenios, facturas y/o cualquier otro documento que evidencie dicho costo, al veinticinco de octubre de dos mil veintiuno. </w:t>
      </w:r>
    </w:p>
    <w:p w14:paraId="6B4DF125" w14:textId="77777777" w:rsidR="00F92C7B" w:rsidRDefault="00F92C7B" w:rsidP="009E7760">
      <w:pPr>
        <w:autoSpaceDE w:val="0"/>
        <w:autoSpaceDN w:val="0"/>
        <w:adjustRightInd w:val="0"/>
        <w:spacing w:before="240" w:line="360" w:lineRule="auto"/>
        <w:jc w:val="both"/>
        <w:rPr>
          <w:rFonts w:ascii="Palatino Linotype" w:hAnsi="Palatino Linotype"/>
          <w:sz w:val="24"/>
          <w:szCs w:val="24"/>
        </w:rPr>
      </w:pPr>
    </w:p>
    <w:p w14:paraId="5E40A645" w14:textId="11AE0660" w:rsidR="009E7760" w:rsidRPr="00C2785D" w:rsidRDefault="009E7760" w:rsidP="009E7760">
      <w:pPr>
        <w:autoSpaceDE w:val="0"/>
        <w:autoSpaceDN w:val="0"/>
        <w:adjustRightInd w:val="0"/>
        <w:spacing w:before="240" w:line="360" w:lineRule="auto"/>
        <w:jc w:val="both"/>
        <w:rPr>
          <w:rFonts w:ascii="Palatino Linotype" w:hAnsi="Palatino Linotype"/>
          <w:bCs/>
          <w:sz w:val="24"/>
          <w:szCs w:val="24"/>
        </w:rPr>
      </w:pPr>
      <w:r w:rsidRPr="00C2785D">
        <w:rPr>
          <w:rFonts w:ascii="Palatino Linotype" w:hAnsi="Palatino Linotype"/>
          <w:sz w:val="24"/>
          <w:szCs w:val="24"/>
        </w:rPr>
        <w:t xml:space="preserve">Finalmente, de una interpretación </w:t>
      </w:r>
      <w:r w:rsidR="00C2785D" w:rsidRPr="00C2785D">
        <w:rPr>
          <w:rFonts w:ascii="Palatino Linotype" w:hAnsi="Palatino Linotype"/>
          <w:sz w:val="24"/>
          <w:szCs w:val="24"/>
        </w:rPr>
        <w:t>sistemática</w:t>
      </w:r>
      <w:r w:rsidRPr="00C2785D">
        <w:rPr>
          <w:rFonts w:ascii="Palatino Linotype" w:hAnsi="Palatino Linotype"/>
          <w:sz w:val="24"/>
          <w:szCs w:val="24"/>
        </w:rPr>
        <w:t xml:space="preserve"> a la esfera competencial del </w:t>
      </w:r>
      <w:r w:rsidRPr="00C2785D">
        <w:rPr>
          <w:rFonts w:ascii="Palatino Linotype" w:hAnsi="Palatino Linotype"/>
          <w:b/>
          <w:sz w:val="24"/>
          <w:szCs w:val="24"/>
        </w:rPr>
        <w:t xml:space="preserve">Sujeto Obligado, </w:t>
      </w:r>
      <w:r w:rsidRPr="00C2785D">
        <w:rPr>
          <w:rFonts w:ascii="Palatino Linotype" w:hAnsi="Palatino Linotype"/>
          <w:sz w:val="24"/>
          <w:szCs w:val="24"/>
        </w:rPr>
        <w:t>si bien es cierto que prevé la posibilidad de celebrar licitaciones pú</w:t>
      </w:r>
      <w:r w:rsidR="00C2785D">
        <w:rPr>
          <w:rFonts w:ascii="Palatino Linotype" w:hAnsi="Palatino Linotype"/>
          <w:sz w:val="24"/>
          <w:szCs w:val="24"/>
        </w:rPr>
        <w:t xml:space="preserve">blicas o asignaciones directas (bienes y/o servicios) </w:t>
      </w:r>
      <w:r w:rsidRPr="00C2785D">
        <w:rPr>
          <w:rFonts w:ascii="Palatino Linotype" w:hAnsi="Palatino Linotype"/>
          <w:sz w:val="24"/>
          <w:szCs w:val="24"/>
        </w:rPr>
        <w:t xml:space="preserve">lo cierto también es que la participación musical descrita </w:t>
      </w:r>
      <w:r w:rsidR="006F575A">
        <w:rPr>
          <w:rFonts w:ascii="Palatino Linotype" w:hAnsi="Palatino Linotype"/>
          <w:sz w:val="24"/>
          <w:szCs w:val="24"/>
        </w:rPr>
        <w:t xml:space="preserve">en la solicitud de información </w:t>
      </w:r>
      <w:r w:rsidRPr="00C2785D">
        <w:rPr>
          <w:rFonts w:ascii="Palatino Linotype" w:hAnsi="Palatino Linotype"/>
          <w:sz w:val="24"/>
          <w:szCs w:val="24"/>
        </w:rPr>
        <w:t xml:space="preserve">pudo haberse realizado de forma gratuita, luego entonces </w:t>
      </w:r>
      <w:r w:rsidRPr="00C2785D">
        <w:rPr>
          <w:rFonts w:ascii="Palatino Linotype" w:hAnsi="Palatino Linotype"/>
          <w:bCs/>
          <w:sz w:val="24"/>
          <w:szCs w:val="24"/>
        </w:rPr>
        <w:t xml:space="preserve">resulta procedente ordenar una búsqueda exhaustiva y razonable de la información. Asimismo, de no encontrarse con el soporte documental requerido bastará con que así lo manifieste en etapa de cumplimiento. </w:t>
      </w:r>
    </w:p>
    <w:p w14:paraId="21A2C795" w14:textId="1FE2D8F6" w:rsidR="009E7760" w:rsidRDefault="009E7760" w:rsidP="002812E6">
      <w:pPr>
        <w:pStyle w:val="Citas"/>
        <w:ind w:left="0"/>
        <w:rPr>
          <w:i w:val="0"/>
          <w:sz w:val="24"/>
          <w:szCs w:val="24"/>
        </w:rPr>
      </w:pPr>
      <w:r>
        <w:rPr>
          <w:i w:val="0"/>
          <w:sz w:val="24"/>
          <w:szCs w:val="24"/>
        </w:rPr>
        <w:t xml:space="preserve"> </w:t>
      </w:r>
    </w:p>
    <w:p w14:paraId="53671118" w14:textId="77777777" w:rsidR="009E7760" w:rsidRPr="00C22506" w:rsidRDefault="009E7760" w:rsidP="009E7760">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lastRenderedPageBreak/>
        <w:t xml:space="preserve">De la </w:t>
      </w:r>
      <w:r w:rsidRPr="00C22506">
        <w:rPr>
          <w:rFonts w:ascii="Palatino Linotype" w:hAnsi="Palatino Linotype"/>
          <w:b/>
          <w:sz w:val="28"/>
          <w:szCs w:val="28"/>
        </w:rPr>
        <w:t xml:space="preserve">Versión Pública </w:t>
      </w:r>
    </w:p>
    <w:p w14:paraId="34079AD7" w14:textId="77777777" w:rsidR="009E7760" w:rsidRPr="001571EB" w:rsidRDefault="009E7760" w:rsidP="009E7760">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22CBEAC5" w14:textId="77777777" w:rsidR="009E7760" w:rsidRPr="00E60DEF" w:rsidRDefault="009E7760" w:rsidP="009E7760">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03FA580B" w14:textId="77777777" w:rsidR="009E7760" w:rsidRPr="00E60DEF" w:rsidRDefault="009E7760" w:rsidP="009E7760">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610549F" w14:textId="77777777" w:rsidR="009E7760" w:rsidRPr="001571EB" w:rsidRDefault="009E7760" w:rsidP="009E776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2B8B1B33" w14:textId="77777777" w:rsidR="009E7760" w:rsidRPr="001571EB" w:rsidRDefault="009E7760" w:rsidP="009E7760">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129F394A" w14:textId="77777777" w:rsidR="009E7760" w:rsidRPr="001571EB" w:rsidRDefault="009E7760" w:rsidP="009E7760">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165837C" w14:textId="77777777" w:rsidR="009E7760" w:rsidRPr="001571EB" w:rsidRDefault="009E7760" w:rsidP="009E7760">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actualiza alguno de los supuestos </w:t>
      </w:r>
      <w:r w:rsidRPr="00E60DEF">
        <w:rPr>
          <w:rFonts w:ascii="Palatino Linotype" w:hAnsi="Palatino Linotype" w:cs="Arial"/>
          <w:b/>
          <w:i/>
          <w:u w:val="single"/>
        </w:rPr>
        <w:lastRenderedPageBreak/>
        <w:t>de reserva o confidencialidad, de conformidad con lo dispuesto en el presente título.</w:t>
      </w:r>
    </w:p>
    <w:p w14:paraId="2E71D6FB" w14:textId="77777777" w:rsidR="009E7760" w:rsidRPr="001571EB" w:rsidRDefault="009E7760" w:rsidP="009E776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60513818" w14:textId="77777777" w:rsidR="009E7760" w:rsidRPr="001571EB" w:rsidRDefault="009E7760" w:rsidP="009E7760">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6E1DF0D" w14:textId="77777777" w:rsidR="009E7760" w:rsidRPr="001571EB" w:rsidRDefault="009E7760" w:rsidP="009E7760">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236CE4A" w14:textId="77777777" w:rsidR="009E7760" w:rsidRPr="00E60DEF" w:rsidRDefault="009E7760" w:rsidP="009E7760">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4B94BB2F" w14:textId="77777777" w:rsidR="009E7760" w:rsidRPr="001571EB" w:rsidRDefault="009E7760" w:rsidP="009E7760">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3DDCCCC" w14:textId="77777777" w:rsidR="009E7760" w:rsidRDefault="009E7760" w:rsidP="009E7760">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05E865FE" w14:textId="77777777" w:rsidR="009E7760" w:rsidRPr="001571EB" w:rsidRDefault="009E7760" w:rsidP="009E7760">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3F9D6BE8" w14:textId="77777777" w:rsidR="009E7760" w:rsidRPr="001571EB" w:rsidRDefault="009E7760" w:rsidP="009E7760">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5418AAF" w14:textId="77777777" w:rsidR="009E7760" w:rsidRPr="001571EB" w:rsidRDefault="009E7760" w:rsidP="009E776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E722887" w14:textId="77777777" w:rsidR="009E7760" w:rsidRDefault="009E7760" w:rsidP="009E7760">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4C898B6C" w14:textId="77777777" w:rsidR="009E7760" w:rsidRDefault="009E7760" w:rsidP="009E7760">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53B699E8"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1F3B33CC"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3D3EDCC5"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2FA84C3B"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66814507" w14:textId="77777777" w:rsidR="009E7760" w:rsidRPr="00EE0180"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08421655" w14:textId="77777777" w:rsidR="009E7760" w:rsidRPr="001571EB" w:rsidRDefault="009E7760" w:rsidP="009E7760">
      <w:pPr>
        <w:autoSpaceDE w:val="0"/>
        <w:autoSpaceDN w:val="0"/>
        <w:adjustRightInd w:val="0"/>
        <w:spacing w:before="120" w:after="120"/>
        <w:ind w:left="567" w:right="850"/>
        <w:jc w:val="both"/>
        <w:rPr>
          <w:rFonts w:ascii="Palatino Linotype" w:eastAsia="Times New Roman" w:hAnsi="Palatino Linotype" w:cs="Arial"/>
          <w:i/>
        </w:rPr>
      </w:pPr>
    </w:p>
    <w:p w14:paraId="6A5F66DC" w14:textId="77777777" w:rsidR="009E7760" w:rsidRPr="001571EB" w:rsidRDefault="009E7760" w:rsidP="009E7760">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68F9F7A9" w14:textId="77777777" w:rsidR="009E7760" w:rsidRPr="001571EB" w:rsidRDefault="009E7760" w:rsidP="009E7760">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89F0441" w14:textId="77777777" w:rsidR="009E7760" w:rsidRDefault="009E7760" w:rsidP="009E7760">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67732719" w14:textId="77777777" w:rsidR="009E7760" w:rsidRDefault="009E7760" w:rsidP="009E7760">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47AFE317"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1A7D09B"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5DFAAFAF"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7532C38F" w14:textId="77777777" w:rsidR="009E7760" w:rsidRPr="001571EB"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37852FDF" w14:textId="77777777" w:rsidR="009E7760" w:rsidRDefault="009E7760" w:rsidP="009E7760">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B8A5FA6" w14:textId="77777777" w:rsidR="009E7760" w:rsidRDefault="009E7760" w:rsidP="009E7760">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56840A6B" w14:textId="77777777" w:rsidR="009E7760" w:rsidRDefault="009E7760" w:rsidP="009E7760">
      <w:pPr>
        <w:spacing w:line="360" w:lineRule="auto"/>
        <w:contextualSpacing/>
        <w:jc w:val="both"/>
        <w:rPr>
          <w:rFonts w:ascii="Palatino Linotype" w:eastAsia="MS Mincho" w:hAnsi="Palatino Linotype"/>
        </w:rPr>
      </w:pPr>
    </w:p>
    <w:p w14:paraId="22907DAB" w14:textId="6B3CD36A" w:rsidR="009E7760" w:rsidRPr="00D5257A" w:rsidRDefault="009E7760" w:rsidP="009E7760">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sidR="006F575A">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w:t>
      </w:r>
      <w:r w:rsidRPr="00D5257A">
        <w:rPr>
          <w:rFonts w:ascii="Palatino Linotype" w:hAnsi="Palatino Linotype"/>
          <w:sz w:val="24"/>
          <w:szCs w:val="24"/>
        </w:rPr>
        <w:lastRenderedPageBreak/>
        <w:t xml:space="preserve">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00605/COACALCO/IP/2021</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1C31D7F3" w14:textId="1066CC9A" w:rsidR="009E7760" w:rsidRDefault="009E7760" w:rsidP="009E7760">
      <w:pPr>
        <w:pStyle w:val="Prrafodelista"/>
        <w:spacing w:before="240" w:after="240" w:line="360" w:lineRule="auto"/>
        <w:ind w:left="0"/>
        <w:jc w:val="both"/>
        <w:rPr>
          <w:rFonts w:ascii="Palatino Linotype" w:hAnsi="Palatino Linotype"/>
        </w:rPr>
      </w:pPr>
      <w:r w:rsidRPr="00D5257A">
        <w:rPr>
          <w:rFonts w:ascii="Palatino Linotype" w:hAnsi="Palatino Linotype"/>
        </w:rPr>
        <w:t>Por lo antes expuesto y fundado es de resolverse y,</w:t>
      </w:r>
      <w:r w:rsidRPr="00F458CF">
        <w:rPr>
          <w:rFonts w:ascii="Palatino Linotype" w:hAnsi="Palatino Linotype"/>
        </w:rPr>
        <w:t xml:space="preserve"> </w:t>
      </w:r>
    </w:p>
    <w:p w14:paraId="7B1D4427" w14:textId="77777777" w:rsidR="009E7760" w:rsidRDefault="009E7760" w:rsidP="002812E6">
      <w:pPr>
        <w:pStyle w:val="Citas"/>
        <w:ind w:left="0"/>
        <w:rPr>
          <w:i w:val="0"/>
          <w:sz w:val="24"/>
          <w:szCs w:val="24"/>
        </w:rPr>
      </w:pPr>
    </w:p>
    <w:p w14:paraId="63F5D3AE" w14:textId="77777777" w:rsidR="009E7760" w:rsidRPr="00D05C83" w:rsidRDefault="009E7760" w:rsidP="009E7760">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68C69A57" w14:textId="2CAEFCD4" w:rsidR="009E7760" w:rsidRDefault="009E7760" w:rsidP="009E7760">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00605/COACALCO/IP/2021</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261BFD88" w14:textId="77777777" w:rsidR="009E7760" w:rsidRDefault="009E7760" w:rsidP="009E7760">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1ADA22E6" w14:textId="7A93AD15" w:rsidR="009E7760" w:rsidRDefault="009E7760" w:rsidP="009E7760">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en versión pública de ser procedente, de lo siguiente: </w:t>
      </w:r>
    </w:p>
    <w:p w14:paraId="5B91B578" w14:textId="77777777" w:rsidR="009E7760" w:rsidRDefault="009E7760" w:rsidP="009E7760">
      <w:pPr>
        <w:pStyle w:val="Prrafodelista"/>
        <w:numPr>
          <w:ilvl w:val="0"/>
          <w:numId w:val="18"/>
        </w:numPr>
        <w:spacing w:before="240" w:line="360" w:lineRule="auto"/>
        <w:jc w:val="both"/>
        <w:rPr>
          <w:rFonts w:ascii="Palatino Linotype" w:hAnsi="Palatino Linotype"/>
          <w:bCs/>
          <w:i/>
        </w:rPr>
      </w:pPr>
      <w:r w:rsidRPr="009E7760">
        <w:rPr>
          <w:rFonts w:ascii="Palatino Linotype" w:hAnsi="Palatino Linotype"/>
          <w:bCs/>
          <w:i/>
        </w:rPr>
        <w:t xml:space="preserve">El o los documentos donde consten los costos por los servicios musicales descritos en la solicitud de información </w:t>
      </w:r>
      <w:r w:rsidRPr="009E7760">
        <w:rPr>
          <w:rFonts w:ascii="Palatino Linotype" w:hAnsi="Palatino Linotype"/>
          <w:b/>
          <w:bCs/>
          <w:i/>
        </w:rPr>
        <w:t xml:space="preserve">00605/COACALCO/IP/2021, </w:t>
      </w:r>
      <w:r w:rsidRPr="009E7760">
        <w:rPr>
          <w:rFonts w:ascii="Palatino Linotype" w:hAnsi="Palatino Linotype"/>
          <w:bCs/>
          <w:i/>
        </w:rPr>
        <w:t xml:space="preserve">así como los contratos, convenios, facturas y/o cualquier otro documento que evidencie dicho costo, al veinticinco de octubre de dos mil veintiuno. </w:t>
      </w:r>
    </w:p>
    <w:p w14:paraId="7CEB134E" w14:textId="77777777" w:rsidR="009E7760" w:rsidRDefault="009E7760" w:rsidP="009E7760">
      <w:pPr>
        <w:pStyle w:val="Sinespaciado"/>
        <w:spacing w:line="360" w:lineRule="auto"/>
        <w:ind w:left="720"/>
        <w:jc w:val="both"/>
        <w:rPr>
          <w:rFonts w:ascii="Palatino Linotype" w:hAnsi="Palatino Linotype" w:cs="Arial"/>
          <w:i/>
        </w:rPr>
      </w:pPr>
      <w:r>
        <w:rPr>
          <w:rFonts w:ascii="Palatino Linotype" w:hAnsi="Palatino Linotype" w:cs="Arial"/>
          <w:i/>
        </w:rPr>
        <w:t xml:space="preserve">Para  la entrega en versión pública deberá emitir el Acuerdo del Comité de Transparencia en términos de los artículos 49, fracción VIII y 132 fracción II de la Ley </w:t>
      </w:r>
      <w:r>
        <w:rPr>
          <w:rFonts w:ascii="Palatino Linotype" w:hAnsi="Palatino Linotype" w:cs="Arial"/>
          <w:i/>
        </w:rPr>
        <w:lastRenderedPageBreak/>
        <w:t>de Transparencia y Acceso a la Información Pública del Estado de México y Municipios, en el que funde y motive las razones sobre los datos que se supriman o eliminen y se ponga a disposición de la recurrente.</w:t>
      </w:r>
    </w:p>
    <w:p w14:paraId="6150852E" w14:textId="7842F715" w:rsidR="009E7760" w:rsidRDefault="009E7760" w:rsidP="009E7760">
      <w:pPr>
        <w:pStyle w:val="Prrafodelista"/>
        <w:spacing w:before="240" w:line="360" w:lineRule="auto"/>
        <w:ind w:left="720"/>
        <w:jc w:val="both"/>
        <w:rPr>
          <w:rFonts w:ascii="Palatino Linotype" w:hAnsi="Palatino Linotype" w:cs="Arial"/>
          <w:i/>
        </w:rPr>
      </w:pPr>
      <w:r>
        <w:rPr>
          <w:rFonts w:ascii="Palatino Linotype" w:hAnsi="Palatino Linotype" w:cs="Arial"/>
          <w:i/>
        </w:rPr>
        <w:t xml:space="preserve">Una vez realizada la búsqueda exhaustiva y razonable, para el caso de no contar con la información previamente referida, bastará con que El Sujeto Obligado lo haga del conocimiento </w:t>
      </w:r>
      <w:r w:rsidR="006F575A">
        <w:rPr>
          <w:rFonts w:ascii="Palatino Linotype" w:hAnsi="Palatino Linotype" w:cs="Arial"/>
          <w:i/>
        </w:rPr>
        <w:t>del</w:t>
      </w:r>
      <w:r>
        <w:rPr>
          <w:rFonts w:ascii="Palatino Linotype" w:hAnsi="Palatino Linotype" w:cs="Arial"/>
          <w:i/>
        </w:rPr>
        <w:t xml:space="preserve"> Recurrente. </w:t>
      </w:r>
    </w:p>
    <w:p w14:paraId="69121AA3" w14:textId="77777777" w:rsidR="009E7760" w:rsidRDefault="009E7760" w:rsidP="009E7760">
      <w:pPr>
        <w:pStyle w:val="Sinespaciado"/>
        <w:spacing w:line="360" w:lineRule="auto"/>
        <w:ind w:left="720"/>
        <w:jc w:val="both"/>
        <w:rPr>
          <w:rFonts w:ascii="Palatino Linotype" w:hAnsi="Palatino Linotype" w:cs="Arial"/>
          <w:i/>
        </w:rPr>
      </w:pPr>
    </w:p>
    <w:p w14:paraId="7694D2C0" w14:textId="77777777" w:rsidR="009E7760" w:rsidRDefault="009E7760" w:rsidP="009E7760">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46661366" w14:textId="77777777" w:rsidR="009E7760" w:rsidRDefault="009E7760" w:rsidP="009E7760">
      <w:pPr>
        <w:autoSpaceDE w:val="0"/>
        <w:autoSpaceDN w:val="0"/>
        <w:adjustRightInd w:val="0"/>
        <w:spacing w:before="240" w:line="360" w:lineRule="auto"/>
        <w:jc w:val="both"/>
        <w:rPr>
          <w:rFonts w:ascii="Palatino Linotype" w:hAnsi="Palatino Linotype" w:cs="Arial"/>
          <w:sz w:val="24"/>
          <w:szCs w:val="24"/>
        </w:rPr>
      </w:pPr>
    </w:p>
    <w:p w14:paraId="55030F70" w14:textId="77777777" w:rsidR="009E7760" w:rsidRDefault="009E7760" w:rsidP="009E776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1741E4A" w14:textId="77777777" w:rsidR="009E7760" w:rsidRPr="005751B7" w:rsidRDefault="009E7760" w:rsidP="009E7760">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EBAFE96" w14:textId="77777777" w:rsidR="009E7760" w:rsidRPr="00F77047" w:rsidRDefault="009E7760" w:rsidP="009E7760">
      <w:pPr>
        <w:spacing w:after="0" w:line="360" w:lineRule="auto"/>
        <w:jc w:val="both"/>
        <w:rPr>
          <w:rFonts w:ascii="Palatino Linotype" w:eastAsia="Times New Roman" w:hAnsi="Palatino Linotype" w:cs="Arial"/>
          <w:b/>
          <w:sz w:val="18"/>
          <w:szCs w:val="24"/>
          <w:lang w:eastAsia="es-ES"/>
        </w:rPr>
      </w:pPr>
    </w:p>
    <w:p w14:paraId="36C58427" w14:textId="5916CECA" w:rsidR="009E7760" w:rsidRDefault="009E7760" w:rsidP="009E7760">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 </w:t>
      </w:r>
      <w:r w:rsidRPr="00787D06">
        <w:rPr>
          <w:rFonts w:ascii="Palatino Linotype" w:eastAsia="Times New Roman" w:hAnsi="Palatino Linotype" w:cs="Arial"/>
          <w:b/>
          <w:sz w:val="24"/>
          <w:szCs w:val="24"/>
          <w:lang w:eastAsia="es-ES"/>
        </w:rPr>
        <w:t>LA</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w:t>
      </w:r>
      <w:r w:rsidRPr="00DB757B">
        <w:rPr>
          <w:rFonts w:ascii="Palatino Linotype" w:eastAsia="Times New Roman" w:hAnsi="Palatino Linotype" w:cs="Times New Roman"/>
          <w:color w:val="222222"/>
          <w:sz w:val="24"/>
          <w:szCs w:val="24"/>
          <w:shd w:val="clear" w:color="auto" w:fill="FFFFFF"/>
          <w:lang w:eastAsia="es-ES"/>
        </w:rPr>
        <w:lastRenderedPageBreak/>
        <w:t xml:space="preserve">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526BA6D5" w14:textId="77777777" w:rsidR="009E7760" w:rsidRDefault="009E7760" w:rsidP="009E7760">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10648A0B" w14:textId="0CAD0FD7" w:rsidR="006558ED" w:rsidRDefault="006558ED" w:rsidP="006558E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(AUSENCIA JUSTIFICADA), LUIS GUSTAVO PARRA NORIEGA Y GUADALUPE RAMÍREZ PEÑA; EN</w:t>
      </w:r>
      <w:r w:rsidRPr="00272CE0">
        <w:rPr>
          <w:rFonts w:ascii="Palatino Linotype" w:hAnsi="Palatino Linotype" w:cs="Arial"/>
        </w:rPr>
        <w:t xml:space="preserve"> LA</w:t>
      </w:r>
      <w:r>
        <w:rPr>
          <w:rFonts w:ascii="Palatino Linotype" w:hAnsi="Palatino Linotype" w:cs="Arial"/>
        </w:rPr>
        <w:t xml:space="preserve"> </w:t>
      </w:r>
      <w:r w:rsidR="00C511A9">
        <w:rPr>
          <w:rFonts w:ascii="Palatino Linotype" w:hAnsi="Palatino Linotype" w:cs="Arial"/>
        </w:rPr>
        <w:t>QUINTA</w:t>
      </w:r>
      <w:r>
        <w:rPr>
          <w:rFonts w:ascii="Palatino Linotype" w:hAnsi="Palatino Linotype" w:cs="Arial"/>
        </w:rPr>
        <w:t xml:space="preserve"> SESIÓN ORDINARIA CELEBRADA EL </w:t>
      </w:r>
      <w:r w:rsidR="00C511A9">
        <w:rPr>
          <w:rFonts w:ascii="Palatino Linotype" w:hAnsi="Palatino Linotype" w:cs="Arial"/>
        </w:rPr>
        <w:t>DIEZ DE FEBRERO</w:t>
      </w:r>
      <w:r>
        <w:rPr>
          <w:rFonts w:ascii="Palatino Linotype" w:hAnsi="Palatino Linotype" w:cs="Arial"/>
        </w:rPr>
        <w:t xml:space="preserve"> DE DOS MIL VEINTIDÓS, ANTE EL SECRETARIO TÉCNICO DEL PLENO, ALEXIS TAPIA RAMÍREZ. </w:t>
      </w:r>
    </w:p>
    <w:p w14:paraId="7C109252" w14:textId="66456B18" w:rsidR="006558ED" w:rsidRPr="00280B8B" w:rsidRDefault="00F92C7B" w:rsidP="006558E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cs="Arial"/>
          <w:noProof/>
          <w:sz w:val="18"/>
          <w:szCs w:val="18"/>
          <w:lang w:val="es-MX" w:eastAsia="es-MX"/>
        </w:rPr>
        <mc:AlternateContent>
          <mc:Choice Requires="wps">
            <w:drawing>
              <wp:anchor distT="0" distB="0" distL="114300" distR="114300" simplePos="0" relativeHeight="251680767" behindDoc="0" locked="0" layoutInCell="1" allowOverlap="1" wp14:anchorId="3DAB26B1" wp14:editId="6AABD866">
                <wp:simplePos x="0" y="0"/>
                <wp:positionH relativeFrom="column">
                  <wp:posOffset>-274916</wp:posOffset>
                </wp:positionH>
                <wp:positionV relativeFrom="paragraph">
                  <wp:posOffset>431581</wp:posOffset>
                </wp:positionV>
                <wp:extent cx="6714556" cy="2997105"/>
                <wp:effectExtent l="0" t="0" r="29210" b="32385"/>
                <wp:wrapNone/>
                <wp:docPr id="10" name="Conector recto 10"/>
                <wp:cNvGraphicFramePr/>
                <a:graphic xmlns:a="http://schemas.openxmlformats.org/drawingml/2006/main">
                  <a:graphicData uri="http://schemas.microsoft.com/office/word/2010/wordprocessingShape">
                    <wps:wsp>
                      <wps:cNvCnPr/>
                      <wps:spPr>
                        <a:xfrm>
                          <a:off x="0" y="0"/>
                          <a:ext cx="6714556" cy="29971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B7DE6" id="Conector recto 10" o:spid="_x0000_s1026" style="position:absolute;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5pt,34pt" to="507.05pt,2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" strokecolor="#5b9bd5 [3204]" strokeweight=".5pt">
                <v:stroke joinstyle="miter"/>
              </v:line>
            </w:pict>
          </mc:Fallback>
        </mc:AlternateContent>
      </w:r>
      <w:r w:rsidR="006558ED">
        <w:rPr>
          <w:rFonts w:ascii="Palatino Linotype" w:hAnsi="Palatino Linotype"/>
          <w:bCs/>
          <w:sz w:val="18"/>
          <w:szCs w:val="18"/>
        </w:rPr>
        <w:t>CCR/J</w:t>
      </w:r>
      <w:r w:rsidR="006558ED" w:rsidRPr="00280B8B">
        <w:rPr>
          <w:rFonts w:ascii="Palatino Linotype" w:hAnsi="Palatino Linotype"/>
          <w:bCs/>
          <w:sz w:val="18"/>
          <w:szCs w:val="18"/>
        </w:rPr>
        <w:t>CMA</w:t>
      </w:r>
    </w:p>
    <w:p w14:paraId="22CA5B30" w14:textId="77777777" w:rsidR="006558ED" w:rsidRDefault="006558ED" w:rsidP="006558ED">
      <w:pPr>
        <w:spacing w:after="0" w:line="360" w:lineRule="auto"/>
        <w:jc w:val="both"/>
        <w:rPr>
          <w:rFonts w:ascii="Palatino Linotype" w:hAnsi="Palatino Linotype" w:cs="Arial"/>
          <w:sz w:val="18"/>
          <w:szCs w:val="18"/>
        </w:rPr>
      </w:pPr>
    </w:p>
    <w:p w14:paraId="4818FC9B" w14:textId="77777777" w:rsidR="006558ED" w:rsidRDefault="006558ED" w:rsidP="006558ED">
      <w:pPr>
        <w:spacing w:after="0" w:line="360" w:lineRule="auto"/>
        <w:jc w:val="both"/>
        <w:rPr>
          <w:rFonts w:ascii="Palatino Linotype" w:hAnsi="Palatino Linotype" w:cs="Arial"/>
          <w:sz w:val="18"/>
          <w:szCs w:val="18"/>
        </w:rPr>
      </w:pPr>
    </w:p>
    <w:p w14:paraId="019F9AAF" w14:textId="77777777" w:rsidR="006558ED" w:rsidRDefault="006558ED" w:rsidP="006558ED">
      <w:pPr>
        <w:spacing w:after="0" w:line="360" w:lineRule="auto"/>
        <w:jc w:val="both"/>
        <w:rPr>
          <w:rFonts w:ascii="Palatino Linotype" w:hAnsi="Palatino Linotype" w:cs="Arial"/>
          <w:sz w:val="18"/>
          <w:szCs w:val="18"/>
        </w:rPr>
      </w:pPr>
    </w:p>
    <w:p w14:paraId="62FDCCEA" w14:textId="77777777" w:rsidR="006558ED" w:rsidRDefault="006558ED" w:rsidP="006558ED">
      <w:pPr>
        <w:spacing w:after="0" w:line="360" w:lineRule="auto"/>
        <w:jc w:val="both"/>
        <w:rPr>
          <w:rFonts w:ascii="Palatino Linotype" w:hAnsi="Palatino Linotype" w:cs="Arial"/>
          <w:sz w:val="18"/>
          <w:szCs w:val="18"/>
        </w:rPr>
      </w:pPr>
    </w:p>
    <w:p w14:paraId="38D3A056" w14:textId="77777777" w:rsidR="009E7760" w:rsidRDefault="009E7760" w:rsidP="002812E6">
      <w:pPr>
        <w:pStyle w:val="Citas"/>
        <w:ind w:left="0"/>
        <w:rPr>
          <w:i w:val="0"/>
          <w:sz w:val="24"/>
          <w:szCs w:val="24"/>
        </w:rPr>
      </w:pPr>
    </w:p>
    <w:p w14:paraId="577DB44F" w14:textId="77777777" w:rsidR="00373BE7" w:rsidRDefault="00373BE7" w:rsidP="002812E6">
      <w:pPr>
        <w:pStyle w:val="Citas"/>
        <w:ind w:left="0"/>
        <w:rPr>
          <w:i w:val="0"/>
          <w:sz w:val="24"/>
          <w:szCs w:val="24"/>
        </w:rPr>
      </w:pPr>
    </w:p>
    <w:p w14:paraId="0C7B18BD" w14:textId="77777777" w:rsidR="00373BE7" w:rsidRDefault="00373BE7" w:rsidP="002812E6">
      <w:pPr>
        <w:pStyle w:val="Citas"/>
        <w:ind w:left="0"/>
        <w:rPr>
          <w:i w:val="0"/>
          <w:sz w:val="24"/>
          <w:szCs w:val="24"/>
        </w:rPr>
      </w:pPr>
    </w:p>
    <w:p w14:paraId="6970BC8F" w14:textId="77777777" w:rsidR="00373BE7" w:rsidRDefault="00373BE7" w:rsidP="002812E6">
      <w:pPr>
        <w:pStyle w:val="Citas"/>
        <w:ind w:left="0"/>
        <w:rPr>
          <w:i w:val="0"/>
          <w:sz w:val="24"/>
          <w:szCs w:val="24"/>
        </w:rPr>
      </w:pPr>
    </w:p>
    <w:p w14:paraId="24FEB91B" w14:textId="77777777" w:rsidR="00373BE7" w:rsidRDefault="00373BE7" w:rsidP="002812E6">
      <w:pPr>
        <w:pStyle w:val="Citas"/>
        <w:ind w:left="0"/>
        <w:rPr>
          <w:i w:val="0"/>
          <w:sz w:val="24"/>
          <w:szCs w:val="24"/>
        </w:rPr>
      </w:pPr>
    </w:p>
    <w:p w14:paraId="5B0FFDA6" w14:textId="77777777" w:rsidR="00373BE7" w:rsidRDefault="00373BE7" w:rsidP="002812E6">
      <w:pPr>
        <w:pStyle w:val="Citas"/>
        <w:ind w:left="0"/>
        <w:rPr>
          <w:i w:val="0"/>
          <w:sz w:val="24"/>
          <w:szCs w:val="24"/>
        </w:rPr>
      </w:pPr>
    </w:p>
    <w:p w14:paraId="0F82B607" w14:textId="77777777" w:rsidR="00373BE7" w:rsidRDefault="00373BE7" w:rsidP="002812E6">
      <w:pPr>
        <w:pStyle w:val="Citas"/>
        <w:ind w:left="0"/>
        <w:rPr>
          <w:i w:val="0"/>
          <w:sz w:val="24"/>
          <w:szCs w:val="24"/>
        </w:rPr>
      </w:pPr>
    </w:p>
    <w:p w14:paraId="248DF386" w14:textId="77777777" w:rsidR="00373BE7" w:rsidRDefault="00373BE7" w:rsidP="002812E6">
      <w:pPr>
        <w:pStyle w:val="Citas"/>
        <w:ind w:left="0"/>
        <w:rPr>
          <w:i w:val="0"/>
          <w:sz w:val="24"/>
          <w:szCs w:val="24"/>
        </w:rPr>
      </w:pPr>
    </w:p>
    <w:p w14:paraId="74C4325E" w14:textId="77777777" w:rsidR="00373BE7" w:rsidRDefault="00373BE7" w:rsidP="002812E6">
      <w:pPr>
        <w:pStyle w:val="Citas"/>
        <w:ind w:left="0"/>
        <w:rPr>
          <w:i w:val="0"/>
          <w:sz w:val="24"/>
          <w:szCs w:val="24"/>
        </w:rPr>
      </w:pPr>
    </w:p>
    <w:p w14:paraId="25CD466C" w14:textId="77777777" w:rsidR="00373BE7" w:rsidRDefault="00373BE7" w:rsidP="002812E6">
      <w:pPr>
        <w:pStyle w:val="Citas"/>
        <w:ind w:left="0"/>
        <w:rPr>
          <w:i w:val="0"/>
          <w:sz w:val="24"/>
          <w:szCs w:val="24"/>
        </w:rPr>
      </w:pPr>
    </w:p>
    <w:p w14:paraId="4F1363E4" w14:textId="77777777" w:rsidR="00373BE7" w:rsidRDefault="00373BE7" w:rsidP="002812E6">
      <w:pPr>
        <w:pStyle w:val="Citas"/>
        <w:ind w:left="0"/>
        <w:rPr>
          <w:i w:val="0"/>
          <w:sz w:val="24"/>
          <w:szCs w:val="24"/>
        </w:rPr>
      </w:pPr>
    </w:p>
    <w:p w14:paraId="35EC06AF" w14:textId="77777777" w:rsidR="00373BE7" w:rsidRDefault="00373BE7" w:rsidP="002812E6">
      <w:pPr>
        <w:pStyle w:val="Citas"/>
        <w:ind w:left="0"/>
        <w:rPr>
          <w:i w:val="0"/>
          <w:sz w:val="24"/>
          <w:szCs w:val="24"/>
        </w:rPr>
      </w:pPr>
    </w:p>
    <w:p w14:paraId="3AC92DC8" w14:textId="77777777" w:rsidR="00373BE7" w:rsidRDefault="00373BE7" w:rsidP="002812E6">
      <w:pPr>
        <w:pStyle w:val="Citas"/>
        <w:ind w:left="0"/>
        <w:rPr>
          <w:i w:val="0"/>
          <w:sz w:val="24"/>
          <w:szCs w:val="24"/>
        </w:rPr>
      </w:pPr>
    </w:p>
    <w:p w14:paraId="52EE3310" w14:textId="77777777" w:rsidR="00373BE7" w:rsidRDefault="00373BE7" w:rsidP="002812E6">
      <w:pPr>
        <w:pStyle w:val="Citas"/>
        <w:ind w:left="0"/>
        <w:rPr>
          <w:i w:val="0"/>
          <w:sz w:val="24"/>
          <w:szCs w:val="24"/>
        </w:rPr>
      </w:pPr>
    </w:p>
    <w:p w14:paraId="1729CBC0" w14:textId="77777777" w:rsidR="00373BE7" w:rsidRDefault="00373BE7" w:rsidP="002812E6">
      <w:pPr>
        <w:pStyle w:val="Citas"/>
        <w:ind w:left="0"/>
        <w:rPr>
          <w:i w:val="0"/>
          <w:sz w:val="24"/>
          <w:szCs w:val="24"/>
        </w:rPr>
      </w:pPr>
    </w:p>
    <w:p w14:paraId="397A3D8C" w14:textId="77777777" w:rsidR="00373BE7" w:rsidRDefault="00373BE7" w:rsidP="002812E6">
      <w:pPr>
        <w:pStyle w:val="Citas"/>
        <w:ind w:left="0"/>
        <w:rPr>
          <w:i w:val="0"/>
          <w:sz w:val="24"/>
          <w:szCs w:val="24"/>
        </w:rPr>
      </w:pPr>
    </w:p>
    <w:sectPr w:rsidR="00373BE7" w:rsidSect="00AB402D">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23B9D" w14:textId="77777777" w:rsidR="002C341C" w:rsidRDefault="002C341C" w:rsidP="006168E4">
      <w:pPr>
        <w:spacing w:after="0" w:line="240" w:lineRule="auto"/>
      </w:pPr>
      <w:r>
        <w:separator/>
      </w:r>
    </w:p>
  </w:endnote>
  <w:endnote w:type="continuationSeparator" w:id="0">
    <w:p w14:paraId="43A2F798" w14:textId="77777777" w:rsidR="002C341C" w:rsidRDefault="002C341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BEA3F" w14:textId="64B539A6" w:rsidR="000D7A10" w:rsidRPr="000B69FA" w:rsidRDefault="000D7A10"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537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5374">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02B5" w14:textId="76090A05" w:rsidR="000D7A10" w:rsidRPr="000B69FA" w:rsidRDefault="000D7A10" w:rsidP="0007641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4537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45374">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573F4" w14:textId="77777777" w:rsidR="002C341C" w:rsidRDefault="002C341C" w:rsidP="006168E4">
      <w:pPr>
        <w:spacing w:after="0" w:line="240" w:lineRule="auto"/>
      </w:pPr>
      <w:r>
        <w:separator/>
      </w:r>
    </w:p>
  </w:footnote>
  <w:footnote w:type="continuationSeparator" w:id="0">
    <w:p w14:paraId="4295ACF8" w14:textId="77777777" w:rsidR="002C341C" w:rsidRDefault="002C341C" w:rsidP="006168E4">
      <w:pPr>
        <w:spacing w:after="0" w:line="240" w:lineRule="auto"/>
      </w:pPr>
      <w:r>
        <w:continuationSeparator/>
      </w:r>
    </w:p>
  </w:footnote>
  <w:footnote w:id="1">
    <w:p w14:paraId="70540D54" w14:textId="77777777" w:rsidR="00315341" w:rsidRPr="005552A8" w:rsidRDefault="00315341" w:rsidP="00315341">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39036D7" w14:textId="77777777" w:rsidR="00315341" w:rsidRPr="005552A8" w:rsidRDefault="00315341" w:rsidP="0031534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39CC1" w14:textId="53D25BE0" w:rsidR="000D7A10" w:rsidRDefault="000D7A10">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2591C72A" wp14:editId="6992AB6D">
          <wp:simplePos x="0" y="0"/>
          <wp:positionH relativeFrom="page">
            <wp:posOffset>36339</wp:posOffset>
          </wp:positionH>
          <wp:positionV relativeFrom="page">
            <wp:posOffset>34877</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0D7A10" w14:paraId="1B55C452" w14:textId="77777777" w:rsidTr="00AB402D">
      <w:trPr>
        <w:trHeight w:val="227"/>
      </w:trPr>
      <w:tc>
        <w:tcPr>
          <w:tcW w:w="5529" w:type="dxa"/>
          <w:hideMark/>
        </w:tcPr>
        <w:p w14:paraId="7D61692F" w14:textId="77777777" w:rsidR="000D7A10" w:rsidRDefault="000D7A1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D0D1E72" w14:textId="7C2DAE79" w:rsidR="000D7A10" w:rsidRPr="00B4142F" w:rsidRDefault="00AC0F6C"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06215</w:t>
          </w:r>
          <w:r w:rsidR="000D7A10">
            <w:rPr>
              <w:rFonts w:ascii="Palatino Linotype" w:hAnsi="Palatino Linotype" w:cs="Arial"/>
              <w:bCs/>
              <w:sz w:val="24"/>
              <w:lang w:eastAsia="es-MX"/>
            </w:rPr>
            <w:t>/INFOEM/IP/RR/2021</w:t>
          </w:r>
        </w:p>
      </w:tc>
    </w:tr>
    <w:tr w:rsidR="000D7A10" w14:paraId="54A9600B" w14:textId="77777777" w:rsidTr="00AB402D">
      <w:trPr>
        <w:trHeight w:val="242"/>
      </w:trPr>
      <w:tc>
        <w:tcPr>
          <w:tcW w:w="5529" w:type="dxa"/>
          <w:hideMark/>
        </w:tcPr>
        <w:p w14:paraId="44594D83" w14:textId="77777777" w:rsidR="000D7A10" w:rsidRDefault="000D7A1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0FF7E9F" w14:textId="7BB00C44" w:rsidR="000D7A10" w:rsidRPr="00F06FED" w:rsidRDefault="00AC0F6C" w:rsidP="00A84F28">
          <w:pPr>
            <w:spacing w:after="120" w:line="256" w:lineRule="auto"/>
            <w:ind w:left="639" w:right="214"/>
            <w:jc w:val="both"/>
            <w:rPr>
              <w:rFonts w:ascii="Palatino Linotype" w:hAnsi="Palatino Linotype" w:cs="Arial"/>
            </w:rPr>
          </w:pPr>
          <w:r>
            <w:rPr>
              <w:rFonts w:ascii="Palatino Linotype" w:hAnsi="Palatino Linotype" w:cs="Arial"/>
              <w:szCs w:val="20"/>
            </w:rPr>
            <w:t>Ayuntamiento de Coacalco de Berriozábal</w:t>
          </w:r>
          <w:r w:rsidR="000D7A10">
            <w:rPr>
              <w:rFonts w:ascii="Palatino Linotype" w:hAnsi="Palatino Linotype" w:cs="Arial"/>
              <w:szCs w:val="20"/>
            </w:rPr>
            <w:t xml:space="preserve"> </w:t>
          </w:r>
        </w:p>
      </w:tc>
    </w:tr>
    <w:tr w:rsidR="000D7A10" w14:paraId="02ED08B1" w14:textId="77777777" w:rsidTr="00AB402D">
      <w:trPr>
        <w:trHeight w:val="342"/>
      </w:trPr>
      <w:tc>
        <w:tcPr>
          <w:tcW w:w="5529" w:type="dxa"/>
          <w:hideMark/>
        </w:tcPr>
        <w:p w14:paraId="00D66E60" w14:textId="5770D8DC" w:rsidR="000D7A10" w:rsidRDefault="000D7A1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D550D53" w14:textId="348428EA" w:rsidR="000D7A10" w:rsidRDefault="000D7A1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731D94" w14:textId="77777777" w:rsidR="000D7A10" w:rsidRDefault="000D7A1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D7A10" w14:paraId="333E5951" w14:textId="77777777" w:rsidTr="00AB402D">
      <w:trPr>
        <w:trHeight w:val="227"/>
      </w:trPr>
      <w:tc>
        <w:tcPr>
          <w:tcW w:w="5529" w:type="dxa"/>
          <w:hideMark/>
        </w:tcPr>
        <w:p w14:paraId="5A8BD2EE" w14:textId="489D495A" w:rsidR="000D7A10" w:rsidRDefault="000D7A10"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127E9BA" w14:textId="47690DD7" w:rsidR="000D7A10" w:rsidRPr="00B4142F" w:rsidRDefault="00AC0F6C" w:rsidP="001260E7">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06215</w:t>
          </w:r>
          <w:r w:rsidR="000D7A10">
            <w:rPr>
              <w:rFonts w:ascii="Palatino Linotype" w:hAnsi="Palatino Linotype" w:cs="Arial"/>
              <w:bCs/>
              <w:sz w:val="24"/>
              <w:lang w:eastAsia="es-MX"/>
            </w:rPr>
            <w:t xml:space="preserve">/INFOEM/IP/RR/2021 </w:t>
          </w:r>
        </w:p>
      </w:tc>
    </w:tr>
    <w:tr w:rsidR="000D7A10" w14:paraId="6C6CCDEF" w14:textId="77777777" w:rsidTr="00AB402D">
      <w:trPr>
        <w:trHeight w:val="196"/>
      </w:trPr>
      <w:tc>
        <w:tcPr>
          <w:tcW w:w="5529" w:type="dxa"/>
          <w:hideMark/>
        </w:tcPr>
        <w:p w14:paraId="79F53C9B" w14:textId="77777777" w:rsidR="000D7A10" w:rsidRDefault="000D7A10"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502311C0" w14:textId="1430BDE3" w:rsidR="000D7A10" w:rsidRPr="00F06FED" w:rsidRDefault="00745374" w:rsidP="00D76554">
          <w:pPr>
            <w:spacing w:after="120" w:line="256" w:lineRule="auto"/>
            <w:ind w:left="639" w:right="214"/>
            <w:jc w:val="both"/>
            <w:rPr>
              <w:rFonts w:ascii="Palatino Linotype" w:hAnsi="Palatino Linotype" w:cs="Arial"/>
            </w:rPr>
          </w:pPr>
          <w:r>
            <w:rPr>
              <w:rFonts w:ascii="Palatino Linotype" w:hAnsi="Palatino Linotype" w:cs="Arial"/>
            </w:rPr>
            <w:t>xxxxxxx</w:t>
          </w:r>
        </w:p>
      </w:tc>
    </w:tr>
    <w:tr w:rsidR="000D7A10" w14:paraId="63F5D633" w14:textId="77777777" w:rsidTr="00AB402D">
      <w:trPr>
        <w:trHeight w:val="242"/>
      </w:trPr>
      <w:tc>
        <w:tcPr>
          <w:tcW w:w="5529" w:type="dxa"/>
          <w:hideMark/>
        </w:tcPr>
        <w:p w14:paraId="25254C34" w14:textId="77777777" w:rsidR="000D7A10" w:rsidRDefault="000D7A10" w:rsidP="0007641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2E91C77" w14:textId="0988FF9A" w:rsidR="000D7A10" w:rsidRDefault="00AC0F6C" w:rsidP="00A84F2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Coacalco de Berriozábal</w:t>
          </w:r>
          <w:r w:rsidR="000D7A10">
            <w:rPr>
              <w:rFonts w:ascii="Palatino Linotype" w:hAnsi="Palatino Linotype" w:cs="Arial"/>
              <w:szCs w:val="20"/>
            </w:rPr>
            <w:t xml:space="preserve">  </w:t>
          </w:r>
        </w:p>
      </w:tc>
    </w:tr>
    <w:tr w:rsidR="000D7A10" w14:paraId="6E9635C5" w14:textId="77777777" w:rsidTr="00AB402D">
      <w:trPr>
        <w:trHeight w:val="342"/>
      </w:trPr>
      <w:tc>
        <w:tcPr>
          <w:tcW w:w="5529" w:type="dxa"/>
          <w:hideMark/>
        </w:tcPr>
        <w:p w14:paraId="69273B9D" w14:textId="5F383902" w:rsidR="000D7A10" w:rsidRDefault="000D7A10" w:rsidP="00076413">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126F51E" w14:textId="6EAFD40F" w:rsidR="000D7A10" w:rsidRDefault="000D7A1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399B769" w14:textId="5513EA38" w:rsidR="000D7A10" w:rsidRDefault="000D7A10">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4E5669" wp14:editId="7A4ED7A2">
          <wp:simplePos x="0" y="0"/>
          <wp:positionH relativeFrom="page">
            <wp:posOffset>17396</wp:posOffset>
          </wp:positionH>
          <wp:positionV relativeFrom="page">
            <wp:posOffset>-3547</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E02FC0"/>
    <w:multiLevelType w:val="hybridMultilevel"/>
    <w:tmpl w:val="0EB6CF7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115D50C0"/>
    <w:multiLevelType w:val="hybridMultilevel"/>
    <w:tmpl w:val="5D501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0F66AC"/>
    <w:multiLevelType w:val="hybridMultilevel"/>
    <w:tmpl w:val="DA50A948"/>
    <w:lvl w:ilvl="0" w:tplc="7E62054E">
      <w:start w:val="12"/>
      <w:numFmt w:val="bullet"/>
      <w:lvlText w:val="-"/>
      <w:lvlJc w:val="left"/>
      <w:pPr>
        <w:ind w:left="1211" w:hanging="360"/>
      </w:pPr>
      <w:rPr>
        <w:rFonts w:ascii="Palatino Linotype" w:eastAsiaTheme="minorHAnsi" w:hAnsi="Palatino Linotype" w:cs="Arial" w:hint="default"/>
        <w:b w:val="0"/>
        <w:sz w:val="22"/>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4">
    <w:nsid w:val="297B0878"/>
    <w:multiLevelType w:val="hybridMultilevel"/>
    <w:tmpl w:val="971822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DE31834"/>
    <w:multiLevelType w:val="hybridMultilevel"/>
    <w:tmpl w:val="17EAAC90"/>
    <w:lvl w:ilvl="0" w:tplc="94A8803C">
      <w:start w:val="1"/>
      <w:numFmt w:val="bullet"/>
      <w:lvlText w:val="-"/>
      <w:lvlJc w:val="left"/>
      <w:pPr>
        <w:ind w:left="1211" w:hanging="360"/>
      </w:pPr>
      <w:rPr>
        <w:rFonts w:ascii="Palatino Linotype" w:eastAsiaTheme="minorHAnsi" w:hAnsi="Palatino Linotype" w:cs="Arial" w:hint="default"/>
        <w:b w:val="0"/>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6">
    <w:nsid w:val="3AB27C90"/>
    <w:multiLevelType w:val="hybridMultilevel"/>
    <w:tmpl w:val="DE3E8AB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6711A6E"/>
    <w:multiLevelType w:val="hybridMultilevel"/>
    <w:tmpl w:val="6B645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B873E49"/>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6B22A81"/>
    <w:multiLevelType w:val="hybridMultilevel"/>
    <w:tmpl w:val="E42E393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AE67395"/>
    <w:multiLevelType w:val="hybridMultilevel"/>
    <w:tmpl w:val="6A908E2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D543385"/>
    <w:multiLevelType w:val="hybridMultilevel"/>
    <w:tmpl w:val="056412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DDE5307"/>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4B1292"/>
    <w:multiLevelType w:val="hybridMultilevel"/>
    <w:tmpl w:val="5220E886"/>
    <w:lvl w:ilvl="0" w:tplc="D9F29CB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731A7532"/>
    <w:multiLevelType w:val="hybridMultilevel"/>
    <w:tmpl w:val="B50AB4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B7C236D"/>
    <w:multiLevelType w:val="hybridMultilevel"/>
    <w:tmpl w:val="6F882768"/>
    <w:lvl w:ilvl="0" w:tplc="1ADEF5CE">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7F470A26"/>
    <w:multiLevelType w:val="hybridMultilevel"/>
    <w:tmpl w:val="F6B4E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FEA101E"/>
    <w:multiLevelType w:val="hybridMultilevel"/>
    <w:tmpl w:val="EF9A7C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4"/>
  </w:num>
  <w:num w:numId="3">
    <w:abstractNumId w:val="5"/>
  </w:num>
  <w:num w:numId="4">
    <w:abstractNumId w:val="11"/>
  </w:num>
  <w:num w:numId="5">
    <w:abstractNumId w:val="4"/>
  </w:num>
  <w:num w:numId="6">
    <w:abstractNumId w:val="9"/>
  </w:num>
  <w:num w:numId="7">
    <w:abstractNumId w:val="1"/>
  </w:num>
  <w:num w:numId="8">
    <w:abstractNumId w:val="0"/>
  </w:num>
  <w:num w:numId="9">
    <w:abstractNumId w:val="7"/>
  </w:num>
  <w:num w:numId="10">
    <w:abstractNumId w:val="13"/>
  </w:num>
  <w:num w:numId="11">
    <w:abstractNumId w:val="10"/>
  </w:num>
  <w:num w:numId="12">
    <w:abstractNumId w:val="12"/>
  </w:num>
  <w:num w:numId="13">
    <w:abstractNumId w:val="2"/>
  </w:num>
  <w:num w:numId="14">
    <w:abstractNumId w:val="3"/>
  </w:num>
  <w:num w:numId="15">
    <w:abstractNumId w:val="15"/>
  </w:num>
  <w:num w:numId="16">
    <w:abstractNumId w:val="8"/>
  </w:num>
  <w:num w:numId="17">
    <w:abstractNumId w:val="6"/>
  </w:num>
  <w:num w:numId="1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690B"/>
    <w:rsid w:val="00006ECC"/>
    <w:rsid w:val="00006EF3"/>
    <w:rsid w:val="0000791F"/>
    <w:rsid w:val="00010B86"/>
    <w:rsid w:val="00026263"/>
    <w:rsid w:val="000414F1"/>
    <w:rsid w:val="0004467E"/>
    <w:rsid w:val="00045B26"/>
    <w:rsid w:val="00046D9E"/>
    <w:rsid w:val="00047CEC"/>
    <w:rsid w:val="0005446E"/>
    <w:rsid w:val="00055224"/>
    <w:rsid w:val="00056B96"/>
    <w:rsid w:val="000616F2"/>
    <w:rsid w:val="00061821"/>
    <w:rsid w:val="00063619"/>
    <w:rsid w:val="000671D1"/>
    <w:rsid w:val="00073DF6"/>
    <w:rsid w:val="00074115"/>
    <w:rsid w:val="00076054"/>
    <w:rsid w:val="00076413"/>
    <w:rsid w:val="00080482"/>
    <w:rsid w:val="0008648A"/>
    <w:rsid w:val="00086F8A"/>
    <w:rsid w:val="00087F5D"/>
    <w:rsid w:val="000908B1"/>
    <w:rsid w:val="00091468"/>
    <w:rsid w:val="00091552"/>
    <w:rsid w:val="00091B2E"/>
    <w:rsid w:val="00093E23"/>
    <w:rsid w:val="00097C3E"/>
    <w:rsid w:val="000A2CB6"/>
    <w:rsid w:val="000A337E"/>
    <w:rsid w:val="000A4A07"/>
    <w:rsid w:val="000B0670"/>
    <w:rsid w:val="000B13B5"/>
    <w:rsid w:val="000B62E8"/>
    <w:rsid w:val="000C4FA5"/>
    <w:rsid w:val="000C6188"/>
    <w:rsid w:val="000D00AC"/>
    <w:rsid w:val="000D03C6"/>
    <w:rsid w:val="000D214C"/>
    <w:rsid w:val="000D2676"/>
    <w:rsid w:val="000D7A10"/>
    <w:rsid w:val="000E27CB"/>
    <w:rsid w:val="000E4742"/>
    <w:rsid w:val="000F2747"/>
    <w:rsid w:val="001107EF"/>
    <w:rsid w:val="001132C3"/>
    <w:rsid w:val="0011559B"/>
    <w:rsid w:val="001158FD"/>
    <w:rsid w:val="00117DA2"/>
    <w:rsid w:val="00121ABD"/>
    <w:rsid w:val="001238B7"/>
    <w:rsid w:val="00124855"/>
    <w:rsid w:val="001260E7"/>
    <w:rsid w:val="00130240"/>
    <w:rsid w:val="001337FB"/>
    <w:rsid w:val="0014223D"/>
    <w:rsid w:val="001471C9"/>
    <w:rsid w:val="001571AC"/>
    <w:rsid w:val="00157906"/>
    <w:rsid w:val="00163E5A"/>
    <w:rsid w:val="0016699D"/>
    <w:rsid w:val="00172CD6"/>
    <w:rsid w:val="00174A84"/>
    <w:rsid w:val="0017533E"/>
    <w:rsid w:val="00175588"/>
    <w:rsid w:val="00175897"/>
    <w:rsid w:val="00177571"/>
    <w:rsid w:val="00181FF9"/>
    <w:rsid w:val="00185C3D"/>
    <w:rsid w:val="001A02EC"/>
    <w:rsid w:val="001A0DB5"/>
    <w:rsid w:val="001A5182"/>
    <w:rsid w:val="001A7838"/>
    <w:rsid w:val="001B28A5"/>
    <w:rsid w:val="001B31FB"/>
    <w:rsid w:val="001B3F18"/>
    <w:rsid w:val="001B4A39"/>
    <w:rsid w:val="001B7707"/>
    <w:rsid w:val="001B7B88"/>
    <w:rsid w:val="001B7C27"/>
    <w:rsid w:val="001C60E9"/>
    <w:rsid w:val="001C66B9"/>
    <w:rsid w:val="001D0472"/>
    <w:rsid w:val="001D12B5"/>
    <w:rsid w:val="001E00FA"/>
    <w:rsid w:val="001E1B38"/>
    <w:rsid w:val="001E1D4F"/>
    <w:rsid w:val="001E52AE"/>
    <w:rsid w:val="001E54B0"/>
    <w:rsid w:val="001E7015"/>
    <w:rsid w:val="001F03EF"/>
    <w:rsid w:val="00200225"/>
    <w:rsid w:val="00202A10"/>
    <w:rsid w:val="002111AD"/>
    <w:rsid w:val="00211957"/>
    <w:rsid w:val="00213D79"/>
    <w:rsid w:val="00217520"/>
    <w:rsid w:val="002205C0"/>
    <w:rsid w:val="00224535"/>
    <w:rsid w:val="002246BE"/>
    <w:rsid w:val="0023032F"/>
    <w:rsid w:val="00232D81"/>
    <w:rsid w:val="00233D67"/>
    <w:rsid w:val="002363B0"/>
    <w:rsid w:val="002369B7"/>
    <w:rsid w:val="00237601"/>
    <w:rsid w:val="00251358"/>
    <w:rsid w:val="00260719"/>
    <w:rsid w:val="00264EF7"/>
    <w:rsid w:val="00265426"/>
    <w:rsid w:val="00267044"/>
    <w:rsid w:val="002732F0"/>
    <w:rsid w:val="00276ACC"/>
    <w:rsid w:val="00277182"/>
    <w:rsid w:val="00280DA7"/>
    <w:rsid w:val="002812E6"/>
    <w:rsid w:val="00282948"/>
    <w:rsid w:val="002A2034"/>
    <w:rsid w:val="002A228B"/>
    <w:rsid w:val="002A4C79"/>
    <w:rsid w:val="002A4CB4"/>
    <w:rsid w:val="002A6C73"/>
    <w:rsid w:val="002B27A8"/>
    <w:rsid w:val="002B57B4"/>
    <w:rsid w:val="002B69C6"/>
    <w:rsid w:val="002B7BFB"/>
    <w:rsid w:val="002C04F4"/>
    <w:rsid w:val="002C05BC"/>
    <w:rsid w:val="002C09FC"/>
    <w:rsid w:val="002C1E07"/>
    <w:rsid w:val="002C341C"/>
    <w:rsid w:val="002C517F"/>
    <w:rsid w:val="002C638E"/>
    <w:rsid w:val="002D1675"/>
    <w:rsid w:val="002D1EC2"/>
    <w:rsid w:val="002D3F0C"/>
    <w:rsid w:val="002D6AFE"/>
    <w:rsid w:val="002E0624"/>
    <w:rsid w:val="002E2D5A"/>
    <w:rsid w:val="002E6A03"/>
    <w:rsid w:val="002F37BE"/>
    <w:rsid w:val="002F7E70"/>
    <w:rsid w:val="00300B2B"/>
    <w:rsid w:val="00300D0B"/>
    <w:rsid w:val="003034DC"/>
    <w:rsid w:val="003059E6"/>
    <w:rsid w:val="00306096"/>
    <w:rsid w:val="00313850"/>
    <w:rsid w:val="00315341"/>
    <w:rsid w:val="00317FD2"/>
    <w:rsid w:val="00340234"/>
    <w:rsid w:val="003418F9"/>
    <w:rsid w:val="003431AE"/>
    <w:rsid w:val="003442FC"/>
    <w:rsid w:val="0034595E"/>
    <w:rsid w:val="003508B1"/>
    <w:rsid w:val="003511AD"/>
    <w:rsid w:val="00352FBE"/>
    <w:rsid w:val="0036024B"/>
    <w:rsid w:val="0036074D"/>
    <w:rsid w:val="00361B9C"/>
    <w:rsid w:val="003625BE"/>
    <w:rsid w:val="0036596F"/>
    <w:rsid w:val="00373BE7"/>
    <w:rsid w:val="0037721A"/>
    <w:rsid w:val="00377C4A"/>
    <w:rsid w:val="003802A1"/>
    <w:rsid w:val="00380EFC"/>
    <w:rsid w:val="0038288C"/>
    <w:rsid w:val="00391F51"/>
    <w:rsid w:val="00397454"/>
    <w:rsid w:val="00397B57"/>
    <w:rsid w:val="003A61F9"/>
    <w:rsid w:val="003B3ADF"/>
    <w:rsid w:val="003B45B5"/>
    <w:rsid w:val="003B7B17"/>
    <w:rsid w:val="003C7ACD"/>
    <w:rsid w:val="003D7780"/>
    <w:rsid w:val="003E4407"/>
    <w:rsid w:val="003E4A40"/>
    <w:rsid w:val="003E4B02"/>
    <w:rsid w:val="003E6A3C"/>
    <w:rsid w:val="003F003D"/>
    <w:rsid w:val="004012CF"/>
    <w:rsid w:val="00402FF3"/>
    <w:rsid w:val="004057C7"/>
    <w:rsid w:val="0040689B"/>
    <w:rsid w:val="004216D8"/>
    <w:rsid w:val="00423213"/>
    <w:rsid w:val="00427F2E"/>
    <w:rsid w:val="00433198"/>
    <w:rsid w:val="00434F17"/>
    <w:rsid w:val="00437DEC"/>
    <w:rsid w:val="00440B46"/>
    <w:rsid w:val="00441585"/>
    <w:rsid w:val="004419C1"/>
    <w:rsid w:val="004425BF"/>
    <w:rsid w:val="00442B2A"/>
    <w:rsid w:val="00445D06"/>
    <w:rsid w:val="00450A99"/>
    <w:rsid w:val="00454FB3"/>
    <w:rsid w:val="00455922"/>
    <w:rsid w:val="00461DBA"/>
    <w:rsid w:val="00463E45"/>
    <w:rsid w:val="00464386"/>
    <w:rsid w:val="00474A8B"/>
    <w:rsid w:val="00477306"/>
    <w:rsid w:val="00477720"/>
    <w:rsid w:val="0048178E"/>
    <w:rsid w:val="00481AAF"/>
    <w:rsid w:val="004906C8"/>
    <w:rsid w:val="004A0CC0"/>
    <w:rsid w:val="004A4C63"/>
    <w:rsid w:val="004A5AAA"/>
    <w:rsid w:val="004B5DE3"/>
    <w:rsid w:val="004C7621"/>
    <w:rsid w:val="004D574A"/>
    <w:rsid w:val="004D6221"/>
    <w:rsid w:val="004E0A3B"/>
    <w:rsid w:val="004E17C2"/>
    <w:rsid w:val="004E4255"/>
    <w:rsid w:val="004E48B4"/>
    <w:rsid w:val="004E6BE9"/>
    <w:rsid w:val="004E7C39"/>
    <w:rsid w:val="00501E21"/>
    <w:rsid w:val="00505273"/>
    <w:rsid w:val="005102E0"/>
    <w:rsid w:val="005152E2"/>
    <w:rsid w:val="00515C21"/>
    <w:rsid w:val="00522352"/>
    <w:rsid w:val="00523CF0"/>
    <w:rsid w:val="00525760"/>
    <w:rsid w:val="005360AC"/>
    <w:rsid w:val="00541313"/>
    <w:rsid w:val="005436D7"/>
    <w:rsid w:val="005437E7"/>
    <w:rsid w:val="00552846"/>
    <w:rsid w:val="00554D93"/>
    <w:rsid w:val="00557B14"/>
    <w:rsid w:val="00562653"/>
    <w:rsid w:val="005645BE"/>
    <w:rsid w:val="0056513A"/>
    <w:rsid w:val="00567D72"/>
    <w:rsid w:val="00570592"/>
    <w:rsid w:val="005733EB"/>
    <w:rsid w:val="005768C4"/>
    <w:rsid w:val="00582600"/>
    <w:rsid w:val="00584DBF"/>
    <w:rsid w:val="005A08C7"/>
    <w:rsid w:val="005A11CB"/>
    <w:rsid w:val="005B6443"/>
    <w:rsid w:val="005D2B59"/>
    <w:rsid w:val="005D2D4E"/>
    <w:rsid w:val="005D303B"/>
    <w:rsid w:val="005D370F"/>
    <w:rsid w:val="005D6EF7"/>
    <w:rsid w:val="005E3BC0"/>
    <w:rsid w:val="005E6C3F"/>
    <w:rsid w:val="005F18B8"/>
    <w:rsid w:val="005F218A"/>
    <w:rsid w:val="005F57F0"/>
    <w:rsid w:val="005F6CA8"/>
    <w:rsid w:val="006006AB"/>
    <w:rsid w:val="0060574C"/>
    <w:rsid w:val="006069DC"/>
    <w:rsid w:val="006113E2"/>
    <w:rsid w:val="00611928"/>
    <w:rsid w:val="00613AD7"/>
    <w:rsid w:val="006168E4"/>
    <w:rsid w:val="00616A3A"/>
    <w:rsid w:val="0062208A"/>
    <w:rsid w:val="00625D0D"/>
    <w:rsid w:val="006314A7"/>
    <w:rsid w:val="00637E4B"/>
    <w:rsid w:val="006479CF"/>
    <w:rsid w:val="00647CFC"/>
    <w:rsid w:val="00651AA0"/>
    <w:rsid w:val="006558ED"/>
    <w:rsid w:val="006615F9"/>
    <w:rsid w:val="006639E2"/>
    <w:rsid w:val="00665261"/>
    <w:rsid w:val="00666AD1"/>
    <w:rsid w:val="00672209"/>
    <w:rsid w:val="00672DC6"/>
    <w:rsid w:val="00676967"/>
    <w:rsid w:val="0068092C"/>
    <w:rsid w:val="0068733B"/>
    <w:rsid w:val="0069184E"/>
    <w:rsid w:val="0069410C"/>
    <w:rsid w:val="0069416F"/>
    <w:rsid w:val="00694976"/>
    <w:rsid w:val="006953B9"/>
    <w:rsid w:val="00696D5C"/>
    <w:rsid w:val="006A6BD9"/>
    <w:rsid w:val="006C51AE"/>
    <w:rsid w:val="006D5B07"/>
    <w:rsid w:val="006D6365"/>
    <w:rsid w:val="006F2600"/>
    <w:rsid w:val="006F55F2"/>
    <w:rsid w:val="006F575A"/>
    <w:rsid w:val="006F7AEB"/>
    <w:rsid w:val="007017AF"/>
    <w:rsid w:val="007051B0"/>
    <w:rsid w:val="0070767C"/>
    <w:rsid w:val="00714CA6"/>
    <w:rsid w:val="00715527"/>
    <w:rsid w:val="0072080A"/>
    <w:rsid w:val="0072333B"/>
    <w:rsid w:val="00731DC5"/>
    <w:rsid w:val="00732DD5"/>
    <w:rsid w:val="00741033"/>
    <w:rsid w:val="007433D8"/>
    <w:rsid w:val="00744EEF"/>
    <w:rsid w:val="00745374"/>
    <w:rsid w:val="00751F1B"/>
    <w:rsid w:val="00754CAE"/>
    <w:rsid w:val="0076176B"/>
    <w:rsid w:val="00766B1F"/>
    <w:rsid w:val="00766B69"/>
    <w:rsid w:val="00774536"/>
    <w:rsid w:val="00775BF4"/>
    <w:rsid w:val="0078285F"/>
    <w:rsid w:val="0079244F"/>
    <w:rsid w:val="00794F80"/>
    <w:rsid w:val="007A1DCF"/>
    <w:rsid w:val="007A36EE"/>
    <w:rsid w:val="007A5EAA"/>
    <w:rsid w:val="007A681B"/>
    <w:rsid w:val="007B2C77"/>
    <w:rsid w:val="007B3C72"/>
    <w:rsid w:val="007B4114"/>
    <w:rsid w:val="007C02B3"/>
    <w:rsid w:val="007C3098"/>
    <w:rsid w:val="007C6A59"/>
    <w:rsid w:val="007D1A27"/>
    <w:rsid w:val="007D1F15"/>
    <w:rsid w:val="007D25B1"/>
    <w:rsid w:val="007D2878"/>
    <w:rsid w:val="007D56C3"/>
    <w:rsid w:val="007D68D2"/>
    <w:rsid w:val="007D7A2A"/>
    <w:rsid w:val="007E27BA"/>
    <w:rsid w:val="007E29AA"/>
    <w:rsid w:val="007E3DCC"/>
    <w:rsid w:val="007E4685"/>
    <w:rsid w:val="007E491D"/>
    <w:rsid w:val="007F23D7"/>
    <w:rsid w:val="007F6055"/>
    <w:rsid w:val="007F6DFC"/>
    <w:rsid w:val="007F6E5B"/>
    <w:rsid w:val="00804CAE"/>
    <w:rsid w:val="00806D8E"/>
    <w:rsid w:val="00810F15"/>
    <w:rsid w:val="00811205"/>
    <w:rsid w:val="00812C48"/>
    <w:rsid w:val="00813D17"/>
    <w:rsid w:val="008212A5"/>
    <w:rsid w:val="008217D2"/>
    <w:rsid w:val="00825BA0"/>
    <w:rsid w:val="00827D50"/>
    <w:rsid w:val="00834D80"/>
    <w:rsid w:val="00835558"/>
    <w:rsid w:val="00836437"/>
    <w:rsid w:val="00842EB2"/>
    <w:rsid w:val="00847D23"/>
    <w:rsid w:val="00850F73"/>
    <w:rsid w:val="00851144"/>
    <w:rsid w:val="00851762"/>
    <w:rsid w:val="00854B28"/>
    <w:rsid w:val="00862368"/>
    <w:rsid w:val="00862416"/>
    <w:rsid w:val="00863619"/>
    <w:rsid w:val="0087182F"/>
    <w:rsid w:val="00884054"/>
    <w:rsid w:val="00884901"/>
    <w:rsid w:val="00887CAA"/>
    <w:rsid w:val="0089172F"/>
    <w:rsid w:val="00892D37"/>
    <w:rsid w:val="008A08A8"/>
    <w:rsid w:val="008A6B62"/>
    <w:rsid w:val="008B678F"/>
    <w:rsid w:val="008C00FA"/>
    <w:rsid w:val="008C1A65"/>
    <w:rsid w:val="008C55A3"/>
    <w:rsid w:val="008D0165"/>
    <w:rsid w:val="008D59BE"/>
    <w:rsid w:val="008D5FD2"/>
    <w:rsid w:val="008E4C73"/>
    <w:rsid w:val="008E5A5E"/>
    <w:rsid w:val="008E629B"/>
    <w:rsid w:val="008E6375"/>
    <w:rsid w:val="008E7C6B"/>
    <w:rsid w:val="008F1464"/>
    <w:rsid w:val="008F2BA6"/>
    <w:rsid w:val="008F76BD"/>
    <w:rsid w:val="00900156"/>
    <w:rsid w:val="00900828"/>
    <w:rsid w:val="0090199E"/>
    <w:rsid w:val="00911AD7"/>
    <w:rsid w:val="0091251B"/>
    <w:rsid w:val="00913196"/>
    <w:rsid w:val="00920964"/>
    <w:rsid w:val="00924F63"/>
    <w:rsid w:val="00932918"/>
    <w:rsid w:val="009366E4"/>
    <w:rsid w:val="00941D7F"/>
    <w:rsid w:val="00942A79"/>
    <w:rsid w:val="00942DCF"/>
    <w:rsid w:val="00944468"/>
    <w:rsid w:val="00944DC9"/>
    <w:rsid w:val="00950647"/>
    <w:rsid w:val="009510B5"/>
    <w:rsid w:val="009520E5"/>
    <w:rsid w:val="0095267A"/>
    <w:rsid w:val="00955DA9"/>
    <w:rsid w:val="009567F2"/>
    <w:rsid w:val="00961D50"/>
    <w:rsid w:val="00963574"/>
    <w:rsid w:val="009639FB"/>
    <w:rsid w:val="00964A99"/>
    <w:rsid w:val="0096643B"/>
    <w:rsid w:val="00966C4B"/>
    <w:rsid w:val="00971264"/>
    <w:rsid w:val="009738FB"/>
    <w:rsid w:val="00973AD8"/>
    <w:rsid w:val="00973E6E"/>
    <w:rsid w:val="00973F6C"/>
    <w:rsid w:val="009743C4"/>
    <w:rsid w:val="00977BC1"/>
    <w:rsid w:val="009816AD"/>
    <w:rsid w:val="009865A9"/>
    <w:rsid w:val="0099331E"/>
    <w:rsid w:val="00997358"/>
    <w:rsid w:val="00997EB1"/>
    <w:rsid w:val="009A2832"/>
    <w:rsid w:val="009A3903"/>
    <w:rsid w:val="009A53D0"/>
    <w:rsid w:val="009A686F"/>
    <w:rsid w:val="009A6A58"/>
    <w:rsid w:val="009B2719"/>
    <w:rsid w:val="009B3487"/>
    <w:rsid w:val="009B4CE2"/>
    <w:rsid w:val="009B783D"/>
    <w:rsid w:val="009D21B9"/>
    <w:rsid w:val="009D246B"/>
    <w:rsid w:val="009E227D"/>
    <w:rsid w:val="009E3F91"/>
    <w:rsid w:val="009E7413"/>
    <w:rsid w:val="009E7760"/>
    <w:rsid w:val="009F6476"/>
    <w:rsid w:val="00A04A4E"/>
    <w:rsid w:val="00A063CB"/>
    <w:rsid w:val="00A077D1"/>
    <w:rsid w:val="00A112FB"/>
    <w:rsid w:val="00A14119"/>
    <w:rsid w:val="00A17750"/>
    <w:rsid w:val="00A22240"/>
    <w:rsid w:val="00A36A61"/>
    <w:rsid w:val="00A417A1"/>
    <w:rsid w:val="00A43213"/>
    <w:rsid w:val="00A44B75"/>
    <w:rsid w:val="00A47C12"/>
    <w:rsid w:val="00A47EFC"/>
    <w:rsid w:val="00A50038"/>
    <w:rsid w:val="00A603BA"/>
    <w:rsid w:val="00A608D7"/>
    <w:rsid w:val="00A6194C"/>
    <w:rsid w:val="00A625E2"/>
    <w:rsid w:val="00A63302"/>
    <w:rsid w:val="00A72465"/>
    <w:rsid w:val="00A80C92"/>
    <w:rsid w:val="00A84F28"/>
    <w:rsid w:val="00A93319"/>
    <w:rsid w:val="00A9796C"/>
    <w:rsid w:val="00AA352E"/>
    <w:rsid w:val="00AA3F48"/>
    <w:rsid w:val="00AA648E"/>
    <w:rsid w:val="00AB3710"/>
    <w:rsid w:val="00AB402D"/>
    <w:rsid w:val="00AB4B0F"/>
    <w:rsid w:val="00AB6172"/>
    <w:rsid w:val="00AC0F6C"/>
    <w:rsid w:val="00AC715F"/>
    <w:rsid w:val="00AD012F"/>
    <w:rsid w:val="00AD6DB5"/>
    <w:rsid w:val="00AD7916"/>
    <w:rsid w:val="00AE3531"/>
    <w:rsid w:val="00AE3CCC"/>
    <w:rsid w:val="00AE4213"/>
    <w:rsid w:val="00AE4356"/>
    <w:rsid w:val="00AF20E3"/>
    <w:rsid w:val="00AF2434"/>
    <w:rsid w:val="00B002CC"/>
    <w:rsid w:val="00B02A6E"/>
    <w:rsid w:val="00B10F5B"/>
    <w:rsid w:val="00B12BDA"/>
    <w:rsid w:val="00B143FC"/>
    <w:rsid w:val="00B16EFD"/>
    <w:rsid w:val="00B20329"/>
    <w:rsid w:val="00B20920"/>
    <w:rsid w:val="00B2394F"/>
    <w:rsid w:val="00B23959"/>
    <w:rsid w:val="00B32CD3"/>
    <w:rsid w:val="00B3672D"/>
    <w:rsid w:val="00B36C81"/>
    <w:rsid w:val="00B3772D"/>
    <w:rsid w:val="00B37C0D"/>
    <w:rsid w:val="00B4013A"/>
    <w:rsid w:val="00B4269B"/>
    <w:rsid w:val="00B42834"/>
    <w:rsid w:val="00B45C22"/>
    <w:rsid w:val="00B554F8"/>
    <w:rsid w:val="00B729F6"/>
    <w:rsid w:val="00B769E3"/>
    <w:rsid w:val="00B775C9"/>
    <w:rsid w:val="00B840EA"/>
    <w:rsid w:val="00B86269"/>
    <w:rsid w:val="00B86A10"/>
    <w:rsid w:val="00B960F0"/>
    <w:rsid w:val="00BA7AD1"/>
    <w:rsid w:val="00BB243B"/>
    <w:rsid w:val="00BB4979"/>
    <w:rsid w:val="00BC0FDD"/>
    <w:rsid w:val="00BC1900"/>
    <w:rsid w:val="00BC22E0"/>
    <w:rsid w:val="00BD1278"/>
    <w:rsid w:val="00BD5A87"/>
    <w:rsid w:val="00BD5FAD"/>
    <w:rsid w:val="00BF0E3C"/>
    <w:rsid w:val="00BF2A2E"/>
    <w:rsid w:val="00C001F2"/>
    <w:rsid w:val="00C06C28"/>
    <w:rsid w:val="00C16E7A"/>
    <w:rsid w:val="00C2109F"/>
    <w:rsid w:val="00C2287C"/>
    <w:rsid w:val="00C2785D"/>
    <w:rsid w:val="00C32964"/>
    <w:rsid w:val="00C34ACE"/>
    <w:rsid w:val="00C34E64"/>
    <w:rsid w:val="00C40FD6"/>
    <w:rsid w:val="00C4639A"/>
    <w:rsid w:val="00C47608"/>
    <w:rsid w:val="00C50568"/>
    <w:rsid w:val="00C511A9"/>
    <w:rsid w:val="00C531DA"/>
    <w:rsid w:val="00C540CE"/>
    <w:rsid w:val="00C54E84"/>
    <w:rsid w:val="00C55013"/>
    <w:rsid w:val="00C606F4"/>
    <w:rsid w:val="00C608B5"/>
    <w:rsid w:val="00C62738"/>
    <w:rsid w:val="00C63F32"/>
    <w:rsid w:val="00C64B8E"/>
    <w:rsid w:val="00C74260"/>
    <w:rsid w:val="00C7502E"/>
    <w:rsid w:val="00C83EE5"/>
    <w:rsid w:val="00C875A4"/>
    <w:rsid w:val="00C9092F"/>
    <w:rsid w:val="00C97356"/>
    <w:rsid w:val="00CA0732"/>
    <w:rsid w:val="00CB013E"/>
    <w:rsid w:val="00CB147C"/>
    <w:rsid w:val="00CB2B18"/>
    <w:rsid w:val="00CB2E37"/>
    <w:rsid w:val="00CB60D0"/>
    <w:rsid w:val="00CC0C5F"/>
    <w:rsid w:val="00CC3AB7"/>
    <w:rsid w:val="00CD0418"/>
    <w:rsid w:val="00CD255F"/>
    <w:rsid w:val="00CD2D8C"/>
    <w:rsid w:val="00CD68E1"/>
    <w:rsid w:val="00CD6A0F"/>
    <w:rsid w:val="00CE2ADF"/>
    <w:rsid w:val="00CE5425"/>
    <w:rsid w:val="00CE57A2"/>
    <w:rsid w:val="00CE7CBD"/>
    <w:rsid w:val="00D06CA0"/>
    <w:rsid w:val="00D10E06"/>
    <w:rsid w:val="00D11A14"/>
    <w:rsid w:val="00D14DF8"/>
    <w:rsid w:val="00D170A2"/>
    <w:rsid w:val="00D23B4F"/>
    <w:rsid w:val="00D25C88"/>
    <w:rsid w:val="00D26D95"/>
    <w:rsid w:val="00D27721"/>
    <w:rsid w:val="00D36BD5"/>
    <w:rsid w:val="00D40BDF"/>
    <w:rsid w:val="00D42929"/>
    <w:rsid w:val="00D43069"/>
    <w:rsid w:val="00D5425F"/>
    <w:rsid w:val="00D57AFC"/>
    <w:rsid w:val="00D633C2"/>
    <w:rsid w:val="00D64F6A"/>
    <w:rsid w:val="00D70DD1"/>
    <w:rsid w:val="00D72D16"/>
    <w:rsid w:val="00D741A3"/>
    <w:rsid w:val="00D7560D"/>
    <w:rsid w:val="00D76554"/>
    <w:rsid w:val="00D7743B"/>
    <w:rsid w:val="00D77D30"/>
    <w:rsid w:val="00D8164B"/>
    <w:rsid w:val="00D90540"/>
    <w:rsid w:val="00D95546"/>
    <w:rsid w:val="00D96B46"/>
    <w:rsid w:val="00D9743B"/>
    <w:rsid w:val="00D97E7D"/>
    <w:rsid w:val="00DA129F"/>
    <w:rsid w:val="00DA3016"/>
    <w:rsid w:val="00DA380F"/>
    <w:rsid w:val="00DA67C7"/>
    <w:rsid w:val="00DB11D0"/>
    <w:rsid w:val="00DB295E"/>
    <w:rsid w:val="00DB5C0A"/>
    <w:rsid w:val="00DC173E"/>
    <w:rsid w:val="00DD09DC"/>
    <w:rsid w:val="00DD13E2"/>
    <w:rsid w:val="00DD32C0"/>
    <w:rsid w:val="00DD79E0"/>
    <w:rsid w:val="00DE1B70"/>
    <w:rsid w:val="00DE684B"/>
    <w:rsid w:val="00DF003C"/>
    <w:rsid w:val="00DF0645"/>
    <w:rsid w:val="00DF2B89"/>
    <w:rsid w:val="00DF4501"/>
    <w:rsid w:val="00DF62A4"/>
    <w:rsid w:val="00DF7715"/>
    <w:rsid w:val="00E02A52"/>
    <w:rsid w:val="00E07BD8"/>
    <w:rsid w:val="00E1072D"/>
    <w:rsid w:val="00E10BB4"/>
    <w:rsid w:val="00E11808"/>
    <w:rsid w:val="00E1335B"/>
    <w:rsid w:val="00E160C7"/>
    <w:rsid w:val="00E168E5"/>
    <w:rsid w:val="00E20F97"/>
    <w:rsid w:val="00E2672F"/>
    <w:rsid w:val="00E41A49"/>
    <w:rsid w:val="00E46C9C"/>
    <w:rsid w:val="00E47913"/>
    <w:rsid w:val="00E53ACB"/>
    <w:rsid w:val="00E632AA"/>
    <w:rsid w:val="00E63D4F"/>
    <w:rsid w:val="00E65E29"/>
    <w:rsid w:val="00E71827"/>
    <w:rsid w:val="00E71AB2"/>
    <w:rsid w:val="00E72DA8"/>
    <w:rsid w:val="00E76617"/>
    <w:rsid w:val="00E774E4"/>
    <w:rsid w:val="00E80297"/>
    <w:rsid w:val="00E854AF"/>
    <w:rsid w:val="00E908F1"/>
    <w:rsid w:val="00E93992"/>
    <w:rsid w:val="00E95355"/>
    <w:rsid w:val="00EA1F89"/>
    <w:rsid w:val="00EA597E"/>
    <w:rsid w:val="00EA63BB"/>
    <w:rsid w:val="00EA7A26"/>
    <w:rsid w:val="00EB072F"/>
    <w:rsid w:val="00EB0A6E"/>
    <w:rsid w:val="00EB79CD"/>
    <w:rsid w:val="00EC07C3"/>
    <w:rsid w:val="00EC5C70"/>
    <w:rsid w:val="00EC5E3E"/>
    <w:rsid w:val="00ED255A"/>
    <w:rsid w:val="00ED255B"/>
    <w:rsid w:val="00ED5615"/>
    <w:rsid w:val="00EE2200"/>
    <w:rsid w:val="00EE2942"/>
    <w:rsid w:val="00EE2A41"/>
    <w:rsid w:val="00EE608E"/>
    <w:rsid w:val="00EF64CD"/>
    <w:rsid w:val="00F01245"/>
    <w:rsid w:val="00F017B9"/>
    <w:rsid w:val="00F0351B"/>
    <w:rsid w:val="00F10DEE"/>
    <w:rsid w:val="00F119BB"/>
    <w:rsid w:val="00F15906"/>
    <w:rsid w:val="00F15D2B"/>
    <w:rsid w:val="00F22566"/>
    <w:rsid w:val="00F35D59"/>
    <w:rsid w:val="00F47A77"/>
    <w:rsid w:val="00F47BA8"/>
    <w:rsid w:val="00F55762"/>
    <w:rsid w:val="00F558F7"/>
    <w:rsid w:val="00F56371"/>
    <w:rsid w:val="00F606FE"/>
    <w:rsid w:val="00F621AE"/>
    <w:rsid w:val="00F62214"/>
    <w:rsid w:val="00F727B0"/>
    <w:rsid w:val="00F83218"/>
    <w:rsid w:val="00F853C3"/>
    <w:rsid w:val="00F9008E"/>
    <w:rsid w:val="00F92C7B"/>
    <w:rsid w:val="00F952C8"/>
    <w:rsid w:val="00FA4C4E"/>
    <w:rsid w:val="00FA4EBF"/>
    <w:rsid w:val="00FB069D"/>
    <w:rsid w:val="00FB0C03"/>
    <w:rsid w:val="00FB21F4"/>
    <w:rsid w:val="00FB4BBD"/>
    <w:rsid w:val="00FB6EFA"/>
    <w:rsid w:val="00FB7484"/>
    <w:rsid w:val="00FD2E24"/>
    <w:rsid w:val="00FD3F68"/>
    <w:rsid w:val="00FD4599"/>
    <w:rsid w:val="00FD4784"/>
    <w:rsid w:val="00FD65FE"/>
    <w:rsid w:val="00FD6BB8"/>
    <w:rsid w:val="00FE69D7"/>
    <w:rsid w:val="00FE7406"/>
    <w:rsid w:val="00FF15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8A320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5B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B3C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3C72"/>
    <w:rPr>
      <w:rFonts w:ascii="Segoe UI" w:hAnsi="Segoe UI" w:cs="Segoe UI"/>
      <w:sz w:val="18"/>
      <w:szCs w:val="18"/>
    </w:rPr>
  </w:style>
  <w:style w:type="character" w:styleId="Refdecomentario">
    <w:name w:val="annotation reference"/>
    <w:basedOn w:val="Fuentedeprrafopredeter"/>
    <w:uiPriority w:val="99"/>
    <w:semiHidden/>
    <w:unhideWhenUsed/>
    <w:rsid w:val="00380EFC"/>
    <w:rPr>
      <w:sz w:val="16"/>
      <w:szCs w:val="16"/>
    </w:rPr>
  </w:style>
  <w:style w:type="paragraph" w:styleId="Textocomentario">
    <w:name w:val="annotation text"/>
    <w:basedOn w:val="Normal"/>
    <w:link w:val="TextocomentarioCar"/>
    <w:uiPriority w:val="99"/>
    <w:semiHidden/>
    <w:unhideWhenUsed/>
    <w:rsid w:val="00380EF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80EFC"/>
    <w:rPr>
      <w:sz w:val="20"/>
      <w:szCs w:val="20"/>
    </w:rPr>
  </w:style>
  <w:style w:type="paragraph" w:styleId="Asuntodelcomentario">
    <w:name w:val="annotation subject"/>
    <w:basedOn w:val="Textocomentario"/>
    <w:next w:val="Textocomentario"/>
    <w:link w:val="AsuntodelcomentarioCar"/>
    <w:uiPriority w:val="99"/>
    <w:semiHidden/>
    <w:unhideWhenUsed/>
    <w:rsid w:val="00380EFC"/>
    <w:rPr>
      <w:b/>
      <w:bCs/>
    </w:rPr>
  </w:style>
  <w:style w:type="character" w:customStyle="1" w:styleId="AsuntodelcomentarioCar">
    <w:name w:val="Asunto del comentario Car"/>
    <w:basedOn w:val="TextocomentarioCar"/>
    <w:link w:val="Asuntodelcomentario"/>
    <w:uiPriority w:val="99"/>
    <w:semiHidden/>
    <w:rsid w:val="00380EFC"/>
    <w:rPr>
      <w:b/>
      <w:bCs/>
      <w:sz w:val="20"/>
      <w:szCs w:val="20"/>
    </w:rPr>
  </w:style>
  <w:style w:type="character" w:customStyle="1" w:styleId="UnresolvedMention">
    <w:name w:val="Unresolved Mention"/>
    <w:basedOn w:val="Fuentedeprrafopredeter"/>
    <w:uiPriority w:val="99"/>
    <w:semiHidden/>
    <w:unhideWhenUsed/>
    <w:rsid w:val="008E4C73"/>
    <w:rPr>
      <w:color w:val="605E5C"/>
      <w:shd w:val="clear" w:color="auto" w:fill="E1DFDD"/>
    </w:rPr>
  </w:style>
  <w:style w:type="paragraph" w:customStyle="1" w:styleId="INFOEM">
    <w:name w:val="INFOEM"/>
    <w:basedOn w:val="Normal"/>
    <w:qFormat/>
    <w:rsid w:val="00E72DA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900156"/>
    <w:pPr>
      <w:spacing w:before="240" w:line="360" w:lineRule="auto"/>
      <w:ind w:left="851" w:right="851"/>
      <w:jc w:val="both"/>
    </w:pPr>
    <w:rPr>
      <w:rFonts w:ascii="Palatino Linotype" w:hAnsi="Palatino Linotype" w:cs="Arial"/>
      <w:i/>
    </w:rPr>
  </w:style>
  <w:style w:type="paragraph" w:customStyle="1" w:styleId="infoemcitas">
    <w:name w:val="infoem citas"/>
    <w:basedOn w:val="Normal"/>
    <w:qFormat/>
    <w:rsid w:val="003418F9"/>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735451">
      <w:bodyDiv w:val="1"/>
      <w:marLeft w:val="0"/>
      <w:marRight w:val="0"/>
      <w:marTop w:val="0"/>
      <w:marBottom w:val="0"/>
      <w:divBdr>
        <w:top w:val="none" w:sz="0" w:space="0" w:color="auto"/>
        <w:left w:val="none" w:sz="0" w:space="0" w:color="auto"/>
        <w:bottom w:val="none" w:sz="0" w:space="0" w:color="auto"/>
        <w:right w:val="none" w:sz="0" w:space="0" w:color="auto"/>
      </w:divBdr>
    </w:div>
    <w:div w:id="238709690">
      <w:bodyDiv w:val="1"/>
      <w:marLeft w:val="0"/>
      <w:marRight w:val="0"/>
      <w:marTop w:val="0"/>
      <w:marBottom w:val="0"/>
      <w:divBdr>
        <w:top w:val="none" w:sz="0" w:space="0" w:color="auto"/>
        <w:left w:val="none" w:sz="0" w:space="0" w:color="auto"/>
        <w:bottom w:val="none" w:sz="0" w:space="0" w:color="auto"/>
        <w:right w:val="none" w:sz="0" w:space="0" w:color="auto"/>
      </w:divBdr>
    </w:div>
    <w:div w:id="333729813">
      <w:bodyDiv w:val="1"/>
      <w:marLeft w:val="0"/>
      <w:marRight w:val="0"/>
      <w:marTop w:val="0"/>
      <w:marBottom w:val="0"/>
      <w:divBdr>
        <w:top w:val="none" w:sz="0" w:space="0" w:color="auto"/>
        <w:left w:val="none" w:sz="0" w:space="0" w:color="auto"/>
        <w:bottom w:val="none" w:sz="0" w:space="0" w:color="auto"/>
        <w:right w:val="none" w:sz="0" w:space="0" w:color="auto"/>
      </w:divBdr>
    </w:div>
    <w:div w:id="426655790">
      <w:bodyDiv w:val="1"/>
      <w:marLeft w:val="0"/>
      <w:marRight w:val="0"/>
      <w:marTop w:val="0"/>
      <w:marBottom w:val="0"/>
      <w:divBdr>
        <w:top w:val="none" w:sz="0" w:space="0" w:color="auto"/>
        <w:left w:val="none" w:sz="0" w:space="0" w:color="auto"/>
        <w:bottom w:val="none" w:sz="0" w:space="0" w:color="auto"/>
        <w:right w:val="none" w:sz="0" w:space="0" w:color="auto"/>
      </w:divBdr>
    </w:div>
    <w:div w:id="550771817">
      <w:bodyDiv w:val="1"/>
      <w:marLeft w:val="0"/>
      <w:marRight w:val="0"/>
      <w:marTop w:val="0"/>
      <w:marBottom w:val="0"/>
      <w:divBdr>
        <w:top w:val="none" w:sz="0" w:space="0" w:color="auto"/>
        <w:left w:val="none" w:sz="0" w:space="0" w:color="auto"/>
        <w:bottom w:val="none" w:sz="0" w:space="0" w:color="auto"/>
        <w:right w:val="none" w:sz="0" w:space="0" w:color="auto"/>
      </w:divBdr>
    </w:div>
    <w:div w:id="565917072">
      <w:bodyDiv w:val="1"/>
      <w:marLeft w:val="0"/>
      <w:marRight w:val="0"/>
      <w:marTop w:val="0"/>
      <w:marBottom w:val="0"/>
      <w:divBdr>
        <w:top w:val="none" w:sz="0" w:space="0" w:color="auto"/>
        <w:left w:val="none" w:sz="0" w:space="0" w:color="auto"/>
        <w:bottom w:val="none" w:sz="0" w:space="0" w:color="auto"/>
        <w:right w:val="none" w:sz="0" w:space="0" w:color="auto"/>
      </w:divBdr>
    </w:div>
    <w:div w:id="587426145">
      <w:bodyDiv w:val="1"/>
      <w:marLeft w:val="0"/>
      <w:marRight w:val="0"/>
      <w:marTop w:val="0"/>
      <w:marBottom w:val="0"/>
      <w:divBdr>
        <w:top w:val="none" w:sz="0" w:space="0" w:color="auto"/>
        <w:left w:val="none" w:sz="0" w:space="0" w:color="auto"/>
        <w:bottom w:val="none" w:sz="0" w:space="0" w:color="auto"/>
        <w:right w:val="none" w:sz="0" w:space="0" w:color="auto"/>
      </w:divBdr>
      <w:divsChild>
        <w:div w:id="1440222713">
          <w:marLeft w:val="0"/>
          <w:marRight w:val="0"/>
          <w:marTop w:val="0"/>
          <w:marBottom w:val="0"/>
          <w:divBdr>
            <w:top w:val="none" w:sz="0" w:space="0" w:color="auto"/>
            <w:left w:val="none" w:sz="0" w:space="0" w:color="auto"/>
            <w:bottom w:val="none" w:sz="0" w:space="0" w:color="auto"/>
            <w:right w:val="none" w:sz="0" w:space="0" w:color="auto"/>
          </w:divBdr>
        </w:div>
      </w:divsChild>
    </w:div>
    <w:div w:id="737677971">
      <w:bodyDiv w:val="1"/>
      <w:marLeft w:val="0"/>
      <w:marRight w:val="0"/>
      <w:marTop w:val="0"/>
      <w:marBottom w:val="0"/>
      <w:divBdr>
        <w:top w:val="none" w:sz="0" w:space="0" w:color="auto"/>
        <w:left w:val="none" w:sz="0" w:space="0" w:color="auto"/>
        <w:bottom w:val="none" w:sz="0" w:space="0" w:color="auto"/>
        <w:right w:val="none" w:sz="0" w:space="0" w:color="auto"/>
      </w:divBdr>
    </w:div>
    <w:div w:id="818233742">
      <w:bodyDiv w:val="1"/>
      <w:marLeft w:val="0"/>
      <w:marRight w:val="0"/>
      <w:marTop w:val="0"/>
      <w:marBottom w:val="0"/>
      <w:divBdr>
        <w:top w:val="none" w:sz="0" w:space="0" w:color="auto"/>
        <w:left w:val="none" w:sz="0" w:space="0" w:color="auto"/>
        <w:bottom w:val="none" w:sz="0" w:space="0" w:color="auto"/>
        <w:right w:val="none" w:sz="0" w:space="0" w:color="auto"/>
      </w:divBdr>
    </w:div>
    <w:div w:id="885147450">
      <w:bodyDiv w:val="1"/>
      <w:marLeft w:val="0"/>
      <w:marRight w:val="0"/>
      <w:marTop w:val="0"/>
      <w:marBottom w:val="0"/>
      <w:divBdr>
        <w:top w:val="none" w:sz="0" w:space="0" w:color="auto"/>
        <w:left w:val="none" w:sz="0" w:space="0" w:color="auto"/>
        <w:bottom w:val="none" w:sz="0" w:space="0" w:color="auto"/>
        <w:right w:val="none" w:sz="0" w:space="0" w:color="auto"/>
      </w:divBdr>
      <w:divsChild>
        <w:div w:id="2036422102">
          <w:marLeft w:val="0"/>
          <w:marRight w:val="0"/>
          <w:marTop w:val="0"/>
          <w:marBottom w:val="0"/>
          <w:divBdr>
            <w:top w:val="none" w:sz="0" w:space="0" w:color="auto"/>
            <w:left w:val="none" w:sz="0" w:space="0" w:color="auto"/>
            <w:bottom w:val="none" w:sz="0" w:space="0" w:color="auto"/>
            <w:right w:val="none" w:sz="0" w:space="0" w:color="auto"/>
          </w:divBdr>
        </w:div>
      </w:divsChild>
    </w:div>
    <w:div w:id="947658750">
      <w:bodyDiv w:val="1"/>
      <w:marLeft w:val="0"/>
      <w:marRight w:val="0"/>
      <w:marTop w:val="0"/>
      <w:marBottom w:val="0"/>
      <w:divBdr>
        <w:top w:val="none" w:sz="0" w:space="0" w:color="auto"/>
        <w:left w:val="none" w:sz="0" w:space="0" w:color="auto"/>
        <w:bottom w:val="none" w:sz="0" w:space="0" w:color="auto"/>
        <w:right w:val="none" w:sz="0" w:space="0" w:color="auto"/>
      </w:divBdr>
      <w:divsChild>
        <w:div w:id="523784556">
          <w:marLeft w:val="0"/>
          <w:marRight w:val="0"/>
          <w:marTop w:val="0"/>
          <w:marBottom w:val="0"/>
          <w:divBdr>
            <w:top w:val="none" w:sz="0" w:space="0" w:color="auto"/>
            <w:left w:val="none" w:sz="0" w:space="0" w:color="auto"/>
            <w:bottom w:val="none" w:sz="0" w:space="0" w:color="auto"/>
            <w:right w:val="none" w:sz="0" w:space="0" w:color="auto"/>
          </w:divBdr>
        </w:div>
      </w:divsChild>
    </w:div>
    <w:div w:id="1081485904">
      <w:bodyDiv w:val="1"/>
      <w:marLeft w:val="0"/>
      <w:marRight w:val="0"/>
      <w:marTop w:val="0"/>
      <w:marBottom w:val="0"/>
      <w:divBdr>
        <w:top w:val="none" w:sz="0" w:space="0" w:color="auto"/>
        <w:left w:val="none" w:sz="0" w:space="0" w:color="auto"/>
        <w:bottom w:val="none" w:sz="0" w:space="0" w:color="auto"/>
        <w:right w:val="none" w:sz="0" w:space="0" w:color="auto"/>
      </w:divBdr>
    </w:div>
    <w:div w:id="1092971426">
      <w:bodyDiv w:val="1"/>
      <w:marLeft w:val="0"/>
      <w:marRight w:val="0"/>
      <w:marTop w:val="0"/>
      <w:marBottom w:val="0"/>
      <w:divBdr>
        <w:top w:val="none" w:sz="0" w:space="0" w:color="auto"/>
        <w:left w:val="none" w:sz="0" w:space="0" w:color="auto"/>
        <w:bottom w:val="none" w:sz="0" w:space="0" w:color="auto"/>
        <w:right w:val="none" w:sz="0" w:space="0" w:color="auto"/>
      </w:divBdr>
    </w:div>
    <w:div w:id="1287076639">
      <w:bodyDiv w:val="1"/>
      <w:marLeft w:val="0"/>
      <w:marRight w:val="0"/>
      <w:marTop w:val="0"/>
      <w:marBottom w:val="0"/>
      <w:divBdr>
        <w:top w:val="none" w:sz="0" w:space="0" w:color="auto"/>
        <w:left w:val="none" w:sz="0" w:space="0" w:color="auto"/>
        <w:bottom w:val="none" w:sz="0" w:space="0" w:color="auto"/>
        <w:right w:val="none" w:sz="0" w:space="0" w:color="auto"/>
      </w:divBdr>
    </w:div>
    <w:div w:id="1314917492">
      <w:bodyDiv w:val="1"/>
      <w:marLeft w:val="0"/>
      <w:marRight w:val="0"/>
      <w:marTop w:val="0"/>
      <w:marBottom w:val="0"/>
      <w:divBdr>
        <w:top w:val="none" w:sz="0" w:space="0" w:color="auto"/>
        <w:left w:val="none" w:sz="0" w:space="0" w:color="auto"/>
        <w:bottom w:val="none" w:sz="0" w:space="0" w:color="auto"/>
        <w:right w:val="none" w:sz="0" w:space="0" w:color="auto"/>
      </w:divBdr>
      <w:divsChild>
        <w:div w:id="351960416">
          <w:marLeft w:val="0"/>
          <w:marRight w:val="0"/>
          <w:marTop w:val="0"/>
          <w:marBottom w:val="0"/>
          <w:divBdr>
            <w:top w:val="none" w:sz="0" w:space="0" w:color="auto"/>
            <w:left w:val="none" w:sz="0" w:space="0" w:color="auto"/>
            <w:bottom w:val="none" w:sz="0" w:space="0" w:color="auto"/>
            <w:right w:val="none" w:sz="0" w:space="0" w:color="auto"/>
          </w:divBdr>
        </w:div>
      </w:divsChild>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8430203">
      <w:bodyDiv w:val="1"/>
      <w:marLeft w:val="0"/>
      <w:marRight w:val="0"/>
      <w:marTop w:val="0"/>
      <w:marBottom w:val="0"/>
      <w:divBdr>
        <w:top w:val="none" w:sz="0" w:space="0" w:color="auto"/>
        <w:left w:val="none" w:sz="0" w:space="0" w:color="auto"/>
        <w:bottom w:val="none" w:sz="0" w:space="0" w:color="auto"/>
        <w:right w:val="none" w:sz="0" w:space="0" w:color="auto"/>
      </w:divBdr>
    </w:div>
    <w:div w:id="1457993036">
      <w:bodyDiv w:val="1"/>
      <w:marLeft w:val="0"/>
      <w:marRight w:val="0"/>
      <w:marTop w:val="0"/>
      <w:marBottom w:val="0"/>
      <w:divBdr>
        <w:top w:val="none" w:sz="0" w:space="0" w:color="auto"/>
        <w:left w:val="none" w:sz="0" w:space="0" w:color="auto"/>
        <w:bottom w:val="none" w:sz="0" w:space="0" w:color="auto"/>
        <w:right w:val="none" w:sz="0" w:space="0" w:color="auto"/>
      </w:divBdr>
    </w:div>
    <w:div w:id="1465200943">
      <w:bodyDiv w:val="1"/>
      <w:marLeft w:val="0"/>
      <w:marRight w:val="0"/>
      <w:marTop w:val="0"/>
      <w:marBottom w:val="0"/>
      <w:divBdr>
        <w:top w:val="none" w:sz="0" w:space="0" w:color="auto"/>
        <w:left w:val="none" w:sz="0" w:space="0" w:color="auto"/>
        <w:bottom w:val="none" w:sz="0" w:space="0" w:color="auto"/>
        <w:right w:val="none" w:sz="0" w:space="0" w:color="auto"/>
      </w:divBdr>
    </w:div>
    <w:div w:id="1682969443">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93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OACALCO/art_92_ii_b/3/0/.web" TargetMode="External"/><Relationship Id="rId13" Type="http://schemas.openxmlformats.org/officeDocument/2006/relationships/hyperlink" Target="https://www.infoem.org.mx/es/contenido/transparencia/directorio-de-sujetos-obligado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facebook.com/CoacalcoGobMx/posts/1265936367217397"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8DE92-A1F2-49A6-A6E9-12DE0093A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TotalTime>
  <Pages>32</Pages>
  <Words>5536</Words>
  <Characters>30448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35</cp:revision>
  <cp:lastPrinted>2019-12-02T18:59:00Z</cp:lastPrinted>
  <dcterms:created xsi:type="dcterms:W3CDTF">2021-12-16T16:15:00Z</dcterms:created>
  <dcterms:modified xsi:type="dcterms:W3CDTF">2022-03-04T20:24:00Z</dcterms:modified>
</cp:coreProperties>
</file>