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A91627">
        <w:rPr>
          <w:rFonts w:ascii="Palatino Linotype" w:eastAsia="Palatino Linotype" w:hAnsi="Palatino Linotype" w:cs="Palatino Linotype"/>
        </w:rPr>
        <w:t>stado de México, de fecha diecisiete</w:t>
      </w:r>
      <w:r w:rsidR="007C20F8">
        <w:rPr>
          <w:rFonts w:ascii="Palatino Linotype" w:eastAsia="Palatino Linotype" w:hAnsi="Palatino Linotype" w:cs="Palatino Linotype"/>
        </w:rPr>
        <w:t xml:space="preserve"> de agosto</w:t>
      </w:r>
      <w:r>
        <w:rPr>
          <w:rFonts w:ascii="Palatino Linotype" w:eastAsia="Palatino Linotype" w:hAnsi="Palatino Linotype" w:cs="Palatino Linotype"/>
        </w:rPr>
        <w:t xml:space="preserve"> del dos mil veintidós. </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sidR="007C20F8">
        <w:rPr>
          <w:rFonts w:ascii="Palatino Linotype" w:eastAsia="Palatino Linotype" w:hAnsi="Palatino Linotype" w:cs="Palatino Linotype"/>
          <w:b/>
        </w:rPr>
        <w:t>05234</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interpuesto por una persona de manera anónima, al cual en lo sucesivo se le denominara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a su solicitud de información con número de folio </w:t>
      </w:r>
      <w:r w:rsidR="007C20F8" w:rsidRPr="007C20F8">
        <w:rPr>
          <w:rFonts w:ascii="Palatino Linotype" w:eastAsia="Palatino Linotype" w:hAnsi="Palatino Linotype" w:cs="Palatino Linotype"/>
          <w:b/>
        </w:rPr>
        <w:t>00035/TENAAIR/IP/2022</w:t>
      </w:r>
      <w:r>
        <w:rPr>
          <w:rFonts w:ascii="Palatino Linotype" w:eastAsia="Palatino Linotype" w:hAnsi="Palatino Linotype" w:cs="Palatino Linotype"/>
        </w:rPr>
        <w:t xml:space="preserve">, por parte del </w:t>
      </w:r>
      <w:r w:rsidR="007C20F8">
        <w:rPr>
          <w:rFonts w:ascii="Palatino Linotype" w:eastAsia="Palatino Linotype" w:hAnsi="Palatino Linotype" w:cs="Palatino Linotype"/>
          <w:b/>
        </w:rPr>
        <w:t>Ayuntamiento de Tenango del Aire</w:t>
      </w:r>
      <w:r>
        <w:rPr>
          <w:rFonts w:ascii="Palatino Linotype" w:eastAsia="Palatino Linotype" w:hAnsi="Palatino Linotype" w:cs="Palatino Linotype"/>
          <w:b/>
        </w:rPr>
        <w:t>,</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19016C" w:rsidRDefault="009357F8">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rsidR="0019016C" w:rsidRDefault="009357F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sidR="007C20F8">
        <w:rPr>
          <w:rFonts w:ascii="Palatino Linotype" w:eastAsia="Palatino Linotype" w:hAnsi="Palatino Linotype" w:cs="Palatino Linotype"/>
        </w:rPr>
        <w:t>Con fecha nueve de marzo</w:t>
      </w:r>
      <w:r>
        <w:rPr>
          <w:rFonts w:ascii="Palatino Linotype" w:eastAsia="Palatino Linotype" w:hAnsi="Palatino Linotype" w:cs="Palatino Linotype"/>
        </w:rPr>
        <w:t xml:space="preserve">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19016C" w:rsidRDefault="009357F8">
      <w:pP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7C20F8" w:rsidRPr="007C20F8">
        <w:rPr>
          <w:rFonts w:ascii="Palatino Linotype" w:eastAsia="Palatino Linotype" w:hAnsi="Palatino Linotype" w:cs="Palatino Linotype"/>
          <w:i/>
          <w:color w:val="000000"/>
          <w:sz w:val="22"/>
          <w:szCs w:val="22"/>
        </w:rPr>
        <w:t xml:space="preserve">- Gaceta de Gobierno electrónica especificando página, que ALGUNA NORMA JURÍDICA contenga el fundamento legal para crear LA COMISIÓN REVISION Y ACTUALIZACIÓN DE REGLAMENTACIÓN MUNICIPAL DE TENANGO DEL AIRE. - Oficio de Solicitud por parte de la SIPINNA estatal o federal para la creación del AREA o AREAS DE PRIMER CONTACTO CON NIÑOS NIÑAS Y ADOLESCENTES. - Oficio de Petición para la condonación de las actas de </w:t>
      </w:r>
      <w:proofErr w:type="spellStart"/>
      <w:r w:rsidR="007C20F8" w:rsidRPr="007C20F8">
        <w:rPr>
          <w:rFonts w:ascii="Palatino Linotype" w:eastAsia="Palatino Linotype" w:hAnsi="Palatino Linotype" w:cs="Palatino Linotype"/>
          <w:i/>
          <w:color w:val="000000"/>
          <w:sz w:val="22"/>
          <w:szCs w:val="22"/>
        </w:rPr>
        <w:t>naciminento</w:t>
      </w:r>
      <w:proofErr w:type="spellEnd"/>
      <w:r w:rsidR="007C20F8" w:rsidRPr="007C20F8">
        <w:rPr>
          <w:rFonts w:ascii="Palatino Linotype" w:eastAsia="Palatino Linotype" w:hAnsi="Palatino Linotype" w:cs="Palatino Linotype"/>
          <w:i/>
          <w:color w:val="000000"/>
          <w:sz w:val="22"/>
          <w:szCs w:val="22"/>
        </w:rPr>
        <w:t xml:space="preserve">, divorcio, matrimonio, etc. Por parte del Dr. Cesar Enrique </w:t>
      </w:r>
      <w:proofErr w:type="spellStart"/>
      <w:r w:rsidR="007C20F8" w:rsidRPr="007C20F8">
        <w:rPr>
          <w:rFonts w:ascii="Palatino Linotype" w:eastAsia="Palatino Linotype" w:hAnsi="Palatino Linotype" w:cs="Palatino Linotype"/>
          <w:i/>
          <w:color w:val="000000"/>
          <w:sz w:val="22"/>
          <w:szCs w:val="22"/>
        </w:rPr>
        <w:t>Sanchez</w:t>
      </w:r>
      <w:proofErr w:type="spellEnd"/>
      <w:r w:rsidR="007C20F8" w:rsidRPr="007C20F8">
        <w:rPr>
          <w:rFonts w:ascii="Palatino Linotype" w:eastAsia="Palatino Linotype" w:hAnsi="Palatino Linotype" w:cs="Palatino Linotype"/>
          <w:i/>
          <w:color w:val="000000"/>
          <w:sz w:val="22"/>
          <w:szCs w:val="22"/>
        </w:rPr>
        <w:t xml:space="preserve"> </w:t>
      </w:r>
      <w:proofErr w:type="spellStart"/>
      <w:r w:rsidR="007C20F8" w:rsidRPr="007C20F8">
        <w:rPr>
          <w:rFonts w:ascii="Palatino Linotype" w:eastAsia="Palatino Linotype" w:hAnsi="Palatino Linotype" w:cs="Palatino Linotype"/>
          <w:i/>
          <w:color w:val="000000"/>
          <w:sz w:val="22"/>
          <w:szCs w:val="22"/>
        </w:rPr>
        <w:t>Millan</w:t>
      </w:r>
      <w:proofErr w:type="spellEnd"/>
      <w:r w:rsidR="007C20F8" w:rsidRPr="007C20F8">
        <w:rPr>
          <w:rFonts w:ascii="Palatino Linotype" w:eastAsia="Palatino Linotype" w:hAnsi="Palatino Linotype" w:cs="Palatino Linotype"/>
          <w:i/>
          <w:color w:val="000000"/>
          <w:sz w:val="22"/>
          <w:szCs w:val="22"/>
        </w:rPr>
        <w:t xml:space="preserve">. - Facturas pagadas por concepto del bando municipal 2022. - Bando Municipal 2022 - Comprobante de pago a la Comisión de Agua del Estado de México por concepto de pago 2019. - Comprobante de pago a la Comisión de Agua del Estado de México 2020. - </w:t>
      </w:r>
      <w:r w:rsidR="007C20F8" w:rsidRPr="007C20F8">
        <w:rPr>
          <w:rFonts w:ascii="Palatino Linotype" w:eastAsia="Palatino Linotype" w:hAnsi="Palatino Linotype" w:cs="Palatino Linotype"/>
          <w:i/>
          <w:color w:val="000000"/>
          <w:sz w:val="22"/>
          <w:szCs w:val="22"/>
        </w:rPr>
        <w:lastRenderedPageBreak/>
        <w:t>Comprobante de pago a la Comisión de Agua del Estado de México 2021. - Comprobante de pago a la Comisión Federal de Electricidad 2019. - Comprobante de pago a la Comisión Federal de Electricidad 2020. - El Comprobante de pago a la Comisión Federal de Electricidad 2021.</w:t>
      </w:r>
      <w:r>
        <w:rPr>
          <w:rFonts w:ascii="Palatino Linotype" w:eastAsia="Palatino Linotype" w:hAnsi="Palatino Linotype" w:cs="Palatino Linotype"/>
          <w:i/>
          <w:color w:val="000000"/>
          <w:sz w:val="22"/>
          <w:szCs w:val="22"/>
        </w:rPr>
        <w:t>” (Sic)</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sidR="007C20F8">
        <w:rPr>
          <w:rFonts w:ascii="Palatino Linotype" w:eastAsia="Palatino Linotype" w:hAnsi="Palatino Linotype" w:cs="Palatino Linotype"/>
        </w:rPr>
        <w:t>Con fecha treinta de marzo</w:t>
      </w:r>
      <w:r>
        <w:rPr>
          <w:rFonts w:ascii="Palatino Linotype" w:eastAsia="Palatino Linotype" w:hAnsi="Palatino Linotype" w:cs="Palatino Linotype"/>
        </w:rPr>
        <w:t xml:space="preserve">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7C20F8" w:rsidRDefault="009357F8" w:rsidP="007C20F8">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9016C" w:rsidRDefault="007C20F8" w:rsidP="007C20F8">
      <w:pPr>
        <w:spacing w:before="240"/>
        <w:ind w:left="851" w:right="902"/>
        <w:jc w:val="both"/>
        <w:rPr>
          <w:rFonts w:ascii="Palatino Linotype" w:eastAsia="Palatino Linotype" w:hAnsi="Palatino Linotype" w:cs="Palatino Linotype"/>
          <w:i/>
          <w:color w:val="000000"/>
          <w:sz w:val="22"/>
          <w:szCs w:val="22"/>
        </w:rPr>
      </w:pPr>
      <w:r w:rsidRPr="007C20F8">
        <w:rPr>
          <w:rFonts w:ascii="Palatino Linotype" w:eastAsia="Palatino Linotype" w:hAnsi="Palatino Linotype" w:cs="Palatino Linotype"/>
          <w:i/>
          <w:color w:val="000000"/>
          <w:sz w:val="22"/>
          <w:szCs w:val="22"/>
        </w:rPr>
        <w:t>POR MEDIO DEL PRESENTE SE DA CONTESTACION A SU SOLICITUD CON NUMERO 00035/TENAAIR/IP/2022, CON EL OFICIO NUMERO MTA/UT/104/2022, EN EL MISMO TENOR, SE ANEXA LA DOCUMENTACION REQUERIDA EN ESTA PLATAFORMA</w:t>
      </w:r>
      <w:r w:rsidR="009357F8">
        <w:rPr>
          <w:rFonts w:ascii="Palatino Linotype" w:eastAsia="Palatino Linotype" w:hAnsi="Palatino Linotype" w:cs="Palatino Linotype"/>
          <w:i/>
          <w:color w:val="000000"/>
          <w:sz w:val="22"/>
          <w:szCs w:val="22"/>
        </w:rPr>
        <w:t>.</w:t>
      </w:r>
    </w:p>
    <w:p w:rsidR="0019016C" w:rsidRDefault="009357F8">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19016C" w:rsidRDefault="007C20F8">
      <w:pPr>
        <w:ind w:left="851" w:right="902"/>
        <w:jc w:val="both"/>
        <w:rPr>
          <w:rFonts w:ascii="Palatino Linotype" w:eastAsia="Palatino Linotype" w:hAnsi="Palatino Linotype" w:cs="Palatino Linotype"/>
          <w:i/>
          <w:color w:val="000000"/>
          <w:sz w:val="22"/>
          <w:szCs w:val="22"/>
        </w:rPr>
      </w:pPr>
      <w:r w:rsidRPr="007C20F8">
        <w:rPr>
          <w:rFonts w:ascii="Palatino Linotype" w:eastAsia="Palatino Linotype" w:hAnsi="Palatino Linotype" w:cs="Palatino Linotype"/>
          <w:i/>
          <w:color w:val="000000"/>
          <w:sz w:val="22"/>
          <w:szCs w:val="22"/>
        </w:rPr>
        <w:t>C. PABLO SANCHEZ DELGADILLO</w:t>
      </w:r>
      <w:r w:rsidR="009357F8">
        <w:rPr>
          <w:rFonts w:ascii="Palatino Linotype" w:eastAsia="Palatino Linotype" w:hAnsi="Palatino Linotype" w:cs="Palatino Linotype"/>
          <w:i/>
          <w:color w:val="000000"/>
          <w:sz w:val="22"/>
          <w:szCs w:val="22"/>
        </w:rPr>
        <w:t>” (Sic)</w:t>
      </w:r>
    </w:p>
    <w:p w:rsidR="0019016C" w:rsidRDefault="0019016C">
      <w:pPr>
        <w:ind w:left="851" w:right="902"/>
        <w:jc w:val="both"/>
        <w:rPr>
          <w:rFonts w:ascii="Palatino Linotype" w:eastAsia="Palatino Linotype" w:hAnsi="Palatino Linotype" w:cs="Palatino Linotype"/>
          <w:i/>
          <w:sz w:val="22"/>
          <w:szCs w:val="22"/>
        </w:rPr>
      </w:pPr>
    </w:p>
    <w:p w:rsidR="0019016C" w:rsidRDefault="009357F8">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adjuntó a su respuesta los archivos electrónicos siguientes: </w:t>
      </w:r>
    </w:p>
    <w:p w:rsidR="007C20F8" w:rsidRDefault="007C20F8" w:rsidP="007C20F8">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8" w:tgtFrame="_blank" w:history="1">
        <w:r w:rsidRPr="007C20F8">
          <w:rPr>
            <w:rFonts w:ascii="Palatino Linotype" w:eastAsia="Palatino Linotype" w:hAnsi="Palatino Linotype" w:cs="Palatino Linotype"/>
            <w:color w:val="000000"/>
          </w:rPr>
          <w:t>Comprobante de pago agua 2021.pdf</w:t>
        </w:r>
      </w:hyperlink>
      <w:r>
        <w:rPr>
          <w:rFonts w:ascii="Palatino Linotype" w:eastAsia="Palatino Linotype" w:hAnsi="Palatino Linotype" w:cs="Palatino Linotype"/>
          <w:color w:val="000000"/>
        </w:rPr>
        <w:t xml:space="preserve">”, el cual contiene un pago interbancario </w:t>
      </w:r>
      <w:r w:rsidR="009F55E9">
        <w:rPr>
          <w:rFonts w:ascii="Palatino Linotype" w:eastAsia="Palatino Linotype" w:hAnsi="Palatino Linotype" w:cs="Palatino Linotype"/>
          <w:color w:val="000000"/>
        </w:rPr>
        <w:t>por concepto de agua en bloque a la Comisión del Agua del Estado de México, de fecha 29 de octubre del año 2021, en una foja.</w:t>
      </w:r>
    </w:p>
    <w:p w:rsidR="009F55E9" w:rsidRDefault="007C20F8" w:rsidP="009F55E9">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w:t>
      </w:r>
      <w:hyperlink r:id="rId9" w:tgtFrame="_blank" w:history="1">
        <w:r w:rsidRPr="007C20F8">
          <w:rPr>
            <w:rFonts w:ascii="Palatino Linotype" w:eastAsia="Palatino Linotype" w:hAnsi="Palatino Linotype" w:cs="Palatino Linotype"/>
            <w:color w:val="000000"/>
          </w:rPr>
          <w:t>Comprobante de pago agua 2019 (1).</w:t>
        </w:r>
        <w:proofErr w:type="spellStart"/>
        <w:r w:rsidRPr="007C20F8">
          <w:rPr>
            <w:rFonts w:ascii="Palatino Linotype" w:eastAsia="Palatino Linotype" w:hAnsi="Palatino Linotype" w:cs="Palatino Linotype"/>
            <w:color w:val="000000"/>
          </w:rPr>
          <w:t>pdf</w:t>
        </w:r>
        <w:proofErr w:type="spellEnd"/>
      </w:hyperlink>
      <w:r>
        <w:rPr>
          <w:rFonts w:ascii="Palatino Linotype" w:eastAsia="Palatino Linotype" w:hAnsi="Palatino Linotype" w:cs="Palatino Linotype"/>
          <w:color w:val="000000"/>
        </w:rPr>
        <w:t xml:space="preserve">”, </w:t>
      </w:r>
      <w:r w:rsidR="009F55E9">
        <w:rPr>
          <w:rFonts w:ascii="Palatino Linotype" w:eastAsia="Palatino Linotype" w:hAnsi="Palatino Linotype" w:cs="Palatino Linotype"/>
          <w:color w:val="000000"/>
        </w:rPr>
        <w:t xml:space="preserve">el cual contiene un pago interbancario por concepto de agua en bloque a la Comisión del Agua del Estado de México, de fecha 30 de septiembre del año 2019, en una foja. </w:t>
      </w:r>
    </w:p>
    <w:p w:rsidR="009F55E9" w:rsidRDefault="007C20F8" w:rsidP="007C20F8">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10" w:tgtFrame="_blank" w:history="1">
        <w:r w:rsidRPr="007C20F8">
          <w:rPr>
            <w:rFonts w:ascii="Palatino Linotype" w:eastAsia="Palatino Linotype" w:hAnsi="Palatino Linotype" w:cs="Palatino Linotype"/>
            <w:color w:val="000000"/>
          </w:rPr>
          <w:t>Bando Municipal 2022.pdf</w:t>
        </w:r>
      </w:hyperlink>
      <w:r>
        <w:rPr>
          <w:rFonts w:ascii="Palatino Linotype" w:eastAsia="Palatino Linotype" w:hAnsi="Palatino Linotype" w:cs="Palatino Linotype"/>
          <w:color w:val="000000"/>
        </w:rPr>
        <w:t xml:space="preserve">”, </w:t>
      </w:r>
      <w:r w:rsidR="009F55E9">
        <w:rPr>
          <w:rFonts w:ascii="Palatino Linotype" w:eastAsia="Palatino Linotype" w:hAnsi="Palatino Linotype" w:cs="Palatino Linotype"/>
          <w:color w:val="000000"/>
        </w:rPr>
        <w:t xml:space="preserve">el cual contiene el bando municipal </w:t>
      </w:r>
      <w:r w:rsidR="009F55E9" w:rsidRPr="009F55E9">
        <w:rPr>
          <w:rFonts w:ascii="Palatino Linotype" w:eastAsia="Palatino Linotype" w:hAnsi="Palatino Linotype" w:cs="Palatino Linotype"/>
          <w:color w:val="000000"/>
        </w:rPr>
        <w:t>de policía y buen gobierno de Tenango</w:t>
      </w:r>
      <w:r w:rsidR="009F55E9">
        <w:rPr>
          <w:rFonts w:ascii="Palatino Linotype" w:eastAsia="Palatino Linotype" w:hAnsi="Palatino Linotype" w:cs="Palatino Linotype"/>
          <w:color w:val="000000"/>
        </w:rPr>
        <w:t xml:space="preserve"> del Aire, Estado de México de la</w:t>
      </w:r>
      <w:r w:rsidR="009F55E9" w:rsidRPr="009F55E9">
        <w:rPr>
          <w:rFonts w:ascii="Palatino Linotype" w:eastAsia="Palatino Linotype" w:hAnsi="Palatino Linotype" w:cs="Palatino Linotype"/>
          <w:color w:val="000000"/>
        </w:rPr>
        <w:t xml:space="preserve"> administración 2022-2024</w:t>
      </w:r>
      <w:r w:rsidR="009F55E9">
        <w:rPr>
          <w:rFonts w:ascii="Palatino Linotype" w:eastAsia="Palatino Linotype" w:hAnsi="Palatino Linotype" w:cs="Palatino Linotype"/>
          <w:color w:val="000000"/>
        </w:rPr>
        <w:t>.</w:t>
      </w:r>
    </w:p>
    <w:p w:rsidR="007C20F8" w:rsidRDefault="007C20F8" w:rsidP="009F55E9">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11" w:tgtFrame="_blank" w:history="1">
        <w:r w:rsidRPr="007C20F8">
          <w:rPr>
            <w:rFonts w:ascii="Palatino Linotype" w:eastAsia="Palatino Linotype" w:hAnsi="Palatino Linotype" w:cs="Palatino Linotype"/>
            <w:color w:val="000000"/>
          </w:rPr>
          <w:t>Comprobante de pago agua 2020.pdf</w:t>
        </w:r>
      </w:hyperlink>
      <w:r>
        <w:rPr>
          <w:rFonts w:ascii="Palatino Linotype" w:eastAsia="Palatino Linotype" w:hAnsi="Palatino Linotype" w:cs="Palatino Linotype"/>
          <w:color w:val="000000"/>
        </w:rPr>
        <w:t xml:space="preserve">”, </w:t>
      </w:r>
      <w:r w:rsidR="009F55E9">
        <w:rPr>
          <w:rFonts w:ascii="Palatino Linotype" w:eastAsia="Palatino Linotype" w:hAnsi="Palatino Linotype" w:cs="Palatino Linotype"/>
          <w:color w:val="000000"/>
        </w:rPr>
        <w:t>el cual contiene un pago interbancario por concepto de agua en bloque a la Comisión del Agua del Estado de México, de fecha 22 de diciembre del año 2020, en una foja.</w:t>
      </w:r>
    </w:p>
    <w:p w:rsidR="009F55E9" w:rsidRDefault="007C20F8" w:rsidP="009F55E9">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12" w:tgtFrame="_blank" w:history="1">
        <w:r w:rsidRPr="007C20F8">
          <w:rPr>
            <w:rFonts w:ascii="Palatino Linotype" w:eastAsia="Palatino Linotype" w:hAnsi="Palatino Linotype" w:cs="Palatino Linotype"/>
            <w:color w:val="000000"/>
          </w:rPr>
          <w:t>Comprobante de pago luz 2020.pdf</w:t>
        </w:r>
      </w:hyperlink>
      <w:r>
        <w:rPr>
          <w:rFonts w:ascii="Palatino Linotype" w:eastAsia="Palatino Linotype" w:hAnsi="Palatino Linotype" w:cs="Palatino Linotype"/>
          <w:color w:val="000000"/>
        </w:rPr>
        <w:t xml:space="preserve">”, </w:t>
      </w:r>
      <w:r w:rsidR="009F55E9">
        <w:rPr>
          <w:rFonts w:ascii="Palatino Linotype" w:eastAsia="Palatino Linotype" w:hAnsi="Palatino Linotype" w:cs="Palatino Linotype"/>
          <w:color w:val="000000"/>
        </w:rPr>
        <w:t>el cual contiene un pago interbancario por concepto de energía a la Comisión Federal de Electricidad, de fecha 30 de septiembre del año 2020, en una foja.</w:t>
      </w:r>
    </w:p>
    <w:p w:rsidR="009F55E9" w:rsidRDefault="007C20F8" w:rsidP="009F55E9">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13" w:tgtFrame="_blank" w:history="1">
        <w:r w:rsidRPr="007C20F8">
          <w:rPr>
            <w:rFonts w:ascii="Palatino Linotype" w:eastAsia="Palatino Linotype" w:hAnsi="Palatino Linotype" w:cs="Palatino Linotype"/>
            <w:color w:val="000000"/>
          </w:rPr>
          <w:t>Comprobante de pago luz 2021.pdf</w:t>
        </w:r>
      </w:hyperlink>
      <w:r>
        <w:rPr>
          <w:rFonts w:ascii="Palatino Linotype" w:eastAsia="Palatino Linotype" w:hAnsi="Palatino Linotype" w:cs="Palatino Linotype"/>
          <w:color w:val="000000"/>
        </w:rPr>
        <w:t xml:space="preserve">”, </w:t>
      </w:r>
      <w:r w:rsidR="009F55E9">
        <w:rPr>
          <w:rFonts w:ascii="Palatino Linotype" w:eastAsia="Palatino Linotype" w:hAnsi="Palatino Linotype" w:cs="Palatino Linotype"/>
          <w:color w:val="000000"/>
        </w:rPr>
        <w:t>el cual contiene un pago interbancario por concepto de energía a la Comisión Federal de Electricidad, de fecha 29 de octubre del año 2021, en una foja.</w:t>
      </w:r>
    </w:p>
    <w:p w:rsidR="007C20F8" w:rsidRDefault="007C20F8" w:rsidP="007C20F8">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14" w:tgtFrame="_blank" w:history="1">
        <w:r w:rsidRPr="007C20F8">
          <w:rPr>
            <w:rFonts w:ascii="Palatino Linotype" w:eastAsia="Palatino Linotype" w:hAnsi="Palatino Linotype" w:cs="Palatino Linotype"/>
            <w:color w:val="000000"/>
          </w:rPr>
          <w:t>MTA-UT-104-2022.pdf</w:t>
        </w:r>
      </w:hyperlink>
      <w:r>
        <w:rPr>
          <w:rFonts w:ascii="Palatino Linotype" w:eastAsia="Palatino Linotype" w:hAnsi="Palatino Linotype" w:cs="Palatino Linotype"/>
          <w:color w:val="000000"/>
        </w:rPr>
        <w:t xml:space="preserve">”, </w:t>
      </w:r>
      <w:r w:rsidR="009F55E9">
        <w:rPr>
          <w:rFonts w:ascii="Palatino Linotype" w:eastAsia="Palatino Linotype" w:hAnsi="Palatino Linotype" w:cs="Palatino Linotype"/>
          <w:color w:val="000000"/>
        </w:rPr>
        <w:t xml:space="preserve">el cual contiene el oficio MTA/UT/104/2022, por medio del cual el Titular de la Unidad de Transparencia, informó al </w:t>
      </w:r>
      <w:r w:rsidR="009F55E9" w:rsidRPr="007B00D2">
        <w:rPr>
          <w:rFonts w:ascii="Palatino Linotype" w:eastAsia="Palatino Linotype" w:hAnsi="Palatino Linotype" w:cs="Palatino Linotype"/>
          <w:b/>
          <w:color w:val="000000"/>
        </w:rPr>
        <w:t>RECURRENTE</w:t>
      </w:r>
      <w:r w:rsidR="009F55E9">
        <w:rPr>
          <w:rFonts w:ascii="Palatino Linotype" w:eastAsia="Palatino Linotype" w:hAnsi="Palatino Linotype" w:cs="Palatino Linotype"/>
          <w:color w:val="000000"/>
        </w:rPr>
        <w:t>, las respuestas proporcionadas por la Dirección Jurídica</w:t>
      </w:r>
      <w:r w:rsidR="007B00D2">
        <w:rPr>
          <w:rFonts w:ascii="Palatino Linotype" w:eastAsia="Palatino Linotype" w:hAnsi="Palatino Linotype" w:cs="Palatino Linotype"/>
          <w:color w:val="000000"/>
        </w:rPr>
        <w:t xml:space="preserve"> y Consultiva de Tenango del Aire, Directora del Sistema DIF Municipal de Tenango del Aire, Oficial del Registro Civil número 01 de Tenango del Aire y Tesorería Municipal, como se observa a continuación en las siguientes </w:t>
      </w:r>
      <w:proofErr w:type="spellStart"/>
      <w:r w:rsidR="007B00D2">
        <w:rPr>
          <w:rFonts w:ascii="Palatino Linotype" w:eastAsia="Palatino Linotype" w:hAnsi="Palatino Linotype" w:cs="Palatino Linotype"/>
          <w:color w:val="000000"/>
        </w:rPr>
        <w:t>imagenes</w:t>
      </w:r>
      <w:proofErr w:type="spellEnd"/>
      <w:r w:rsidR="007B00D2">
        <w:rPr>
          <w:rFonts w:ascii="Palatino Linotype" w:eastAsia="Palatino Linotype" w:hAnsi="Palatino Linotype" w:cs="Palatino Linotype"/>
          <w:color w:val="000000"/>
        </w:rPr>
        <w:t>:</w:t>
      </w:r>
    </w:p>
    <w:p w:rsidR="007B00D2" w:rsidRDefault="007B00D2" w:rsidP="007C20F8">
      <w:pPr>
        <w:spacing w:before="240" w:line="360" w:lineRule="auto"/>
        <w:ind w:right="49"/>
        <w:jc w:val="both"/>
        <w:rPr>
          <w:rFonts w:ascii="Palatino Linotype" w:eastAsia="Palatino Linotype" w:hAnsi="Palatino Linotype" w:cs="Palatino Linotype"/>
          <w:color w:val="000000"/>
        </w:rPr>
      </w:pPr>
    </w:p>
    <w:p w:rsidR="007B00D2" w:rsidRDefault="007B00D2" w:rsidP="007C20F8">
      <w:pPr>
        <w:spacing w:before="240" w:line="360" w:lineRule="auto"/>
        <w:ind w:right="49"/>
        <w:jc w:val="both"/>
        <w:rPr>
          <w:rFonts w:ascii="Palatino Linotype" w:eastAsia="Palatino Linotype" w:hAnsi="Palatino Linotype" w:cs="Palatino Linotype"/>
          <w:color w:val="000000"/>
        </w:rPr>
      </w:pPr>
      <w:r>
        <w:rPr>
          <w:noProof/>
          <w:lang w:val="es-MX" w:eastAsia="es-MX"/>
        </w:rPr>
        <w:lastRenderedPageBreak/>
        <w:drawing>
          <wp:inline distT="0" distB="0" distL="0" distR="0" wp14:anchorId="503848DE" wp14:editId="0C44ABCA">
            <wp:extent cx="5467350" cy="70993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204" t="16301" r="20344"/>
                    <a:stretch/>
                  </pic:blipFill>
                  <pic:spPr bwMode="auto">
                    <a:xfrm>
                      <a:off x="0" y="0"/>
                      <a:ext cx="5467350" cy="7099300"/>
                    </a:xfrm>
                    <a:prstGeom prst="rect">
                      <a:avLst/>
                    </a:prstGeom>
                    <a:ln>
                      <a:noFill/>
                    </a:ln>
                    <a:extLst>
                      <a:ext uri="{53640926-AAD7-44D8-BBD7-CCE9431645EC}">
                        <a14:shadowObscured xmlns:a14="http://schemas.microsoft.com/office/drawing/2010/main"/>
                      </a:ext>
                    </a:extLst>
                  </pic:spPr>
                </pic:pic>
              </a:graphicData>
            </a:graphic>
          </wp:inline>
        </w:drawing>
      </w:r>
    </w:p>
    <w:p w:rsidR="007B00D2" w:rsidRDefault="007B00D2" w:rsidP="007C20F8">
      <w:pPr>
        <w:spacing w:before="240" w:line="360" w:lineRule="auto"/>
        <w:ind w:right="49"/>
        <w:jc w:val="both"/>
        <w:rPr>
          <w:rFonts w:ascii="Palatino Linotype" w:eastAsia="Palatino Linotype" w:hAnsi="Palatino Linotype" w:cs="Palatino Linotype"/>
          <w:color w:val="000000"/>
        </w:rPr>
      </w:pPr>
      <w:r>
        <w:rPr>
          <w:noProof/>
          <w:lang w:val="es-MX" w:eastAsia="es-MX"/>
        </w:rPr>
        <w:lastRenderedPageBreak/>
        <w:drawing>
          <wp:inline distT="0" distB="0" distL="0" distR="0" wp14:anchorId="03C6ED98" wp14:editId="2875C811">
            <wp:extent cx="5473700" cy="5162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128" t="21331" r="23399" b="10244"/>
                    <a:stretch/>
                  </pic:blipFill>
                  <pic:spPr bwMode="auto">
                    <a:xfrm>
                      <a:off x="0" y="0"/>
                      <a:ext cx="5473700" cy="5162550"/>
                    </a:xfrm>
                    <a:prstGeom prst="rect">
                      <a:avLst/>
                    </a:prstGeom>
                    <a:ln>
                      <a:noFill/>
                    </a:ln>
                    <a:extLst>
                      <a:ext uri="{53640926-AAD7-44D8-BBD7-CCE9431645EC}">
                        <a14:shadowObscured xmlns:a14="http://schemas.microsoft.com/office/drawing/2010/main"/>
                      </a:ext>
                    </a:extLst>
                  </pic:spPr>
                </pic:pic>
              </a:graphicData>
            </a:graphic>
          </wp:inline>
        </w:drawing>
      </w:r>
    </w:p>
    <w:p w:rsidR="007B00D2" w:rsidRDefault="007C20F8" w:rsidP="007B00D2">
      <w:pPr>
        <w:spacing w:before="240" w:line="360" w:lineRule="auto"/>
        <w:ind w:right="49"/>
        <w:jc w:val="both"/>
        <w:rPr>
          <w:rFonts w:ascii="Palatino Linotype" w:eastAsia="Palatino Linotype" w:hAnsi="Palatino Linotype" w:cs="Palatino Linotype"/>
          <w:color w:val="000000"/>
        </w:rPr>
      </w:pPr>
      <w:r w:rsidRPr="007C20F8">
        <w:rPr>
          <w:rFonts w:ascii="Palatino Linotype" w:eastAsia="Palatino Linotype" w:hAnsi="Palatino Linotype" w:cs="Palatino Linotype"/>
          <w:color w:val="000000"/>
        </w:rPr>
        <w:br/>
      </w:r>
      <w:r>
        <w:rPr>
          <w:rFonts w:ascii="Palatino Linotype" w:eastAsia="Palatino Linotype" w:hAnsi="Palatino Linotype" w:cs="Palatino Linotype"/>
          <w:color w:val="000000"/>
        </w:rPr>
        <w:t>“</w:t>
      </w:r>
      <w:hyperlink r:id="rId17" w:tgtFrame="_blank" w:history="1">
        <w:r w:rsidRPr="007C20F8">
          <w:rPr>
            <w:rFonts w:ascii="Palatino Linotype" w:eastAsia="Palatino Linotype" w:hAnsi="Palatino Linotype" w:cs="Palatino Linotype"/>
            <w:color w:val="000000"/>
          </w:rPr>
          <w:t>Comprobante de pago luz 2019.pdf</w:t>
        </w:r>
      </w:hyperlink>
      <w:r>
        <w:rPr>
          <w:rFonts w:ascii="Palatino Linotype" w:eastAsia="Palatino Linotype" w:hAnsi="Palatino Linotype" w:cs="Palatino Linotype"/>
          <w:color w:val="000000"/>
        </w:rPr>
        <w:t xml:space="preserve">”, </w:t>
      </w:r>
      <w:r w:rsidR="007B00D2">
        <w:rPr>
          <w:rFonts w:ascii="Palatino Linotype" w:eastAsia="Palatino Linotype" w:hAnsi="Palatino Linotype" w:cs="Palatino Linotype"/>
          <w:color w:val="000000"/>
        </w:rPr>
        <w:t xml:space="preserve">el cual contiene un pago interbancario por concepto de energía a la Comisión Federal de Electricidad, de </w:t>
      </w:r>
      <w:r w:rsidR="002F65E6">
        <w:rPr>
          <w:rFonts w:ascii="Palatino Linotype" w:eastAsia="Palatino Linotype" w:hAnsi="Palatino Linotype" w:cs="Palatino Linotype"/>
          <w:color w:val="000000"/>
        </w:rPr>
        <w:t>fecha 27 de marzo del año 2019</w:t>
      </w:r>
      <w:r w:rsidR="007B00D2">
        <w:rPr>
          <w:rFonts w:ascii="Palatino Linotype" w:eastAsia="Palatino Linotype" w:hAnsi="Palatino Linotype" w:cs="Palatino Linotype"/>
          <w:color w:val="000000"/>
        </w:rPr>
        <w:t>, en una foja.</w:t>
      </w:r>
    </w:p>
    <w:p w:rsidR="0019016C" w:rsidRDefault="0019016C" w:rsidP="007C20F8">
      <w:pPr>
        <w:spacing w:before="240" w:line="360" w:lineRule="auto"/>
        <w:ind w:right="51"/>
        <w:contextualSpacing/>
        <w:jc w:val="both"/>
        <w:rPr>
          <w:rFonts w:ascii="Palatino Linotype" w:eastAsia="Palatino Linotype" w:hAnsi="Palatino Linotype" w:cs="Palatino Linotype"/>
          <w:color w:val="000000"/>
        </w:rPr>
      </w:pPr>
    </w:p>
    <w:p w:rsidR="0019016C" w:rsidRPr="007C20F8" w:rsidRDefault="0019016C" w:rsidP="007C20F8">
      <w:pPr>
        <w:spacing w:before="240" w:line="360" w:lineRule="auto"/>
        <w:ind w:right="49"/>
        <w:jc w:val="both"/>
        <w:rPr>
          <w:rFonts w:ascii="Palatino Linotype" w:eastAsia="Palatino Linotype" w:hAnsi="Palatino Linotype" w:cs="Palatino Linotype"/>
          <w:color w:val="000000"/>
        </w:rPr>
      </w:pPr>
    </w:p>
    <w:p w:rsidR="0019016C" w:rsidRDefault="009357F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la respuesta del </w:t>
      </w:r>
      <w:r w:rsidR="00EB16D3">
        <w:rPr>
          <w:rFonts w:ascii="Palatino Linotype" w:eastAsia="Palatino Linotype" w:hAnsi="Palatino Linotype" w:cs="Palatino Linotype"/>
          <w:b/>
        </w:rPr>
        <w:t xml:space="preserve">SUJETO OBLIGADO el </w:t>
      </w:r>
      <w:r>
        <w:rPr>
          <w:rFonts w:ascii="Palatino Linotype" w:eastAsia="Palatino Linotype" w:hAnsi="Palatino Linotype" w:cs="Palatino Linotype"/>
          <w:b/>
        </w:rPr>
        <w:t>ahora RECURRENTE</w:t>
      </w:r>
      <w:r>
        <w:rPr>
          <w:rFonts w:ascii="Palatino Linotype" w:eastAsia="Palatino Linotype" w:hAnsi="Palatino Linotype" w:cs="Palatino Linotype"/>
        </w:rPr>
        <w:t xml:space="preserve"> interpuso recurso de revisión a t</w:t>
      </w:r>
      <w:r w:rsidR="002F65E6">
        <w:rPr>
          <w:rFonts w:ascii="Palatino Linotype" w:eastAsia="Palatino Linotype" w:hAnsi="Palatino Linotype" w:cs="Palatino Linotype"/>
        </w:rPr>
        <w:t>ravés del SAIMEX en fecha treinta</w:t>
      </w:r>
      <w:r>
        <w:rPr>
          <w:rFonts w:ascii="Palatino Linotype" w:eastAsia="Palatino Linotype" w:hAnsi="Palatino Linotype" w:cs="Palatino Linotype"/>
        </w:rPr>
        <w:t xml:space="preserve"> de marzo de dos mil veintidós, a través del cual expresó lo siguiente:</w:t>
      </w:r>
    </w:p>
    <w:p w:rsidR="0019016C" w:rsidRDefault="009357F8">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19016C" w:rsidRDefault="009357F8">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2F65E6">
        <w:rPr>
          <w:rFonts w:ascii="Palatino Linotype" w:eastAsia="Palatino Linotype" w:hAnsi="Palatino Linotype" w:cs="Palatino Linotype"/>
          <w:i/>
          <w:color w:val="000000"/>
          <w:sz w:val="22"/>
          <w:szCs w:val="22"/>
        </w:rPr>
        <w:t>recurso de revisión</w:t>
      </w:r>
      <w:r>
        <w:rPr>
          <w:rFonts w:ascii="Palatino Linotype" w:eastAsia="Palatino Linotype" w:hAnsi="Palatino Linotype" w:cs="Palatino Linotype"/>
          <w:i/>
          <w:color w:val="000000"/>
          <w:sz w:val="22"/>
          <w:szCs w:val="22"/>
        </w:rPr>
        <w:t>” (Sic)</w:t>
      </w:r>
    </w:p>
    <w:p w:rsidR="0019016C" w:rsidRDefault="009357F8">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19016C" w:rsidRDefault="009357F8">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2F65E6" w:rsidRPr="002F65E6">
        <w:rPr>
          <w:rFonts w:ascii="Palatino Linotype" w:eastAsia="Palatino Linotype" w:hAnsi="Palatino Linotype" w:cs="Palatino Linotype"/>
          <w:i/>
          <w:color w:val="000000"/>
          <w:sz w:val="22"/>
          <w:szCs w:val="22"/>
        </w:rPr>
        <w:t>no se entrega la información completa</w:t>
      </w:r>
      <w:r>
        <w:rPr>
          <w:rFonts w:ascii="Palatino Linotype" w:eastAsia="Palatino Linotype" w:hAnsi="Palatino Linotype" w:cs="Palatino Linotype"/>
          <w:i/>
          <w:color w:val="000000"/>
          <w:sz w:val="22"/>
          <w:szCs w:val="22"/>
        </w:rPr>
        <w:t>” (Sic)</w:t>
      </w:r>
    </w:p>
    <w:p w:rsidR="0019016C" w:rsidRDefault="009357F8">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2F65E6">
        <w:rPr>
          <w:rFonts w:ascii="Palatino Linotype" w:eastAsia="Palatino Linotype" w:hAnsi="Palatino Linotype" w:cs="Palatino Linotype"/>
          <w:b/>
        </w:rPr>
        <w:t>05234</w:t>
      </w:r>
      <w:r>
        <w:rPr>
          <w:rFonts w:ascii="Palatino Linotype" w:eastAsia="Palatino Linotype" w:hAnsi="Palatino Linotype" w:cs="Palatino Linotype"/>
          <w:b/>
        </w:rPr>
        <w:t xml:space="preserve">/INFOEM/IP/RR/2022,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rsidR="0019016C" w:rsidRDefault="0019016C">
      <w:pPr>
        <w:spacing w:line="360" w:lineRule="auto"/>
        <w:jc w:val="both"/>
        <w:rPr>
          <w:rFonts w:ascii="Palatino Linotype" w:eastAsia="Palatino Linotype" w:hAnsi="Palatino Linotype" w:cs="Palatino Linotype"/>
        </w:rPr>
      </w:pPr>
    </w:p>
    <w:p w:rsidR="0019016C" w:rsidRDefault="009357F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sidR="002F65E6">
        <w:rPr>
          <w:rFonts w:ascii="Palatino Linotype" w:eastAsia="Palatino Linotype" w:hAnsi="Palatino Linotype" w:cs="Palatino Linotype"/>
        </w:rPr>
        <w:t>En fecha cuatro de abril</w:t>
      </w:r>
      <w:r>
        <w:rPr>
          <w:rFonts w:ascii="Palatino Linotype" w:eastAsia="Palatino Linotype" w:hAnsi="Palatino Linotype" w:cs="Palatino Linotype"/>
        </w:rPr>
        <w:t xml:space="preserve">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w:t>
      </w:r>
    </w:p>
    <w:p w:rsidR="002F65E6" w:rsidRDefault="009357F8" w:rsidP="002F65E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bookmarkStart w:id="0" w:name="_heading=h.gjdgxs" w:colFirst="0" w:colLast="0"/>
      <w:bookmarkEnd w:id="0"/>
      <w:r w:rsidRPr="002F65E6">
        <w:rPr>
          <w:rFonts w:ascii="Palatino Linotype" w:eastAsia="Palatino Linotype" w:hAnsi="Palatino Linotype" w:cs="Palatino Linotype"/>
          <w:b/>
          <w:color w:val="000000"/>
          <w:sz w:val="24"/>
          <w:szCs w:val="24"/>
        </w:rPr>
        <w:t>6. Manifestaciones</w:t>
      </w:r>
      <w:r w:rsidRPr="002F65E6">
        <w:rPr>
          <w:rFonts w:ascii="Palatino Linotype" w:eastAsia="Palatino Linotype" w:hAnsi="Palatino Linotype" w:cs="Palatino Linotype"/>
          <w:color w:val="000000"/>
          <w:sz w:val="24"/>
          <w:szCs w:val="24"/>
        </w:rPr>
        <w:t xml:space="preserve">: </w:t>
      </w:r>
      <w:r w:rsidR="002F65E6" w:rsidRPr="002F65E6">
        <w:rPr>
          <w:rFonts w:ascii="Palatino Linotype" w:hAnsi="Palatino Linotype" w:cs="Arial"/>
          <w:sz w:val="24"/>
          <w:szCs w:val="24"/>
          <w:lang w:eastAsia="es-ES"/>
        </w:rPr>
        <w:t xml:space="preserve">De las constancias que integran el expediente en que se actúa se advierte que el recurrente fue omiso en ofrecer pruebas o expresar alegatos; en </w:t>
      </w:r>
      <w:r w:rsidR="002F65E6" w:rsidRPr="002F65E6">
        <w:rPr>
          <w:rFonts w:ascii="Palatino Linotype" w:hAnsi="Palatino Linotype" w:cs="Arial"/>
          <w:sz w:val="24"/>
          <w:szCs w:val="24"/>
          <w:lang w:eastAsia="es-ES"/>
        </w:rPr>
        <w:lastRenderedPageBreak/>
        <w:t>términos del artículo 185 fracciones II de la ley que nos ocupa. Por su parte, el Sujeto Obligado de igual forma, fue omiso en presentar el Informe Justificado correspondiente.</w:t>
      </w:r>
    </w:p>
    <w:p w:rsidR="002F65E6" w:rsidRDefault="002F65E6" w:rsidP="002F65E6">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w:t>
      </w:r>
      <w:r>
        <w:rPr>
          <w:rFonts w:ascii="Palatino Linotype" w:eastAsia="Palatino Linotype" w:hAnsi="Palatino Linotype" w:cs="Palatino Linotype"/>
        </w:rPr>
        <w:t xml:space="preserve"> En fecha trece de julio del año dos mil veintidós, con fundamento en el artículo 181, párrafo tercero de la Ley de Transparencia y Acceso a la Información Pública del Estado de México y Municipios, se acordó la ampliación del plazo para su resolución.</w:t>
      </w: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numPr>
          <w:ilvl w:val="0"/>
          <w:numId w:val="8"/>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2F65E6" w:rsidRDefault="002F65E6" w:rsidP="002F65E6">
      <w:pPr>
        <w:spacing w:line="360" w:lineRule="auto"/>
        <w:ind w:left="927"/>
        <w:jc w:val="both"/>
        <w:rPr>
          <w:rFonts w:ascii="Palatino Linotype" w:eastAsia="Palatino Linotype" w:hAnsi="Palatino Linotype" w:cs="Palatino Linotype"/>
        </w:rPr>
      </w:pPr>
    </w:p>
    <w:p w:rsidR="002F65E6" w:rsidRDefault="002F65E6" w:rsidP="002F65E6">
      <w:pPr>
        <w:numPr>
          <w:ilvl w:val="0"/>
          <w:numId w:val="8"/>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numPr>
          <w:ilvl w:val="0"/>
          <w:numId w:val="8"/>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rsidR="002F65E6" w:rsidRDefault="002F65E6" w:rsidP="002F65E6">
      <w:pPr>
        <w:spacing w:line="360" w:lineRule="auto"/>
        <w:ind w:left="708"/>
        <w:rPr>
          <w:rFonts w:ascii="Palatino Linotype" w:eastAsia="Palatino Linotype" w:hAnsi="Palatino Linotype" w:cs="Palatino Linotype"/>
        </w:rPr>
      </w:pPr>
    </w:p>
    <w:p w:rsidR="002F65E6" w:rsidRDefault="002F65E6" w:rsidP="002F65E6">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lastRenderedPageBreak/>
        <w:t>d) La afectación generada en la situación jurídica de la persona involucrada en el proceso: Violación a sus derechos humanos.</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2F65E6" w:rsidRDefault="002F65E6" w:rsidP="002F65E6">
      <w:pPr>
        <w:spacing w:line="360" w:lineRule="auto"/>
        <w:jc w:val="both"/>
        <w:rPr>
          <w:rFonts w:ascii="Palatino Linotype" w:eastAsia="Palatino Linotype" w:hAnsi="Palatino Linotype" w:cs="Palatino Linotype"/>
          <w:b/>
        </w:rPr>
      </w:pP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2F65E6" w:rsidRDefault="002F65E6" w:rsidP="002F65E6">
      <w:pPr>
        <w:widowControl w:val="0"/>
        <w:spacing w:after="240" w:line="360" w:lineRule="auto"/>
        <w:jc w:val="both"/>
        <w:rPr>
          <w:rFonts w:ascii="Palatino Linotype" w:eastAsia="Palatino Linotype" w:hAnsi="Palatino Linotype" w:cs="Palatino Linotype"/>
        </w:rPr>
      </w:pPr>
    </w:p>
    <w:p w:rsidR="0019016C" w:rsidRDefault="002F65E6" w:rsidP="002F65E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8</w:t>
      </w:r>
      <w:r w:rsidR="009357F8">
        <w:rPr>
          <w:rFonts w:ascii="Palatino Linotype" w:eastAsia="Palatino Linotype" w:hAnsi="Palatino Linotype" w:cs="Palatino Linotype"/>
          <w:b/>
        </w:rPr>
        <w:t>.-</w:t>
      </w:r>
      <w:r w:rsidR="009357F8">
        <w:rPr>
          <w:rFonts w:ascii="Palatino Linotype" w:eastAsia="Palatino Linotype" w:hAnsi="Palatino Linotype" w:cs="Palatino Linotype"/>
        </w:rPr>
        <w:t xml:space="preserve"> </w:t>
      </w:r>
      <w:r w:rsidR="009357F8">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El dos de agosto</w:t>
      </w:r>
      <w:r w:rsidR="009357F8">
        <w:rPr>
          <w:rFonts w:ascii="Palatino Linotype" w:eastAsia="Palatino Linotype" w:hAnsi="Palatino Linotype" w:cs="Palatino Linotype"/>
        </w:rPr>
        <w:t xml:space="preserve"> de dos mil veintidós la Comisionada ponente determinó el cierre de instrucción en términos de la fracción VI del artículo 185 de la Ley de Transparencia y Acceso a la Información Pública del Estado de México y Municipios.</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19016C" w:rsidRDefault="009357F8">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bookmarkStart w:id="1" w:name="_heading=h.30j0zll" w:colFirst="0" w:colLast="0"/>
      <w:bookmarkEnd w:id="1"/>
      <w:r>
        <w:rPr>
          <w:rFonts w:ascii="Palatino Linotype" w:eastAsia="Palatino Linotype" w:hAnsi="Palatino Linotype" w:cs="Palatino Linotype"/>
          <w:b/>
          <w:color w:val="000000"/>
          <w:sz w:val="22"/>
          <w:szCs w:val="22"/>
        </w:rPr>
        <w:t>C O N S I D E R A N D O:</w:t>
      </w:r>
    </w:p>
    <w:p w:rsidR="0019016C" w:rsidRDefault="009357F8">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w:t>
      </w:r>
      <w:r>
        <w:rPr>
          <w:rFonts w:ascii="Palatino Linotype" w:eastAsia="Palatino Linotype" w:hAnsi="Palatino Linotype" w:cs="Palatino Linotype"/>
        </w:rPr>
        <w:lastRenderedPageBreak/>
        <w:t>artículos 178 y 180 de la Ley de Transparencia y Acceso a la Información Pública del Estado de México y Municipios.</w:t>
      </w:r>
    </w:p>
    <w:p w:rsidR="00171E3F" w:rsidRPr="00F21767" w:rsidRDefault="009357F8" w:rsidP="00171E3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su respuesta a la solicitud de inform</w:t>
      </w:r>
      <w:r w:rsidR="006D2711">
        <w:rPr>
          <w:rFonts w:ascii="Palatino Linotype" w:eastAsia="Palatino Linotype" w:hAnsi="Palatino Linotype" w:cs="Palatino Linotype"/>
        </w:rPr>
        <w:t>ación el treinta de marzo</w:t>
      </w:r>
      <w:r>
        <w:rPr>
          <w:rFonts w:ascii="Palatino Linotype" w:eastAsia="Palatino Linotype" w:hAnsi="Palatino Linotype" w:cs="Palatino Linotype"/>
        </w:rPr>
        <w:t xml:space="preserve"> del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w:t>
      </w:r>
      <w:r w:rsidR="006D2711">
        <w:rPr>
          <w:rFonts w:ascii="Palatino Linotype" w:eastAsia="Palatino Linotype" w:hAnsi="Palatino Linotype" w:cs="Palatino Linotype"/>
        </w:rPr>
        <w:t xml:space="preserve"> </w:t>
      </w:r>
      <w:r w:rsidR="00171E3F" w:rsidRPr="00F21767">
        <w:rPr>
          <w:rFonts w:ascii="Palatino Linotype" w:eastAsia="Palatino Linotype" w:hAnsi="Palatino Linotype" w:cs="Palatino Linotype"/>
        </w:rPr>
        <w:t>el mismo día en que tuvo conocimiento de la respuesta impugnada.</w:t>
      </w:r>
    </w:p>
    <w:p w:rsidR="00171E3F" w:rsidRPr="00F21767" w:rsidRDefault="00171E3F" w:rsidP="00171E3F">
      <w:pPr>
        <w:spacing w:line="360" w:lineRule="auto"/>
        <w:jc w:val="both"/>
        <w:rPr>
          <w:rFonts w:ascii="Palatino Linotype" w:eastAsia="Palatino Linotype" w:hAnsi="Palatino Linotype" w:cs="Palatino Linotype"/>
        </w:rPr>
      </w:pPr>
      <w:r w:rsidRPr="00F21767">
        <w:rPr>
          <w:rFonts w:ascii="Palatino Linotype" w:eastAsia="Palatino Linotype" w:hAnsi="Palatino Linotype" w:cs="Palatino Linotype"/>
        </w:rPr>
        <w:t xml:space="preserve">En este sentido, al considerar la fecha en que se formuló la solicitud y la fecha en que respondió a esta el </w:t>
      </w:r>
      <w:r w:rsidRPr="00F21767">
        <w:rPr>
          <w:rFonts w:ascii="Palatino Linotype" w:eastAsia="Palatino Linotype" w:hAnsi="Palatino Linotype" w:cs="Palatino Linotype"/>
          <w:b/>
        </w:rPr>
        <w:t>SUJETO OBLIGADO</w:t>
      </w:r>
      <w:r w:rsidRPr="00F21767">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171E3F" w:rsidRPr="00F21767" w:rsidRDefault="00171E3F" w:rsidP="00171E3F">
      <w:pPr>
        <w:spacing w:before="240" w:after="240" w:line="360" w:lineRule="auto"/>
        <w:jc w:val="both"/>
        <w:rPr>
          <w:rFonts w:ascii="Palatino Linotype" w:eastAsia="Palatino Linotype" w:hAnsi="Palatino Linotype" w:cs="Palatino Linotype"/>
        </w:rPr>
      </w:pPr>
      <w:r w:rsidRPr="00F21767">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171E3F" w:rsidRPr="00F21767" w:rsidRDefault="00171E3F" w:rsidP="00171E3F">
      <w:pPr>
        <w:spacing w:before="120" w:after="120"/>
        <w:ind w:left="851" w:right="902"/>
        <w:jc w:val="both"/>
        <w:rPr>
          <w:rFonts w:ascii="Palatino Linotype" w:eastAsia="Palatino Linotype" w:hAnsi="Palatino Linotype" w:cs="Palatino Linotype"/>
          <w:i/>
          <w:sz w:val="22"/>
          <w:szCs w:val="22"/>
        </w:rPr>
      </w:pPr>
      <w:r w:rsidRPr="00F21767">
        <w:rPr>
          <w:rFonts w:ascii="Palatino Linotype" w:eastAsia="Palatino Linotype" w:hAnsi="Palatino Linotype" w:cs="Palatino Linotype"/>
          <w:b/>
          <w:i/>
          <w:sz w:val="22"/>
          <w:szCs w:val="22"/>
        </w:rPr>
        <w:lastRenderedPageBreak/>
        <w:t>“RECURSO DE RECLAMACIÓN. SU INTERPOSICIÓN NO ES EXTEMPORÁNEA SI SE REALIZA ANTES DE QUE INICIE EL PLAZO PARA HACERLO</w:t>
      </w:r>
      <w:r w:rsidRPr="00F21767">
        <w:rPr>
          <w:rFonts w:ascii="Palatino Linotype" w:eastAsia="Palatino Linotype" w:hAnsi="Palatino Linotype" w:cs="Palatino Linotype"/>
          <w:i/>
          <w:sz w:val="22"/>
          <w:szCs w:val="22"/>
        </w:rPr>
        <w:t>.</w:t>
      </w:r>
    </w:p>
    <w:p w:rsidR="00171E3F" w:rsidRPr="00F21767" w:rsidRDefault="00171E3F" w:rsidP="00171E3F">
      <w:pPr>
        <w:spacing w:before="120" w:after="120"/>
        <w:ind w:left="851" w:right="902"/>
        <w:jc w:val="both"/>
        <w:rPr>
          <w:rFonts w:ascii="Palatino Linotype" w:eastAsia="Palatino Linotype" w:hAnsi="Palatino Linotype" w:cs="Palatino Linotype"/>
          <w:i/>
          <w:sz w:val="22"/>
          <w:szCs w:val="22"/>
        </w:rPr>
      </w:pPr>
      <w:r w:rsidRPr="00F21767">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 (Sic)</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9016C" w:rsidRDefault="009357F8">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solicitante."(Sic)</w:t>
      </w:r>
    </w:p>
    <w:p w:rsidR="0019016C" w:rsidRDefault="009357F8">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w:t>
      </w:r>
      <w:r w:rsidR="00171E3F">
        <w:rPr>
          <w:rFonts w:ascii="Palatino Linotype" w:eastAsia="Palatino Linotype" w:hAnsi="Palatino Linotype" w:cs="Palatino Linotype"/>
        </w:rPr>
        <w:t xml:space="preserve"> artículo 179, fracción V</w:t>
      </w:r>
      <w:r>
        <w:rPr>
          <w:rFonts w:ascii="Palatino Linotype" w:eastAsia="Palatino Linotype" w:hAnsi="Palatino Linotype" w:cs="Palatino Linotype"/>
        </w:rPr>
        <w:t xml:space="preserve"> de la ley de la materia, que a la letra dice:</w:t>
      </w:r>
    </w:p>
    <w:p w:rsidR="0019016C" w:rsidRDefault="009357F8">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rsidR="0019016C" w:rsidRDefault="00171E3F">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016C" w:rsidRDefault="00171E3F">
      <w:pPr>
        <w:ind w:left="1276" w:right="1752"/>
        <w:jc w:val="both"/>
        <w:rPr>
          <w:rFonts w:ascii="Palatino Linotype" w:eastAsia="Palatino Linotype" w:hAnsi="Palatino Linotype" w:cs="Palatino Linotype"/>
          <w:i/>
          <w:sz w:val="22"/>
          <w:szCs w:val="22"/>
        </w:rPr>
      </w:pPr>
      <w:r w:rsidRPr="00171E3F">
        <w:rPr>
          <w:rFonts w:ascii="Palatino Linotype" w:eastAsia="Palatino Linotype" w:hAnsi="Palatino Linotype" w:cs="Palatino Linotype"/>
          <w:i/>
          <w:sz w:val="22"/>
          <w:szCs w:val="22"/>
        </w:rPr>
        <w:t>V. La entrega de información incompleta</w:t>
      </w:r>
      <w:r w:rsidR="009357F8">
        <w:rPr>
          <w:rFonts w:ascii="Palatino Linotype" w:eastAsia="Palatino Linotype" w:hAnsi="Palatino Linotype" w:cs="Palatino Linotype"/>
          <w:i/>
          <w:sz w:val="22"/>
          <w:szCs w:val="22"/>
        </w:rPr>
        <w:t>…” (Sic)</w:t>
      </w:r>
    </w:p>
    <w:p w:rsidR="0019016C" w:rsidRDefault="0019016C">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19016C" w:rsidRDefault="009357F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Del análisis de la solicitud de información motivo del recurso de revisión que ahora se resuelve, se advierte que el particular requirió al </w:t>
      </w:r>
      <w:r w:rsidR="00171E3F">
        <w:rPr>
          <w:rFonts w:ascii="Palatino Linotype" w:eastAsia="Palatino Linotype" w:hAnsi="Palatino Linotype" w:cs="Palatino Linotype"/>
          <w:b/>
        </w:rPr>
        <w:t>Ayuntamiento de Tenango del Aire</w:t>
      </w:r>
      <w:r>
        <w:rPr>
          <w:rFonts w:ascii="Palatino Linotype" w:eastAsia="Palatino Linotype" w:hAnsi="Palatino Linotype" w:cs="Palatino Linotype"/>
        </w:rPr>
        <w:t>, lo siguiente:</w:t>
      </w:r>
    </w:p>
    <w:p w:rsidR="00171E3F" w:rsidRDefault="00171E3F" w:rsidP="00171E3F">
      <w:pPr>
        <w:pStyle w:val="Prrafodelista"/>
        <w:numPr>
          <w:ilvl w:val="0"/>
          <w:numId w:val="9"/>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t>Gaceta de Gobierno electrónica especificando página, que ALGUNA NORMA JURÍDICA contenga el fundamento legal para crear LA COMISIÓN REVISION Y ACTUALIZACIÓN DE REGLAMENTACIÓN M</w:t>
      </w:r>
      <w:r>
        <w:rPr>
          <w:rFonts w:ascii="Palatino Linotype" w:eastAsia="Palatino Linotype" w:hAnsi="Palatino Linotype" w:cs="Palatino Linotype"/>
        </w:rPr>
        <w:t xml:space="preserve">UNICIPAL DE TENANGO DEL AIRE. </w:t>
      </w:r>
    </w:p>
    <w:p w:rsidR="00171E3F" w:rsidRDefault="00171E3F" w:rsidP="00171E3F">
      <w:pPr>
        <w:pStyle w:val="Prrafodelista"/>
        <w:numPr>
          <w:ilvl w:val="0"/>
          <w:numId w:val="9"/>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lastRenderedPageBreak/>
        <w:t>Oficio de Solicitud por parte de la SIPINNA estatal o federal para la creación del AREA o AREAS DE PRIMER CONTACTO CO</w:t>
      </w:r>
      <w:r>
        <w:rPr>
          <w:rFonts w:ascii="Palatino Linotype" w:eastAsia="Palatino Linotype" w:hAnsi="Palatino Linotype" w:cs="Palatino Linotype"/>
        </w:rPr>
        <w:t xml:space="preserve">N NIÑOS NIÑAS Y ADOLESCENTES. </w:t>
      </w:r>
    </w:p>
    <w:p w:rsidR="00171E3F" w:rsidRDefault="00171E3F" w:rsidP="00171E3F">
      <w:pPr>
        <w:pStyle w:val="Prrafodelista"/>
        <w:numPr>
          <w:ilvl w:val="0"/>
          <w:numId w:val="9"/>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t>Oficio de Petición para la condonación de las actas de nacimiento, divorcio, matrimonio, etc. Por parte del Dr. Cesar Enrique Sánchez Millán</w:t>
      </w:r>
      <w:r>
        <w:rPr>
          <w:rFonts w:ascii="Palatino Linotype" w:eastAsia="Palatino Linotype" w:hAnsi="Palatino Linotype" w:cs="Palatino Linotype"/>
        </w:rPr>
        <w:t xml:space="preserve">. </w:t>
      </w:r>
    </w:p>
    <w:p w:rsidR="00171E3F" w:rsidRDefault="00171E3F" w:rsidP="00171E3F">
      <w:pPr>
        <w:pStyle w:val="Prrafodelista"/>
        <w:numPr>
          <w:ilvl w:val="0"/>
          <w:numId w:val="9"/>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t>Facturas pagadas por conce</w:t>
      </w:r>
      <w:r>
        <w:rPr>
          <w:rFonts w:ascii="Palatino Linotype" w:eastAsia="Palatino Linotype" w:hAnsi="Palatino Linotype" w:cs="Palatino Linotype"/>
        </w:rPr>
        <w:t xml:space="preserve">pto del bando municipal 2022. </w:t>
      </w:r>
    </w:p>
    <w:p w:rsidR="00171E3F" w:rsidRDefault="00171E3F" w:rsidP="00171E3F">
      <w:pPr>
        <w:pStyle w:val="Prrafodelista"/>
        <w:numPr>
          <w:ilvl w:val="0"/>
          <w:numId w:val="9"/>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t>Bando Municipal 2022</w:t>
      </w:r>
      <w:r>
        <w:rPr>
          <w:rFonts w:ascii="Palatino Linotype" w:eastAsia="Palatino Linotype" w:hAnsi="Palatino Linotype" w:cs="Palatino Linotype"/>
        </w:rPr>
        <w:t>.</w:t>
      </w:r>
    </w:p>
    <w:p w:rsidR="00171E3F" w:rsidRDefault="00171E3F" w:rsidP="00171E3F">
      <w:pPr>
        <w:pStyle w:val="Prrafodelista"/>
        <w:numPr>
          <w:ilvl w:val="0"/>
          <w:numId w:val="9"/>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t>Comprobante de pago a la Comisión de Agua del Estado de Méxi</w:t>
      </w:r>
      <w:r>
        <w:rPr>
          <w:rFonts w:ascii="Palatino Linotype" w:eastAsia="Palatino Linotype" w:hAnsi="Palatino Linotype" w:cs="Palatino Linotype"/>
        </w:rPr>
        <w:t xml:space="preserve">co por concepto de pago 2019. </w:t>
      </w:r>
    </w:p>
    <w:p w:rsidR="00171E3F" w:rsidRDefault="00171E3F" w:rsidP="00171E3F">
      <w:pPr>
        <w:pStyle w:val="Prrafodelista"/>
        <w:numPr>
          <w:ilvl w:val="0"/>
          <w:numId w:val="9"/>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t>Comprobante de pago a la Comisión de Ag</w:t>
      </w:r>
      <w:r>
        <w:rPr>
          <w:rFonts w:ascii="Palatino Linotype" w:eastAsia="Palatino Linotype" w:hAnsi="Palatino Linotype" w:cs="Palatino Linotype"/>
        </w:rPr>
        <w:t xml:space="preserve">ua del Estado de México 2020. </w:t>
      </w:r>
    </w:p>
    <w:p w:rsidR="00171E3F" w:rsidRDefault="00171E3F" w:rsidP="00171E3F">
      <w:pPr>
        <w:pStyle w:val="Prrafodelista"/>
        <w:numPr>
          <w:ilvl w:val="0"/>
          <w:numId w:val="9"/>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t>Comprobante de pago a la Comisión de A</w:t>
      </w:r>
      <w:r>
        <w:rPr>
          <w:rFonts w:ascii="Palatino Linotype" w:eastAsia="Palatino Linotype" w:hAnsi="Palatino Linotype" w:cs="Palatino Linotype"/>
        </w:rPr>
        <w:t>gua del Estado de México 2021.</w:t>
      </w:r>
    </w:p>
    <w:p w:rsidR="00171E3F" w:rsidRDefault="00171E3F" w:rsidP="00171E3F">
      <w:pPr>
        <w:pStyle w:val="Prrafodelista"/>
        <w:numPr>
          <w:ilvl w:val="0"/>
          <w:numId w:val="9"/>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t xml:space="preserve">Comprobante de pago a la Comisión </w:t>
      </w:r>
      <w:r>
        <w:rPr>
          <w:rFonts w:ascii="Palatino Linotype" w:eastAsia="Palatino Linotype" w:hAnsi="Palatino Linotype" w:cs="Palatino Linotype"/>
        </w:rPr>
        <w:t xml:space="preserve">Federal de Electricidad 2019. </w:t>
      </w:r>
    </w:p>
    <w:p w:rsidR="00171E3F" w:rsidRDefault="00171E3F" w:rsidP="00171E3F">
      <w:pPr>
        <w:pStyle w:val="Prrafodelista"/>
        <w:numPr>
          <w:ilvl w:val="0"/>
          <w:numId w:val="9"/>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t>Comprobante de pago a la Comisión Fe</w:t>
      </w:r>
      <w:r>
        <w:rPr>
          <w:rFonts w:ascii="Palatino Linotype" w:eastAsia="Palatino Linotype" w:hAnsi="Palatino Linotype" w:cs="Palatino Linotype"/>
        </w:rPr>
        <w:t xml:space="preserve">deral de Electricidad 2020. </w:t>
      </w:r>
    </w:p>
    <w:p w:rsidR="00171E3F" w:rsidRPr="00171E3F" w:rsidRDefault="00171E3F" w:rsidP="00171E3F">
      <w:pPr>
        <w:pStyle w:val="Prrafodelista"/>
        <w:numPr>
          <w:ilvl w:val="0"/>
          <w:numId w:val="9"/>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t>Comprobante de pago a la Comisión Federal de Electricidad 2021.</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través de los siguientes archivos electrónicos:</w:t>
      </w:r>
    </w:p>
    <w:p w:rsidR="00171E3F" w:rsidRDefault="00171E3F" w:rsidP="00171E3F">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18" w:tgtFrame="_blank" w:history="1">
        <w:r w:rsidRPr="007C20F8">
          <w:rPr>
            <w:rFonts w:ascii="Palatino Linotype" w:eastAsia="Palatino Linotype" w:hAnsi="Palatino Linotype" w:cs="Palatino Linotype"/>
            <w:color w:val="000000"/>
          </w:rPr>
          <w:t>Comprobante de pago agua 2021.pdf</w:t>
        </w:r>
      </w:hyperlink>
      <w:r>
        <w:rPr>
          <w:rFonts w:ascii="Palatino Linotype" w:eastAsia="Palatino Linotype" w:hAnsi="Palatino Linotype" w:cs="Palatino Linotype"/>
          <w:color w:val="000000"/>
        </w:rPr>
        <w:t>”, el cual contiene un pago interbancario por concepto de agua en bloque a la Comisión del Agua del Estado de México, de fecha 29 de octubre del año 2021, en una foja.</w:t>
      </w:r>
    </w:p>
    <w:p w:rsidR="00171E3F" w:rsidRDefault="00171E3F" w:rsidP="00171E3F">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w:t>
      </w:r>
      <w:hyperlink r:id="rId19" w:tgtFrame="_blank" w:history="1">
        <w:r w:rsidRPr="007C20F8">
          <w:rPr>
            <w:rFonts w:ascii="Palatino Linotype" w:eastAsia="Palatino Linotype" w:hAnsi="Palatino Linotype" w:cs="Palatino Linotype"/>
            <w:color w:val="000000"/>
          </w:rPr>
          <w:t>Comprobante de pago agua 2019 (1).</w:t>
        </w:r>
        <w:proofErr w:type="spellStart"/>
        <w:r w:rsidRPr="007C20F8">
          <w:rPr>
            <w:rFonts w:ascii="Palatino Linotype" w:eastAsia="Palatino Linotype" w:hAnsi="Palatino Linotype" w:cs="Palatino Linotype"/>
            <w:color w:val="000000"/>
          </w:rPr>
          <w:t>pdf</w:t>
        </w:r>
        <w:proofErr w:type="spellEnd"/>
      </w:hyperlink>
      <w:r>
        <w:rPr>
          <w:rFonts w:ascii="Palatino Linotype" w:eastAsia="Palatino Linotype" w:hAnsi="Palatino Linotype" w:cs="Palatino Linotype"/>
          <w:color w:val="000000"/>
        </w:rPr>
        <w:t xml:space="preserve">”, el cual contiene un pago interbancario por concepto de agua en bloque a la Comisión del Agua del Estado de México, de fecha 30 de septiembre del año 2019, en una foja. </w:t>
      </w:r>
    </w:p>
    <w:p w:rsidR="00171E3F" w:rsidRDefault="00171E3F" w:rsidP="00171E3F">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20" w:tgtFrame="_blank" w:history="1">
        <w:r w:rsidRPr="007C20F8">
          <w:rPr>
            <w:rFonts w:ascii="Palatino Linotype" w:eastAsia="Palatino Linotype" w:hAnsi="Palatino Linotype" w:cs="Palatino Linotype"/>
            <w:color w:val="000000"/>
          </w:rPr>
          <w:t>Bando Municipal 2022.pdf</w:t>
        </w:r>
      </w:hyperlink>
      <w:r>
        <w:rPr>
          <w:rFonts w:ascii="Palatino Linotype" w:eastAsia="Palatino Linotype" w:hAnsi="Palatino Linotype" w:cs="Palatino Linotype"/>
          <w:color w:val="000000"/>
        </w:rPr>
        <w:t xml:space="preserve">”, el cual contiene el bando municipal </w:t>
      </w:r>
      <w:r w:rsidRPr="009F55E9">
        <w:rPr>
          <w:rFonts w:ascii="Palatino Linotype" w:eastAsia="Palatino Linotype" w:hAnsi="Palatino Linotype" w:cs="Palatino Linotype"/>
          <w:color w:val="000000"/>
        </w:rPr>
        <w:t>de policía y buen gobierno de Tenango</w:t>
      </w:r>
      <w:r>
        <w:rPr>
          <w:rFonts w:ascii="Palatino Linotype" w:eastAsia="Palatino Linotype" w:hAnsi="Palatino Linotype" w:cs="Palatino Linotype"/>
          <w:color w:val="000000"/>
        </w:rPr>
        <w:t xml:space="preserve"> del Aire, Estado de México de la</w:t>
      </w:r>
      <w:r w:rsidRPr="009F55E9">
        <w:rPr>
          <w:rFonts w:ascii="Palatino Linotype" w:eastAsia="Palatino Linotype" w:hAnsi="Palatino Linotype" w:cs="Palatino Linotype"/>
          <w:color w:val="000000"/>
        </w:rPr>
        <w:t xml:space="preserve"> administración 2022-2024</w:t>
      </w:r>
      <w:r>
        <w:rPr>
          <w:rFonts w:ascii="Palatino Linotype" w:eastAsia="Palatino Linotype" w:hAnsi="Palatino Linotype" w:cs="Palatino Linotype"/>
          <w:color w:val="000000"/>
        </w:rPr>
        <w:t>.</w:t>
      </w:r>
    </w:p>
    <w:p w:rsidR="00171E3F" w:rsidRDefault="00171E3F" w:rsidP="00171E3F">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21" w:tgtFrame="_blank" w:history="1">
        <w:r w:rsidRPr="007C20F8">
          <w:rPr>
            <w:rFonts w:ascii="Palatino Linotype" w:eastAsia="Palatino Linotype" w:hAnsi="Palatino Linotype" w:cs="Palatino Linotype"/>
            <w:color w:val="000000"/>
          </w:rPr>
          <w:t>Comprobante de pago agua 2020.pdf</w:t>
        </w:r>
      </w:hyperlink>
      <w:r>
        <w:rPr>
          <w:rFonts w:ascii="Palatino Linotype" w:eastAsia="Palatino Linotype" w:hAnsi="Palatino Linotype" w:cs="Palatino Linotype"/>
          <w:color w:val="000000"/>
        </w:rPr>
        <w:t>”, el cual contiene un pago interbancario por concepto de agua en bloque a la Comisión del Agua del Estado de México, de fecha 22 de diciembre del año 2020, en una foja.</w:t>
      </w:r>
    </w:p>
    <w:p w:rsidR="00171E3F" w:rsidRDefault="00171E3F" w:rsidP="00171E3F">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22" w:tgtFrame="_blank" w:history="1">
        <w:r w:rsidRPr="007C20F8">
          <w:rPr>
            <w:rFonts w:ascii="Palatino Linotype" w:eastAsia="Palatino Linotype" w:hAnsi="Palatino Linotype" w:cs="Palatino Linotype"/>
            <w:color w:val="000000"/>
          </w:rPr>
          <w:t>Comprobante de pago luz 2020.pdf</w:t>
        </w:r>
      </w:hyperlink>
      <w:r>
        <w:rPr>
          <w:rFonts w:ascii="Palatino Linotype" w:eastAsia="Palatino Linotype" w:hAnsi="Palatino Linotype" w:cs="Palatino Linotype"/>
          <w:color w:val="000000"/>
        </w:rPr>
        <w:t>”, el cual contiene un pago interbancario por concepto de energía a la Comisión Federal de Electricidad, de fecha 30 de septiembre del año 2020, en una foja.</w:t>
      </w:r>
    </w:p>
    <w:p w:rsidR="00171E3F" w:rsidRDefault="00171E3F" w:rsidP="00171E3F">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23" w:tgtFrame="_blank" w:history="1">
        <w:r w:rsidRPr="007C20F8">
          <w:rPr>
            <w:rFonts w:ascii="Palatino Linotype" w:eastAsia="Palatino Linotype" w:hAnsi="Palatino Linotype" w:cs="Palatino Linotype"/>
            <w:color w:val="000000"/>
          </w:rPr>
          <w:t>Comprobante de pago luz 2021.pdf</w:t>
        </w:r>
      </w:hyperlink>
      <w:r>
        <w:rPr>
          <w:rFonts w:ascii="Palatino Linotype" w:eastAsia="Palatino Linotype" w:hAnsi="Palatino Linotype" w:cs="Palatino Linotype"/>
          <w:color w:val="000000"/>
        </w:rPr>
        <w:t>”, el cual contiene un pago interbancario por concepto de energía a la Comisión Federal de Electricidad, de fecha 29 de octubre del año 2021, en una foja.</w:t>
      </w:r>
    </w:p>
    <w:p w:rsidR="00171E3F" w:rsidRDefault="00171E3F" w:rsidP="00171E3F">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24" w:tgtFrame="_blank" w:history="1">
        <w:r w:rsidRPr="007C20F8">
          <w:rPr>
            <w:rFonts w:ascii="Palatino Linotype" w:eastAsia="Palatino Linotype" w:hAnsi="Palatino Linotype" w:cs="Palatino Linotype"/>
            <w:color w:val="000000"/>
          </w:rPr>
          <w:t>MTA-UT-104-2022.pdf</w:t>
        </w:r>
      </w:hyperlink>
      <w:r>
        <w:rPr>
          <w:rFonts w:ascii="Palatino Linotype" w:eastAsia="Palatino Linotype" w:hAnsi="Palatino Linotype" w:cs="Palatino Linotype"/>
          <w:color w:val="000000"/>
        </w:rPr>
        <w:t xml:space="preserve">”, el cual contiene el oficio MTA/UT/104/2022, por medio del cual el Titular de la Unidad de Transparencia, informó al </w:t>
      </w:r>
      <w:r w:rsidRPr="007B00D2">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las respuestas proporcionadas por la Dirección Jurídica y Consultiva de Tenango del Aire, Directora del Sistema DIF Municipal de Tenango del Aire, Oficial del Registro Civil número 01 de Tenango del Aire y Tesorería Municipal.</w:t>
      </w:r>
    </w:p>
    <w:p w:rsidR="00171E3F" w:rsidRDefault="00171E3F" w:rsidP="00171E3F">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w:t>
      </w:r>
      <w:hyperlink r:id="rId25" w:tgtFrame="_blank" w:history="1">
        <w:r w:rsidRPr="007C20F8">
          <w:rPr>
            <w:rFonts w:ascii="Palatino Linotype" w:eastAsia="Palatino Linotype" w:hAnsi="Palatino Linotype" w:cs="Palatino Linotype"/>
            <w:color w:val="000000"/>
          </w:rPr>
          <w:t>Comprobante de pago luz 2019.pdf</w:t>
        </w:r>
      </w:hyperlink>
      <w:r>
        <w:rPr>
          <w:rFonts w:ascii="Palatino Linotype" w:eastAsia="Palatino Linotype" w:hAnsi="Palatino Linotype" w:cs="Palatino Linotype"/>
          <w:color w:val="000000"/>
        </w:rPr>
        <w:t>”, el cual contiene un pago interbancario por concepto de energía a la Comisión Federal de Electricidad, de fecha 27 de marzo del año 2019, en una foja.</w:t>
      </w:r>
    </w:p>
    <w:p w:rsidR="00171E3F" w:rsidRDefault="00171E3F" w:rsidP="00171E3F">
      <w:pPr>
        <w:spacing w:line="360" w:lineRule="auto"/>
        <w:jc w:val="both"/>
        <w:rPr>
          <w:rFonts w:ascii="Palatino Linotype" w:eastAsia="Palatino Linotype" w:hAnsi="Palatino Linotype" w:cs="Palatino Linotype"/>
        </w:rPr>
      </w:pPr>
    </w:p>
    <w:p w:rsidR="00171E3F" w:rsidRDefault="00171E3F" w:rsidP="00171E3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Inconforme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con la respuesta, interpuso el Recurso de Revisión en lo medular porque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w:t>
      </w:r>
      <w:r w:rsidR="00040EA2">
        <w:rPr>
          <w:rFonts w:ascii="Palatino Linotype" w:eastAsia="Palatino Linotype" w:hAnsi="Palatino Linotype" w:cs="Palatino Linotype"/>
        </w:rPr>
        <w:t xml:space="preserve"> le entregó la información completa. </w:t>
      </w:r>
      <w:r>
        <w:rPr>
          <w:rFonts w:ascii="Palatino Linotype" w:eastAsia="Palatino Linotype" w:hAnsi="Palatino Linotype" w:cs="Palatino Linotype"/>
        </w:rPr>
        <w:t xml:space="preserve"> </w:t>
      </w:r>
    </w:p>
    <w:p w:rsidR="00040EA2" w:rsidRDefault="00040EA2" w:rsidP="00171E3F">
      <w:pPr>
        <w:spacing w:line="360" w:lineRule="auto"/>
        <w:jc w:val="both"/>
        <w:rPr>
          <w:rFonts w:ascii="Palatino Linotype" w:eastAsia="Palatino Linotype" w:hAnsi="Palatino Linotype" w:cs="Palatino Linotype"/>
        </w:rPr>
      </w:pPr>
    </w:p>
    <w:p w:rsidR="00171E3F" w:rsidRDefault="00171E3F" w:rsidP="00171E3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notificado el recurso de revisión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este fue omiso en rendir su informe justificado. </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fundados para modificar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19016C" w:rsidRDefault="009357F8">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9016C" w:rsidRDefault="009357F8">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9016C" w:rsidRDefault="009357F8">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19016C" w:rsidRDefault="0019016C">
      <w:pPr>
        <w:spacing w:line="360" w:lineRule="auto"/>
        <w:jc w:val="both"/>
        <w:rPr>
          <w:rFonts w:ascii="Palatino Linotype" w:eastAsia="Palatino Linotype" w:hAnsi="Palatino Linotype" w:cs="Palatino Linotype"/>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19016C" w:rsidRDefault="0019016C">
      <w:pPr>
        <w:spacing w:line="360" w:lineRule="auto"/>
        <w:jc w:val="both"/>
        <w:rPr>
          <w:rFonts w:ascii="Palatino Linotype" w:eastAsia="Palatino Linotype" w:hAnsi="Palatino Linotype" w:cs="Palatino Linotype"/>
        </w:rPr>
      </w:pPr>
    </w:p>
    <w:p w:rsidR="0019016C" w:rsidRDefault="009357F8">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19016C" w:rsidRDefault="0019016C">
      <w:pPr>
        <w:ind w:left="567" w:right="758"/>
        <w:jc w:val="both"/>
        <w:rPr>
          <w:rFonts w:ascii="Palatino Linotype" w:eastAsia="Palatino Linotype" w:hAnsi="Palatino Linotype" w:cs="Palatino Linotype"/>
          <w:i/>
          <w:sz w:val="22"/>
          <w:szCs w:val="22"/>
        </w:rPr>
      </w:pPr>
    </w:p>
    <w:p w:rsidR="0019016C" w:rsidRDefault="009357F8">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Pr>
          <w:rFonts w:ascii="Palatino Linotype" w:eastAsia="Palatino Linotype" w:hAnsi="Palatino Linotype" w:cs="Palatino Linotype"/>
          <w:b/>
          <w:i/>
          <w:sz w:val="22"/>
          <w:szCs w:val="22"/>
        </w:rPr>
        <w:lastRenderedPageBreak/>
        <w:t>obligados a generarla, resumirla, efectuar cálculos o practicar investigaciones.” (Sic)</w:t>
      </w:r>
    </w:p>
    <w:p w:rsidR="0019016C" w:rsidRDefault="0019016C">
      <w:pPr>
        <w:spacing w:line="360" w:lineRule="auto"/>
        <w:ind w:right="-93"/>
        <w:jc w:val="both"/>
        <w:rPr>
          <w:rFonts w:ascii="Palatino Linotype" w:eastAsia="Palatino Linotype" w:hAnsi="Palatino Linotype" w:cs="Palatino Linotype"/>
          <w:color w:val="000000"/>
        </w:rPr>
      </w:pPr>
    </w:p>
    <w:p w:rsidR="0019016C" w:rsidRDefault="009357F8">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rPr>
        <w:t>concretarán</w:t>
      </w:r>
      <w:r>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rsidR="0019016C" w:rsidRDefault="0019016C">
      <w:pPr>
        <w:spacing w:line="360" w:lineRule="auto"/>
        <w:ind w:right="-93"/>
        <w:jc w:val="both"/>
        <w:rPr>
          <w:rFonts w:ascii="Palatino Linotype" w:eastAsia="Palatino Linotype" w:hAnsi="Palatino Linotype" w:cs="Palatino Linotype"/>
          <w:color w:val="000000"/>
        </w:rPr>
      </w:pPr>
    </w:p>
    <w:p w:rsidR="0019016C" w:rsidRDefault="009357F8">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19016C" w:rsidRDefault="0019016C">
      <w:pPr>
        <w:ind w:left="851" w:right="850"/>
        <w:jc w:val="both"/>
        <w:rPr>
          <w:rFonts w:ascii="Palatino Linotype" w:eastAsia="Palatino Linotype" w:hAnsi="Palatino Linotype" w:cs="Palatino Linotype"/>
          <w:color w:val="000000"/>
        </w:rPr>
      </w:pPr>
    </w:p>
    <w:p w:rsidR="0019016C" w:rsidRDefault="009357F8">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9016C" w:rsidRDefault="009357F8">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19016C" w:rsidRDefault="009357F8">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19016C" w:rsidRDefault="009357F8">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19016C" w:rsidRDefault="009357F8">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lastRenderedPageBreak/>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19016C" w:rsidRDefault="0019016C">
      <w:pPr>
        <w:spacing w:line="360" w:lineRule="auto"/>
        <w:ind w:right="-93"/>
        <w:jc w:val="both"/>
        <w:rPr>
          <w:rFonts w:ascii="Palatino Linotype" w:eastAsia="Palatino Linotype" w:hAnsi="Palatino Linotype" w:cs="Palatino Linotype"/>
          <w:color w:val="000000"/>
        </w:rPr>
      </w:pPr>
    </w:p>
    <w:p w:rsidR="0019016C" w:rsidRDefault="009357F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9016C" w:rsidRDefault="0019016C">
      <w:pPr>
        <w:spacing w:line="360" w:lineRule="auto"/>
        <w:jc w:val="both"/>
        <w:rPr>
          <w:rFonts w:ascii="Palatino Linotype" w:eastAsia="Palatino Linotype" w:hAnsi="Palatino Linotype" w:cs="Palatino Linotype"/>
          <w:color w:val="000000"/>
        </w:rPr>
      </w:pPr>
    </w:p>
    <w:p w:rsidR="0019016C" w:rsidRDefault="009357F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19016C" w:rsidRDefault="0019016C">
      <w:pPr>
        <w:spacing w:line="360" w:lineRule="auto"/>
        <w:ind w:right="49"/>
        <w:jc w:val="both"/>
        <w:rPr>
          <w:rFonts w:ascii="Palatino Linotype" w:eastAsia="Palatino Linotype" w:hAnsi="Palatino Linotype" w:cs="Palatino Linotype"/>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rsidR="0019016C" w:rsidRDefault="0019016C">
      <w:pPr>
        <w:ind w:left="851" w:right="899"/>
        <w:jc w:val="both"/>
        <w:rPr>
          <w:rFonts w:ascii="Palatino Linotype" w:eastAsia="Palatino Linotype" w:hAnsi="Palatino Linotype" w:cs="Palatino Linotype"/>
          <w:i/>
          <w:sz w:val="22"/>
          <w:szCs w:val="22"/>
        </w:rPr>
      </w:pPr>
    </w:p>
    <w:p w:rsidR="0019016C" w:rsidRDefault="009357F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19016C" w:rsidRDefault="009357F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016C" w:rsidRDefault="009357F8">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19016C" w:rsidRDefault="0019016C">
      <w:pPr>
        <w:ind w:left="851" w:right="899"/>
        <w:jc w:val="both"/>
        <w:rPr>
          <w:rFonts w:ascii="Palatino Linotype" w:eastAsia="Palatino Linotype" w:hAnsi="Palatino Linotype" w:cs="Palatino Linotype"/>
          <w:sz w:val="22"/>
          <w:szCs w:val="22"/>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9016C" w:rsidRDefault="0019016C">
      <w:pPr>
        <w:ind w:left="851" w:right="899"/>
        <w:jc w:val="both"/>
        <w:rPr>
          <w:rFonts w:ascii="Palatino Linotype" w:eastAsia="Palatino Linotype" w:hAnsi="Palatino Linotype" w:cs="Palatino Linotype"/>
        </w:rPr>
      </w:pPr>
    </w:p>
    <w:p w:rsidR="0019016C" w:rsidRDefault="009357F8">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19016C" w:rsidRDefault="009357F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9016C" w:rsidRDefault="009357F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19016C" w:rsidRDefault="009357F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19016C" w:rsidRDefault="009357F8">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rsidR="0019016C" w:rsidRDefault="009357F8">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19016C" w:rsidRDefault="0019016C">
      <w:pPr>
        <w:spacing w:line="360" w:lineRule="auto"/>
        <w:ind w:right="-93"/>
        <w:jc w:val="both"/>
        <w:rPr>
          <w:rFonts w:ascii="Palatino Linotype" w:eastAsia="Palatino Linotype" w:hAnsi="Palatino Linotype" w:cs="Palatino Linotype"/>
          <w:color w:val="000000"/>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xml:space="preserve">, se reitera que la información proporcionada por el </w:t>
      </w:r>
      <w:r w:rsidR="004D4669" w:rsidRPr="004D4669">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w:t>
      </w:r>
    </w:p>
    <w:p w:rsidR="0019016C" w:rsidRDefault="0019016C">
      <w:pPr>
        <w:spacing w:line="360" w:lineRule="auto"/>
        <w:jc w:val="both"/>
        <w:rPr>
          <w:rFonts w:ascii="Palatino Linotype" w:eastAsia="Palatino Linotype" w:hAnsi="Palatino Linotype" w:cs="Palatino Linotype"/>
        </w:rPr>
      </w:pPr>
    </w:p>
    <w:p w:rsidR="004D4669"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con lo que respecta al requerimiento </w:t>
      </w:r>
      <w:r w:rsidR="004D4669">
        <w:rPr>
          <w:rFonts w:ascii="Palatino Linotype" w:eastAsia="Palatino Linotype" w:hAnsi="Palatino Linotype" w:cs="Palatino Linotype"/>
        </w:rPr>
        <w:t>señalado con el número “1”, descrito en la página 14 del presente considerando, relativo a:</w:t>
      </w:r>
    </w:p>
    <w:p w:rsidR="004D4669" w:rsidRDefault="004D4669" w:rsidP="004D4669">
      <w:pPr>
        <w:pStyle w:val="Prrafodelista"/>
        <w:numPr>
          <w:ilvl w:val="0"/>
          <w:numId w:val="10"/>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t>Gaceta de Gobierno electrónica especificando página, que ALGUNA NORMA JURÍDICA contenga el fundamento legal para crear LA COMISIÓN REVISION Y ACTUALIZACIÓN DE REGLAMENTACIÓN M</w:t>
      </w:r>
      <w:r>
        <w:rPr>
          <w:rFonts w:ascii="Palatino Linotype" w:eastAsia="Palatino Linotype" w:hAnsi="Palatino Linotype" w:cs="Palatino Linotype"/>
        </w:rPr>
        <w:t xml:space="preserve">UNICIPAL DE TENANGO DEL AIRE. </w:t>
      </w:r>
    </w:p>
    <w:p w:rsidR="00E14900" w:rsidRDefault="004D4669" w:rsidP="00E1490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sidR="007E48D6" w:rsidRPr="007E48D6">
        <w:rPr>
          <w:rFonts w:ascii="Palatino Linotype" w:eastAsia="Palatino Linotype" w:hAnsi="Palatino Linotype" w:cs="Palatino Linotype"/>
          <w:b/>
        </w:rPr>
        <w:t>SUJETO OBLIGADO</w:t>
      </w:r>
      <w:r w:rsidR="007E48D6">
        <w:rPr>
          <w:rFonts w:ascii="Palatino Linotype" w:eastAsia="Palatino Linotype" w:hAnsi="Palatino Linotype" w:cs="Palatino Linotype"/>
        </w:rPr>
        <w:t xml:space="preserve">, </w:t>
      </w:r>
      <w:r>
        <w:rPr>
          <w:rFonts w:ascii="Palatino Linotype" w:eastAsia="Palatino Linotype" w:hAnsi="Palatino Linotype" w:cs="Palatino Linotype"/>
        </w:rPr>
        <w:t xml:space="preserve">a </w:t>
      </w:r>
      <w:r w:rsidR="007E48D6">
        <w:rPr>
          <w:rFonts w:ascii="Palatino Linotype" w:eastAsia="Palatino Linotype" w:hAnsi="Palatino Linotype" w:cs="Palatino Linotype"/>
        </w:rPr>
        <w:t>través de su Titular Honorario de la Unidad de Transparencia, con base a la información proporcionada por la Directora Jurídica y Cons</w:t>
      </w:r>
      <w:r w:rsidR="00AC6C9C">
        <w:rPr>
          <w:rFonts w:ascii="Palatino Linotype" w:eastAsia="Palatino Linotype" w:hAnsi="Palatino Linotype" w:cs="Palatino Linotype"/>
        </w:rPr>
        <w:t>ultiva de Tenango del Aire,</w:t>
      </w:r>
      <w:r w:rsidR="007E48D6">
        <w:rPr>
          <w:rFonts w:ascii="Palatino Linotype" w:eastAsia="Palatino Linotype" w:hAnsi="Palatino Linotype" w:cs="Palatino Linotype"/>
        </w:rPr>
        <w:t xml:space="preserve"> se concretó a señalar los fundamentos legales que faculta a los Ayuntamientos para aprobar bandos, reglamentos, circulares y disposiciones administrativas de observancia general, </w:t>
      </w:r>
      <w:r w:rsidR="00E14900">
        <w:rPr>
          <w:rFonts w:ascii="Palatino Linotype" w:eastAsia="Palatino Linotype" w:hAnsi="Palatino Linotype" w:cs="Palatino Linotype"/>
        </w:rPr>
        <w:t xml:space="preserve">y en atención a que el particular de su solicitud requirió el fundamento legal para crear la Comisión de Revisión y Actualización de la Reglamentación Municipal de Tenango del Aire, es </w:t>
      </w:r>
      <w:r w:rsidR="00E14900">
        <w:rPr>
          <w:rFonts w:ascii="Palatino Linotype" w:eastAsia="Palatino Linotype" w:hAnsi="Palatino Linotype" w:cs="Palatino Linotype"/>
        </w:rPr>
        <w:lastRenderedPageBreak/>
        <w:t xml:space="preserve">por lo que se tiene por satisfecho el derecho de acceso a la información del solicitante; máxime, que el área que se pronunció fue la Dirección Jurídica y Consultiva de Tenango del Aire, quien tiene las siguientes atribuciones señaladas en el artículo 363 y 365 del </w:t>
      </w:r>
      <w:r w:rsidR="00E14900">
        <w:rPr>
          <w:rFonts w:ascii="Palatino Linotype" w:eastAsia="Palatino Linotype" w:hAnsi="Palatino Linotype" w:cs="Palatino Linotype"/>
          <w:color w:val="000000"/>
        </w:rPr>
        <w:t>Bando Municipal de Policía y buen G</w:t>
      </w:r>
      <w:r w:rsidR="00E14900" w:rsidRPr="009F55E9">
        <w:rPr>
          <w:rFonts w:ascii="Palatino Linotype" w:eastAsia="Palatino Linotype" w:hAnsi="Palatino Linotype" w:cs="Palatino Linotype"/>
          <w:color w:val="000000"/>
        </w:rPr>
        <w:t>obierno de Tenango</w:t>
      </w:r>
      <w:r w:rsidR="00E14900">
        <w:rPr>
          <w:rFonts w:ascii="Palatino Linotype" w:eastAsia="Palatino Linotype" w:hAnsi="Palatino Linotype" w:cs="Palatino Linotype"/>
          <w:color w:val="000000"/>
        </w:rPr>
        <w:t xml:space="preserve"> del Aire, Estado de México de la</w:t>
      </w:r>
      <w:r w:rsidR="00E14900" w:rsidRPr="009F55E9">
        <w:rPr>
          <w:rFonts w:ascii="Palatino Linotype" w:eastAsia="Palatino Linotype" w:hAnsi="Palatino Linotype" w:cs="Palatino Linotype"/>
          <w:color w:val="000000"/>
        </w:rPr>
        <w:t xml:space="preserve"> administración 2022-2024</w:t>
      </w:r>
      <w:r w:rsidR="00E14900">
        <w:rPr>
          <w:rFonts w:ascii="Palatino Linotype" w:eastAsia="Palatino Linotype" w:hAnsi="Palatino Linotype" w:cs="Palatino Linotype"/>
          <w:color w:val="000000"/>
        </w:rPr>
        <w:t>, las cuales son:</w:t>
      </w:r>
    </w:p>
    <w:p w:rsidR="00E14900" w:rsidRDefault="00E14900" w:rsidP="00E1490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6940B7">
        <w:rPr>
          <w:rFonts w:ascii="Palatino Linotype" w:eastAsia="Palatino Linotype" w:hAnsi="Palatino Linotype" w:cs="Palatino Linotype"/>
          <w:i/>
          <w:sz w:val="22"/>
          <w:szCs w:val="22"/>
        </w:rPr>
        <w:t xml:space="preserve">Artículo 363.- La dirección jurídica y consultiva de Tenango del Aire, México, será la unidad administrativa encargada de proporcionar la asesoría, apoyo, defensa, prevención y atención de los asuntos jurídicos del Ayuntamiento para lo cual contara con dos funciones principales: </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1.- De actividades jurídicos-administrativo </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2.- De actividades de presentación legal en los litigios del Ayuntamiento Atribuciones de la función jurídico administrativa </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I. Asesorar legalmente a los integrantes del Ayuntamiento, así como las dependencias, unidades administrativas, organismos descentralizados y desconcentrados </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II. Brindar asesoría jurídica gratuita a los habitantes del Municipio, </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III. Fungir como secretario de la comisión municipal de honor y justicia; </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IV. Fungir como vocal de los comités de bienes muebles e inmuebles, adquisiciones, y servicios de obra pública; </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V. Atender los requerimientos jurídicos de la dependencia de la administración pública federal y estatal; </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VI. Substanciar el procedimiento administrativo común derivado de la solicitud que realizan al Presidente Municipal o a la dirección jurídico consultiva; </w:t>
      </w:r>
    </w:p>
    <w:p w:rsidR="00E14900" w:rsidRPr="006940B7"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VII. Las demás que le encomiende el Presidente Municipal</w:t>
      </w:r>
    </w:p>
    <w:p w:rsidR="00E14900" w:rsidRPr="006940B7"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Artículo 365.- La dirección jurídica es la encargada a través de su titular de apoyar al Ayuntamiento, a sus dependencias y unidades administrativas en todos aquellos actos de orden jurídico-legal. Defendiendo los intereses de este, ante cualquier instancia judicial o administrativa, siempre y cuan dichos asuntos se deriven del ejercicio de sus funciones como servidores públicos. </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Asimismo coadyuvara en las diversas dependencias y unidades administrativas, que así lo soliciten, en la medida de sus posibilidades, asesorando, proponiendo y emitiendo su opinión en todos aquellos asuntos de orden legal, sin invadir esferas de competencia; </w:t>
      </w:r>
      <w:r w:rsidRPr="00A05A19">
        <w:rPr>
          <w:rFonts w:ascii="Palatino Linotype" w:eastAsia="Palatino Linotype" w:hAnsi="Palatino Linotype" w:cs="Palatino Linotype"/>
          <w:b/>
          <w:i/>
          <w:sz w:val="22"/>
          <w:szCs w:val="22"/>
        </w:rPr>
        <w:t xml:space="preserve">será la responsable de proponer al Ayuntamiento las </w:t>
      </w:r>
      <w:r w:rsidRPr="00A05A19">
        <w:rPr>
          <w:rFonts w:ascii="Palatino Linotype" w:eastAsia="Palatino Linotype" w:hAnsi="Palatino Linotype" w:cs="Palatino Linotype"/>
          <w:b/>
          <w:i/>
          <w:sz w:val="22"/>
          <w:szCs w:val="22"/>
        </w:rPr>
        <w:lastRenderedPageBreak/>
        <w:t>normas de carácter municipal necesarias para el buen desempeño del ejercicio administrativo a través del área de reglamentación.</w:t>
      </w:r>
      <w:r w:rsidRPr="006940B7">
        <w:rPr>
          <w:rFonts w:ascii="Palatino Linotype" w:eastAsia="Palatino Linotype" w:hAnsi="Palatino Linotype" w:cs="Palatino Linotype"/>
          <w:i/>
          <w:sz w:val="22"/>
          <w:szCs w:val="22"/>
        </w:rPr>
        <w:t xml:space="preserve"> </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Por lo que en forma enunciativa y no limitativa sus facultades serán: </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i. Atender diligencias, ofrecer pruebas, promover todo tipo de recursos para favorecer los intereses del Ayuntamiento </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ii. Rendir informes justificados e informes previos; </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iii. Asistir ante las dependencias federales, estatales y municipales derivado de requerimientos realizados a las dependencias y organismos descentralizados del Ayuntamiento; </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iv. Coadyuvar al análisis y fundamento legal de los oficios y documentos emitidos por el Ayuntamiento; </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v. Asistir al Presidente Municipal en el análisis e interpretación del marco legal: vi. Intervenir en los juicios de amparo promovidos contra actos de las autoridades municipales, y como terceros perjudicados en términos de la de ley de la materia; vii. Intervenir en los asuntos relacionados con las actividades laborales de los servidores públicos del municipio, en coordinación con las dependencias de la administración pública municipal correspondiente; </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viii. Intervenir en materia penal como colaborador institucional ante el ministerio público en toda carpeta de investigación o juicio penal en que sea parte el Ayuntamiento o la administración pública municipal; </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ix. Intervenir oportunamente en el trámite de los recursos administrativos que se realicen en contra de las autoridades municipales conforme en lo establecido en la legislación aplicable; </w:t>
      </w:r>
    </w:p>
    <w:p w:rsidR="00E14900"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 xml:space="preserve">x. Asistir jurídicamente a las direcciones y dependencias al servicio del municipio; </w:t>
      </w:r>
    </w:p>
    <w:p w:rsidR="00E14900" w:rsidRPr="006940B7" w:rsidRDefault="00E14900" w:rsidP="00E14900">
      <w:pPr>
        <w:ind w:left="851" w:right="899"/>
        <w:jc w:val="both"/>
        <w:rPr>
          <w:rFonts w:ascii="Palatino Linotype" w:eastAsia="Palatino Linotype" w:hAnsi="Palatino Linotype" w:cs="Palatino Linotype"/>
          <w:i/>
          <w:sz w:val="22"/>
          <w:szCs w:val="22"/>
        </w:rPr>
      </w:pPr>
      <w:r w:rsidRPr="006940B7">
        <w:rPr>
          <w:rFonts w:ascii="Palatino Linotype" w:eastAsia="Palatino Linotype" w:hAnsi="Palatino Linotype" w:cs="Palatino Linotype"/>
          <w:i/>
          <w:sz w:val="22"/>
          <w:szCs w:val="22"/>
        </w:rPr>
        <w:t>xi. Brindar asesoría jurídica que sea solicitada por los habitantes del municipio; y xii. Las que les indique directamente el Presidente Municipal</w:t>
      </w:r>
      <w:r>
        <w:rPr>
          <w:rFonts w:ascii="Palatino Linotype" w:eastAsia="Palatino Linotype" w:hAnsi="Palatino Linotype" w:cs="Palatino Linotype"/>
          <w:i/>
          <w:sz w:val="22"/>
          <w:szCs w:val="22"/>
        </w:rPr>
        <w:t>” (Sic)</w:t>
      </w:r>
    </w:p>
    <w:p w:rsidR="00AC6C9C" w:rsidRDefault="00E14900" w:rsidP="00AC6C9C">
      <w:pPr>
        <w:pStyle w:val="Sinespaciado"/>
        <w:spacing w:before="120" w:after="120" w:line="360" w:lineRule="auto"/>
        <w:contextualSpacing/>
        <w:jc w:val="both"/>
        <w:rPr>
          <w:rFonts w:ascii="Palatino Linotype" w:hAnsi="Palatino Linotype"/>
        </w:rPr>
      </w:pPr>
      <w:r>
        <w:rPr>
          <w:rFonts w:ascii="Palatino Linotype" w:eastAsia="Palatino Linotype" w:hAnsi="Palatino Linotype" w:cs="Palatino Linotype"/>
        </w:rPr>
        <w:t xml:space="preserve">En donde se advierte que la Dirección Jurídica y Consultiva de Tenango del Aire tiene la atribución de proponer a través del área de reglamentación las normas de carácter municipal </w:t>
      </w:r>
      <w:r w:rsidRPr="00A05A19">
        <w:rPr>
          <w:rFonts w:ascii="Palatino Linotype" w:eastAsia="Palatino Linotype" w:hAnsi="Palatino Linotype" w:cs="Palatino Linotype"/>
        </w:rPr>
        <w:t>necesarias para el buen desempe</w:t>
      </w:r>
      <w:r w:rsidR="00AC6C9C">
        <w:rPr>
          <w:rFonts w:ascii="Palatino Linotype" w:eastAsia="Palatino Linotype" w:hAnsi="Palatino Linotype" w:cs="Palatino Linotype"/>
        </w:rPr>
        <w:t>ño del ejercicio administrativo,</w:t>
      </w:r>
      <w:r>
        <w:rPr>
          <w:rFonts w:ascii="Palatino Linotype" w:eastAsia="Palatino Linotype" w:hAnsi="Palatino Linotype" w:cs="Palatino Linotype"/>
        </w:rPr>
        <w:t xml:space="preserve"> </w:t>
      </w:r>
      <w:r w:rsidR="00AC6C9C">
        <w:rPr>
          <w:rFonts w:ascii="Palatino Linotype" w:eastAsia="Palatino Linotype" w:hAnsi="Palatino Linotype" w:cs="Palatino Linotype"/>
        </w:rPr>
        <w:t xml:space="preserve">siendo así el área competente para conocer, generar y administrar la información solicitada; luego entonces, esté </w:t>
      </w:r>
      <w:r w:rsidR="00AC6C9C">
        <w:rPr>
          <w:rFonts w:ascii="Palatino Linotype" w:hAnsi="Palatino Linotype"/>
        </w:rPr>
        <w:t xml:space="preserve">Organismo Garante estima conveniente señalar que no está facultado para manifestarse sobre la veracidad de la información proporcionada, ya que no existe precepto legal alguno en la Ley de la Materia que </w:t>
      </w:r>
      <w:r w:rsidR="00AC6C9C">
        <w:rPr>
          <w:rFonts w:ascii="Palatino Linotype" w:hAnsi="Palatino Linotype"/>
        </w:rPr>
        <w:lastRenderedPageBreak/>
        <w:t>permita, vía recurso de revisión, se pronuncie al respecto. Por analogía, sirve de apoyo a lo anterior el Criterio 31-10 emitido por el entonces Instituto Federal de Accesos a la Información y Protección de Datos, que a la letra establece lo siguiente:</w:t>
      </w:r>
    </w:p>
    <w:p w:rsidR="00AC6C9C" w:rsidRDefault="00AC6C9C" w:rsidP="00AC6C9C">
      <w:pPr>
        <w:pStyle w:val="Sinespaciado"/>
        <w:spacing w:before="120" w:after="120" w:line="360" w:lineRule="auto"/>
        <w:contextualSpacing/>
        <w:jc w:val="both"/>
        <w:rPr>
          <w:rFonts w:ascii="Palatino Linotype" w:hAnsi="Palatino Linotype"/>
        </w:rPr>
      </w:pPr>
    </w:p>
    <w:p w:rsidR="00AC6C9C" w:rsidRDefault="00AC6C9C" w:rsidP="00AC6C9C">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AC6C9C" w:rsidRDefault="00AC6C9C" w:rsidP="00AC6C9C">
      <w:pPr>
        <w:pStyle w:val="Prrafodelista"/>
        <w:autoSpaceDE w:val="0"/>
        <w:autoSpaceDN w:val="0"/>
        <w:adjustRightInd w:val="0"/>
        <w:spacing w:line="360" w:lineRule="auto"/>
        <w:ind w:left="0"/>
        <w:jc w:val="both"/>
        <w:rPr>
          <w:rFonts w:ascii="Palatino Linotype" w:hAnsi="Palatino Linotype" w:cs="Arial"/>
        </w:rPr>
      </w:pPr>
    </w:p>
    <w:p w:rsidR="00AC6C9C" w:rsidRPr="00A30287" w:rsidRDefault="00AC6C9C" w:rsidP="00AC6C9C">
      <w:pPr>
        <w:pStyle w:val="Prrafodelista"/>
        <w:autoSpaceDE w:val="0"/>
        <w:autoSpaceDN w:val="0"/>
        <w:adjustRightInd w:val="0"/>
        <w:spacing w:line="360" w:lineRule="auto"/>
        <w:ind w:left="0"/>
        <w:jc w:val="both"/>
        <w:rPr>
          <w:rFonts w:ascii="Palatino Linotype" w:hAnsi="Palatino Linotype" w:cs="Arial"/>
          <w:sz w:val="24"/>
          <w:szCs w:val="24"/>
        </w:rPr>
      </w:pPr>
      <w:r w:rsidRPr="00A30287">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2C0354" w:rsidRDefault="002C0354">
      <w:pPr>
        <w:spacing w:line="360" w:lineRule="auto"/>
        <w:jc w:val="both"/>
        <w:rPr>
          <w:rFonts w:ascii="Palatino Linotype" w:eastAsia="Palatino Linotype" w:hAnsi="Palatino Linotype" w:cs="Palatino Linotype"/>
        </w:rPr>
      </w:pPr>
    </w:p>
    <w:p w:rsidR="007E48D6" w:rsidRDefault="004264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respecta, a los requerimientos marcados con los numerales “2” y “3” descritos en la página 15 del presente considerando, concerniente a: </w:t>
      </w:r>
    </w:p>
    <w:p w:rsidR="00426475" w:rsidRPr="00426475" w:rsidRDefault="00426475" w:rsidP="00426475">
      <w:pPr>
        <w:pStyle w:val="Prrafodelista"/>
        <w:numPr>
          <w:ilvl w:val="0"/>
          <w:numId w:val="10"/>
        </w:numPr>
        <w:spacing w:before="240" w:after="240" w:line="360" w:lineRule="auto"/>
        <w:jc w:val="both"/>
        <w:rPr>
          <w:rFonts w:ascii="Palatino Linotype" w:eastAsia="Palatino Linotype" w:hAnsi="Palatino Linotype" w:cs="Palatino Linotype"/>
        </w:rPr>
      </w:pPr>
      <w:r w:rsidRPr="00426475">
        <w:rPr>
          <w:rFonts w:ascii="Palatino Linotype" w:eastAsia="Palatino Linotype" w:hAnsi="Palatino Linotype" w:cs="Palatino Linotype"/>
        </w:rPr>
        <w:lastRenderedPageBreak/>
        <w:t xml:space="preserve">Oficio de Solicitud por parte de la SIPINNA estatal o federal para la creación del AREA o AREAS DE PRIMER CONTACTO CON NIÑOS NIÑAS Y ADOLESCENTES. </w:t>
      </w:r>
    </w:p>
    <w:p w:rsidR="00426475" w:rsidRDefault="00426475" w:rsidP="00426475">
      <w:pPr>
        <w:pStyle w:val="Prrafodelista"/>
        <w:numPr>
          <w:ilvl w:val="0"/>
          <w:numId w:val="10"/>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t>Oficio de Petición para la condonación de las actas de nacimiento, divorcio, matrimonio, etc. Por parte del Dr. Cesar Enrique Sánchez Millán</w:t>
      </w:r>
      <w:r>
        <w:rPr>
          <w:rFonts w:ascii="Palatino Linotype" w:eastAsia="Palatino Linotype" w:hAnsi="Palatino Linotype" w:cs="Palatino Linotype"/>
        </w:rPr>
        <w:t xml:space="preserve">. </w:t>
      </w:r>
    </w:p>
    <w:p w:rsidR="00A30287" w:rsidRDefault="00426475" w:rsidP="00A30287">
      <w:pPr>
        <w:autoSpaceDE w:val="0"/>
        <w:autoSpaceDN w:val="0"/>
        <w:adjustRightInd w:val="0"/>
        <w:spacing w:line="360" w:lineRule="auto"/>
        <w:jc w:val="both"/>
        <w:rPr>
          <w:rFonts w:ascii="Palatino Linotype" w:hAnsi="Palatino Linotype" w:cs="Arial"/>
        </w:rPr>
      </w:pPr>
      <w:r>
        <w:rPr>
          <w:rFonts w:ascii="Palatino Linotype" w:eastAsia="Palatino Linotype" w:hAnsi="Palatino Linotype" w:cs="Palatino Linotype"/>
        </w:rPr>
        <w:t xml:space="preserve">El </w:t>
      </w:r>
      <w:r w:rsidRPr="007E48D6">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Titular Honorario de la Unidad de Transparencia, con base a la información proporcionada por la Directora del Sistema DIF Municipal de Tenango del Aire y Oficial del Registro Civil 01 de Tenango del Aire, señalaron que no contaban con un oficio de solicitud por parte de </w:t>
      </w:r>
      <w:r w:rsidRPr="00426475">
        <w:rPr>
          <w:rFonts w:ascii="Palatino Linotype" w:eastAsia="Palatino Linotype" w:hAnsi="Palatino Linotype" w:cs="Palatino Linotype"/>
        </w:rPr>
        <w:t xml:space="preserve">SIPINNA estatal o federal </w:t>
      </w:r>
      <w:r>
        <w:rPr>
          <w:rFonts w:ascii="Palatino Linotype" w:eastAsia="Palatino Linotype" w:hAnsi="Palatino Linotype" w:cs="Palatino Linotype"/>
        </w:rPr>
        <w:t xml:space="preserve">al Sistema DIF Municipal de Tenango del Aire, ya que el Sistema DIF cuenta con una procuraduría para el primer contacto y auxilio a los menores y que no se había recibido un oficio de petición para la condonación de las </w:t>
      </w:r>
      <w:r w:rsidRPr="00171E3F">
        <w:rPr>
          <w:rFonts w:ascii="Palatino Linotype" w:eastAsia="Palatino Linotype" w:hAnsi="Palatino Linotype" w:cs="Palatino Linotype"/>
        </w:rPr>
        <w:t>actas de nacimiento, di</w:t>
      </w:r>
      <w:r>
        <w:rPr>
          <w:rFonts w:ascii="Palatino Linotype" w:eastAsia="Palatino Linotype" w:hAnsi="Palatino Linotype" w:cs="Palatino Linotype"/>
        </w:rPr>
        <w:t>vorcio y</w:t>
      </w:r>
      <w:r w:rsidRPr="00171E3F">
        <w:rPr>
          <w:rFonts w:ascii="Palatino Linotype" w:eastAsia="Palatino Linotype" w:hAnsi="Palatino Linotype" w:cs="Palatino Linotype"/>
        </w:rPr>
        <w:t xml:space="preserve"> matrimonio</w:t>
      </w:r>
      <w:r w:rsidR="00A30287">
        <w:rPr>
          <w:rFonts w:ascii="Palatino Linotype" w:eastAsia="Palatino Linotype" w:hAnsi="Palatino Linotype" w:cs="Palatino Linotype"/>
        </w:rPr>
        <w:t xml:space="preserve">, respectivamente. Y al ser que las áreas que se pronunciaron son las competentes para conocer de la información que se solicita en los puntos “2” y “3” descritos con antelación, sus pronunciamientos se traducen en un hecho negativo, colmando con ello el derecho de acceso a la información pública </w:t>
      </w:r>
      <w:r w:rsidR="00A30287" w:rsidRPr="00C91457">
        <w:rPr>
          <w:rFonts w:ascii="Palatino Linotype" w:hAnsi="Palatino Linotype" w:cs="Arial"/>
        </w:rPr>
        <w:t>y ante</w:t>
      </w:r>
      <w:r w:rsidR="00A30287">
        <w:rPr>
          <w:rFonts w:ascii="Palatino Linotype" w:hAnsi="Palatino Linotype" w:cs="Arial"/>
          <w:color w:val="FF0000"/>
        </w:rPr>
        <w:t xml:space="preserve"> </w:t>
      </w:r>
      <w:r w:rsidR="00A30287">
        <w:rPr>
          <w:rFonts w:ascii="Palatino Linotype" w:hAnsi="Palatino Linotype" w:cs="Arial"/>
        </w:rPr>
        <w:t>un hecho negativo el Pleno de este Organismo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A30287" w:rsidRDefault="00A30287" w:rsidP="00A30287">
      <w:pPr>
        <w:spacing w:before="120" w:after="120"/>
        <w:ind w:left="567" w:right="851"/>
        <w:jc w:val="center"/>
        <w:rPr>
          <w:rFonts w:ascii="Palatino Linotype" w:hAnsi="Palatino Linotype" w:cs="Arial"/>
          <w:i/>
          <w:sz w:val="22"/>
          <w:szCs w:val="22"/>
        </w:rPr>
      </w:pPr>
      <w:r>
        <w:rPr>
          <w:rFonts w:ascii="Palatino Linotype" w:hAnsi="Palatino Linotype" w:cs="Arial"/>
        </w:rPr>
        <w:t>“</w:t>
      </w:r>
      <w:r>
        <w:rPr>
          <w:rFonts w:ascii="Palatino Linotype" w:hAnsi="Palatino Linotype" w:cs="Arial"/>
          <w:b/>
          <w:i/>
          <w:sz w:val="22"/>
          <w:szCs w:val="22"/>
        </w:rPr>
        <w:t>HECHOS NEGATIVOS, NO SON SUSCEPTIBLES DE DEMOSTRACIÓN</w:t>
      </w:r>
      <w:r>
        <w:rPr>
          <w:rFonts w:ascii="Palatino Linotype" w:hAnsi="Palatino Linotype" w:cs="Arial"/>
          <w:i/>
          <w:sz w:val="22"/>
          <w:szCs w:val="22"/>
        </w:rPr>
        <w:t>.</w:t>
      </w:r>
    </w:p>
    <w:p w:rsidR="00A30287" w:rsidRDefault="00A30287" w:rsidP="00A30287">
      <w:pPr>
        <w:ind w:left="851" w:right="851"/>
        <w:jc w:val="both"/>
        <w:rPr>
          <w:rFonts w:ascii="Palatino Linotype" w:hAnsi="Palatino Linotype" w:cs="Arial"/>
          <w:i/>
          <w:sz w:val="22"/>
          <w:szCs w:val="22"/>
        </w:rPr>
      </w:pPr>
      <w:r>
        <w:rPr>
          <w:rFonts w:ascii="Palatino Linotype" w:hAnsi="Palatino Linotype" w:cs="Arial"/>
          <w:i/>
          <w:sz w:val="22"/>
          <w:szCs w:val="22"/>
        </w:rPr>
        <w:t>Tratándose de un hecho negativo, el Juez no tiene por qué invocar prueba alguna de la que se desprenda, ya que es bien sabido que esta clase de hechos no son susceptibles de demostración.</w:t>
      </w:r>
    </w:p>
    <w:p w:rsidR="00A30287" w:rsidRDefault="00A30287" w:rsidP="00A30287">
      <w:pPr>
        <w:ind w:left="851" w:right="851"/>
        <w:jc w:val="both"/>
        <w:rPr>
          <w:rFonts w:ascii="Palatino Linotype" w:hAnsi="Palatino Linotype" w:cs="Arial"/>
          <w:i/>
          <w:sz w:val="22"/>
          <w:szCs w:val="22"/>
        </w:rPr>
      </w:pPr>
    </w:p>
    <w:p w:rsidR="00A30287" w:rsidRDefault="00A30287" w:rsidP="00A30287">
      <w:pPr>
        <w:spacing w:before="120" w:after="120"/>
        <w:ind w:left="851" w:right="851"/>
        <w:jc w:val="both"/>
        <w:rPr>
          <w:rFonts w:ascii="Palatino Linotype" w:hAnsi="Palatino Linotype" w:cs="Arial"/>
          <w:i/>
          <w:sz w:val="22"/>
          <w:szCs w:val="22"/>
        </w:rPr>
      </w:pPr>
      <w:r>
        <w:rPr>
          <w:rFonts w:ascii="Palatino Linotype" w:hAnsi="Palatino Linotype" w:cs="Arial"/>
          <w:i/>
          <w:sz w:val="22"/>
          <w:szCs w:val="22"/>
        </w:rPr>
        <w:t>Amparo en revisión 2022/61. José García Florín (Menor). 9 de octubre de 1961. Cinco votos. Ponente: José Rivera Pérez Campos.” (Sic)</w:t>
      </w:r>
    </w:p>
    <w:p w:rsidR="00A30287" w:rsidRDefault="00A30287" w:rsidP="00A30287">
      <w:pPr>
        <w:pStyle w:val="Sinespaciado"/>
        <w:spacing w:before="120" w:after="120" w:line="360" w:lineRule="auto"/>
        <w:contextualSpacing/>
        <w:jc w:val="both"/>
        <w:rPr>
          <w:rFonts w:ascii="Palatino Linotype" w:hAnsi="Palatino Linotype" w:cs="Arial"/>
        </w:rPr>
      </w:pPr>
    </w:p>
    <w:p w:rsidR="00426475" w:rsidRDefault="00A30287" w:rsidP="00944F29">
      <w:pPr>
        <w:pStyle w:val="Sinespaciado"/>
        <w:spacing w:before="120" w:after="120" w:line="360" w:lineRule="auto"/>
        <w:contextualSpacing/>
        <w:jc w:val="both"/>
        <w:rPr>
          <w:rFonts w:ascii="Palatino Linotype" w:hAnsi="Palatino Linotype"/>
        </w:rPr>
      </w:pPr>
      <w:r>
        <w:rPr>
          <w:rFonts w:ascii="Palatino Linotype" w:eastAsia="Palatino Linotype" w:hAnsi="Palatino Linotype" w:cs="Palatino Linotype"/>
        </w:rPr>
        <w:t xml:space="preserve">Además, debe decirse que esté </w:t>
      </w:r>
      <w:r w:rsidR="00AC6C9C">
        <w:rPr>
          <w:rFonts w:ascii="Palatino Linotype" w:hAnsi="Palatino Linotype"/>
        </w:rPr>
        <w:t>Organismo</w:t>
      </w:r>
      <w:r>
        <w:rPr>
          <w:rFonts w:ascii="Palatino Linotype" w:hAnsi="Palatino Linotype"/>
        </w:rPr>
        <w:t xml:space="preserve"> Garante estima conveniente señalar que no está facultado para manifestarse sobre la veracidad de la información proporcionada, ya que no existe precepto legal alguno en la Ley de la Materia que permita, vía recurso de revi</w:t>
      </w:r>
      <w:r w:rsidR="00944F29">
        <w:rPr>
          <w:rFonts w:ascii="Palatino Linotype" w:hAnsi="Palatino Linotype"/>
        </w:rPr>
        <w:t xml:space="preserve">sión, se pronuncie al respecto, en términos del </w:t>
      </w:r>
      <w:r>
        <w:rPr>
          <w:rFonts w:ascii="Palatino Linotype" w:hAnsi="Palatino Linotype"/>
        </w:rPr>
        <w:t xml:space="preserve">31-10 emitido por el entonces Instituto Federal de Accesos a la Información y Protección de Datos, </w:t>
      </w:r>
      <w:r w:rsidR="00944F29">
        <w:rPr>
          <w:rFonts w:ascii="Palatino Linotype" w:hAnsi="Palatino Linotype"/>
        </w:rPr>
        <w:t xml:space="preserve">anteriormente citado. </w:t>
      </w:r>
    </w:p>
    <w:p w:rsidR="00944F29" w:rsidRDefault="00944F29" w:rsidP="00944F29">
      <w:pPr>
        <w:pStyle w:val="Sinespaciado"/>
        <w:spacing w:before="120" w:after="120" w:line="360" w:lineRule="auto"/>
        <w:contextualSpacing/>
        <w:jc w:val="both"/>
        <w:rPr>
          <w:rFonts w:ascii="Palatino Linotype" w:eastAsia="Palatino Linotype" w:hAnsi="Palatino Linotype" w:cs="Palatino Linotype"/>
        </w:rPr>
      </w:pPr>
    </w:p>
    <w:p w:rsidR="00A30287" w:rsidRDefault="00A3028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sobre el punto “4” descrito en la página 15</w:t>
      </w:r>
      <w:r w:rsidR="00064A04">
        <w:rPr>
          <w:rFonts w:ascii="Palatino Linotype" w:eastAsia="Palatino Linotype" w:hAnsi="Palatino Linotype" w:cs="Palatino Linotype"/>
        </w:rPr>
        <w:t xml:space="preserve"> del presente considerando, sobre:</w:t>
      </w:r>
    </w:p>
    <w:p w:rsidR="00064A04" w:rsidRPr="00064A04" w:rsidRDefault="00064A04" w:rsidP="00064A04">
      <w:pPr>
        <w:pStyle w:val="Prrafodelista"/>
        <w:numPr>
          <w:ilvl w:val="0"/>
          <w:numId w:val="10"/>
        </w:numPr>
        <w:spacing w:before="240" w:after="240" w:line="360" w:lineRule="auto"/>
        <w:jc w:val="both"/>
        <w:rPr>
          <w:rFonts w:ascii="Palatino Linotype" w:eastAsia="Palatino Linotype" w:hAnsi="Palatino Linotype" w:cs="Palatino Linotype"/>
        </w:rPr>
      </w:pPr>
      <w:r w:rsidRPr="00064A04">
        <w:rPr>
          <w:rFonts w:ascii="Palatino Linotype" w:eastAsia="Palatino Linotype" w:hAnsi="Palatino Linotype" w:cs="Palatino Linotype"/>
        </w:rPr>
        <w:t xml:space="preserve">Facturas pagadas por concepto del bando municipal 2022. </w:t>
      </w:r>
    </w:p>
    <w:p w:rsidR="00064A04" w:rsidRDefault="00064A04" w:rsidP="00064A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sidRPr="007E48D6">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Titular Honorario de la Unidad de Transparencia, con base a la información proporcionada por el Tesorero Municipal de Tenango del Aire, señaló que el municipio actualmente está trabajando con pendientes de los meses que han transcurrido en este año debido a tanta carga de trabajo, pues se hizo cambio de administración considerando que no se tenía presupuesto asignado para el mes correspondiente; sin embargo, dicho pronunciamiento se considera que no es un obstáculo para haber generado la información correspondientes a los gastos generados o realizados por la realización del bando municipal 2022 de Tenango del Aire. </w:t>
      </w:r>
    </w:p>
    <w:p w:rsidR="008E1D85" w:rsidRPr="00F820D1" w:rsidRDefault="009F35B3" w:rsidP="008E1D85">
      <w:pPr>
        <w:pStyle w:val="paragraph"/>
        <w:spacing w:before="0" w:beforeAutospacing="0" w:after="0" w:afterAutospacing="0" w:line="360" w:lineRule="auto"/>
        <w:jc w:val="both"/>
        <w:textAlignment w:val="baseline"/>
        <w:rPr>
          <w:rFonts w:ascii="Palatino Linotype" w:hAnsi="Palatino Linotype" w:cs="Arial"/>
          <w:color w:val="000000" w:themeColor="text1"/>
        </w:rPr>
      </w:pPr>
      <w:r>
        <w:rPr>
          <w:rFonts w:ascii="Palatino Linotype" w:hAnsi="Palatino Linotype" w:cs="Arial"/>
          <w:color w:val="000000" w:themeColor="text1"/>
          <w:lang w:val="es-ES"/>
        </w:rPr>
        <w:lastRenderedPageBreak/>
        <w:t>Bajo esa óptica, e</w:t>
      </w:r>
      <w:r w:rsidR="008E1D85" w:rsidRPr="00F820D1">
        <w:rPr>
          <w:rFonts w:ascii="Palatino Linotype" w:hAnsi="Palatino Linotype" w:cs="Arial"/>
          <w:color w:val="000000" w:themeColor="text1"/>
        </w:rPr>
        <w:t>s conveniente citar los artículos 31, fracción XVIII y 95, fracciones I y IV de la Ley Orgánica Municipal del Estado de México, que establecen:</w:t>
      </w:r>
    </w:p>
    <w:p w:rsidR="008E1D85" w:rsidRPr="00F820D1" w:rsidRDefault="008E1D85" w:rsidP="008E1D85">
      <w:pPr>
        <w:ind w:left="851" w:right="901"/>
        <w:jc w:val="both"/>
        <w:rPr>
          <w:rFonts w:ascii="Palatino Linotype" w:hAnsi="Palatino Linotype" w:cs="Arial"/>
          <w:i/>
          <w:sz w:val="22"/>
          <w:szCs w:val="22"/>
          <w:lang w:eastAsia="es-MX"/>
        </w:rPr>
      </w:pPr>
    </w:p>
    <w:p w:rsidR="008E1D85" w:rsidRPr="00F820D1" w:rsidRDefault="008E1D85" w:rsidP="008E1D85">
      <w:pPr>
        <w:ind w:left="851" w:right="901"/>
        <w:jc w:val="both"/>
        <w:rPr>
          <w:rFonts w:ascii="Palatino Linotype" w:hAnsi="Palatino Linotype" w:cs="Arial"/>
          <w:i/>
          <w:sz w:val="22"/>
          <w:szCs w:val="22"/>
          <w:lang w:eastAsia="es-MX"/>
        </w:rPr>
      </w:pPr>
      <w:r w:rsidRPr="00F820D1">
        <w:rPr>
          <w:rFonts w:ascii="Palatino Linotype" w:hAnsi="Palatino Linotype" w:cs="Arial"/>
          <w:i/>
          <w:sz w:val="22"/>
          <w:szCs w:val="22"/>
          <w:lang w:eastAsia="es-MX"/>
        </w:rPr>
        <w:t>“</w:t>
      </w:r>
      <w:r w:rsidRPr="00F820D1">
        <w:rPr>
          <w:rFonts w:ascii="Palatino Linotype" w:hAnsi="Palatino Linotype" w:cs="Arial"/>
          <w:b/>
          <w:i/>
          <w:sz w:val="22"/>
          <w:szCs w:val="22"/>
          <w:lang w:eastAsia="es-MX"/>
        </w:rPr>
        <w:t>Artículo 31.-</w:t>
      </w:r>
      <w:r w:rsidRPr="00F820D1">
        <w:rPr>
          <w:rFonts w:ascii="Palatino Linotype" w:hAnsi="Palatino Linotype" w:cs="Arial"/>
          <w:i/>
          <w:sz w:val="22"/>
          <w:szCs w:val="22"/>
          <w:lang w:eastAsia="es-MX"/>
        </w:rPr>
        <w:t xml:space="preserve"> Son atribuciones de los ayuntamientos:</w:t>
      </w:r>
    </w:p>
    <w:p w:rsidR="008E1D85" w:rsidRPr="00F820D1" w:rsidRDefault="008E1D85" w:rsidP="008E1D85">
      <w:pPr>
        <w:ind w:left="851" w:right="901"/>
        <w:jc w:val="both"/>
        <w:rPr>
          <w:rFonts w:ascii="Palatino Linotype" w:hAnsi="Palatino Linotype" w:cs="Arial"/>
          <w:i/>
          <w:sz w:val="22"/>
          <w:szCs w:val="22"/>
          <w:lang w:eastAsia="es-MX"/>
        </w:rPr>
      </w:pPr>
      <w:r w:rsidRPr="00F820D1">
        <w:rPr>
          <w:rFonts w:ascii="Palatino Linotype" w:hAnsi="Palatino Linotype" w:cs="Arial"/>
          <w:i/>
          <w:sz w:val="22"/>
          <w:szCs w:val="22"/>
          <w:lang w:eastAsia="es-MX"/>
        </w:rPr>
        <w:t>…</w:t>
      </w:r>
    </w:p>
    <w:p w:rsidR="008E1D85" w:rsidRPr="00F820D1" w:rsidRDefault="008E1D85" w:rsidP="008E1D85">
      <w:pPr>
        <w:ind w:left="851" w:right="901"/>
        <w:jc w:val="both"/>
        <w:rPr>
          <w:rFonts w:ascii="Palatino Linotype" w:hAnsi="Palatino Linotype" w:cs="Arial"/>
          <w:i/>
          <w:sz w:val="22"/>
          <w:szCs w:val="22"/>
          <w:lang w:eastAsia="es-MX"/>
        </w:rPr>
      </w:pPr>
      <w:r w:rsidRPr="00F820D1">
        <w:rPr>
          <w:rFonts w:ascii="Palatino Linotype" w:hAnsi="Palatino Linotype" w:cs="Arial"/>
          <w:b/>
          <w:i/>
          <w:sz w:val="22"/>
          <w:szCs w:val="22"/>
          <w:lang w:eastAsia="es-MX"/>
        </w:rPr>
        <w:t>XVIII.</w:t>
      </w:r>
      <w:r w:rsidRPr="00F820D1">
        <w:rPr>
          <w:rFonts w:ascii="Palatino Linotype" w:hAnsi="Palatino Linotype" w:cs="Arial"/>
          <w:i/>
          <w:sz w:val="22"/>
          <w:szCs w:val="22"/>
          <w:lang w:eastAsia="es-MX"/>
        </w:rPr>
        <w:t xml:space="preserve"> </w:t>
      </w:r>
      <w:r w:rsidRPr="00F820D1">
        <w:rPr>
          <w:rFonts w:ascii="Palatino Linotype" w:hAnsi="Palatino Linotype" w:cs="Arial"/>
          <w:b/>
          <w:i/>
          <w:sz w:val="22"/>
          <w:szCs w:val="22"/>
          <w:lang w:eastAsia="es-MX"/>
        </w:rPr>
        <w:t>Administrar su hacienda</w:t>
      </w:r>
      <w:r w:rsidRPr="00F820D1">
        <w:rPr>
          <w:rFonts w:ascii="Palatino Linotype" w:hAnsi="Palatino Linotype" w:cs="Arial"/>
          <w:i/>
          <w:sz w:val="22"/>
          <w:szCs w:val="22"/>
          <w:lang w:eastAsia="es-MX"/>
        </w:rPr>
        <w:t xml:space="preserve"> en términos de ley, y controlar a través del presidente y síndico la aplicación del presupuesto de egresos del municipio;</w:t>
      </w:r>
    </w:p>
    <w:p w:rsidR="008E1D85" w:rsidRPr="00F820D1" w:rsidRDefault="008E1D85" w:rsidP="008E1D85">
      <w:pPr>
        <w:ind w:left="851" w:right="901"/>
        <w:jc w:val="both"/>
        <w:rPr>
          <w:rFonts w:ascii="Palatino Linotype" w:hAnsi="Palatino Linotype" w:cs="Arial"/>
          <w:i/>
          <w:sz w:val="22"/>
          <w:szCs w:val="22"/>
          <w:lang w:eastAsia="es-MX"/>
        </w:rPr>
      </w:pPr>
      <w:r w:rsidRPr="00F820D1">
        <w:rPr>
          <w:rFonts w:ascii="Palatino Linotype" w:hAnsi="Palatino Linotype" w:cs="Arial"/>
          <w:i/>
          <w:sz w:val="22"/>
          <w:szCs w:val="22"/>
          <w:lang w:eastAsia="es-MX"/>
        </w:rPr>
        <w:t>…</w:t>
      </w:r>
    </w:p>
    <w:p w:rsidR="008E1D85" w:rsidRPr="00F820D1" w:rsidRDefault="008E1D85" w:rsidP="008E1D85">
      <w:pPr>
        <w:ind w:left="851" w:right="901"/>
        <w:jc w:val="both"/>
        <w:rPr>
          <w:rFonts w:ascii="Palatino Linotype" w:hAnsi="Palatino Linotype" w:cs="Arial"/>
          <w:i/>
          <w:sz w:val="22"/>
          <w:szCs w:val="22"/>
          <w:lang w:eastAsia="es-MX"/>
        </w:rPr>
      </w:pPr>
      <w:r w:rsidRPr="00F820D1">
        <w:rPr>
          <w:rFonts w:ascii="Palatino Linotype" w:hAnsi="Palatino Linotype" w:cs="Arial"/>
          <w:b/>
          <w:i/>
          <w:sz w:val="22"/>
          <w:szCs w:val="22"/>
          <w:lang w:eastAsia="es-MX"/>
        </w:rPr>
        <w:t>Artículo 95.-</w:t>
      </w:r>
      <w:r w:rsidRPr="00F820D1">
        <w:rPr>
          <w:rFonts w:ascii="Palatino Linotype" w:hAnsi="Palatino Linotype" w:cs="Arial"/>
          <w:i/>
          <w:sz w:val="22"/>
          <w:szCs w:val="22"/>
          <w:lang w:eastAsia="es-MX"/>
        </w:rPr>
        <w:t xml:space="preserve"> Son atribuciones del tesorero municipal:</w:t>
      </w:r>
    </w:p>
    <w:p w:rsidR="008E1D85" w:rsidRPr="00F820D1" w:rsidRDefault="008E1D85" w:rsidP="008E1D85">
      <w:pPr>
        <w:ind w:left="851" w:right="901"/>
        <w:jc w:val="both"/>
        <w:rPr>
          <w:rFonts w:ascii="Palatino Linotype" w:hAnsi="Palatino Linotype" w:cs="Arial"/>
          <w:i/>
          <w:sz w:val="22"/>
          <w:szCs w:val="22"/>
          <w:lang w:eastAsia="es-MX"/>
        </w:rPr>
      </w:pPr>
      <w:r w:rsidRPr="00F820D1">
        <w:rPr>
          <w:rFonts w:ascii="Palatino Linotype" w:hAnsi="Palatino Linotype" w:cs="Arial"/>
          <w:b/>
          <w:i/>
          <w:sz w:val="22"/>
          <w:szCs w:val="22"/>
          <w:lang w:eastAsia="es-MX"/>
        </w:rPr>
        <w:t>I.</w:t>
      </w:r>
      <w:r w:rsidRPr="00F820D1">
        <w:rPr>
          <w:rFonts w:ascii="Palatino Linotype" w:hAnsi="Palatino Linotype" w:cs="Arial"/>
          <w:i/>
          <w:sz w:val="22"/>
          <w:szCs w:val="22"/>
          <w:lang w:eastAsia="es-MX"/>
        </w:rPr>
        <w:t xml:space="preserve"> </w:t>
      </w:r>
      <w:r w:rsidRPr="00F820D1">
        <w:rPr>
          <w:rFonts w:ascii="Palatino Linotype" w:hAnsi="Palatino Linotype" w:cs="Arial"/>
          <w:b/>
          <w:i/>
          <w:sz w:val="22"/>
          <w:szCs w:val="22"/>
          <w:lang w:eastAsia="es-MX"/>
        </w:rPr>
        <w:t>Administrar la hacienda pública municipal</w:t>
      </w:r>
      <w:r w:rsidRPr="00F820D1">
        <w:rPr>
          <w:rFonts w:ascii="Palatino Linotype" w:hAnsi="Palatino Linotype" w:cs="Arial"/>
          <w:i/>
          <w:sz w:val="22"/>
          <w:szCs w:val="22"/>
          <w:lang w:eastAsia="es-MX"/>
        </w:rPr>
        <w:t>, de conformidad con las disposiciones legales aplicables;</w:t>
      </w:r>
    </w:p>
    <w:p w:rsidR="008E1D85" w:rsidRPr="00F820D1" w:rsidRDefault="008E1D85" w:rsidP="008E1D85">
      <w:pPr>
        <w:ind w:left="851" w:right="901"/>
        <w:jc w:val="both"/>
        <w:rPr>
          <w:rFonts w:ascii="Palatino Linotype" w:hAnsi="Palatino Linotype" w:cs="Arial"/>
          <w:i/>
          <w:sz w:val="22"/>
          <w:szCs w:val="22"/>
          <w:lang w:eastAsia="es-MX"/>
        </w:rPr>
      </w:pPr>
      <w:r w:rsidRPr="00F820D1">
        <w:rPr>
          <w:rFonts w:ascii="Palatino Linotype" w:hAnsi="Palatino Linotype" w:cs="Arial"/>
          <w:i/>
          <w:sz w:val="22"/>
          <w:szCs w:val="22"/>
          <w:lang w:eastAsia="es-MX"/>
        </w:rPr>
        <w:t>…</w:t>
      </w:r>
    </w:p>
    <w:p w:rsidR="008E1D85" w:rsidRPr="00F820D1" w:rsidRDefault="008E1D85" w:rsidP="008E1D85">
      <w:pPr>
        <w:ind w:left="851" w:right="901"/>
        <w:jc w:val="both"/>
        <w:rPr>
          <w:rFonts w:ascii="Palatino Linotype" w:hAnsi="Palatino Linotype" w:cs="Arial"/>
          <w:i/>
          <w:sz w:val="22"/>
        </w:rPr>
      </w:pPr>
      <w:r w:rsidRPr="00F820D1">
        <w:rPr>
          <w:rFonts w:ascii="Palatino Linotype" w:hAnsi="Palatino Linotype" w:cs="Arial"/>
          <w:b/>
          <w:i/>
          <w:sz w:val="22"/>
          <w:szCs w:val="22"/>
          <w:lang w:eastAsia="es-MX"/>
        </w:rPr>
        <w:t>IV.</w:t>
      </w:r>
      <w:r w:rsidRPr="00F820D1">
        <w:rPr>
          <w:rFonts w:ascii="Palatino Linotype" w:hAnsi="Palatino Linotype" w:cs="Arial"/>
          <w:i/>
          <w:sz w:val="22"/>
          <w:szCs w:val="22"/>
          <w:lang w:eastAsia="es-MX"/>
        </w:rPr>
        <w:t xml:space="preserve"> </w:t>
      </w:r>
      <w:r w:rsidRPr="00F820D1">
        <w:rPr>
          <w:rFonts w:ascii="Palatino Linotype" w:hAnsi="Palatino Linotype" w:cs="Arial"/>
          <w:b/>
          <w:i/>
          <w:sz w:val="22"/>
          <w:szCs w:val="22"/>
          <w:lang w:eastAsia="es-MX"/>
        </w:rPr>
        <w:t>Llevar los registros contables, financieros y administrativos</w:t>
      </w:r>
      <w:r w:rsidRPr="00F820D1">
        <w:rPr>
          <w:rFonts w:ascii="Palatino Linotype" w:hAnsi="Palatino Linotype" w:cs="Arial"/>
          <w:i/>
          <w:sz w:val="22"/>
          <w:szCs w:val="22"/>
          <w:lang w:eastAsia="es-MX"/>
        </w:rPr>
        <w:t xml:space="preserve"> de los ingresos, </w:t>
      </w:r>
      <w:r w:rsidRPr="00F820D1">
        <w:rPr>
          <w:rFonts w:ascii="Palatino Linotype" w:hAnsi="Palatino Linotype" w:cs="Arial"/>
          <w:b/>
          <w:i/>
          <w:sz w:val="22"/>
          <w:szCs w:val="22"/>
          <w:lang w:eastAsia="es-MX"/>
        </w:rPr>
        <w:t>egresos</w:t>
      </w:r>
      <w:r w:rsidRPr="00F820D1">
        <w:rPr>
          <w:rFonts w:ascii="Palatino Linotype" w:hAnsi="Palatino Linotype" w:cs="Arial"/>
          <w:i/>
          <w:sz w:val="22"/>
          <w:szCs w:val="22"/>
          <w:lang w:eastAsia="es-MX"/>
        </w:rPr>
        <w:t>, e inventarios;</w:t>
      </w:r>
      <w:r w:rsidRPr="00F820D1">
        <w:rPr>
          <w:rFonts w:ascii="Palatino Linotype" w:hAnsi="Palatino Linotype" w:cs="Arial"/>
          <w:i/>
          <w:sz w:val="22"/>
        </w:rPr>
        <w:t>”</w:t>
      </w:r>
    </w:p>
    <w:p w:rsidR="008E1D85" w:rsidRPr="00F820D1" w:rsidRDefault="008E1D85" w:rsidP="008E1D85">
      <w:pPr>
        <w:ind w:left="851" w:right="901"/>
        <w:jc w:val="both"/>
        <w:rPr>
          <w:rFonts w:ascii="Palatino Linotype" w:hAnsi="Palatino Linotype" w:cs="Arial"/>
          <w:i/>
          <w:sz w:val="22"/>
        </w:rPr>
      </w:pPr>
      <w:r w:rsidRPr="00F820D1">
        <w:rPr>
          <w:rFonts w:ascii="Palatino Linotype" w:hAnsi="Palatino Linotype" w:cs="Arial"/>
          <w:i/>
          <w:sz w:val="22"/>
        </w:rPr>
        <w:t>(Énfasis añadido)</w:t>
      </w:r>
    </w:p>
    <w:p w:rsidR="008E1D85" w:rsidRPr="00F820D1" w:rsidRDefault="008E1D85" w:rsidP="008E1D85">
      <w:pPr>
        <w:spacing w:line="360" w:lineRule="auto"/>
        <w:jc w:val="both"/>
        <w:rPr>
          <w:rFonts w:ascii="Palatino Linotype" w:hAnsi="Palatino Linotype" w:cs="Arial"/>
          <w:color w:val="000000" w:themeColor="text1"/>
          <w:lang w:eastAsia="es-MX"/>
        </w:rPr>
      </w:pPr>
      <w:r w:rsidRPr="00F820D1">
        <w:rPr>
          <w:rFonts w:ascii="Palatino Linotype" w:hAnsi="Palatino Linotype" w:cs="Arial"/>
          <w:color w:val="000000" w:themeColor="text1"/>
          <w:lang w:eastAsia="es-MX"/>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8E1D85" w:rsidRPr="00CF44B1" w:rsidRDefault="008E1D85" w:rsidP="008E1D85">
      <w:pPr>
        <w:widowControl w:val="0"/>
        <w:autoSpaceDE w:val="0"/>
        <w:autoSpaceDN w:val="0"/>
        <w:adjustRightInd w:val="0"/>
        <w:spacing w:before="240" w:after="240" w:line="360" w:lineRule="auto"/>
        <w:jc w:val="both"/>
        <w:rPr>
          <w:rFonts w:ascii="Palatino Linotype" w:hAnsi="Palatino Linotype" w:cs="Arial"/>
        </w:rPr>
      </w:pPr>
      <w:r w:rsidRPr="00CF44B1">
        <w:rPr>
          <w:rFonts w:ascii="Palatino Linotype" w:hAnsi="Palatino Linotype" w:cs="Arial"/>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rsidR="008E1D85" w:rsidRPr="00CF44B1" w:rsidRDefault="008E1D85" w:rsidP="008E1D85">
      <w:pPr>
        <w:spacing w:before="120" w:after="120"/>
        <w:ind w:left="851" w:right="850"/>
        <w:jc w:val="both"/>
        <w:rPr>
          <w:rFonts w:ascii="Palatino Linotype" w:hAnsi="Palatino Linotype"/>
          <w:i/>
          <w:sz w:val="22"/>
          <w:szCs w:val="22"/>
        </w:rPr>
      </w:pPr>
      <w:r w:rsidRPr="00CF44B1">
        <w:rPr>
          <w:rFonts w:ascii="Palatino Linotype" w:hAnsi="Palatino Linotype" w:cs="Arial"/>
          <w:bCs/>
          <w:i/>
          <w:color w:val="000000"/>
          <w:sz w:val="22"/>
          <w:szCs w:val="22"/>
        </w:rPr>
        <w:t>“</w:t>
      </w:r>
      <w:r w:rsidRPr="00CF44B1">
        <w:rPr>
          <w:rFonts w:ascii="Palatino Linotype" w:hAnsi="Palatino Linotype"/>
          <w:b/>
          <w:i/>
          <w:sz w:val="22"/>
          <w:szCs w:val="22"/>
        </w:rPr>
        <w:t>Artículo 342.-</w:t>
      </w:r>
      <w:r w:rsidRPr="00CF44B1">
        <w:rPr>
          <w:rFonts w:ascii="Palatino Linotype" w:hAnsi="Palatino Linotype"/>
          <w:i/>
          <w:sz w:val="22"/>
          <w:szCs w:val="22"/>
        </w:rPr>
        <w:t xml:space="preserve"> El registro contable del efecto patrimonial y presupuestal de las operaciones financieras, se realizará conforme al sistema y a las disposiciones que se aprueben en materia de </w:t>
      </w:r>
      <w:r w:rsidRPr="00CF44B1">
        <w:rPr>
          <w:rFonts w:ascii="Palatino Linotype" w:hAnsi="Palatino Linotype" w:cs="Arial"/>
          <w:i/>
          <w:color w:val="000000"/>
          <w:sz w:val="22"/>
          <w:szCs w:val="22"/>
        </w:rPr>
        <w:t>planeación</w:t>
      </w:r>
      <w:r w:rsidRPr="00CF44B1">
        <w:rPr>
          <w:rFonts w:ascii="Palatino Linotype" w:hAnsi="Palatino Linotype"/>
          <w:i/>
          <w:sz w:val="22"/>
          <w:szCs w:val="22"/>
        </w:rPr>
        <w:t xml:space="preserve">, programación, presupuestación, evaluación y </w:t>
      </w:r>
      <w:r w:rsidRPr="00CF44B1">
        <w:rPr>
          <w:rFonts w:ascii="Palatino Linotype" w:hAnsi="Palatino Linotype" w:cs="Arial"/>
          <w:i/>
          <w:color w:val="000000"/>
          <w:sz w:val="22"/>
          <w:szCs w:val="22"/>
        </w:rPr>
        <w:t>contabilidad</w:t>
      </w:r>
      <w:r w:rsidRPr="00CF44B1">
        <w:rPr>
          <w:rFonts w:ascii="Palatino Linotype" w:hAnsi="Palatino Linotype"/>
          <w:i/>
          <w:sz w:val="22"/>
          <w:szCs w:val="22"/>
        </w:rPr>
        <w:t xml:space="preserve"> gubernamental. </w:t>
      </w:r>
    </w:p>
    <w:p w:rsidR="008E1D85" w:rsidRPr="00CF44B1" w:rsidRDefault="008E1D85" w:rsidP="008E1D85">
      <w:pPr>
        <w:spacing w:before="120" w:after="120"/>
        <w:ind w:left="851" w:right="850"/>
        <w:jc w:val="both"/>
        <w:rPr>
          <w:rFonts w:ascii="Palatino Linotype" w:hAnsi="Palatino Linotype"/>
          <w:b/>
          <w:i/>
          <w:sz w:val="22"/>
          <w:szCs w:val="22"/>
        </w:rPr>
      </w:pPr>
      <w:r w:rsidRPr="00CF44B1">
        <w:rPr>
          <w:rFonts w:ascii="Palatino Linotype" w:hAnsi="Palatino Linotype" w:cs="Arial"/>
          <w:b/>
          <w:bCs/>
          <w:i/>
          <w:color w:val="000000"/>
          <w:sz w:val="22"/>
          <w:szCs w:val="22"/>
        </w:rPr>
        <w:t>…</w:t>
      </w:r>
    </w:p>
    <w:p w:rsidR="008E1D85" w:rsidRPr="00CF44B1" w:rsidRDefault="008E1D85" w:rsidP="008E1D85">
      <w:pPr>
        <w:spacing w:before="120" w:after="120"/>
        <w:ind w:left="851" w:right="850"/>
        <w:jc w:val="both"/>
        <w:rPr>
          <w:rFonts w:ascii="Palatino Linotype" w:hAnsi="Palatino Linotype"/>
          <w:i/>
          <w:sz w:val="22"/>
          <w:szCs w:val="22"/>
        </w:rPr>
      </w:pPr>
      <w:r w:rsidRPr="00CF44B1">
        <w:rPr>
          <w:rFonts w:ascii="Palatino Linotype" w:hAnsi="Palatino Linotype"/>
          <w:b/>
          <w:i/>
          <w:sz w:val="22"/>
          <w:szCs w:val="22"/>
        </w:rPr>
        <w:lastRenderedPageBreak/>
        <w:t>Artículo 343.-</w:t>
      </w:r>
      <w:r w:rsidRPr="00CF44B1">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8E1D85" w:rsidRPr="00CF44B1" w:rsidRDefault="008E1D85" w:rsidP="008E1D85">
      <w:pPr>
        <w:spacing w:before="120" w:after="120"/>
        <w:ind w:left="851" w:right="850"/>
        <w:jc w:val="both"/>
        <w:rPr>
          <w:rFonts w:ascii="Palatino Linotype" w:hAnsi="Palatino Linotype"/>
          <w:i/>
          <w:sz w:val="22"/>
          <w:szCs w:val="22"/>
        </w:rPr>
      </w:pPr>
      <w:r w:rsidRPr="00CF44B1">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8E1D85" w:rsidRPr="00CF44B1" w:rsidRDefault="008E1D85" w:rsidP="008E1D85">
      <w:pPr>
        <w:spacing w:before="120" w:after="120"/>
        <w:ind w:left="851" w:right="850"/>
        <w:jc w:val="both"/>
        <w:rPr>
          <w:rFonts w:ascii="Palatino Linotype" w:hAnsi="Palatino Linotype"/>
          <w:i/>
          <w:sz w:val="22"/>
          <w:szCs w:val="22"/>
        </w:rPr>
      </w:pPr>
      <w:r w:rsidRPr="00CF44B1">
        <w:rPr>
          <w:rFonts w:ascii="Palatino Linotype" w:hAnsi="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CF44B1">
        <w:rPr>
          <w:rFonts w:ascii="Palatino Linotype" w:hAnsi="Palatino Linotype"/>
          <w:i/>
          <w:sz w:val="22"/>
          <w:szCs w:val="22"/>
        </w:rPr>
        <w:t xml:space="preserve">en el caso de los Municipios se hará por la Tesorería. </w:t>
      </w:r>
    </w:p>
    <w:p w:rsidR="008E1D85" w:rsidRPr="00CF44B1" w:rsidRDefault="008E1D85" w:rsidP="008E1D85">
      <w:pPr>
        <w:autoSpaceDE w:val="0"/>
        <w:autoSpaceDN w:val="0"/>
        <w:adjustRightInd w:val="0"/>
        <w:spacing w:before="120" w:after="120"/>
        <w:ind w:left="851" w:right="51"/>
        <w:jc w:val="both"/>
        <w:rPr>
          <w:rFonts w:ascii="Palatino Linotype" w:hAnsi="Palatino Linotype"/>
          <w:i/>
          <w:sz w:val="22"/>
          <w:szCs w:val="22"/>
        </w:rPr>
      </w:pPr>
      <w:r w:rsidRPr="00CF44B1">
        <w:rPr>
          <w:rFonts w:ascii="Palatino Linotype" w:hAnsi="Palatino Linotype"/>
          <w:i/>
          <w:sz w:val="22"/>
          <w:szCs w:val="22"/>
        </w:rPr>
        <w:t xml:space="preserve">Derogado. </w:t>
      </w:r>
    </w:p>
    <w:p w:rsidR="008E1D85" w:rsidRPr="00CF44B1" w:rsidRDefault="008E1D85" w:rsidP="008E1D85">
      <w:pPr>
        <w:spacing w:before="120" w:after="120"/>
        <w:ind w:left="851" w:right="850"/>
        <w:jc w:val="both"/>
        <w:rPr>
          <w:rFonts w:ascii="Palatino Linotype" w:hAnsi="Palatino Linotype"/>
          <w:i/>
          <w:sz w:val="22"/>
          <w:szCs w:val="22"/>
        </w:rPr>
      </w:pPr>
      <w:r w:rsidRPr="00CF44B1">
        <w:rPr>
          <w:rFonts w:ascii="Palatino Linotype" w:hAnsi="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CF44B1">
        <w:rPr>
          <w:rFonts w:ascii="Palatino Linotype" w:hAnsi="Palatino Linotype"/>
          <w:i/>
          <w:sz w:val="22"/>
          <w:szCs w:val="22"/>
        </w:rPr>
        <w:t xml:space="preserve"> a partir del ejercicio presupuestal siguiente al que corresponda, en el caso de los municipios se hará por la Tesorería. </w:t>
      </w:r>
    </w:p>
    <w:p w:rsidR="008E1D85" w:rsidRPr="00CF44B1" w:rsidRDefault="008E1D85" w:rsidP="008E1D85">
      <w:pPr>
        <w:autoSpaceDE w:val="0"/>
        <w:autoSpaceDN w:val="0"/>
        <w:adjustRightInd w:val="0"/>
        <w:spacing w:before="120" w:after="120"/>
        <w:ind w:left="851" w:right="51"/>
        <w:jc w:val="both"/>
        <w:rPr>
          <w:rFonts w:ascii="Palatino Linotype" w:hAnsi="Palatino Linotype"/>
          <w:i/>
          <w:sz w:val="22"/>
          <w:szCs w:val="22"/>
        </w:rPr>
      </w:pPr>
      <w:r w:rsidRPr="00CF44B1">
        <w:rPr>
          <w:rFonts w:ascii="Palatino Linotype" w:hAnsi="Palatino Linotype"/>
          <w:i/>
          <w:sz w:val="22"/>
          <w:szCs w:val="22"/>
        </w:rPr>
        <w:t>…</w:t>
      </w:r>
    </w:p>
    <w:p w:rsidR="008E1D85" w:rsidRPr="00CF44B1" w:rsidRDefault="008E1D85" w:rsidP="008E1D85">
      <w:pPr>
        <w:spacing w:before="120" w:after="120"/>
        <w:ind w:left="851" w:right="850"/>
        <w:jc w:val="both"/>
        <w:rPr>
          <w:rFonts w:ascii="Palatino Linotype" w:hAnsi="Palatino Linotype"/>
          <w:i/>
          <w:sz w:val="22"/>
          <w:szCs w:val="22"/>
        </w:rPr>
      </w:pPr>
      <w:r w:rsidRPr="00CF44B1">
        <w:rPr>
          <w:rFonts w:ascii="Palatino Linotype" w:hAnsi="Palatino Linotype"/>
          <w:b/>
          <w:i/>
          <w:sz w:val="22"/>
          <w:szCs w:val="22"/>
        </w:rPr>
        <w:t>Artículo 345.-</w:t>
      </w:r>
      <w:r w:rsidRPr="00CF44B1">
        <w:rPr>
          <w:rFonts w:ascii="Palatino Linotype" w:hAnsi="Palatino Linotype"/>
          <w:i/>
          <w:sz w:val="22"/>
          <w:szCs w:val="22"/>
        </w:rPr>
        <w:t xml:space="preserve"> </w:t>
      </w:r>
      <w:r w:rsidRPr="00CF44B1">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CF44B1">
        <w:rPr>
          <w:rFonts w:ascii="Palatino Linotype" w:hAnsi="Palatino Linotype"/>
          <w:i/>
          <w:sz w:val="22"/>
          <w:szCs w:val="22"/>
        </w:rPr>
        <w:t xml:space="preserve">, la remitirán en un plazo que no excederá de seis meses al Archivo Contable Gubernamental. </w:t>
      </w:r>
      <w:r w:rsidRPr="00CF44B1">
        <w:rPr>
          <w:rFonts w:ascii="Palatino Linotype" w:hAnsi="Palatino Linotype"/>
          <w:b/>
          <w:i/>
          <w:sz w:val="22"/>
          <w:szCs w:val="22"/>
        </w:rPr>
        <w:t>Tratándose de los comprobantes fiscales digitales, estos deberán estar agregados en forma electrónica en cada póliza de registro contable</w:t>
      </w:r>
      <w:r w:rsidRPr="00CF44B1">
        <w:rPr>
          <w:rFonts w:ascii="Palatino Linotype" w:hAnsi="Palatino Linotype"/>
          <w:i/>
          <w:sz w:val="22"/>
          <w:szCs w:val="22"/>
        </w:rPr>
        <w:t xml:space="preserve">. </w:t>
      </w:r>
    </w:p>
    <w:p w:rsidR="008E1D85" w:rsidRPr="00CF44B1" w:rsidRDefault="008E1D85" w:rsidP="008E1D85">
      <w:pPr>
        <w:spacing w:before="120" w:after="120"/>
        <w:ind w:left="851" w:right="850"/>
        <w:jc w:val="both"/>
        <w:rPr>
          <w:rFonts w:ascii="Palatino Linotype" w:hAnsi="Palatino Linotype" w:cs="Arial"/>
          <w:bCs/>
          <w:i/>
          <w:color w:val="000000"/>
          <w:sz w:val="22"/>
          <w:szCs w:val="22"/>
        </w:rPr>
      </w:pPr>
      <w:r w:rsidRPr="00CF44B1">
        <w:rPr>
          <w:rFonts w:ascii="Palatino Linotype" w:hAnsi="Palatino Linotype"/>
          <w:i/>
          <w:sz w:val="22"/>
          <w:szCs w:val="22"/>
        </w:rPr>
        <w:t>El plazo señalado en el párrafo anterior, empezará a contar a partir de la publicación en el Periódico Oficial, del decreto correspondiente.</w:t>
      </w:r>
      <w:r w:rsidRPr="00CF44B1">
        <w:rPr>
          <w:rFonts w:ascii="Palatino Linotype" w:hAnsi="Palatino Linotype" w:cs="Arial"/>
          <w:bCs/>
          <w:i/>
          <w:color w:val="000000"/>
          <w:sz w:val="22"/>
          <w:szCs w:val="22"/>
        </w:rPr>
        <w:t xml:space="preserve"> “</w:t>
      </w:r>
      <w:r w:rsidRPr="00CF44B1">
        <w:rPr>
          <w:rFonts w:ascii="Palatino Linotype" w:hAnsi="Palatino Linotype" w:cs="Arial"/>
          <w:i/>
          <w:sz w:val="22"/>
          <w:szCs w:val="22"/>
        </w:rPr>
        <w:t>(Sic)</w:t>
      </w:r>
      <w:r w:rsidRPr="00CF44B1">
        <w:rPr>
          <w:rFonts w:ascii="Palatino Linotype" w:hAnsi="Palatino Linotype" w:cs="Arial"/>
          <w:bCs/>
          <w:i/>
          <w:color w:val="000000"/>
          <w:sz w:val="22"/>
          <w:szCs w:val="22"/>
        </w:rPr>
        <w:t xml:space="preserve"> </w:t>
      </w:r>
    </w:p>
    <w:p w:rsidR="008E1D85" w:rsidRDefault="008E1D85" w:rsidP="008E1D85">
      <w:pPr>
        <w:spacing w:before="240" w:after="240" w:line="360" w:lineRule="auto"/>
        <w:jc w:val="both"/>
        <w:rPr>
          <w:rFonts w:ascii="Palatino Linotype" w:hAnsi="Palatino Linotype" w:cs="Arial"/>
          <w:bCs/>
          <w:color w:val="000000"/>
        </w:rPr>
      </w:pPr>
      <w:r w:rsidRPr="00CF44B1">
        <w:rPr>
          <w:rFonts w:ascii="Palatino Linotype" w:hAnsi="Palatino Linotype" w:cs="Arial"/>
        </w:rPr>
        <w:t>De una interpretación sistemática de los artículos transcritos, se desprende primeramente que el</w:t>
      </w:r>
      <w:r w:rsidRPr="00CF44B1">
        <w:rPr>
          <w:rFonts w:ascii="Palatino Linotype" w:hAnsi="Palatino Linotype" w:cs="Arial"/>
          <w:bCs/>
          <w:color w:val="000000"/>
        </w:rPr>
        <w:t xml:space="preserve"> registro contable del efecto patrimonial y presupuestal de las operaciones financieras se realizará conforme al sistema y a las disposiciones que se </w:t>
      </w:r>
      <w:r w:rsidRPr="00CF44B1">
        <w:rPr>
          <w:rFonts w:ascii="Palatino Linotype" w:hAnsi="Palatino Linotype" w:cs="Arial"/>
          <w:bCs/>
          <w:color w:val="000000"/>
        </w:rPr>
        <w:lastRenderedPageBreak/>
        <w:t>aprueben en materia de planeación, programación, presupuestación, evaluación y contabilidad gubernamental.</w:t>
      </w:r>
    </w:p>
    <w:p w:rsidR="009F35B3" w:rsidRPr="00CF44B1" w:rsidRDefault="009F35B3" w:rsidP="009F35B3">
      <w:pPr>
        <w:autoSpaceDE w:val="0"/>
        <w:autoSpaceDN w:val="0"/>
        <w:adjustRightInd w:val="0"/>
        <w:spacing w:before="240" w:after="240" w:line="360" w:lineRule="auto"/>
        <w:ind w:right="-232"/>
        <w:jc w:val="both"/>
        <w:rPr>
          <w:rFonts w:ascii="Palatino Linotype" w:hAnsi="Palatino Linotype"/>
        </w:rPr>
      </w:pPr>
      <w:r>
        <w:rPr>
          <w:rFonts w:ascii="Palatino Linotype" w:hAnsi="Palatino Linotype" w:cs="Arial"/>
        </w:rPr>
        <w:t>En ese sentido, debe decirse que</w:t>
      </w:r>
      <w:r w:rsidRPr="00CF44B1">
        <w:rPr>
          <w:rFonts w:ascii="Palatino Linotype" w:hAnsi="Palatino Linotype" w:cs="Arial"/>
        </w:rPr>
        <w:t xml:space="preserve"> las facturas emitidas en favor de los proveedores</w:t>
      </w:r>
      <w:r>
        <w:rPr>
          <w:rFonts w:ascii="Palatino Linotype" w:hAnsi="Palatino Linotype" w:cs="Arial"/>
        </w:rPr>
        <w:t>, contratistas o prestadores de servicios</w:t>
      </w:r>
      <w:r w:rsidRPr="00CF44B1">
        <w:rPr>
          <w:rFonts w:ascii="Palatino Linotype" w:hAnsi="Palatino Linotype" w:cs="Arial"/>
        </w:rPr>
        <w:t>, la cual se encuentra definida en e</w:t>
      </w:r>
      <w:r w:rsidRPr="00CF44B1">
        <w:rPr>
          <w:rFonts w:ascii="Palatino Linotype" w:hAnsi="Palatino Linotype"/>
        </w:rPr>
        <w:t xml:space="preserve">l Glosario de Términos Hacendarios que emite el Instituto Hacendario del Estado de México, </w:t>
      </w:r>
      <w:r>
        <w:rPr>
          <w:rFonts w:ascii="Palatino Linotype" w:hAnsi="Palatino Linotype"/>
        </w:rPr>
        <w:t>como</w:t>
      </w:r>
      <w:r w:rsidRPr="00CF44B1">
        <w:rPr>
          <w:rFonts w:ascii="Palatino Linotype" w:hAnsi="Palatino Linotype"/>
        </w:rPr>
        <w:t>:</w:t>
      </w:r>
    </w:p>
    <w:p w:rsidR="009F35B3" w:rsidRPr="00CF44B1" w:rsidRDefault="009F35B3" w:rsidP="009F35B3">
      <w:pPr>
        <w:autoSpaceDE w:val="0"/>
        <w:autoSpaceDN w:val="0"/>
        <w:adjustRightInd w:val="0"/>
        <w:spacing w:before="120" w:after="120"/>
        <w:ind w:left="851" w:right="902"/>
        <w:jc w:val="both"/>
        <w:rPr>
          <w:rFonts w:ascii="Palatino Linotype" w:hAnsi="Palatino Linotype" w:cs="Arial"/>
          <w:b/>
          <w:i/>
          <w:sz w:val="22"/>
          <w:szCs w:val="22"/>
        </w:rPr>
      </w:pPr>
      <w:r w:rsidRPr="00CF44B1">
        <w:rPr>
          <w:rFonts w:ascii="Palatino Linotype" w:hAnsi="Palatino Linotype" w:cs="Arial"/>
          <w:i/>
          <w:sz w:val="22"/>
          <w:szCs w:val="22"/>
        </w:rPr>
        <w:t>“</w:t>
      </w:r>
      <w:r w:rsidRPr="00CF44B1">
        <w:rPr>
          <w:rFonts w:ascii="Palatino Linotype" w:hAnsi="Palatino Linotype" w:cs="Arial"/>
          <w:b/>
          <w:i/>
          <w:sz w:val="22"/>
          <w:szCs w:val="22"/>
        </w:rPr>
        <w:t>FACTURA</w:t>
      </w:r>
    </w:p>
    <w:p w:rsidR="009F35B3" w:rsidRPr="00CF44B1" w:rsidRDefault="009F35B3" w:rsidP="009F35B3">
      <w:pPr>
        <w:autoSpaceDE w:val="0"/>
        <w:autoSpaceDN w:val="0"/>
        <w:adjustRightInd w:val="0"/>
        <w:spacing w:before="120" w:after="120"/>
        <w:ind w:left="851" w:right="902"/>
        <w:jc w:val="both"/>
        <w:rPr>
          <w:rFonts w:ascii="Palatino Linotype" w:hAnsi="Palatino Linotype" w:cs="Arial"/>
          <w:i/>
          <w:sz w:val="22"/>
          <w:szCs w:val="22"/>
        </w:rPr>
      </w:pPr>
      <w:r w:rsidRPr="00CF44B1">
        <w:rPr>
          <w:rFonts w:ascii="Palatino Linotype" w:hAnsi="Palatino Linotype" w:cs="Arial"/>
          <w:i/>
          <w:sz w:val="22"/>
          <w:szCs w:val="22"/>
        </w:rPr>
        <w:t>Es el documento fiscal que emite la persona física o moral para comprobar la venta o adquisición de un bien y/o servicio.” (Sic)</w:t>
      </w:r>
    </w:p>
    <w:p w:rsidR="009F35B3" w:rsidRDefault="009F35B3" w:rsidP="009F35B3">
      <w:pPr>
        <w:spacing w:before="240" w:after="240" w:line="360" w:lineRule="auto"/>
        <w:jc w:val="both"/>
        <w:rPr>
          <w:rFonts w:ascii="Palatino Linotype" w:hAnsi="Palatino Linotype" w:cs="Arial"/>
          <w:color w:val="000000"/>
        </w:rPr>
      </w:pPr>
      <w:r>
        <w:rPr>
          <w:rFonts w:ascii="Palatino Linotype" w:hAnsi="Palatino Linotype" w:cs="Arial"/>
        </w:rPr>
        <w:t>Luego entonces</w:t>
      </w:r>
      <w:r w:rsidRPr="00CF44B1">
        <w:rPr>
          <w:rFonts w:ascii="Palatino Linotype" w:hAnsi="Palatino Linotype" w:cs="Arial"/>
        </w:rPr>
        <w:t xml:space="preserve"> las facturas </w:t>
      </w:r>
      <w:r>
        <w:rPr>
          <w:rFonts w:ascii="Palatino Linotype" w:hAnsi="Palatino Linotype" w:cs="Arial"/>
        </w:rPr>
        <w:t>s</w:t>
      </w:r>
      <w:r w:rsidRPr="00CF44B1">
        <w:rPr>
          <w:rFonts w:ascii="Palatino Linotype" w:hAnsi="Palatino Linotype" w:cs="Arial"/>
        </w:rPr>
        <w:t>o</w:t>
      </w:r>
      <w:r>
        <w:rPr>
          <w:rFonts w:ascii="Palatino Linotype" w:hAnsi="Palatino Linotype" w:cs="Arial"/>
        </w:rPr>
        <w:t>n</w:t>
      </w:r>
      <w:r w:rsidRPr="00CF44B1">
        <w:rPr>
          <w:rFonts w:ascii="Palatino Linotype" w:hAnsi="Palatino Linotype" w:cs="Arial"/>
        </w:rPr>
        <w:t xml:space="preserve">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CF44B1">
        <w:rPr>
          <w:rFonts w:ascii="Palatino Linotype"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rsidR="008E1D85" w:rsidRDefault="008E1D85" w:rsidP="008E1D85">
      <w:pPr>
        <w:spacing w:before="240" w:after="240" w:line="360" w:lineRule="auto"/>
        <w:jc w:val="both"/>
        <w:rPr>
          <w:rFonts w:ascii="Palatino Linotype" w:hAnsi="Palatino Linotype" w:cs="Arial"/>
          <w:lang w:eastAsia="es-MX"/>
        </w:rPr>
      </w:pPr>
      <w:r w:rsidRPr="00CF44B1">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CF44B1">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w:t>
      </w:r>
      <w:r w:rsidRPr="00CF44B1">
        <w:rPr>
          <w:rFonts w:ascii="Palatino Linotype" w:hAnsi="Palatino Linotype" w:cs="Arial"/>
          <w:lang w:eastAsia="es-MX"/>
        </w:rPr>
        <w:lastRenderedPageBreak/>
        <w:t>Contable y Presupuestal de la Comisión Permanente de Funcionarios Fiscales del Instituto para el Desarrollo Técnico de las Haciendas Públicas (INDETEC) señalan las siguient</w:t>
      </w:r>
      <w:r w:rsidR="009F35B3">
        <w:rPr>
          <w:rFonts w:ascii="Palatino Linotype" w:hAnsi="Palatino Linotype" w:cs="Arial"/>
          <w:lang w:eastAsia="es-MX"/>
        </w:rPr>
        <w:t xml:space="preserve">es definiciones de las palabras </w:t>
      </w:r>
      <w:r w:rsidRPr="00CF44B1">
        <w:rPr>
          <w:rFonts w:ascii="Palatino Linotype" w:hAnsi="Palatino Linotype" w:cs="Arial"/>
          <w:lang w:eastAsia="es-MX"/>
        </w:rPr>
        <w:t xml:space="preserve">registro contable y registro presupuestario: </w:t>
      </w:r>
    </w:p>
    <w:p w:rsidR="008E1D85" w:rsidRPr="00CF44B1" w:rsidRDefault="008E1D85" w:rsidP="008E1D85">
      <w:pPr>
        <w:spacing w:before="120" w:after="120"/>
        <w:ind w:firstLine="708"/>
        <w:jc w:val="both"/>
        <w:rPr>
          <w:rFonts w:ascii="Palatino Linotype" w:hAnsi="Palatino Linotype" w:cs="Arial"/>
          <w:b/>
          <w:i/>
          <w:sz w:val="22"/>
          <w:szCs w:val="22"/>
          <w:lang w:eastAsia="es-MX"/>
        </w:rPr>
      </w:pPr>
      <w:r w:rsidRPr="00CF44B1">
        <w:rPr>
          <w:rFonts w:ascii="Palatino Linotype" w:hAnsi="Palatino Linotype" w:cs="Arial"/>
          <w:b/>
          <w:i/>
          <w:lang w:eastAsia="es-MX"/>
        </w:rPr>
        <w:t>“</w:t>
      </w:r>
      <w:r w:rsidRPr="00CF44B1">
        <w:rPr>
          <w:rFonts w:ascii="Palatino Linotype" w:hAnsi="Palatino Linotype" w:cs="Arial"/>
          <w:b/>
          <w:i/>
          <w:sz w:val="22"/>
          <w:szCs w:val="22"/>
          <w:lang w:eastAsia="es-MX"/>
        </w:rPr>
        <w:t xml:space="preserve">REGISTRO CONTABLE </w:t>
      </w:r>
    </w:p>
    <w:p w:rsidR="008E1D85" w:rsidRPr="00CF44B1" w:rsidRDefault="008E1D85" w:rsidP="008E1D85">
      <w:pPr>
        <w:spacing w:before="120" w:after="120"/>
        <w:ind w:left="851" w:right="899"/>
        <w:jc w:val="both"/>
        <w:rPr>
          <w:rFonts w:ascii="Palatino Linotype" w:hAnsi="Palatino Linotype" w:cs="Arial"/>
          <w:i/>
          <w:sz w:val="22"/>
          <w:szCs w:val="22"/>
        </w:rPr>
      </w:pPr>
      <w:r w:rsidRPr="00CF44B1">
        <w:rPr>
          <w:rFonts w:ascii="Palatino Linotype" w:hAnsi="Palatino Linotype" w:cs="Arial"/>
          <w:i/>
          <w:sz w:val="22"/>
          <w:szCs w:val="22"/>
          <w:lang w:eastAsia="es-MX"/>
        </w:rPr>
        <w:t xml:space="preserve">Asiento que se realiza en los libros de contabilidad de las actividades relacionadas con el ingreso y egresos de un ente económico.” </w:t>
      </w:r>
      <w:r w:rsidRPr="00CF44B1">
        <w:rPr>
          <w:rFonts w:ascii="Palatino Linotype" w:hAnsi="Palatino Linotype" w:cs="Arial"/>
          <w:i/>
          <w:sz w:val="22"/>
          <w:szCs w:val="22"/>
        </w:rPr>
        <w:t>(Sic)</w:t>
      </w:r>
    </w:p>
    <w:p w:rsidR="008E1D85" w:rsidRPr="00CF44B1" w:rsidRDefault="008E1D85" w:rsidP="008E1D85">
      <w:pPr>
        <w:spacing w:before="120" w:after="120"/>
        <w:ind w:right="899" w:firstLine="708"/>
        <w:jc w:val="both"/>
        <w:rPr>
          <w:rFonts w:ascii="Palatino Linotype" w:hAnsi="Palatino Linotype" w:cs="Arial"/>
          <w:b/>
          <w:i/>
          <w:sz w:val="22"/>
          <w:szCs w:val="22"/>
          <w:lang w:eastAsia="es-MX"/>
        </w:rPr>
      </w:pPr>
      <w:r w:rsidRPr="00CF44B1">
        <w:rPr>
          <w:rFonts w:ascii="Palatino Linotype" w:hAnsi="Palatino Linotype" w:cs="Arial"/>
          <w:b/>
          <w:i/>
          <w:sz w:val="22"/>
          <w:szCs w:val="22"/>
          <w:lang w:eastAsia="es-MX"/>
        </w:rPr>
        <w:t>“REGISTRO PRESUPUESTARIO</w:t>
      </w:r>
    </w:p>
    <w:p w:rsidR="008E1D85" w:rsidRPr="00CF44B1" w:rsidRDefault="008E1D85" w:rsidP="008E1D85">
      <w:pPr>
        <w:spacing w:before="120" w:after="120"/>
        <w:ind w:left="708" w:right="899"/>
        <w:jc w:val="both"/>
        <w:rPr>
          <w:rFonts w:ascii="Palatino Linotype" w:hAnsi="Palatino Linotype" w:cs="Arial"/>
          <w:i/>
          <w:sz w:val="22"/>
          <w:szCs w:val="22"/>
          <w:lang w:eastAsia="es-MX"/>
        </w:rPr>
      </w:pPr>
      <w:r w:rsidRPr="00CF44B1">
        <w:rPr>
          <w:rFonts w:ascii="Palatino Linotype" w:hAnsi="Palatino Linotype" w:cs="Arial"/>
          <w:i/>
          <w:sz w:val="22"/>
          <w:szCs w:val="22"/>
          <w:lang w:eastAsia="es-MX"/>
        </w:rPr>
        <w:t xml:space="preserve">Asiento contable de las erogaciones realizadas por las dependencias y entidades con relación a la asignación, modificación y ejercicio de los recursos presupuestarios que se les hayan autorizado.” </w:t>
      </w:r>
      <w:r w:rsidRPr="00CF44B1">
        <w:rPr>
          <w:rFonts w:ascii="Palatino Linotype" w:hAnsi="Palatino Linotype" w:cs="Arial"/>
          <w:i/>
          <w:sz w:val="22"/>
          <w:szCs w:val="22"/>
        </w:rPr>
        <w:t>(Sic)</w:t>
      </w:r>
    </w:p>
    <w:p w:rsidR="008E1D85" w:rsidRPr="00CF44B1" w:rsidRDefault="008E1D85" w:rsidP="008E1D85">
      <w:pPr>
        <w:spacing w:before="240" w:after="240" w:line="360" w:lineRule="auto"/>
        <w:jc w:val="both"/>
        <w:rPr>
          <w:rFonts w:ascii="Palatino Linotype" w:hAnsi="Palatino Linotype" w:cs="Arial"/>
          <w:bCs/>
          <w:color w:val="000000"/>
        </w:rPr>
      </w:pPr>
      <w:r w:rsidRPr="00CF44B1">
        <w:rPr>
          <w:rFonts w:ascii="Palatino Linotype" w:hAnsi="Palatino Linotype" w:cs="Arial"/>
          <w:bCs/>
          <w:color w:val="000000"/>
        </w:rPr>
        <w:t>Por otra parte, se establece que el sistema de contabilidad sobre base acumulativa total se sustentará en los principios de contabilidad gubernamental.</w:t>
      </w:r>
    </w:p>
    <w:p w:rsidR="008E1D85" w:rsidRPr="00CF44B1" w:rsidRDefault="008E1D85" w:rsidP="008E1D85">
      <w:pPr>
        <w:spacing w:before="240" w:after="240" w:line="360" w:lineRule="auto"/>
        <w:jc w:val="both"/>
        <w:rPr>
          <w:rFonts w:ascii="Palatino Linotype" w:hAnsi="Palatino Linotype" w:cs="Arial"/>
          <w:bCs/>
          <w:color w:val="000000"/>
        </w:rPr>
      </w:pPr>
      <w:r w:rsidRPr="00CF44B1">
        <w:rPr>
          <w:rFonts w:ascii="Palatino Linotype" w:hAnsi="Palatino Linotype" w:cs="Arial"/>
          <w:bCs/>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8E1D85" w:rsidRPr="00CF44B1" w:rsidRDefault="008E1D85" w:rsidP="008E1D85">
      <w:pPr>
        <w:autoSpaceDE w:val="0"/>
        <w:autoSpaceDN w:val="0"/>
        <w:adjustRightInd w:val="0"/>
        <w:spacing w:before="240" w:after="240" w:line="360" w:lineRule="auto"/>
        <w:jc w:val="both"/>
        <w:rPr>
          <w:rFonts w:ascii="Palatino Linotype" w:hAnsi="Palatino Linotype" w:cs="Arial"/>
          <w:lang w:eastAsia="es-MX"/>
        </w:rPr>
      </w:pPr>
      <w:r w:rsidRPr="00CF44B1">
        <w:rPr>
          <w:rFonts w:ascii="Palatino Linotype" w:hAnsi="Palatino Linotype" w:cs="Arial"/>
          <w:lang w:eastAsia="es-MX"/>
        </w:rPr>
        <w:t xml:space="preserve">Correlativo a lo anterior, es preciso referir una definición de </w:t>
      </w:r>
      <w:r w:rsidRPr="00CF44B1">
        <w:rPr>
          <w:rFonts w:ascii="Palatino Linotype" w:hAnsi="Palatino Linotype" w:cs="Arial"/>
          <w:i/>
          <w:lang w:eastAsia="es-MX"/>
        </w:rPr>
        <w:t>póliza contable</w:t>
      </w:r>
      <w:r w:rsidRPr="00CF44B1">
        <w:rPr>
          <w:rFonts w:ascii="Palatino Linotype" w:hAnsi="Palatino Linotype" w:cs="Arial"/>
          <w:lang w:eastAsia="es-MX"/>
        </w:rPr>
        <w:t xml:space="preserve">, la cual, primeramente, no está definida en el Código Financiero del Estado de México y Municipios; no obstante, los ya mencionados Glosarios la definen como: </w:t>
      </w:r>
    </w:p>
    <w:p w:rsidR="008E1D85" w:rsidRPr="00CF44B1" w:rsidRDefault="008E1D85" w:rsidP="008E1D85">
      <w:pPr>
        <w:spacing w:before="120" w:after="120"/>
        <w:ind w:left="851" w:right="899"/>
        <w:jc w:val="both"/>
        <w:rPr>
          <w:rFonts w:ascii="Palatino Linotype" w:hAnsi="Palatino Linotype" w:cs="Arial"/>
          <w:b/>
          <w:i/>
          <w:sz w:val="22"/>
          <w:szCs w:val="22"/>
          <w:lang w:eastAsia="es-MX"/>
        </w:rPr>
      </w:pPr>
      <w:r w:rsidRPr="00CF44B1">
        <w:rPr>
          <w:rFonts w:ascii="Palatino Linotype" w:hAnsi="Palatino Linotype" w:cs="Arial"/>
          <w:i/>
          <w:sz w:val="22"/>
          <w:szCs w:val="22"/>
          <w:lang w:eastAsia="es-MX"/>
        </w:rPr>
        <w:t>“</w:t>
      </w:r>
      <w:r w:rsidRPr="00CF44B1">
        <w:rPr>
          <w:rFonts w:ascii="Palatino Linotype" w:hAnsi="Palatino Linotype" w:cs="Arial"/>
          <w:b/>
          <w:i/>
          <w:sz w:val="22"/>
          <w:szCs w:val="22"/>
          <w:lang w:eastAsia="es-MX"/>
        </w:rPr>
        <w:t>PÓLIZA CONTABLE</w:t>
      </w:r>
    </w:p>
    <w:p w:rsidR="008E1D85" w:rsidRPr="00CF44B1" w:rsidRDefault="008E1D85" w:rsidP="008E1D85">
      <w:pPr>
        <w:spacing w:before="120" w:after="120"/>
        <w:ind w:left="851" w:right="899"/>
        <w:jc w:val="both"/>
        <w:rPr>
          <w:rFonts w:ascii="Palatino Linotype" w:hAnsi="Palatino Linotype" w:cs="Arial"/>
          <w:i/>
          <w:sz w:val="22"/>
          <w:szCs w:val="22"/>
          <w:lang w:eastAsia="es-MX"/>
        </w:rPr>
      </w:pPr>
      <w:r w:rsidRPr="00CF44B1">
        <w:rPr>
          <w:rFonts w:ascii="Palatino Linotype" w:hAnsi="Palatino Linotype" w:cs="Arial"/>
          <w:i/>
          <w:sz w:val="22"/>
          <w:szCs w:val="22"/>
          <w:lang w:eastAsia="es-MX"/>
        </w:rPr>
        <w:t>Documento en el cual se asientan en forma individual todas y cada una de las operaciones desarrolladas por una institución, así como la información necesaria para la identificación de dichas operaciones.” (sic)</w:t>
      </w:r>
    </w:p>
    <w:p w:rsidR="008E1D85" w:rsidRPr="00CF44B1" w:rsidRDefault="008E1D85" w:rsidP="008E1D85">
      <w:pPr>
        <w:spacing w:before="240" w:after="240" w:line="360" w:lineRule="auto"/>
        <w:jc w:val="both"/>
        <w:rPr>
          <w:rFonts w:ascii="Palatino Linotype" w:hAnsi="Palatino Linotype" w:cs="Arial"/>
          <w:lang w:eastAsia="es-MX"/>
        </w:rPr>
      </w:pPr>
      <w:r w:rsidRPr="00CF44B1">
        <w:rPr>
          <w:rFonts w:ascii="Palatino Linotype" w:hAnsi="Palatino Linotype" w:cs="Arial"/>
          <w:lang w:eastAsia="es-MX"/>
        </w:rPr>
        <w:lastRenderedPageBreak/>
        <w:t xml:space="preserve">Así, se advierte que la </w:t>
      </w:r>
      <w:r w:rsidRPr="00CF44B1">
        <w:rPr>
          <w:rFonts w:ascii="Palatino Linotype" w:hAnsi="Palatino Linotype" w:cs="Arial"/>
          <w:i/>
          <w:lang w:eastAsia="es-MX"/>
        </w:rPr>
        <w:t>póliza contable</w:t>
      </w:r>
      <w:r w:rsidRPr="00CF44B1">
        <w:rPr>
          <w:rFonts w:ascii="Palatino Linotype" w:hAnsi="Palatino Linotype" w:cs="Arial"/>
          <w:lang w:eastAsia="es-MX"/>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2B3D0A" w:rsidRPr="00833247" w:rsidRDefault="008E1D85" w:rsidP="00833247">
      <w:pPr>
        <w:spacing w:before="240" w:after="240" w:line="360" w:lineRule="auto"/>
        <w:jc w:val="both"/>
        <w:rPr>
          <w:rFonts w:ascii="Palatino Linotype" w:hAnsi="Palatino Linotype" w:cs="Arial"/>
          <w:lang w:eastAsia="es-MX"/>
        </w:rPr>
      </w:pPr>
      <w:r w:rsidRPr="00CF44B1">
        <w:rPr>
          <w:rFonts w:ascii="Palatino Linotype" w:hAnsi="Palatino Linotype" w:cs="Arial"/>
          <w:lang w:eastAsia="es-MX"/>
        </w:rPr>
        <w:t xml:space="preserve">En este sentido, existen diversos tipos de pólizas contables de acuerdo a las operaciones realizadas, dentro de las cuales, encontramos las llamadas </w:t>
      </w:r>
      <w:r w:rsidRPr="00CF44B1">
        <w:rPr>
          <w:rFonts w:ascii="Palatino Linotype" w:hAnsi="Palatino Linotype" w:cs="Arial"/>
          <w:i/>
          <w:lang w:eastAsia="es-MX"/>
        </w:rPr>
        <w:t>pólizas de egresos</w:t>
      </w:r>
      <w:r w:rsidRPr="00CF44B1">
        <w:rPr>
          <w:rFonts w:ascii="Palatino Linotype" w:hAnsi="Palatino Linotype" w:cs="Arial"/>
          <w:lang w:eastAsia="es-MX"/>
        </w:rPr>
        <w:t xml:space="preserve">, son aquellas en las cuales se anotan diariamente las operaciones que representan gastos, es decir, salidas de dinero para el </w:t>
      </w:r>
      <w:r w:rsidRPr="00833247">
        <w:rPr>
          <w:rFonts w:ascii="Palatino Linotype" w:hAnsi="Palatino Linotype" w:cs="Arial"/>
          <w:b/>
          <w:lang w:eastAsia="es-MX"/>
        </w:rPr>
        <w:t>SUJETO OBLIGADO</w:t>
      </w:r>
      <w:r w:rsidRPr="00CF44B1">
        <w:rPr>
          <w:rFonts w:ascii="Palatino Linotype" w:hAnsi="Palatino Linotype" w:cs="Arial"/>
          <w:lang w:eastAsia="es-MX"/>
        </w:rPr>
        <w:t xml:space="preserve">, las </w:t>
      </w:r>
      <w:r>
        <w:rPr>
          <w:rFonts w:ascii="Palatino Linotype" w:hAnsi="Palatino Linotype" w:cs="Arial"/>
          <w:lang w:eastAsia="es-MX"/>
        </w:rPr>
        <w:t>que,</w:t>
      </w:r>
      <w:r w:rsidRPr="00CF44B1">
        <w:rPr>
          <w:rFonts w:ascii="Palatino Linotype" w:hAnsi="Palatino Linotype" w:cs="Arial"/>
          <w:lang w:eastAsia="es-MX"/>
        </w:rPr>
        <w:t xml:space="preserve"> además, deben encontrarse acompañadas de las documentales que sirven de soporte de dicho movimiento. </w:t>
      </w:r>
    </w:p>
    <w:p w:rsidR="002B3D0A" w:rsidRPr="00F820D1" w:rsidRDefault="002B3D0A" w:rsidP="002B3D0A">
      <w:pPr>
        <w:autoSpaceDE w:val="0"/>
        <w:autoSpaceDN w:val="0"/>
        <w:adjustRightInd w:val="0"/>
        <w:spacing w:line="360" w:lineRule="auto"/>
        <w:ind w:right="50"/>
        <w:jc w:val="both"/>
        <w:rPr>
          <w:rFonts w:ascii="Palatino Linotype" w:hAnsi="Palatino Linotype" w:cs="Arial"/>
          <w:bCs/>
          <w:color w:val="000000"/>
        </w:rPr>
      </w:pPr>
      <w:r w:rsidRPr="00F820D1">
        <w:rPr>
          <w:rFonts w:ascii="Palatino Linotype" w:hAnsi="Palatino Linotype" w:cs="Arial"/>
          <w:bCs/>
          <w:color w:val="000000"/>
        </w:rPr>
        <w:t xml:space="preserve">De este modo, </w:t>
      </w:r>
      <w:r w:rsidRPr="00F820D1">
        <w:rPr>
          <w:rFonts w:ascii="Palatino Linotype" w:hAnsi="Palatino Linotype" w:cs="Arial"/>
          <w:b/>
          <w:bCs/>
          <w:color w:val="000000"/>
        </w:rPr>
        <w:t>EL SUJETO OBLIGADO</w:t>
      </w:r>
      <w:r w:rsidRPr="00F820D1">
        <w:rPr>
          <w:rFonts w:ascii="Palatino Linotype" w:hAnsi="Palatino Linotype" w:cs="Arial"/>
          <w:bCs/>
          <w:color w:val="000000"/>
        </w:rPr>
        <w:t xml:space="preserve"> debe tener registro de la exp</w:t>
      </w:r>
      <w:r w:rsidR="00833247">
        <w:rPr>
          <w:rFonts w:ascii="Palatino Linotype" w:hAnsi="Palatino Linotype" w:cs="Arial"/>
          <w:bCs/>
          <w:color w:val="000000"/>
        </w:rPr>
        <w:t>edición de las pólizas de egresos</w:t>
      </w:r>
      <w:r w:rsidRPr="00F820D1">
        <w:rPr>
          <w:rFonts w:ascii="Palatino Linotype" w:hAnsi="Palatino Linotype" w:cs="Arial"/>
          <w:bCs/>
          <w:color w:val="000000"/>
        </w:rPr>
        <w:t xml:space="preserve">;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rsidR="002B3D0A" w:rsidRPr="00F820D1" w:rsidRDefault="002B3D0A" w:rsidP="002B3D0A">
      <w:pPr>
        <w:autoSpaceDE w:val="0"/>
        <w:autoSpaceDN w:val="0"/>
        <w:adjustRightInd w:val="0"/>
        <w:spacing w:line="360" w:lineRule="auto"/>
        <w:ind w:firstLine="567"/>
        <w:jc w:val="both"/>
        <w:rPr>
          <w:rFonts w:ascii="Palatino Linotype" w:eastAsia="Arial Unicode MS" w:hAnsi="Palatino Linotype" w:cs="Arial"/>
        </w:rPr>
      </w:pPr>
    </w:p>
    <w:p w:rsidR="002B3D0A" w:rsidRPr="00F820D1" w:rsidRDefault="002B3D0A" w:rsidP="002B3D0A">
      <w:pPr>
        <w:autoSpaceDE w:val="0"/>
        <w:autoSpaceDN w:val="0"/>
        <w:adjustRightInd w:val="0"/>
        <w:spacing w:line="360" w:lineRule="auto"/>
        <w:ind w:right="50"/>
        <w:jc w:val="both"/>
        <w:rPr>
          <w:rFonts w:ascii="Palatino Linotype" w:hAnsi="Palatino Linotype" w:cs="Arial"/>
          <w:bCs/>
          <w:color w:val="000000"/>
        </w:rPr>
      </w:pPr>
      <w:r w:rsidRPr="00F820D1">
        <w:rPr>
          <w:rFonts w:ascii="Palatino Linotype" w:hAnsi="Palatino Linotype" w:cs="Arial"/>
          <w:bCs/>
          <w:color w:val="000000"/>
        </w:rPr>
        <w:t xml:space="preserve">De igual forma, es de suma importancia destacar que el penúltimo párrafo, del artículo 23 de la </w:t>
      </w:r>
      <w:r w:rsidRPr="00F820D1">
        <w:rPr>
          <w:rFonts w:ascii="Palatino Linotype" w:hAnsi="Palatino Linotype" w:cs="Arial"/>
        </w:rPr>
        <w:t>Ley de Transparencia y Acceso a la Información Pública del Estado de México y Municipios</w:t>
      </w:r>
      <w:r w:rsidRPr="00F820D1">
        <w:rPr>
          <w:rFonts w:ascii="Palatino Linotype" w:hAnsi="Palatino Linotype" w:cs="Arial"/>
          <w:bCs/>
          <w:color w:val="000000"/>
        </w:rPr>
        <w:t xml:space="preserve">,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w:t>
      </w:r>
      <w:r w:rsidRPr="00F820D1">
        <w:rPr>
          <w:rFonts w:ascii="Palatino Linotype" w:hAnsi="Palatino Linotype" w:cs="Arial"/>
          <w:bCs/>
          <w:color w:val="000000"/>
        </w:rPr>
        <w:lastRenderedPageBreak/>
        <w:t xml:space="preserve">la forma, términos, causas y finalidad en la disposición de esos recursos; ya que este precepto legal que establece: </w:t>
      </w:r>
    </w:p>
    <w:p w:rsidR="002B3D0A" w:rsidRPr="00F820D1" w:rsidRDefault="002B3D0A" w:rsidP="002B3D0A">
      <w:pPr>
        <w:autoSpaceDE w:val="0"/>
        <w:autoSpaceDN w:val="0"/>
        <w:adjustRightInd w:val="0"/>
        <w:ind w:right="50"/>
        <w:jc w:val="both"/>
        <w:rPr>
          <w:rFonts w:ascii="Palatino Linotype" w:hAnsi="Palatino Linotype" w:cs="Arial"/>
          <w:bCs/>
          <w:color w:val="000000"/>
        </w:rPr>
      </w:pPr>
    </w:p>
    <w:p w:rsidR="002B3D0A" w:rsidRPr="00F820D1" w:rsidRDefault="002B3D0A" w:rsidP="002B3D0A">
      <w:pPr>
        <w:ind w:left="851" w:right="901"/>
        <w:jc w:val="both"/>
        <w:rPr>
          <w:rFonts w:ascii="Palatino Linotype" w:eastAsia="Arial Unicode MS" w:hAnsi="Palatino Linotype" w:cs="Arial"/>
          <w:b/>
          <w:i/>
          <w:sz w:val="22"/>
        </w:rPr>
      </w:pPr>
      <w:r w:rsidRPr="00F820D1">
        <w:rPr>
          <w:rFonts w:ascii="Palatino Linotype" w:eastAsia="Arial Unicode MS" w:hAnsi="Palatino Linotype" w:cs="Arial"/>
          <w:b/>
          <w:i/>
          <w:sz w:val="22"/>
        </w:rPr>
        <w:t>“Artículo 23…</w:t>
      </w:r>
    </w:p>
    <w:p w:rsidR="002B3D0A" w:rsidRPr="00F820D1" w:rsidRDefault="002B3D0A" w:rsidP="002B3D0A">
      <w:pPr>
        <w:ind w:left="851" w:right="901"/>
        <w:jc w:val="both"/>
        <w:rPr>
          <w:rFonts w:ascii="Palatino Linotype" w:eastAsia="Arial Unicode MS" w:hAnsi="Palatino Linotype" w:cs="Arial"/>
          <w:i/>
          <w:sz w:val="22"/>
        </w:rPr>
      </w:pPr>
    </w:p>
    <w:p w:rsidR="002B3D0A" w:rsidRPr="00F820D1" w:rsidRDefault="002B3D0A" w:rsidP="002B3D0A">
      <w:pPr>
        <w:ind w:left="851" w:right="901"/>
        <w:jc w:val="both"/>
        <w:rPr>
          <w:rFonts w:ascii="Palatino Linotype" w:hAnsi="Palatino Linotype" w:cs="Arial"/>
          <w:i/>
          <w:color w:val="000000"/>
          <w:sz w:val="22"/>
          <w:szCs w:val="22"/>
        </w:rPr>
      </w:pPr>
      <w:r w:rsidRPr="00F820D1">
        <w:rPr>
          <w:rFonts w:ascii="Palatino Linotype" w:eastAsia="Arial Unicode MS"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2B3D0A" w:rsidRPr="00F820D1" w:rsidRDefault="002B3D0A" w:rsidP="002B3D0A">
      <w:pPr>
        <w:ind w:left="851" w:right="850"/>
        <w:jc w:val="both"/>
        <w:rPr>
          <w:rFonts w:ascii="Palatino Linotype" w:hAnsi="Palatino Linotype" w:cs="Arial"/>
          <w:i/>
          <w:color w:val="000000"/>
          <w:sz w:val="22"/>
          <w:szCs w:val="22"/>
        </w:rPr>
      </w:pPr>
      <w:r w:rsidRPr="00F820D1">
        <w:rPr>
          <w:rFonts w:ascii="Palatino Linotype" w:hAnsi="Palatino Linotype" w:cs="Arial"/>
          <w:i/>
          <w:color w:val="000000"/>
          <w:sz w:val="22"/>
          <w:szCs w:val="22"/>
        </w:rPr>
        <w:t xml:space="preserve"> (…)”</w:t>
      </w:r>
    </w:p>
    <w:p w:rsidR="002B3D0A" w:rsidRPr="00F820D1" w:rsidRDefault="002B3D0A" w:rsidP="002B3D0A">
      <w:pPr>
        <w:ind w:left="851" w:right="850"/>
        <w:jc w:val="both"/>
        <w:rPr>
          <w:rFonts w:ascii="Palatino Linotype" w:hAnsi="Palatino Linotype" w:cs="Arial"/>
          <w:i/>
          <w:color w:val="000000"/>
          <w:sz w:val="22"/>
          <w:szCs w:val="22"/>
        </w:rPr>
      </w:pPr>
    </w:p>
    <w:p w:rsidR="002B3D0A" w:rsidRPr="00F820D1" w:rsidRDefault="002B3D0A" w:rsidP="002B3D0A">
      <w:pPr>
        <w:autoSpaceDE w:val="0"/>
        <w:autoSpaceDN w:val="0"/>
        <w:adjustRightInd w:val="0"/>
        <w:spacing w:line="360" w:lineRule="auto"/>
        <w:jc w:val="both"/>
        <w:rPr>
          <w:rFonts w:ascii="Palatino Linotype" w:eastAsia="Arial Unicode MS" w:hAnsi="Palatino Linotype" w:cs="Arial"/>
        </w:rPr>
      </w:pPr>
      <w:r w:rsidRPr="00F820D1">
        <w:rPr>
          <w:rFonts w:ascii="Palatino Linotype" w:eastAsia="Arial Unicode MS" w:hAnsi="Palatino Linotype" w:cs="Arial"/>
        </w:rPr>
        <w:t xml:space="preserve">En esta tesitura, se concluye que todos los datos en que consten gastos efectuados por </w:t>
      </w:r>
      <w:r w:rsidRPr="00F820D1">
        <w:rPr>
          <w:rFonts w:ascii="Palatino Linotype" w:eastAsia="Arial Unicode MS" w:hAnsi="Palatino Linotype" w:cs="Arial"/>
          <w:b/>
        </w:rPr>
        <w:t>EL SUJETO OBLIGADO</w:t>
      </w:r>
      <w:r w:rsidRPr="00F820D1">
        <w:rPr>
          <w:rFonts w:ascii="Palatino Linotype" w:eastAsia="Arial Unicode MS" w:hAnsi="Palatino Linotype" w:cs="Arial"/>
        </w:rPr>
        <w:t>, es información pública; por ende, los p</w:t>
      </w:r>
      <w:r w:rsidR="00833247">
        <w:rPr>
          <w:rFonts w:ascii="Palatino Linotype" w:eastAsia="Arial Unicode MS" w:hAnsi="Palatino Linotype" w:cs="Arial"/>
        </w:rPr>
        <w:t>agos realizados mediante pólizas de egresos son pública</w:t>
      </w:r>
      <w:r w:rsidRPr="00F820D1">
        <w:rPr>
          <w:rFonts w:ascii="Palatino Linotype" w:eastAsia="Arial Unicode MS" w:hAnsi="Palatino Linotype" w:cs="Arial"/>
        </w:rPr>
        <w:t xml:space="preserve">s y susceptibles de ser entregados si son solicitados en ejercicio del derecho de acceso a la información pública. </w:t>
      </w:r>
    </w:p>
    <w:p w:rsidR="002B3D0A" w:rsidRPr="00F820D1" w:rsidRDefault="002B3D0A" w:rsidP="002B3D0A">
      <w:pPr>
        <w:autoSpaceDE w:val="0"/>
        <w:autoSpaceDN w:val="0"/>
        <w:adjustRightInd w:val="0"/>
        <w:spacing w:line="360" w:lineRule="auto"/>
        <w:jc w:val="both"/>
        <w:rPr>
          <w:rFonts w:ascii="Palatino Linotype" w:eastAsia="Arial Unicode MS" w:hAnsi="Palatino Linotype" w:cs="Arial"/>
        </w:rPr>
      </w:pPr>
    </w:p>
    <w:p w:rsidR="002B3D0A" w:rsidRDefault="002B3D0A" w:rsidP="002B3D0A">
      <w:pPr>
        <w:autoSpaceDE w:val="0"/>
        <w:autoSpaceDN w:val="0"/>
        <w:adjustRightInd w:val="0"/>
        <w:spacing w:line="360" w:lineRule="auto"/>
        <w:jc w:val="both"/>
        <w:rPr>
          <w:rFonts w:ascii="Palatino Linotype" w:hAnsi="Palatino Linotype" w:cs="Arial"/>
          <w:color w:val="000000"/>
        </w:rPr>
      </w:pPr>
      <w:r w:rsidRPr="00F820D1">
        <w:rPr>
          <w:rFonts w:ascii="Palatino Linotype" w:hAnsi="Palatino Linotype" w:cs="Arial"/>
          <w:color w:val="000000"/>
        </w:rPr>
        <w:t xml:space="preserve">Como ya se mencionó anteriormente </w:t>
      </w:r>
      <w:r w:rsidRPr="00F820D1">
        <w:rPr>
          <w:rFonts w:ascii="Palatino Linotype" w:hAnsi="Palatino Linotype" w:cs="Arial"/>
          <w:b/>
          <w:color w:val="000000"/>
        </w:rPr>
        <w:t xml:space="preserve">EL SUJETO OBLIGADO </w:t>
      </w:r>
      <w:r w:rsidRPr="00F820D1">
        <w:rPr>
          <w:rFonts w:ascii="Palatino Linotype" w:hAnsi="Palatino Linotype" w:cs="Arial"/>
          <w:color w:val="000000"/>
        </w:rPr>
        <w:t xml:space="preserve">tiene la obligatoriedad de registrar </w:t>
      </w:r>
      <w:r w:rsidRPr="00F820D1">
        <w:rPr>
          <w:rFonts w:ascii="Palatino Linotype" w:hAnsi="Palatino Linotype" w:cs="Arial"/>
          <w:bCs/>
          <w:color w:val="000000"/>
        </w:rPr>
        <w:t>contablemente el efecto patrimonial y presupuestal de las operaciones financieras que realizan, en el momento en que ocurran</w:t>
      </w:r>
      <w:r w:rsidR="00833247">
        <w:rPr>
          <w:rFonts w:ascii="Palatino Linotype" w:hAnsi="Palatino Linotype" w:cs="Arial"/>
          <w:color w:val="000000"/>
        </w:rPr>
        <w:t>.</w:t>
      </w:r>
    </w:p>
    <w:p w:rsidR="00833247" w:rsidRPr="00F820D1" w:rsidRDefault="00833247" w:rsidP="002B3D0A">
      <w:pPr>
        <w:autoSpaceDE w:val="0"/>
        <w:autoSpaceDN w:val="0"/>
        <w:adjustRightInd w:val="0"/>
        <w:spacing w:line="360" w:lineRule="auto"/>
        <w:jc w:val="both"/>
        <w:rPr>
          <w:rFonts w:ascii="Palatino Linotype" w:hAnsi="Palatino Linotype" w:cs="Arial"/>
          <w:color w:val="000000"/>
        </w:rPr>
      </w:pPr>
    </w:p>
    <w:p w:rsidR="002B3D0A" w:rsidRPr="00F820D1" w:rsidRDefault="002B3D0A" w:rsidP="002B3D0A">
      <w:pPr>
        <w:autoSpaceDE w:val="0"/>
        <w:autoSpaceDN w:val="0"/>
        <w:adjustRightInd w:val="0"/>
        <w:spacing w:line="360" w:lineRule="auto"/>
        <w:jc w:val="both"/>
        <w:rPr>
          <w:rFonts w:ascii="Palatino Linotype" w:hAnsi="Palatino Linotype" w:cs="Arial"/>
          <w:color w:val="000000"/>
        </w:rPr>
      </w:pPr>
      <w:r w:rsidRPr="00F820D1">
        <w:rPr>
          <w:rFonts w:ascii="Palatino Linotype" w:hAnsi="Palatino Linotype" w:cs="Arial"/>
          <w:color w:val="000000"/>
        </w:rPr>
        <w:t xml:space="preserve">En consecuencia, podemos concluir que </w:t>
      </w:r>
      <w:r w:rsidRPr="00F820D1">
        <w:rPr>
          <w:rFonts w:ascii="Palatino Linotype" w:hAnsi="Palatino Linotype" w:cs="Arial"/>
          <w:b/>
          <w:color w:val="000000"/>
        </w:rPr>
        <w:t xml:space="preserve">EL SUJETO OBLIGADO </w:t>
      </w:r>
      <w:r w:rsidRPr="00F820D1">
        <w:rPr>
          <w:rFonts w:ascii="Palatino Linotype" w:hAnsi="Palatino Linotype" w:cs="Arial"/>
          <w:color w:val="000000"/>
        </w:rPr>
        <w:t>se encuentra en posibilidad de atender l</w:t>
      </w:r>
      <w:r w:rsidR="00082F54">
        <w:rPr>
          <w:rFonts w:ascii="Palatino Linotype" w:hAnsi="Palatino Linotype" w:cs="Arial"/>
          <w:color w:val="000000"/>
        </w:rPr>
        <w:t xml:space="preserve">o solicitado por el particular; porque, </w:t>
      </w:r>
      <w:r w:rsidR="00082F54">
        <w:rPr>
          <w:rFonts w:ascii="Palatino Linotype" w:eastAsia="Palatino Linotype" w:hAnsi="Palatino Linotype" w:cs="Palatino Linotype"/>
          <w:color w:val="000000"/>
        </w:rPr>
        <w:t>Bando Municipal de Policía y Buen G</w:t>
      </w:r>
      <w:r w:rsidR="00082F54" w:rsidRPr="009F55E9">
        <w:rPr>
          <w:rFonts w:ascii="Palatino Linotype" w:eastAsia="Palatino Linotype" w:hAnsi="Palatino Linotype" w:cs="Palatino Linotype"/>
          <w:color w:val="000000"/>
        </w:rPr>
        <w:t>obierno de Tenango</w:t>
      </w:r>
      <w:r w:rsidR="00082F54">
        <w:rPr>
          <w:rFonts w:ascii="Palatino Linotype" w:eastAsia="Palatino Linotype" w:hAnsi="Palatino Linotype" w:cs="Palatino Linotype"/>
          <w:color w:val="000000"/>
        </w:rPr>
        <w:t xml:space="preserve"> del Aire, Estado de México de la</w:t>
      </w:r>
      <w:r w:rsidR="00082F54" w:rsidRPr="009F55E9">
        <w:rPr>
          <w:rFonts w:ascii="Palatino Linotype" w:eastAsia="Palatino Linotype" w:hAnsi="Palatino Linotype" w:cs="Palatino Linotype"/>
          <w:color w:val="000000"/>
        </w:rPr>
        <w:t xml:space="preserve"> administración 2022-2024</w:t>
      </w:r>
      <w:r w:rsidR="00082F54">
        <w:rPr>
          <w:rFonts w:ascii="Palatino Linotype" w:eastAsia="Palatino Linotype" w:hAnsi="Palatino Linotype" w:cs="Palatino Linotype"/>
          <w:color w:val="000000"/>
        </w:rPr>
        <w:t xml:space="preserve">, </w:t>
      </w:r>
      <w:r w:rsidR="00082F54">
        <w:rPr>
          <w:rFonts w:ascii="Palatino Linotype" w:hAnsi="Palatino Linotype" w:cs="Arial"/>
          <w:color w:val="000000"/>
        </w:rPr>
        <w:t xml:space="preserve">fue entregado por el mismo el Ayuntamiento de Tenango del Aire, en respuesta.   </w:t>
      </w:r>
    </w:p>
    <w:p w:rsidR="002B3D0A" w:rsidRPr="00F820D1" w:rsidRDefault="002B3D0A" w:rsidP="002B3D0A">
      <w:pPr>
        <w:autoSpaceDE w:val="0"/>
        <w:autoSpaceDN w:val="0"/>
        <w:adjustRightInd w:val="0"/>
        <w:spacing w:line="360" w:lineRule="auto"/>
        <w:jc w:val="both"/>
        <w:rPr>
          <w:rFonts w:ascii="Palatino Linotype" w:hAnsi="Palatino Linotype" w:cs="Arial"/>
          <w:lang w:eastAsia="es-MX"/>
        </w:rPr>
      </w:pPr>
    </w:p>
    <w:p w:rsidR="00833247" w:rsidRDefault="00833247" w:rsidP="002B3D0A">
      <w:pPr>
        <w:autoSpaceDE w:val="0"/>
        <w:autoSpaceDN w:val="0"/>
        <w:adjustRightInd w:val="0"/>
        <w:spacing w:line="360" w:lineRule="auto"/>
        <w:jc w:val="both"/>
        <w:rPr>
          <w:rFonts w:ascii="Palatino Linotype" w:hAnsi="Palatino Linotype" w:cs="Arial"/>
          <w:lang w:eastAsia="es-MX"/>
        </w:rPr>
      </w:pPr>
      <w:r w:rsidRPr="00921A15">
        <w:rPr>
          <w:rFonts w:ascii="Palatino Linotype" w:hAnsi="Palatino Linotype" w:cs="Arial"/>
          <w:lang w:eastAsia="es-MX"/>
        </w:rPr>
        <w:lastRenderedPageBreak/>
        <w:t>Por lo anterior, este Organismo</w:t>
      </w:r>
      <w:r w:rsidR="002B3D0A" w:rsidRPr="00921A15">
        <w:rPr>
          <w:rFonts w:ascii="Palatino Linotype" w:hAnsi="Palatino Linotype" w:cs="Arial"/>
          <w:lang w:eastAsia="es-MX"/>
        </w:rPr>
        <w:t xml:space="preserve"> Garante determina ordenar </w:t>
      </w:r>
      <w:r w:rsidR="009B2283" w:rsidRPr="00921A15">
        <w:rPr>
          <w:rFonts w:ascii="Palatino Linotype" w:hAnsi="Palatino Linotype" w:cs="Arial"/>
          <w:lang w:eastAsia="es-MX"/>
        </w:rPr>
        <w:t>las facturas</w:t>
      </w:r>
      <w:r w:rsidRPr="00921A15">
        <w:rPr>
          <w:rFonts w:ascii="Palatino Linotype" w:hAnsi="Palatino Linotype" w:cs="Arial"/>
          <w:lang w:eastAsia="es-MX"/>
        </w:rPr>
        <w:t xml:space="preserve"> </w:t>
      </w:r>
      <w:r w:rsidR="009F35B3" w:rsidRPr="00921A15">
        <w:rPr>
          <w:rFonts w:ascii="Palatino Linotype" w:hAnsi="Palatino Linotype" w:cs="Arial"/>
          <w:lang w:eastAsia="es-MX"/>
        </w:rPr>
        <w:t xml:space="preserve">pagadas </w:t>
      </w:r>
      <w:r w:rsidRPr="00921A15">
        <w:rPr>
          <w:rFonts w:ascii="Palatino Linotype" w:hAnsi="Palatino Linotype" w:cs="Arial"/>
          <w:lang w:eastAsia="es-MX"/>
        </w:rPr>
        <w:t>donde conste los gastos realizados por concepto del Bando Municipal 2022 y de ser procedente en versión pública conforme a lo señalado por el considerando quinto del presente fallo.</w:t>
      </w:r>
      <w:r>
        <w:rPr>
          <w:rFonts w:ascii="Palatino Linotype" w:hAnsi="Palatino Linotype" w:cs="Arial"/>
          <w:lang w:eastAsia="es-MX"/>
        </w:rPr>
        <w:t xml:space="preserve"> </w:t>
      </w:r>
    </w:p>
    <w:p w:rsidR="006C2D84" w:rsidRDefault="006C2D84" w:rsidP="002B3D0A">
      <w:pPr>
        <w:autoSpaceDE w:val="0"/>
        <w:autoSpaceDN w:val="0"/>
        <w:adjustRightInd w:val="0"/>
        <w:spacing w:line="360" w:lineRule="auto"/>
        <w:jc w:val="both"/>
        <w:rPr>
          <w:rFonts w:ascii="Palatino Linotype" w:hAnsi="Palatino Linotype" w:cs="Arial"/>
          <w:lang w:eastAsia="es-MX"/>
        </w:rPr>
      </w:pPr>
    </w:p>
    <w:p w:rsidR="009F35B3" w:rsidRDefault="009B2283" w:rsidP="002B3D0A">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t xml:space="preserve">En otro orden de ideas, </w:t>
      </w:r>
      <w:r w:rsidR="009F35B3">
        <w:rPr>
          <w:rFonts w:ascii="Palatino Linotype" w:hAnsi="Palatino Linotype" w:cs="Arial"/>
          <w:lang w:eastAsia="es-MX"/>
        </w:rPr>
        <w:t>respecto del punto marcado con el número “5” concerniente a:</w:t>
      </w:r>
    </w:p>
    <w:p w:rsidR="009F35B3" w:rsidRPr="006C2D84" w:rsidRDefault="009F35B3" w:rsidP="009F35B3">
      <w:pPr>
        <w:pStyle w:val="Prrafodelista"/>
        <w:numPr>
          <w:ilvl w:val="0"/>
          <w:numId w:val="10"/>
        </w:numPr>
        <w:spacing w:before="240" w:after="240" w:line="360" w:lineRule="auto"/>
        <w:jc w:val="both"/>
        <w:rPr>
          <w:rFonts w:ascii="Palatino Linotype" w:hAnsi="Palatino Linotype" w:cs="Arial"/>
          <w:lang w:eastAsia="es-MX"/>
        </w:rPr>
      </w:pPr>
      <w:r w:rsidRPr="006C2D84">
        <w:rPr>
          <w:rFonts w:ascii="Palatino Linotype" w:hAnsi="Palatino Linotype" w:cs="Arial"/>
          <w:lang w:eastAsia="es-MX"/>
        </w:rPr>
        <w:t xml:space="preserve">Bando Municipal 2022. </w:t>
      </w:r>
    </w:p>
    <w:p w:rsidR="00833247" w:rsidRDefault="009F35B3" w:rsidP="009F35B3">
      <w:pPr>
        <w:spacing w:before="240" w:after="240" w:line="360" w:lineRule="auto"/>
        <w:jc w:val="both"/>
        <w:rPr>
          <w:rFonts w:ascii="Palatino Linotype" w:hAnsi="Palatino Linotype"/>
        </w:rPr>
      </w:pPr>
      <w:r>
        <w:rPr>
          <w:rFonts w:ascii="Palatino Linotype" w:eastAsia="Palatino Linotype" w:hAnsi="Palatino Linotype" w:cs="Palatino Linotype"/>
        </w:rPr>
        <w:t xml:space="preserve">El </w:t>
      </w:r>
      <w:r w:rsidRPr="007E48D6">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Titular Honorario de la Unidad de Transparencia, con base a la información proporcionada por la Directora Jurídico y Consultiva de Tenango del Aire, anexo en formato PDF el Bando Municipal de Policía y Buen Gobierno que regirá en el territorio de Tenango del Aire para el año 2022, colmando con ello el derecho de acceso a la información pública del solicitante; máxime que esté </w:t>
      </w:r>
      <w:r>
        <w:rPr>
          <w:rFonts w:ascii="Palatino Linotype" w:hAnsi="Palatino Linotype"/>
        </w:rPr>
        <w:t>Órgano Garante estima conveniente señalar que no está facultado para manifestarse sobre la veracidad de la información proporcionada, ya que no existe precepto legal alguno en la Ley de la Materia que permita, vía recurso de revisión, se pronuncie al respe</w:t>
      </w:r>
      <w:r w:rsidR="000D5198">
        <w:rPr>
          <w:rFonts w:ascii="Palatino Linotype" w:hAnsi="Palatino Linotype"/>
        </w:rPr>
        <w:t>cto, en términos d</w:t>
      </w:r>
      <w:r>
        <w:rPr>
          <w:rFonts w:ascii="Palatino Linotype" w:hAnsi="Palatino Linotype"/>
        </w:rPr>
        <w:t>el Criterio 31-10 emitido por el entonces Instituto Federal de Accesos a la Información y Protección de Datos,</w:t>
      </w:r>
      <w:r w:rsidR="00A05A19">
        <w:rPr>
          <w:rFonts w:ascii="Palatino Linotype" w:hAnsi="Palatino Linotype"/>
        </w:rPr>
        <w:t xml:space="preserve"> previamente citado. </w:t>
      </w:r>
    </w:p>
    <w:p w:rsidR="006C2D84" w:rsidRDefault="006C2D84" w:rsidP="009F35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respecto de los puntos marcados con los numerales “6”, “7”, “8”, “9”, “10” y “11”, descritos en la página 15 del presente considerando, conexos a:</w:t>
      </w:r>
    </w:p>
    <w:p w:rsidR="00064A04" w:rsidRDefault="00064A04" w:rsidP="00064A04">
      <w:pPr>
        <w:pStyle w:val="Prrafodelista"/>
        <w:numPr>
          <w:ilvl w:val="0"/>
          <w:numId w:val="10"/>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lastRenderedPageBreak/>
        <w:t>Comprobante de pago a la Comisión de Agua del Estado de Méxi</w:t>
      </w:r>
      <w:r>
        <w:rPr>
          <w:rFonts w:ascii="Palatino Linotype" w:eastAsia="Palatino Linotype" w:hAnsi="Palatino Linotype" w:cs="Palatino Linotype"/>
        </w:rPr>
        <w:t xml:space="preserve">co por concepto de pago 2019. </w:t>
      </w:r>
    </w:p>
    <w:p w:rsidR="00064A04" w:rsidRDefault="00064A04" w:rsidP="00064A04">
      <w:pPr>
        <w:pStyle w:val="Prrafodelista"/>
        <w:numPr>
          <w:ilvl w:val="0"/>
          <w:numId w:val="10"/>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t>Comprobante de pago a la Comisión de Ag</w:t>
      </w:r>
      <w:r>
        <w:rPr>
          <w:rFonts w:ascii="Palatino Linotype" w:eastAsia="Palatino Linotype" w:hAnsi="Palatino Linotype" w:cs="Palatino Linotype"/>
        </w:rPr>
        <w:t xml:space="preserve">ua del Estado de México 2020. </w:t>
      </w:r>
    </w:p>
    <w:p w:rsidR="00064A04" w:rsidRDefault="00064A04" w:rsidP="00064A04">
      <w:pPr>
        <w:pStyle w:val="Prrafodelista"/>
        <w:numPr>
          <w:ilvl w:val="0"/>
          <w:numId w:val="10"/>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t>Comprobante de pago a la Comisión de A</w:t>
      </w:r>
      <w:r>
        <w:rPr>
          <w:rFonts w:ascii="Palatino Linotype" w:eastAsia="Palatino Linotype" w:hAnsi="Palatino Linotype" w:cs="Palatino Linotype"/>
        </w:rPr>
        <w:t>gua del Estado de México 2021.</w:t>
      </w:r>
    </w:p>
    <w:p w:rsidR="00064A04" w:rsidRDefault="00064A04" w:rsidP="00064A04">
      <w:pPr>
        <w:pStyle w:val="Prrafodelista"/>
        <w:numPr>
          <w:ilvl w:val="0"/>
          <w:numId w:val="10"/>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t xml:space="preserve">Comprobante de pago a la Comisión </w:t>
      </w:r>
      <w:r>
        <w:rPr>
          <w:rFonts w:ascii="Palatino Linotype" w:eastAsia="Palatino Linotype" w:hAnsi="Palatino Linotype" w:cs="Palatino Linotype"/>
        </w:rPr>
        <w:t xml:space="preserve">Federal de Electricidad 2019. </w:t>
      </w:r>
    </w:p>
    <w:p w:rsidR="00064A04" w:rsidRDefault="00064A04" w:rsidP="00064A04">
      <w:pPr>
        <w:pStyle w:val="Prrafodelista"/>
        <w:numPr>
          <w:ilvl w:val="0"/>
          <w:numId w:val="10"/>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t>Comprobante de pago a la Comisión Fe</w:t>
      </w:r>
      <w:r>
        <w:rPr>
          <w:rFonts w:ascii="Palatino Linotype" w:eastAsia="Palatino Linotype" w:hAnsi="Palatino Linotype" w:cs="Palatino Linotype"/>
        </w:rPr>
        <w:t xml:space="preserve">deral de Electricidad 2020. </w:t>
      </w:r>
    </w:p>
    <w:p w:rsidR="00064A04" w:rsidRPr="00171E3F" w:rsidRDefault="00064A04" w:rsidP="00064A04">
      <w:pPr>
        <w:pStyle w:val="Prrafodelista"/>
        <w:numPr>
          <w:ilvl w:val="0"/>
          <w:numId w:val="10"/>
        </w:numPr>
        <w:spacing w:before="240" w:after="240" w:line="360" w:lineRule="auto"/>
        <w:jc w:val="both"/>
        <w:rPr>
          <w:rFonts w:ascii="Palatino Linotype" w:eastAsia="Palatino Linotype" w:hAnsi="Palatino Linotype" w:cs="Palatino Linotype"/>
        </w:rPr>
      </w:pPr>
      <w:r w:rsidRPr="00171E3F">
        <w:rPr>
          <w:rFonts w:ascii="Palatino Linotype" w:eastAsia="Palatino Linotype" w:hAnsi="Palatino Linotype" w:cs="Palatino Linotype"/>
        </w:rPr>
        <w:t>Comprobante de pago a la Comisión Federal de Electricidad 2021.</w:t>
      </w:r>
    </w:p>
    <w:p w:rsidR="00FF6A0D" w:rsidRDefault="006C2D84" w:rsidP="006C2D84">
      <w:pPr>
        <w:spacing w:before="240" w:after="240" w:line="360" w:lineRule="auto"/>
        <w:jc w:val="both"/>
        <w:rPr>
          <w:rFonts w:ascii="Palatino Linotype" w:eastAsia="Palatino Linotype" w:hAnsi="Palatino Linotype" w:cs="Palatino Linotype"/>
        </w:rPr>
      </w:pPr>
      <w:r w:rsidRPr="006C2D84">
        <w:rPr>
          <w:rFonts w:ascii="Palatino Linotype" w:eastAsia="Palatino Linotype" w:hAnsi="Palatino Linotype" w:cs="Palatino Linotype"/>
        </w:rPr>
        <w:t xml:space="preserve">El </w:t>
      </w:r>
      <w:r w:rsidRPr="006C2D84">
        <w:rPr>
          <w:rFonts w:ascii="Palatino Linotype" w:eastAsia="Palatino Linotype" w:hAnsi="Palatino Linotype" w:cs="Palatino Linotype"/>
          <w:b/>
        </w:rPr>
        <w:t>SUJETO OBLIGADO</w:t>
      </w:r>
      <w:r w:rsidRPr="006C2D84">
        <w:rPr>
          <w:rFonts w:ascii="Palatino Linotype" w:eastAsia="Palatino Linotype" w:hAnsi="Palatino Linotype" w:cs="Palatino Linotype"/>
        </w:rPr>
        <w:t xml:space="preserve">, a través de su Titular Honorario de la Unidad de Transparencia, con base a la información proporcionada por el Tesorero Municipal de Tenango del Aire, </w:t>
      </w:r>
      <w:r>
        <w:rPr>
          <w:rFonts w:ascii="Palatino Linotype" w:eastAsia="Palatino Linotype" w:hAnsi="Palatino Linotype" w:cs="Palatino Linotype"/>
        </w:rPr>
        <w:t>remitió los comprobantes de pago a la Comisión del Agua del Estado de México de los años 2019, 2020 y 2021, y los comprobantes de pago a la C</w:t>
      </w:r>
      <w:r w:rsidR="00FF6A0D">
        <w:rPr>
          <w:rFonts w:ascii="Palatino Linotype" w:eastAsia="Palatino Linotype" w:hAnsi="Palatino Linotype" w:cs="Palatino Linotype"/>
        </w:rPr>
        <w:t xml:space="preserve">omisión Federal de Electricidad (CFE) </w:t>
      </w:r>
      <w:r>
        <w:rPr>
          <w:rFonts w:ascii="Palatino Linotype" w:eastAsia="Palatino Linotype" w:hAnsi="Palatino Linotype" w:cs="Palatino Linotype"/>
        </w:rPr>
        <w:t xml:space="preserve">2019, 2020 y 2021, </w:t>
      </w:r>
      <w:r w:rsidR="00082F54">
        <w:rPr>
          <w:rFonts w:ascii="Palatino Linotype" w:eastAsia="Palatino Linotype" w:hAnsi="Palatino Linotype" w:cs="Palatino Linotype"/>
        </w:rPr>
        <w:t xml:space="preserve">sin embargo, estos comprobantes de pago a la Comisión del Agua corresponden a los meses de septiembre del año 2019, diciembre del año 2020 y octubre del año 2021, </w:t>
      </w:r>
      <w:r w:rsidR="00FF6A0D">
        <w:rPr>
          <w:rFonts w:ascii="Palatino Linotype" w:eastAsia="Palatino Linotype" w:hAnsi="Palatino Linotype" w:cs="Palatino Linotype"/>
        </w:rPr>
        <w:t>y los comprobantes de pago a la CFE corresponden a los meses de marzo del año 2019, septiembre del año 2020 y octubre del año 2021, sin que se tenga certeza si dichos pagos corresponden de manera anual de los años 2019, 2020 y 2021, o si realmente dichos pagos se generaron mensualmente, por lo que en su caso faltaría</w:t>
      </w:r>
      <w:r w:rsidR="00AD3CBC">
        <w:rPr>
          <w:rFonts w:ascii="Palatino Linotype" w:eastAsia="Palatino Linotype" w:hAnsi="Palatino Linotype" w:cs="Palatino Linotype"/>
        </w:rPr>
        <w:t>n</w:t>
      </w:r>
      <w:r w:rsidR="00FF6A0D">
        <w:rPr>
          <w:rFonts w:ascii="Palatino Linotype" w:eastAsia="Palatino Linotype" w:hAnsi="Palatino Linotype" w:cs="Palatino Linotype"/>
        </w:rPr>
        <w:t xml:space="preserve"> </w:t>
      </w:r>
      <w:r w:rsidR="00AD3CBC">
        <w:rPr>
          <w:rFonts w:ascii="Palatino Linotype" w:eastAsia="Palatino Linotype" w:hAnsi="Palatino Linotype" w:cs="Palatino Linotype"/>
        </w:rPr>
        <w:t xml:space="preserve">los meses </w:t>
      </w:r>
      <w:r w:rsidR="00FF6A0D">
        <w:rPr>
          <w:rFonts w:ascii="Palatino Linotype" w:eastAsia="Palatino Linotype" w:hAnsi="Palatino Linotype" w:cs="Palatino Linotype"/>
        </w:rPr>
        <w:t>correspondientes.</w:t>
      </w:r>
    </w:p>
    <w:p w:rsidR="006C2D84" w:rsidRDefault="00FF6A0D" w:rsidP="006C2D8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w:t>
      </w:r>
      <w:r w:rsidR="002C0354">
        <w:rPr>
          <w:rFonts w:ascii="Palatino Linotype" w:eastAsia="Palatino Linotype" w:hAnsi="Palatino Linotype" w:cs="Palatino Linotype"/>
        </w:rPr>
        <w:t xml:space="preserve">ese sentido, si bien es cierto que el área del </w:t>
      </w:r>
      <w:r w:rsidR="002C0354" w:rsidRPr="002C0354">
        <w:rPr>
          <w:rFonts w:ascii="Palatino Linotype" w:eastAsia="Palatino Linotype" w:hAnsi="Palatino Linotype" w:cs="Palatino Linotype"/>
          <w:b/>
        </w:rPr>
        <w:t>SUJETO OBLIGADO</w:t>
      </w:r>
      <w:r w:rsidR="002C0354">
        <w:rPr>
          <w:rFonts w:ascii="Palatino Linotype" w:eastAsia="Palatino Linotype" w:hAnsi="Palatino Linotype" w:cs="Palatino Linotype"/>
        </w:rPr>
        <w:t xml:space="preserve">, que se pronunció fue la Tesorería Municipal, quien en términos de lo señalado </w:t>
      </w:r>
      <w:r w:rsidR="006C2D84">
        <w:rPr>
          <w:rFonts w:ascii="Palatino Linotype" w:eastAsia="Palatino Linotype" w:hAnsi="Palatino Linotype" w:cs="Palatino Linotype"/>
        </w:rPr>
        <w:t xml:space="preserve">por el </w:t>
      </w:r>
      <w:r w:rsidR="006C2D84">
        <w:rPr>
          <w:rFonts w:ascii="Palatino Linotype" w:eastAsia="Palatino Linotype" w:hAnsi="Palatino Linotype" w:cs="Palatino Linotype"/>
        </w:rPr>
        <w:lastRenderedPageBreak/>
        <w:t xml:space="preserve">artículo 194 fracciones </w:t>
      </w:r>
      <w:r w:rsidR="00DE5866">
        <w:rPr>
          <w:rFonts w:ascii="Palatino Linotype" w:eastAsia="Palatino Linotype" w:hAnsi="Palatino Linotype" w:cs="Palatino Linotype"/>
        </w:rPr>
        <w:t xml:space="preserve">IV y XXIII </w:t>
      </w:r>
      <w:r w:rsidR="006C2D84">
        <w:rPr>
          <w:rFonts w:ascii="Palatino Linotype" w:eastAsia="Palatino Linotype" w:hAnsi="Palatino Linotype" w:cs="Palatino Linotype"/>
        </w:rPr>
        <w:t>del Bando Municipal de Policía y Buen Gobierno de Tenango del Aire para el año 2022</w:t>
      </w:r>
      <w:r w:rsidR="002C0354">
        <w:rPr>
          <w:rFonts w:ascii="Palatino Linotype" w:eastAsia="Palatino Linotype" w:hAnsi="Palatino Linotype" w:cs="Palatino Linotype"/>
        </w:rPr>
        <w:t>, es la competente para generar, administrar o poseer la información solicitada</w:t>
      </w:r>
      <w:r w:rsidR="006C2D84">
        <w:rPr>
          <w:rFonts w:ascii="Palatino Linotype" w:eastAsia="Palatino Linotype" w:hAnsi="Palatino Linotype" w:cs="Palatino Linotype"/>
        </w:rPr>
        <w:t xml:space="preserve">, </w:t>
      </w:r>
      <w:r w:rsidR="002C0354">
        <w:rPr>
          <w:rFonts w:ascii="Palatino Linotype" w:eastAsia="Palatino Linotype" w:hAnsi="Palatino Linotype" w:cs="Palatino Linotype"/>
        </w:rPr>
        <w:t>ya que tiene las siguientes atribuciones</w:t>
      </w:r>
      <w:r w:rsidR="006C2D84">
        <w:rPr>
          <w:rFonts w:ascii="Palatino Linotype" w:eastAsia="Palatino Linotype" w:hAnsi="Palatino Linotype" w:cs="Palatino Linotype"/>
        </w:rPr>
        <w:t>:</w:t>
      </w:r>
    </w:p>
    <w:p w:rsidR="0053171F" w:rsidRDefault="00DE5866" w:rsidP="006C2D84">
      <w:pPr>
        <w:ind w:left="851" w:right="901"/>
        <w:jc w:val="both"/>
        <w:rPr>
          <w:rFonts w:ascii="Palatino Linotype" w:eastAsia="Arial Unicode MS" w:hAnsi="Palatino Linotype" w:cs="Arial"/>
          <w:i/>
          <w:sz w:val="22"/>
        </w:rPr>
      </w:pPr>
      <w:r>
        <w:rPr>
          <w:rFonts w:ascii="Palatino Linotype" w:eastAsia="Arial Unicode MS" w:hAnsi="Palatino Linotype" w:cs="Arial"/>
          <w:i/>
          <w:sz w:val="22"/>
        </w:rPr>
        <w:t>“</w:t>
      </w:r>
      <w:r w:rsidR="006C2D84" w:rsidRPr="006C2D84">
        <w:rPr>
          <w:rFonts w:ascii="Palatino Linotype" w:eastAsia="Arial Unicode MS" w:hAnsi="Palatino Linotype" w:cs="Arial"/>
          <w:i/>
          <w:sz w:val="22"/>
        </w:rPr>
        <w:t>Artículo 194.- Derivado de las necesidades del servicio, la tesorera municipal tendrá facultades en materia de administración y finanzas del Ayuntamiento y sus dependencias, con las atribuciones que el reglamento interno de la tesorería municipal y demás d</w:t>
      </w:r>
      <w:r w:rsidR="0053171F">
        <w:rPr>
          <w:rFonts w:ascii="Palatino Linotype" w:eastAsia="Arial Unicode MS" w:hAnsi="Palatino Linotype" w:cs="Arial"/>
          <w:i/>
          <w:sz w:val="22"/>
        </w:rPr>
        <w:t xml:space="preserve">isposiciones legales señalen. </w:t>
      </w:r>
    </w:p>
    <w:p w:rsidR="0053171F" w:rsidRDefault="006C2D84" w:rsidP="006C2D84">
      <w:pPr>
        <w:ind w:left="851" w:right="901"/>
        <w:jc w:val="both"/>
        <w:rPr>
          <w:rFonts w:ascii="Palatino Linotype" w:eastAsia="Arial Unicode MS" w:hAnsi="Palatino Linotype" w:cs="Arial"/>
          <w:i/>
          <w:sz w:val="22"/>
        </w:rPr>
      </w:pPr>
      <w:r w:rsidRPr="0053171F">
        <w:rPr>
          <w:rFonts w:ascii="Palatino Linotype" w:eastAsia="Arial Unicode MS" w:hAnsi="Palatino Linotype" w:cs="Arial"/>
          <w:b/>
          <w:i/>
          <w:sz w:val="22"/>
        </w:rPr>
        <w:t>La Tesorera Municipal tendrá las siguientes atribuciones</w:t>
      </w:r>
      <w:r w:rsidRPr="006C2D84">
        <w:rPr>
          <w:rFonts w:ascii="Palatino Linotype" w:eastAsia="Arial Unicode MS" w:hAnsi="Palatino Linotype" w:cs="Arial"/>
          <w:i/>
          <w:sz w:val="22"/>
        </w:rPr>
        <w:t xml:space="preserve">: </w:t>
      </w:r>
    </w:p>
    <w:p w:rsidR="00DE5866" w:rsidRDefault="00DE5866" w:rsidP="006C2D84">
      <w:pPr>
        <w:ind w:left="851" w:right="901"/>
        <w:jc w:val="both"/>
        <w:rPr>
          <w:rFonts w:ascii="Palatino Linotype" w:eastAsia="Arial Unicode MS" w:hAnsi="Palatino Linotype" w:cs="Arial"/>
          <w:i/>
          <w:sz w:val="22"/>
        </w:rPr>
      </w:pPr>
      <w:r>
        <w:rPr>
          <w:rFonts w:ascii="Palatino Linotype" w:eastAsia="Arial Unicode MS" w:hAnsi="Palatino Linotype" w:cs="Arial"/>
          <w:i/>
          <w:sz w:val="22"/>
        </w:rPr>
        <w:t>…</w:t>
      </w:r>
    </w:p>
    <w:p w:rsidR="006C2D84" w:rsidRDefault="006C2D84" w:rsidP="006C2D84">
      <w:pPr>
        <w:ind w:left="851" w:right="901"/>
        <w:jc w:val="both"/>
        <w:rPr>
          <w:rFonts w:ascii="Palatino Linotype" w:eastAsia="Arial Unicode MS" w:hAnsi="Palatino Linotype" w:cs="Arial"/>
          <w:i/>
          <w:sz w:val="22"/>
        </w:rPr>
      </w:pPr>
      <w:r w:rsidRPr="006C2D84">
        <w:rPr>
          <w:rFonts w:ascii="Palatino Linotype" w:eastAsia="Arial Unicode MS" w:hAnsi="Palatino Linotype" w:cs="Arial"/>
          <w:i/>
          <w:sz w:val="22"/>
        </w:rPr>
        <w:t xml:space="preserve">IV. Llevar los registros contables, financieros y administrativos de los ingresos, egresos, e inventarios; </w:t>
      </w:r>
    </w:p>
    <w:p w:rsidR="00DE5866" w:rsidRDefault="00DE5866" w:rsidP="006C2D84">
      <w:pPr>
        <w:ind w:left="851" w:right="901"/>
        <w:jc w:val="both"/>
        <w:rPr>
          <w:rFonts w:ascii="Palatino Linotype" w:eastAsia="Arial Unicode MS" w:hAnsi="Palatino Linotype" w:cs="Arial"/>
          <w:i/>
          <w:sz w:val="22"/>
        </w:rPr>
      </w:pPr>
      <w:r>
        <w:rPr>
          <w:rFonts w:ascii="Palatino Linotype" w:eastAsia="Arial Unicode MS" w:hAnsi="Palatino Linotype" w:cs="Arial"/>
          <w:i/>
          <w:sz w:val="22"/>
        </w:rPr>
        <w:t>…</w:t>
      </w:r>
    </w:p>
    <w:p w:rsidR="00DE5866" w:rsidRPr="006C2D84" w:rsidRDefault="00DE5866" w:rsidP="00DE5866">
      <w:pPr>
        <w:ind w:left="851" w:right="901"/>
        <w:jc w:val="both"/>
        <w:rPr>
          <w:rFonts w:ascii="Palatino Linotype" w:eastAsia="Arial Unicode MS" w:hAnsi="Palatino Linotype" w:cs="Arial"/>
          <w:i/>
          <w:sz w:val="22"/>
        </w:rPr>
      </w:pPr>
      <w:r w:rsidRPr="00DE5866">
        <w:rPr>
          <w:rFonts w:ascii="Palatino Linotype" w:eastAsia="Arial Unicode MS" w:hAnsi="Palatino Linotype" w:cs="Arial"/>
          <w:i/>
          <w:sz w:val="22"/>
        </w:rPr>
        <w:t xml:space="preserve">XXIII. Prestar los servicios relacionados con la recaudación, concentración, administración y custodia de fondos y valores, </w:t>
      </w:r>
      <w:r w:rsidRPr="000D5198">
        <w:rPr>
          <w:rFonts w:ascii="Palatino Linotype" w:eastAsia="Arial Unicode MS" w:hAnsi="Palatino Linotype" w:cs="Arial"/>
          <w:i/>
          <w:sz w:val="22"/>
        </w:rPr>
        <w:t>así como la realización de pagos con cargo al presupuesto de egresos</w:t>
      </w:r>
      <w:r>
        <w:rPr>
          <w:rFonts w:ascii="Palatino Linotype" w:eastAsia="Arial Unicode MS" w:hAnsi="Palatino Linotype" w:cs="Arial"/>
          <w:i/>
          <w:sz w:val="22"/>
        </w:rPr>
        <w:t>…” (Sic)</w:t>
      </w:r>
    </w:p>
    <w:p w:rsidR="002C0354" w:rsidRPr="002C0354" w:rsidRDefault="002C0354" w:rsidP="002C0354">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Lo cierto es, que su pronunciamiento </w:t>
      </w:r>
      <w:r w:rsidRPr="002C0354">
        <w:rPr>
          <w:rFonts w:ascii="Palatino Linotype" w:eastAsia="Palatino Linotype" w:hAnsi="Palatino Linotype" w:cs="Palatino Linotype"/>
        </w:rPr>
        <w:t xml:space="preserve">careció </w:t>
      </w:r>
      <w:r w:rsidRPr="002C0354">
        <w:rPr>
          <w:rFonts w:ascii="Palatino Linotype" w:eastAsia="Palatino Linotype" w:hAnsi="Palatino Linotype" w:cs="Palatino Linotype"/>
          <w:color w:val="000000"/>
        </w:rPr>
        <w:t>de los principios de congruencia y exhaustividad, como refuerzo de lo anterior</w:t>
      </w:r>
      <w:r w:rsidRPr="002C0354">
        <w:rPr>
          <w:rFonts w:ascii="Palatino Linotype" w:eastAsia="Palatino Linotype" w:hAnsi="Palatino Linotype" w:cs="Palatino Linotype"/>
          <w:color w:val="000000"/>
          <w:u w:val="single"/>
        </w:rPr>
        <w:t xml:space="preserve">, resulta crucial el Criterio 02/17, emitido por el Pleno del </w:t>
      </w:r>
      <w:r w:rsidRPr="002C0354">
        <w:rPr>
          <w:rFonts w:ascii="Palatino Linotype" w:eastAsia="Palatino Linotype" w:hAnsi="Palatino Linotype" w:cs="Palatino Linotype"/>
          <w:color w:val="000000"/>
        </w:rPr>
        <w:t>Instituto Nacional de Transparencia y Acceso a la Información y Protección de Datos Personales, de título y texto siguientes:</w:t>
      </w:r>
    </w:p>
    <w:p w:rsidR="002C0354" w:rsidRDefault="002C0354" w:rsidP="002C0354">
      <w:pPr>
        <w:spacing w:before="240" w:after="240"/>
        <w:ind w:left="567" w:right="900"/>
        <w:jc w:val="both"/>
        <w:rPr>
          <w:rFonts w:ascii="Palatino Linotype" w:eastAsia="Palatino Linotype" w:hAnsi="Palatino Linotype" w:cs="Palatino Linotype"/>
          <w:i/>
          <w:color w:val="000000"/>
        </w:rPr>
      </w:pPr>
      <w:r w:rsidRPr="002C0354">
        <w:rPr>
          <w:rFonts w:ascii="Palatino Linotype" w:eastAsia="Palatino Linotype" w:hAnsi="Palatino Linotype" w:cs="Palatino Linotype"/>
          <w:b/>
          <w:i/>
          <w:color w:val="000000"/>
        </w:rPr>
        <w:t xml:space="preserve">“Congruencia y exhaustividad. Sus alcances para garantizar el derecho de acceso a la información. </w:t>
      </w:r>
      <w:r w:rsidRPr="002C0354">
        <w:rPr>
          <w:rFonts w:ascii="Palatino Linotype" w:eastAsia="Palatino Linotype" w:hAnsi="Palatino Linotype" w:cs="Palatino Linotype"/>
          <w:i/>
          <w:color w:val="00000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2C0354">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sidRPr="002C0354">
        <w:rPr>
          <w:rFonts w:ascii="Palatino Linotype" w:eastAsia="Palatino Linotype" w:hAnsi="Palatino Linotype" w:cs="Palatino Linotype"/>
          <w:i/>
          <w:color w:val="000000"/>
        </w:rPr>
        <w:t xml:space="preserve">; mientras que </w:t>
      </w:r>
      <w:r w:rsidRPr="002C0354">
        <w:rPr>
          <w:rFonts w:ascii="Palatino Linotype" w:eastAsia="Palatino Linotype" w:hAnsi="Palatino Linotype" w:cs="Palatino Linotype"/>
          <w:b/>
          <w:i/>
          <w:color w:val="000000"/>
        </w:rPr>
        <w:t>la exhaustividad significa que dicha respuesta se refiera expresamente a cada uno de los puntos solicitados</w:t>
      </w:r>
      <w:r w:rsidRPr="002C0354">
        <w:rPr>
          <w:rFonts w:ascii="Palatino Linotype" w:eastAsia="Palatino Linotype" w:hAnsi="Palatino Linotype" w:cs="Palatino Linotype"/>
          <w:i/>
          <w:color w:val="000000"/>
        </w:rPr>
        <w:t xml:space="preserve">. Por lo anterior, los sujetos obligados cumplirán con los principios de congruencia y exhaustividad, cuando las respuestas que emitan </w:t>
      </w:r>
      <w:r w:rsidRPr="002C0354">
        <w:rPr>
          <w:rFonts w:ascii="Palatino Linotype" w:eastAsia="Palatino Linotype" w:hAnsi="Palatino Linotype" w:cs="Palatino Linotype"/>
          <w:i/>
          <w:color w:val="000000"/>
        </w:rPr>
        <w:lastRenderedPageBreak/>
        <w:t>guarden una relación lógica con lo solicitado y atiendan de manera puntual y expresa, cada uno de los contenidos de información.” (Sic)</w:t>
      </w:r>
    </w:p>
    <w:p w:rsidR="002C0354" w:rsidRDefault="002C0354" w:rsidP="000D519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no precisó si dichos comprobantes de pago, corresponden a los anuales ya que de los mismos se desprenden que se tratan de pagos realizados en los meses de marzo, septiembre, octubre y diciembre, respectivamente; razones </w:t>
      </w:r>
      <w:r w:rsidR="00D605CA">
        <w:rPr>
          <w:rFonts w:ascii="Palatino Linotype" w:eastAsia="Palatino Linotype" w:hAnsi="Palatino Linotype" w:cs="Palatino Linotype"/>
        </w:rPr>
        <w:t xml:space="preserve">por los cuales lo procedente es </w:t>
      </w:r>
      <w:r>
        <w:rPr>
          <w:rFonts w:ascii="Palatino Linotype" w:eastAsia="Palatino Linotype" w:hAnsi="Palatino Linotype" w:cs="Palatino Linotype"/>
        </w:rPr>
        <w:t xml:space="preserve">ordenar los comprobantes de pago </w:t>
      </w:r>
      <w:r w:rsidR="00D605CA">
        <w:rPr>
          <w:rFonts w:ascii="Palatino Linotype" w:eastAsia="Palatino Linotype" w:hAnsi="Palatino Linotype" w:cs="Palatino Linotype"/>
        </w:rPr>
        <w:t xml:space="preserve">a la Comisión del Agua del Estado de México y Comisión Federal de Electricidad, faltantes y de ser procedente en versión pública conforme a lo señalado en el considerando quinto del presente fallo. </w:t>
      </w: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w:t>
      </w:r>
      <w:proofErr w:type="spellStart"/>
      <w:r>
        <w:rPr>
          <w:rFonts w:ascii="Palatino Linotype" w:eastAsia="Palatino Linotype" w:hAnsi="Palatino Linotype" w:cs="Palatino Linotype"/>
        </w:rPr>
        <w:t>de el</w:t>
      </w:r>
      <w:proofErr w:type="spellEnd"/>
      <w:r>
        <w:rPr>
          <w:rFonts w:ascii="Palatino Linotype" w:eastAsia="Palatino Linotype" w:hAnsi="Palatino Linotype" w:cs="Palatino Linotype"/>
        </w:rPr>
        <w:t xml:space="preserve"> RECURRENTE sin menoscabar el derecho a la protección de los datos personales de terceros.</w:t>
      </w:r>
    </w:p>
    <w:p w:rsidR="0019016C" w:rsidRDefault="0019016C">
      <w:pPr>
        <w:spacing w:line="360" w:lineRule="auto"/>
        <w:jc w:val="both"/>
        <w:rPr>
          <w:rFonts w:ascii="Palatino Linotype" w:eastAsia="Palatino Linotype" w:hAnsi="Palatino Linotype" w:cs="Palatino Linotype"/>
        </w:rPr>
      </w:pPr>
    </w:p>
    <w:p w:rsidR="0019016C" w:rsidRDefault="009357F8">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19016C" w:rsidRDefault="009357F8">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19016C" w:rsidRDefault="0019016C">
      <w:pPr>
        <w:ind w:left="993" w:right="1041"/>
        <w:jc w:val="both"/>
        <w:rPr>
          <w:rFonts w:ascii="Palatino Linotype" w:eastAsia="Palatino Linotype" w:hAnsi="Palatino Linotype" w:cs="Palatino Linotype"/>
          <w:i/>
          <w:sz w:val="22"/>
          <w:szCs w:val="22"/>
        </w:rPr>
      </w:pP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19016C" w:rsidRDefault="0019016C">
      <w:pPr>
        <w:ind w:left="993" w:right="1041"/>
        <w:jc w:val="both"/>
        <w:rPr>
          <w:rFonts w:ascii="Palatino Linotype" w:eastAsia="Palatino Linotype" w:hAnsi="Palatino Linotype" w:cs="Palatino Linotype"/>
          <w:i/>
          <w:sz w:val="22"/>
          <w:szCs w:val="22"/>
        </w:rPr>
      </w:pPr>
    </w:p>
    <w:p w:rsidR="0019016C" w:rsidRDefault="009357F8">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9016C" w:rsidRDefault="0019016C">
      <w:pPr>
        <w:ind w:left="993" w:right="1041"/>
        <w:jc w:val="both"/>
        <w:rPr>
          <w:rFonts w:ascii="Palatino Linotype" w:eastAsia="Palatino Linotype" w:hAnsi="Palatino Linotype" w:cs="Palatino Linotype"/>
          <w:b/>
          <w:i/>
          <w:sz w:val="22"/>
          <w:szCs w:val="22"/>
        </w:rPr>
      </w:pP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19016C" w:rsidRDefault="0019016C">
      <w:pPr>
        <w:ind w:left="993" w:right="1041"/>
        <w:jc w:val="both"/>
        <w:rPr>
          <w:rFonts w:ascii="Palatino Linotype" w:eastAsia="Palatino Linotype" w:hAnsi="Palatino Linotype" w:cs="Palatino Linotype"/>
          <w:i/>
          <w:sz w:val="22"/>
          <w:szCs w:val="22"/>
        </w:rPr>
      </w:pPr>
    </w:p>
    <w:p w:rsidR="0019016C" w:rsidRDefault="009357F8">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19016C" w:rsidRDefault="0019016C">
      <w:pPr>
        <w:spacing w:line="360" w:lineRule="auto"/>
        <w:ind w:right="51"/>
        <w:jc w:val="both"/>
        <w:rPr>
          <w:rFonts w:ascii="Palatino Linotype" w:eastAsia="Palatino Linotype" w:hAnsi="Palatino Linotype" w:cs="Palatino Linotype"/>
        </w:rPr>
      </w:pPr>
    </w:p>
    <w:p w:rsidR="0019016C" w:rsidRDefault="009357F8">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19016C" w:rsidRDefault="0019016C">
      <w:pPr>
        <w:spacing w:line="360" w:lineRule="auto"/>
        <w:ind w:right="51"/>
        <w:jc w:val="both"/>
        <w:rPr>
          <w:rFonts w:ascii="Palatino Linotype" w:eastAsia="Palatino Linotype" w:hAnsi="Palatino Linotype" w:cs="Palatino Linotype"/>
        </w:rPr>
      </w:pPr>
    </w:p>
    <w:p w:rsidR="0019016C" w:rsidRDefault="009357F8">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sino que ello deberá realizarse en </w:t>
      </w:r>
      <w:r>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rsidR="0019016C" w:rsidRDefault="0019016C">
      <w:pPr>
        <w:spacing w:line="360" w:lineRule="auto"/>
        <w:ind w:right="51"/>
        <w:jc w:val="both"/>
        <w:rPr>
          <w:rFonts w:ascii="Palatino Linotype" w:eastAsia="Palatino Linotype" w:hAnsi="Palatino Linotype" w:cs="Palatino Linotype"/>
        </w:rPr>
      </w:pPr>
    </w:p>
    <w:p w:rsidR="0019016C" w:rsidRDefault="009357F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19016C" w:rsidRDefault="009357F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19016C" w:rsidRDefault="009357F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19016C" w:rsidRDefault="009357F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19016C" w:rsidRDefault="009357F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19016C" w:rsidRDefault="009357F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 (Sic)</w:t>
      </w:r>
    </w:p>
    <w:p w:rsidR="0019016C" w:rsidRDefault="0019016C">
      <w:pPr>
        <w:ind w:left="992" w:right="1043"/>
        <w:jc w:val="both"/>
        <w:rPr>
          <w:rFonts w:ascii="Palatino Linotype" w:eastAsia="Palatino Linotype" w:hAnsi="Palatino Linotype" w:cs="Palatino Linotype"/>
          <w:i/>
          <w:sz w:val="22"/>
          <w:szCs w:val="22"/>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19016C" w:rsidRDefault="0019016C">
      <w:pPr>
        <w:spacing w:line="360" w:lineRule="auto"/>
        <w:jc w:val="both"/>
        <w:rPr>
          <w:rFonts w:ascii="Palatino Linotype" w:eastAsia="Palatino Linotype" w:hAnsi="Palatino Linotype" w:cs="Palatino Linotype"/>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19016C" w:rsidRDefault="0019016C">
      <w:pPr>
        <w:spacing w:line="360" w:lineRule="auto"/>
        <w:jc w:val="both"/>
        <w:rPr>
          <w:rFonts w:ascii="Palatino Linotype" w:eastAsia="Palatino Linotype" w:hAnsi="Palatino Linotype" w:cs="Palatino Linotype"/>
        </w:rPr>
      </w:pPr>
    </w:p>
    <w:p w:rsidR="0019016C" w:rsidRDefault="009357F8">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19016C" w:rsidRDefault="0019016C">
      <w:pPr>
        <w:spacing w:before="240" w:line="360" w:lineRule="auto"/>
        <w:ind w:right="51"/>
        <w:jc w:val="both"/>
        <w:rPr>
          <w:rFonts w:ascii="Palatino Linotype" w:eastAsia="Palatino Linotype" w:hAnsi="Palatino Linotype" w:cs="Palatino Linotype"/>
          <w:i/>
          <w:sz w:val="22"/>
          <w:szCs w:val="22"/>
        </w:rPr>
      </w:pPr>
    </w:p>
    <w:p w:rsidR="0019016C" w:rsidRDefault="009357F8">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D5198" w:rsidRDefault="000D5198">
      <w:pPr>
        <w:spacing w:line="360" w:lineRule="auto"/>
        <w:ind w:right="51"/>
        <w:jc w:val="both"/>
        <w:rPr>
          <w:rFonts w:ascii="Palatino Linotype" w:eastAsia="Palatino Linotype" w:hAnsi="Palatino Linotype" w:cs="Palatino Linotype"/>
        </w:rPr>
      </w:pPr>
    </w:p>
    <w:p w:rsidR="000E7C55" w:rsidRPr="00F820D1" w:rsidRDefault="000E7C55" w:rsidP="000E7C55">
      <w:pPr>
        <w:spacing w:line="360" w:lineRule="auto"/>
        <w:jc w:val="both"/>
        <w:rPr>
          <w:rFonts w:ascii="Palatino Linotype" w:hAnsi="Palatino Linotype"/>
        </w:rPr>
      </w:pPr>
      <w:r w:rsidRPr="00F820D1">
        <w:rPr>
          <w:rFonts w:ascii="Palatino Linotype" w:hAnsi="Palatino Linotype" w:cs="Arial"/>
          <w:sz w:val="22"/>
          <w:szCs w:val="22"/>
        </w:rPr>
        <w:t xml:space="preserve">Es así, que </w:t>
      </w:r>
      <w:r w:rsidRPr="00F820D1">
        <w:rPr>
          <w:rFonts w:ascii="Palatino Linotype" w:hAnsi="Palatino Linotype"/>
        </w:rPr>
        <w:t>por cuanto hace al el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rsidR="000E7C55" w:rsidRPr="00F820D1" w:rsidRDefault="000E7C55" w:rsidP="000E7C55">
      <w:pPr>
        <w:autoSpaceDE w:val="0"/>
        <w:autoSpaceDN w:val="0"/>
        <w:adjustRightInd w:val="0"/>
        <w:spacing w:line="360" w:lineRule="auto"/>
        <w:ind w:right="50"/>
        <w:jc w:val="both"/>
        <w:rPr>
          <w:rFonts w:ascii="Palatino Linotype" w:hAnsi="Palatino Linotype"/>
        </w:rPr>
      </w:pPr>
    </w:p>
    <w:p w:rsidR="000E7C55" w:rsidRPr="00F820D1" w:rsidRDefault="000E7C55" w:rsidP="000E7C55">
      <w:pPr>
        <w:autoSpaceDE w:val="0"/>
        <w:autoSpaceDN w:val="0"/>
        <w:adjustRightInd w:val="0"/>
        <w:spacing w:line="360" w:lineRule="auto"/>
        <w:ind w:right="51"/>
        <w:jc w:val="both"/>
        <w:rPr>
          <w:rFonts w:ascii="Palatino Linotype" w:hAnsi="Palatino Linotype"/>
        </w:rPr>
      </w:pPr>
      <w:r w:rsidRPr="00F820D1">
        <w:rPr>
          <w:rFonts w:ascii="Palatino Linotype" w:hAnsi="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w:t>
      </w:r>
      <w:r w:rsidRPr="00F820D1">
        <w:rPr>
          <w:rFonts w:ascii="Palatino Linotype" w:hAnsi="Palatino Linotype"/>
        </w:rPr>
        <w:lastRenderedPageBreak/>
        <w:t xml:space="preserve">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0E7C55" w:rsidRPr="00F820D1" w:rsidRDefault="000E7C55" w:rsidP="000E7C55">
      <w:pPr>
        <w:autoSpaceDE w:val="0"/>
        <w:autoSpaceDN w:val="0"/>
        <w:adjustRightInd w:val="0"/>
        <w:spacing w:line="360" w:lineRule="auto"/>
        <w:ind w:right="51"/>
        <w:jc w:val="both"/>
        <w:rPr>
          <w:rFonts w:ascii="Palatino Linotype" w:hAnsi="Palatino Linotype"/>
        </w:rPr>
      </w:pPr>
    </w:p>
    <w:p w:rsidR="000E7C55" w:rsidRPr="00F820D1" w:rsidRDefault="000E7C55" w:rsidP="000E7C55">
      <w:pPr>
        <w:autoSpaceDE w:val="0"/>
        <w:autoSpaceDN w:val="0"/>
        <w:adjustRightInd w:val="0"/>
        <w:spacing w:line="360" w:lineRule="auto"/>
        <w:ind w:right="50"/>
        <w:jc w:val="both"/>
        <w:rPr>
          <w:rFonts w:ascii="Palatino Linotype" w:hAnsi="Palatino Linotype"/>
        </w:rPr>
      </w:pPr>
      <w:r w:rsidRPr="00F820D1">
        <w:rPr>
          <w:rFonts w:ascii="Palatino Linotype" w:hAnsi="Palatino Linotype"/>
        </w:rPr>
        <w:t>Lo anterior encuentra sustento en el criterio 10/17 emitido por el Instituto Nacional de Transparencia y Acceso a la Información Pública del Estado de México y Municipios, que a la letra dicen:</w:t>
      </w:r>
    </w:p>
    <w:p w:rsidR="000E7C55" w:rsidRPr="00F820D1" w:rsidRDefault="000E7C55" w:rsidP="000E7C55">
      <w:pPr>
        <w:autoSpaceDE w:val="0"/>
        <w:autoSpaceDN w:val="0"/>
        <w:adjustRightInd w:val="0"/>
        <w:ind w:right="50"/>
        <w:jc w:val="both"/>
        <w:rPr>
          <w:rFonts w:ascii="Palatino Linotype" w:hAnsi="Palatino Linotype"/>
        </w:rPr>
      </w:pPr>
    </w:p>
    <w:p w:rsidR="000E7C55" w:rsidRPr="00F820D1" w:rsidRDefault="000E7C55" w:rsidP="000E7C55">
      <w:pPr>
        <w:autoSpaceDE w:val="0"/>
        <w:autoSpaceDN w:val="0"/>
        <w:adjustRightInd w:val="0"/>
        <w:ind w:left="851" w:right="1134"/>
        <w:jc w:val="both"/>
        <w:rPr>
          <w:rFonts w:ascii="Palatino Linotype" w:hAnsi="Palatino Linotype"/>
          <w:i/>
          <w:sz w:val="22"/>
          <w:szCs w:val="22"/>
        </w:rPr>
      </w:pPr>
      <w:r w:rsidRPr="00F820D1">
        <w:rPr>
          <w:rFonts w:ascii="Palatino Linotype" w:hAnsi="Palatino Linotype"/>
          <w:b/>
          <w:i/>
          <w:sz w:val="22"/>
          <w:szCs w:val="22"/>
        </w:rPr>
        <w:t>“Cuentas bancarias y/o CLABE interbancaria de personas físicas y morales privadas.</w:t>
      </w:r>
      <w:r w:rsidRPr="00F820D1">
        <w:rPr>
          <w:rFonts w:ascii="Palatino Linotype" w:hAnsi="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E7C55" w:rsidRPr="00F820D1" w:rsidRDefault="000E7C55" w:rsidP="000E7C55">
      <w:pPr>
        <w:autoSpaceDE w:val="0"/>
        <w:autoSpaceDN w:val="0"/>
        <w:adjustRightInd w:val="0"/>
        <w:ind w:left="851" w:right="899"/>
        <w:jc w:val="center"/>
        <w:rPr>
          <w:rFonts w:ascii="Palatino Linotype" w:hAnsi="Palatino Linotype"/>
          <w:b/>
          <w:i/>
          <w:sz w:val="22"/>
          <w:szCs w:val="22"/>
        </w:rPr>
      </w:pPr>
    </w:p>
    <w:p w:rsidR="000E7C55" w:rsidRPr="00F820D1" w:rsidRDefault="000E7C55" w:rsidP="000E7C55">
      <w:pPr>
        <w:autoSpaceDE w:val="0"/>
        <w:autoSpaceDN w:val="0"/>
        <w:adjustRightInd w:val="0"/>
        <w:spacing w:line="360" w:lineRule="auto"/>
        <w:ind w:right="50"/>
        <w:jc w:val="both"/>
        <w:rPr>
          <w:rFonts w:ascii="Palatino Linotype" w:hAnsi="Palatino Linotype"/>
        </w:rPr>
      </w:pPr>
      <w:r w:rsidRPr="00F820D1">
        <w:rPr>
          <w:rFonts w:ascii="Palatino Linotype" w:hAnsi="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0E7C55" w:rsidRPr="00F820D1" w:rsidRDefault="000E7C55" w:rsidP="000E7C55">
      <w:pPr>
        <w:autoSpaceDE w:val="0"/>
        <w:autoSpaceDN w:val="0"/>
        <w:adjustRightInd w:val="0"/>
        <w:ind w:right="50"/>
        <w:jc w:val="both"/>
        <w:rPr>
          <w:rFonts w:ascii="Palatino Linotype" w:hAnsi="Palatino Linotype"/>
        </w:rPr>
      </w:pPr>
    </w:p>
    <w:p w:rsidR="000E7C55" w:rsidRPr="00F820D1" w:rsidRDefault="000E7C55" w:rsidP="000E7C55">
      <w:pPr>
        <w:autoSpaceDE w:val="0"/>
        <w:autoSpaceDN w:val="0"/>
        <w:adjustRightInd w:val="0"/>
        <w:ind w:left="851" w:right="1134"/>
        <w:jc w:val="both"/>
        <w:rPr>
          <w:rFonts w:ascii="Palatino Linotype" w:hAnsi="Palatino Linotype"/>
          <w:i/>
          <w:sz w:val="22"/>
          <w:szCs w:val="22"/>
        </w:rPr>
      </w:pPr>
      <w:r w:rsidRPr="00F820D1">
        <w:rPr>
          <w:rFonts w:ascii="Palatino Linotype" w:hAnsi="Palatino Linotype"/>
          <w:i/>
          <w:sz w:val="22"/>
          <w:szCs w:val="22"/>
        </w:rPr>
        <w:t>“</w:t>
      </w:r>
      <w:r w:rsidRPr="00F820D1">
        <w:rPr>
          <w:rFonts w:ascii="Palatino Linotype" w:hAnsi="Palatino Linotype"/>
          <w:b/>
          <w:i/>
          <w:sz w:val="22"/>
          <w:szCs w:val="22"/>
        </w:rPr>
        <w:t>Cuentas bancarias y/o CLABE interbancaria de sujetos obligados que reciben y/o transfieren recursos públicos, son información pública.</w:t>
      </w:r>
      <w:r w:rsidRPr="00F820D1">
        <w:rPr>
          <w:rFonts w:ascii="Palatino Linotype" w:hAnsi="Palatino Linotype"/>
          <w:i/>
          <w:sz w:val="22"/>
          <w:szCs w:val="22"/>
        </w:rPr>
        <w:t xml:space="preserve"> La difusión de las cuentas bancarias y claves interbancarias pertenecientes a un sujeto obligado favorece la rendición de cuentas al transparentar la forma en </w:t>
      </w:r>
      <w:r w:rsidRPr="00F820D1">
        <w:rPr>
          <w:rFonts w:ascii="Palatino Linotype" w:hAnsi="Palatino Linotype"/>
          <w:i/>
          <w:sz w:val="22"/>
          <w:szCs w:val="22"/>
        </w:rPr>
        <w:lastRenderedPageBreak/>
        <w:t>que se administran los recursos públicos, razón por la cual no pueden considerarse como información clasificada. “</w:t>
      </w:r>
    </w:p>
    <w:p w:rsidR="000D5198" w:rsidRDefault="000D5198">
      <w:pPr>
        <w:spacing w:line="360" w:lineRule="auto"/>
        <w:ind w:right="51"/>
        <w:jc w:val="both"/>
        <w:rPr>
          <w:rFonts w:ascii="Palatino Linotype" w:eastAsia="Palatino Linotype" w:hAnsi="Palatino Linotype" w:cs="Palatino Linotype"/>
        </w:rPr>
      </w:pPr>
    </w:p>
    <w:p w:rsidR="00921A15" w:rsidRPr="00141497" w:rsidRDefault="000E7C55" w:rsidP="00921A15">
      <w:pPr>
        <w:autoSpaceDE w:val="0"/>
        <w:autoSpaceDN w:val="0"/>
        <w:adjustRightInd w:val="0"/>
        <w:spacing w:before="240" w:after="240" w:line="360" w:lineRule="auto"/>
        <w:ind w:right="50"/>
        <w:jc w:val="both"/>
        <w:rPr>
          <w:rFonts w:ascii="Palatino Linotype" w:hAnsi="Palatino Linotype" w:cs="Arial"/>
        </w:rPr>
      </w:pPr>
      <w:r>
        <w:rPr>
          <w:rFonts w:ascii="Palatino Linotype" w:eastAsia="Palatino Linotype" w:hAnsi="Palatino Linotype" w:cs="Palatino Linotype"/>
        </w:rPr>
        <w:t xml:space="preserve">Sobre el RFC, </w:t>
      </w:r>
      <w:r w:rsidR="00921A15">
        <w:rPr>
          <w:rFonts w:ascii="Palatino Linotype" w:hAnsi="Palatino Linotype" w:cs="Arial"/>
        </w:rPr>
        <w:t>d</w:t>
      </w:r>
      <w:r w:rsidR="00921A15" w:rsidRPr="00141497">
        <w:rPr>
          <w:rFonts w:ascii="Palatino Linotype" w:hAnsi="Palatino Linotype" w:cs="Arial"/>
        </w:rPr>
        <w:t>ada la naturaleza de la información que se ordena, es importante resaltar que, si bien este Instituto ha sostenido que el RFC y domicilio de las personas físicas debe ser testado por los Sujetos Obligados,</w:t>
      </w:r>
      <w:r w:rsidR="00921A15">
        <w:rPr>
          <w:rFonts w:ascii="Palatino Linotype" w:hAnsi="Palatino Linotype" w:cs="Arial"/>
        </w:rPr>
        <w:t xml:space="preserve"> </w:t>
      </w:r>
      <w:r w:rsidR="00921A15" w:rsidRPr="00141497">
        <w:rPr>
          <w:rFonts w:ascii="Palatino Linotype" w:hAnsi="Palatino Linotype" w:cs="Arial"/>
        </w:rPr>
        <w:t>en</w:t>
      </w:r>
      <w:r w:rsidR="00921A15">
        <w:rPr>
          <w:rFonts w:ascii="Palatino Linotype" w:hAnsi="Palatino Linotype" w:cs="Arial"/>
        </w:rPr>
        <w:t xml:space="preserve"> </w:t>
      </w:r>
      <w:r w:rsidR="00921A15" w:rsidRPr="00141497">
        <w:rPr>
          <w:rFonts w:ascii="Palatino Linotype" w:hAnsi="Palatino Linotype" w:cs="Arial"/>
        </w:rPr>
        <w:t>las versiones públicas de los documentos que elaboren para atender las solicitudes de información pública, lo cierto es que tratándose de proveedores, prestadores de servicios o</w:t>
      </w:r>
      <w:r w:rsidR="00921A15">
        <w:rPr>
          <w:rFonts w:ascii="Palatino Linotype" w:hAnsi="Palatino Linotype" w:cs="Arial"/>
        </w:rPr>
        <w:t xml:space="preserve"> </w:t>
      </w:r>
      <w:r w:rsidR="00921A15" w:rsidRPr="00141497">
        <w:rPr>
          <w:rFonts w:ascii="Palatino Linotype" w:hAnsi="Palatino Linotype" w:cs="Arial"/>
        </w:rPr>
        <w:t>contratistas, dichos datos no deben ser suprimidos de las facturas y contratos que vayan a ser entregados.</w:t>
      </w:r>
    </w:p>
    <w:p w:rsidR="00921A15" w:rsidRPr="00141497" w:rsidRDefault="00921A15" w:rsidP="00921A15">
      <w:pPr>
        <w:autoSpaceDE w:val="0"/>
        <w:autoSpaceDN w:val="0"/>
        <w:adjustRightInd w:val="0"/>
        <w:spacing w:before="240" w:after="240" w:line="360" w:lineRule="auto"/>
        <w:ind w:right="50"/>
        <w:jc w:val="both"/>
        <w:rPr>
          <w:rFonts w:ascii="Palatino Linotype" w:hAnsi="Palatino Linotype" w:cs="Arial"/>
        </w:rPr>
      </w:pPr>
      <w:r w:rsidRPr="00141497">
        <w:rPr>
          <w:rFonts w:ascii="Palatino Linotype" w:hAnsi="Palatino Linotype" w:cs="Arial"/>
        </w:rPr>
        <w:t>Ello se debe a que, del ejercicio de</w:t>
      </w:r>
      <w:r>
        <w:rPr>
          <w:rFonts w:ascii="Palatino Linotype" w:hAnsi="Palatino Linotype" w:cs="Arial"/>
        </w:rPr>
        <w:t xml:space="preserve"> </w:t>
      </w:r>
      <w:r w:rsidRPr="00141497">
        <w:rPr>
          <w:rFonts w:ascii="Palatino Linotype" w:hAnsi="Palatino Linotype" w:cs="Arial"/>
        </w:rPr>
        <w:t>ponderación entre el derecho a la protección de datos personales con el derecho de acceso a la información pública, es de mayor trascendencia el que cualquier persona pueda conocer</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qué se gastan los recursos públicos, puesto que se trata de erogaciones que realiza un órgano del Estado con base</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los recursos que encuentran su origen</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mayor medida</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las contribuciones aportados por los gobernados, por lo que debe transparentarse su ejercicio.</w:t>
      </w:r>
    </w:p>
    <w:p w:rsidR="00921A15" w:rsidRPr="00141497" w:rsidRDefault="00921A15" w:rsidP="00921A15">
      <w:pPr>
        <w:autoSpaceDE w:val="0"/>
        <w:autoSpaceDN w:val="0"/>
        <w:adjustRightInd w:val="0"/>
        <w:spacing w:before="240" w:after="240" w:line="360" w:lineRule="auto"/>
        <w:ind w:right="50"/>
        <w:jc w:val="both"/>
        <w:rPr>
          <w:rFonts w:ascii="Palatino Linotype" w:hAnsi="Palatino Linotype" w:cs="Arial"/>
        </w:rPr>
      </w:pPr>
      <w:r w:rsidRPr="00141497">
        <w:rPr>
          <w:rFonts w:ascii="Palatino Linotype" w:hAnsi="Palatino Linotype" w:cs="Arial"/>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w:t>
      </w:r>
      <w:r w:rsidRPr="00141497">
        <w:rPr>
          <w:rFonts w:ascii="Palatino Linotype" w:hAnsi="Palatino Linotype" w:cs="Arial"/>
        </w:rPr>
        <w:lastRenderedPageBreak/>
        <w:t>es la que puede generar certeza</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los gobernados</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que se está ejerciendo debidamente el presupuesto.</w:t>
      </w: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19016C" w:rsidRDefault="0019016C">
      <w:pPr>
        <w:ind w:left="709" w:right="709"/>
        <w:jc w:val="both"/>
        <w:rPr>
          <w:rFonts w:ascii="Palatino Linotype" w:eastAsia="Palatino Linotype" w:hAnsi="Palatino Linotype" w:cs="Palatino Linotype"/>
          <w:b/>
          <w:i/>
          <w:sz w:val="22"/>
          <w:szCs w:val="22"/>
        </w:rPr>
      </w:pPr>
    </w:p>
    <w:p w:rsidR="0019016C" w:rsidRDefault="009357F8">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Pr>
          <w:rFonts w:ascii="Palatino Linotype" w:eastAsia="Palatino Linotype" w:hAnsi="Palatino Linotype" w:cs="Palatino Linotype"/>
          <w:i/>
          <w:sz w:val="22"/>
          <w:szCs w:val="22"/>
        </w:rPr>
        <w:lastRenderedPageBreak/>
        <w:t>materia en el ámbito de sus respectivas competencias, en tanto estas últimas no contravengan lo dispuesto en la Ley General.</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documentos contenidos en los archivos históricos y los identificados como históricos confidenciales no serán susceptibles de clasificación como reservados.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016C" w:rsidRDefault="009357F8">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19016C" w:rsidRDefault="009357F8">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016C" w:rsidRDefault="009357F8">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c"/>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19016C">
        <w:trPr>
          <w:jc w:val="center"/>
        </w:trPr>
        <w:tc>
          <w:tcPr>
            <w:tcW w:w="1159" w:type="dxa"/>
            <w:tcBorders>
              <w:top w:val="nil"/>
              <w:left w:val="nil"/>
              <w:bottom w:val="single" w:sz="4" w:space="0" w:color="000000"/>
              <w:right w:val="single" w:sz="4" w:space="0" w:color="000000"/>
            </w:tcBorders>
          </w:tcPr>
          <w:p w:rsidR="0019016C" w:rsidRDefault="0019016C">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19016C">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19016C" w:rsidRDefault="009357F8">
            <w:pPr>
              <w:jc w:val="center"/>
              <w:rPr>
                <w:rFonts w:ascii="Palatino Linotype" w:eastAsia="Palatino Linotype" w:hAnsi="Palatino Linotype" w:cs="Palatino Linotype"/>
                <w:b/>
                <w:i/>
              </w:rPr>
            </w:pPr>
            <w:r>
              <w:rPr>
                <w:rFonts w:ascii="Palatino Linotype" w:eastAsia="Palatino Linotype" w:hAnsi="Palatino Linotype" w:cs="Palatino Linotype"/>
                <w:b/>
                <w:i/>
              </w:rPr>
              <w:t xml:space="preserve">Sello oficial o logotipo del sujeto </w:t>
            </w:r>
            <w:r>
              <w:rPr>
                <w:rFonts w:ascii="Palatino Linotype" w:eastAsia="Palatino Linotype" w:hAnsi="Palatino Linotype" w:cs="Palatino Linotype"/>
                <w:b/>
                <w:i/>
              </w:rPr>
              <w:lastRenderedPageBreak/>
              <w:t>obligado</w:t>
            </w: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lastRenderedPageBreak/>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19016C" w:rsidRDefault="009357F8">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19016C" w:rsidRDefault="0019016C">
      <w:pPr>
        <w:spacing w:before="240" w:line="360" w:lineRule="auto"/>
        <w:ind w:right="51"/>
        <w:jc w:val="both"/>
        <w:rPr>
          <w:rFonts w:ascii="Palatino Linotype" w:eastAsia="Palatino Linotype" w:hAnsi="Palatino Linotype" w:cs="Palatino Linotype"/>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19016C" w:rsidRDefault="0019016C">
      <w:pPr>
        <w:spacing w:line="360" w:lineRule="auto"/>
        <w:jc w:val="both"/>
        <w:rPr>
          <w:rFonts w:ascii="Palatino Linotype" w:eastAsia="Palatino Linotype" w:hAnsi="Palatino Linotype" w:cs="Palatino Linotype"/>
        </w:rPr>
      </w:pPr>
    </w:p>
    <w:p w:rsidR="0019016C" w:rsidRDefault="009357F8">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19016C" w:rsidRDefault="0019016C">
      <w:pPr>
        <w:shd w:val="clear" w:color="auto" w:fill="FFFFFF"/>
        <w:spacing w:line="360" w:lineRule="auto"/>
        <w:ind w:right="51"/>
        <w:jc w:val="both"/>
        <w:rPr>
          <w:rFonts w:ascii="Palatino Linotype" w:eastAsia="Palatino Linotype" w:hAnsi="Palatino Linotype" w:cs="Palatino Linotype"/>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19016C" w:rsidRDefault="0019016C">
      <w:pPr>
        <w:spacing w:line="360" w:lineRule="auto"/>
        <w:jc w:val="both"/>
        <w:rPr>
          <w:rFonts w:ascii="Palatino Linotype" w:eastAsia="Palatino Linotype" w:hAnsi="Palatino Linotype" w:cs="Palatino Linotype"/>
        </w:rPr>
      </w:pPr>
    </w:p>
    <w:p w:rsidR="0019016C" w:rsidRDefault="009357F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19016C" w:rsidRDefault="009357F8">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sidR="00921A15">
        <w:rPr>
          <w:rFonts w:ascii="Palatino Linotype" w:eastAsia="Palatino Linotype" w:hAnsi="Palatino Linotype" w:cs="Palatino Linotype"/>
          <w:b/>
        </w:rPr>
        <w:t>05234</w:t>
      </w:r>
      <w:r>
        <w:rPr>
          <w:rFonts w:ascii="Palatino Linotype" w:eastAsia="Palatino Linotype" w:hAnsi="Palatino Linotype" w:cs="Palatino Linotype"/>
          <w:b/>
        </w:rPr>
        <w:t xml:space="preserve">/INFOEM/IP/RR/2022,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19016C" w:rsidRDefault="009357F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en términos del Considerando Cuarto y Quinto, haga entrega vía SAIMEX, en versión pública</w:t>
      </w:r>
      <w:r w:rsidR="00BA2905">
        <w:rPr>
          <w:rFonts w:ascii="Palatino Linotype" w:eastAsia="Palatino Linotype" w:hAnsi="Palatino Linotype" w:cs="Palatino Linotype"/>
        </w:rPr>
        <w:t xml:space="preserve"> de ser procedente</w:t>
      </w:r>
      <w:r>
        <w:rPr>
          <w:rFonts w:ascii="Palatino Linotype" w:eastAsia="Palatino Linotype" w:hAnsi="Palatino Linotype" w:cs="Palatino Linotype"/>
        </w:rPr>
        <w:t>, de</w:t>
      </w:r>
      <w:r w:rsidR="00BA2905">
        <w:rPr>
          <w:rFonts w:ascii="Palatino Linotype" w:eastAsia="Palatino Linotype" w:hAnsi="Palatino Linotype" w:cs="Palatino Linotype"/>
        </w:rPr>
        <w:t>l documento o documentos en donde conste</w:t>
      </w:r>
      <w:r>
        <w:rPr>
          <w:rFonts w:ascii="Palatino Linotype" w:eastAsia="Palatino Linotype" w:hAnsi="Palatino Linotype" w:cs="Palatino Linotype"/>
        </w:rPr>
        <w:t xml:space="preserve"> lo siguiente:</w:t>
      </w:r>
    </w:p>
    <w:p w:rsidR="00BA2905" w:rsidRPr="00D605CA" w:rsidRDefault="00BA2905" w:rsidP="00082F54">
      <w:pPr>
        <w:pStyle w:val="Prrafodelista"/>
        <w:numPr>
          <w:ilvl w:val="0"/>
          <w:numId w:val="13"/>
        </w:numPr>
        <w:pBdr>
          <w:top w:val="nil"/>
          <w:left w:val="nil"/>
          <w:bottom w:val="nil"/>
          <w:right w:val="nil"/>
          <w:between w:val="nil"/>
        </w:pBdr>
        <w:autoSpaceDE w:val="0"/>
        <w:autoSpaceDN w:val="0"/>
        <w:adjustRightInd w:val="0"/>
        <w:spacing w:before="240" w:after="240" w:line="360" w:lineRule="auto"/>
        <w:ind w:right="49"/>
        <w:jc w:val="both"/>
        <w:rPr>
          <w:rFonts w:ascii="Palatino Linotype" w:eastAsia="Palatino Linotype" w:hAnsi="Palatino Linotype" w:cs="Palatino Linotype"/>
          <w:i/>
          <w:color w:val="000000"/>
        </w:rPr>
      </w:pPr>
      <w:r w:rsidRPr="00BA2905">
        <w:rPr>
          <w:rFonts w:ascii="Palatino Linotype" w:hAnsi="Palatino Linotype" w:cs="Arial"/>
          <w:lang w:eastAsia="es-MX"/>
        </w:rPr>
        <w:t>L</w:t>
      </w:r>
      <w:r w:rsidR="00921A15" w:rsidRPr="00BA2905">
        <w:rPr>
          <w:rFonts w:ascii="Palatino Linotype" w:hAnsi="Palatino Linotype" w:cs="Arial"/>
          <w:lang w:eastAsia="es-MX"/>
        </w:rPr>
        <w:t>as facturas pagadas donde conste los gastos realizados por concepto del Bando Municipal 2022</w:t>
      </w:r>
      <w:r w:rsidRPr="00BA2905">
        <w:rPr>
          <w:rFonts w:ascii="Palatino Linotype" w:hAnsi="Palatino Linotype" w:cs="Arial"/>
          <w:lang w:eastAsia="es-MX"/>
        </w:rPr>
        <w:t>.</w:t>
      </w:r>
    </w:p>
    <w:p w:rsidR="00D605CA" w:rsidRPr="00D605CA" w:rsidRDefault="00D605CA" w:rsidP="00D605CA">
      <w:pPr>
        <w:pStyle w:val="Prrafodelista"/>
        <w:numPr>
          <w:ilvl w:val="0"/>
          <w:numId w:val="13"/>
        </w:numPr>
        <w:spacing w:before="240" w:after="240"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rPr>
        <w:t>L</w:t>
      </w:r>
      <w:r w:rsidRPr="00D605CA">
        <w:rPr>
          <w:rFonts w:ascii="Palatino Linotype" w:eastAsia="Palatino Linotype" w:hAnsi="Palatino Linotype" w:cs="Palatino Linotype"/>
        </w:rPr>
        <w:t xml:space="preserve">os comprobantes de pago a la Comisión del Agua del Estado de México y Comisión Federal de Electricidad, </w:t>
      </w:r>
      <w:r>
        <w:rPr>
          <w:rFonts w:ascii="Palatino Linotype" w:eastAsia="Palatino Linotype" w:hAnsi="Palatino Linotype" w:cs="Palatino Linotype"/>
        </w:rPr>
        <w:t xml:space="preserve">de los meses </w:t>
      </w:r>
      <w:r w:rsidRPr="00D605CA">
        <w:rPr>
          <w:rFonts w:ascii="Palatino Linotype" w:eastAsia="Palatino Linotype" w:hAnsi="Palatino Linotype" w:cs="Palatino Linotype"/>
        </w:rPr>
        <w:t xml:space="preserve">faltantes </w:t>
      </w:r>
      <w:r>
        <w:rPr>
          <w:rFonts w:ascii="Palatino Linotype" w:eastAsia="Palatino Linotype" w:hAnsi="Palatino Linotype" w:cs="Palatino Linotype"/>
        </w:rPr>
        <w:t>de los años 2019, 2020 y 2021.</w:t>
      </w:r>
    </w:p>
    <w:p w:rsidR="0019016C" w:rsidRDefault="009357F8" w:rsidP="00D605CA">
      <w:pPr>
        <w:pStyle w:val="Prrafodelista"/>
        <w:spacing w:before="240" w:after="240" w:line="360" w:lineRule="auto"/>
        <w:ind w:left="720"/>
        <w:jc w:val="both"/>
        <w:rPr>
          <w:rFonts w:ascii="Palatino Linotype" w:eastAsia="Palatino Linotype" w:hAnsi="Palatino Linotype" w:cs="Palatino Linotype"/>
          <w:i/>
          <w:color w:val="000000"/>
        </w:rPr>
      </w:pPr>
      <w:r w:rsidRPr="00BA2905">
        <w:rPr>
          <w:rFonts w:ascii="Palatino Linotype" w:eastAsia="Palatino Linotype" w:hAnsi="Palatino Linotype" w:cs="Palatino Linotype"/>
          <w:i/>
          <w:color w:val="000000"/>
        </w:rPr>
        <w:t xml:space="preserve">De ser procedente, debiendo emitir el Acuerdo del Comité de Transparencia de conformidad con la Ley de Transparencia y Acceso a la Información Pública del Estado de México y Municipios, en el que funde y motive las razones sobre los datos que se supriman, eliminen o </w:t>
      </w:r>
      <w:r w:rsidRPr="00BA2905">
        <w:rPr>
          <w:rFonts w:ascii="Palatino Linotype" w:eastAsia="Palatino Linotype" w:hAnsi="Palatino Linotype" w:cs="Palatino Linotype"/>
          <w:i/>
          <w:color w:val="000000"/>
        </w:rPr>
        <w:lastRenderedPageBreak/>
        <w:t xml:space="preserve">testen de los soportes documentales objeto de las versiones públicas que se formulen y se pongan a disposición del </w:t>
      </w:r>
      <w:r w:rsidRPr="00BA2905">
        <w:rPr>
          <w:rFonts w:ascii="Palatino Linotype" w:eastAsia="Palatino Linotype" w:hAnsi="Palatino Linotype" w:cs="Palatino Linotype"/>
          <w:b/>
          <w:i/>
          <w:color w:val="000000"/>
        </w:rPr>
        <w:t>RECURRENTE</w:t>
      </w:r>
      <w:r w:rsidRPr="00BA2905">
        <w:rPr>
          <w:rFonts w:ascii="Palatino Linotype" w:eastAsia="Palatino Linotype" w:hAnsi="Palatino Linotype" w:cs="Palatino Linotype"/>
          <w:i/>
          <w:color w:val="000000"/>
        </w:rPr>
        <w:t>, mismo que igualmente hará de su conocimiento.</w:t>
      </w:r>
    </w:p>
    <w:p w:rsidR="00D605CA" w:rsidRPr="00BA2905" w:rsidRDefault="00D605CA" w:rsidP="00D605CA">
      <w:pPr>
        <w:pStyle w:val="Prrafodelista"/>
        <w:spacing w:before="240" w:after="240"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Para el caso de la información que se ordena en el inciso “b”, los comprobantes de pagos que se ordenan; sean anuales, bastará con que así lo haga del conocimiento de la parte Recurrente de manera fundada y motivada</w:t>
      </w:r>
      <w:r>
        <w:rPr>
          <w:rFonts w:ascii="Palatino Linotype" w:eastAsia="Palatino Linotype" w:hAnsi="Palatino Linotype" w:cs="Palatino Linotype"/>
          <w:i/>
        </w:rPr>
        <w:t>, en términos del segundo párrafo del artículo 19 de la Ley de Transparencia y Acceso a la Información Pública del Estado de México y Municipios</w:t>
      </w:r>
      <w:r>
        <w:rPr>
          <w:rFonts w:ascii="Palatino Linotype" w:eastAsia="Palatino Linotype" w:hAnsi="Palatino Linotype" w:cs="Palatino Linotype"/>
          <w:i/>
          <w:color w:val="000000"/>
        </w:rPr>
        <w:t>.</w:t>
      </w:r>
    </w:p>
    <w:p w:rsidR="0019016C" w:rsidRDefault="009357F8">
      <w:pPr>
        <w:spacing w:before="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19016C" w:rsidRDefault="0019016C">
      <w:pPr>
        <w:spacing w:line="360" w:lineRule="auto"/>
        <w:jc w:val="both"/>
        <w:rPr>
          <w:rFonts w:ascii="Palatino Linotype" w:eastAsia="Palatino Linotype" w:hAnsi="Palatino Linotype" w:cs="Palatino Linotype"/>
          <w:b/>
        </w:rPr>
      </w:pPr>
    </w:p>
    <w:p w:rsidR="0019016C" w:rsidRDefault="009357F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Notifíquese,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19016C" w:rsidRDefault="009357F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19016C" w:rsidRDefault="00A91627">
      <w:pPr>
        <w:spacing w:before="240" w:after="240" w:line="360" w:lineRule="auto"/>
        <w:jc w:val="both"/>
        <w:rPr>
          <w:rFonts w:ascii="Palatino Linotype" w:eastAsia="Palatino Linotype" w:hAnsi="Palatino Linotype" w:cs="Palatino Linotype"/>
        </w:rPr>
        <w:sectPr w:rsidR="0019016C">
          <w:headerReference w:type="default" r:id="rId26"/>
          <w:footerReference w:type="default" r:id="rId27"/>
          <w:headerReference w:type="first" r:id="rId28"/>
          <w:footerReference w:type="first" r:id="rId29"/>
          <w:pgSz w:w="12240" w:h="15840"/>
          <w:pgMar w:top="2041" w:right="1701" w:bottom="1701" w:left="1701" w:header="709" w:footer="709" w:gutter="0"/>
          <w:pgNumType w:start="1"/>
          <w:cols w:space="720"/>
          <w:titlePg/>
        </w:sectPr>
      </w:pPr>
      <w:bookmarkStart w:id="2" w:name="_heading=h.1fob9te" w:colFirst="0" w:colLast="0"/>
      <w:bookmarkStart w:id="3" w:name="_GoBack"/>
      <w:bookmarkEnd w:id="2"/>
      <w:r>
        <w:rPr>
          <w:rFonts w:ascii="Palatino Linotype" w:eastAsia="Palatino Linotype" w:hAnsi="Palatino Linotype" w:cs="Palatino Linotype"/>
          <w:noProof/>
          <w:color w:val="222222"/>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112243</wp:posOffset>
                </wp:positionH>
                <wp:positionV relativeFrom="paragraph">
                  <wp:posOffset>2836316</wp:posOffset>
                </wp:positionV>
                <wp:extent cx="5559552" cy="4506164"/>
                <wp:effectExtent l="0" t="0" r="22225" b="27940"/>
                <wp:wrapNone/>
                <wp:docPr id="1" name="Conector recto 1"/>
                <wp:cNvGraphicFramePr/>
                <a:graphic xmlns:a="http://schemas.openxmlformats.org/drawingml/2006/main">
                  <a:graphicData uri="http://schemas.microsoft.com/office/word/2010/wordprocessingShape">
                    <wps:wsp>
                      <wps:cNvCnPr/>
                      <wps:spPr>
                        <a:xfrm>
                          <a:off x="0" y="0"/>
                          <a:ext cx="5559552" cy="45061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D07E08"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85pt,223.35pt" to="446.6pt,5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" strokecolor="black [3200]" strokeweight=".5pt">
                <v:stroke joinstyle="miter"/>
              </v:line>
            </w:pict>
          </mc:Fallback>
        </mc:AlternateContent>
      </w:r>
      <w:bookmarkEnd w:id="3"/>
      <w:r w:rsidR="009357F8">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w:t>
      </w:r>
      <w:r w:rsidR="00A532F6">
        <w:rPr>
          <w:rFonts w:ascii="Palatino Linotype" w:eastAsia="Palatino Linotype" w:hAnsi="Palatino Linotype" w:cs="Palatino Linotype"/>
          <w:color w:val="222222"/>
          <w:highlight w:val="white"/>
        </w:rPr>
        <w:t xml:space="preserve">NEZ, LUIS GUSTAVO PARRA NORIEGA </w:t>
      </w:r>
      <w:r w:rsidR="009357F8">
        <w:rPr>
          <w:rFonts w:ascii="Palatino Linotype" w:eastAsia="Palatino Linotype" w:hAnsi="Palatino Linotype" w:cs="Palatino Linotype"/>
          <w:color w:val="222222"/>
          <w:highlight w:val="white"/>
        </w:rPr>
        <w:t>Y GUADALUPE RAMÍ</w:t>
      </w:r>
      <w:r>
        <w:rPr>
          <w:rFonts w:ascii="Palatino Linotype" w:eastAsia="Palatino Linotype" w:hAnsi="Palatino Linotype" w:cs="Palatino Linotype"/>
          <w:color w:val="222222"/>
          <w:highlight w:val="white"/>
        </w:rPr>
        <w:t>REZ PEÑA; EN LA VIGÉSIMA NOVENA</w:t>
      </w:r>
      <w:r w:rsidR="009357F8">
        <w:rPr>
          <w:rFonts w:ascii="Palatino Linotype" w:eastAsia="Palatino Linotype" w:hAnsi="Palatino Linotype" w:cs="Palatino Linotype"/>
          <w:color w:val="222222"/>
          <w:highlight w:val="white"/>
        </w:rPr>
        <w:t xml:space="preserve"> SESIÓN ORDINARIA CELEBRADA EL </w:t>
      </w:r>
      <w:r>
        <w:rPr>
          <w:rFonts w:ascii="Palatino Linotype" w:eastAsia="Palatino Linotype" w:hAnsi="Palatino Linotype" w:cs="Palatino Linotype"/>
          <w:color w:val="222222"/>
        </w:rPr>
        <w:t>DIECISIETE</w:t>
      </w:r>
      <w:r w:rsidR="00BA2905">
        <w:rPr>
          <w:rFonts w:ascii="Palatino Linotype" w:eastAsia="Palatino Linotype" w:hAnsi="Palatino Linotype" w:cs="Palatino Linotype"/>
        </w:rPr>
        <w:t xml:space="preserve"> DE AGOSTO</w:t>
      </w:r>
      <w:r w:rsidR="009357F8">
        <w:rPr>
          <w:rFonts w:ascii="Palatino Linotype" w:eastAsia="Palatino Linotype" w:hAnsi="Palatino Linotype" w:cs="Palatino Linotype"/>
        </w:rPr>
        <w:t xml:space="preserve"> DEL DOS MIL VEINTIDÓS, ANTE EL SECRETARIO TÉCNICO DEL PLENO ALEXIS TAPIA RAMÍREZ.                             </w:t>
      </w:r>
    </w:p>
    <w:p w:rsidR="0019016C" w:rsidRDefault="0019016C">
      <w:pPr>
        <w:spacing w:before="240" w:after="240" w:line="360" w:lineRule="auto"/>
        <w:jc w:val="both"/>
        <w:rPr>
          <w:rFonts w:ascii="Palatino Linotype" w:eastAsia="Palatino Linotype" w:hAnsi="Palatino Linotype" w:cs="Palatino Linotype"/>
        </w:rPr>
      </w:pPr>
    </w:p>
    <w:sectPr w:rsidR="0019016C">
      <w:headerReference w:type="first" r:id="rId30"/>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F54" w:rsidRDefault="00082F54">
      <w:r>
        <w:separator/>
      </w:r>
    </w:p>
  </w:endnote>
  <w:endnote w:type="continuationSeparator" w:id="0">
    <w:p w:rsidR="00082F54" w:rsidRDefault="00082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F54" w:rsidRDefault="00082F5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91627">
      <w:rPr>
        <w:rFonts w:ascii="Arial" w:eastAsia="Arial" w:hAnsi="Arial" w:cs="Arial"/>
        <w:b/>
        <w:noProof/>
        <w:color w:val="000000"/>
        <w:sz w:val="20"/>
        <w:szCs w:val="20"/>
      </w:rPr>
      <w:t>50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91627">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rsidR="00082F54" w:rsidRDefault="00082F54">
    <w:pPr>
      <w:pBdr>
        <w:top w:val="nil"/>
        <w:left w:val="nil"/>
        <w:bottom w:val="nil"/>
        <w:right w:val="nil"/>
        <w:between w:val="nil"/>
      </w:pBdr>
      <w:tabs>
        <w:tab w:val="center" w:pos="4252"/>
        <w:tab w:val="right" w:pos="8504"/>
      </w:tabs>
      <w:rPr>
        <w:color w:val="000000"/>
      </w:rPr>
    </w:pPr>
  </w:p>
  <w:p w:rsidR="00082F54" w:rsidRDefault="00082F5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F54" w:rsidRDefault="00082F5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91627">
      <w:rPr>
        <w:rFonts w:ascii="Arial" w:eastAsia="Arial" w:hAnsi="Arial" w:cs="Arial"/>
        <w:b/>
        <w:noProof/>
        <w:color w:val="000000"/>
        <w:sz w:val="20"/>
        <w:szCs w:val="20"/>
      </w:rPr>
      <w:t>52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91627">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rsidR="00082F54" w:rsidRDefault="00082F5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F54" w:rsidRDefault="00082F54">
      <w:r>
        <w:separator/>
      </w:r>
    </w:p>
  </w:footnote>
  <w:footnote w:type="continuationSeparator" w:id="0">
    <w:p w:rsidR="00082F54" w:rsidRDefault="00082F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F54" w:rsidRDefault="00082F54">
    <w:pPr>
      <w:widowControl w:val="0"/>
      <w:pBdr>
        <w:top w:val="nil"/>
        <w:left w:val="nil"/>
        <w:bottom w:val="nil"/>
        <w:right w:val="nil"/>
        <w:between w:val="nil"/>
      </w:pBdr>
      <w:spacing w:line="276" w:lineRule="auto"/>
      <w:rPr>
        <w:rFonts w:ascii="Calibri" w:eastAsia="Calibri" w:hAnsi="Calibri" w:cs="Calibri"/>
        <w:color w:val="000000"/>
      </w:rPr>
    </w:pPr>
  </w:p>
  <w:tbl>
    <w:tblPr>
      <w:tblStyle w:val="ae"/>
      <w:tblW w:w="5528" w:type="dxa"/>
      <w:tblInd w:w="3261" w:type="dxa"/>
      <w:tblLayout w:type="fixed"/>
      <w:tblLook w:val="0400" w:firstRow="0" w:lastRow="0" w:firstColumn="0" w:lastColumn="0" w:noHBand="0" w:noVBand="1"/>
    </w:tblPr>
    <w:tblGrid>
      <w:gridCol w:w="2551"/>
      <w:gridCol w:w="2977"/>
    </w:tblGrid>
    <w:tr w:rsidR="00082F54">
      <w:tc>
        <w:tcPr>
          <w:tcW w:w="2551" w:type="dxa"/>
          <w:vAlign w:val="center"/>
        </w:tcPr>
        <w:p w:rsidR="00082F54" w:rsidRDefault="00082F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082F54" w:rsidRDefault="00082F5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05234/INFOEM/IP/RR/2022</w:t>
          </w:r>
        </w:p>
      </w:tc>
    </w:tr>
    <w:tr w:rsidR="00082F54">
      <w:trPr>
        <w:trHeight w:val="228"/>
      </w:trPr>
      <w:tc>
        <w:tcPr>
          <w:tcW w:w="2551" w:type="dxa"/>
          <w:vAlign w:val="center"/>
        </w:tcPr>
        <w:p w:rsidR="00082F54" w:rsidRDefault="00082F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082F54" w:rsidRDefault="00082F5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Tenango del Aire.</w:t>
          </w:r>
        </w:p>
      </w:tc>
    </w:tr>
    <w:tr w:rsidR="00082F54">
      <w:tc>
        <w:tcPr>
          <w:tcW w:w="2551" w:type="dxa"/>
          <w:vAlign w:val="center"/>
        </w:tcPr>
        <w:p w:rsidR="00082F54" w:rsidRDefault="00082F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082F54" w:rsidRDefault="00082F5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82F54" w:rsidRDefault="00082F54">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-695768</wp:posOffset>
          </wp:positionH>
          <wp:positionV relativeFrom="paragraph">
            <wp:posOffset>-1200943</wp:posOffset>
          </wp:positionV>
          <wp:extent cx="7809876" cy="10165823"/>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F54" w:rsidRDefault="00082F54">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-846158</wp:posOffset>
          </wp:positionH>
          <wp:positionV relativeFrom="paragraph">
            <wp:posOffset>-171229</wp:posOffset>
          </wp:positionV>
          <wp:extent cx="7809876" cy="10165823"/>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d"/>
      <w:tblW w:w="5670" w:type="dxa"/>
      <w:tblInd w:w="3119" w:type="dxa"/>
      <w:tblLayout w:type="fixed"/>
      <w:tblLook w:val="0400" w:firstRow="0" w:lastRow="0" w:firstColumn="0" w:lastColumn="0" w:noHBand="0" w:noVBand="1"/>
    </w:tblPr>
    <w:tblGrid>
      <w:gridCol w:w="2551"/>
      <w:gridCol w:w="3119"/>
    </w:tblGrid>
    <w:tr w:rsidR="00082F54">
      <w:tc>
        <w:tcPr>
          <w:tcW w:w="2551" w:type="dxa"/>
          <w:vAlign w:val="center"/>
        </w:tcPr>
        <w:p w:rsidR="00082F54" w:rsidRDefault="00082F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082F54" w:rsidRDefault="00082F5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05234/INFOEM/IP/RR/2022. </w:t>
          </w:r>
        </w:p>
      </w:tc>
    </w:tr>
    <w:tr w:rsidR="00082F54">
      <w:tc>
        <w:tcPr>
          <w:tcW w:w="2551" w:type="dxa"/>
          <w:vAlign w:val="center"/>
        </w:tcPr>
        <w:p w:rsidR="00082F54" w:rsidRDefault="00082F54">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082F54" w:rsidRDefault="00082F54">
          <w:pPr>
            <w:jc w:val="both"/>
            <w:rPr>
              <w:rFonts w:ascii="Palatino Linotype" w:eastAsia="Palatino Linotype" w:hAnsi="Palatino Linotype" w:cs="Palatino Linotype"/>
              <w:b/>
              <w:sz w:val="22"/>
              <w:szCs w:val="22"/>
            </w:rPr>
          </w:pPr>
        </w:p>
      </w:tc>
    </w:tr>
    <w:tr w:rsidR="00082F54">
      <w:trPr>
        <w:trHeight w:val="228"/>
      </w:trPr>
      <w:tc>
        <w:tcPr>
          <w:tcW w:w="2551" w:type="dxa"/>
          <w:vAlign w:val="center"/>
        </w:tcPr>
        <w:p w:rsidR="00082F54" w:rsidRDefault="00082F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082F54" w:rsidRDefault="00082F5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Tenango del Aire.</w:t>
          </w:r>
        </w:p>
      </w:tc>
    </w:tr>
    <w:tr w:rsidR="00082F54">
      <w:tc>
        <w:tcPr>
          <w:tcW w:w="2551" w:type="dxa"/>
          <w:vAlign w:val="center"/>
        </w:tcPr>
        <w:p w:rsidR="00082F54" w:rsidRDefault="00082F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082F54" w:rsidRDefault="00082F5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82F54" w:rsidRDefault="00082F5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F54" w:rsidRDefault="00082F54">
    <w:pPr>
      <w:pBdr>
        <w:top w:val="nil"/>
        <w:left w:val="nil"/>
        <w:bottom w:val="nil"/>
        <w:right w:val="nil"/>
        <w:between w:val="nil"/>
      </w:pBdr>
      <w:tabs>
        <w:tab w:val="center" w:pos="4252"/>
        <w:tab w:val="right" w:pos="8504"/>
      </w:tabs>
      <w:jc w:val="both"/>
      <w:rPr>
        <w:rFonts w:ascii="Calibri" w:eastAsia="Calibri" w:hAnsi="Calibri" w:cs="Calibri"/>
        <w:color w:val="000000"/>
      </w:rPr>
    </w:pPr>
  </w:p>
  <w:p w:rsidR="00082F54" w:rsidRDefault="00082F5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B1CE9"/>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35F7B"/>
    <w:multiLevelType w:val="hybridMultilevel"/>
    <w:tmpl w:val="70DC1142"/>
    <w:lvl w:ilvl="0" w:tplc="DD8A78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1805293"/>
    <w:multiLevelType w:val="hybridMultilevel"/>
    <w:tmpl w:val="1AACA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E84C77"/>
    <w:multiLevelType w:val="multilevel"/>
    <w:tmpl w:val="AE82415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430D4B"/>
    <w:multiLevelType w:val="hybridMultilevel"/>
    <w:tmpl w:val="43244368"/>
    <w:lvl w:ilvl="0" w:tplc="427876C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5D2098"/>
    <w:multiLevelType w:val="hybridMultilevel"/>
    <w:tmpl w:val="D256B2C4"/>
    <w:lvl w:ilvl="0" w:tplc="83CE1DF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404F5D0D"/>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104AD7"/>
    <w:multiLevelType w:val="multilevel"/>
    <w:tmpl w:val="424A7A8E"/>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8736C0B"/>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7833AB"/>
    <w:multiLevelType w:val="multilevel"/>
    <w:tmpl w:val="DF4A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5B1D0E"/>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9"/>
  </w:num>
  <w:num w:numId="4">
    <w:abstractNumId w:val="7"/>
  </w:num>
  <w:num w:numId="5">
    <w:abstractNumId w:val="3"/>
  </w:num>
  <w:num w:numId="6">
    <w:abstractNumId w:val="6"/>
  </w:num>
  <w:num w:numId="7">
    <w:abstractNumId w:val="1"/>
  </w:num>
  <w:num w:numId="8">
    <w:abstractNumId w:val="2"/>
  </w:num>
  <w:num w:numId="9">
    <w:abstractNumId w:val="12"/>
  </w:num>
  <w:num w:numId="10">
    <w:abstractNumId w:val="0"/>
  </w:num>
  <w:num w:numId="11">
    <w:abstractNumId w:val="8"/>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16C"/>
    <w:rsid w:val="00040EA2"/>
    <w:rsid w:val="00040EC8"/>
    <w:rsid w:val="00064A04"/>
    <w:rsid w:val="00082F54"/>
    <w:rsid w:val="000D5198"/>
    <w:rsid w:val="000E7C55"/>
    <w:rsid w:val="00114E79"/>
    <w:rsid w:val="00171E3F"/>
    <w:rsid w:val="0019016C"/>
    <w:rsid w:val="002B3D0A"/>
    <w:rsid w:val="002C0354"/>
    <w:rsid w:val="002F65E6"/>
    <w:rsid w:val="00426475"/>
    <w:rsid w:val="004D4669"/>
    <w:rsid w:val="0053171F"/>
    <w:rsid w:val="006366FA"/>
    <w:rsid w:val="006940B7"/>
    <w:rsid w:val="006B0AE4"/>
    <w:rsid w:val="006C2D84"/>
    <w:rsid w:val="006D2711"/>
    <w:rsid w:val="006F04A4"/>
    <w:rsid w:val="007707A5"/>
    <w:rsid w:val="007B00D2"/>
    <w:rsid w:val="007C20F8"/>
    <w:rsid w:val="007E48D6"/>
    <w:rsid w:val="00833247"/>
    <w:rsid w:val="008E1D85"/>
    <w:rsid w:val="008E4668"/>
    <w:rsid w:val="00910CC0"/>
    <w:rsid w:val="00921A15"/>
    <w:rsid w:val="009335B4"/>
    <w:rsid w:val="009357F8"/>
    <w:rsid w:val="00944F29"/>
    <w:rsid w:val="009B2283"/>
    <w:rsid w:val="009F35B3"/>
    <w:rsid w:val="009F55E9"/>
    <w:rsid w:val="00A05A19"/>
    <w:rsid w:val="00A26CE4"/>
    <w:rsid w:val="00A30287"/>
    <w:rsid w:val="00A532F6"/>
    <w:rsid w:val="00A91627"/>
    <w:rsid w:val="00AB6B42"/>
    <w:rsid w:val="00AC6C9C"/>
    <w:rsid w:val="00AD3CBC"/>
    <w:rsid w:val="00B47F9C"/>
    <w:rsid w:val="00BA2905"/>
    <w:rsid w:val="00BF7E89"/>
    <w:rsid w:val="00C37DFF"/>
    <w:rsid w:val="00D605CA"/>
    <w:rsid w:val="00D60DD2"/>
    <w:rsid w:val="00DE5866"/>
    <w:rsid w:val="00E14900"/>
    <w:rsid w:val="00E958B6"/>
    <w:rsid w:val="00EA6D27"/>
    <w:rsid w:val="00EB16D3"/>
    <w:rsid w:val="00EE2B16"/>
    <w:rsid w:val="00F01C90"/>
    <w:rsid w:val="00FF6A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596D2B-4AA2-4524-AAFE-9165F84E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830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85809.page" TargetMode="External"/><Relationship Id="rId13" Type="http://schemas.openxmlformats.org/officeDocument/2006/relationships/hyperlink" Target="https://saimex.org.mx/saimex/solicitud/downloadAttach/1385814.page" TargetMode="External"/><Relationship Id="rId18" Type="http://schemas.openxmlformats.org/officeDocument/2006/relationships/hyperlink" Target="https://saimex.org.mx/saimex/solicitud/downloadAttach/1385809.pag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saimex.org.mx/saimex/solicitud/downloadAttach/1385812.page" TargetMode="External"/><Relationship Id="rId7" Type="http://schemas.openxmlformats.org/officeDocument/2006/relationships/endnotes" Target="endnotes.xml"/><Relationship Id="rId12" Type="http://schemas.openxmlformats.org/officeDocument/2006/relationships/hyperlink" Target="https://saimex.org.mx/saimex/solicitud/downloadAttach/1385813.page" TargetMode="External"/><Relationship Id="rId17" Type="http://schemas.openxmlformats.org/officeDocument/2006/relationships/hyperlink" Target="https://saimex.org.mx/saimex/solicitud/downloadAttach/1385816.page" TargetMode="External"/><Relationship Id="rId25" Type="http://schemas.openxmlformats.org/officeDocument/2006/relationships/hyperlink" Target="https://saimex.org.mx/saimex/solicitud/downloadAttach/1385816.page"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saimex.org.mx/saimex/solicitud/downloadAttach/1385811.pag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85812.page" TargetMode="External"/><Relationship Id="rId24" Type="http://schemas.openxmlformats.org/officeDocument/2006/relationships/hyperlink" Target="https://saimex.org.mx/saimex/solicitud/downloadAttach/1385815.pag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saimex.org.mx/saimex/solicitud/downloadAttach/1385814.page" TargetMode="External"/><Relationship Id="rId28" Type="http://schemas.openxmlformats.org/officeDocument/2006/relationships/header" Target="header2.xml"/><Relationship Id="rId10" Type="http://schemas.openxmlformats.org/officeDocument/2006/relationships/hyperlink" Target="https://saimex.org.mx/saimex/solicitud/downloadAttach/1385811.page" TargetMode="External"/><Relationship Id="rId19" Type="http://schemas.openxmlformats.org/officeDocument/2006/relationships/hyperlink" Target="https://saimex.org.mx/saimex/solicitud/downloadAttach/1385810.pag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385810.page" TargetMode="External"/><Relationship Id="rId14" Type="http://schemas.openxmlformats.org/officeDocument/2006/relationships/hyperlink" Target="https://saimex.org.mx/saimex/solicitud/downloadAttach/1385815.page" TargetMode="External"/><Relationship Id="rId22" Type="http://schemas.openxmlformats.org/officeDocument/2006/relationships/hyperlink" Target="https://saimex.org.mx/saimex/solicitud/downloadAttach/1385813.page" TargetMode="External"/><Relationship Id="rId27" Type="http://schemas.openxmlformats.org/officeDocument/2006/relationships/footer" Target="foot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AHTDpYDLhDcHuIDxVVKQzDzjSA==">AMUW2mVQYMMZ0RpbMvNfqXAS2qPzFHohOoiRK5GmTlZNhx6eydhSMUr545MtOBu5E1dcMSPg57gfUE5X6kEyRspmLHtXqdn/hGBYOvDM67Ywn5RmuguQuQ0KgWrv1RCoRCX2dmElSH/mNLPfvqCV/8vmJNBlkGC8JA==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52</Pages>
  <Words>12709</Words>
  <Characters>69904</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Jhancarlo</cp:lastModifiedBy>
  <cp:revision>13</cp:revision>
  <cp:lastPrinted>2022-08-11T01:32:00Z</cp:lastPrinted>
  <dcterms:created xsi:type="dcterms:W3CDTF">2022-08-02T14:36:00Z</dcterms:created>
  <dcterms:modified xsi:type="dcterms:W3CDTF">2022-08-18T18:36:00Z</dcterms:modified>
</cp:coreProperties>
</file>