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agosto de dos mil veintidós. </w:t>
      </w:r>
    </w:p>
    <w:p w:rsidR="00DE096B" w:rsidRDefault="00DE096B">
      <w:pPr>
        <w:spacing w:line="360" w:lineRule="auto"/>
        <w:jc w:val="both"/>
        <w:rPr>
          <w:rFonts w:ascii="Palatino Linotype" w:eastAsia="Palatino Linotype" w:hAnsi="Palatino Linotype" w:cs="Palatino Linotype"/>
        </w:rPr>
      </w:pPr>
      <w:bookmarkStart w:id="0" w:name="_GoBack"/>
      <w:bookmarkEnd w:id="0"/>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04979/INFOEM/IP/RR/2022</w:t>
      </w:r>
      <w:r>
        <w:rPr>
          <w:rFonts w:ascii="Palatino Linotype" w:eastAsia="Palatino Linotype" w:hAnsi="Palatino Linotype" w:cs="Palatino Linotype"/>
        </w:rPr>
        <w:t xml:space="preserve">, interpuesto por </w:t>
      </w:r>
      <w:r w:rsidR="00322498" w:rsidRPr="00322498">
        <w:rPr>
          <w:rFonts w:ascii="Palatino Linotype" w:eastAsia="Palatino Linotype" w:hAnsi="Palatino Linotype" w:cs="Palatino Linotype"/>
          <w:b/>
          <w:szCs w:val="22"/>
        </w:rPr>
        <w:t xml:space="preserve">xxxxxxxxxx xxxxxxxx xxxxxxxxx xxx xx xxxxxxxx </w:t>
      </w:r>
      <w:r>
        <w:rPr>
          <w:rFonts w:ascii="Palatino Linotype" w:eastAsia="Palatino Linotype" w:hAnsi="Palatino Linotype" w:cs="Palatino Linotype"/>
        </w:rPr>
        <w:t xml:space="preserve">a quien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 xml:space="preserve">00020/SECCAM/IP/2022 </w:t>
      </w:r>
      <w:r>
        <w:rPr>
          <w:rFonts w:ascii="Palatino Linotype" w:eastAsia="Palatino Linotype" w:hAnsi="Palatino Linotype" w:cs="Palatino Linotype"/>
        </w:rPr>
        <w:t xml:space="preserve">proporcionada por parte de la </w:t>
      </w:r>
      <w:r>
        <w:rPr>
          <w:rFonts w:ascii="Palatino Linotype" w:eastAsia="Palatino Linotype" w:hAnsi="Palatino Linotype" w:cs="Palatino Linotype"/>
          <w:b/>
        </w:rPr>
        <w:t>Secretaría del Campo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DE096B" w:rsidRDefault="00DE096B">
      <w:pPr>
        <w:spacing w:line="360" w:lineRule="auto"/>
        <w:jc w:val="both"/>
        <w:rPr>
          <w:rFonts w:ascii="Palatino Linotype" w:eastAsia="Palatino Linotype" w:hAnsi="Palatino Linotype" w:cs="Palatino Linotype"/>
        </w:rPr>
      </w:pPr>
    </w:p>
    <w:p w:rsidR="00DE096B" w:rsidRDefault="003D62B3">
      <w:pPr>
        <w:numPr>
          <w:ilvl w:val="0"/>
          <w:numId w:val="6"/>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DE096B" w:rsidRDefault="00DE096B">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En fecha doce de febrero de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cual se tuvo registrada el catorce de febrero de dos mil veintidós, en la que requirió lo siguiente: </w:t>
      </w:r>
    </w:p>
    <w:p w:rsidR="00DE096B" w:rsidRDefault="00DE096B">
      <w:pPr>
        <w:spacing w:line="360" w:lineRule="auto"/>
        <w:rPr>
          <w:rFonts w:ascii="Palatino Linotype" w:eastAsia="Palatino Linotype" w:hAnsi="Palatino Linotype" w:cs="Palatino Linotype"/>
        </w:rPr>
      </w:pPr>
    </w:p>
    <w:p w:rsidR="00DE096B" w:rsidRDefault="003D62B3">
      <w:pPr>
        <w:spacing w:line="360" w:lineRule="auto"/>
        <w:ind w:left="567" w:right="567"/>
        <w:jc w:val="both"/>
        <w:rPr>
          <w:rFonts w:ascii="Palatino Linotype" w:eastAsia="Palatino Linotype" w:hAnsi="Palatino Linotype" w:cs="Palatino Linotype"/>
          <w:i/>
          <w:color w:val="000000"/>
          <w:sz w:val="22"/>
          <w:szCs w:val="22"/>
        </w:rPr>
      </w:pPr>
      <w:bookmarkStart w:id="1" w:name="_heading=h.gjdgxs" w:colFirst="0" w:colLast="0"/>
      <w:bookmarkEnd w:id="1"/>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u w:val="single"/>
        </w:rPr>
        <w:t>SE SOLICITA A LETICIA MEJIA, SECRETARIA DEL CAMPO</w:t>
      </w:r>
      <w:r>
        <w:rPr>
          <w:rFonts w:ascii="Palatino Linotype" w:eastAsia="Palatino Linotype" w:hAnsi="Palatino Linotype" w:cs="Palatino Linotype"/>
          <w:i/>
          <w:color w:val="000000"/>
          <w:sz w:val="22"/>
          <w:szCs w:val="22"/>
        </w:rPr>
        <w:t xml:space="preserve"> PROPORCIONE LA VERSIÓN PÚBLICA ELECTRÓNICA EN ARCHIVO PDF, DEL INFORME DE GESTIÓN Y DE TODOS Y CADA UNO DE LOS DOCUMENTOS DE LOS ASUNTOS DE RECURSOS HUMANOS, CON MOTIVO DE LA ENTREGA RECEPCIÓN, POR LA SALIDA DE LA SECRETARIA DEL CAMPO DE MARIA </w:t>
      </w:r>
      <w:r>
        <w:rPr>
          <w:rFonts w:ascii="Palatino Linotype" w:eastAsia="Palatino Linotype" w:hAnsi="Palatino Linotype" w:cs="Palatino Linotype"/>
          <w:i/>
          <w:color w:val="000000"/>
          <w:sz w:val="22"/>
          <w:szCs w:val="22"/>
        </w:rPr>
        <w:lastRenderedPageBreak/>
        <w:t>MERCEDES COLÍN Y EL NOMBRAMIENTO COMO NUEVA TITULAR DE LA SECRETARIA DEL CAMPO DE LETICIA MEJIA”. (Sic)</w:t>
      </w:r>
    </w:p>
    <w:p w:rsidR="00DE096B" w:rsidRDefault="00DE096B">
      <w:pPr>
        <w:spacing w:line="360" w:lineRule="auto"/>
        <w:ind w:left="567"/>
        <w:jc w:val="both"/>
        <w:rPr>
          <w:rFonts w:ascii="Palatino Linotype" w:eastAsia="Palatino Linotype" w:hAnsi="Palatino Linotype" w:cs="Palatino Linotype"/>
          <w:i/>
          <w:color w:val="000000"/>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DE096B" w:rsidRDefault="00DE096B">
      <w:pPr>
        <w:spacing w:line="360" w:lineRule="auto"/>
        <w:ind w:right="49"/>
        <w:jc w:val="both"/>
        <w:rPr>
          <w:rFonts w:ascii="Palatino Linotype" w:eastAsia="Palatino Linotype" w:hAnsi="Palatino Linotype" w:cs="Palatino Linotype"/>
          <w:highlight w:val="green"/>
        </w:rPr>
      </w:pPr>
    </w:p>
    <w:p w:rsidR="00DE096B" w:rsidRDefault="003D62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siete de marzo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DE096B" w:rsidRDefault="00DE096B">
      <w:pPr>
        <w:spacing w:line="360" w:lineRule="auto"/>
        <w:ind w:right="902"/>
        <w:jc w:val="both"/>
        <w:rPr>
          <w:rFonts w:ascii="Palatino Linotype" w:eastAsia="Palatino Linotype" w:hAnsi="Palatino Linotype" w:cs="Palatino Linotype"/>
          <w:i/>
          <w:sz w:val="22"/>
          <w:szCs w:val="22"/>
        </w:rPr>
      </w:pPr>
    </w:p>
    <w:p w:rsidR="00DE096B" w:rsidRDefault="003D62B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E096B" w:rsidRDefault="003D62B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ANEXA OFICIO DE RESPUESTA”. </w:t>
      </w:r>
    </w:p>
    <w:p w:rsidR="00DE096B" w:rsidRDefault="00DE096B">
      <w:pPr>
        <w:spacing w:line="360" w:lineRule="auto"/>
        <w:ind w:left="851" w:right="902"/>
        <w:jc w:val="both"/>
        <w:rPr>
          <w:rFonts w:ascii="Palatino Linotype" w:eastAsia="Palatino Linotype" w:hAnsi="Palatino Linotype" w:cs="Palatino Linotype"/>
          <w:i/>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los archivos que se describen a continuación: </w:t>
      </w:r>
    </w:p>
    <w:p w:rsidR="00DE096B" w:rsidRDefault="00DE096B">
      <w:pPr>
        <w:spacing w:line="360" w:lineRule="auto"/>
        <w:jc w:val="both"/>
        <w:rPr>
          <w:rFonts w:ascii="Palatino Linotype" w:eastAsia="Palatino Linotype" w:hAnsi="Palatino Linotype" w:cs="Palatino Linotype"/>
        </w:rPr>
      </w:pPr>
    </w:p>
    <w:p w:rsidR="00DE096B" w:rsidRDefault="003D62B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000020.SECCAEN.IP.2022.pdf: </w:t>
      </w:r>
      <w:r>
        <w:rPr>
          <w:rFonts w:ascii="Palatino Linotype" w:eastAsia="Palatino Linotype" w:hAnsi="Palatino Linotype" w:cs="Palatino Linotype"/>
          <w:color w:val="000000"/>
          <w:sz w:val="22"/>
          <w:szCs w:val="22"/>
        </w:rPr>
        <w:t xml:space="preserve">Archivo que contiene la siguiente información: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cuatro de marzo de dos mil veintidós, signado por el Secretario Particular, mediante el cual refirió que se adjunta la información solicitada.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Nombramiento de Leticia Mejía García como Secretaria del Campo.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Plantilla de personal de nómina del treinta y uno de enero de dos mil veintidós.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Informe de gestión que consta de quince fojas, con fecha de elaboración del ocho de febrero de dos mil veintidós. </w:t>
      </w:r>
    </w:p>
    <w:p w:rsidR="00DE096B" w:rsidRDefault="00DE096B">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DE096B" w:rsidRDefault="003D62B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RESPUESTA UIPPE $20.pdf: </w:t>
      </w:r>
      <w:r>
        <w:rPr>
          <w:rFonts w:ascii="Palatino Linotype" w:eastAsia="Palatino Linotype" w:hAnsi="Palatino Linotype" w:cs="Palatino Linotype"/>
          <w:color w:val="000000"/>
          <w:sz w:val="22"/>
          <w:szCs w:val="22"/>
        </w:rPr>
        <w:t xml:space="preserve">Oficio de fecha siete de marzo de dos mil veintidós, signado por el Jefe de la Unidad de Información, Planeación, Programación y Evaluación y Titular de la Unidad de Transparencia, mediante el cual informa que se pone a disposición del Particular la información solicitada. </w:t>
      </w:r>
    </w:p>
    <w:p w:rsidR="00DE096B" w:rsidRDefault="00DE096B">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veintiséis de marzo de veintidós, a través del cual expresó lo siguiente:</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rsidR="00DE096B" w:rsidRDefault="003D62B3">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CUANTO AL FOLIO 00020/SECCAM/IP/2022 SE SOLICITÓ A LETICIA MEJIA, SECRETARIA DEL CAMPO PROPORCIONE LA VERSIÓN PÚBLICA ELECTRÓNICA EN ARCHIVO PDF, DEL INFORME DE GESTIÓN Y DE TODOS Y CADA UNO DE LOS DOCUMENTOS DE LOS ASUNTOS DE RECURSOS HUMANOS, CON MOTIVO DE LA ENTREGA RECEPCIÓN, POR LA SALIDA DE LA SECRETARIA DEL CAMPO DE MARIA MERCEDES COLÍN Y EL NOMBRAMIENTO COMO NUEVA TITULAR DE LA SECRETARIA DEL CAMPO DE LETICIA MEJIA”. (Sic)</w:t>
      </w:r>
    </w:p>
    <w:p w:rsidR="00DE096B" w:rsidRDefault="00DE096B">
      <w:pPr>
        <w:spacing w:line="360" w:lineRule="auto"/>
        <w:ind w:left="567" w:right="567"/>
        <w:jc w:val="both"/>
        <w:rPr>
          <w:rFonts w:ascii="Palatino Linotype" w:eastAsia="Palatino Linotype" w:hAnsi="Palatino Linotype" w:cs="Palatino Linotype"/>
          <w:i/>
          <w:color w:val="000000"/>
          <w:sz w:val="22"/>
          <w:szCs w:val="22"/>
        </w:rPr>
      </w:pPr>
    </w:p>
    <w:p w:rsidR="00DE096B" w:rsidRDefault="003D62B3">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rsidR="00DE096B" w:rsidRDefault="003D62B3">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u w:val="single"/>
        </w:rPr>
        <w:t>LA RESPUESTA NO FUE EMITIDA POR LETICIA MEJÍA GARCÍA</w:t>
      </w:r>
      <w:r>
        <w:rPr>
          <w:rFonts w:ascii="Palatino Linotype" w:eastAsia="Palatino Linotype" w:hAnsi="Palatino Linotype" w:cs="Palatino Linotype"/>
          <w:i/>
          <w:color w:val="000000"/>
          <w:sz w:val="22"/>
          <w:szCs w:val="22"/>
        </w:rPr>
        <w:t xml:space="preserve">, TITULAR DE LA SECRETARÍA DEL CAMPO Y A QUIEN SE LE SOLICITÓ ESPECIFICAMENTE LA INFORMACIÓN. LA SECRETARIA SE NIEGA A PROPORCIONAL LA INFORMACIÓN. </w:t>
      </w:r>
      <w:r>
        <w:rPr>
          <w:rFonts w:ascii="Palatino Linotype" w:eastAsia="Palatino Linotype" w:hAnsi="Palatino Linotype" w:cs="Palatino Linotype"/>
          <w:b/>
          <w:i/>
          <w:color w:val="000000"/>
          <w:sz w:val="22"/>
          <w:szCs w:val="22"/>
          <w:u w:val="single"/>
        </w:rPr>
        <w:t xml:space="preserve">EN SU LUGAR, SU SECRETARIO </w:t>
      </w:r>
      <w:r>
        <w:rPr>
          <w:rFonts w:ascii="Palatino Linotype" w:eastAsia="Palatino Linotype" w:hAnsi="Palatino Linotype" w:cs="Palatino Linotype"/>
          <w:b/>
          <w:i/>
          <w:color w:val="000000"/>
          <w:sz w:val="22"/>
          <w:szCs w:val="22"/>
          <w:u w:val="single"/>
        </w:rPr>
        <w:lastRenderedPageBreak/>
        <w:t>PARTICULAR EMITE LA RESPUESTA</w:t>
      </w:r>
      <w:r>
        <w:rPr>
          <w:rFonts w:ascii="Palatino Linotype" w:eastAsia="Palatino Linotype" w:hAnsi="Palatino Linotype" w:cs="Palatino Linotype"/>
          <w:i/>
          <w:color w:val="000000"/>
          <w:sz w:val="22"/>
          <w:szCs w:val="22"/>
        </w:rPr>
        <w:t xml:space="preserve"> A ESTE FOLIO, EN EL OFICIO 22500001S/020/2022.”. (Sic)</w:t>
      </w:r>
    </w:p>
    <w:p w:rsidR="00DE096B" w:rsidRDefault="00DE096B">
      <w:pPr>
        <w:spacing w:line="360" w:lineRule="auto"/>
        <w:ind w:left="851" w:right="900"/>
        <w:jc w:val="both"/>
        <w:rPr>
          <w:rFonts w:ascii="Palatino Linotype" w:eastAsia="Palatino Linotype" w:hAnsi="Palatino Linotype" w:cs="Palatino Linotype"/>
          <w:i/>
          <w:color w:val="000000"/>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04979/INFOEM/IP/RR/2022,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treinta y uno de marzo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E096B" w:rsidRDefault="00DE096B">
      <w:pPr>
        <w:spacing w:line="360" w:lineRule="auto"/>
        <w:jc w:val="both"/>
        <w:rPr>
          <w:rFonts w:ascii="Palatino Linotype" w:eastAsia="Palatino Linotype" w:hAnsi="Palatino Linotype" w:cs="Palatino Linotype"/>
        </w:rPr>
      </w:pPr>
    </w:p>
    <w:p w:rsidR="00DE096B" w:rsidRDefault="003D62B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no rindió su informe justificado, como se advierte a continuación: </w:t>
      </w:r>
    </w:p>
    <w:p w:rsidR="00DE096B" w:rsidRDefault="00DE096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DE096B" w:rsidRDefault="003D62B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extent cx="5760720" cy="1463675"/>
            <wp:effectExtent l="0" t="0" r="0" b="0"/>
            <wp:docPr id="19"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8"/>
                    <a:srcRect/>
                    <a:stretch>
                      <a:fillRect/>
                    </a:stretch>
                  </pic:blipFill>
                  <pic:spPr>
                    <a:xfrm>
                      <a:off x="0" y="0"/>
                      <a:ext cx="5760720" cy="1463675"/>
                    </a:xfrm>
                    <a:prstGeom prst="rect">
                      <a:avLst/>
                    </a:prstGeom>
                    <a:ln/>
                  </pic:spPr>
                </pic:pic>
              </a:graphicData>
            </a:graphic>
          </wp:inline>
        </w:drawing>
      </w:r>
    </w:p>
    <w:p w:rsidR="00DE096B" w:rsidRDefault="00DE096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DE096B" w:rsidRDefault="003D62B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En fecha trece de mayo de dos mil veintidós la Comisionada Ponente determinó el cierre de instrucción en términos de la fracción VI del artículo 185 de la Ley de Transparencia y Acceso a la Información Pública del Estado de México y Municipios.</w:t>
      </w:r>
    </w:p>
    <w:p w:rsidR="00DE096B" w:rsidRDefault="00DE096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DE096B" w:rsidRDefault="003D62B3">
      <w:pPr>
        <w:widowControl w:val="0"/>
        <w:tabs>
          <w:tab w:val="left" w:pos="709"/>
        </w:tabs>
        <w:spacing w:line="360" w:lineRule="auto"/>
        <w:jc w:val="both"/>
        <w:rPr>
          <w:rFonts w:ascii="Palatino Linotype" w:eastAsia="Palatino Linotype" w:hAnsi="Palatino Linotype" w:cs="Palatino Linotype"/>
          <w:highlight w:val="cyan"/>
        </w:rPr>
      </w:pPr>
      <w:r>
        <w:rPr>
          <w:rFonts w:ascii="Palatino Linotype" w:eastAsia="Palatino Linotype" w:hAnsi="Palatino Linotype" w:cs="Palatino Linotype"/>
          <w:b/>
        </w:rPr>
        <w:t>8.- Ampliación de plazo: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veinte de mayo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DE096B" w:rsidRDefault="00DE096B">
      <w:pPr>
        <w:widowControl w:val="0"/>
        <w:tabs>
          <w:tab w:val="left" w:pos="709"/>
        </w:tabs>
        <w:spacing w:line="360" w:lineRule="auto"/>
        <w:jc w:val="both"/>
        <w:rPr>
          <w:rFonts w:ascii="Palatino Linotype" w:eastAsia="Palatino Linotype" w:hAnsi="Palatino Linotype" w:cs="Palatino Linotype"/>
        </w:rPr>
      </w:pP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E096B" w:rsidRDefault="00DE096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DE096B" w:rsidRDefault="003D62B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a)      Complejidad del asunto:</w:t>
      </w:r>
      <w:r>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DE096B" w:rsidRDefault="003D62B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b)     Actividad Procesal del interesado:</w:t>
      </w:r>
      <w:r>
        <w:rPr>
          <w:rFonts w:ascii="Palatino Linotype" w:eastAsia="Palatino Linotype" w:hAnsi="Palatino Linotype" w:cs="Palatino Linotype"/>
          <w:sz w:val="22"/>
          <w:szCs w:val="22"/>
        </w:rPr>
        <w:t xml:space="preserve"> Acciones u omisiones del interesado.</w:t>
      </w:r>
    </w:p>
    <w:p w:rsidR="00DE096B" w:rsidRDefault="003D62B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      Conducta de la Autoridad</w:t>
      </w:r>
      <w:r>
        <w:rPr>
          <w:rFonts w:ascii="Palatino Linotype" w:eastAsia="Palatino Linotype" w:hAnsi="Palatino Linotype" w:cs="Palatino Linotype"/>
          <w:sz w:val="22"/>
          <w:szCs w:val="22"/>
        </w:rPr>
        <w:t xml:space="preserve">: Las Acciones u omisiones realizadas en el </w:t>
      </w:r>
      <w:r>
        <w:rPr>
          <w:rFonts w:ascii="Palatino Linotype" w:eastAsia="Palatino Linotype" w:hAnsi="Palatino Linotype" w:cs="Palatino Linotype"/>
          <w:sz w:val="22"/>
          <w:szCs w:val="22"/>
        </w:rPr>
        <w:lastRenderedPageBreak/>
        <w:t>procedimiento. Así como si la autoridad actuó con la debida diligencia.</w:t>
      </w:r>
    </w:p>
    <w:p w:rsidR="00DE096B" w:rsidRDefault="003D62B3">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 La afectación generada en la situación jurídica de la persona involucrada en el proceso</w:t>
      </w:r>
      <w:r>
        <w:rPr>
          <w:rFonts w:ascii="Palatino Linotype" w:eastAsia="Palatino Linotype" w:hAnsi="Palatino Linotype" w:cs="Palatino Linotype"/>
          <w:sz w:val="22"/>
          <w:szCs w:val="22"/>
        </w:rPr>
        <w:t>: Violación a sus derechos humanos.</w:t>
      </w:r>
    </w:p>
    <w:p w:rsidR="00DE096B" w:rsidRDefault="00DE096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 por tratarse de causas de fuerza mayor.</w:t>
      </w:r>
    </w:p>
    <w:p w:rsidR="00DE096B" w:rsidRDefault="00DE096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DE096B" w:rsidRDefault="003D62B3">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E096B" w:rsidRDefault="003D62B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PLAZO RAZONABLE PARA RESOLVER. DIMENSIÓN Y EFECTOS DE ESTE CONCEPTO CUANDO SE ADUCE EXCESIVA CARGA DE TRABAJO</w:t>
      </w:r>
      <w:r>
        <w:rPr>
          <w:rFonts w:ascii="Palatino Linotype" w:eastAsia="Palatino Linotype" w:hAnsi="Palatino Linotype" w:cs="Palatino Linotype"/>
          <w:sz w:val="22"/>
          <w:szCs w:val="22"/>
        </w:rPr>
        <w:t>.” consultable en el Seminario Judicial de la Federación y su gaceta, con el registro digital 2002351.</w:t>
      </w:r>
    </w:p>
    <w:p w:rsidR="00DE096B" w:rsidRDefault="003D62B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DE096B" w:rsidRDefault="003D62B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rsidR="00DE096B" w:rsidRDefault="00DE096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DE096B" w:rsidRDefault="003D62B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DE096B" w:rsidRDefault="00DE096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DE096B" w:rsidRDefault="00DE096B">
      <w:pPr>
        <w:spacing w:line="360" w:lineRule="auto"/>
        <w:jc w:val="both"/>
        <w:rPr>
          <w:rFonts w:ascii="Palatino Linotype" w:eastAsia="Palatino Linotype" w:hAnsi="Palatino Linotype" w:cs="Palatino Linotype"/>
        </w:rPr>
      </w:pPr>
    </w:p>
    <w:p w:rsidR="00DE096B" w:rsidRDefault="003D62B3">
      <w:pPr>
        <w:numPr>
          <w:ilvl w:val="0"/>
          <w:numId w:val="6"/>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C O N S I D E R A N D O:</w:t>
      </w:r>
    </w:p>
    <w:p w:rsidR="00DE096B" w:rsidRDefault="00DE096B">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rsidR="00DE096B" w:rsidRDefault="003D62B3">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DE096B" w:rsidRDefault="00DE096B">
      <w:pPr>
        <w:spacing w:line="360" w:lineRule="auto"/>
        <w:jc w:val="both"/>
        <w:rPr>
          <w:rFonts w:ascii="Palatino Linotype" w:eastAsia="Palatino Linotype" w:hAnsi="Palatino Linotype" w:cs="Palatino Linotype"/>
          <w:highlight w:val="whit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siete de marzo de dos mil veintidós,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w:t>
      </w:r>
      <w:r>
        <w:rPr>
          <w:rFonts w:ascii="Palatino Linotype" w:eastAsia="Palatino Linotype" w:hAnsi="Palatino Linotype" w:cs="Palatino Linotype"/>
        </w:rPr>
        <w:lastRenderedPageBreak/>
        <w:t xml:space="preserve">presentado el día veintiséis de marzo de dos mil veintidós, esto es al catorceavo día hábil siguiente en que tuvo conocimiento de la respuesta impugnada.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seudónimo con el cual desea ser identificado, como se advierte en el detalle de seguimiento del Sistema de Acceso a la Información Mexiquense, no obstante, no proporcionar nombre incompleto o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276" w:lineRule="auto"/>
        <w:ind w:left="567" w:right="567"/>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155.-</w:t>
      </w:r>
      <w:r>
        <w:rPr>
          <w:rFonts w:ascii="Palatino Linotype" w:eastAsia="Palatino Linotype" w:hAnsi="Palatino Linotype" w:cs="Palatino Linotype"/>
          <w:i/>
          <w:color w:val="000000"/>
          <w:sz w:val="22"/>
          <w:szCs w:val="22"/>
        </w:rPr>
        <w:t xml:space="preserve"> Las solicitudes anónimas, con </w:t>
      </w:r>
      <w:r>
        <w:rPr>
          <w:rFonts w:ascii="Palatino Linotype" w:eastAsia="Palatino Linotype" w:hAnsi="Palatino Linotype" w:cs="Palatino Linotype"/>
          <w:b/>
          <w:i/>
          <w:color w:val="000000"/>
          <w:sz w:val="22"/>
          <w:szCs w:val="22"/>
        </w:rPr>
        <w:t>nombre incompleto o seudónimo</w:t>
      </w:r>
      <w:r>
        <w:rPr>
          <w:rFonts w:ascii="Palatino Linotype" w:eastAsia="Palatino Linotype" w:hAnsi="Palatino Linotype" w:cs="Palatino Linotype"/>
          <w:i/>
          <w:color w:val="000000"/>
          <w:sz w:val="22"/>
          <w:szCs w:val="22"/>
        </w:rPr>
        <w:t xml:space="preserve"> serán procedentes para su trámite por parte del sujeto obligado ante quien se presente. No podrá requerirse información adicional con motivo del nombre proporcionado por el solicitante."</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Pr>
          <w:rFonts w:ascii="Palatino Linotype" w:eastAsia="Palatino Linotype" w:hAnsi="Palatino Linotype" w:cs="Palatino Linotype"/>
        </w:rPr>
        <w:lastRenderedPageBreak/>
        <w:t xml:space="preserve">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Finalmente, resulta procedente la interposición del recurso de revisión al rubro anotado, toda vez que se actualiza las hipótesis previstas en el artículo 179, fracción VI de la Ley de la materia, que a la letra dice:</w:t>
      </w:r>
    </w:p>
    <w:p w:rsidR="00DE096B" w:rsidRDefault="00DE096B">
      <w:pPr>
        <w:spacing w:line="360" w:lineRule="auto"/>
        <w:ind w:right="-93"/>
        <w:jc w:val="both"/>
        <w:rPr>
          <w:rFonts w:ascii="Palatino Linotype" w:eastAsia="Palatino Linotype" w:hAnsi="Palatino Linotype" w:cs="Palatino Linotype"/>
        </w:rPr>
      </w:pPr>
    </w:p>
    <w:p w:rsidR="00DE096B" w:rsidRDefault="003D62B3">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DE096B" w:rsidRDefault="003D62B3">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entrega de información que no corresponde con lo solicitado;” </w:t>
      </w:r>
      <w:r>
        <w:rPr>
          <w:rFonts w:ascii="Palatino Linotype" w:eastAsia="Palatino Linotype" w:hAnsi="Palatino Linotype" w:cs="Palatino Linotype"/>
          <w:i/>
        </w:rPr>
        <w:t>(Sic)</w:t>
      </w:r>
    </w:p>
    <w:p w:rsidR="00DE096B" w:rsidRDefault="00DE096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DE096B" w:rsidRDefault="003D62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 xml:space="preserve">Del análisis de la solicitud de información motivo del recurso de revisión que ahora se resuelve, se advierte que la pretensión del Particular es </w:t>
      </w:r>
      <w:r>
        <w:rPr>
          <w:rFonts w:ascii="Palatino Linotype" w:eastAsia="Palatino Linotype" w:hAnsi="Palatino Linotype" w:cs="Palatino Linotype"/>
          <w:b/>
        </w:rPr>
        <w:t xml:space="preserve">obtener de la titular de la Secretaría del Campo: </w:t>
      </w:r>
    </w:p>
    <w:p w:rsidR="00DE096B" w:rsidRDefault="00DE096B">
      <w:pPr>
        <w:spacing w:line="360" w:lineRule="auto"/>
        <w:jc w:val="both"/>
        <w:rPr>
          <w:rFonts w:ascii="Palatino Linotype" w:eastAsia="Palatino Linotype" w:hAnsi="Palatino Linotype" w:cs="Palatino Linotype"/>
          <w:b/>
        </w:rPr>
      </w:pP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El informe de gestión y de todos y cada uno de los documentos de los asuntos de recursos humanos, con motivo de la entrega-recepción por parte de la ex Secretaría del Campo.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 nombramiento como Titular de la Secretaría</w:t>
      </w:r>
    </w:p>
    <w:p w:rsidR="00DE096B" w:rsidRDefault="00DE096B">
      <w:pPr>
        <w:spacing w:line="360" w:lineRule="auto"/>
        <w:jc w:val="both"/>
        <w:rPr>
          <w:rFonts w:ascii="Palatino Linotype" w:eastAsia="Palatino Linotype" w:hAnsi="Palatino Linotype" w:cs="Palatino Linotype"/>
          <w:b/>
        </w:rPr>
      </w:pPr>
    </w:p>
    <w:p w:rsidR="00DE096B" w:rsidRDefault="003D62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Esto en versión pública y en formato PDF.</w:t>
      </w:r>
    </w:p>
    <w:p w:rsidR="00DE096B" w:rsidRDefault="003D62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Sujeto Obligado a través del Secretario Particular remitió lo relativo a: </w:t>
      </w:r>
    </w:p>
    <w:p w:rsidR="00DE096B" w:rsidRDefault="00DE096B">
      <w:pPr>
        <w:spacing w:line="360" w:lineRule="auto"/>
        <w:jc w:val="both"/>
        <w:rPr>
          <w:rFonts w:ascii="Palatino Linotype" w:eastAsia="Palatino Linotype" w:hAnsi="Palatino Linotype" w:cs="Palatino Linotype"/>
          <w:sz w:val="22"/>
          <w:szCs w:val="22"/>
        </w:rPr>
      </w:pP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nombramiento de la actual Secretaria del Campo. </w:t>
      </w:r>
    </w:p>
    <w:p w:rsidR="00DE096B" w:rsidRDefault="003D62B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plantilla de personal de nómina, el informe de gestión y el resumen de la plantilla de personal, signado por la ex Secretaría del Campo de fecha ocho de febrero de dos mil veintidós y el resumen de la plantilla de personal. </w:t>
      </w:r>
    </w:p>
    <w:p w:rsidR="00DE096B" w:rsidRDefault="00DE096B">
      <w:pPr>
        <w:spacing w:line="360" w:lineRule="auto"/>
        <w:jc w:val="both"/>
        <w:rPr>
          <w:rFonts w:ascii="Palatino Linotype" w:eastAsia="Palatino Linotype" w:hAnsi="Palatino Linotype" w:cs="Palatino Linotype"/>
          <w:color w:val="FF0000"/>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muestra a continuación: </w:t>
      </w:r>
    </w:p>
    <w:p w:rsidR="00DE096B" w:rsidRDefault="00DE096B">
      <w:pPr>
        <w:spacing w:line="360" w:lineRule="auto"/>
        <w:jc w:val="both"/>
        <w:rPr>
          <w:rFonts w:ascii="Palatino Linotype" w:eastAsia="Palatino Linotype" w:hAnsi="Palatino Linotype" w:cs="Palatino Linotype"/>
        </w:rPr>
      </w:pPr>
    </w:p>
    <w:p w:rsidR="00DE096B" w:rsidRDefault="003D62B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Nombramiento de la actual titular de la Secretaría del Campo</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249011" cy="2048162"/>
            <wp:effectExtent l="0" t="0" r="0" b="0"/>
            <wp:docPr id="21" name="image7.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Texto, Carta&#10;&#10;Descripción generada automáticamente"/>
                    <pic:cNvPicPr preferRelativeResize="0"/>
                  </pic:nvPicPr>
                  <pic:blipFill>
                    <a:blip r:embed="rId9"/>
                    <a:srcRect b="58069"/>
                    <a:stretch>
                      <a:fillRect/>
                    </a:stretch>
                  </pic:blipFill>
                  <pic:spPr>
                    <a:xfrm>
                      <a:off x="0" y="0"/>
                      <a:ext cx="5249011" cy="2048162"/>
                    </a:xfrm>
                    <a:prstGeom prst="rect">
                      <a:avLst/>
                    </a:prstGeom>
                    <a:ln/>
                  </pic:spPr>
                </pic:pic>
              </a:graphicData>
            </a:graphic>
          </wp:inline>
        </w:drawing>
      </w:r>
    </w:p>
    <w:p w:rsidR="00DE096B" w:rsidRDefault="003D62B3">
      <w:pPr>
        <w:spacing w:line="360" w:lineRule="auto"/>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[extracto obtenido del documento proporcionado en respuesta por el Sujeto Obligado]</w:t>
      </w:r>
    </w:p>
    <w:p w:rsidR="00DE096B" w:rsidRDefault="00DE096B">
      <w:pPr>
        <w:spacing w:line="360" w:lineRule="auto"/>
        <w:jc w:val="both"/>
        <w:rPr>
          <w:rFonts w:ascii="Palatino Linotype" w:eastAsia="Palatino Linotype" w:hAnsi="Palatino Linotype" w:cs="Palatino Linotype"/>
        </w:rPr>
      </w:pPr>
    </w:p>
    <w:p w:rsidR="00DE096B" w:rsidRDefault="003D62B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Plantilla de personal de nómina. </w:t>
      </w:r>
    </w:p>
    <w:p w:rsidR="00DE096B" w:rsidRDefault="00DE096B">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DE096B" w:rsidRDefault="003D62B3">
      <w:pPr>
        <w:spacing w:line="360" w:lineRule="auto"/>
        <w:jc w:val="right"/>
        <w:rPr>
          <w:rFonts w:ascii="Palatino Linotype" w:eastAsia="Palatino Linotype" w:hAnsi="Palatino Linotype" w:cs="Palatino Linotype"/>
          <w:sz w:val="20"/>
          <w:szCs w:val="20"/>
        </w:rPr>
      </w:pPr>
      <w:r>
        <w:rPr>
          <w:rFonts w:ascii="Palatino Linotype" w:eastAsia="Palatino Linotype" w:hAnsi="Palatino Linotype" w:cs="Palatino Linotype"/>
          <w:noProof/>
          <w:lang w:val="es-MX" w:eastAsia="es-MX"/>
        </w:rPr>
        <w:lastRenderedPageBreak/>
        <w:drawing>
          <wp:inline distT="0" distB="0" distL="0" distR="0">
            <wp:extent cx="5760720" cy="948690"/>
            <wp:effectExtent l="0" t="0" r="0" b="0"/>
            <wp:docPr id="20" name="image4.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Aplicación&#10;&#10;Descripción generada automáticamente"/>
                    <pic:cNvPicPr preferRelativeResize="0"/>
                  </pic:nvPicPr>
                  <pic:blipFill>
                    <a:blip r:embed="rId10"/>
                    <a:srcRect/>
                    <a:stretch>
                      <a:fillRect/>
                    </a:stretch>
                  </pic:blipFill>
                  <pic:spPr>
                    <a:xfrm>
                      <a:off x="0" y="0"/>
                      <a:ext cx="5760720" cy="948690"/>
                    </a:xfrm>
                    <a:prstGeom prst="rect">
                      <a:avLst/>
                    </a:prstGeom>
                    <a:ln/>
                  </pic:spPr>
                </pic:pic>
              </a:graphicData>
            </a:graphic>
          </wp:inline>
        </w:drawing>
      </w:r>
      <w:r>
        <w:rPr>
          <w:rFonts w:ascii="Palatino Linotype" w:eastAsia="Palatino Linotype" w:hAnsi="Palatino Linotype" w:cs="Palatino Linotype"/>
          <w:sz w:val="20"/>
          <w:szCs w:val="20"/>
        </w:rPr>
        <w:t>[extracto obtenido del documento proporcionado en respuesta por el Sujeto Obligado]</w:t>
      </w:r>
    </w:p>
    <w:p w:rsidR="00DE096B" w:rsidRDefault="00DE096B">
      <w:pPr>
        <w:spacing w:line="360" w:lineRule="auto"/>
        <w:jc w:val="right"/>
        <w:rPr>
          <w:rFonts w:ascii="Palatino Linotype" w:eastAsia="Palatino Linotype" w:hAnsi="Palatino Linotype" w:cs="Palatino Linotype"/>
          <w:sz w:val="20"/>
          <w:szCs w:val="20"/>
        </w:rPr>
      </w:pPr>
    </w:p>
    <w:p w:rsidR="00DE096B" w:rsidRDefault="003D62B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Formato 11.2) Informe de Gestión. </w:t>
      </w:r>
    </w:p>
    <w:p w:rsidR="00DE096B" w:rsidRDefault="00DE096B">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DE096B" w:rsidRDefault="003D62B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760720" cy="1344930"/>
            <wp:effectExtent l="0" t="0" r="0" b="0"/>
            <wp:docPr id="23"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1"/>
                    <a:srcRect/>
                    <a:stretch>
                      <a:fillRect/>
                    </a:stretch>
                  </pic:blipFill>
                  <pic:spPr>
                    <a:xfrm>
                      <a:off x="0" y="0"/>
                      <a:ext cx="5760720" cy="1344930"/>
                    </a:xfrm>
                    <a:prstGeom prst="rect">
                      <a:avLst/>
                    </a:prstGeom>
                    <a:ln/>
                  </pic:spPr>
                </pic:pic>
              </a:graphicData>
            </a:graphic>
          </wp:inline>
        </w:drawing>
      </w:r>
    </w:p>
    <w:p w:rsidR="00DE096B" w:rsidRDefault="003D62B3">
      <w:pPr>
        <w:spacing w:line="360" w:lineRule="auto"/>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[extracto obtenido del documento proporcionado en respuesta por el Sujeto Obligado]</w:t>
      </w:r>
    </w:p>
    <w:p w:rsidR="00DE096B" w:rsidRDefault="00DE096B">
      <w:pPr>
        <w:spacing w:line="360" w:lineRule="auto"/>
        <w:jc w:val="right"/>
        <w:rPr>
          <w:rFonts w:ascii="Palatino Linotype" w:eastAsia="Palatino Linotype" w:hAnsi="Palatino Linotype" w:cs="Palatino Linotype"/>
        </w:rPr>
      </w:pPr>
    </w:p>
    <w:p w:rsidR="00DE096B" w:rsidRDefault="003D62B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Formato 11.2) Informe de Gestión. </w:t>
      </w:r>
    </w:p>
    <w:p w:rsidR="00DE096B" w:rsidRDefault="00DE096B">
      <w:pPr>
        <w:spacing w:line="360" w:lineRule="auto"/>
        <w:rPr>
          <w:rFonts w:ascii="Palatino Linotype" w:eastAsia="Palatino Linotype" w:hAnsi="Palatino Linotype" w:cs="Palatino Linotype"/>
        </w:rPr>
      </w:pPr>
    </w:p>
    <w:p w:rsidR="00DE096B" w:rsidRDefault="003D62B3">
      <w:pPr>
        <w:spacing w:line="360" w:lineRule="auto"/>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760720" cy="1316355"/>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760720" cy="1316355"/>
                    </a:xfrm>
                    <a:prstGeom prst="rect">
                      <a:avLst/>
                    </a:prstGeom>
                    <a:ln/>
                  </pic:spPr>
                </pic:pic>
              </a:graphicData>
            </a:graphic>
          </wp:inline>
        </w:drawing>
      </w:r>
    </w:p>
    <w:p w:rsidR="00DE096B" w:rsidRDefault="003D62B3">
      <w:pPr>
        <w:spacing w:line="360" w:lineRule="auto"/>
        <w:jc w:val="right"/>
        <w:rPr>
          <w:rFonts w:ascii="Palatino Linotype" w:eastAsia="Palatino Linotype" w:hAnsi="Palatino Linotype" w:cs="Palatino Linotype"/>
        </w:rPr>
      </w:pPr>
      <w:r>
        <w:rPr>
          <w:rFonts w:ascii="Palatino Linotype" w:eastAsia="Palatino Linotype" w:hAnsi="Palatino Linotype" w:cs="Palatino Linotype"/>
          <w:sz w:val="20"/>
          <w:szCs w:val="20"/>
        </w:rPr>
        <w:t>[extracto obtenido del documento proporcionado en respuesta por el Sujeto Obligado]</w:t>
      </w:r>
    </w:p>
    <w:p w:rsidR="00DE096B" w:rsidRDefault="00DE096B">
      <w:pPr>
        <w:spacing w:line="360" w:lineRule="auto"/>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Derivado de ello, el Particular se inconformó, en términos generales, porque </w:t>
      </w:r>
      <w:r>
        <w:rPr>
          <w:rFonts w:ascii="Palatino Linotype" w:eastAsia="Palatino Linotype" w:hAnsi="Palatino Linotype" w:cs="Palatino Linotype"/>
          <w:b/>
          <w:u w:val="single"/>
        </w:rPr>
        <w:t>la respuesta no fue emitida por la Titular de la Secretaría del Campo, sino que fue proporcionada por el Secretario Particular.</w:t>
      </w:r>
      <w:r>
        <w:rPr>
          <w:rFonts w:ascii="Palatino Linotype" w:eastAsia="Palatino Linotype" w:hAnsi="Palatino Linotype" w:cs="Palatino Linotype"/>
          <w:b/>
        </w:rPr>
        <w:t xml:space="preserve">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resulta conveniente traer a colación lo que establece el Reglamento para los Procesos de Entrega y Recepción y de Rendición de Cuentas de la Administración Pública del Estado de México, el cual precisa en su artículo 3 lo siguiente: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efectos del presente Reglamento, se entiende por:</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Entrega y Recepción:</w:t>
      </w:r>
      <w:r>
        <w:rPr>
          <w:rFonts w:ascii="Palatino Linotype" w:eastAsia="Palatino Linotype" w:hAnsi="Palatino Linotype" w:cs="Palatino Linotype"/>
          <w:i/>
          <w:sz w:val="22"/>
          <w:szCs w:val="22"/>
        </w:rPr>
        <w:t xml:space="preserve"> Al proceso administrativo por el que una persona servidora pública que concluye su empleo, cargo o comisión hace entrega y rinde cuentas de los Recursos asignados; de los programas, proyectos, asuntos y acciones a su cargo y del estado que guardan; así como de la información documental que tenga a su disposición de manera directa, a quien reciba legalmente para sustituirle o a la persona que su superior jerárquico designe como encargada o encargado, o responsable para tales efectos; </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Entrega y Recepción Institucional: Al proceso administrativo por el que las personas titulares de las Dependencias y Organismos Auxiliares salientes entregan un Informe de Rendición de Cuentas y, en su caso, Libros Blancos y Memorias Documentales sobre los resultados y situación que guardan los programas, proyectos, acciones, compromisos, asuntos, y Recursos bajo su responsabilidad, a las personas servidoras públicas titulares entrantes de las Dependencias y Organismos Auxiliares, por el término del periodo constitucional de la gestión de la persona titular del Poder Ejecutivo del Estado de México;</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 Informe de Gestión:</w:t>
      </w:r>
      <w:r>
        <w:rPr>
          <w:rFonts w:ascii="Palatino Linotype" w:eastAsia="Palatino Linotype" w:hAnsi="Palatino Linotype" w:cs="Palatino Linotype"/>
          <w:i/>
          <w:sz w:val="22"/>
          <w:szCs w:val="22"/>
        </w:rPr>
        <w:t xml:space="preserve"> Al reporte que la persona servidora pública que entrega debe rendir como parte del Acta Administrativa al separarse del cargo, empleo o comisión, en el </w:t>
      </w:r>
      <w:r>
        <w:rPr>
          <w:rFonts w:ascii="Palatino Linotype" w:eastAsia="Palatino Linotype" w:hAnsi="Palatino Linotype" w:cs="Palatino Linotype"/>
          <w:i/>
          <w:sz w:val="22"/>
          <w:szCs w:val="22"/>
        </w:rPr>
        <w:lastRenderedPageBreak/>
        <w:t>que hace constar el cumplimiento de obligaciones derivadas de instrumentos jurídicos, sobre el avance del presupuesto, programas y proyectos a su cargo, descripción sobre el estado en que se recibió y se entrega la unidad administrativa, resultados alcanzados, compromisos y actividades prioritarias dentro de los noventa días naturales siguientes al acto de Entrega y Recepción, y recomendaciones que se consideren pertinentes;</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XIX. Recursos: A los Recursos humanos,</w:t>
      </w:r>
      <w:r>
        <w:rPr>
          <w:rFonts w:ascii="Palatino Linotype" w:eastAsia="Palatino Linotype" w:hAnsi="Palatino Linotype" w:cs="Palatino Linotype"/>
          <w:i/>
          <w:sz w:val="22"/>
          <w:szCs w:val="22"/>
        </w:rPr>
        <w:t xml:space="preserve"> financieros, materiales o de cualquier otro tipo que tengan asignados las personas servidoras públicas de las Dependencias y Organismos Auxiliares de la Administración Pública Estatal para el ejercicio de sus funciones;</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SISER-WEB:</w:t>
      </w:r>
      <w:r>
        <w:rPr>
          <w:rFonts w:ascii="Palatino Linotype" w:eastAsia="Palatino Linotype" w:hAnsi="Palatino Linotype" w:cs="Palatino Linotype"/>
          <w:i/>
          <w:sz w:val="22"/>
          <w:szCs w:val="22"/>
        </w:rPr>
        <w:t xml:space="preserve"> Al sistema automatizado para la Entrega y Recepción de Unidades Administrativas, y</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en cita se desprende que el acto entrega y recepción, es un proceso por el cual la persona servidora pública que concluye su cargo rinde cuentas a quien le sustituya, el cual deberá ser efectuado en un plazo máximo de cinco días hábiles contados a partir de que surta efectos la separación del empleo, cargo o comisión, asimismo, cabe señalar que el acta administrativa y sus anexos deberán elaborarse de manera física o electrónica de acuerdo con los formatos establecidos para tal efecto,, a través del SISER-WEB, que como se precisó es un sistema que registra la entrega y recepción de las unidades administrativas.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w:t>
      </w:r>
      <w:r>
        <w:rPr>
          <w:rFonts w:ascii="Palatino Linotype" w:eastAsia="Palatino Linotype" w:hAnsi="Palatino Linotype" w:cs="Palatino Linotype"/>
          <w:i/>
          <w:sz w:val="22"/>
          <w:szCs w:val="22"/>
        </w:rPr>
        <w:t xml:space="preserve"> La Entrega y Recepción se efectuará en un plazo máximo de cinco días hábiles, contados a partir de que surta efectos la separación del empleo, cargo o comisión y se dejará constancia mediante el Acta Administrativa correspondiente.</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w:t>
      </w:r>
    </w:p>
    <w:p w:rsidR="00DE096B" w:rsidRDefault="003D62B3">
      <w:pPr>
        <w:spacing w:line="360"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Artículo 9.</w:t>
      </w:r>
      <w:r>
        <w:rPr>
          <w:rFonts w:ascii="Palatino Linotype" w:eastAsia="Palatino Linotype" w:hAnsi="Palatino Linotype" w:cs="Palatino Linotype"/>
          <w:i/>
          <w:sz w:val="22"/>
          <w:szCs w:val="22"/>
        </w:rPr>
        <w:t xml:space="preserve"> El Acta Administrativa y sus anexos deberán elaborarse de manera física o electrónica, a través del SISER-WEB, conforme a los formatos establecidos para tal efecto, vinculados al soporte documental que resguarde la Persona que entrega…</w:t>
      </w:r>
    </w:p>
    <w:p w:rsidR="00DE096B" w:rsidRDefault="00DE096B">
      <w:pPr>
        <w:spacing w:line="360" w:lineRule="auto"/>
        <w:ind w:right="567"/>
        <w:jc w:val="both"/>
        <w:rPr>
          <w:rFonts w:ascii="Palatino Linotype" w:eastAsia="Palatino Linotype" w:hAnsi="Palatino Linotype" w:cs="Palatino Linotype"/>
          <w:i/>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relativo al caso que ahora se estudia, es de recordar que, de la solicitud de información, se advierte </w:t>
      </w:r>
      <w:r>
        <w:rPr>
          <w:rFonts w:ascii="Palatino Linotype" w:eastAsia="Palatino Linotype" w:hAnsi="Palatino Linotype" w:cs="Palatino Linotype"/>
          <w:b/>
          <w:u w:val="single"/>
        </w:rPr>
        <w:t>que el Particular requirió obtener específicamente respuesta de la actual titular de la Secretaria del Campo y se inconformó porque el Secretario Particular fue quien proporcionó la información solicitada</w:t>
      </w:r>
      <w:r>
        <w:rPr>
          <w:rFonts w:ascii="Palatino Linotype" w:eastAsia="Palatino Linotype" w:hAnsi="Palatino Linotype" w:cs="Palatino Linotype"/>
        </w:rPr>
        <w:t xml:space="preserve">.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es necesario referir que </w:t>
      </w:r>
      <w:r>
        <w:rPr>
          <w:rFonts w:ascii="Palatino Linotype" w:eastAsia="Palatino Linotype" w:hAnsi="Palatino Linotype" w:cs="Palatino Linotype"/>
          <w:b/>
        </w:rPr>
        <w:t>al no inconformarse por la información que fue proporcionada en respuesta, sino únicamente por el servidor público que emitió esta</w:t>
      </w:r>
      <w:r>
        <w:rPr>
          <w:rFonts w:ascii="Palatino Linotype" w:eastAsia="Palatino Linotype" w:hAnsi="Palatino Linotype" w:cs="Palatino Linotype"/>
        </w:rPr>
        <w:t xml:space="preserve">; resulta relevante traer a colación el Criterio 01/20, emitido por el Instituto Nacional de Transparencia, Acceso a la Información y Protección de Datos Personales, que establece lo siguiente: </w:t>
      </w:r>
    </w:p>
    <w:p w:rsidR="00DE096B" w:rsidRDefault="00DE096B">
      <w:pPr>
        <w:spacing w:line="360" w:lineRule="auto"/>
        <w:jc w:val="both"/>
        <w:rPr>
          <w:rFonts w:ascii="Palatino Linotype" w:eastAsia="Palatino Linotype" w:hAnsi="Palatino Linotype" w:cs="Palatino Linotype"/>
          <w:sz w:val="22"/>
          <w:szCs w:val="22"/>
        </w:rPr>
      </w:pP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DE096B" w:rsidRDefault="00DE096B">
      <w:pPr>
        <w:spacing w:line="360" w:lineRule="auto"/>
        <w:jc w:val="both"/>
        <w:rPr>
          <w:rFonts w:ascii="Palatino Linotype" w:eastAsia="Palatino Linotype" w:hAnsi="Palatino Linotype" w:cs="Palatino Linotype"/>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resulta improcedente entrar al análisis de las partes de la respuesta que no fueron impugnadas por el Recurrente, ya que, únicamente se debe analizar lo que refiere a los motivos de inconformidad hechos valer por el Recurrente en la interposición de su medio de impugnación; es entonces que el Recurso de Revisión, </w:t>
      </w:r>
      <w:r>
        <w:rPr>
          <w:rFonts w:ascii="Palatino Linotype" w:eastAsia="Palatino Linotype" w:hAnsi="Palatino Linotype" w:cs="Palatino Linotype"/>
        </w:rPr>
        <w:lastRenderedPageBreak/>
        <w:t xml:space="preserve">debe versar exclusivamente sobre los motivos de inconformidad hechos valer por el Particular y atender de manera específica aquellos puntos que le generan agravio.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resulta necesario referir que como se advierte en la estructura orgánica prevista en el Manual General de Organización de la Secretaría del Campo del Sujeto Obligado, esta se integra por una unidad administrativa denominada Secretaría Particular y que, de conformidad con el Manual referido, cuenta con las atribuciones que se enuncian a continuación:</w:t>
      </w: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DE096B" w:rsidRDefault="003D62B3">
      <w:pPr>
        <w:spacing w:line="360" w:lineRule="auto"/>
        <w:ind w:left="567" w:right="567"/>
        <w:jc w:val="center"/>
        <w:rPr>
          <w:rFonts w:ascii="Palatino Linotype" w:eastAsia="Palatino Linotype" w:hAnsi="Palatino Linotype" w:cs="Palatino Linotype"/>
          <w:b/>
          <w:i/>
        </w:rPr>
      </w:pPr>
      <w:r>
        <w:rPr>
          <w:rFonts w:ascii="Palatino Linotype" w:eastAsia="Palatino Linotype" w:hAnsi="Palatino Linotype" w:cs="Palatino Linotype"/>
          <w:b/>
          <w:i/>
        </w:rPr>
        <w:t>V. ESTRUCTURA ORGÁNICA</w:t>
      </w:r>
    </w:p>
    <w:p w:rsidR="00DE096B" w:rsidRDefault="00DE096B">
      <w:pPr>
        <w:spacing w:line="360" w:lineRule="auto"/>
        <w:ind w:left="567" w:right="567"/>
        <w:jc w:val="center"/>
        <w:rPr>
          <w:rFonts w:ascii="Palatino Linotype" w:eastAsia="Palatino Linotype" w:hAnsi="Palatino Linotype" w:cs="Palatino Linotype"/>
          <w:b/>
          <w:i/>
        </w:rPr>
      </w:pP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22500001000000S Secretaría Particular </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E096B" w:rsidRDefault="00DE096B">
      <w:pPr>
        <w:spacing w:line="360" w:lineRule="auto"/>
        <w:ind w:right="567"/>
        <w:jc w:val="both"/>
        <w:rPr>
          <w:rFonts w:ascii="Palatino Linotype" w:eastAsia="Palatino Linotype" w:hAnsi="Palatino Linotype" w:cs="Palatino Linotype"/>
          <w:b/>
          <w:i/>
          <w:sz w:val="22"/>
          <w:szCs w:val="22"/>
        </w:rPr>
      </w:pP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22500001000000S SECRETARÍA PARTICULAR</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OBJETIVO: </w:t>
      </w:r>
      <w:r>
        <w:rPr>
          <w:rFonts w:ascii="Palatino Linotype" w:eastAsia="Palatino Linotype" w:hAnsi="Palatino Linotype" w:cs="Palatino Linotype"/>
          <w:i/>
          <w:sz w:val="22"/>
          <w:szCs w:val="22"/>
        </w:rPr>
        <w:t xml:space="preserve">Apoyar a la persona titular de la Secretaría del Campo en el cumplimiento de sus funciones ejecutivas, así como mantenerlo constantemente informado sobre los compromisos oficiales contraídos. </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FUNCIONES: </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Acordar periódicamente con la persona titular de la Secretaría, para someter a su consideración documentos, requerimientos y audiencias</w:t>
      </w:r>
      <w:r>
        <w:rPr>
          <w:rFonts w:ascii="Palatino Linotype" w:eastAsia="Palatino Linotype" w:hAnsi="Palatino Linotype" w:cs="Palatino Linotype"/>
          <w:i/>
          <w:sz w:val="22"/>
          <w:szCs w:val="22"/>
        </w:rPr>
        <w:t xml:space="preserve">. </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Coordinar los acuerdos de la persona titular de la Secretaría con las personas titulares de las Direcciones Generales, Coordinaciones, Unidades y Delegaciones Regionales. </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 Coordinar y vigilar el análisis documental de gestión, relacionado con las actividades del Sector y los de interés general de la persona titular de la Secretaría, para su resolución. </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Elaborar informes de los asuntos, acuerdos, demandas populares, audiencias, programas y de proyectos que hayan sido improcedentes, no cumplidos y los terminados por las diferentes instancias del Sector. </w:t>
      </w:r>
    </w:p>
    <w:p w:rsidR="00DE096B" w:rsidRDefault="003D62B3">
      <w:pPr>
        <w:spacing w:line="360"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Mantener ordenados y actualizados los directorios, archivos y documentos de la persona titular de la Secretaría para su eficiente consulta. </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Coordinar y dirigir las relaciones interinstitucionales y con el público en general, que demanden trámites y servicios a la Secretaría.</w:t>
      </w: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De lo referido, se tiene que la Secretaría Particular tiene entre sus atribuciones, el apoyar al titular de la Secretaría del Campo en el cumplimiento de sus funciones ejecutivas; coordinar y proporcionar el análisis documental de gestión y de interés general de la Secretaria; realizar el seguimiento y control de los asuntos y/o acuerdos de la persona titular de la Secretaria </w:t>
      </w:r>
      <w:r>
        <w:rPr>
          <w:rFonts w:ascii="Palatino Linotype" w:eastAsia="Palatino Linotype" w:hAnsi="Palatino Linotype" w:cs="Palatino Linotype"/>
          <w:b/>
          <w:u w:val="single"/>
        </w:rPr>
        <w:t xml:space="preserve">es decir; en términos generales esta unidad administrativa apoyará a la persona titular de la Secretaría en el desarrollo de su gestión y en el cumplimiento de sus atribuciones.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lo que respecta a nuestra materia, es de señalar que el Titular de la Unidad de Transparencia es el encargado de dar atención a las solicitudes de información con fundamento en los artículos 50 y 53 fracciones II, V y VI de la Ley de Transparencia y Acceso a la Información Pública del Estado de México y Municipios y que, dentro de sus propias funciones se encuentra la de tramitar ante las áreas </w:t>
      </w:r>
      <w:r>
        <w:rPr>
          <w:rFonts w:ascii="Palatino Linotype" w:eastAsia="Palatino Linotype" w:hAnsi="Palatino Linotype" w:cs="Palatino Linotype"/>
        </w:rPr>
        <w:lastRenderedPageBreak/>
        <w:t xml:space="preserve">administradoras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 </w:t>
      </w:r>
    </w:p>
    <w:p w:rsidR="00DE096B" w:rsidRDefault="00DE096B">
      <w:pPr>
        <w:spacing w:line="360" w:lineRule="auto"/>
        <w:jc w:val="both"/>
        <w:rPr>
          <w:rFonts w:ascii="Palatino Linotype" w:eastAsia="Palatino Linotype" w:hAnsi="Palatino Linotype" w:cs="Palatino Linotype"/>
        </w:rPr>
      </w:pPr>
    </w:p>
    <w:p w:rsidR="00DE096B" w:rsidRDefault="003D62B3">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rsidR="00DE096B" w:rsidRDefault="00DE096B">
      <w:pPr>
        <w:tabs>
          <w:tab w:val="left" w:pos="709"/>
        </w:tabs>
        <w:ind w:left="851" w:right="760"/>
        <w:jc w:val="both"/>
        <w:rPr>
          <w:rFonts w:ascii="Palatino Linotype" w:eastAsia="Palatino Linotype" w:hAnsi="Palatino Linotype" w:cs="Palatino Linotype"/>
          <w:i/>
          <w:sz w:val="20"/>
          <w:szCs w:val="20"/>
        </w:rPr>
      </w:pP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DE096B" w:rsidRDefault="00DE096B">
      <w:pPr>
        <w:tabs>
          <w:tab w:val="left" w:pos="709"/>
        </w:tabs>
        <w:ind w:left="851" w:right="760"/>
        <w:jc w:val="both"/>
        <w:rPr>
          <w:rFonts w:ascii="Palatino Linotype" w:eastAsia="Palatino Linotype" w:hAnsi="Palatino Linotype" w:cs="Palatino Linotype"/>
          <w:i/>
          <w:sz w:val="22"/>
          <w:szCs w:val="22"/>
        </w:rPr>
      </w:pP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DE096B" w:rsidRDefault="003D62B3">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 debe señalar que aunque la solicitud de información y la respuesta estén dirigidas y atendidas por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cierto es que también </w:t>
      </w:r>
      <w:r>
        <w:rPr>
          <w:rFonts w:ascii="Palatino Linotype" w:eastAsia="Palatino Linotype" w:hAnsi="Palatino Linotype" w:cs="Palatino Linotype"/>
          <w:b/>
        </w:rPr>
        <w:t xml:space="preserve">tienen diversas unidades administrativas y </w:t>
      </w:r>
      <w:r>
        <w:rPr>
          <w:rFonts w:ascii="Palatino Linotype" w:eastAsia="Palatino Linotype" w:hAnsi="Palatino Linotype" w:cs="Palatino Linotype"/>
          <w:b/>
          <w:u w:val="single"/>
        </w:rPr>
        <w:t>cada área cuenta con un Servidor Público Habilitado</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 xml:space="preserve">que es la persona encargada de apoyar, gestionar y entregar la información o datos personales que se ubiquen en la misma, a sus respectivas </w:t>
      </w:r>
      <w:r>
        <w:rPr>
          <w:rFonts w:ascii="Palatino Linotype" w:eastAsia="Palatino Linotype" w:hAnsi="Palatino Linotype" w:cs="Palatino Linotype"/>
          <w:b/>
          <w:u w:val="single"/>
        </w:rPr>
        <w:lastRenderedPageBreak/>
        <w:t>unidades de transparencia</w:t>
      </w:r>
      <w:r>
        <w:rPr>
          <w:rFonts w:ascii="Palatino Linotype" w:eastAsia="Palatino Linotype" w:hAnsi="Palatino Linotype" w:cs="Palatino Linotype"/>
        </w:rPr>
        <w:t>;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DE096B" w:rsidRDefault="00DE096B">
      <w:pPr>
        <w:spacing w:line="360" w:lineRule="auto"/>
      </w:pP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E096B" w:rsidRDefault="00DE096B"/>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DE096B" w:rsidRDefault="00DE096B">
      <w:pPr>
        <w:spacing w:line="276" w:lineRule="auto"/>
        <w:ind w:left="567" w:right="708"/>
        <w:jc w:val="both"/>
        <w:rPr>
          <w:rFonts w:ascii="Palatino Linotype" w:eastAsia="Palatino Linotype" w:hAnsi="Palatino Linotype" w:cs="Palatino Linotype"/>
          <w:i/>
          <w:sz w:val="22"/>
          <w:szCs w:val="22"/>
        </w:rPr>
      </w:pP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rsidR="00DE096B" w:rsidRDefault="00DE096B"/>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DE096B" w:rsidRDefault="003D62B3">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en el caso que se resuelve, es de señalar que el Titular de la Unidad de Transparencia del Sujeto Obligado, turnó la solicitud a la Secretaría Particular, que como se previó es la unidad administrativa competente para administrar la información solicitada. De tal forma que, en atención a dicha solicitud, el servidor público habilitado proporcionó respuesta a la misma, tal como se observa a continuación: </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760720" cy="828675"/>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60720" cy="828675"/>
                    </a:xfrm>
                    <a:prstGeom prst="rect">
                      <a:avLst/>
                    </a:prstGeom>
                    <a:ln/>
                  </pic:spPr>
                </pic:pic>
              </a:graphicData>
            </a:graphic>
          </wp:inline>
        </w:drawing>
      </w:r>
    </w:p>
    <w:p w:rsidR="00DE096B" w:rsidRDefault="00DE096B">
      <w:pPr>
        <w:tabs>
          <w:tab w:val="left" w:pos="7938"/>
        </w:tabs>
        <w:spacing w:line="360" w:lineRule="auto"/>
        <w:jc w:val="both"/>
        <w:rPr>
          <w:rFonts w:ascii="Palatino Linotype" w:eastAsia="Palatino Linotype" w:hAnsi="Palatino Linotype" w:cs="Palatino Linotype"/>
        </w:rPr>
      </w:pPr>
    </w:p>
    <w:p w:rsidR="00DE096B" w:rsidRDefault="003D62B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esto, se colige lo siguiente: </w:t>
      </w:r>
    </w:p>
    <w:p w:rsidR="00DE096B" w:rsidRDefault="00DE096B">
      <w:pPr>
        <w:tabs>
          <w:tab w:val="left" w:pos="7938"/>
        </w:tabs>
        <w:spacing w:line="360" w:lineRule="auto"/>
        <w:jc w:val="both"/>
        <w:rPr>
          <w:rFonts w:ascii="Palatino Linotype" w:eastAsia="Palatino Linotype" w:hAnsi="Palatino Linotype" w:cs="Palatino Linotype"/>
        </w:rPr>
      </w:pPr>
    </w:p>
    <w:p w:rsidR="00DE096B" w:rsidRDefault="003D62B3">
      <w:pPr>
        <w:numPr>
          <w:ilvl w:val="0"/>
          <w:numId w:val="3"/>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Unidad de Transparencia turnó la solicitud de información a la Secretaría Particular; </w:t>
      </w:r>
    </w:p>
    <w:p w:rsidR="00DE096B" w:rsidRDefault="003D62B3">
      <w:pPr>
        <w:numPr>
          <w:ilvl w:val="0"/>
          <w:numId w:val="3"/>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Secretaria Particular, es la unidad administrativa competente para atender la solicitud de información, ya que es la encargada de apoyar a la persona titular de la Secretaría del Campo, en el desarrollo de su gestión y cumplimiento de sus funciones y; </w:t>
      </w:r>
    </w:p>
    <w:p w:rsidR="00DE096B" w:rsidRDefault="003D62B3">
      <w:pPr>
        <w:numPr>
          <w:ilvl w:val="0"/>
          <w:numId w:val="3"/>
        </w:num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advierte que el Secretario Particular es el servidor público habilitado para dar respuesta a la solicitud de información. </w:t>
      </w:r>
    </w:p>
    <w:p w:rsidR="00DE096B" w:rsidRDefault="00DE096B">
      <w:pPr>
        <w:tabs>
          <w:tab w:val="left" w:pos="7938"/>
        </w:tabs>
        <w:spacing w:line="360" w:lineRule="auto"/>
        <w:jc w:val="both"/>
        <w:rPr>
          <w:rFonts w:ascii="Palatino Linotype" w:eastAsia="Palatino Linotype" w:hAnsi="Palatino Linotype" w:cs="Palatino Linotype"/>
        </w:rPr>
      </w:pPr>
    </w:p>
    <w:p w:rsidR="00DE096B" w:rsidRDefault="003D62B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no pasa desapercibido mencionar que de conformidad con el Criterio 03/17 emitido por el Instituto Nacional de Transparencia, Acceso a la Información y </w:t>
      </w:r>
      <w:r>
        <w:rPr>
          <w:rFonts w:ascii="Palatino Linotype" w:eastAsia="Palatino Linotype" w:hAnsi="Palatino Linotype" w:cs="Palatino Linotype"/>
        </w:rPr>
        <w:lastRenderedPageBreak/>
        <w:t xml:space="preserve">Protección de Datos Personales, los sujetos obligados deberán otorgar el acceso a los documentos que obran en sus archivos, en la forma y en el estado en que estos se encuentren, sin necesidad de elaborar documentos </w:t>
      </w:r>
      <w:r>
        <w:rPr>
          <w:rFonts w:ascii="Palatino Linotype" w:eastAsia="Palatino Linotype" w:hAnsi="Palatino Linotype" w:cs="Palatino Linotype"/>
          <w:i/>
        </w:rPr>
        <w:t xml:space="preserve">ad hoc </w:t>
      </w:r>
      <w:r>
        <w:rPr>
          <w:rFonts w:ascii="Palatino Linotype" w:eastAsia="Palatino Linotype" w:hAnsi="Palatino Linotype" w:cs="Palatino Linotype"/>
        </w:rPr>
        <w:t xml:space="preserve">para atender las solicitudes de información, tal como se observa a continuación: </w:t>
      </w:r>
    </w:p>
    <w:p w:rsidR="00DE096B" w:rsidRDefault="00DE096B">
      <w:pPr>
        <w:tabs>
          <w:tab w:val="left" w:pos="7938"/>
        </w:tabs>
        <w:spacing w:line="360" w:lineRule="auto"/>
        <w:jc w:val="both"/>
        <w:rPr>
          <w:rFonts w:ascii="Palatino Linotype" w:eastAsia="Palatino Linotype" w:hAnsi="Palatino Linotype" w:cs="Palatino Linotype"/>
        </w:rPr>
      </w:pPr>
    </w:p>
    <w:p w:rsidR="00DE096B" w:rsidRDefault="003D62B3">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E096B" w:rsidRDefault="00DE096B">
      <w:pPr>
        <w:tabs>
          <w:tab w:val="left" w:pos="7938"/>
        </w:tabs>
        <w:spacing w:line="360" w:lineRule="auto"/>
        <w:jc w:val="both"/>
        <w:rPr>
          <w:rFonts w:ascii="Palatino Linotype" w:eastAsia="Palatino Linotype" w:hAnsi="Palatino Linotype" w:cs="Palatino Linotype"/>
        </w:rPr>
      </w:pPr>
    </w:p>
    <w:p w:rsidR="00DE096B" w:rsidRDefault="003D62B3">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si bien es cierto, el Particular solicitó información emitida específicamente por la titular de la Secretaría del Campo, y en respuesta se pronunció servidor público distinto al solicitado, por lo que, se colige que lo entregado no corresponde con lo solicitado por el Solicitante, también lo es </w:t>
      </w:r>
      <w:r>
        <w:rPr>
          <w:rFonts w:ascii="Palatino Linotype" w:eastAsia="Palatino Linotype" w:hAnsi="Palatino Linotype" w:cs="Palatino Linotype"/>
          <w:b/>
          <w:u w:val="single"/>
        </w:rPr>
        <w:t>que el Sujeto Obligado no tiene la obligación de generar un documento emitido específicamente por un servidor público para dar atención a la solicitud de información del Particular</w:t>
      </w:r>
      <w:r>
        <w:rPr>
          <w:rFonts w:ascii="Palatino Linotype" w:eastAsia="Palatino Linotype" w:hAnsi="Palatino Linotype" w:cs="Palatino Linotype"/>
        </w:rPr>
        <w:t xml:space="preserve">, por lo que, en el presente caso, los agravios hechos valer por el ahora Recurrente en su Recurso de Revisión devienen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pero </w:t>
      </w:r>
      <w:r>
        <w:rPr>
          <w:rFonts w:ascii="Palatino Linotype" w:eastAsia="Palatino Linotype" w:hAnsi="Palatino Linotype" w:cs="Palatino Linotype"/>
          <w:b/>
        </w:rPr>
        <w:t xml:space="preserve">INOPERANTES. </w:t>
      </w:r>
    </w:p>
    <w:p w:rsidR="00DE096B" w:rsidRDefault="003D62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ese sentido, conviene analizar si se actualiza alguna de las causales de sobreseimiento del recurso de revisión de conformidad con lo establecido en el artículo 192 de la Ley Transparencia y Acceso a la Información Pública del Estado de México y Municipios, que señala que el Recurso de Revisión será sobreseído en todo o en parte, cuando, una vez admitido, se actualice alguno de los siguientes supuestos: </w:t>
      </w:r>
    </w:p>
    <w:p w:rsidR="00DE096B" w:rsidRDefault="00DE09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096B" w:rsidRDefault="003D62B3">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DE096B" w:rsidRDefault="003D62B3">
      <w:pPr>
        <w:pBdr>
          <w:top w:val="nil"/>
          <w:left w:val="nil"/>
          <w:bottom w:val="nil"/>
          <w:right w:val="nil"/>
          <w:between w:val="nil"/>
        </w:pBdr>
        <w:spacing w:line="276" w:lineRule="auto"/>
        <w:ind w:left="567" w:right="900"/>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El Recurrente se desista expresamente; </w:t>
      </w:r>
    </w:p>
    <w:p w:rsidR="00DE096B" w:rsidRDefault="003D62B3">
      <w:pPr>
        <w:pBdr>
          <w:top w:val="nil"/>
          <w:left w:val="nil"/>
          <w:bottom w:val="nil"/>
          <w:right w:val="nil"/>
          <w:between w:val="nil"/>
        </w:pBdr>
        <w:spacing w:line="276" w:lineRule="auto"/>
        <w:ind w:left="567" w:right="900"/>
        <w:jc w:val="both"/>
        <w:rPr>
          <w:color w:val="000000"/>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El Recurrente fallezca o, tratándose de personas morales se disuelva; </w:t>
      </w:r>
    </w:p>
    <w:p w:rsidR="00DE096B" w:rsidRDefault="003D62B3">
      <w:pPr>
        <w:pBdr>
          <w:top w:val="nil"/>
          <w:left w:val="nil"/>
          <w:bottom w:val="nil"/>
          <w:right w:val="nil"/>
          <w:between w:val="nil"/>
        </w:pBdr>
        <w:spacing w:line="276" w:lineRule="auto"/>
        <w:ind w:left="567" w:right="900"/>
        <w:jc w:val="both"/>
        <w:rPr>
          <w:color w:val="000000"/>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El Sujeto Obligado modifique la respuesta o la revoque, de tal manera que el recurso de revisión quede sin materia; </w:t>
      </w:r>
    </w:p>
    <w:p w:rsidR="00DE096B" w:rsidRDefault="003D62B3">
      <w:pPr>
        <w:pBdr>
          <w:top w:val="nil"/>
          <w:left w:val="nil"/>
          <w:bottom w:val="nil"/>
          <w:right w:val="nil"/>
          <w:between w:val="nil"/>
        </w:pBdr>
        <w:spacing w:line="276" w:lineRule="auto"/>
        <w:ind w:left="567" w:right="900"/>
        <w:jc w:val="both"/>
        <w:rPr>
          <w:color w:val="000000"/>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aparezca alguna causal de improcedencia; y, </w:t>
      </w:r>
    </w:p>
    <w:p w:rsidR="00DE096B" w:rsidRDefault="003D62B3">
      <w:pPr>
        <w:pBdr>
          <w:top w:val="nil"/>
          <w:left w:val="nil"/>
          <w:bottom w:val="nil"/>
          <w:right w:val="nil"/>
          <w:between w:val="nil"/>
        </w:pBdr>
        <w:spacing w:line="276" w:lineRule="auto"/>
        <w:ind w:left="567" w:right="900"/>
        <w:jc w:val="both"/>
        <w:rPr>
          <w:color w:val="000000"/>
        </w:rPr>
      </w:pPr>
      <w:r>
        <w:rPr>
          <w:rFonts w:ascii="Palatino Linotype" w:eastAsia="Palatino Linotype" w:hAnsi="Palatino Linotype" w:cs="Palatino Linotype"/>
          <w:b/>
          <w:i/>
          <w:color w:val="000000"/>
          <w:sz w:val="22"/>
          <w:szCs w:val="22"/>
          <w:u w:val="single"/>
        </w:rPr>
        <w:t>V. Cuando por cualquier motivo quede sin materia el recurso de revisión.</w:t>
      </w:r>
    </w:p>
    <w:p w:rsidR="00DE096B" w:rsidRDefault="00DE096B">
      <w:pPr>
        <w:pBdr>
          <w:top w:val="nil"/>
          <w:left w:val="nil"/>
          <w:bottom w:val="nil"/>
          <w:right w:val="nil"/>
          <w:between w:val="nil"/>
        </w:pBdr>
        <w:spacing w:line="360" w:lineRule="auto"/>
        <w:ind w:left="567" w:right="900"/>
        <w:jc w:val="both"/>
        <w:rPr>
          <w:rFonts w:ascii="Palatino Linotype" w:eastAsia="Palatino Linotype" w:hAnsi="Palatino Linotype" w:cs="Palatino Linotype"/>
          <w:color w:val="000000"/>
        </w:rPr>
      </w:pPr>
    </w:p>
    <w:p w:rsidR="00DE096B" w:rsidRDefault="003D62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susceptible de análisis la actualización del supuesto jurídico previsto en la fracción V, del artículo 192, de la Ley en cita, mismo que dispone que el Recurso de Revisión será sobreseído cuando por cualquier motivo quede sin materia el recurso de revisión. </w:t>
      </w:r>
    </w:p>
    <w:p w:rsidR="00DE096B" w:rsidRDefault="00DE09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096B" w:rsidRDefault="003D62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manera que como se refirió, toda vez que si bien es cierto el Particular no recibió la información como la solicitó, también lo es que no existe obligación por parte de los sujetos obligados de generar documentos o emitir un pronunciamiento específicamente por parte de la Titular del Sujeto Obligado, para atender los requerimientos de información, sino que únicamente estos deberán dar acceso a la información que obre en sus archivos, tal como hayan sido generados. </w:t>
      </w:r>
    </w:p>
    <w:p w:rsidR="00DE096B" w:rsidRDefault="003D62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que, derivado de los argumentos expuestos, es pertinente Sobreseer el presente Recurso de Revisión en atención a que se actualizó la causal de sobreseimiento prevista en el artículo 192 fracción V de la Ley de Transparencia y Acceso a la Información Pública del Estado de México y Municipios citada con antelación, en atención a que los medios de impugnación quedaron sin materia, ya que los motivos de inconformidad resultaron fundados pero inoperantes.</w:t>
      </w:r>
    </w:p>
    <w:p w:rsidR="00DE096B" w:rsidRDefault="00DE09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DE096B" w:rsidRDefault="00DE096B">
      <w:pPr>
        <w:spacing w:line="360" w:lineRule="auto"/>
        <w:jc w:val="both"/>
        <w:rPr>
          <w:rFonts w:ascii="Palatino Linotype" w:eastAsia="Palatino Linotype" w:hAnsi="Palatino Linotype" w:cs="Palatino Linotype"/>
        </w:rPr>
      </w:pPr>
    </w:p>
    <w:p w:rsidR="00DE096B" w:rsidRDefault="003D62B3">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DE096B" w:rsidRDefault="003D62B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DE096B" w:rsidRDefault="003D62B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DE096B" w:rsidRDefault="00DE096B">
      <w:pPr>
        <w:spacing w:line="360" w:lineRule="auto"/>
        <w:ind w:left="851" w:right="902"/>
        <w:jc w:val="both"/>
        <w:rPr>
          <w:rFonts w:ascii="Palatino Linotype" w:eastAsia="Palatino Linotype" w:hAnsi="Palatino Linotype" w:cs="Palatino Linotype"/>
          <w:i/>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DE096B" w:rsidRDefault="00DE096B">
      <w:pPr>
        <w:spacing w:line="360" w:lineRule="auto"/>
        <w:jc w:val="both"/>
        <w:rPr>
          <w:rFonts w:ascii="Palatino Linotype" w:eastAsia="Palatino Linotype" w:hAnsi="Palatino Linotype" w:cs="Palatino Linotype"/>
        </w:rPr>
      </w:pPr>
    </w:p>
    <w:p w:rsidR="00DE096B" w:rsidRDefault="003D62B3">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rsidR="00DE096B" w:rsidRDefault="003D62B3">
      <w:pPr>
        <w:ind w:left="851" w:right="902"/>
        <w:jc w:val="both"/>
        <w:rPr>
          <w:rFonts w:ascii="Palatino Linotype" w:eastAsia="Palatino Linotype" w:hAnsi="Palatino Linotype" w:cs="Palatino Linotype"/>
          <w:color w:val="000000"/>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color w:val="000000"/>
        </w:rPr>
        <w:tab/>
      </w:r>
    </w:p>
    <w:p w:rsidR="00DE096B" w:rsidRDefault="00DE096B">
      <w:pPr>
        <w:spacing w:line="360" w:lineRule="auto"/>
        <w:ind w:left="851" w:right="902"/>
        <w:jc w:val="both"/>
        <w:rPr>
          <w:rFonts w:ascii="Palatino Linotype" w:eastAsia="Palatino Linotype" w:hAnsi="Palatino Linotype" w:cs="Palatino Linotype"/>
          <w:i/>
          <w:sz w:val="22"/>
          <w:szCs w:val="22"/>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E096B" w:rsidRDefault="003D62B3">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DE096B" w:rsidRDefault="00DE096B">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DE096B" w:rsidRDefault="003D62B3">
      <w:pPr>
        <w:pBdr>
          <w:top w:val="nil"/>
          <w:left w:val="nil"/>
          <w:bottom w:val="nil"/>
          <w:right w:val="nil"/>
          <w:between w:val="nil"/>
        </w:pBdr>
        <w:tabs>
          <w:tab w:val="left" w:pos="7936"/>
        </w:tabs>
        <w:spacing w:line="360" w:lineRule="auto"/>
        <w:ind w:left="93"/>
        <w:jc w:val="both"/>
        <w:rPr>
          <w:rFonts w:ascii="Palatino Linotype" w:eastAsia="Palatino Linotype" w:hAnsi="Palatino Linotype" w:cs="Palatino Linotype"/>
          <w:color w:val="000000"/>
        </w:rPr>
      </w:pPr>
      <w:bookmarkStart w:id="2" w:name="_heading=h.1fob9te" w:colFirst="0" w:colLast="0"/>
      <w:bookmarkEnd w:id="2"/>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color w:val="000000"/>
        </w:rPr>
        <w:t>Se</w:t>
      </w:r>
      <w:r>
        <w:rPr>
          <w:rFonts w:ascii="Palatino Linotype" w:eastAsia="Palatino Linotype" w:hAnsi="Palatino Linotype" w:cs="Palatino Linotype"/>
          <w:b/>
          <w:color w:val="000000"/>
        </w:rPr>
        <w:t xml:space="preserve"> SOBRESEE </w:t>
      </w:r>
      <w:r>
        <w:rPr>
          <w:rFonts w:ascii="Palatino Linotype" w:eastAsia="Palatino Linotype" w:hAnsi="Palatino Linotype" w:cs="Palatino Linotype"/>
          <w:color w:val="000000"/>
        </w:rPr>
        <w:t xml:space="preserve">el recurso de revisión número </w:t>
      </w:r>
      <w:r>
        <w:rPr>
          <w:rFonts w:ascii="Palatino Linotype" w:eastAsia="Palatino Linotype" w:hAnsi="Palatino Linotype" w:cs="Palatino Linotype"/>
          <w:b/>
          <w:color w:val="000000"/>
        </w:rPr>
        <w:t xml:space="preserve">04979/INFOEM/IP/RR/2022, </w:t>
      </w:r>
      <w:r>
        <w:rPr>
          <w:rFonts w:ascii="Palatino Linotype" w:eastAsia="Palatino Linotype" w:hAnsi="Palatino Linotype" w:cs="Palatino Linotype"/>
          <w:color w:val="000000"/>
        </w:rPr>
        <w:t xml:space="preserve">por actualizarse la fracción V del artículo 192 de la Ley de Transparencia </w:t>
      </w:r>
      <w:r>
        <w:rPr>
          <w:rFonts w:ascii="Palatino Linotype" w:eastAsia="Palatino Linotype" w:hAnsi="Palatino Linotype" w:cs="Palatino Linotype"/>
        </w:rPr>
        <w:t>y Acceso a la Información Pública del Estado de México y Municipios</w:t>
      </w:r>
      <w:r>
        <w:rPr>
          <w:rFonts w:ascii="Palatino Linotype" w:eastAsia="Palatino Linotype" w:hAnsi="Palatino Linotype" w:cs="Palatino Linotype"/>
          <w:color w:val="000000"/>
        </w:rPr>
        <w:t>, por quedar sin materia en términos del Considerando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Tercero de la presente resolución.</w:t>
      </w:r>
    </w:p>
    <w:p w:rsidR="00DE096B" w:rsidRDefault="00DE096B">
      <w:pPr>
        <w:pBdr>
          <w:top w:val="nil"/>
          <w:left w:val="nil"/>
          <w:bottom w:val="nil"/>
          <w:right w:val="nil"/>
          <w:between w:val="nil"/>
        </w:pBdr>
        <w:tabs>
          <w:tab w:val="left" w:pos="7936"/>
        </w:tabs>
        <w:spacing w:line="360" w:lineRule="auto"/>
        <w:ind w:left="93"/>
        <w:jc w:val="both"/>
        <w:rPr>
          <w:rFonts w:ascii="Palatino Linotype" w:eastAsia="Palatino Linotype" w:hAnsi="Palatino Linotype" w:cs="Palatino Linotype"/>
        </w:rPr>
      </w:pPr>
      <w:bookmarkStart w:id="3" w:name="_heading=h.u8ml86wv08yw" w:colFirst="0" w:colLast="0"/>
      <w:bookmarkEnd w:id="3"/>
    </w:p>
    <w:p w:rsidR="00DE096B" w:rsidRDefault="003D62B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Segundo. Notifíquese</w:t>
      </w:r>
      <w:r>
        <w:rPr>
          <w:rFonts w:ascii="Palatino Linotype" w:eastAsia="Palatino Linotype" w:hAnsi="Palatino Linotype" w:cs="Palatino Linotype"/>
          <w:color w:val="000000"/>
        </w:rPr>
        <w:t xml:space="preserve"> vía</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rsidR="00DE096B" w:rsidRDefault="00DE096B">
      <w:pPr>
        <w:pBdr>
          <w:top w:val="nil"/>
          <w:left w:val="nil"/>
          <w:bottom w:val="nil"/>
          <w:right w:val="nil"/>
          <w:between w:val="nil"/>
        </w:pBdr>
        <w:tabs>
          <w:tab w:val="left" w:pos="7936"/>
        </w:tabs>
        <w:spacing w:line="360" w:lineRule="auto"/>
        <w:ind w:left="93"/>
        <w:jc w:val="both"/>
        <w:rPr>
          <w:rFonts w:ascii="Palatino Linotype" w:eastAsia="Palatino Linotype" w:hAnsi="Palatino Linotype" w:cs="Palatino Linotype"/>
          <w:color w:val="000000"/>
        </w:rPr>
      </w:pPr>
    </w:p>
    <w:p w:rsidR="00DE096B" w:rsidRDefault="003D62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DE096B" w:rsidRDefault="00DE096B">
      <w:pPr>
        <w:spacing w:line="360" w:lineRule="auto"/>
        <w:jc w:val="both"/>
        <w:rPr>
          <w:rFonts w:ascii="Palatino Linotype" w:eastAsia="Palatino Linotype" w:hAnsi="Palatino Linotype" w:cs="Palatino Linotype"/>
        </w:rPr>
      </w:pPr>
    </w:p>
    <w:p w:rsidR="00DE096B" w:rsidRDefault="003D62B3">
      <w:pPr>
        <w:spacing w:line="360" w:lineRule="auto"/>
        <w:jc w:val="both"/>
        <w:rPr>
          <w:rFonts w:ascii="Palatino Linotype" w:eastAsia="Palatino Linotype" w:hAnsi="Palatino Linotype" w:cs="Palatino Linotype"/>
        </w:rPr>
        <w:sectPr w:rsidR="00DE096B">
          <w:headerReference w:type="default" r:id="rId14"/>
          <w:footerReference w:type="default" r:id="rId15"/>
          <w:headerReference w:type="first" r:id="rId16"/>
          <w:footerReference w:type="first" r:id="rId17"/>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SÉPIMA SESIÓN ORDINARIA CELEBRADA EL </w:t>
      </w:r>
      <w:r>
        <w:rPr>
          <w:rFonts w:ascii="Palatino Linotype" w:eastAsia="Palatino Linotype" w:hAnsi="Palatino Linotype" w:cs="Palatino Linotype"/>
          <w:color w:val="222222"/>
        </w:rPr>
        <w:t>TRES DE AGOSTO</w:t>
      </w:r>
      <w:r>
        <w:rPr>
          <w:rFonts w:ascii="Palatino Linotype" w:eastAsia="Palatino Linotype" w:hAnsi="Palatino Linotype" w:cs="Palatino Linotype"/>
        </w:rPr>
        <w:t xml:space="preserve"> DEL DOS MIL VEINTIDÓS, ANTE EL SECRETARIO TÉCNICO DEL PLENO ALEXIS TAPIA RAMÍREZ. </w:t>
      </w:r>
    </w:p>
    <w:p w:rsidR="00DE096B" w:rsidRDefault="00DE096B">
      <w:pPr>
        <w:spacing w:line="360" w:lineRule="auto"/>
        <w:jc w:val="both"/>
        <w:rPr>
          <w:rFonts w:ascii="Palatino Linotype" w:eastAsia="Palatino Linotype" w:hAnsi="Palatino Linotype" w:cs="Palatino Linotype"/>
        </w:rPr>
      </w:pPr>
    </w:p>
    <w:sectPr w:rsidR="00DE096B">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B3" w:rsidRDefault="003D62B3">
      <w:r>
        <w:separator/>
      </w:r>
    </w:p>
  </w:endnote>
  <w:endnote w:type="continuationSeparator" w:id="0">
    <w:p w:rsidR="003D62B3" w:rsidRDefault="003D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96B" w:rsidRDefault="003D62B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249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249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DE096B" w:rsidRDefault="00DE096B">
    <w:pPr>
      <w:pBdr>
        <w:top w:val="nil"/>
        <w:left w:val="nil"/>
        <w:bottom w:val="nil"/>
        <w:right w:val="nil"/>
        <w:between w:val="nil"/>
      </w:pBdr>
      <w:tabs>
        <w:tab w:val="center" w:pos="4252"/>
        <w:tab w:val="right" w:pos="8504"/>
      </w:tabs>
      <w:rPr>
        <w:color w:val="000000"/>
      </w:rPr>
    </w:pPr>
  </w:p>
  <w:p w:rsidR="00DE096B" w:rsidRDefault="00DE096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96B" w:rsidRDefault="003D62B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249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249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DE096B" w:rsidRDefault="00DE096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B3" w:rsidRDefault="003D62B3">
      <w:r>
        <w:separator/>
      </w:r>
    </w:p>
  </w:footnote>
  <w:footnote w:type="continuationSeparator" w:id="0">
    <w:p w:rsidR="003D62B3" w:rsidRDefault="003D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96B" w:rsidRDefault="00DE096B">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1"/>
      <w:gridCol w:w="2977"/>
    </w:tblGrid>
    <w:tr w:rsidR="00DE096B">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DE096B" w:rsidRDefault="003D62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04979/INFOEM/IP/RR/2022</w:t>
          </w:r>
        </w:p>
      </w:tc>
    </w:tr>
    <w:tr w:rsidR="00DE096B">
      <w:trPr>
        <w:trHeight w:val="228"/>
      </w:trPr>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DE096B" w:rsidRDefault="003D62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Campo</w:t>
          </w:r>
        </w:p>
      </w:tc>
    </w:tr>
    <w:tr w:rsidR="00DE096B">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DE096B" w:rsidRDefault="003D62B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E096B" w:rsidRDefault="003D62B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96B" w:rsidRDefault="003D62B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-846452</wp:posOffset>
          </wp:positionH>
          <wp:positionV relativeFrom="paragraph">
            <wp:posOffset>-142238</wp:posOffset>
          </wp:positionV>
          <wp:extent cx="7809876" cy="10165823"/>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DE096B">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DE096B" w:rsidRDefault="003D62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04979/INFOEM/IP/RR/2022. </w:t>
          </w:r>
        </w:p>
      </w:tc>
    </w:tr>
    <w:tr w:rsidR="00DE096B">
      <w:tc>
        <w:tcPr>
          <w:tcW w:w="2551" w:type="dxa"/>
          <w:vAlign w:val="center"/>
        </w:tcPr>
        <w:p w:rsidR="00DE096B" w:rsidRDefault="003D62B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rsidR="00322498" w:rsidRDefault="00322498">
          <w:pPr>
            <w:ind w:left="35" w:hanging="35"/>
            <w:rPr>
              <w:rFonts w:ascii="Palatino Linotype" w:eastAsia="Palatino Linotype" w:hAnsi="Palatino Linotype" w:cs="Palatino Linotype"/>
              <w:b/>
              <w:sz w:val="22"/>
              <w:szCs w:val="22"/>
            </w:rPr>
          </w:pPr>
        </w:p>
      </w:tc>
      <w:tc>
        <w:tcPr>
          <w:tcW w:w="3119" w:type="dxa"/>
          <w:vAlign w:val="center"/>
        </w:tcPr>
        <w:p w:rsidR="00DE096B" w:rsidRDefault="00322498" w:rsidP="0032249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w:t>
          </w:r>
          <w:r w:rsidR="003D62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3D62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r w:rsidR="003D62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w:t>
          </w:r>
          <w:r w:rsidR="003D62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w:t>
          </w:r>
          <w:r w:rsidR="003D62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3D62B3">
            <w:rPr>
              <w:rFonts w:ascii="Palatino Linotype" w:eastAsia="Palatino Linotype" w:hAnsi="Palatino Linotype" w:cs="Palatino Linotype"/>
              <w:b/>
              <w:sz w:val="22"/>
              <w:szCs w:val="22"/>
            </w:rPr>
            <w:t xml:space="preserve"> </w:t>
          </w:r>
        </w:p>
      </w:tc>
    </w:tr>
    <w:tr w:rsidR="00DE096B">
      <w:trPr>
        <w:trHeight w:val="228"/>
      </w:trPr>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DE096B" w:rsidRDefault="003D62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Campo</w:t>
          </w:r>
        </w:p>
      </w:tc>
    </w:tr>
    <w:tr w:rsidR="00DE096B">
      <w:tc>
        <w:tcPr>
          <w:tcW w:w="2551" w:type="dxa"/>
          <w:vAlign w:val="center"/>
        </w:tcPr>
        <w:p w:rsidR="00DE096B" w:rsidRDefault="003D62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DE096B" w:rsidRDefault="003D62B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E096B" w:rsidRDefault="00DE096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96B" w:rsidRDefault="00DE096B">
    <w:pPr>
      <w:pBdr>
        <w:top w:val="nil"/>
        <w:left w:val="nil"/>
        <w:bottom w:val="nil"/>
        <w:right w:val="nil"/>
        <w:between w:val="nil"/>
      </w:pBdr>
      <w:tabs>
        <w:tab w:val="center" w:pos="4252"/>
        <w:tab w:val="right" w:pos="8504"/>
      </w:tabs>
      <w:jc w:val="both"/>
      <w:rPr>
        <w:rFonts w:ascii="Calibri" w:eastAsia="Calibri" w:hAnsi="Calibri" w:cs="Calibri"/>
        <w:color w:val="000000"/>
      </w:rPr>
    </w:pPr>
  </w:p>
  <w:p w:rsidR="00DE096B" w:rsidRDefault="00DE096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37F6"/>
    <w:multiLevelType w:val="multilevel"/>
    <w:tmpl w:val="26DE55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F5549E"/>
    <w:multiLevelType w:val="multilevel"/>
    <w:tmpl w:val="F77CD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12CF7"/>
    <w:multiLevelType w:val="multilevel"/>
    <w:tmpl w:val="790C2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A5109A"/>
    <w:multiLevelType w:val="multilevel"/>
    <w:tmpl w:val="4D1C94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D502FB"/>
    <w:multiLevelType w:val="multilevel"/>
    <w:tmpl w:val="F482A722"/>
    <w:lvl w:ilvl="0">
      <w:start w:val="2"/>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AD245A"/>
    <w:multiLevelType w:val="multilevel"/>
    <w:tmpl w:val="876CC9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6B"/>
    <w:rsid w:val="00322498"/>
    <w:rsid w:val="003D62B3"/>
    <w:rsid w:val="00593228"/>
    <w:rsid w:val="007F2648"/>
    <w:rsid w:val="00DE09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657A3-A6AB-46BE-8FB4-BCEAF4A0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glOEcT5HLZ5BpBz0QXfDA4YIQ==">AMUW2mXOs0mTc206ws3JHVLJv+yH1lTS/V09j++WPo1Fglc+8GPvQhZJFk6y5BAHpBl/gIyrZ34uDhhDxDBcAyTCuKr1m3nQ3bJmGyo680wl0cvRH6E0BgbewuGBhQK4oZ2Fj/VYZRMjDmB2p2nPw39K4SuPv1/JRw==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5729</Words>
  <Characters>31515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4</cp:revision>
  <cp:lastPrinted>2022-08-05T15:02:00Z</cp:lastPrinted>
  <dcterms:created xsi:type="dcterms:W3CDTF">2022-08-04T21:43:00Z</dcterms:created>
  <dcterms:modified xsi:type="dcterms:W3CDTF">2022-09-06T23:51:00Z</dcterms:modified>
</cp:coreProperties>
</file>