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D99" w:rsidRPr="003753CC" w:rsidRDefault="008A5D99" w:rsidP="00F24A91">
      <w:pPr>
        <w:shd w:val="clear" w:color="auto" w:fill="FFFFFF"/>
        <w:spacing w:after="0" w:line="360" w:lineRule="auto"/>
        <w:jc w:val="both"/>
        <w:rPr>
          <w:rFonts w:ascii="Palatino Linotype" w:eastAsia="Times New Roman" w:hAnsi="Palatino Linotype" w:cs="Arial"/>
          <w:color w:val="000000"/>
          <w:sz w:val="24"/>
          <w:szCs w:val="24"/>
          <w:lang w:eastAsia="es-MX"/>
        </w:rPr>
      </w:pPr>
      <w:r w:rsidRPr="003753CC">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Pr>
          <w:rFonts w:ascii="Palatino Linotype" w:eastAsia="Times New Roman" w:hAnsi="Palatino Linotype" w:cs="Arial"/>
          <w:color w:val="000000"/>
          <w:sz w:val="24"/>
          <w:szCs w:val="24"/>
          <w:lang w:eastAsia="es-MX"/>
        </w:rPr>
        <w:t xml:space="preserve"> </w:t>
      </w:r>
      <w:r w:rsidR="009E7B8E">
        <w:rPr>
          <w:rFonts w:ascii="Palatino Linotype" w:eastAsia="Times New Roman" w:hAnsi="Palatino Linotype" w:cs="Arial"/>
          <w:color w:val="000000"/>
          <w:sz w:val="24"/>
          <w:szCs w:val="24"/>
          <w:lang w:eastAsia="es-MX"/>
        </w:rPr>
        <w:t xml:space="preserve">treinta de </w:t>
      </w:r>
      <w:r>
        <w:rPr>
          <w:rFonts w:ascii="Palatino Linotype" w:eastAsia="Times New Roman" w:hAnsi="Palatino Linotype" w:cs="Arial"/>
          <w:color w:val="000000"/>
          <w:sz w:val="24"/>
          <w:szCs w:val="24"/>
          <w:lang w:eastAsia="es-MX"/>
        </w:rPr>
        <w:t xml:space="preserve">noviembre </w:t>
      </w:r>
      <w:r w:rsidRPr="003753CC">
        <w:rPr>
          <w:rFonts w:ascii="Palatino Linotype" w:eastAsia="Times New Roman" w:hAnsi="Palatino Linotype" w:cs="Arial"/>
          <w:color w:val="000000"/>
          <w:sz w:val="24"/>
          <w:szCs w:val="24"/>
          <w:lang w:eastAsia="es-MX"/>
        </w:rPr>
        <w:t>de dos mil veintidós.</w:t>
      </w:r>
    </w:p>
    <w:p w:rsidR="008A5D99" w:rsidRPr="003753CC" w:rsidRDefault="008A5D99" w:rsidP="00F24A91">
      <w:pPr>
        <w:shd w:val="clear" w:color="auto" w:fill="FFFFFF"/>
        <w:spacing w:after="0" w:line="360" w:lineRule="auto"/>
        <w:jc w:val="both"/>
        <w:rPr>
          <w:rFonts w:ascii="Palatino Linotype" w:eastAsia="Times New Roman" w:hAnsi="Palatino Linotype" w:cs="Arial"/>
          <w:color w:val="000000"/>
          <w:sz w:val="24"/>
          <w:szCs w:val="24"/>
          <w:lang w:eastAsia="es-MX"/>
        </w:rPr>
      </w:pPr>
    </w:p>
    <w:p w:rsidR="008A5D99" w:rsidRPr="009E3B15" w:rsidRDefault="008A5D99" w:rsidP="00F24A91">
      <w:pPr>
        <w:tabs>
          <w:tab w:val="left" w:pos="1701"/>
        </w:tabs>
        <w:spacing w:after="0" w:line="360" w:lineRule="auto"/>
        <w:jc w:val="both"/>
        <w:rPr>
          <w:rFonts w:ascii="Palatino Linotype" w:hAnsi="Palatino Linotype" w:cs="Arial"/>
          <w:b/>
          <w:sz w:val="24"/>
          <w:szCs w:val="24"/>
        </w:rPr>
      </w:pPr>
      <w:r w:rsidRPr="009E3B15">
        <w:rPr>
          <w:rFonts w:ascii="Palatino Linotype" w:hAnsi="Palatino Linotype" w:cs="Arial"/>
          <w:b/>
          <w:sz w:val="24"/>
          <w:szCs w:val="24"/>
        </w:rPr>
        <w:t>VISTO</w:t>
      </w:r>
      <w:r w:rsidRPr="009E3B15">
        <w:rPr>
          <w:rFonts w:ascii="Palatino Linotype" w:hAnsi="Palatino Linotype" w:cs="Arial"/>
          <w:sz w:val="24"/>
          <w:szCs w:val="24"/>
        </w:rPr>
        <w:t xml:space="preserve"> </w:t>
      </w:r>
      <w:r>
        <w:rPr>
          <w:rFonts w:ascii="Palatino Linotype" w:hAnsi="Palatino Linotype" w:cs="Arial"/>
          <w:sz w:val="24"/>
          <w:szCs w:val="24"/>
        </w:rPr>
        <w:t>e</w:t>
      </w:r>
      <w:r w:rsidRPr="009E3B15">
        <w:rPr>
          <w:rFonts w:ascii="Palatino Linotype" w:hAnsi="Palatino Linotype" w:cs="Arial"/>
          <w:sz w:val="24"/>
          <w:szCs w:val="24"/>
        </w:rPr>
        <w:t>l expediente electrónico formado con motivo del</w:t>
      </w:r>
      <w:r>
        <w:rPr>
          <w:rFonts w:ascii="Palatino Linotype" w:hAnsi="Palatino Linotype" w:cs="Arial"/>
          <w:sz w:val="24"/>
          <w:szCs w:val="24"/>
        </w:rPr>
        <w:t xml:space="preserve"> recurso</w:t>
      </w:r>
      <w:r w:rsidRPr="009E3B15">
        <w:rPr>
          <w:rFonts w:ascii="Palatino Linotype" w:hAnsi="Palatino Linotype" w:cs="Arial"/>
          <w:sz w:val="24"/>
          <w:szCs w:val="24"/>
        </w:rPr>
        <w:t xml:space="preserve"> de revisión con número </w:t>
      </w:r>
      <w:r w:rsidRPr="009E3B15">
        <w:rPr>
          <w:rFonts w:ascii="Palatino Linotype" w:hAnsi="Palatino Linotype" w:cs="Arial"/>
          <w:b/>
          <w:bCs/>
          <w:sz w:val="24"/>
          <w:szCs w:val="24"/>
          <w:lang w:eastAsia="es-MX"/>
        </w:rPr>
        <w:t>0</w:t>
      </w:r>
      <w:r>
        <w:rPr>
          <w:rFonts w:ascii="Palatino Linotype" w:hAnsi="Palatino Linotype" w:cs="Arial"/>
          <w:b/>
          <w:bCs/>
          <w:sz w:val="24"/>
          <w:szCs w:val="24"/>
          <w:lang w:eastAsia="es-MX"/>
        </w:rPr>
        <w:t>12405</w:t>
      </w:r>
      <w:r w:rsidRPr="009E3B15">
        <w:rPr>
          <w:rFonts w:ascii="Palatino Linotype" w:hAnsi="Palatino Linotype" w:cs="Arial"/>
          <w:b/>
          <w:bCs/>
          <w:sz w:val="24"/>
          <w:szCs w:val="24"/>
          <w:lang w:eastAsia="es-MX"/>
        </w:rPr>
        <w:t>/INFOEM/IP/RR/2022</w:t>
      </w:r>
      <w:r>
        <w:rPr>
          <w:rFonts w:ascii="Palatino Linotype" w:hAnsi="Palatino Linotype" w:cs="Arial"/>
          <w:sz w:val="24"/>
          <w:szCs w:val="24"/>
        </w:rPr>
        <w:t>, promovido</w:t>
      </w:r>
      <w:r w:rsidRPr="009E3B15">
        <w:rPr>
          <w:rFonts w:ascii="Palatino Linotype" w:hAnsi="Palatino Linotype" w:cs="Arial"/>
          <w:sz w:val="24"/>
          <w:szCs w:val="24"/>
        </w:rPr>
        <w:t xml:space="preserve"> </w:t>
      </w:r>
      <w:r w:rsidRPr="009E3B15">
        <w:rPr>
          <w:rFonts w:ascii="Palatino Linotype" w:hAnsi="Palatino Linotype"/>
          <w:sz w:val="24"/>
          <w:szCs w:val="24"/>
        </w:rPr>
        <w:t>por</w:t>
      </w:r>
      <w:r>
        <w:rPr>
          <w:rFonts w:ascii="Palatino Linotype" w:hAnsi="Palatino Linotype"/>
          <w:sz w:val="24"/>
          <w:szCs w:val="24"/>
        </w:rPr>
        <w:t xml:space="preserve"> </w:t>
      </w:r>
      <w:r w:rsidRPr="00AD28BD">
        <w:rPr>
          <w:rFonts w:ascii="Palatino Linotype" w:hAnsi="Palatino Linotype"/>
          <w:sz w:val="24"/>
          <w:szCs w:val="24"/>
        </w:rPr>
        <w:t>un particular que tanto al momento de ingresar la solicitud de</w:t>
      </w:r>
      <w:r>
        <w:rPr>
          <w:rFonts w:ascii="Palatino Linotype" w:hAnsi="Palatino Linotype"/>
          <w:sz w:val="24"/>
          <w:szCs w:val="24"/>
        </w:rPr>
        <w:t xml:space="preserve"> </w:t>
      </w:r>
      <w:r w:rsidRPr="00AD28BD">
        <w:rPr>
          <w:rFonts w:ascii="Palatino Linotype" w:hAnsi="Palatino Linotype"/>
          <w:sz w:val="24"/>
          <w:szCs w:val="24"/>
        </w:rPr>
        <w:t xml:space="preserve">información como de interponer </w:t>
      </w:r>
      <w:r>
        <w:rPr>
          <w:rFonts w:ascii="Palatino Linotype" w:hAnsi="Palatino Linotype"/>
          <w:sz w:val="24"/>
          <w:szCs w:val="24"/>
        </w:rPr>
        <w:t>e</w:t>
      </w:r>
      <w:r w:rsidRPr="00AD28BD">
        <w:rPr>
          <w:rFonts w:ascii="Palatino Linotype" w:hAnsi="Palatino Linotype"/>
          <w:sz w:val="24"/>
          <w:szCs w:val="24"/>
        </w:rPr>
        <w:t>l recurso de revisión, no señalo nombre o</w:t>
      </w:r>
      <w:r>
        <w:rPr>
          <w:rFonts w:ascii="Palatino Linotype" w:hAnsi="Palatino Linotype"/>
          <w:sz w:val="24"/>
          <w:szCs w:val="24"/>
        </w:rPr>
        <w:t xml:space="preserve"> </w:t>
      </w:r>
      <w:r w:rsidRPr="00AD28BD">
        <w:rPr>
          <w:rFonts w:ascii="Palatino Linotype" w:hAnsi="Palatino Linotype"/>
          <w:sz w:val="24"/>
          <w:szCs w:val="24"/>
        </w:rPr>
        <w:t>seudónimo con el cual desee ser identificado</w:t>
      </w:r>
      <w:r w:rsidRPr="009E3B15">
        <w:rPr>
          <w:rFonts w:ascii="Palatino Linotype" w:hAnsi="Palatino Linotype"/>
          <w:sz w:val="24"/>
          <w:szCs w:val="24"/>
        </w:rPr>
        <w:t xml:space="preserve">, quien en lo </w:t>
      </w:r>
      <w:bookmarkStart w:id="0" w:name="_GoBack"/>
      <w:bookmarkEnd w:id="0"/>
      <w:r w:rsidRPr="009E3B15">
        <w:rPr>
          <w:rFonts w:ascii="Palatino Linotype" w:hAnsi="Palatino Linotype"/>
          <w:sz w:val="24"/>
          <w:szCs w:val="24"/>
        </w:rPr>
        <w:t xml:space="preserve">sucesivo se le denominara como </w:t>
      </w:r>
      <w:r w:rsidRPr="009E3B15">
        <w:rPr>
          <w:rFonts w:ascii="Palatino Linotype" w:hAnsi="Palatino Linotype"/>
          <w:b/>
          <w:sz w:val="24"/>
          <w:szCs w:val="24"/>
        </w:rPr>
        <w:t>el Recurrente</w:t>
      </w:r>
      <w:r w:rsidRPr="009E3B15">
        <w:rPr>
          <w:rFonts w:ascii="Palatino Linotype" w:hAnsi="Palatino Linotype" w:cs="Arial"/>
          <w:sz w:val="24"/>
          <w:szCs w:val="24"/>
        </w:rPr>
        <w:t>,</w:t>
      </w:r>
      <w:r>
        <w:rPr>
          <w:rFonts w:ascii="Palatino Linotype" w:hAnsi="Palatino Linotype" w:cs="Arial"/>
          <w:sz w:val="24"/>
          <w:szCs w:val="24"/>
        </w:rPr>
        <w:t xml:space="preserve"> en contra de la respuesta de</w:t>
      </w:r>
      <w:r w:rsidRPr="009E3B15">
        <w:rPr>
          <w:rFonts w:ascii="Palatino Linotype" w:hAnsi="Palatino Linotype" w:cs="Arial"/>
          <w:sz w:val="24"/>
          <w:szCs w:val="24"/>
        </w:rPr>
        <w:t xml:space="preserve">l </w:t>
      </w:r>
      <w:r w:rsidRPr="008A5D99">
        <w:rPr>
          <w:rFonts w:ascii="Palatino Linotype" w:hAnsi="Palatino Linotype" w:cs="Arial"/>
          <w:b/>
          <w:bCs/>
          <w:sz w:val="24"/>
          <w:szCs w:val="24"/>
        </w:rPr>
        <w:t>Ayuntamiento de Teoloyucan</w:t>
      </w:r>
      <w:r w:rsidRPr="009E3B15">
        <w:rPr>
          <w:rFonts w:ascii="Palatino Linotype" w:hAnsi="Palatino Linotype" w:cs="Arial"/>
          <w:b/>
          <w:sz w:val="24"/>
          <w:szCs w:val="24"/>
        </w:rPr>
        <w:t xml:space="preserve">, </w:t>
      </w:r>
      <w:r w:rsidRPr="009E3B15">
        <w:rPr>
          <w:rFonts w:ascii="Palatino Linotype" w:hAnsi="Palatino Linotype" w:cs="Arial"/>
          <w:sz w:val="24"/>
          <w:szCs w:val="24"/>
        </w:rPr>
        <w:t>en lo subsecuente</w:t>
      </w:r>
      <w:r w:rsidRPr="009E3B15">
        <w:rPr>
          <w:rFonts w:ascii="Palatino Linotype" w:hAnsi="Palatino Linotype" w:cs="Arial"/>
          <w:b/>
          <w:sz w:val="24"/>
          <w:szCs w:val="24"/>
        </w:rPr>
        <w:t xml:space="preserve"> el Sujeto Obligado, </w:t>
      </w:r>
      <w:r w:rsidRPr="009E3B15">
        <w:rPr>
          <w:rFonts w:ascii="Palatino Linotype" w:hAnsi="Palatino Linotype" w:cs="Arial"/>
          <w:sz w:val="24"/>
          <w:szCs w:val="24"/>
        </w:rPr>
        <w:t>se procede a dictar la presente resolución.</w:t>
      </w:r>
    </w:p>
    <w:p w:rsidR="008A5D99" w:rsidRPr="003753CC" w:rsidRDefault="008A5D99" w:rsidP="00F24A91">
      <w:pPr>
        <w:tabs>
          <w:tab w:val="left" w:pos="6960"/>
        </w:tabs>
        <w:spacing w:after="0" w:line="360" w:lineRule="auto"/>
        <w:jc w:val="both"/>
        <w:rPr>
          <w:rFonts w:ascii="Palatino Linotype" w:hAnsi="Palatino Linotype" w:cs="Arial"/>
          <w:sz w:val="24"/>
          <w:szCs w:val="24"/>
        </w:rPr>
      </w:pPr>
    </w:p>
    <w:p w:rsidR="008A5D99" w:rsidRPr="003753CC" w:rsidRDefault="008A5D99" w:rsidP="00F24A91">
      <w:pPr>
        <w:spacing w:after="0" w:line="360" w:lineRule="auto"/>
        <w:jc w:val="center"/>
        <w:rPr>
          <w:rFonts w:ascii="Palatino Linotype" w:hAnsi="Palatino Linotype" w:cs="Arial"/>
          <w:b/>
          <w:sz w:val="28"/>
          <w:szCs w:val="24"/>
        </w:rPr>
      </w:pPr>
      <w:r w:rsidRPr="003753CC">
        <w:rPr>
          <w:rFonts w:ascii="Palatino Linotype" w:hAnsi="Palatino Linotype" w:cs="Arial"/>
          <w:b/>
          <w:sz w:val="28"/>
          <w:szCs w:val="24"/>
        </w:rPr>
        <w:t>A N T E C E D E N T E S</w:t>
      </w:r>
    </w:p>
    <w:p w:rsidR="008A5D99" w:rsidRPr="003753CC" w:rsidRDefault="008A5D99" w:rsidP="00F24A91">
      <w:pPr>
        <w:spacing w:after="0" w:line="360" w:lineRule="auto"/>
        <w:rPr>
          <w:rFonts w:ascii="Palatino Linotype" w:hAnsi="Palatino Linotype" w:cs="Arial"/>
          <w:b/>
          <w:sz w:val="24"/>
          <w:szCs w:val="24"/>
        </w:rPr>
      </w:pPr>
    </w:p>
    <w:p w:rsidR="008A5D99" w:rsidRPr="00CB45F6"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b/>
          <w:sz w:val="28"/>
          <w:szCs w:val="28"/>
        </w:rPr>
        <w:t xml:space="preserve">PRIMERO. </w:t>
      </w:r>
      <w:r w:rsidRPr="003753CC">
        <w:rPr>
          <w:rFonts w:ascii="Palatino Linotype" w:hAnsi="Palatino Linotype" w:cs="Arial"/>
          <w:sz w:val="24"/>
          <w:szCs w:val="24"/>
        </w:rPr>
        <w:t xml:space="preserve">Con fecha </w:t>
      </w:r>
      <w:r>
        <w:rPr>
          <w:rFonts w:ascii="Palatino Linotype" w:hAnsi="Palatino Linotype" w:cs="Arial"/>
          <w:sz w:val="24"/>
          <w:szCs w:val="24"/>
        </w:rPr>
        <w:t xml:space="preserve">07 (siete) de junio </w:t>
      </w:r>
      <w:r w:rsidRPr="003753CC">
        <w:rPr>
          <w:rFonts w:ascii="Palatino Linotype" w:hAnsi="Palatino Linotype" w:cs="Arial"/>
          <w:sz w:val="24"/>
          <w:szCs w:val="24"/>
        </w:rPr>
        <w:t xml:space="preserve">de </w:t>
      </w:r>
      <w:r>
        <w:rPr>
          <w:rFonts w:ascii="Palatino Linotype" w:hAnsi="Palatino Linotype" w:cs="Arial"/>
          <w:sz w:val="24"/>
          <w:szCs w:val="24"/>
        </w:rPr>
        <w:t>2022 (</w:t>
      </w:r>
      <w:r w:rsidRPr="003753CC">
        <w:rPr>
          <w:rFonts w:ascii="Palatino Linotype" w:hAnsi="Palatino Linotype" w:cs="Arial"/>
          <w:sz w:val="24"/>
          <w:szCs w:val="24"/>
        </w:rPr>
        <w:t>dos mil veintidós</w:t>
      </w:r>
      <w:r>
        <w:rPr>
          <w:rFonts w:ascii="Palatino Linotype" w:hAnsi="Palatino Linotype" w:cs="Arial"/>
          <w:sz w:val="24"/>
          <w:szCs w:val="24"/>
        </w:rPr>
        <w:t>)</w:t>
      </w:r>
      <w:r w:rsidRPr="003753CC">
        <w:rPr>
          <w:rFonts w:ascii="Palatino Linotype" w:hAnsi="Palatino Linotype" w:cs="Arial"/>
          <w:sz w:val="24"/>
          <w:szCs w:val="24"/>
        </w:rPr>
        <w:t xml:space="preserve">, </w:t>
      </w:r>
      <w:r>
        <w:rPr>
          <w:rFonts w:ascii="Palatino Linotype" w:hAnsi="Palatino Linotype" w:cs="Arial"/>
          <w:sz w:val="24"/>
          <w:szCs w:val="24"/>
        </w:rPr>
        <w:t>el</w:t>
      </w:r>
      <w:r w:rsidRPr="003753CC">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del</w:t>
      </w:r>
      <w:r w:rsidRPr="003753CC">
        <w:rPr>
          <w:rFonts w:ascii="Palatino Linotype" w:hAnsi="Palatino Linotype" w:cs="Arial"/>
          <w:sz w:val="24"/>
          <w:szCs w:val="24"/>
        </w:rPr>
        <w:t xml:space="preserve"> Sistema de Acceso a la Información Mexiquense, en lo posterior el </w:t>
      </w:r>
      <w:r w:rsidRPr="003753CC">
        <w:rPr>
          <w:rFonts w:ascii="Palatino Linotype" w:hAnsi="Palatino Linotype" w:cs="Arial"/>
          <w:b/>
          <w:sz w:val="24"/>
          <w:szCs w:val="24"/>
        </w:rPr>
        <w:t>SAIMEX</w:t>
      </w:r>
      <w:r w:rsidRPr="003753CC">
        <w:rPr>
          <w:rFonts w:ascii="Palatino Linotype" w:hAnsi="Palatino Linotype" w:cs="Arial"/>
          <w:sz w:val="24"/>
          <w:szCs w:val="24"/>
        </w:rPr>
        <w:t xml:space="preserve">, ante </w:t>
      </w:r>
      <w:r w:rsidRPr="003753CC">
        <w:rPr>
          <w:rFonts w:ascii="Palatino Linotype" w:hAnsi="Palatino Linotype" w:cs="Arial"/>
          <w:b/>
          <w:sz w:val="24"/>
          <w:szCs w:val="24"/>
        </w:rPr>
        <w:t>el Sujeto Obligado</w:t>
      </w:r>
      <w:r w:rsidRPr="003753CC">
        <w:rPr>
          <w:rFonts w:ascii="Palatino Linotype" w:hAnsi="Palatino Linotype" w:cs="Arial"/>
          <w:sz w:val="24"/>
          <w:szCs w:val="24"/>
        </w:rPr>
        <w:t xml:space="preserve">, </w:t>
      </w:r>
      <w:r>
        <w:rPr>
          <w:rFonts w:ascii="Palatino Linotype" w:hAnsi="Palatino Linotype" w:cs="Arial"/>
          <w:sz w:val="24"/>
          <w:szCs w:val="24"/>
        </w:rPr>
        <w:t>solicitud</w:t>
      </w:r>
      <w:r w:rsidRPr="00CB45F6">
        <w:rPr>
          <w:rFonts w:ascii="Palatino Linotype" w:hAnsi="Palatino Linotype" w:cs="Arial"/>
          <w:sz w:val="24"/>
          <w:szCs w:val="24"/>
        </w:rPr>
        <w:t xml:space="preserve"> de acceso a la información pública, registrada bajo </w:t>
      </w:r>
      <w:r>
        <w:rPr>
          <w:rFonts w:ascii="Palatino Linotype" w:hAnsi="Palatino Linotype" w:cs="Arial"/>
          <w:sz w:val="24"/>
          <w:szCs w:val="24"/>
        </w:rPr>
        <w:t>el</w:t>
      </w:r>
      <w:r w:rsidRPr="00CB45F6">
        <w:rPr>
          <w:rFonts w:ascii="Palatino Linotype" w:hAnsi="Palatino Linotype" w:cs="Arial"/>
          <w:sz w:val="24"/>
          <w:szCs w:val="24"/>
        </w:rPr>
        <w:t xml:space="preserve"> número</w:t>
      </w:r>
      <w:r>
        <w:rPr>
          <w:rFonts w:ascii="Palatino Linotype" w:hAnsi="Palatino Linotype" w:cs="Arial"/>
          <w:sz w:val="24"/>
          <w:szCs w:val="24"/>
        </w:rPr>
        <w:t xml:space="preserve"> </w:t>
      </w:r>
      <w:r w:rsidRPr="008A5D99">
        <w:rPr>
          <w:rFonts w:ascii="Palatino Linotype" w:hAnsi="Palatino Linotype" w:cs="Arial"/>
          <w:b/>
          <w:sz w:val="24"/>
          <w:szCs w:val="24"/>
        </w:rPr>
        <w:t>00219/TEOLOYU/IP/2022</w:t>
      </w:r>
      <w:r w:rsidRPr="00CB45F6">
        <w:rPr>
          <w:rFonts w:ascii="Palatino Linotype" w:hAnsi="Palatino Linotype" w:cs="Arial"/>
          <w:sz w:val="24"/>
          <w:szCs w:val="24"/>
          <w:lang w:eastAsia="es-MX"/>
        </w:rPr>
        <w:t>,</w:t>
      </w:r>
      <w:r w:rsidRPr="00CB45F6">
        <w:rPr>
          <w:rFonts w:ascii="Palatino Linotype" w:hAnsi="Palatino Linotype" w:cs="Arial"/>
          <w:b/>
          <w:sz w:val="24"/>
          <w:szCs w:val="24"/>
          <w:lang w:eastAsia="es-MX"/>
        </w:rPr>
        <w:t xml:space="preserve"> </w:t>
      </w:r>
      <w:r w:rsidRPr="00CB45F6">
        <w:rPr>
          <w:rFonts w:ascii="Palatino Linotype" w:hAnsi="Palatino Linotype" w:cs="Arial"/>
          <w:sz w:val="24"/>
          <w:szCs w:val="24"/>
        </w:rPr>
        <w:t xml:space="preserve">mediante la cual solicitó </w:t>
      </w:r>
      <w:r>
        <w:rPr>
          <w:rFonts w:ascii="Palatino Linotype" w:hAnsi="Palatino Linotype" w:cs="Arial"/>
          <w:sz w:val="24"/>
          <w:szCs w:val="24"/>
        </w:rPr>
        <w:t>lo</w:t>
      </w:r>
      <w:r w:rsidRPr="00CB45F6">
        <w:rPr>
          <w:rFonts w:ascii="Palatino Linotype" w:hAnsi="Palatino Linotype" w:cs="Arial"/>
          <w:sz w:val="24"/>
          <w:szCs w:val="24"/>
        </w:rPr>
        <w:t xml:space="preserve"> siguiente:</w:t>
      </w:r>
    </w:p>
    <w:p w:rsidR="008A5D99" w:rsidRPr="00CB45F6" w:rsidRDefault="008A5D99" w:rsidP="00F24A91">
      <w:pPr>
        <w:spacing w:after="0" w:line="360" w:lineRule="auto"/>
        <w:jc w:val="both"/>
        <w:rPr>
          <w:rFonts w:ascii="Palatino Linotype" w:hAnsi="Palatino Linotype" w:cs="Arial"/>
          <w:sz w:val="24"/>
          <w:szCs w:val="24"/>
        </w:rPr>
      </w:pPr>
    </w:p>
    <w:p w:rsidR="008A5D99" w:rsidRPr="00CB45F6" w:rsidRDefault="008A5D99" w:rsidP="00F24A9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08BB">
        <w:rPr>
          <w:rFonts w:ascii="Palatino Linotype" w:eastAsia="Times New Roman" w:hAnsi="Palatino Linotype" w:cs="Times New Roman"/>
          <w:i/>
          <w:szCs w:val="24"/>
          <w:lang w:val="es-ES_tradnl" w:eastAsia="es-ES"/>
        </w:rPr>
        <w:t>"</w:t>
      </w:r>
      <w:r w:rsidRPr="008A5D99">
        <w:rPr>
          <w:rFonts w:ascii="Palatino Linotype" w:eastAsia="Times New Roman" w:hAnsi="Palatino Linotype" w:cs="Times New Roman"/>
          <w:i/>
          <w:szCs w:val="24"/>
          <w:lang w:eastAsia="es-ES"/>
        </w:rPr>
        <w:t>Solicito toda la información, así como documentación respecto a todas las actuaciones de la Controversia Constitucional Tepotzotla vs Teoloyucan, Cuautitlan Izcalli vs Teoloyucan.</w:t>
      </w:r>
      <w:r w:rsidRPr="005508BB">
        <w:rPr>
          <w:rFonts w:ascii="Palatino Linotype" w:eastAsia="Times New Roman" w:hAnsi="Palatino Linotype" w:cs="Times New Roman"/>
          <w:i/>
          <w:szCs w:val="24"/>
          <w:lang w:val="es-ES_tradnl" w:eastAsia="es-ES"/>
        </w:rPr>
        <w:t>"</w:t>
      </w:r>
    </w:p>
    <w:p w:rsidR="008A5D99" w:rsidRDefault="008A5D99" w:rsidP="00F24A91">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8A5D99" w:rsidRPr="00CB45F6" w:rsidRDefault="008A5D99" w:rsidP="00F24A91">
      <w:pPr>
        <w:tabs>
          <w:tab w:val="left" w:pos="5647"/>
        </w:tabs>
        <w:spacing w:after="0" w:line="360" w:lineRule="auto"/>
        <w:ind w:right="850"/>
        <w:jc w:val="both"/>
        <w:rPr>
          <w:rFonts w:ascii="Palatino Linotype" w:hAnsi="Palatino Linotype"/>
          <w:b/>
          <w:i/>
          <w:color w:val="000000"/>
          <w:sz w:val="24"/>
          <w:szCs w:val="24"/>
        </w:rPr>
      </w:pPr>
      <w:r w:rsidRPr="00CB45F6">
        <w:rPr>
          <w:rFonts w:ascii="Palatino Linotype" w:eastAsia="Times New Roman" w:hAnsi="Palatino Linotype" w:cs="Times New Roman"/>
          <w:sz w:val="24"/>
          <w:szCs w:val="24"/>
          <w:lang w:val="es-ES_tradnl" w:eastAsia="es-ES"/>
        </w:rPr>
        <w:t xml:space="preserve">Modalidad de entrega: </w:t>
      </w:r>
      <w:r w:rsidRPr="00CB45F6">
        <w:rPr>
          <w:rFonts w:ascii="Palatino Linotype" w:hAnsi="Palatino Linotype"/>
          <w:b/>
          <w:i/>
          <w:color w:val="000000"/>
          <w:sz w:val="24"/>
          <w:szCs w:val="24"/>
        </w:rPr>
        <w:t>A través de</w:t>
      </w:r>
      <w:r>
        <w:rPr>
          <w:rFonts w:ascii="Palatino Linotype" w:hAnsi="Palatino Linotype"/>
          <w:b/>
          <w:i/>
          <w:color w:val="000000"/>
          <w:sz w:val="24"/>
          <w:szCs w:val="24"/>
        </w:rPr>
        <w:t>l SAIMEX</w:t>
      </w:r>
    </w:p>
    <w:p w:rsidR="008A5D99" w:rsidRPr="00C03631" w:rsidRDefault="008A5D99" w:rsidP="00F24A91">
      <w:pPr>
        <w:spacing w:after="0" w:line="360" w:lineRule="auto"/>
        <w:jc w:val="both"/>
        <w:rPr>
          <w:rFonts w:ascii="Palatino Linotype" w:eastAsia="Times New Roman" w:hAnsi="Palatino Linotype" w:cs="Times New Roman"/>
          <w:sz w:val="24"/>
          <w:szCs w:val="24"/>
          <w:lang w:val="es-ES" w:eastAsia="es-ES"/>
        </w:rPr>
      </w:pPr>
      <w:r w:rsidRPr="00541421">
        <w:rPr>
          <w:rFonts w:ascii="Palatino Linotype" w:hAnsi="Palatino Linotype" w:cs="Arial"/>
          <w:b/>
          <w:sz w:val="28"/>
          <w:szCs w:val="24"/>
        </w:rPr>
        <w:lastRenderedPageBreak/>
        <w:t>SEGUNDO</w:t>
      </w:r>
      <w:r w:rsidRPr="00541421">
        <w:rPr>
          <w:rFonts w:ascii="Palatino Linotype" w:hAnsi="Palatino Linotype" w:cs="Arial"/>
          <w:b/>
          <w:sz w:val="24"/>
          <w:szCs w:val="24"/>
        </w:rPr>
        <w:t xml:space="preserve">. </w:t>
      </w:r>
      <w:r w:rsidRPr="00C03631">
        <w:rPr>
          <w:rFonts w:ascii="Palatino Linotype" w:eastAsia="Times New Roman" w:hAnsi="Palatino Linotype" w:cs="Times New Roman"/>
          <w:sz w:val="24"/>
          <w:szCs w:val="24"/>
          <w:lang w:val="es-ES" w:eastAsia="es-ES"/>
        </w:rPr>
        <w:t xml:space="preserve">De las constancias que obran en </w:t>
      </w:r>
      <w:r>
        <w:rPr>
          <w:rFonts w:ascii="Palatino Linotype" w:eastAsia="Times New Roman" w:hAnsi="Palatino Linotype" w:cs="Times New Roman"/>
          <w:sz w:val="24"/>
          <w:szCs w:val="24"/>
          <w:lang w:val="es-ES" w:eastAsia="es-ES"/>
        </w:rPr>
        <w:t>el</w:t>
      </w:r>
      <w:r w:rsidRPr="00C03631">
        <w:rPr>
          <w:rFonts w:ascii="Palatino Linotype" w:eastAsia="Times New Roman" w:hAnsi="Palatino Linotype" w:cs="Times New Roman"/>
          <w:sz w:val="24"/>
          <w:szCs w:val="24"/>
          <w:lang w:val="es-ES" w:eastAsia="es-ES"/>
        </w:rPr>
        <w:t xml:space="preserve"> expediente electrónico, aperturado</w:t>
      </w:r>
      <w:r>
        <w:rPr>
          <w:rFonts w:ascii="Palatino Linotype" w:eastAsia="Times New Roman" w:hAnsi="Palatino Linotype" w:cs="Times New Roman"/>
          <w:sz w:val="24"/>
          <w:szCs w:val="24"/>
          <w:lang w:val="es-ES" w:eastAsia="es-ES"/>
        </w:rPr>
        <w:t xml:space="preserve"> con motivo del ingreso de la solicitud</w:t>
      </w:r>
      <w:r w:rsidRPr="00C03631">
        <w:rPr>
          <w:rFonts w:ascii="Palatino Linotype" w:eastAsia="Times New Roman" w:hAnsi="Palatino Linotype" w:cs="Times New Roman"/>
          <w:sz w:val="24"/>
          <w:szCs w:val="24"/>
          <w:lang w:val="es-ES" w:eastAsia="es-ES"/>
        </w:rPr>
        <w:t xml:space="preserve"> de información, se advierte que el</w:t>
      </w:r>
      <w:r w:rsidRPr="00C03631">
        <w:rPr>
          <w:rFonts w:ascii="Palatino Linotype" w:eastAsia="Times New Roman" w:hAnsi="Palatino Linotype" w:cs="Times New Roman"/>
          <w:b/>
          <w:sz w:val="24"/>
          <w:szCs w:val="24"/>
          <w:lang w:val="es-ES" w:eastAsia="es-ES"/>
        </w:rPr>
        <w:t xml:space="preserve"> Sujeto Obligado </w:t>
      </w:r>
      <w:r w:rsidRPr="00C03631">
        <w:rPr>
          <w:rFonts w:ascii="Palatino Linotype" w:eastAsia="Times New Roman" w:hAnsi="Palatino Linotype" w:cs="Times New Roman"/>
          <w:sz w:val="24"/>
          <w:szCs w:val="24"/>
          <w:lang w:val="es-ES" w:eastAsia="es-ES"/>
        </w:rPr>
        <w:t>emitió respuesta el día</w:t>
      </w:r>
      <w:r>
        <w:rPr>
          <w:rFonts w:ascii="Palatino Linotype" w:eastAsia="Times New Roman" w:hAnsi="Palatino Linotype" w:cs="Times New Roman"/>
          <w:sz w:val="24"/>
          <w:szCs w:val="24"/>
          <w:lang w:val="es-ES" w:eastAsia="es-ES"/>
        </w:rPr>
        <w:t xml:space="preserve"> 28 (veintiocho) de junio </w:t>
      </w:r>
      <w:r w:rsidRPr="00C03631">
        <w:rPr>
          <w:rFonts w:ascii="Palatino Linotype" w:eastAsia="Times New Roman" w:hAnsi="Palatino Linotype" w:cs="Times New Roman"/>
          <w:sz w:val="24"/>
          <w:szCs w:val="24"/>
          <w:lang w:val="es-ES" w:eastAsia="es-ES"/>
        </w:rPr>
        <w:t>de 2022 (dos mil veintidós), en los términos siguientes:</w:t>
      </w:r>
    </w:p>
    <w:p w:rsidR="008A5D99" w:rsidRDefault="008A5D99" w:rsidP="00F24A91">
      <w:pPr>
        <w:spacing w:after="0" w:line="360" w:lineRule="auto"/>
        <w:jc w:val="both"/>
        <w:rPr>
          <w:rFonts w:ascii="Palatino Linotype" w:hAnsi="Palatino Linotype" w:cs="Arial"/>
          <w:sz w:val="24"/>
          <w:szCs w:val="28"/>
        </w:rPr>
      </w:pPr>
    </w:p>
    <w:p w:rsidR="008A5D99" w:rsidRPr="008A5D99" w:rsidRDefault="008A5D99" w:rsidP="00F24A91">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BA20A8">
        <w:rPr>
          <w:rFonts w:ascii="Palatino Linotype" w:eastAsia="Times New Roman" w:hAnsi="Palatino Linotype" w:cs="Times New Roman"/>
          <w:i/>
          <w:szCs w:val="24"/>
          <w:lang w:val="es-ES_tradnl" w:eastAsia="es-ES"/>
        </w:rPr>
        <w:t>"</w:t>
      </w:r>
      <w:r w:rsidRPr="008A5D99">
        <w:t xml:space="preserve"> </w:t>
      </w:r>
      <w:r w:rsidRPr="008A5D99">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A5D99" w:rsidRPr="00BA20A8" w:rsidRDefault="008A5D99" w:rsidP="00F24A91">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8A5D99">
        <w:rPr>
          <w:rFonts w:ascii="Palatino Linotype" w:eastAsia="Times New Roman" w:hAnsi="Palatino Linotype" w:cs="Times New Roman"/>
          <w:i/>
          <w:szCs w:val="24"/>
          <w:lang w:val="es-ES_tradnl" w:eastAsia="es-ES"/>
        </w:rPr>
        <w:t>Se adjunto respuesta integradora</w:t>
      </w:r>
      <w:r w:rsidRPr="00BA20A8">
        <w:rPr>
          <w:rFonts w:ascii="Palatino Linotype" w:eastAsia="Times New Roman" w:hAnsi="Palatino Linotype" w:cs="Times New Roman"/>
          <w:i/>
          <w:szCs w:val="24"/>
          <w:lang w:val="es-ES_tradnl" w:eastAsia="es-ES"/>
        </w:rPr>
        <w:t>"</w:t>
      </w:r>
    </w:p>
    <w:p w:rsidR="008A5D99" w:rsidRPr="00BA20A8" w:rsidRDefault="008A5D99" w:rsidP="00F24A91">
      <w:pPr>
        <w:spacing w:after="0" w:line="360" w:lineRule="auto"/>
        <w:jc w:val="both"/>
        <w:rPr>
          <w:rFonts w:ascii="Palatino Linotype" w:hAnsi="Palatino Linotype" w:cs="Arial"/>
          <w:sz w:val="24"/>
          <w:szCs w:val="24"/>
        </w:rPr>
      </w:pPr>
    </w:p>
    <w:p w:rsidR="008A5D99" w:rsidRDefault="008A5D99" w:rsidP="00F24A91">
      <w:pPr>
        <w:spacing w:after="0" w:line="360" w:lineRule="auto"/>
        <w:jc w:val="both"/>
        <w:rPr>
          <w:rFonts w:ascii="Palatino Linotype" w:hAnsi="Palatino Linotype" w:cs="Arial"/>
          <w:sz w:val="24"/>
          <w:szCs w:val="24"/>
        </w:rPr>
      </w:pPr>
      <w:r w:rsidRPr="00BA20A8">
        <w:rPr>
          <w:rFonts w:ascii="Palatino Linotype" w:hAnsi="Palatino Linotype" w:cs="Arial"/>
          <w:sz w:val="24"/>
          <w:szCs w:val="24"/>
        </w:rPr>
        <w:t>Se hace constar que el Sujeto Obligado adjunto los archivos electrónicos “</w:t>
      </w:r>
      <w:r w:rsidR="00823DD3" w:rsidRPr="00823DD3">
        <w:rPr>
          <w:rFonts w:ascii="Palatino Linotype" w:hAnsi="Palatino Linotype" w:cs="Arial"/>
          <w:b/>
          <w:i/>
          <w:sz w:val="24"/>
          <w:szCs w:val="24"/>
        </w:rPr>
        <w:t>Oficio SM-VCL-222-06-2022.pdf</w:t>
      </w:r>
      <w:r w:rsidR="00823DD3">
        <w:rPr>
          <w:rFonts w:ascii="Palatino Linotype" w:hAnsi="Palatino Linotype" w:cs="Arial"/>
          <w:b/>
          <w:i/>
          <w:sz w:val="24"/>
          <w:szCs w:val="24"/>
        </w:rPr>
        <w:t xml:space="preserve">, </w:t>
      </w:r>
      <w:r w:rsidR="00823DD3" w:rsidRPr="00823DD3">
        <w:rPr>
          <w:rFonts w:ascii="Palatino Linotype" w:hAnsi="Palatino Linotype" w:cs="Arial"/>
          <w:b/>
          <w:i/>
          <w:sz w:val="24"/>
          <w:szCs w:val="24"/>
        </w:rPr>
        <w:t>Acuerdo 1-5 ordinaria.pdf</w:t>
      </w:r>
      <w:r w:rsidR="00823DD3" w:rsidRPr="00823DD3">
        <w:rPr>
          <w:rFonts w:ascii="Palatino Linotype" w:hAnsi="Palatino Linotype" w:cs="Arial"/>
          <w:sz w:val="24"/>
          <w:szCs w:val="24"/>
        </w:rPr>
        <w:t xml:space="preserve"> y </w:t>
      </w:r>
      <w:r w:rsidR="00823DD3" w:rsidRPr="00823DD3">
        <w:rPr>
          <w:rFonts w:ascii="Palatino Linotype" w:hAnsi="Palatino Linotype" w:cs="Arial"/>
          <w:b/>
          <w:i/>
          <w:sz w:val="24"/>
          <w:szCs w:val="24"/>
        </w:rPr>
        <w:t>Respuesta integradora 219 oficio 627.pdf</w:t>
      </w:r>
      <w:r w:rsidRPr="00BA20A8">
        <w:rPr>
          <w:rFonts w:ascii="Palatino Linotype" w:hAnsi="Palatino Linotype" w:cs="Arial"/>
          <w:sz w:val="24"/>
          <w:szCs w:val="24"/>
        </w:rPr>
        <w:t>”, los cuales, al ser del conocimiento de las partes, se omite su inserción en este apartado, máxime que serán objeto de estudio en párrafos posteriores.</w:t>
      </w:r>
    </w:p>
    <w:p w:rsidR="00823DD3" w:rsidRDefault="00823DD3" w:rsidP="00F24A91">
      <w:pPr>
        <w:spacing w:after="0" w:line="360" w:lineRule="auto"/>
        <w:jc w:val="both"/>
        <w:rPr>
          <w:rFonts w:ascii="Palatino Linotype" w:hAnsi="Palatino Linotype" w:cs="Arial"/>
          <w:sz w:val="24"/>
          <w:szCs w:val="24"/>
        </w:rPr>
      </w:pPr>
    </w:p>
    <w:p w:rsidR="00823DD3" w:rsidRPr="00BA20A8" w:rsidRDefault="00823DD3" w:rsidP="00F24A91">
      <w:pPr>
        <w:spacing w:after="0" w:line="360" w:lineRule="auto"/>
        <w:jc w:val="both"/>
        <w:rPr>
          <w:rFonts w:ascii="Palatino Linotype" w:hAnsi="Palatino Linotype" w:cs="Arial"/>
          <w:sz w:val="24"/>
          <w:szCs w:val="24"/>
        </w:rPr>
      </w:pPr>
    </w:p>
    <w:p w:rsidR="008A5D99" w:rsidRPr="00BA20A8" w:rsidRDefault="008A5D99" w:rsidP="00F24A91">
      <w:p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b/>
          <w:sz w:val="28"/>
          <w:szCs w:val="28"/>
        </w:rPr>
        <w:t>TERCERO</w:t>
      </w:r>
      <w:r w:rsidRPr="003753CC">
        <w:rPr>
          <w:rFonts w:ascii="Palatino Linotype" w:hAnsi="Palatino Linotype" w:cs="Arial"/>
          <w:sz w:val="24"/>
          <w:szCs w:val="24"/>
        </w:rPr>
        <w:t xml:space="preserve">. </w:t>
      </w:r>
      <w:r w:rsidRPr="00BA20A8">
        <w:rPr>
          <w:rFonts w:ascii="Palatino Linotype" w:eastAsia="Times New Roman" w:hAnsi="Palatino Linotype" w:cs="Arial"/>
          <w:sz w:val="24"/>
          <w:szCs w:val="24"/>
          <w:lang w:val="es-ES" w:eastAsia="es-ES"/>
        </w:rPr>
        <w:t>Incon</w:t>
      </w:r>
      <w:r w:rsidR="00823DD3">
        <w:rPr>
          <w:rFonts w:ascii="Palatino Linotype" w:eastAsia="Times New Roman" w:hAnsi="Palatino Linotype" w:cs="Arial"/>
          <w:sz w:val="24"/>
          <w:szCs w:val="24"/>
          <w:lang w:val="es-ES" w:eastAsia="es-ES"/>
        </w:rPr>
        <w:t>forme con la</w:t>
      </w:r>
      <w:r w:rsidRPr="00BA20A8">
        <w:rPr>
          <w:rFonts w:ascii="Palatino Linotype" w:eastAsia="Times New Roman" w:hAnsi="Palatino Linotype" w:cs="Arial"/>
          <w:sz w:val="24"/>
          <w:szCs w:val="24"/>
          <w:lang w:val="es-ES" w:eastAsia="es-ES"/>
        </w:rPr>
        <w:t xml:space="preserve"> respuesta proporcionada, </w:t>
      </w:r>
      <w:r w:rsidR="00823DD3">
        <w:rPr>
          <w:rFonts w:ascii="Palatino Linotype" w:eastAsia="Times New Roman" w:hAnsi="Palatino Linotype" w:cs="Arial"/>
          <w:sz w:val="24"/>
          <w:szCs w:val="24"/>
          <w:lang w:val="es-ES" w:eastAsia="es-ES"/>
        </w:rPr>
        <w:t xml:space="preserve">en fecha </w:t>
      </w:r>
      <w:r w:rsidR="009E7B8E">
        <w:rPr>
          <w:rFonts w:ascii="Palatino Linotype" w:eastAsia="Times New Roman" w:hAnsi="Palatino Linotype" w:cs="Arial"/>
          <w:sz w:val="24"/>
          <w:szCs w:val="24"/>
          <w:lang w:val="es-ES" w:eastAsia="es-ES"/>
        </w:rPr>
        <w:t>05</w:t>
      </w:r>
      <w:r w:rsidR="00823DD3">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w:t>
      </w:r>
      <w:r w:rsidR="009E7B8E">
        <w:rPr>
          <w:rFonts w:ascii="Palatino Linotype" w:eastAsia="Times New Roman" w:hAnsi="Palatino Linotype" w:cs="Arial"/>
          <w:sz w:val="24"/>
          <w:szCs w:val="24"/>
          <w:lang w:val="es-ES" w:eastAsia="es-ES"/>
        </w:rPr>
        <w:t>cinco</w:t>
      </w:r>
      <w:r w:rsidRPr="00BA20A8">
        <w:rPr>
          <w:rFonts w:ascii="Palatino Linotype" w:eastAsia="Times New Roman" w:hAnsi="Palatino Linotype" w:cs="Arial"/>
          <w:sz w:val="24"/>
          <w:szCs w:val="24"/>
          <w:lang w:val="es-ES" w:eastAsia="es-ES"/>
        </w:rPr>
        <w:t xml:space="preserve">) de </w:t>
      </w:r>
      <w:r>
        <w:rPr>
          <w:rFonts w:ascii="Palatino Linotype" w:eastAsia="Times New Roman" w:hAnsi="Palatino Linotype" w:cs="Arial"/>
          <w:sz w:val="24"/>
          <w:szCs w:val="24"/>
          <w:lang w:val="es-ES" w:eastAsia="es-ES"/>
        </w:rPr>
        <w:t>ju</w:t>
      </w:r>
      <w:r w:rsidR="009E7B8E">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io</w:t>
      </w:r>
      <w:r w:rsidRPr="00BA20A8">
        <w:rPr>
          <w:rFonts w:ascii="Palatino Linotype" w:eastAsia="Times New Roman" w:hAnsi="Palatino Linotype" w:cs="Arial"/>
          <w:sz w:val="24"/>
          <w:szCs w:val="24"/>
          <w:lang w:val="es-ES" w:eastAsia="es-ES"/>
        </w:rPr>
        <w:t xml:space="preserve"> de 2022 (dos mil veintidós)</w:t>
      </w:r>
      <w:r w:rsidR="00823DD3">
        <w:rPr>
          <w:rFonts w:ascii="Palatino Linotype" w:eastAsia="Times New Roman" w:hAnsi="Palatino Linotype" w:cs="Arial"/>
          <w:sz w:val="24"/>
          <w:szCs w:val="24"/>
          <w:lang w:val="es-ES" w:eastAsia="es-ES"/>
        </w:rPr>
        <w:t>,</w:t>
      </w:r>
      <w:r w:rsidRPr="00BA20A8">
        <w:rPr>
          <w:rFonts w:ascii="Palatino Linotype" w:eastAsia="Times New Roman" w:hAnsi="Palatino Linotype" w:cs="Arial"/>
          <w:sz w:val="24"/>
          <w:szCs w:val="24"/>
          <w:lang w:val="es-ES" w:eastAsia="es-ES"/>
        </w:rPr>
        <w:t xml:space="preserve"> el</w:t>
      </w:r>
      <w:r w:rsidRPr="00BA20A8">
        <w:rPr>
          <w:rFonts w:ascii="Palatino Linotype" w:eastAsia="Times New Roman" w:hAnsi="Palatino Linotype" w:cs="Arial"/>
          <w:b/>
          <w:color w:val="000000"/>
          <w:sz w:val="24"/>
          <w:szCs w:val="24"/>
          <w:lang w:val="es-ES" w:eastAsia="es-ES"/>
        </w:rPr>
        <w:t xml:space="preserve"> Recurrente</w:t>
      </w:r>
      <w:r w:rsidRPr="00BA20A8">
        <w:rPr>
          <w:rFonts w:ascii="Palatino Linotype" w:eastAsia="Times New Roman" w:hAnsi="Palatino Linotype" w:cs="Arial"/>
          <w:color w:val="000000"/>
          <w:sz w:val="24"/>
          <w:szCs w:val="24"/>
          <w:lang w:val="es-ES" w:eastAsia="es-ES"/>
        </w:rPr>
        <w:t xml:space="preserve"> </w:t>
      </w:r>
      <w:r w:rsidRPr="00BA20A8">
        <w:rPr>
          <w:rFonts w:ascii="Palatino Linotype" w:eastAsia="Times New Roman" w:hAnsi="Palatino Linotype" w:cs="Arial"/>
          <w:sz w:val="24"/>
          <w:szCs w:val="24"/>
          <w:lang w:val="es-ES" w:eastAsia="es-ES"/>
        </w:rPr>
        <w:t xml:space="preserve">interpuso </w:t>
      </w:r>
      <w:r w:rsidR="00823DD3">
        <w:rPr>
          <w:rFonts w:ascii="Palatino Linotype" w:eastAsia="Times New Roman" w:hAnsi="Palatino Linotype" w:cs="Arial"/>
          <w:sz w:val="24"/>
          <w:szCs w:val="24"/>
          <w:lang w:val="es-ES" w:eastAsia="es-ES"/>
        </w:rPr>
        <w:t>el</w:t>
      </w:r>
      <w:r w:rsidRPr="00BA20A8">
        <w:rPr>
          <w:rFonts w:ascii="Palatino Linotype" w:eastAsia="Times New Roman" w:hAnsi="Palatino Linotype" w:cs="Arial"/>
          <w:sz w:val="24"/>
          <w:szCs w:val="24"/>
          <w:lang w:val="es-ES" w:eastAsia="es-ES"/>
        </w:rPr>
        <w:t xml:space="preserve"> recurso de revisión, quedando registrado en el</w:t>
      </w:r>
      <w:r w:rsidRPr="00BA20A8">
        <w:rPr>
          <w:rFonts w:ascii="Palatino Linotype" w:eastAsia="Arial Unicode MS" w:hAnsi="Palatino Linotype" w:cs="Arial"/>
          <w:b/>
          <w:sz w:val="24"/>
          <w:szCs w:val="24"/>
          <w:lang w:val="es-ES" w:eastAsia="es-ES"/>
        </w:rPr>
        <w:t xml:space="preserve"> SAIMEX</w:t>
      </w:r>
      <w:r w:rsidRPr="00BA20A8">
        <w:rPr>
          <w:rFonts w:ascii="Palatino Linotype" w:eastAsia="Arial Unicode MS" w:hAnsi="Palatino Linotype" w:cs="Arial"/>
          <w:sz w:val="24"/>
          <w:szCs w:val="24"/>
          <w:lang w:val="es-ES" w:eastAsia="es-ES"/>
        </w:rPr>
        <w:t xml:space="preserve"> con </w:t>
      </w:r>
      <w:r w:rsidR="00823DD3">
        <w:rPr>
          <w:rFonts w:ascii="Palatino Linotype" w:eastAsia="Arial Unicode MS" w:hAnsi="Palatino Linotype" w:cs="Arial"/>
          <w:sz w:val="24"/>
          <w:szCs w:val="24"/>
          <w:lang w:val="es-ES" w:eastAsia="es-ES"/>
        </w:rPr>
        <w:t>e</w:t>
      </w:r>
      <w:r w:rsidRPr="00BA20A8">
        <w:rPr>
          <w:rFonts w:ascii="Palatino Linotype" w:eastAsia="Arial Unicode MS" w:hAnsi="Palatino Linotype" w:cs="Arial"/>
          <w:sz w:val="24"/>
          <w:szCs w:val="24"/>
          <w:lang w:val="es-ES" w:eastAsia="es-ES"/>
        </w:rPr>
        <w:t xml:space="preserve">l número de recurso </w:t>
      </w:r>
      <w:r w:rsidRPr="00BA20A8">
        <w:rPr>
          <w:rFonts w:ascii="Palatino Linotype" w:eastAsia="Times New Roman" w:hAnsi="Palatino Linotype" w:cs="Times New Roman"/>
          <w:b/>
          <w:sz w:val="24"/>
          <w:szCs w:val="24"/>
          <w:lang w:val="es-ES" w:eastAsia="es-ES"/>
        </w:rPr>
        <w:t>01</w:t>
      </w:r>
      <w:r>
        <w:rPr>
          <w:rFonts w:ascii="Palatino Linotype" w:eastAsia="Times New Roman" w:hAnsi="Palatino Linotype" w:cs="Times New Roman"/>
          <w:b/>
          <w:sz w:val="24"/>
          <w:szCs w:val="24"/>
          <w:lang w:val="es-ES" w:eastAsia="es-ES"/>
        </w:rPr>
        <w:t>2</w:t>
      </w:r>
      <w:r w:rsidR="00823DD3">
        <w:rPr>
          <w:rFonts w:ascii="Palatino Linotype" w:eastAsia="Times New Roman" w:hAnsi="Palatino Linotype" w:cs="Times New Roman"/>
          <w:b/>
          <w:sz w:val="24"/>
          <w:szCs w:val="24"/>
          <w:lang w:val="es-ES" w:eastAsia="es-ES"/>
        </w:rPr>
        <w:t>405</w:t>
      </w:r>
      <w:r w:rsidRPr="00BA20A8">
        <w:rPr>
          <w:rFonts w:ascii="Palatino Linotype" w:eastAsia="Times New Roman" w:hAnsi="Palatino Linotype" w:cs="Times New Roman"/>
          <w:b/>
          <w:sz w:val="24"/>
          <w:szCs w:val="24"/>
          <w:lang w:val="es-ES" w:eastAsia="es-ES"/>
        </w:rPr>
        <w:t xml:space="preserve">/INFOEM/IP/RR/2022, </w:t>
      </w:r>
      <w:r w:rsidRPr="00BA20A8">
        <w:rPr>
          <w:rFonts w:ascii="Palatino Linotype" w:eastAsia="Times New Roman" w:hAnsi="Palatino Linotype" w:cs="Arial"/>
          <w:sz w:val="24"/>
          <w:szCs w:val="24"/>
          <w:lang w:val="es-ES" w:eastAsia="es-ES"/>
        </w:rPr>
        <w:t xml:space="preserve">en </w:t>
      </w:r>
      <w:r w:rsidR="00823DD3">
        <w:rPr>
          <w:rFonts w:ascii="Palatino Linotype" w:eastAsia="Times New Roman" w:hAnsi="Palatino Linotype" w:cs="Arial"/>
          <w:sz w:val="24"/>
          <w:szCs w:val="24"/>
          <w:lang w:val="es-ES" w:eastAsia="es-ES"/>
        </w:rPr>
        <w:t>el</w:t>
      </w:r>
      <w:r w:rsidRPr="00BA20A8">
        <w:rPr>
          <w:rFonts w:ascii="Palatino Linotype" w:eastAsia="Times New Roman" w:hAnsi="Palatino Linotype" w:cs="Arial"/>
          <w:sz w:val="24"/>
          <w:szCs w:val="24"/>
          <w:lang w:val="es-ES" w:eastAsia="es-ES"/>
        </w:rPr>
        <w:t xml:space="preserve"> que expresó como acto impugnado y razones o motivos de inconformidad los siguientes:</w:t>
      </w:r>
    </w:p>
    <w:p w:rsidR="008A5D99" w:rsidRPr="00BA20A8" w:rsidRDefault="008A5D99" w:rsidP="00F24A91">
      <w:pPr>
        <w:spacing w:after="0" w:line="360" w:lineRule="auto"/>
        <w:ind w:right="51"/>
        <w:jc w:val="both"/>
        <w:rPr>
          <w:rFonts w:ascii="Palatino Linotype" w:eastAsia="Times New Roman" w:hAnsi="Palatino Linotype" w:cs="Arial"/>
          <w:sz w:val="24"/>
          <w:szCs w:val="24"/>
          <w:lang w:val="es-ES" w:eastAsia="es-ES"/>
        </w:rPr>
      </w:pPr>
    </w:p>
    <w:p w:rsidR="008A5D99" w:rsidRPr="00BA20A8" w:rsidRDefault="008A5D99" w:rsidP="00F24A91">
      <w:pPr>
        <w:spacing w:after="0" w:line="276" w:lineRule="auto"/>
        <w:ind w:right="616"/>
        <w:jc w:val="both"/>
        <w:rPr>
          <w:rFonts w:ascii="Palatino Linotype" w:eastAsia="Times New Roman" w:hAnsi="Palatino Linotype" w:cs="Times New Roman"/>
          <w:sz w:val="24"/>
          <w:szCs w:val="24"/>
          <w:lang w:val="es-ES" w:eastAsia="es-ES"/>
        </w:rPr>
      </w:pPr>
      <w:r w:rsidRPr="00BA20A8">
        <w:rPr>
          <w:rFonts w:ascii="Palatino Linotype" w:eastAsia="Times New Roman" w:hAnsi="Palatino Linotype" w:cs="Times New Roman"/>
          <w:b/>
          <w:sz w:val="24"/>
          <w:szCs w:val="24"/>
          <w:lang w:val="es-ES" w:eastAsia="es-ES"/>
        </w:rPr>
        <w:t xml:space="preserve">Acto Impugnado: </w:t>
      </w:r>
    </w:p>
    <w:p w:rsidR="008A5D99" w:rsidRPr="00BA20A8" w:rsidRDefault="008A5D99" w:rsidP="00F24A91">
      <w:pPr>
        <w:spacing w:after="0" w:line="276" w:lineRule="auto"/>
        <w:ind w:right="616"/>
        <w:jc w:val="both"/>
        <w:rPr>
          <w:rFonts w:ascii="Palatino Linotype" w:eastAsia="Times New Roman" w:hAnsi="Palatino Linotype" w:cs="Times New Roman"/>
          <w:sz w:val="24"/>
          <w:szCs w:val="24"/>
          <w:lang w:val="es-ES" w:eastAsia="es-ES"/>
        </w:rPr>
      </w:pPr>
    </w:p>
    <w:p w:rsidR="008A5D99" w:rsidRPr="00BA20A8" w:rsidRDefault="008A5D99" w:rsidP="00F24A91">
      <w:pPr>
        <w:spacing w:after="0" w:line="240" w:lineRule="auto"/>
        <w:ind w:left="567" w:right="616"/>
        <w:jc w:val="both"/>
        <w:rPr>
          <w:rFonts w:ascii="Palatino Linotype" w:eastAsia="Times New Roman" w:hAnsi="Palatino Linotype" w:cs="Times New Roman"/>
          <w:i/>
          <w:sz w:val="24"/>
          <w:szCs w:val="24"/>
          <w:lang w:val="es-ES" w:eastAsia="es-ES"/>
        </w:rPr>
      </w:pPr>
      <w:r w:rsidRPr="00BA20A8">
        <w:rPr>
          <w:rFonts w:ascii="Palatino Linotype" w:eastAsia="Times New Roman" w:hAnsi="Palatino Linotype" w:cs="Times New Roman"/>
          <w:i/>
          <w:sz w:val="24"/>
          <w:szCs w:val="24"/>
          <w:lang w:val="es-ES" w:eastAsia="es-ES"/>
        </w:rPr>
        <w:t>“</w:t>
      </w:r>
      <w:r w:rsidR="009E7B8E" w:rsidRPr="009E7B8E">
        <w:rPr>
          <w:rFonts w:ascii="Palatino Linotype" w:eastAsia="Times New Roman" w:hAnsi="Palatino Linotype" w:cs="Times New Roman"/>
          <w:i/>
          <w:sz w:val="24"/>
          <w:szCs w:val="24"/>
          <w:lang w:val="es-ES" w:eastAsia="es-ES"/>
        </w:rPr>
        <w:t>no da respuesta</w:t>
      </w:r>
      <w:r w:rsidRPr="00BA20A8">
        <w:rPr>
          <w:rFonts w:ascii="Palatino Linotype" w:eastAsia="Times New Roman" w:hAnsi="Palatino Linotype" w:cs="Times New Roman"/>
          <w:i/>
          <w:sz w:val="24"/>
          <w:szCs w:val="24"/>
          <w:lang w:val="es-ES" w:eastAsia="es-ES"/>
        </w:rPr>
        <w:t>” (sic)</w:t>
      </w:r>
    </w:p>
    <w:p w:rsidR="008A5D99" w:rsidRPr="00BA20A8" w:rsidRDefault="008A5D99" w:rsidP="00F24A91">
      <w:pPr>
        <w:spacing w:after="0" w:line="360" w:lineRule="auto"/>
        <w:jc w:val="both"/>
        <w:rPr>
          <w:rFonts w:ascii="Palatino Linotype" w:hAnsi="Palatino Linotype" w:cs="Arial"/>
          <w:sz w:val="24"/>
          <w:szCs w:val="24"/>
        </w:rPr>
      </w:pPr>
    </w:p>
    <w:p w:rsidR="008A5D99" w:rsidRPr="00BA20A8" w:rsidRDefault="008A5D99" w:rsidP="00F24A91">
      <w:pPr>
        <w:spacing w:after="0" w:line="276" w:lineRule="auto"/>
        <w:ind w:right="616"/>
        <w:jc w:val="both"/>
        <w:rPr>
          <w:rFonts w:ascii="Palatino Linotype" w:eastAsia="Times New Roman" w:hAnsi="Palatino Linotype" w:cs="Times New Roman"/>
          <w:sz w:val="24"/>
          <w:szCs w:val="24"/>
          <w:lang w:val="es-ES" w:eastAsia="es-ES"/>
        </w:rPr>
      </w:pPr>
      <w:r w:rsidRPr="00BA20A8">
        <w:rPr>
          <w:rFonts w:ascii="Palatino Linotype" w:eastAsia="Times New Roman" w:hAnsi="Palatino Linotype" w:cs="Times New Roman"/>
          <w:b/>
          <w:sz w:val="24"/>
          <w:szCs w:val="24"/>
          <w:lang w:val="es-ES" w:eastAsia="es-ES"/>
        </w:rPr>
        <w:t>Razones o motivos de inconformidad</w:t>
      </w:r>
    </w:p>
    <w:p w:rsidR="008A5D99" w:rsidRPr="00BA20A8" w:rsidRDefault="008A5D99" w:rsidP="00F24A91">
      <w:pPr>
        <w:spacing w:after="0" w:line="240" w:lineRule="auto"/>
        <w:ind w:left="567" w:right="616"/>
        <w:jc w:val="both"/>
        <w:rPr>
          <w:rFonts w:ascii="Palatino Linotype" w:eastAsia="Times New Roman" w:hAnsi="Palatino Linotype" w:cs="Times New Roman"/>
          <w:i/>
          <w:sz w:val="24"/>
          <w:szCs w:val="24"/>
          <w:lang w:val="es-ES" w:eastAsia="es-ES"/>
        </w:rPr>
      </w:pPr>
      <w:r w:rsidRPr="00BA20A8">
        <w:rPr>
          <w:rFonts w:ascii="Palatino Linotype" w:eastAsia="Times New Roman" w:hAnsi="Palatino Linotype" w:cs="Times New Roman"/>
          <w:i/>
          <w:sz w:val="24"/>
          <w:szCs w:val="24"/>
          <w:lang w:val="es-ES" w:eastAsia="es-ES"/>
        </w:rPr>
        <w:lastRenderedPageBreak/>
        <w:t>“</w:t>
      </w:r>
      <w:r w:rsidR="009E7B8E" w:rsidRPr="009E7B8E">
        <w:rPr>
          <w:rFonts w:ascii="Palatino Linotype" w:eastAsia="Times New Roman" w:hAnsi="Palatino Linotype" w:cs="Times New Roman"/>
          <w:i/>
          <w:sz w:val="24"/>
          <w:szCs w:val="24"/>
          <w:lang w:eastAsia="es-ES"/>
        </w:rPr>
        <w:t>no se proporciona la respuesta existen publicaciones en paginas web así como en redes sociales del inicio de dicha controversia Constitucional lo cual se hizo publica.</w:t>
      </w:r>
      <w:r w:rsidRPr="00BA20A8">
        <w:rPr>
          <w:rFonts w:ascii="Palatino Linotype" w:eastAsia="Times New Roman" w:hAnsi="Palatino Linotype" w:cs="Times New Roman"/>
          <w:i/>
          <w:sz w:val="24"/>
          <w:szCs w:val="24"/>
          <w:lang w:val="es-ES" w:eastAsia="es-ES"/>
        </w:rPr>
        <w:t>” (sic)</w:t>
      </w:r>
    </w:p>
    <w:p w:rsidR="008A5D99" w:rsidRDefault="008A5D99" w:rsidP="00F24A91">
      <w:pPr>
        <w:spacing w:after="0" w:line="360" w:lineRule="auto"/>
        <w:jc w:val="both"/>
        <w:rPr>
          <w:rFonts w:ascii="Palatino Linotype" w:eastAsia="Times New Roman" w:hAnsi="Palatino Linotype" w:cs="Arial"/>
          <w:sz w:val="24"/>
          <w:lang w:eastAsia="es-ES"/>
        </w:rPr>
      </w:pPr>
    </w:p>
    <w:p w:rsidR="008A5D99" w:rsidRPr="003753CC" w:rsidRDefault="008A5D99" w:rsidP="00F24A91">
      <w:pPr>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b/>
          <w:sz w:val="28"/>
          <w:lang w:eastAsia="es-ES"/>
        </w:rPr>
        <w:t>CUARTO</w:t>
      </w:r>
      <w:r w:rsidRPr="003753CC">
        <w:rPr>
          <w:rFonts w:ascii="Palatino Linotype" w:eastAsia="Times New Roman" w:hAnsi="Palatino Linotype" w:cs="Arial"/>
          <w:b/>
          <w:sz w:val="28"/>
          <w:lang w:eastAsia="es-ES"/>
        </w:rPr>
        <w:t xml:space="preserve">. </w:t>
      </w:r>
      <w:r w:rsidRPr="003753CC">
        <w:rPr>
          <w:rFonts w:ascii="Palatino Linotype" w:eastAsia="Times New Roman" w:hAnsi="Palatino Linotype" w:cs="Arial"/>
          <w:sz w:val="24"/>
          <w:szCs w:val="24"/>
          <w:lang w:val="es-ES" w:eastAsia="es-ES"/>
        </w:rPr>
        <w:t xml:space="preserve">En fecha </w:t>
      </w:r>
      <w:r w:rsidR="009E7B8E">
        <w:rPr>
          <w:rFonts w:ascii="Palatino Linotype" w:eastAsia="Times New Roman" w:hAnsi="Palatino Linotype" w:cs="Arial"/>
          <w:sz w:val="24"/>
          <w:szCs w:val="24"/>
          <w:lang w:val="es-ES" w:eastAsia="es-ES"/>
        </w:rPr>
        <w:t>05 (cinco</w:t>
      </w:r>
      <w:r w:rsidR="009E7B8E" w:rsidRPr="00BA20A8">
        <w:rPr>
          <w:rFonts w:ascii="Palatino Linotype" w:eastAsia="Times New Roman" w:hAnsi="Palatino Linotype" w:cs="Arial"/>
          <w:sz w:val="24"/>
          <w:szCs w:val="24"/>
          <w:lang w:val="es-ES" w:eastAsia="es-ES"/>
        </w:rPr>
        <w:t xml:space="preserve">) de </w:t>
      </w:r>
      <w:r w:rsidR="009E7B8E">
        <w:rPr>
          <w:rFonts w:ascii="Palatino Linotype" w:eastAsia="Times New Roman" w:hAnsi="Palatino Linotype" w:cs="Arial"/>
          <w:sz w:val="24"/>
          <w:szCs w:val="24"/>
          <w:lang w:val="es-ES" w:eastAsia="es-ES"/>
        </w:rPr>
        <w:t>julio</w:t>
      </w:r>
      <w:r w:rsidR="009E7B8E" w:rsidRPr="00BA20A8">
        <w:rPr>
          <w:rFonts w:ascii="Palatino Linotype" w:eastAsia="Times New Roman" w:hAnsi="Palatino Linotype" w:cs="Arial"/>
          <w:sz w:val="24"/>
          <w:szCs w:val="24"/>
          <w:lang w:val="es-ES" w:eastAsia="es-ES"/>
        </w:rPr>
        <w:t xml:space="preserve"> de 2022 (dos mil veintidós)</w:t>
      </w:r>
      <w:r w:rsidR="009E7B8E">
        <w:rPr>
          <w:rFonts w:ascii="Palatino Linotype" w:eastAsia="Times New Roman" w:hAnsi="Palatino Linotype" w:cs="Arial"/>
          <w:sz w:val="24"/>
          <w:szCs w:val="24"/>
          <w:lang w:val="es-ES" w:eastAsia="es-ES"/>
        </w:rPr>
        <w:t>,</w:t>
      </w:r>
      <w:r w:rsidRPr="003753CC">
        <w:rPr>
          <w:rFonts w:ascii="Palatino Linotype" w:eastAsia="Times New Roman" w:hAnsi="Palatino Linotype" w:cs="Arial"/>
          <w:sz w:val="24"/>
          <w:szCs w:val="24"/>
          <w:lang w:val="es-ES" w:eastAsia="es-ES"/>
        </w:rPr>
        <w:t xml:space="preserve"> el </w:t>
      </w:r>
      <w:r w:rsidRPr="003753CC">
        <w:rPr>
          <w:rFonts w:ascii="Palatino Linotype" w:eastAsia="Times New Roman" w:hAnsi="Palatino Linotype" w:cs="Arial"/>
          <w:sz w:val="24"/>
          <w:szCs w:val="24"/>
          <w:lang w:val="es-ES_tradnl" w:eastAsia="es-ES"/>
        </w:rPr>
        <w:t>recurso de que</w:t>
      </w:r>
      <w:r w:rsidRPr="003753CC">
        <w:rPr>
          <w:rFonts w:ascii="Palatino Linotype" w:eastAsia="Times New Roman" w:hAnsi="Palatino Linotype" w:cs="Arial"/>
          <w:sz w:val="24"/>
          <w:szCs w:val="24"/>
          <w:lang w:val="es-ES" w:eastAsia="es-ES"/>
        </w:rPr>
        <w:t xml:space="preserve"> se trata</w:t>
      </w:r>
      <w:r w:rsidRPr="003753CC">
        <w:rPr>
          <w:rFonts w:ascii="Palatino Linotype" w:eastAsia="Times New Roman" w:hAnsi="Palatino Linotype" w:cs="Arial"/>
          <w:sz w:val="24"/>
          <w:szCs w:val="24"/>
          <w:lang w:val="es-ES_tradnl" w:eastAsia="es-ES"/>
        </w:rPr>
        <w:t xml:space="preserve"> se envió electrónicamente al Instituto de </w:t>
      </w:r>
      <w:r w:rsidRPr="003753CC">
        <w:rPr>
          <w:rFonts w:ascii="Palatino Linotype" w:eastAsia="Arial Unicode MS" w:hAnsi="Palatino Linotype" w:cs="Arial"/>
          <w:sz w:val="24"/>
          <w:szCs w:val="24"/>
          <w:lang w:val="es-ES" w:eastAsia="es-ES"/>
        </w:rPr>
        <w:t>Transparencia</w:t>
      </w:r>
      <w:r w:rsidRPr="003753C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3753CC">
        <w:rPr>
          <w:rFonts w:ascii="Palatino Linotype" w:eastAsia="Times New Roman" w:hAnsi="Palatino Linotype" w:cs="Times New Roman"/>
          <w:sz w:val="24"/>
          <w:szCs w:val="24"/>
          <w:lang w:val="es-ES" w:eastAsia="es-ES"/>
        </w:rPr>
        <w:t>Ley de Transparencia y Acceso a la Información Pública del Estado de México y Municipios</w:t>
      </w:r>
      <w:r w:rsidRPr="003753CC">
        <w:rPr>
          <w:rFonts w:ascii="Palatino Linotype" w:eastAsia="Times New Roman" w:hAnsi="Palatino Linotype" w:cs="Arial"/>
          <w:sz w:val="24"/>
          <w:szCs w:val="24"/>
          <w:lang w:val="es-ES_tradnl" w:eastAsia="es-ES"/>
        </w:rPr>
        <w:t>,</w:t>
      </w:r>
      <w:r>
        <w:rPr>
          <w:rFonts w:ascii="Palatino Linotype" w:eastAsia="Times New Roman" w:hAnsi="Palatino Linotype" w:cs="Arial"/>
          <w:sz w:val="24"/>
          <w:szCs w:val="24"/>
          <w:lang w:val="es-ES_tradnl" w:eastAsia="es-ES"/>
        </w:rPr>
        <w:t xml:space="preserve"> y</w:t>
      </w:r>
      <w:r w:rsidRPr="003753CC">
        <w:rPr>
          <w:rFonts w:ascii="Palatino Linotype" w:eastAsia="Times New Roman" w:hAnsi="Palatino Linotype" w:cs="Arial"/>
          <w:sz w:val="24"/>
          <w:szCs w:val="24"/>
          <w:lang w:val="es-ES_tradnl" w:eastAsia="es-ES"/>
        </w:rPr>
        <w:t xml:space="preserve"> se turn</w:t>
      </w:r>
      <w:r w:rsidR="00823DD3">
        <w:rPr>
          <w:rFonts w:ascii="Palatino Linotype" w:eastAsia="Times New Roman" w:hAnsi="Palatino Linotype" w:cs="Arial"/>
          <w:sz w:val="24"/>
          <w:szCs w:val="24"/>
          <w:lang w:val="es-ES_tradnl" w:eastAsia="es-ES"/>
        </w:rPr>
        <w:t xml:space="preserve">ó </w:t>
      </w:r>
      <w:r w:rsidRPr="003753CC">
        <w:rPr>
          <w:rFonts w:ascii="Palatino Linotype" w:eastAsia="Times New Roman" w:hAnsi="Palatino Linotype" w:cs="Arial"/>
          <w:sz w:val="24"/>
          <w:szCs w:val="24"/>
          <w:lang w:val="es-ES_tradnl" w:eastAsia="es-ES"/>
        </w:rPr>
        <w:t>a través del</w:t>
      </w:r>
      <w:r w:rsidRPr="003753CC">
        <w:rPr>
          <w:rFonts w:ascii="Palatino Linotype" w:eastAsia="Arial Unicode MS" w:hAnsi="Palatino Linotype" w:cs="Arial"/>
          <w:sz w:val="24"/>
          <w:szCs w:val="24"/>
          <w:lang w:val="es-ES_tradnl" w:eastAsia="es-ES"/>
        </w:rPr>
        <w:t xml:space="preserve"> </w:t>
      </w:r>
      <w:r w:rsidRPr="003753CC">
        <w:rPr>
          <w:rFonts w:ascii="Palatino Linotype" w:eastAsia="Arial Unicode MS" w:hAnsi="Palatino Linotype" w:cs="Arial"/>
          <w:b/>
          <w:sz w:val="24"/>
          <w:szCs w:val="24"/>
          <w:lang w:val="es-ES_tradnl" w:eastAsia="es-ES"/>
        </w:rPr>
        <w:t>SAIMEX</w:t>
      </w:r>
      <w:r w:rsidRPr="003753CC">
        <w:rPr>
          <w:rFonts w:ascii="Palatino Linotype" w:eastAsia="Times New Roman" w:hAnsi="Palatino Linotype" w:cs="Times New Roman"/>
          <w:sz w:val="24"/>
          <w:szCs w:val="24"/>
          <w:lang w:val="es-ES" w:eastAsia="es-ES"/>
        </w:rPr>
        <w:t xml:space="preserve"> </w:t>
      </w:r>
      <w:r w:rsidRPr="00CB45F6">
        <w:rPr>
          <w:rFonts w:ascii="Palatino Linotype" w:eastAsia="Times New Roman" w:hAnsi="Palatino Linotype" w:cs="Times New Roman"/>
          <w:sz w:val="24"/>
          <w:szCs w:val="24"/>
          <w:lang w:val="es-ES" w:eastAsia="es-ES"/>
        </w:rPr>
        <w:t xml:space="preserve">al </w:t>
      </w:r>
      <w:r w:rsidRPr="00CB45F6">
        <w:rPr>
          <w:rFonts w:ascii="Palatino Linotype" w:eastAsia="Times New Roman" w:hAnsi="Palatino Linotype" w:cs="Arial"/>
          <w:sz w:val="24"/>
          <w:szCs w:val="24"/>
          <w:lang w:val="es-ES_tradnl" w:eastAsia="es-ES"/>
        </w:rPr>
        <w:t>Comisionado</w:t>
      </w:r>
      <w:r w:rsidR="009E7B8E">
        <w:rPr>
          <w:rFonts w:ascii="Palatino Linotype" w:eastAsia="Times New Roman" w:hAnsi="Palatino Linotype" w:cs="Arial"/>
          <w:sz w:val="24"/>
          <w:szCs w:val="24"/>
          <w:lang w:val="es-ES_tradnl" w:eastAsia="es-ES"/>
        </w:rPr>
        <w:t xml:space="preserve"> Presidente</w:t>
      </w:r>
      <w:r w:rsidRPr="00CB45F6">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b/>
          <w:sz w:val="24"/>
          <w:szCs w:val="24"/>
          <w:lang w:val="es-ES_tradnl" w:eastAsia="es-ES"/>
        </w:rPr>
        <w:t>JOSÉ MARTÍNEZ VILCHIS</w:t>
      </w:r>
      <w:r w:rsidRPr="003753CC">
        <w:rPr>
          <w:rFonts w:ascii="Palatino Linotype" w:eastAsia="Times New Roman" w:hAnsi="Palatino Linotype" w:cs="Arial"/>
          <w:b/>
          <w:sz w:val="24"/>
          <w:szCs w:val="24"/>
          <w:lang w:val="es-ES_tradnl" w:eastAsia="es-ES"/>
        </w:rPr>
        <w:t xml:space="preserve">, </w:t>
      </w:r>
      <w:r w:rsidRPr="003753CC">
        <w:rPr>
          <w:rFonts w:ascii="Palatino Linotype" w:eastAsia="Times New Roman" w:hAnsi="Palatino Linotype" w:cs="Arial"/>
          <w:sz w:val="24"/>
          <w:szCs w:val="24"/>
          <w:lang w:val="es-ES_tradnl" w:eastAsia="es-ES"/>
        </w:rPr>
        <w:t>a efecto de que decretar</w:t>
      </w:r>
      <w:r>
        <w:rPr>
          <w:rFonts w:ascii="Palatino Linotype" w:eastAsia="Times New Roman" w:hAnsi="Palatino Linotype" w:cs="Arial"/>
          <w:sz w:val="24"/>
          <w:szCs w:val="24"/>
          <w:lang w:val="es-ES_tradnl" w:eastAsia="es-ES"/>
        </w:rPr>
        <w:t xml:space="preserve">a </w:t>
      </w:r>
      <w:r w:rsidRPr="003753CC">
        <w:rPr>
          <w:rFonts w:ascii="Palatino Linotype" w:eastAsia="Times New Roman" w:hAnsi="Palatino Linotype" w:cs="Arial"/>
          <w:sz w:val="24"/>
          <w:szCs w:val="24"/>
          <w:lang w:val="es-ES_tradnl" w:eastAsia="es-ES"/>
        </w:rPr>
        <w:t>su admisión o desechamiento.</w:t>
      </w:r>
    </w:p>
    <w:p w:rsidR="008A5D99" w:rsidRPr="003753CC" w:rsidRDefault="008A5D99" w:rsidP="00F24A91">
      <w:pPr>
        <w:spacing w:after="0" w:line="360" w:lineRule="auto"/>
        <w:ind w:right="49"/>
        <w:jc w:val="both"/>
        <w:rPr>
          <w:rFonts w:ascii="Palatino Linotype" w:eastAsia="Times New Roman" w:hAnsi="Palatino Linotype" w:cs="Arial"/>
          <w:sz w:val="24"/>
          <w:szCs w:val="24"/>
          <w:lang w:val="es-ES_tradnl" w:eastAsia="es-ES"/>
        </w:rPr>
      </w:pPr>
    </w:p>
    <w:p w:rsidR="008A5D99" w:rsidRPr="003753CC" w:rsidRDefault="008A5D99" w:rsidP="00F24A91">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QUINTO</w:t>
      </w:r>
      <w:r w:rsidRPr="003753CC">
        <w:rPr>
          <w:rFonts w:ascii="Palatino Linotype" w:eastAsia="Times New Roman" w:hAnsi="Palatino Linotype" w:cs="Arial"/>
          <w:b/>
          <w:sz w:val="28"/>
          <w:szCs w:val="28"/>
          <w:lang w:val="es-ES_tradnl" w:eastAsia="es-ES"/>
        </w:rPr>
        <w:t xml:space="preserve">. </w:t>
      </w:r>
      <w:r w:rsidRPr="003753CC">
        <w:rPr>
          <w:rFonts w:ascii="Palatino Linotype" w:eastAsia="Times New Roman" w:hAnsi="Palatino Linotype" w:cs="Arial"/>
          <w:sz w:val="24"/>
          <w:szCs w:val="24"/>
          <w:lang w:val="es-ES_tradnl" w:eastAsia="es-ES"/>
        </w:rPr>
        <w:t>E</w:t>
      </w:r>
      <w:r w:rsidRPr="003753CC">
        <w:rPr>
          <w:rFonts w:ascii="Palatino Linotype" w:eastAsia="Times New Roman" w:hAnsi="Palatino Linotype" w:cs="Arial"/>
          <w:sz w:val="24"/>
          <w:szCs w:val="24"/>
          <w:lang w:val="es-ES" w:eastAsia="es-ES"/>
        </w:rPr>
        <w:t xml:space="preserve">n fecha </w:t>
      </w:r>
      <w:r w:rsidR="009E7B8E">
        <w:rPr>
          <w:rFonts w:ascii="Palatino Linotype" w:eastAsia="Times New Roman" w:hAnsi="Palatino Linotype" w:cs="Arial"/>
          <w:sz w:val="24"/>
          <w:szCs w:val="24"/>
          <w:lang w:val="es-ES" w:eastAsia="es-ES"/>
        </w:rPr>
        <w:t>08 (ocho</w:t>
      </w:r>
      <w:r w:rsidR="009E7B8E" w:rsidRPr="00BA20A8">
        <w:rPr>
          <w:rFonts w:ascii="Palatino Linotype" w:eastAsia="Times New Roman" w:hAnsi="Palatino Linotype" w:cs="Arial"/>
          <w:sz w:val="24"/>
          <w:szCs w:val="24"/>
          <w:lang w:val="es-ES" w:eastAsia="es-ES"/>
        </w:rPr>
        <w:t xml:space="preserve">) de </w:t>
      </w:r>
      <w:r w:rsidR="009E7B8E">
        <w:rPr>
          <w:rFonts w:ascii="Palatino Linotype" w:eastAsia="Times New Roman" w:hAnsi="Palatino Linotype" w:cs="Arial"/>
          <w:sz w:val="24"/>
          <w:szCs w:val="24"/>
          <w:lang w:val="es-ES" w:eastAsia="es-ES"/>
        </w:rPr>
        <w:t>julio</w:t>
      </w:r>
      <w:r w:rsidR="009E7B8E" w:rsidRPr="00BA20A8">
        <w:rPr>
          <w:rFonts w:ascii="Palatino Linotype" w:eastAsia="Times New Roman" w:hAnsi="Palatino Linotype" w:cs="Arial"/>
          <w:sz w:val="24"/>
          <w:szCs w:val="24"/>
          <w:lang w:val="es-ES" w:eastAsia="es-ES"/>
        </w:rPr>
        <w:t xml:space="preserve"> de 2022 (dos mil veintidós)</w:t>
      </w:r>
      <w:r w:rsidR="009E7B8E">
        <w:rPr>
          <w:rFonts w:ascii="Palatino Linotype" w:eastAsia="Times New Roman" w:hAnsi="Palatino Linotype" w:cs="Arial"/>
          <w:sz w:val="24"/>
          <w:szCs w:val="24"/>
          <w:lang w:val="es-ES" w:eastAsia="es-ES"/>
        </w:rPr>
        <w:t>,</w:t>
      </w:r>
      <w:r w:rsidRPr="003753CC">
        <w:rPr>
          <w:rFonts w:ascii="Palatino Linotype" w:eastAsia="Times New Roman" w:hAnsi="Palatino Linotype" w:cs="Arial"/>
          <w:sz w:val="24"/>
          <w:szCs w:val="24"/>
          <w:lang w:val="es-ES" w:eastAsia="es-ES"/>
        </w:rPr>
        <w:t xml:space="preserve"> atento a lo dispuesto en el </w:t>
      </w:r>
      <w:r w:rsidRPr="003753CC">
        <w:rPr>
          <w:rFonts w:ascii="Palatino Linotype" w:eastAsia="Times New Roman" w:hAnsi="Palatino Linotype" w:cs="Arial"/>
          <w:sz w:val="24"/>
          <w:szCs w:val="24"/>
          <w:lang w:val="es-ES_tradnl" w:eastAsia="es-ES"/>
        </w:rPr>
        <w:t>artículo</w:t>
      </w:r>
      <w:r w:rsidRPr="003753CC">
        <w:rPr>
          <w:rFonts w:ascii="Palatino Linotype" w:eastAsia="Times New Roman" w:hAnsi="Palatino Linotype" w:cs="Arial"/>
          <w:sz w:val="24"/>
          <w:szCs w:val="24"/>
          <w:lang w:val="es-ES" w:eastAsia="es-ES"/>
        </w:rPr>
        <w:t xml:space="preserve"> 185 fracciones I, II y IV </w:t>
      </w:r>
      <w:r w:rsidRPr="003753CC">
        <w:rPr>
          <w:rFonts w:ascii="Palatino Linotype" w:eastAsia="Times New Roman" w:hAnsi="Palatino Linotype" w:cs="Arial"/>
          <w:sz w:val="24"/>
          <w:szCs w:val="24"/>
          <w:lang w:val="es-ES_tradnl" w:eastAsia="es-ES"/>
        </w:rPr>
        <w:t xml:space="preserve">de la </w:t>
      </w:r>
      <w:r w:rsidRPr="003753CC">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3753CC">
        <w:rPr>
          <w:rFonts w:ascii="Palatino Linotype" w:eastAsia="Times New Roman" w:hAnsi="Palatino Linotype" w:cs="Arial"/>
          <w:sz w:val="24"/>
          <w:szCs w:val="24"/>
          <w:lang w:val="es-ES" w:eastAsia="es-ES"/>
        </w:rPr>
        <w:t xml:space="preserve">cordó la admisión a trámite </w:t>
      </w:r>
      <w:r w:rsidR="00823DD3">
        <w:rPr>
          <w:rFonts w:ascii="Palatino Linotype" w:eastAsia="Times New Roman" w:hAnsi="Palatino Linotype" w:cs="Arial"/>
          <w:sz w:val="24"/>
          <w:szCs w:val="24"/>
          <w:lang w:val="es-ES" w:eastAsia="es-ES"/>
        </w:rPr>
        <w:t>e</w:t>
      </w:r>
      <w:r w:rsidRPr="003753CC">
        <w:rPr>
          <w:rFonts w:ascii="Palatino Linotype" w:eastAsia="Times New Roman" w:hAnsi="Palatino Linotype" w:cs="Arial"/>
          <w:sz w:val="24"/>
          <w:szCs w:val="24"/>
          <w:lang w:val="es-ES" w:eastAsia="es-ES"/>
        </w:rPr>
        <w:t>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rsidR="008A5D99"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3753CC" w:rsidRDefault="008A5D99" w:rsidP="00F24A91">
      <w:pPr>
        <w:spacing w:after="0" w:line="360" w:lineRule="auto"/>
        <w:jc w:val="both"/>
        <w:rPr>
          <w:rFonts w:ascii="Palatino Linotype" w:hAnsi="Palatino Linotype" w:cs="Arial"/>
          <w:sz w:val="24"/>
          <w:szCs w:val="24"/>
        </w:rPr>
      </w:pPr>
      <w:r>
        <w:rPr>
          <w:rFonts w:ascii="Palatino Linotype" w:hAnsi="Palatino Linotype" w:cs="Arial"/>
          <w:b/>
          <w:sz w:val="28"/>
          <w:szCs w:val="28"/>
        </w:rPr>
        <w:t>SEXTO</w:t>
      </w:r>
      <w:r w:rsidRPr="003753CC">
        <w:rPr>
          <w:rFonts w:ascii="Palatino Linotype" w:hAnsi="Palatino Linotype" w:cs="Arial"/>
          <w:b/>
          <w:sz w:val="28"/>
          <w:szCs w:val="28"/>
        </w:rPr>
        <w:t xml:space="preserve">. </w:t>
      </w:r>
      <w:r w:rsidRPr="003753CC">
        <w:rPr>
          <w:rFonts w:ascii="Palatino Linotype" w:hAnsi="Palatino Linotype" w:cs="Arial"/>
          <w:sz w:val="24"/>
          <w:szCs w:val="24"/>
        </w:rPr>
        <w:t xml:space="preserve">Una vez abierta la etapa </w:t>
      </w:r>
      <w:r>
        <w:rPr>
          <w:rFonts w:ascii="Palatino Linotype" w:hAnsi="Palatino Linotype" w:cs="Arial"/>
          <w:sz w:val="24"/>
          <w:szCs w:val="24"/>
        </w:rPr>
        <w:t>de instrucción, se advierte que</w:t>
      </w:r>
      <w:r w:rsidR="00823DD3">
        <w:rPr>
          <w:rFonts w:ascii="Palatino Linotype" w:hAnsi="Palatino Linotype" w:cs="Arial"/>
          <w:sz w:val="24"/>
          <w:szCs w:val="24"/>
        </w:rPr>
        <w:t xml:space="preserve"> tanto</w:t>
      </w:r>
      <w:r>
        <w:rPr>
          <w:rFonts w:ascii="Palatino Linotype" w:hAnsi="Palatino Linotype" w:cs="Arial"/>
          <w:sz w:val="24"/>
          <w:szCs w:val="24"/>
        </w:rPr>
        <w:t xml:space="preserve"> </w:t>
      </w:r>
      <w:r w:rsidRPr="003753CC">
        <w:rPr>
          <w:rFonts w:ascii="Palatino Linotype" w:hAnsi="Palatino Linotype" w:cs="Arial"/>
          <w:sz w:val="24"/>
          <w:szCs w:val="24"/>
        </w:rPr>
        <w:t xml:space="preserve">el </w:t>
      </w:r>
      <w:r w:rsidRPr="003753CC">
        <w:rPr>
          <w:rFonts w:ascii="Palatino Linotype" w:hAnsi="Palatino Linotype" w:cs="Arial"/>
          <w:b/>
          <w:sz w:val="24"/>
          <w:szCs w:val="24"/>
        </w:rPr>
        <w:t>Sujeto Obligado</w:t>
      </w:r>
      <w:r w:rsidRPr="003753CC">
        <w:rPr>
          <w:rFonts w:ascii="Palatino Linotype" w:hAnsi="Palatino Linotype" w:cs="Arial"/>
          <w:sz w:val="24"/>
          <w:szCs w:val="24"/>
        </w:rPr>
        <w:t xml:space="preserve"> </w:t>
      </w:r>
      <w:r w:rsidR="00823DD3">
        <w:rPr>
          <w:rFonts w:ascii="Palatino Linotype" w:hAnsi="Palatino Linotype" w:cs="Arial"/>
          <w:sz w:val="24"/>
          <w:szCs w:val="24"/>
        </w:rPr>
        <w:t xml:space="preserve">como el </w:t>
      </w:r>
      <w:r w:rsidR="00823DD3" w:rsidRPr="00823DD3">
        <w:rPr>
          <w:rFonts w:ascii="Palatino Linotype" w:hAnsi="Palatino Linotype" w:cs="Arial"/>
          <w:b/>
          <w:sz w:val="24"/>
          <w:szCs w:val="24"/>
        </w:rPr>
        <w:t>Recurrente</w:t>
      </w:r>
      <w:r w:rsidR="00823DD3">
        <w:rPr>
          <w:rFonts w:ascii="Palatino Linotype" w:hAnsi="Palatino Linotype" w:cs="Arial"/>
          <w:sz w:val="24"/>
          <w:szCs w:val="24"/>
        </w:rPr>
        <w:t xml:space="preserve">, fueron omisos en rendir </w:t>
      </w:r>
      <w:r>
        <w:rPr>
          <w:rFonts w:ascii="Palatino Linotype" w:hAnsi="Palatino Linotype" w:cs="Arial"/>
          <w:sz w:val="24"/>
          <w:szCs w:val="24"/>
        </w:rPr>
        <w:t>su informe justificado</w:t>
      </w:r>
      <w:r w:rsidR="00823DD3">
        <w:rPr>
          <w:rFonts w:ascii="Palatino Linotype" w:hAnsi="Palatino Linotype" w:cs="Arial"/>
          <w:sz w:val="24"/>
          <w:szCs w:val="24"/>
        </w:rPr>
        <w:t xml:space="preserve"> y las manifestaciones que a sus intereses conviniera, respectivamente</w:t>
      </w:r>
      <w:r w:rsidR="00E833BD">
        <w:rPr>
          <w:rFonts w:ascii="Palatino Linotype" w:hAnsi="Palatino Linotype" w:cs="Arial"/>
          <w:sz w:val="24"/>
          <w:szCs w:val="24"/>
        </w:rPr>
        <w:t xml:space="preserve">. </w:t>
      </w:r>
      <w:r w:rsidRPr="003753CC">
        <w:rPr>
          <w:rFonts w:ascii="Palatino Linotype" w:hAnsi="Palatino Linotype" w:cs="Arial"/>
          <w:sz w:val="24"/>
          <w:szCs w:val="24"/>
        </w:rPr>
        <w:t xml:space="preserve">Por lo que una vez transcurrido </w:t>
      </w:r>
      <w:r w:rsidR="00E833BD">
        <w:rPr>
          <w:rFonts w:ascii="Palatino Linotype" w:hAnsi="Palatino Linotype" w:cs="Arial"/>
          <w:sz w:val="24"/>
          <w:szCs w:val="24"/>
        </w:rPr>
        <w:t>e</w:t>
      </w:r>
      <w:r w:rsidRPr="003753CC">
        <w:rPr>
          <w:rFonts w:ascii="Palatino Linotype" w:hAnsi="Palatino Linotype" w:cs="Arial"/>
          <w:sz w:val="24"/>
          <w:szCs w:val="24"/>
        </w:rPr>
        <w:t xml:space="preserve">l periodo otorgado a las partes de siete días hábiles para realizar sus manifestaciones en el acuerdo de admisión, y no habiendo prueba pendiente por </w:t>
      </w:r>
      <w:r w:rsidRPr="003753CC">
        <w:rPr>
          <w:rFonts w:ascii="Palatino Linotype" w:hAnsi="Palatino Linotype" w:cs="Arial"/>
          <w:sz w:val="24"/>
          <w:szCs w:val="24"/>
        </w:rPr>
        <w:lastRenderedPageBreak/>
        <w:t xml:space="preserve">desahogar, ni que documentos que integrar al expediente electrónico, se decretó el cierre de instrucción en fecha </w:t>
      </w:r>
      <w:r w:rsidR="009E7B8E">
        <w:rPr>
          <w:rFonts w:ascii="Palatino Linotype" w:hAnsi="Palatino Linotype" w:cs="Arial"/>
          <w:sz w:val="24"/>
          <w:szCs w:val="24"/>
        </w:rPr>
        <w:t>04</w:t>
      </w:r>
      <w:r>
        <w:rPr>
          <w:rFonts w:ascii="Palatino Linotype" w:hAnsi="Palatino Linotype" w:cs="Arial"/>
          <w:sz w:val="24"/>
          <w:szCs w:val="24"/>
        </w:rPr>
        <w:t xml:space="preserve"> (</w:t>
      </w:r>
      <w:r w:rsidR="009E7B8E">
        <w:rPr>
          <w:rFonts w:ascii="Palatino Linotype" w:hAnsi="Palatino Linotype" w:cs="Arial"/>
          <w:sz w:val="24"/>
          <w:szCs w:val="24"/>
        </w:rPr>
        <w:t>cuatro</w:t>
      </w:r>
      <w:r>
        <w:rPr>
          <w:rFonts w:ascii="Palatino Linotype" w:hAnsi="Palatino Linotype" w:cs="Arial"/>
          <w:sz w:val="24"/>
          <w:szCs w:val="24"/>
        </w:rPr>
        <w:t xml:space="preserve">) de </w:t>
      </w:r>
      <w:r w:rsidR="009E7B8E">
        <w:rPr>
          <w:rFonts w:ascii="Palatino Linotype" w:hAnsi="Palatino Linotype" w:cs="Arial"/>
          <w:sz w:val="24"/>
          <w:szCs w:val="24"/>
        </w:rPr>
        <w:t>agosto</w:t>
      </w:r>
      <w:r>
        <w:rPr>
          <w:rFonts w:ascii="Palatino Linotype" w:hAnsi="Palatino Linotype" w:cs="Arial"/>
          <w:sz w:val="24"/>
          <w:szCs w:val="24"/>
        </w:rPr>
        <w:t xml:space="preserve"> </w:t>
      </w:r>
      <w:r w:rsidRPr="003753CC">
        <w:rPr>
          <w:rFonts w:ascii="Palatino Linotype" w:hAnsi="Palatino Linotype" w:cs="Arial"/>
          <w:sz w:val="24"/>
          <w:szCs w:val="24"/>
        </w:rPr>
        <w:t xml:space="preserve">de </w:t>
      </w:r>
      <w:r>
        <w:rPr>
          <w:rFonts w:ascii="Palatino Linotype" w:hAnsi="Palatino Linotype" w:cs="Arial"/>
          <w:sz w:val="24"/>
          <w:szCs w:val="24"/>
        </w:rPr>
        <w:t>2022 (</w:t>
      </w:r>
      <w:r w:rsidRPr="003753CC">
        <w:rPr>
          <w:rFonts w:ascii="Palatino Linotype" w:hAnsi="Palatino Linotype" w:cs="Arial"/>
          <w:sz w:val="24"/>
          <w:szCs w:val="24"/>
        </w:rPr>
        <w:t>dos mil veintidós</w:t>
      </w:r>
      <w:r>
        <w:rPr>
          <w:rFonts w:ascii="Palatino Linotype" w:hAnsi="Palatino Linotype" w:cs="Arial"/>
          <w:sz w:val="24"/>
          <w:szCs w:val="24"/>
        </w:rPr>
        <w:t>)</w:t>
      </w:r>
      <w:r w:rsidRPr="003753CC">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rsidR="008A5D99" w:rsidRDefault="008A5D99" w:rsidP="00F24A91">
      <w:pPr>
        <w:spacing w:after="0" w:line="360" w:lineRule="auto"/>
        <w:jc w:val="both"/>
        <w:rPr>
          <w:rFonts w:ascii="Palatino Linotype" w:hAnsi="Palatino Linotype" w:cs="Arial"/>
          <w:sz w:val="24"/>
          <w:szCs w:val="24"/>
        </w:rPr>
      </w:pPr>
    </w:p>
    <w:p w:rsidR="008A5D99" w:rsidRPr="003753CC" w:rsidRDefault="008A5D99" w:rsidP="00F24A91">
      <w:pPr>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Pr="003753CC">
        <w:rPr>
          <w:rFonts w:ascii="Palatino Linotype" w:hAnsi="Palatino Linotype" w:cs="Arial"/>
          <w:b/>
          <w:sz w:val="28"/>
          <w:szCs w:val="28"/>
        </w:rPr>
        <w:t xml:space="preserve">. </w:t>
      </w:r>
      <w:r w:rsidRPr="003753CC">
        <w:rPr>
          <w:rFonts w:ascii="Palatino Linotype" w:hAnsi="Palatino Linotype" w:cs="Arial"/>
          <w:sz w:val="24"/>
          <w:szCs w:val="24"/>
        </w:rPr>
        <w:t xml:space="preserve">De las constancias que integran el expediente electrónico , se advierte que ha transcurrido el término de Ley, para la emisión de la resolución en el presente recurso de revisión, por lo que en fecha </w:t>
      </w:r>
      <w:r w:rsidR="009E7B8E">
        <w:rPr>
          <w:rFonts w:ascii="Palatino Linotype" w:hAnsi="Palatino Linotype" w:cs="Arial"/>
          <w:sz w:val="24"/>
          <w:szCs w:val="24"/>
        </w:rPr>
        <w:t>02</w:t>
      </w:r>
      <w:r>
        <w:rPr>
          <w:rFonts w:ascii="Palatino Linotype" w:hAnsi="Palatino Linotype" w:cs="Arial"/>
          <w:sz w:val="24"/>
          <w:szCs w:val="24"/>
        </w:rPr>
        <w:t xml:space="preserve"> (</w:t>
      </w:r>
      <w:r w:rsidR="009E7B8E">
        <w:rPr>
          <w:rFonts w:ascii="Palatino Linotype" w:hAnsi="Palatino Linotype" w:cs="Arial"/>
          <w:sz w:val="24"/>
          <w:szCs w:val="24"/>
        </w:rPr>
        <w:t>dos</w:t>
      </w:r>
      <w:r>
        <w:rPr>
          <w:rFonts w:ascii="Palatino Linotype" w:hAnsi="Palatino Linotype" w:cs="Arial"/>
          <w:sz w:val="24"/>
          <w:szCs w:val="24"/>
        </w:rPr>
        <w:t xml:space="preserve">) de </w:t>
      </w:r>
      <w:r w:rsidR="009E7B8E">
        <w:rPr>
          <w:rFonts w:ascii="Palatino Linotype" w:hAnsi="Palatino Linotype" w:cs="Arial"/>
          <w:sz w:val="24"/>
          <w:szCs w:val="24"/>
        </w:rPr>
        <w:t>septiembre</w:t>
      </w:r>
      <w:r w:rsidR="00E833BD">
        <w:rPr>
          <w:rFonts w:ascii="Palatino Linotype" w:hAnsi="Palatino Linotype" w:cs="Arial"/>
          <w:sz w:val="24"/>
          <w:szCs w:val="24"/>
        </w:rPr>
        <w:t xml:space="preserve"> </w:t>
      </w:r>
      <w:r w:rsidRPr="003753CC">
        <w:rPr>
          <w:rFonts w:ascii="Palatino Linotype" w:hAnsi="Palatino Linotype" w:cs="Arial"/>
          <w:sz w:val="24"/>
          <w:szCs w:val="24"/>
        </w:rPr>
        <w:t>de</w:t>
      </w:r>
      <w:r>
        <w:rPr>
          <w:rFonts w:ascii="Palatino Linotype" w:hAnsi="Palatino Linotype" w:cs="Arial"/>
          <w:sz w:val="24"/>
          <w:szCs w:val="24"/>
        </w:rPr>
        <w:t xml:space="preserve"> 2022</w:t>
      </w:r>
      <w:r w:rsidRPr="003753CC">
        <w:rPr>
          <w:rFonts w:ascii="Palatino Linotype" w:hAnsi="Palatino Linotype" w:cs="Arial"/>
          <w:sz w:val="24"/>
          <w:szCs w:val="24"/>
        </w:rPr>
        <w:t xml:space="preserve"> </w:t>
      </w:r>
      <w:r>
        <w:rPr>
          <w:rFonts w:ascii="Palatino Linotype" w:hAnsi="Palatino Linotype" w:cs="Arial"/>
          <w:sz w:val="24"/>
          <w:szCs w:val="24"/>
        </w:rPr>
        <w:t>(</w:t>
      </w:r>
      <w:r w:rsidRPr="003753CC">
        <w:rPr>
          <w:rFonts w:ascii="Palatino Linotype" w:hAnsi="Palatino Linotype" w:cs="Arial"/>
          <w:sz w:val="24"/>
          <w:szCs w:val="24"/>
        </w:rPr>
        <w:t>dos mil veintidós</w:t>
      </w:r>
      <w:r>
        <w:rPr>
          <w:rFonts w:ascii="Palatino Linotype" w:hAnsi="Palatino Linotype" w:cs="Arial"/>
          <w:sz w:val="24"/>
          <w:szCs w:val="24"/>
        </w:rPr>
        <w:t>)</w:t>
      </w:r>
      <w:r w:rsidRPr="003753CC">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8A5D99" w:rsidRDefault="008A5D99" w:rsidP="00F24A91">
      <w:pPr>
        <w:spacing w:after="0" w:line="360" w:lineRule="auto"/>
        <w:jc w:val="both"/>
        <w:rPr>
          <w:rFonts w:ascii="Palatino Linotype" w:hAnsi="Palatino Linotype" w:cs="Arial"/>
          <w:sz w:val="24"/>
          <w:szCs w:val="24"/>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 </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591A17">
        <w:rPr>
          <w:rFonts w:ascii="Palatino Linotype" w:eastAsia="Times New Roman" w:hAnsi="Palatino Linotype" w:cs="Arial"/>
          <w:sz w:val="24"/>
          <w:szCs w:val="24"/>
          <w:lang w:val="es-ES" w:eastAsia="es-ES"/>
        </w:rPr>
        <w:lastRenderedPageBreak/>
        <w:t>razonabilidad de asuntos conforme a los parámetros establecidos por diversos órganos jurisdiccionales federales, aplicables también en procedimientos análogos, como el que nos ocupa.</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 </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 </w:t>
      </w:r>
    </w:p>
    <w:p w:rsidR="008A5D99" w:rsidRPr="00591A17" w:rsidRDefault="008A5D99" w:rsidP="00F24A91">
      <w:pPr>
        <w:spacing w:after="0" w:line="360" w:lineRule="auto"/>
        <w:ind w:left="993" w:right="49" w:hanging="426"/>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b/>
          <w:sz w:val="24"/>
          <w:szCs w:val="24"/>
          <w:lang w:val="es-ES" w:eastAsia="es-ES"/>
        </w:rPr>
        <w:t xml:space="preserve">a) </w:t>
      </w:r>
      <w:r w:rsidRPr="00591A17">
        <w:rPr>
          <w:rFonts w:ascii="Palatino Linotype" w:eastAsia="Times New Roman" w:hAnsi="Palatino Linotype" w:cs="Arial"/>
          <w:b/>
          <w:sz w:val="24"/>
          <w:szCs w:val="24"/>
          <w:lang w:val="es-ES" w:eastAsia="es-ES"/>
        </w:rPr>
        <w:tab/>
        <w:t>Complejidad del asunto:</w:t>
      </w:r>
      <w:r w:rsidRPr="00591A17">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8A5D99" w:rsidRPr="00591A17" w:rsidRDefault="008A5D99" w:rsidP="00F24A91">
      <w:pPr>
        <w:spacing w:after="0" w:line="360" w:lineRule="auto"/>
        <w:ind w:left="993" w:right="49" w:hanging="426"/>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b/>
          <w:sz w:val="24"/>
          <w:szCs w:val="24"/>
          <w:lang w:val="es-ES" w:eastAsia="es-ES"/>
        </w:rPr>
        <w:t xml:space="preserve">b) </w:t>
      </w:r>
      <w:r w:rsidRPr="00591A17">
        <w:rPr>
          <w:rFonts w:ascii="Palatino Linotype" w:eastAsia="Times New Roman" w:hAnsi="Palatino Linotype" w:cs="Arial"/>
          <w:b/>
          <w:sz w:val="24"/>
          <w:szCs w:val="24"/>
          <w:lang w:val="es-ES" w:eastAsia="es-ES"/>
        </w:rPr>
        <w:tab/>
        <w:t>Actividad Procesal del interesado:</w:t>
      </w:r>
      <w:r w:rsidRPr="00591A17">
        <w:rPr>
          <w:rFonts w:ascii="Palatino Linotype" w:eastAsia="Times New Roman" w:hAnsi="Palatino Linotype" w:cs="Arial"/>
          <w:sz w:val="24"/>
          <w:szCs w:val="24"/>
          <w:lang w:val="es-ES" w:eastAsia="es-ES"/>
        </w:rPr>
        <w:t xml:space="preserve"> Acciones u omisiones del interesado.</w:t>
      </w:r>
    </w:p>
    <w:p w:rsidR="008A5D99" w:rsidRPr="00591A17" w:rsidRDefault="008A5D99" w:rsidP="00F24A91">
      <w:pPr>
        <w:spacing w:after="0" w:line="360" w:lineRule="auto"/>
        <w:ind w:left="993" w:right="49" w:hanging="426"/>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b/>
          <w:sz w:val="24"/>
          <w:szCs w:val="24"/>
          <w:lang w:val="es-ES" w:eastAsia="es-ES"/>
        </w:rPr>
        <w:t xml:space="preserve">c) </w:t>
      </w:r>
      <w:r w:rsidRPr="00591A17">
        <w:rPr>
          <w:rFonts w:ascii="Palatino Linotype" w:eastAsia="Times New Roman" w:hAnsi="Palatino Linotype" w:cs="Arial"/>
          <w:b/>
          <w:sz w:val="24"/>
          <w:szCs w:val="24"/>
          <w:lang w:val="es-ES" w:eastAsia="es-ES"/>
        </w:rPr>
        <w:tab/>
        <w:t>Conducta de la Autoridad:</w:t>
      </w:r>
      <w:r w:rsidRPr="00591A17">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8A5D99" w:rsidRPr="00591A17" w:rsidRDefault="008A5D99" w:rsidP="00F24A91">
      <w:pPr>
        <w:spacing w:after="0" w:line="360" w:lineRule="auto"/>
        <w:ind w:left="993" w:right="49" w:hanging="426"/>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b/>
          <w:sz w:val="24"/>
          <w:szCs w:val="24"/>
          <w:lang w:val="es-ES" w:eastAsia="es-ES"/>
        </w:rPr>
        <w:lastRenderedPageBreak/>
        <w:t xml:space="preserve">d) </w:t>
      </w:r>
      <w:r w:rsidRPr="00591A17">
        <w:rPr>
          <w:rFonts w:ascii="Palatino Linotype" w:eastAsia="Times New Roman" w:hAnsi="Palatino Linotype" w:cs="Arial"/>
          <w:b/>
          <w:sz w:val="24"/>
          <w:szCs w:val="24"/>
          <w:lang w:val="es-ES" w:eastAsia="es-ES"/>
        </w:rPr>
        <w:tab/>
        <w:t>La afectación generada en la situación jurídica de la persona involucrada en el proceso:</w:t>
      </w:r>
      <w:r w:rsidRPr="00591A17">
        <w:rPr>
          <w:rFonts w:ascii="Palatino Linotype" w:eastAsia="Times New Roman" w:hAnsi="Palatino Linotype" w:cs="Arial"/>
          <w:sz w:val="24"/>
          <w:szCs w:val="24"/>
          <w:lang w:val="es-ES" w:eastAsia="es-ES"/>
        </w:rPr>
        <w:t xml:space="preserve"> Violación a sus derechos humanos.</w:t>
      </w:r>
    </w:p>
    <w:p w:rsidR="009E7B8E" w:rsidRDefault="009E7B8E"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91A17">
        <w:rPr>
          <w:rFonts w:ascii="Palatino Linotype" w:eastAsia="Times New Roman" w:hAnsi="Palatino Linotype" w:cs="Arial"/>
          <w:sz w:val="24"/>
          <w:szCs w:val="24"/>
          <w:lang w:val="es-ES" w:eastAsia="es-ES"/>
        </w:rPr>
        <w:lastRenderedPageBreak/>
        <w:t>desahogadas por las partes; lo que impide la tramitación de los recursos dentro de los términos legales previamente establecidos por la Ley, por tratarse de causas de fuerza mayor.</w:t>
      </w:r>
    </w:p>
    <w:p w:rsidR="009E7B8E" w:rsidRDefault="009E7B8E"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 xml:space="preserve"> </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p>
    <w:p w:rsidR="008A5D99" w:rsidRPr="00591A17" w:rsidRDefault="008A5D99" w:rsidP="00F24A91">
      <w:pPr>
        <w:spacing w:after="0" w:line="360" w:lineRule="auto"/>
        <w:ind w:right="49"/>
        <w:jc w:val="both"/>
        <w:rPr>
          <w:rFonts w:ascii="Palatino Linotype" w:eastAsia="Times New Roman" w:hAnsi="Palatino Linotype" w:cs="Arial"/>
          <w:sz w:val="24"/>
          <w:szCs w:val="24"/>
          <w:lang w:val="es-ES" w:eastAsia="es-ES"/>
        </w:rPr>
      </w:pPr>
      <w:r w:rsidRPr="00591A17">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8A5D99" w:rsidRDefault="008A5D99" w:rsidP="00F24A91">
      <w:pPr>
        <w:spacing w:after="0" w:line="360" w:lineRule="auto"/>
        <w:jc w:val="both"/>
        <w:rPr>
          <w:rFonts w:ascii="Palatino Linotype" w:hAnsi="Palatino Linotype" w:cs="Arial"/>
          <w:sz w:val="24"/>
          <w:szCs w:val="24"/>
        </w:rPr>
      </w:pPr>
    </w:p>
    <w:p w:rsidR="008A5D99" w:rsidRPr="003753CC" w:rsidRDefault="008A5D99" w:rsidP="00F24A91">
      <w:pPr>
        <w:spacing w:after="0" w:line="360" w:lineRule="auto"/>
        <w:jc w:val="center"/>
        <w:rPr>
          <w:rFonts w:ascii="Palatino Linotype" w:hAnsi="Palatino Linotype" w:cs="Arial"/>
          <w:sz w:val="24"/>
          <w:szCs w:val="24"/>
        </w:rPr>
      </w:pPr>
      <w:r w:rsidRPr="003753CC">
        <w:rPr>
          <w:rFonts w:ascii="Palatino Linotype" w:hAnsi="Palatino Linotype" w:cs="Arial"/>
          <w:b/>
          <w:sz w:val="28"/>
          <w:szCs w:val="24"/>
        </w:rPr>
        <w:t xml:space="preserve">C O N S I D E R A N D O </w:t>
      </w:r>
    </w:p>
    <w:p w:rsidR="008A5D99" w:rsidRPr="003753CC" w:rsidRDefault="008A5D99" w:rsidP="00F24A91">
      <w:pPr>
        <w:spacing w:after="0" w:line="360" w:lineRule="auto"/>
        <w:jc w:val="center"/>
        <w:rPr>
          <w:rFonts w:ascii="Palatino Linotype" w:hAnsi="Palatino Linotype" w:cs="Arial"/>
          <w:sz w:val="24"/>
          <w:szCs w:val="24"/>
        </w:rPr>
      </w:pPr>
    </w:p>
    <w:p w:rsidR="008A5D99" w:rsidRPr="003753CC" w:rsidRDefault="008A5D99" w:rsidP="00F24A91">
      <w:pPr>
        <w:spacing w:after="0" w:line="360" w:lineRule="auto"/>
        <w:jc w:val="both"/>
        <w:rPr>
          <w:rFonts w:ascii="Palatino Linotype" w:hAnsi="Palatino Linotype" w:cs="Arial"/>
          <w:sz w:val="28"/>
          <w:szCs w:val="28"/>
        </w:rPr>
      </w:pPr>
      <w:r w:rsidRPr="003753CC">
        <w:rPr>
          <w:rFonts w:ascii="Palatino Linotype" w:hAnsi="Palatino Linotype" w:cs="Arial"/>
          <w:b/>
          <w:sz w:val="28"/>
          <w:szCs w:val="28"/>
        </w:rPr>
        <w:t xml:space="preserve">PRIMERO. </w:t>
      </w:r>
      <w:r w:rsidRPr="003753CC">
        <w:rPr>
          <w:rFonts w:ascii="Palatino Linotype" w:hAnsi="Palatino Linotype" w:cs="Arial"/>
          <w:b/>
          <w:sz w:val="26"/>
          <w:szCs w:val="26"/>
        </w:rPr>
        <w:t>De la competencia</w:t>
      </w:r>
      <w:r w:rsidRPr="003753CC">
        <w:rPr>
          <w:rFonts w:ascii="Palatino Linotype" w:hAnsi="Palatino Linotype" w:cs="Arial"/>
          <w:sz w:val="26"/>
          <w:szCs w:val="26"/>
        </w:rPr>
        <w:t>.</w:t>
      </w:r>
    </w:p>
    <w:p w:rsidR="008A5D99" w:rsidRPr="003753CC"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lastRenderedPageBreak/>
        <w:t xml:space="preserve">Este Instituto de Transparencia, Acceso a la Información Pública y Protección de Datos Personales del Estado de México y Municipios, es competente para conocer y resolver los presentes recursos de revisión interpuestos por el ahora </w:t>
      </w:r>
      <w:r w:rsidRPr="003753CC">
        <w:rPr>
          <w:rFonts w:ascii="Palatino Linotype" w:hAnsi="Palatino Linotype" w:cs="Arial"/>
          <w:b/>
          <w:sz w:val="24"/>
          <w:szCs w:val="24"/>
        </w:rPr>
        <w:t>Recurrente</w:t>
      </w:r>
      <w:r w:rsidRPr="003753CC">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8A5D99" w:rsidRDefault="008A5D99" w:rsidP="00F24A91">
      <w:pPr>
        <w:spacing w:after="0" w:line="360" w:lineRule="auto"/>
        <w:jc w:val="both"/>
        <w:rPr>
          <w:rFonts w:ascii="Palatino Linotype" w:hAnsi="Palatino Linotype" w:cs="Arial"/>
          <w:sz w:val="24"/>
          <w:szCs w:val="24"/>
        </w:rPr>
      </w:pPr>
    </w:p>
    <w:p w:rsidR="008A5D99" w:rsidRDefault="008A5D99" w:rsidP="00F24A91">
      <w:pPr>
        <w:spacing w:after="0" w:line="360" w:lineRule="auto"/>
        <w:jc w:val="both"/>
        <w:rPr>
          <w:rFonts w:ascii="Palatino Linotype" w:hAnsi="Palatino Linotype" w:cs="Arial"/>
          <w:sz w:val="24"/>
          <w:szCs w:val="24"/>
        </w:rPr>
      </w:pPr>
    </w:p>
    <w:p w:rsidR="008A5D99" w:rsidRPr="003753CC" w:rsidRDefault="008A5D99" w:rsidP="00F24A91">
      <w:pPr>
        <w:autoSpaceDE w:val="0"/>
        <w:autoSpaceDN w:val="0"/>
        <w:adjustRightInd w:val="0"/>
        <w:spacing w:after="0" w:line="360" w:lineRule="auto"/>
        <w:jc w:val="both"/>
        <w:rPr>
          <w:rFonts w:ascii="Palatino Linotype" w:hAnsi="Palatino Linotype" w:cs="Arial"/>
          <w:bCs/>
          <w:sz w:val="24"/>
          <w:szCs w:val="24"/>
        </w:rPr>
      </w:pPr>
      <w:r w:rsidRPr="003753CC">
        <w:rPr>
          <w:rFonts w:ascii="Palatino Linotype" w:hAnsi="Palatino Linotype" w:cs="Arial"/>
          <w:b/>
          <w:sz w:val="28"/>
          <w:szCs w:val="28"/>
        </w:rPr>
        <w:t>SEGUNDO. Del alcance del recurso de revisión.</w:t>
      </w:r>
      <w:r w:rsidRPr="003753CC">
        <w:rPr>
          <w:rFonts w:ascii="Palatino Linotype" w:hAnsi="Palatino Linotype" w:cs="Arial"/>
          <w:bCs/>
          <w:sz w:val="28"/>
          <w:szCs w:val="28"/>
        </w:rPr>
        <w:t xml:space="preserve"> </w:t>
      </w:r>
    </w:p>
    <w:p w:rsidR="008A5D99" w:rsidRPr="003753CC" w:rsidRDefault="008A5D99" w:rsidP="00F24A91">
      <w:pPr>
        <w:autoSpaceDE w:val="0"/>
        <w:autoSpaceDN w:val="0"/>
        <w:adjustRightInd w:val="0"/>
        <w:spacing w:after="0" w:line="360" w:lineRule="auto"/>
        <w:jc w:val="both"/>
        <w:rPr>
          <w:rFonts w:ascii="Palatino Linotype" w:hAnsi="Palatino Linotype" w:cs="Arial"/>
          <w:bCs/>
          <w:sz w:val="24"/>
          <w:szCs w:val="24"/>
        </w:rPr>
      </w:pPr>
      <w:r w:rsidRPr="003753CC">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8A5D99" w:rsidRPr="003753CC" w:rsidRDefault="008A5D99" w:rsidP="00F24A91">
      <w:pPr>
        <w:autoSpaceDE w:val="0"/>
        <w:autoSpaceDN w:val="0"/>
        <w:adjustRightInd w:val="0"/>
        <w:spacing w:after="0" w:line="360" w:lineRule="auto"/>
        <w:jc w:val="both"/>
        <w:rPr>
          <w:rFonts w:ascii="Palatino Linotype" w:hAnsi="Palatino Linotype" w:cs="Arial"/>
          <w:bCs/>
          <w:sz w:val="24"/>
          <w:szCs w:val="24"/>
        </w:rPr>
      </w:pPr>
    </w:p>
    <w:p w:rsidR="008A5D99" w:rsidRDefault="008A5D99" w:rsidP="00F24A91">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Anterior a todo debe destacarse que el recurso de revisión tiene el fin y alcance que señalan los numerales 176, 179, 181, 194 y 195 y demás aplicables de la Ley de </w:t>
      </w:r>
      <w:r w:rsidRPr="003753CC">
        <w:rPr>
          <w:rFonts w:ascii="Palatino Linotype" w:hAnsi="Palatino Linotype" w:cs="Arial"/>
          <w:sz w:val="24"/>
          <w:szCs w:val="24"/>
        </w:rPr>
        <w:lastRenderedPageBreak/>
        <w:t>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E7B8E" w:rsidRDefault="009E7B8E"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r w:rsidRPr="00EF1140">
        <w:rPr>
          <w:rFonts w:ascii="Palatino Linotype" w:hAnsi="Palatino Linotype" w:cs="Arial"/>
          <w:b/>
          <w:i/>
          <w:szCs w:val="24"/>
        </w:rPr>
        <w:t>Artículo 180</w:t>
      </w:r>
      <w:r w:rsidRPr="00EF1140">
        <w:rPr>
          <w:rFonts w:ascii="Palatino Linotype" w:hAnsi="Palatino Linotype" w:cs="Arial"/>
          <w:i/>
          <w:szCs w:val="24"/>
        </w:rPr>
        <w:t xml:space="preserve">. El recurso de revisión contendrá: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w:t>
      </w:r>
      <w:r w:rsidRPr="00EF1140">
        <w:rPr>
          <w:rFonts w:ascii="Palatino Linotype" w:hAnsi="Palatino Linotype" w:cs="Arial"/>
          <w:i/>
          <w:szCs w:val="24"/>
        </w:rPr>
        <w:t xml:space="preserve">. El Sujeto Obligado ante la cual se presentó la solicitud;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II</w:t>
      </w:r>
      <w:r w:rsidRPr="00EF1140">
        <w:rPr>
          <w:rFonts w:ascii="Palatino Linotype" w:hAnsi="Palatino Linotype" w:cs="Arial"/>
          <w:i/>
          <w:szCs w:val="24"/>
        </w:rPr>
        <w:t xml:space="preserve">. </w:t>
      </w:r>
      <w:r w:rsidRPr="00EF1140">
        <w:rPr>
          <w:rFonts w:ascii="Palatino Linotype" w:hAnsi="Palatino Linotype" w:cs="Arial"/>
          <w:i/>
          <w:szCs w:val="24"/>
          <w:u w:val="single"/>
        </w:rPr>
        <w:t>El nombre del solicitante</w:t>
      </w:r>
      <w:r w:rsidRPr="00EF1140">
        <w:rPr>
          <w:rFonts w:ascii="Palatino Linotype" w:hAnsi="Palatino Linotype" w:cs="Arial"/>
          <w:i/>
          <w:szCs w:val="24"/>
        </w:rPr>
        <w:t xml:space="preserve"> que recurre o de su representante y, en su caso, del tercero interesado, así como la dirección o medio que señale para recibir notificaciones;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III</w:t>
      </w:r>
      <w:r w:rsidRPr="00EF1140">
        <w:rPr>
          <w:rFonts w:ascii="Palatino Linotype" w:hAnsi="Palatino Linotype" w:cs="Arial"/>
          <w:i/>
          <w:szCs w:val="24"/>
        </w:rPr>
        <w:t xml:space="preserve">. El número de folio de respuesta de la solicitud de acceso;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IV</w:t>
      </w:r>
      <w:r w:rsidRPr="00EF1140">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w:t>
      </w:r>
      <w:r w:rsidRPr="00EF1140">
        <w:rPr>
          <w:rFonts w:ascii="Palatino Linotype" w:hAnsi="Palatino Linotype" w:cs="Arial"/>
          <w:i/>
          <w:szCs w:val="24"/>
        </w:rPr>
        <w:t xml:space="preserve">. El acto que se recurre;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VI</w:t>
      </w:r>
      <w:r w:rsidRPr="00EF1140">
        <w:rPr>
          <w:rFonts w:ascii="Palatino Linotype" w:hAnsi="Palatino Linotype" w:cs="Arial"/>
          <w:i/>
          <w:szCs w:val="24"/>
        </w:rPr>
        <w:t xml:space="preserve">. Las razones o motivos de inconformidad;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VII</w:t>
      </w:r>
      <w:r w:rsidRPr="00EF1140">
        <w:rPr>
          <w:rFonts w:ascii="Palatino Linotype" w:hAnsi="Palatino Linotype" w:cs="Arial"/>
          <w:i/>
          <w:szCs w:val="24"/>
        </w:rPr>
        <w:t xml:space="preserve">. La copia de la respuesta que se impugna y, en su caso, de la notificación correspondiente, en el caso de respuesta de la solicitud; y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VIII</w:t>
      </w:r>
      <w:r w:rsidRPr="00EF1140">
        <w:rPr>
          <w:rFonts w:ascii="Palatino Linotype" w:hAnsi="Palatino Linotype" w:cs="Arial"/>
          <w:i/>
          <w:szCs w:val="24"/>
        </w:rPr>
        <w:t xml:space="preserve">. Firma del Recurrente, en su caso, cuando se presente por escrito, requisito sin el cual se dará trámite al recurso.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 xml:space="preserve">Adicionalmente, se podrán anexar las pruebas y demás elementos que considere procedentes someter a juicio del Instituto.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 xml:space="preserve">En ningún caso será necesario que el particular ratifique el recurso de revisión interpuesto.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szCs w:val="24"/>
        </w:rPr>
      </w:pPr>
      <w:r w:rsidRPr="00EF1140">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szCs w:val="24"/>
        </w:rPr>
      </w:pPr>
    </w:p>
    <w:p w:rsidR="008A5D99" w:rsidRPr="00EF1140" w:rsidRDefault="008A5D99" w:rsidP="00F24A91">
      <w:pPr>
        <w:autoSpaceDE w:val="0"/>
        <w:autoSpaceDN w:val="0"/>
        <w:adjustRightInd w:val="0"/>
        <w:spacing w:after="0" w:line="240" w:lineRule="auto"/>
        <w:ind w:left="567" w:right="567"/>
        <w:jc w:val="right"/>
        <w:rPr>
          <w:rFonts w:ascii="Palatino Linotype" w:hAnsi="Palatino Linotype" w:cs="Arial"/>
          <w:szCs w:val="24"/>
        </w:rPr>
      </w:pPr>
      <w:r w:rsidRPr="00EF1140">
        <w:rPr>
          <w:rFonts w:ascii="Palatino Linotype" w:hAnsi="Palatino Linotype" w:cs="Arial"/>
          <w:szCs w:val="24"/>
        </w:rPr>
        <w:t>(Énfasis añadido)</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lastRenderedPageBreak/>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EF1140">
        <w:rPr>
          <w:rFonts w:ascii="Palatino Linotype" w:hAnsi="Palatino Linotype" w:cs="Arial"/>
          <w:b/>
          <w:sz w:val="24"/>
          <w:szCs w:val="24"/>
        </w:rPr>
        <w:t>Recurrente</w:t>
      </w:r>
      <w:r w:rsidRPr="00EF1140">
        <w:rPr>
          <w:rFonts w:ascii="Palatino Linotype" w:hAnsi="Palatino Linotype" w:cs="Arial"/>
          <w:sz w:val="24"/>
          <w:szCs w:val="24"/>
        </w:rPr>
        <w:t>, en ejercicio de su derecho de acceso a la información pública, no proporcionó un nombre para que sea identificado, ya que en el apartado de “DATOS DEL SOLICITANTE”, no señalo como nombre o seudónimo con el cual desee ser identificado, por lo que no se tiene certeza sobre su identidad, lo que en estricto sentido, no se colmarían los requisitos establecidos en el citado artículo 180 de la Ley de Transparencia.</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EF1140">
        <w:rPr>
          <w:rFonts w:ascii="Palatino Linotype" w:hAnsi="Palatino Linotype" w:cs="Arial"/>
          <w:i/>
          <w:sz w:val="24"/>
          <w:szCs w:val="24"/>
        </w:rPr>
        <w:t>sine qua non</w:t>
      </w:r>
      <w:r w:rsidRPr="00EF1140">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w:t>
      </w:r>
      <w:r w:rsidRPr="00EF1140">
        <w:rPr>
          <w:rFonts w:ascii="Palatino Linotype" w:hAnsi="Palatino Linotype" w:cs="Arial"/>
          <w:sz w:val="24"/>
          <w:szCs w:val="24"/>
        </w:rPr>
        <w:lastRenderedPageBreak/>
        <w:t>de acreditar interés alguno o justificar su utilización, tendrá acceso gratuito a la información pública; preceptos cuyo texto y sentido literal es el siguiente:</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240" w:lineRule="auto"/>
        <w:jc w:val="center"/>
        <w:rPr>
          <w:rFonts w:ascii="Palatino Linotype" w:hAnsi="Palatino Linotype" w:cs="Arial"/>
          <w:b/>
          <w:i/>
        </w:rPr>
      </w:pPr>
      <w:r w:rsidRPr="00EF1140">
        <w:rPr>
          <w:rFonts w:ascii="Palatino Linotype" w:hAnsi="Palatino Linotype" w:cs="Arial"/>
          <w:b/>
          <w:i/>
        </w:rPr>
        <w:t>Constitución Política de los Estados Unidos Mexicanos</w:t>
      </w:r>
    </w:p>
    <w:p w:rsidR="008A5D99" w:rsidRPr="00EF1140" w:rsidRDefault="008A5D99" w:rsidP="00F24A91">
      <w:pPr>
        <w:autoSpaceDE w:val="0"/>
        <w:autoSpaceDN w:val="0"/>
        <w:adjustRightInd w:val="0"/>
        <w:spacing w:after="0" w:line="240" w:lineRule="auto"/>
        <w:jc w:val="both"/>
        <w:rPr>
          <w:rFonts w:ascii="Palatino Linotype" w:hAnsi="Palatino Linotype" w:cs="Arial"/>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rPr>
      </w:pPr>
      <w:r w:rsidRPr="00EF1140">
        <w:rPr>
          <w:rFonts w:ascii="Palatino Linotype" w:hAnsi="Palatino Linotype" w:cs="Arial"/>
          <w:i/>
        </w:rPr>
        <w:t>“</w:t>
      </w:r>
      <w:r w:rsidRPr="00EF1140">
        <w:rPr>
          <w:rFonts w:ascii="Palatino Linotype" w:hAnsi="Palatino Linotype" w:cs="Arial"/>
          <w:b/>
          <w:i/>
        </w:rPr>
        <w:t>Artículo 6o</w:t>
      </w:r>
      <w:r w:rsidRPr="00EF1140">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Para efectos de lo dispuesto en el presente artículo se observará lo siguiente:</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A</w:t>
      </w:r>
      <w:r w:rsidRPr="00EF1140">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w:t>
      </w:r>
      <w:r w:rsidRPr="00EF1140">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III.</w:t>
      </w:r>
      <w:r w:rsidRPr="00EF1140">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w:t>
      </w:r>
      <w:r w:rsidRPr="00EF1140">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VI.</w:t>
      </w:r>
      <w:r w:rsidRPr="00EF1140">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lastRenderedPageBreak/>
        <w:t>La ley establecerá aquella información que se considere reservada o confidencial.</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p>
    <w:p w:rsidR="008A5D99" w:rsidRPr="00EF1140" w:rsidRDefault="008A5D99" w:rsidP="00F24A91">
      <w:pPr>
        <w:autoSpaceDE w:val="0"/>
        <w:autoSpaceDN w:val="0"/>
        <w:adjustRightInd w:val="0"/>
        <w:spacing w:after="0" w:line="240" w:lineRule="auto"/>
        <w:ind w:left="567" w:right="567"/>
        <w:jc w:val="center"/>
        <w:rPr>
          <w:rFonts w:ascii="Palatino Linotype" w:hAnsi="Palatino Linotype" w:cs="Arial"/>
          <w:b/>
          <w:i/>
          <w:szCs w:val="24"/>
        </w:rPr>
      </w:pPr>
      <w:r w:rsidRPr="00EF1140">
        <w:rPr>
          <w:rFonts w:ascii="Palatino Linotype" w:hAnsi="Palatino Linotype" w:cs="Arial"/>
          <w:b/>
          <w:i/>
          <w:szCs w:val="24"/>
        </w:rPr>
        <w:t>Constitución Política del Estado Libre y Soberano de México</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r w:rsidRPr="00EF1140">
        <w:rPr>
          <w:rFonts w:ascii="Palatino Linotype" w:hAnsi="Palatino Linotype" w:cs="Arial"/>
          <w:b/>
          <w:i/>
          <w:szCs w:val="24"/>
        </w:rPr>
        <w:t>Artículo 5</w:t>
      </w:r>
      <w:r w:rsidRPr="00EF1140">
        <w:rPr>
          <w:rFonts w:ascii="Palatino Linotype" w:hAnsi="Palatino Linotype" w:cs="Arial"/>
          <w:i/>
          <w:szCs w:val="24"/>
        </w:rPr>
        <w:t xml:space="preserve">. … </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Este derecho se regirá por los principios y bases siguientes: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w:t>
      </w:r>
      <w:r w:rsidRPr="00EF1140">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b/>
          <w:i/>
          <w:szCs w:val="24"/>
        </w:rPr>
        <w:t>III</w:t>
      </w:r>
      <w:r w:rsidRPr="00EF1140">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8A5D99" w:rsidRPr="00EF1140" w:rsidRDefault="008A5D99" w:rsidP="00F24A91">
      <w:pPr>
        <w:autoSpaceDE w:val="0"/>
        <w:autoSpaceDN w:val="0"/>
        <w:adjustRightInd w:val="0"/>
        <w:spacing w:after="0" w:line="240" w:lineRule="auto"/>
        <w:ind w:left="567" w:right="567"/>
        <w:jc w:val="right"/>
        <w:rPr>
          <w:rFonts w:ascii="Palatino Linotype" w:hAnsi="Palatino Linotype" w:cs="Arial"/>
          <w:szCs w:val="24"/>
        </w:rPr>
      </w:pPr>
      <w:r w:rsidRPr="00EF1140">
        <w:rPr>
          <w:rFonts w:ascii="Palatino Linotype" w:hAnsi="Palatino Linotype" w:cs="Arial"/>
          <w:szCs w:val="24"/>
        </w:rPr>
        <w:t>(Énfasis añadido)</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Por otra parte, del contenido del artículo 1 de la Constitución Política de los Estados Unidos Mexicanos, se destaca lo siguiente:</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r w:rsidRPr="00EF1140">
        <w:rPr>
          <w:rFonts w:ascii="Palatino Linotype" w:hAnsi="Palatino Linotype" w:cs="Arial"/>
          <w:b/>
          <w:i/>
          <w:szCs w:val="24"/>
        </w:rPr>
        <w:t>Artículo 1o.</w:t>
      </w:r>
      <w:r w:rsidRPr="00EF1140">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EF1140">
        <w:rPr>
          <w:rFonts w:ascii="Palatino Linotype" w:hAnsi="Palatino Linotype" w:cs="Arial"/>
          <w:i/>
          <w:szCs w:val="24"/>
        </w:rPr>
        <w:lastRenderedPageBreak/>
        <w:t>podrá restringirse ni suspenderse, salvo en los casos y bajo las condiciones que esta Constitución establece.</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Cs w:val="24"/>
        </w:rPr>
      </w:pPr>
      <w:r w:rsidRPr="00EF1140">
        <w:rPr>
          <w:rFonts w:ascii="Palatino Linotype" w:hAnsi="Palatino Linotype" w:cs="Arial"/>
          <w:i/>
          <w:szCs w:val="24"/>
        </w:rPr>
        <w:t>“</w:t>
      </w:r>
      <w:r w:rsidRPr="00EF1140">
        <w:rPr>
          <w:rFonts w:ascii="Palatino Linotype" w:hAnsi="Palatino Linotype" w:cs="Arial"/>
          <w:b/>
          <w:i/>
          <w:szCs w:val="24"/>
        </w:rPr>
        <w:t>Acceso a información gubernamental. No debe condicionarse a que el solicitante acredite su personalidad, demuestre interés alguno o justifique su utilización.</w:t>
      </w:r>
      <w:r w:rsidRPr="00EF1140">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w:t>
      </w:r>
      <w:r w:rsidRPr="00EF1140">
        <w:rPr>
          <w:rFonts w:ascii="Palatino Linotype" w:hAnsi="Palatino Linotype" w:cs="Arial"/>
          <w:i/>
          <w:szCs w:val="24"/>
        </w:rPr>
        <w:lastRenderedPageBreak/>
        <w:t>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Resoluciones</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 RDA 5275/13. Interpuesto en contra de la Secretaría de la Defensa Nacional. Comisionado Ponente Ángel Trinidad Zaldívar.</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 RDA 2937/13. Interpuesto en contra de LICONSA, S.A. de C.V. Comisionado. Ponente Gerardo Laveaga Rendón.</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 RDA 3609/12. Interpuesto en contra de la Secretaría de Educación Pública. Comisionada Ponente Sigrid Arzt Colunga.</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 RDA 3361/12. Interpuesto en contra del Servicio de Administración Tributaria. Comisionada Ponente María Elena Pérez-Jaén Zermeño.</w:t>
      </w:r>
    </w:p>
    <w:p w:rsidR="008A5D99" w:rsidRPr="00EF1140" w:rsidRDefault="008A5D99" w:rsidP="00F24A91">
      <w:pPr>
        <w:autoSpaceDE w:val="0"/>
        <w:autoSpaceDN w:val="0"/>
        <w:adjustRightInd w:val="0"/>
        <w:spacing w:after="0" w:line="240" w:lineRule="auto"/>
        <w:ind w:left="567" w:right="567"/>
        <w:jc w:val="both"/>
        <w:rPr>
          <w:rFonts w:ascii="Palatino Linotype" w:hAnsi="Palatino Linotype" w:cs="Arial"/>
          <w:i/>
          <w:sz w:val="20"/>
          <w:szCs w:val="24"/>
        </w:rPr>
      </w:pPr>
      <w:r w:rsidRPr="00EF1140">
        <w:rPr>
          <w:rFonts w:ascii="Palatino Linotype" w:hAnsi="Palatino Linotype" w:cs="Arial"/>
          <w:i/>
          <w:sz w:val="20"/>
          <w:szCs w:val="24"/>
        </w:rPr>
        <w:t>• RDA 0563/12. Interpuesto en contra de la Secretaría de la Función Pública. Comisionada Ponente Jacqueline Peschard Mariscal.”</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EF1140">
        <w:rPr>
          <w:rFonts w:ascii="Palatino Linotype" w:hAnsi="Palatino Linotype" w:cs="Arial"/>
          <w:b/>
          <w:sz w:val="24"/>
          <w:szCs w:val="24"/>
        </w:rPr>
        <w:t>Recurrente</w:t>
      </w:r>
      <w:r w:rsidRPr="00EF1140">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 xml:space="preserve">En consecuencia, dado lo expuesto y fundado con anterioridad, se estima que el requisito relativo al nombre del </w:t>
      </w:r>
      <w:r w:rsidRPr="00EF1140">
        <w:rPr>
          <w:rFonts w:ascii="Palatino Linotype" w:hAnsi="Palatino Linotype" w:cs="Arial"/>
          <w:b/>
          <w:sz w:val="24"/>
          <w:szCs w:val="24"/>
        </w:rPr>
        <w:t>Recurrente</w:t>
      </w:r>
      <w:r w:rsidRPr="00EF1140">
        <w:rPr>
          <w:rFonts w:ascii="Palatino Linotype" w:hAnsi="Palatino Linotype" w:cs="Arial"/>
          <w:sz w:val="24"/>
          <w:szCs w:val="24"/>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EF1140">
        <w:rPr>
          <w:rFonts w:ascii="Palatino Linotype" w:hAnsi="Palatino Linotype" w:cs="Arial"/>
          <w:b/>
          <w:sz w:val="24"/>
          <w:szCs w:val="24"/>
        </w:rPr>
        <w:t>Recurrente</w:t>
      </w:r>
      <w:r w:rsidRPr="00EF1140">
        <w:rPr>
          <w:rFonts w:ascii="Palatino Linotype" w:hAnsi="Palatino Linotype" w:cs="Arial"/>
          <w:sz w:val="24"/>
          <w:szCs w:val="24"/>
        </w:rPr>
        <w:t>, es la misma persona que realizó la solicitud de acceso a la información pública que ahora se impugna.</w:t>
      </w: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8A5D99"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3753CC"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3753CC" w:rsidRDefault="008A5D99" w:rsidP="00F24A91">
      <w:pPr>
        <w:autoSpaceDE w:val="0"/>
        <w:autoSpaceDN w:val="0"/>
        <w:adjustRightInd w:val="0"/>
        <w:spacing w:after="0" w:line="360" w:lineRule="auto"/>
        <w:jc w:val="both"/>
        <w:rPr>
          <w:rFonts w:ascii="Palatino Linotype" w:hAnsi="Palatino Linotype" w:cs="Arial"/>
          <w:b/>
          <w:sz w:val="28"/>
          <w:szCs w:val="28"/>
        </w:rPr>
      </w:pPr>
      <w:r w:rsidRPr="003753CC">
        <w:rPr>
          <w:rFonts w:ascii="Palatino Linotype" w:hAnsi="Palatino Linotype" w:cs="Arial"/>
          <w:b/>
          <w:sz w:val="28"/>
          <w:szCs w:val="28"/>
        </w:rPr>
        <w:t xml:space="preserve">TERCERO. Del estudio de las causas de improcedencia. </w:t>
      </w:r>
    </w:p>
    <w:p w:rsidR="008A5D99" w:rsidRDefault="008A5D99" w:rsidP="00F24A91">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3753CC">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9E7B8E" w:rsidRPr="003753CC" w:rsidRDefault="009E7B8E" w:rsidP="00F24A91">
      <w:pPr>
        <w:autoSpaceDE w:val="0"/>
        <w:autoSpaceDN w:val="0"/>
        <w:adjustRightInd w:val="0"/>
        <w:spacing w:after="0" w:line="360" w:lineRule="auto"/>
        <w:jc w:val="both"/>
        <w:rPr>
          <w:rFonts w:ascii="Palatino Linotype" w:hAnsi="Palatino Linotype" w:cs="Arial"/>
          <w:sz w:val="24"/>
          <w:szCs w:val="24"/>
        </w:rPr>
      </w:pPr>
    </w:p>
    <w:p w:rsidR="008A5D99" w:rsidRPr="003753CC" w:rsidRDefault="008A5D99" w:rsidP="00F24A91">
      <w:pPr>
        <w:spacing w:after="0" w:line="240" w:lineRule="auto"/>
        <w:ind w:left="567" w:right="567"/>
        <w:jc w:val="both"/>
        <w:rPr>
          <w:rFonts w:ascii="Palatino Linotype" w:hAnsi="Palatino Linotype" w:cs="Arial"/>
        </w:rPr>
      </w:pPr>
      <w:r w:rsidRPr="003753C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753CC">
        <w:rPr>
          <w:rFonts w:ascii="Palatino Linotype" w:hAnsi="Palatino Linotype"/>
          <w:i/>
        </w:rPr>
        <w:t xml:space="preserve">Del examen de compatibilidad de los artículos </w:t>
      </w:r>
      <w:hyperlink r:id="rId7" w:history="1">
        <w:r w:rsidRPr="003753CC">
          <w:rPr>
            <w:rFonts w:ascii="Palatino Linotype" w:eastAsia="Calibri" w:hAnsi="Palatino Linotype"/>
            <w:i/>
            <w:color w:val="0563C1" w:themeColor="hyperlink"/>
            <w:u w:val="single"/>
          </w:rPr>
          <w:t>73 y 74 de la Ley de Amparo</w:t>
        </w:r>
      </w:hyperlink>
      <w:r w:rsidRPr="003753CC">
        <w:rPr>
          <w:rFonts w:ascii="Palatino Linotype" w:eastAsia="Calibri" w:hAnsi="Palatino Linotype"/>
          <w:i/>
          <w:color w:val="0563C1" w:themeColor="hyperlink"/>
          <w:u w:val="single"/>
        </w:rPr>
        <w:t xml:space="preserve"> </w:t>
      </w:r>
      <w:r w:rsidRPr="003753CC">
        <w:rPr>
          <w:rFonts w:ascii="Palatino Linotype" w:hAnsi="Palatino Linotype"/>
          <w:i/>
        </w:rPr>
        <w:t xml:space="preserve">con el artículo </w:t>
      </w:r>
      <w:hyperlink r:id="rId8" w:history="1">
        <w:r w:rsidRPr="003753CC">
          <w:rPr>
            <w:rFonts w:ascii="Palatino Linotype" w:eastAsia="Calibri" w:hAnsi="Palatino Linotype"/>
            <w:i/>
            <w:color w:val="0563C1" w:themeColor="hyperlink"/>
            <w:u w:val="single"/>
          </w:rPr>
          <w:t>25.1 de la Convención Americana sobre Derechos Humanos</w:t>
        </w:r>
      </w:hyperlink>
      <w:r w:rsidRPr="003753CC">
        <w:rPr>
          <w:rFonts w:ascii="Palatino Linotype" w:hAnsi="Palatino Linotype"/>
          <w:i/>
        </w:rPr>
        <w:t xml:space="preserve"> </w:t>
      </w:r>
      <w:r w:rsidRPr="003753C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53C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A5D99" w:rsidRPr="003753CC"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A5D99" w:rsidRPr="003753CC" w:rsidRDefault="008A5D99" w:rsidP="00F24A91">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Por lo que una vez que se analizó el expediente en estudio se cae en la cuenta de que no se actualiza ninguna de las casuales a continuación transcritas:</w:t>
      </w:r>
    </w:p>
    <w:p w:rsidR="008A5D99"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i/>
          <w:lang w:val="es-ES" w:eastAsia="es-ES"/>
        </w:rPr>
        <w:lastRenderedPageBreak/>
        <w:t>“</w:t>
      </w:r>
      <w:r w:rsidRPr="003753CC">
        <w:rPr>
          <w:rFonts w:ascii="Palatino Linotype" w:eastAsia="Times New Roman" w:hAnsi="Palatino Linotype" w:cs="Arial"/>
          <w:b/>
          <w:i/>
          <w:lang w:val="es-ES" w:eastAsia="es-ES"/>
        </w:rPr>
        <w:t>Artículo 191</w:t>
      </w:r>
      <w:r w:rsidRPr="003753CC">
        <w:rPr>
          <w:rFonts w:ascii="Palatino Linotype" w:eastAsia="Times New Roman" w:hAnsi="Palatino Linotype" w:cs="Arial"/>
          <w:i/>
          <w:lang w:val="es-ES" w:eastAsia="es-ES"/>
        </w:rPr>
        <w:t xml:space="preserve">. El recurso será desechado por improcedente cuando: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w:t>
      </w:r>
      <w:r w:rsidRPr="003753CC">
        <w:rPr>
          <w:rFonts w:ascii="Palatino Linotype" w:eastAsia="Times New Roman" w:hAnsi="Palatino Linotype" w:cs="Arial"/>
          <w:i/>
          <w:lang w:val="es-ES" w:eastAsia="es-ES"/>
        </w:rPr>
        <w:t xml:space="preserve">. Sea extemporáneo por haber transcurrido el plazo establecido en la presente Ley, a partir de la respuesta;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w:t>
      </w:r>
      <w:r w:rsidRPr="003753C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III</w:t>
      </w:r>
      <w:r w:rsidRPr="003753CC">
        <w:rPr>
          <w:rFonts w:ascii="Palatino Linotype" w:eastAsia="Times New Roman" w:hAnsi="Palatino Linotype" w:cs="Arial"/>
          <w:i/>
          <w:lang w:val="es-ES" w:eastAsia="es-ES"/>
        </w:rPr>
        <w:t xml:space="preserve">. No actualice alguno de los supuestos previstos en la presente Ley;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IV</w:t>
      </w:r>
      <w:r w:rsidRPr="003753CC">
        <w:rPr>
          <w:rFonts w:ascii="Palatino Linotype" w:eastAsia="Times New Roman" w:hAnsi="Palatino Linotype" w:cs="Arial"/>
          <w:i/>
          <w:lang w:val="es-ES" w:eastAsia="es-ES"/>
        </w:rPr>
        <w:t xml:space="preserve">. No se haya desahogado la prevención en los términos establecidos en la presente Ley;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w:t>
      </w:r>
      <w:r w:rsidRPr="003753CC">
        <w:rPr>
          <w:rFonts w:ascii="Palatino Linotype" w:eastAsia="Times New Roman" w:hAnsi="Palatino Linotype" w:cs="Arial"/>
          <w:i/>
          <w:lang w:val="es-ES" w:eastAsia="es-ES"/>
        </w:rPr>
        <w:t xml:space="preserve">. Se impugne la veracidad de la información proporcionada;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w:t>
      </w:r>
      <w:r w:rsidRPr="003753CC">
        <w:rPr>
          <w:rFonts w:ascii="Palatino Linotype" w:eastAsia="Times New Roman" w:hAnsi="Palatino Linotype" w:cs="Arial"/>
          <w:i/>
          <w:lang w:val="es-ES" w:eastAsia="es-ES"/>
        </w:rPr>
        <w:t xml:space="preserve">. Se trate de una consulta, o trámite en específico; y  </w:t>
      </w:r>
    </w:p>
    <w:p w:rsidR="008A5D99" w:rsidRPr="003753CC" w:rsidRDefault="008A5D99" w:rsidP="00F24A9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VII</w:t>
      </w:r>
      <w:r w:rsidRPr="003753CC">
        <w:rPr>
          <w:rFonts w:ascii="Palatino Linotype" w:eastAsia="Times New Roman" w:hAnsi="Palatino Linotype" w:cs="Arial"/>
          <w:i/>
          <w:lang w:val="es-ES" w:eastAsia="es-ES"/>
        </w:rPr>
        <w:t>. El recurrente amplíe su solicitud en el recurso de revisión, únicamente respecto de los nuevos contenidos.”</w:t>
      </w:r>
    </w:p>
    <w:p w:rsidR="008A5D99" w:rsidRPr="003753CC" w:rsidRDefault="008A5D99" w:rsidP="00F24A91">
      <w:pPr>
        <w:autoSpaceDE w:val="0"/>
        <w:autoSpaceDN w:val="0"/>
        <w:adjustRightInd w:val="0"/>
        <w:spacing w:after="0" w:line="360" w:lineRule="auto"/>
        <w:jc w:val="both"/>
        <w:rPr>
          <w:rFonts w:ascii="Palatino Linotype" w:hAnsi="Palatino Linotype" w:cs="Arial"/>
          <w:sz w:val="24"/>
          <w:szCs w:val="24"/>
        </w:rPr>
      </w:pPr>
    </w:p>
    <w:p w:rsidR="008A5D99" w:rsidRPr="003753CC" w:rsidRDefault="008A5D99" w:rsidP="00F24A91">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3753CC">
        <w:rPr>
          <w:rFonts w:ascii="Palatino Linotype" w:hAnsi="Palatino Linotype" w:cs="Arial"/>
          <w:b/>
          <w:sz w:val="24"/>
          <w:szCs w:val="24"/>
        </w:rPr>
        <w:t>el recurrente</w:t>
      </w:r>
      <w:r w:rsidRPr="003753CC">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8A5D99"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A11316" w:rsidRDefault="00A11316" w:rsidP="00F24A91">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8A5D99" w:rsidRPr="003753CC" w:rsidRDefault="008A5D99" w:rsidP="00F24A9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753CC">
        <w:rPr>
          <w:rFonts w:ascii="Palatino Linotype" w:eastAsia="Times New Roman" w:hAnsi="Palatino Linotype" w:cs="Arial"/>
          <w:b/>
          <w:sz w:val="28"/>
          <w:szCs w:val="28"/>
          <w:lang w:val="es-ES" w:eastAsia="es-ES"/>
        </w:rPr>
        <w:t xml:space="preserve">CUARTO. </w:t>
      </w:r>
      <w:r w:rsidRPr="003753CC">
        <w:rPr>
          <w:rFonts w:ascii="Palatino Linotype" w:eastAsia="Times New Roman" w:hAnsi="Palatino Linotype" w:cs="Arial"/>
          <w:b/>
          <w:sz w:val="26"/>
          <w:szCs w:val="26"/>
          <w:lang w:val="es-ES" w:eastAsia="es-ES"/>
        </w:rPr>
        <w:t>Estudio y resolución de</w:t>
      </w:r>
      <w:r>
        <w:rPr>
          <w:rFonts w:ascii="Palatino Linotype" w:eastAsia="Times New Roman" w:hAnsi="Palatino Linotype" w:cs="Arial"/>
          <w:b/>
          <w:sz w:val="26"/>
          <w:szCs w:val="26"/>
          <w:lang w:val="es-ES" w:eastAsia="es-ES"/>
        </w:rPr>
        <w:t>l recurso</w:t>
      </w:r>
      <w:r w:rsidRPr="003753CC">
        <w:rPr>
          <w:rFonts w:ascii="Palatino Linotype" w:eastAsia="Times New Roman" w:hAnsi="Palatino Linotype" w:cs="Arial"/>
          <w:b/>
          <w:sz w:val="26"/>
          <w:szCs w:val="26"/>
          <w:lang w:val="es-ES" w:eastAsia="es-ES"/>
        </w:rPr>
        <w:t xml:space="preserve"> de revisión.</w:t>
      </w:r>
    </w:p>
    <w:p w:rsidR="008A5D99" w:rsidRPr="003753CC"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A5D99" w:rsidRPr="003753CC"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A5D99"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lastRenderedPageBreak/>
        <w:t>Atentos a la redacción de la solicitud</w:t>
      </w:r>
      <w:r>
        <w:rPr>
          <w:rFonts w:ascii="Palatino Linotype" w:eastAsia="Times New Roman" w:hAnsi="Palatino Linotype" w:cs="Arial"/>
          <w:sz w:val="24"/>
          <w:szCs w:val="24"/>
          <w:lang w:val="es-ES" w:eastAsia="es-ES"/>
        </w:rPr>
        <w:t xml:space="preserve">, </w:t>
      </w:r>
      <w:r w:rsidRPr="003753CC">
        <w:rPr>
          <w:rFonts w:ascii="Palatino Linotype" w:eastAsia="Times New Roman" w:hAnsi="Palatino Linotype" w:cs="Arial"/>
          <w:sz w:val="24"/>
          <w:szCs w:val="24"/>
          <w:lang w:val="es-ES" w:eastAsia="es-ES"/>
        </w:rPr>
        <w:t xml:space="preserve">se puede apreciar que </w:t>
      </w:r>
      <w:r>
        <w:rPr>
          <w:rFonts w:ascii="Palatino Linotype" w:eastAsia="Times New Roman" w:hAnsi="Palatino Linotype" w:cs="Arial"/>
          <w:sz w:val="24"/>
          <w:szCs w:val="24"/>
          <w:lang w:val="es-ES" w:eastAsia="es-ES"/>
        </w:rPr>
        <w:t>la</w:t>
      </w:r>
      <w:r w:rsidRPr="003753CC">
        <w:rPr>
          <w:rFonts w:ascii="Palatino Linotype" w:eastAsia="Times New Roman" w:hAnsi="Palatino Linotype" w:cs="Arial"/>
          <w:sz w:val="24"/>
          <w:szCs w:val="24"/>
          <w:lang w:val="es-ES" w:eastAsia="es-ES"/>
        </w:rPr>
        <w:t xml:space="preserve"> </w:t>
      </w:r>
      <w:r w:rsidRPr="003753CC">
        <w:rPr>
          <w:rFonts w:ascii="Palatino Linotype" w:eastAsia="Times New Roman" w:hAnsi="Palatino Linotype" w:cs="Arial"/>
          <w:b/>
          <w:sz w:val="24"/>
          <w:szCs w:val="24"/>
          <w:lang w:val="es-ES" w:eastAsia="es-ES"/>
        </w:rPr>
        <w:t>Recurrente</w:t>
      </w:r>
      <w:r w:rsidRPr="003753CC">
        <w:rPr>
          <w:rFonts w:ascii="Palatino Linotype" w:eastAsia="Times New Roman" w:hAnsi="Palatino Linotype" w:cs="Arial"/>
          <w:sz w:val="24"/>
          <w:szCs w:val="24"/>
          <w:lang w:val="es-ES" w:eastAsia="es-ES"/>
        </w:rPr>
        <w:t xml:space="preserve"> peticiona</w:t>
      </w:r>
      <w:r>
        <w:rPr>
          <w:rFonts w:ascii="Palatino Linotype" w:eastAsia="Times New Roman" w:hAnsi="Palatino Linotype" w:cs="Arial"/>
          <w:sz w:val="24"/>
          <w:szCs w:val="24"/>
          <w:lang w:val="es-ES" w:eastAsia="es-ES"/>
        </w:rPr>
        <w:t xml:space="preserve"> objetivamente, lo siguiente:</w:t>
      </w:r>
    </w:p>
    <w:p w:rsidR="008A5D99" w:rsidRPr="003753CC"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A5D99" w:rsidRPr="00617D1B" w:rsidRDefault="00617D1B" w:rsidP="00F24A91">
      <w:pPr>
        <w:pStyle w:val="Prrafodelista"/>
        <w:numPr>
          <w:ilvl w:val="0"/>
          <w:numId w:val="14"/>
        </w:numPr>
        <w:pBdr>
          <w:top w:val="nil"/>
          <w:left w:val="nil"/>
          <w:bottom w:val="nil"/>
          <w:right w:val="nil"/>
          <w:between w:val="nil"/>
        </w:pBdr>
        <w:spacing w:line="360" w:lineRule="auto"/>
        <w:contextualSpacing/>
        <w:jc w:val="both"/>
        <w:rPr>
          <w:rFonts w:ascii="Palatino Linotype" w:eastAsia="Calibri" w:hAnsi="Palatino Linotype"/>
          <w:lang w:val="es-ES_tradnl"/>
        </w:rPr>
      </w:pPr>
      <w:r w:rsidRPr="00617D1B">
        <w:rPr>
          <w:rFonts w:ascii="Palatino Linotype" w:eastAsia="Calibri" w:hAnsi="Palatino Linotype"/>
          <w:lang w:val="es-ES_tradnl"/>
        </w:rPr>
        <w:t>Toda la información, así como documentación respecto a todas las actuaciones de la Controversia Constitucional Tepotzotla vs Teoloyucan, Cuautitlan Izcalli vs Teoloyucan.</w:t>
      </w:r>
    </w:p>
    <w:p w:rsidR="00617D1B" w:rsidRDefault="00617D1B" w:rsidP="00F24A91">
      <w:pPr>
        <w:pBdr>
          <w:top w:val="nil"/>
          <w:left w:val="nil"/>
          <w:bottom w:val="nil"/>
          <w:right w:val="nil"/>
          <w:between w:val="nil"/>
        </w:pBdr>
        <w:spacing w:after="0" w:line="360" w:lineRule="auto"/>
        <w:contextualSpacing/>
        <w:jc w:val="both"/>
        <w:rPr>
          <w:rFonts w:ascii="Palatino Linotype" w:eastAsia="Calibri" w:hAnsi="Palatino Linotype" w:cs="Times New Roman"/>
          <w:sz w:val="24"/>
          <w:szCs w:val="24"/>
          <w:lang w:val="es-ES_tradnl" w:eastAsia="es-ES"/>
        </w:rPr>
      </w:pPr>
    </w:p>
    <w:p w:rsidR="008A5D99" w:rsidRDefault="00880F12" w:rsidP="00F24A91">
      <w:pPr>
        <w:spacing w:after="0" w:line="360" w:lineRule="auto"/>
        <w:jc w:val="both"/>
        <w:rPr>
          <w:rFonts w:ascii="Palatino Linotype" w:hAnsi="Palatino Linotype" w:cs="Arial"/>
          <w:sz w:val="24"/>
          <w:szCs w:val="24"/>
        </w:rPr>
      </w:pPr>
      <w:r>
        <w:rPr>
          <w:rFonts w:ascii="Palatino Linotype" w:eastAsia="Calibri" w:hAnsi="Palatino Linotype"/>
          <w:sz w:val="24"/>
        </w:rPr>
        <w:t>E</w:t>
      </w:r>
      <w:r w:rsidR="008A5D99">
        <w:rPr>
          <w:rFonts w:ascii="Palatino Linotype" w:eastAsia="Calibri" w:hAnsi="Palatino Linotype"/>
          <w:sz w:val="24"/>
        </w:rPr>
        <w:t xml:space="preserve">l Sujeto Obligado dio respuesta, a través de los documentos electrónicos </w:t>
      </w:r>
      <w:r>
        <w:rPr>
          <w:rFonts w:ascii="Palatino Linotype" w:eastAsia="Calibri" w:hAnsi="Palatino Linotype"/>
          <w:i/>
          <w:sz w:val="24"/>
        </w:rPr>
        <w:t>“</w:t>
      </w:r>
      <w:r w:rsidRPr="00823DD3">
        <w:rPr>
          <w:rFonts w:ascii="Palatino Linotype" w:hAnsi="Palatino Linotype" w:cs="Arial"/>
          <w:b/>
          <w:i/>
          <w:sz w:val="24"/>
          <w:szCs w:val="24"/>
        </w:rPr>
        <w:t>Oficio SM-VCL-222-06-2022.pdf</w:t>
      </w:r>
      <w:r>
        <w:rPr>
          <w:rFonts w:ascii="Palatino Linotype" w:hAnsi="Palatino Linotype" w:cs="Arial"/>
          <w:b/>
          <w:i/>
          <w:sz w:val="24"/>
          <w:szCs w:val="24"/>
        </w:rPr>
        <w:t xml:space="preserve">, </w:t>
      </w:r>
      <w:r w:rsidRPr="00823DD3">
        <w:rPr>
          <w:rFonts w:ascii="Palatino Linotype" w:hAnsi="Palatino Linotype" w:cs="Arial"/>
          <w:b/>
          <w:i/>
          <w:sz w:val="24"/>
          <w:szCs w:val="24"/>
        </w:rPr>
        <w:t>Acuerdo 1-5 ordinaria.pdf</w:t>
      </w:r>
      <w:r w:rsidRPr="00823DD3">
        <w:rPr>
          <w:rFonts w:ascii="Palatino Linotype" w:hAnsi="Palatino Linotype" w:cs="Arial"/>
          <w:sz w:val="24"/>
          <w:szCs w:val="24"/>
        </w:rPr>
        <w:t xml:space="preserve"> y </w:t>
      </w:r>
      <w:r w:rsidRPr="00823DD3">
        <w:rPr>
          <w:rFonts w:ascii="Palatino Linotype" w:hAnsi="Palatino Linotype" w:cs="Arial"/>
          <w:b/>
          <w:i/>
          <w:sz w:val="24"/>
          <w:szCs w:val="24"/>
        </w:rPr>
        <w:t>Respuesta integradora 219 oficio 627.pdf</w:t>
      </w:r>
      <w:r w:rsidRPr="00BA20A8">
        <w:rPr>
          <w:rFonts w:ascii="Palatino Linotype" w:hAnsi="Palatino Linotype" w:cs="Arial"/>
          <w:sz w:val="24"/>
          <w:szCs w:val="24"/>
        </w:rPr>
        <w:t>”</w:t>
      </w:r>
      <w:r w:rsidR="008A5D99">
        <w:rPr>
          <w:rFonts w:ascii="Palatino Linotype" w:hAnsi="Palatino Linotype" w:cs="Arial"/>
          <w:sz w:val="24"/>
          <w:szCs w:val="24"/>
        </w:rPr>
        <w:t>, de los que se procede a la descripción de su contenido a continuación:</w:t>
      </w:r>
    </w:p>
    <w:p w:rsidR="008A5D99" w:rsidRDefault="008A5D99" w:rsidP="00F24A91">
      <w:pPr>
        <w:spacing w:after="0" w:line="360" w:lineRule="auto"/>
        <w:jc w:val="both"/>
        <w:rPr>
          <w:rFonts w:ascii="Palatino Linotype" w:hAnsi="Palatino Linotype" w:cs="Arial"/>
          <w:sz w:val="24"/>
          <w:szCs w:val="24"/>
        </w:rPr>
      </w:pPr>
    </w:p>
    <w:p w:rsidR="008A5D99" w:rsidRPr="004A4BD1" w:rsidRDefault="00880F12" w:rsidP="00F24A91">
      <w:pPr>
        <w:pStyle w:val="Prrafodelista"/>
        <w:numPr>
          <w:ilvl w:val="0"/>
          <w:numId w:val="5"/>
        </w:numPr>
        <w:spacing w:line="360" w:lineRule="auto"/>
        <w:jc w:val="both"/>
        <w:rPr>
          <w:rFonts w:ascii="Palatino Linotype" w:eastAsia="Calibri" w:hAnsi="Palatino Linotype"/>
          <w:lang w:val="es-ES_tradnl"/>
        </w:rPr>
      </w:pPr>
      <w:r w:rsidRPr="00823DD3">
        <w:rPr>
          <w:rFonts w:ascii="Palatino Linotype" w:hAnsi="Palatino Linotype" w:cs="Arial"/>
          <w:b/>
          <w:i/>
        </w:rPr>
        <w:t>Respuesta integradora 219 oficio 627.pdf</w:t>
      </w:r>
      <w:r w:rsidR="008A5D99">
        <w:rPr>
          <w:rFonts w:ascii="Palatino Linotype" w:eastAsia="Calibri" w:hAnsi="Palatino Linotype"/>
        </w:rPr>
        <w:t xml:space="preserve">: </w:t>
      </w:r>
      <w:r w:rsidR="008A5D99">
        <w:rPr>
          <w:rFonts w:ascii="Palatino Linotype" w:eastAsia="Calibri" w:hAnsi="Palatino Linotype"/>
          <w:lang w:val="es-ES_tradnl"/>
        </w:rPr>
        <w:t>oficio número UT/</w:t>
      </w:r>
      <w:r>
        <w:rPr>
          <w:rFonts w:ascii="Palatino Linotype" w:eastAsia="Calibri" w:hAnsi="Palatino Linotype"/>
          <w:lang w:val="es-ES_tradnl"/>
        </w:rPr>
        <w:t>KMP</w:t>
      </w:r>
      <w:r w:rsidR="008A5D99">
        <w:rPr>
          <w:rFonts w:ascii="Palatino Linotype" w:eastAsia="Calibri" w:hAnsi="Palatino Linotype"/>
          <w:lang w:val="es-ES_tradnl"/>
        </w:rPr>
        <w:t>/</w:t>
      </w:r>
      <w:r>
        <w:rPr>
          <w:rFonts w:ascii="Palatino Linotype" w:eastAsia="Calibri" w:hAnsi="Palatino Linotype"/>
          <w:lang w:val="es-ES_tradnl"/>
        </w:rPr>
        <w:t>627</w:t>
      </w:r>
      <w:r w:rsidR="008A5D99">
        <w:rPr>
          <w:rFonts w:ascii="Palatino Linotype" w:eastAsia="Calibri" w:hAnsi="Palatino Linotype"/>
          <w:lang w:val="es-ES_tradnl"/>
        </w:rPr>
        <w:t>/2022 del veinti</w:t>
      </w:r>
      <w:r>
        <w:rPr>
          <w:rFonts w:ascii="Palatino Linotype" w:eastAsia="Calibri" w:hAnsi="Palatino Linotype"/>
          <w:lang w:val="es-ES_tradnl"/>
        </w:rPr>
        <w:t xml:space="preserve">ocho de </w:t>
      </w:r>
      <w:r w:rsidR="008A5D99">
        <w:rPr>
          <w:rFonts w:ascii="Palatino Linotype" w:eastAsia="Calibri" w:hAnsi="Palatino Linotype"/>
          <w:lang w:val="es-ES_tradnl"/>
        </w:rPr>
        <w:t>junio de dos mil veintidós, remitido por el Titular de la Unidad de Transparencia y Protección de Datos Personales del Sujeto Obligado al entonces Solicitante, mediante el cual informa hacer entrega de</w:t>
      </w:r>
      <w:r>
        <w:rPr>
          <w:rFonts w:ascii="Palatino Linotype" w:eastAsia="Calibri" w:hAnsi="Palatino Linotype"/>
          <w:lang w:val="es-ES_tradnl"/>
        </w:rPr>
        <w:t xml:space="preserve"> la respuesta proporcionada</w:t>
      </w:r>
      <w:r w:rsidR="008A5D99">
        <w:rPr>
          <w:rFonts w:ascii="Palatino Linotype" w:eastAsia="Calibri" w:hAnsi="Palatino Linotype"/>
          <w:lang w:val="es-ES_tradnl"/>
        </w:rPr>
        <w:t xml:space="preserve"> por el </w:t>
      </w:r>
      <w:r>
        <w:rPr>
          <w:rFonts w:ascii="Palatino Linotype" w:eastAsia="Calibri" w:hAnsi="Palatino Linotype"/>
          <w:lang w:val="es-ES_tradnl"/>
        </w:rPr>
        <w:t>Síndico Municipal</w:t>
      </w:r>
      <w:r w:rsidR="008A5D99">
        <w:rPr>
          <w:rFonts w:ascii="Palatino Linotype" w:eastAsia="Calibri" w:hAnsi="Palatino Linotype"/>
          <w:lang w:val="es-ES_tradnl"/>
        </w:rPr>
        <w:t>.</w:t>
      </w:r>
    </w:p>
    <w:p w:rsidR="008A5D99" w:rsidRDefault="008A5D99" w:rsidP="00F24A91">
      <w:pPr>
        <w:spacing w:after="0" w:line="360" w:lineRule="auto"/>
        <w:jc w:val="both"/>
        <w:rPr>
          <w:rFonts w:ascii="Palatino Linotype" w:eastAsia="Calibri" w:hAnsi="Palatino Linotype"/>
          <w:sz w:val="24"/>
          <w:lang w:val="es-ES_tradnl"/>
        </w:rPr>
      </w:pPr>
    </w:p>
    <w:p w:rsidR="008A5D99" w:rsidRPr="004A4BD1" w:rsidRDefault="00880F12" w:rsidP="00F24A91">
      <w:pPr>
        <w:pStyle w:val="Prrafodelista"/>
        <w:numPr>
          <w:ilvl w:val="0"/>
          <w:numId w:val="5"/>
        </w:numPr>
        <w:spacing w:line="360" w:lineRule="auto"/>
        <w:jc w:val="both"/>
        <w:rPr>
          <w:rFonts w:ascii="Palatino Linotype" w:eastAsia="Calibri" w:hAnsi="Palatino Linotype"/>
          <w:lang w:val="es-ES_tradnl"/>
        </w:rPr>
      </w:pPr>
      <w:r w:rsidRPr="00823DD3">
        <w:rPr>
          <w:rFonts w:ascii="Palatino Linotype" w:hAnsi="Palatino Linotype" w:cs="Arial"/>
          <w:b/>
          <w:i/>
        </w:rPr>
        <w:t>Oficio SM-VCL-222-06-2022.pdf</w:t>
      </w:r>
      <w:r w:rsidR="008A5D99">
        <w:rPr>
          <w:rFonts w:ascii="Palatino Linotype" w:hAnsi="Palatino Linotype" w:cs="Arial"/>
          <w:b/>
          <w:i/>
        </w:rPr>
        <w:t>:</w:t>
      </w:r>
      <w:r w:rsidR="008A5D99">
        <w:rPr>
          <w:rFonts w:ascii="Palatino Linotype" w:hAnsi="Palatino Linotype" w:cs="Arial"/>
        </w:rPr>
        <w:t xml:space="preserve"> oficio número </w:t>
      </w:r>
      <w:r>
        <w:rPr>
          <w:rFonts w:ascii="Palatino Linotype" w:hAnsi="Palatino Linotype" w:cs="Arial"/>
        </w:rPr>
        <w:t>SM/VCL/222/06-2022</w:t>
      </w:r>
      <w:r w:rsidR="008A5D99">
        <w:rPr>
          <w:rFonts w:ascii="Palatino Linotype" w:hAnsi="Palatino Linotype" w:cs="Arial"/>
        </w:rPr>
        <w:t xml:space="preserve"> del </w:t>
      </w:r>
      <w:r>
        <w:rPr>
          <w:rFonts w:ascii="Palatino Linotype" w:hAnsi="Palatino Linotype" w:cs="Arial"/>
        </w:rPr>
        <w:t>catorce</w:t>
      </w:r>
      <w:r w:rsidR="008A5D99">
        <w:rPr>
          <w:rFonts w:ascii="Palatino Linotype" w:hAnsi="Palatino Linotype" w:cs="Arial"/>
        </w:rPr>
        <w:t xml:space="preserve"> de junio de dos mil veintidós, mediante el cual el </w:t>
      </w:r>
      <w:r>
        <w:rPr>
          <w:rFonts w:ascii="Palatino Linotype" w:hAnsi="Palatino Linotype" w:cs="Arial"/>
        </w:rPr>
        <w:t xml:space="preserve">Síndico </w:t>
      </w:r>
      <w:r w:rsidR="008A5D99">
        <w:rPr>
          <w:rFonts w:ascii="Palatino Linotype" w:hAnsi="Palatino Linotype" w:cs="Arial"/>
        </w:rPr>
        <w:t>Municipal informa al Titular de la Unidad de Transparencia, ambos del Sujeto Obligado, sustancialmente lo siguiente:</w:t>
      </w:r>
    </w:p>
    <w:p w:rsidR="008A5D99" w:rsidRDefault="008A5D99" w:rsidP="00F24A91">
      <w:pPr>
        <w:spacing w:after="0" w:line="360" w:lineRule="auto"/>
        <w:jc w:val="both"/>
        <w:rPr>
          <w:rFonts w:ascii="Palatino Linotype" w:eastAsia="Calibri" w:hAnsi="Palatino Linotype"/>
          <w:sz w:val="24"/>
          <w:lang w:val="es-ES_tradnl"/>
        </w:rPr>
      </w:pPr>
    </w:p>
    <w:p w:rsidR="008A5D99" w:rsidRDefault="008A5D99" w:rsidP="00F24A91">
      <w:pPr>
        <w:spacing w:after="0" w:line="240" w:lineRule="auto"/>
        <w:ind w:left="567" w:right="567"/>
        <w:jc w:val="both"/>
        <w:rPr>
          <w:rFonts w:ascii="Palatino Linotype" w:eastAsia="Calibri" w:hAnsi="Palatino Linotype"/>
          <w:i/>
        </w:rPr>
      </w:pPr>
      <w:r>
        <w:rPr>
          <w:rFonts w:ascii="Palatino Linotype" w:eastAsia="Calibri" w:hAnsi="Palatino Linotype"/>
          <w:i/>
          <w:lang w:val="es-ES_tradnl"/>
        </w:rPr>
        <w:t>“…</w:t>
      </w:r>
      <w:r w:rsidR="00880F12" w:rsidRPr="00880F12">
        <w:rPr>
          <w:rFonts w:ascii="Palatino Linotype" w:eastAsia="Calibri" w:hAnsi="Palatino Linotype"/>
          <w:i/>
        </w:rPr>
        <w:t>la documentación</w:t>
      </w:r>
      <w:r w:rsidR="00880F12">
        <w:rPr>
          <w:rFonts w:ascii="Palatino Linotype" w:eastAsia="Calibri" w:hAnsi="Palatino Linotype"/>
          <w:i/>
        </w:rPr>
        <w:t xml:space="preserve"> </w:t>
      </w:r>
      <w:r w:rsidR="00880F12" w:rsidRPr="00880F12">
        <w:rPr>
          <w:rFonts w:ascii="Palatino Linotype" w:eastAsia="Calibri" w:hAnsi="Palatino Linotype"/>
          <w:i/>
        </w:rPr>
        <w:t>solicitada, contiene información y pruebas que serán consideradas en el Procedimiento de</w:t>
      </w:r>
      <w:r w:rsidR="00880F12">
        <w:rPr>
          <w:rFonts w:ascii="Palatino Linotype" w:eastAsia="Calibri" w:hAnsi="Palatino Linotype"/>
          <w:i/>
        </w:rPr>
        <w:t xml:space="preserve"> </w:t>
      </w:r>
      <w:r w:rsidR="00880F12" w:rsidRPr="00880F12">
        <w:rPr>
          <w:rFonts w:ascii="Palatino Linotype" w:eastAsia="Calibri" w:hAnsi="Palatino Linotype"/>
          <w:i/>
        </w:rPr>
        <w:t>Diferendos Limítrofes, que conociera la "LXI" Legislatura de esta</w:t>
      </w:r>
      <w:r w:rsidR="00880F12">
        <w:rPr>
          <w:rFonts w:ascii="Palatino Linotype" w:eastAsia="Calibri" w:hAnsi="Palatino Linotype"/>
          <w:i/>
        </w:rPr>
        <w:t xml:space="preserve"> Entidad</w:t>
      </w:r>
      <w:r w:rsidR="00873CD5">
        <w:rPr>
          <w:rFonts w:ascii="Palatino Linotype" w:eastAsia="Calibri" w:hAnsi="Palatino Linotype"/>
          <w:i/>
        </w:rPr>
        <w:t xml:space="preserve">, y que remitiera </w:t>
      </w:r>
      <w:r w:rsidR="00873CD5" w:rsidRPr="00873CD5">
        <w:rPr>
          <w:rFonts w:ascii="Palatino Linotype" w:eastAsia="Calibri" w:hAnsi="Palatino Linotype"/>
          <w:i/>
        </w:rPr>
        <w:t>que remitiera a la</w:t>
      </w:r>
      <w:r w:rsidR="00873CD5">
        <w:rPr>
          <w:rFonts w:ascii="Palatino Linotype" w:eastAsia="Calibri" w:hAnsi="Palatino Linotype"/>
          <w:i/>
        </w:rPr>
        <w:t xml:space="preserve"> Comisión Legislativa de </w:t>
      </w:r>
      <w:r w:rsidR="00C91B4E">
        <w:rPr>
          <w:rFonts w:ascii="Palatino Linotype" w:eastAsia="Calibri" w:hAnsi="Palatino Linotype"/>
          <w:i/>
        </w:rPr>
        <w:t>Límites</w:t>
      </w:r>
      <w:r w:rsidR="00873CD5">
        <w:rPr>
          <w:rFonts w:ascii="Palatino Linotype" w:eastAsia="Calibri" w:hAnsi="Palatino Linotype"/>
          <w:i/>
        </w:rPr>
        <w:t xml:space="preserve"> Territoriales del Estado de México y sus municipios,</w:t>
      </w:r>
      <w:r w:rsidR="00873CD5" w:rsidRPr="00873CD5">
        <w:rPr>
          <w:rFonts w:ascii="Palatino Linotype" w:eastAsia="Calibri" w:hAnsi="Palatino Linotype"/>
          <w:i/>
        </w:rPr>
        <w:t xml:space="preserve"> procedimiento que en la actualidad se encuentra vigente ante dicha autoridad, y que y en virtud</w:t>
      </w:r>
      <w:r w:rsidR="00873CD5">
        <w:rPr>
          <w:rFonts w:ascii="Palatino Linotype" w:eastAsia="Calibri" w:hAnsi="Palatino Linotype"/>
          <w:i/>
        </w:rPr>
        <w:t xml:space="preserve"> </w:t>
      </w:r>
      <w:r w:rsidR="00873CD5" w:rsidRPr="00873CD5">
        <w:rPr>
          <w:rFonts w:ascii="Palatino Linotype" w:eastAsia="Calibri" w:hAnsi="Palatino Linotype"/>
          <w:i/>
        </w:rPr>
        <w:t xml:space="preserve">de que es un proceso sub iúdice en el cual </w:t>
      </w:r>
      <w:r w:rsidR="00873CD5" w:rsidRPr="00873CD5">
        <w:rPr>
          <w:rFonts w:ascii="Palatino Linotype" w:eastAsia="Calibri" w:hAnsi="Palatino Linotype"/>
          <w:i/>
        </w:rPr>
        <w:lastRenderedPageBreak/>
        <w:t xml:space="preserve">se deben de agotar diversas sus </w:t>
      </w:r>
      <w:r w:rsidR="00873CD5">
        <w:rPr>
          <w:rFonts w:ascii="Palatino Linotype" w:eastAsia="Calibri" w:hAnsi="Palatino Linotype"/>
          <w:i/>
        </w:rPr>
        <w:t>etapas</w:t>
      </w:r>
      <w:r w:rsidR="00873CD5" w:rsidRPr="00873CD5">
        <w:rPr>
          <w:rFonts w:ascii="Palatino Linotype" w:eastAsia="Calibri" w:hAnsi="Palatino Linotype"/>
          <w:i/>
        </w:rPr>
        <w:t xml:space="preserve"> procesales, y </w:t>
      </w:r>
      <w:r w:rsidR="00873CD5">
        <w:rPr>
          <w:rFonts w:ascii="Palatino Linotype" w:eastAsia="Calibri" w:hAnsi="Palatino Linotype"/>
          <w:i/>
        </w:rPr>
        <w:t xml:space="preserve">el </w:t>
      </w:r>
      <w:r w:rsidR="00873CD5" w:rsidRPr="00873CD5">
        <w:rPr>
          <w:rFonts w:ascii="Palatino Linotype" w:eastAsia="Calibri" w:hAnsi="Palatino Linotype"/>
          <w:i/>
        </w:rPr>
        <w:t>dar a conocer por el momento información y contenido que contienen diversos documentos</w:t>
      </w:r>
      <w:r w:rsidR="00C91B4E">
        <w:rPr>
          <w:rFonts w:ascii="Palatino Linotype" w:eastAsia="Calibri" w:hAnsi="Palatino Linotype"/>
          <w:i/>
        </w:rPr>
        <w:t xml:space="preserve"> </w:t>
      </w:r>
      <w:r w:rsidR="00873CD5" w:rsidRPr="00873CD5">
        <w:rPr>
          <w:rFonts w:ascii="Palatino Linotype" w:eastAsia="Calibri" w:hAnsi="Palatino Linotype"/>
          <w:i/>
        </w:rPr>
        <w:t xml:space="preserve">relacionados con este asunto, </w:t>
      </w:r>
      <w:r w:rsidR="00873CD5" w:rsidRPr="00C91B4E">
        <w:rPr>
          <w:rFonts w:ascii="Palatino Linotype" w:eastAsia="Calibri" w:hAnsi="Palatino Linotype"/>
          <w:b/>
          <w:i/>
        </w:rPr>
        <w:t>podría poner en riesgo y entorpecer la defensa que se tiene</w:t>
      </w:r>
      <w:r w:rsidR="00C91B4E" w:rsidRPr="00C91B4E">
        <w:rPr>
          <w:rFonts w:ascii="Palatino Linotype" w:eastAsia="Calibri" w:hAnsi="Palatino Linotype"/>
          <w:b/>
          <w:i/>
        </w:rPr>
        <w:t xml:space="preserve"> </w:t>
      </w:r>
      <w:r w:rsidR="00873CD5" w:rsidRPr="00C91B4E">
        <w:rPr>
          <w:rFonts w:ascii="Palatino Linotype" w:eastAsia="Calibri" w:hAnsi="Palatino Linotype"/>
          <w:b/>
          <w:i/>
        </w:rPr>
        <w:t>planteada para defender la línea limítrofe (divisoria) que se tiene que respetar por parte</w:t>
      </w:r>
      <w:r w:rsidR="00C91B4E" w:rsidRPr="00C91B4E">
        <w:rPr>
          <w:rFonts w:ascii="Palatino Linotype" w:eastAsia="Calibri" w:hAnsi="Palatino Linotype"/>
          <w:b/>
          <w:i/>
        </w:rPr>
        <w:t xml:space="preserve"> </w:t>
      </w:r>
      <w:r w:rsidR="00873CD5" w:rsidRPr="00C91B4E">
        <w:rPr>
          <w:rFonts w:ascii="Palatino Linotype" w:eastAsia="Calibri" w:hAnsi="Palatino Linotype"/>
          <w:b/>
          <w:i/>
        </w:rPr>
        <w:t>de los contrarios, por lo que se insiste, que al dar a conocer en este momento dicha información, el resultado del Juicio, sería negativo para los intereses de los habitantes y este Ayuntamiento de Teoloyucan.</w:t>
      </w:r>
    </w:p>
    <w:p w:rsidR="00873CD5" w:rsidRDefault="00873CD5" w:rsidP="00F24A91">
      <w:pPr>
        <w:spacing w:after="0" w:line="240" w:lineRule="auto"/>
        <w:ind w:left="567" w:right="567"/>
        <w:jc w:val="both"/>
        <w:rPr>
          <w:rFonts w:ascii="Palatino Linotype" w:eastAsia="Calibri" w:hAnsi="Palatino Linotype"/>
          <w:i/>
        </w:rPr>
      </w:pPr>
    </w:p>
    <w:p w:rsidR="00873CD5" w:rsidRDefault="00C91B4E" w:rsidP="00F24A91">
      <w:pPr>
        <w:spacing w:after="0" w:line="240" w:lineRule="auto"/>
        <w:ind w:left="567" w:right="567"/>
        <w:jc w:val="both"/>
        <w:rPr>
          <w:rFonts w:ascii="Palatino Linotype" w:eastAsia="Calibri" w:hAnsi="Palatino Linotype"/>
          <w:i/>
        </w:rPr>
      </w:pPr>
      <w:r w:rsidRPr="00C91B4E">
        <w:rPr>
          <w:rFonts w:ascii="Palatino Linotype" w:eastAsia="Calibri" w:hAnsi="Palatino Linotype"/>
          <w:i/>
        </w:rPr>
        <w:t>En razón de lo anterior y p</w:t>
      </w:r>
      <w:r>
        <w:rPr>
          <w:rFonts w:ascii="Palatino Linotype" w:eastAsia="Calibri" w:hAnsi="Palatino Linotype"/>
          <w:i/>
        </w:rPr>
        <w:t>or ser esto "</w:t>
      </w:r>
      <w:r w:rsidRPr="00C91B4E">
        <w:rPr>
          <w:rFonts w:ascii="Palatino Linotype" w:eastAsia="Calibri" w:hAnsi="Palatino Linotype"/>
          <w:b/>
          <w:i/>
        </w:rPr>
        <w:t>UN HECHO NOTORIO</w:t>
      </w:r>
      <w:r>
        <w:rPr>
          <w:rFonts w:ascii="Palatino Linotype" w:eastAsia="Calibri" w:hAnsi="Palatino Linotype"/>
          <w:i/>
        </w:rPr>
        <w:t xml:space="preserve">", </w:t>
      </w:r>
      <w:r w:rsidRPr="00C91B4E">
        <w:rPr>
          <w:rFonts w:ascii="Palatino Linotype" w:eastAsia="Calibri" w:hAnsi="Palatino Linotype"/>
          <w:i/>
        </w:rPr>
        <w:t>solicito de esta Unidad</w:t>
      </w:r>
      <w:r>
        <w:rPr>
          <w:rFonts w:ascii="Palatino Linotype" w:eastAsia="Calibri" w:hAnsi="Palatino Linotype"/>
          <w:i/>
        </w:rPr>
        <w:t xml:space="preserve"> </w:t>
      </w:r>
      <w:r w:rsidRPr="00C91B4E">
        <w:rPr>
          <w:rFonts w:ascii="Palatino Linotype" w:eastAsia="Calibri" w:hAnsi="Palatino Linotype"/>
          <w:i/>
        </w:rPr>
        <w:t>de Transparencia, que por el momento y hasta que sea resuelta dicha</w:t>
      </w:r>
      <w:r>
        <w:rPr>
          <w:rFonts w:ascii="Palatino Linotype" w:eastAsia="Calibri" w:hAnsi="Palatino Linotype"/>
          <w:i/>
        </w:rPr>
        <w:t xml:space="preserve"> controversia, mediante</w:t>
      </w:r>
      <w:r w:rsidRPr="00C91B4E">
        <w:rPr>
          <w:rFonts w:ascii="Palatino Linotype" w:eastAsia="Calibri" w:hAnsi="Palatino Linotype"/>
          <w:i/>
        </w:rPr>
        <w:t xml:space="preserve"> resoluciones firmes, se clasifique la información que se contiene en la documentación</w:t>
      </w:r>
      <w:r>
        <w:rPr>
          <w:rFonts w:ascii="Palatino Linotype" w:eastAsia="Calibri" w:hAnsi="Palatino Linotype"/>
          <w:i/>
        </w:rPr>
        <w:t xml:space="preserve"> </w:t>
      </w:r>
      <w:r w:rsidRPr="00C91B4E">
        <w:rPr>
          <w:rFonts w:ascii="Palatino Linotype" w:eastAsia="Calibri" w:hAnsi="Palatino Linotype"/>
          <w:i/>
        </w:rPr>
        <w:t xml:space="preserve">correspondiente, como </w:t>
      </w:r>
      <w:r w:rsidRPr="00C91B4E">
        <w:rPr>
          <w:rFonts w:ascii="Palatino Linotype" w:eastAsia="Calibri" w:hAnsi="Palatino Linotype"/>
          <w:b/>
          <w:i/>
          <w:u w:val="single"/>
        </w:rPr>
        <w:t>RESERVADA TEMPORALMENTE</w:t>
      </w:r>
      <w:r w:rsidRPr="00C91B4E">
        <w:rPr>
          <w:rFonts w:ascii="Palatino Linotype" w:eastAsia="Calibri" w:hAnsi="Palatino Linotype"/>
          <w:i/>
        </w:rPr>
        <w:t>, para que permanezca con este</w:t>
      </w:r>
      <w:r>
        <w:rPr>
          <w:rFonts w:ascii="Palatino Linotype" w:eastAsia="Calibri" w:hAnsi="Palatino Linotype"/>
          <w:i/>
        </w:rPr>
        <w:t xml:space="preserve"> </w:t>
      </w:r>
      <w:r w:rsidRPr="00C91B4E">
        <w:rPr>
          <w:rFonts w:ascii="Palatino Linotype" w:eastAsia="Calibri" w:hAnsi="Palatino Linotype"/>
          <w:i/>
        </w:rPr>
        <w:t>carácter hasta por un periodo de cinco (5) años, contados a partir de su</w:t>
      </w:r>
      <w:r>
        <w:rPr>
          <w:rFonts w:ascii="Palatino Linotype" w:eastAsia="Calibri" w:hAnsi="Palatino Linotype"/>
          <w:i/>
        </w:rPr>
        <w:t xml:space="preserve"> clasificación salvo que antes del cumplimiento </w:t>
      </w:r>
      <w:r w:rsidRPr="00C91B4E">
        <w:rPr>
          <w:rFonts w:ascii="Palatino Linotype" w:eastAsia="Calibri" w:hAnsi="Palatino Linotype"/>
          <w:i/>
        </w:rPr>
        <w:t>del periodo de restricción, dejaran de existir los motivos de su reserva, que es precisamente, con una Sentencia que quede firme, esto por</w:t>
      </w:r>
      <w:r>
        <w:rPr>
          <w:rFonts w:ascii="Palatino Linotype" w:eastAsia="Calibri" w:hAnsi="Palatino Linotype"/>
          <w:i/>
        </w:rPr>
        <w:t xml:space="preserve"> razones de interés P</w:t>
      </w:r>
      <w:r w:rsidRPr="00C91B4E">
        <w:rPr>
          <w:rFonts w:ascii="Palatino Linotype" w:eastAsia="Calibri" w:hAnsi="Palatino Linotype"/>
          <w:i/>
        </w:rPr>
        <w:t>úblico y Seguridad Municipal, en virtud de que esta información al ser</w:t>
      </w:r>
      <w:r>
        <w:rPr>
          <w:rFonts w:ascii="Palatino Linotype" w:eastAsia="Calibri" w:hAnsi="Palatino Linotype"/>
          <w:i/>
        </w:rPr>
        <w:t xml:space="preserve"> conocida, evidentemente vulnera la conducción del Expediente que se lleva mediante un procedimiento legal, ya que interés jurídicamente protegido es el llevar un debido proceso y evitar que se cause un daño de imposible reparación que puede producirse con la entrega de la información solicitada, siendo que esto es mayor, que el interés de conocerla por pare de cualquier persona, lo anterior encuentra su fundamentación en términos</w:t>
      </w:r>
      <w:r w:rsidR="008A5E44" w:rsidRPr="008A5E44">
        <w:t xml:space="preserve"> </w:t>
      </w:r>
      <w:r w:rsidR="008A5E44" w:rsidRPr="008A5E44">
        <w:rPr>
          <w:rFonts w:ascii="Palatino Linotype" w:eastAsia="Calibri" w:hAnsi="Palatino Linotype"/>
          <w:i/>
        </w:rPr>
        <w:t>de lo dispuesto por el Artículo</w:t>
      </w:r>
      <w:r>
        <w:rPr>
          <w:rFonts w:ascii="Palatino Linotype" w:eastAsia="Calibri" w:hAnsi="Palatino Linotype"/>
          <w:i/>
        </w:rPr>
        <w:t xml:space="preserve"> </w:t>
      </w:r>
      <w:r w:rsidR="008A5E44">
        <w:rPr>
          <w:rFonts w:ascii="Palatino Linotype" w:eastAsia="Calibri" w:hAnsi="Palatino Linotype"/>
          <w:i/>
        </w:rPr>
        <w:t xml:space="preserve">113 Fracción XI de la Ley General de Transparencia y Acceso a la Información Pública; Artículo 140 Fracciones VI, VIII, X y XI de la </w:t>
      </w:r>
      <w:r w:rsidR="008A5E44" w:rsidRPr="008A5E44">
        <w:rPr>
          <w:rFonts w:ascii="Palatino Linotype" w:eastAsia="Calibri" w:hAnsi="Palatino Linotype"/>
          <w:i/>
        </w:rPr>
        <w:t>Ley de Transparencia y Acceso a la Información</w:t>
      </w:r>
      <w:r w:rsidR="008A5E44">
        <w:rPr>
          <w:rFonts w:ascii="Palatino Linotype" w:eastAsia="Calibri" w:hAnsi="Palatino Linotype"/>
          <w:i/>
        </w:rPr>
        <w:t xml:space="preserve"> </w:t>
      </w:r>
      <w:r w:rsidR="008A5E44" w:rsidRPr="008A5E44">
        <w:rPr>
          <w:rFonts w:ascii="Palatino Linotype" w:eastAsia="Calibri" w:hAnsi="Palatino Linotype"/>
          <w:i/>
        </w:rPr>
        <w:t>Pública del Estado de México y Municipios</w:t>
      </w:r>
      <w:r w:rsidR="002D5F1E">
        <w:rPr>
          <w:rFonts w:ascii="Palatino Linotype" w:eastAsia="Calibri" w:hAnsi="Palatino Linotype"/>
          <w:i/>
        </w:rPr>
        <w:t xml:space="preserve">; Vigésimo Noveno, Trigésimo, Trigésimo Tercero, de los Lineamientos Generales en Materia de Clasificación y Desclasificación de la Información, así como la Elaboración de Versiones Públicas, disposiciones legales, los cuales se transcriben y que ordenan lo siguiente: </w:t>
      </w:r>
    </w:p>
    <w:p w:rsidR="002D5F1E" w:rsidRDefault="002D5F1E" w:rsidP="00F24A91">
      <w:pPr>
        <w:spacing w:after="0" w:line="240" w:lineRule="auto"/>
        <w:ind w:left="567" w:right="567"/>
        <w:jc w:val="both"/>
        <w:rPr>
          <w:rFonts w:ascii="Palatino Linotype" w:eastAsia="Calibri" w:hAnsi="Palatino Linotype"/>
          <w:i/>
        </w:rPr>
      </w:pPr>
    </w:p>
    <w:p w:rsidR="002D5F1E" w:rsidRDefault="002F6FD0" w:rsidP="00F24A91">
      <w:pPr>
        <w:spacing w:after="0" w:line="240" w:lineRule="auto"/>
        <w:ind w:left="567" w:right="567"/>
        <w:jc w:val="center"/>
        <w:rPr>
          <w:rFonts w:ascii="Palatino Linotype" w:eastAsia="Calibri" w:hAnsi="Palatino Linotype"/>
          <w:i/>
        </w:rPr>
      </w:pPr>
      <w:r>
        <w:rPr>
          <w:rFonts w:ascii="Palatino Linotype" w:eastAsia="Calibri" w:hAnsi="Palatino Linotype"/>
          <w:i/>
        </w:rPr>
        <w:t>(Preceptos legales)</w:t>
      </w:r>
    </w:p>
    <w:p w:rsidR="002F6FD0" w:rsidRDefault="002F6FD0" w:rsidP="00F24A91">
      <w:pPr>
        <w:spacing w:after="0" w:line="240" w:lineRule="auto"/>
        <w:ind w:left="567" w:right="567"/>
        <w:jc w:val="center"/>
        <w:rPr>
          <w:rFonts w:ascii="Palatino Linotype" w:eastAsia="Calibri" w:hAnsi="Palatino Linotype"/>
          <w:i/>
        </w:rPr>
      </w:pPr>
    </w:p>
    <w:p w:rsidR="002D5F1E" w:rsidRDefault="002D5F1E" w:rsidP="00F24A91">
      <w:pPr>
        <w:spacing w:after="0" w:line="240" w:lineRule="auto"/>
        <w:ind w:left="567" w:right="567"/>
        <w:jc w:val="both"/>
        <w:rPr>
          <w:rFonts w:ascii="Palatino Linotype" w:eastAsia="Calibri" w:hAnsi="Palatino Linotype"/>
          <w:i/>
        </w:rPr>
      </w:pPr>
      <w:r w:rsidRPr="002D5F1E">
        <w:rPr>
          <w:rFonts w:ascii="Palatino Linotype" w:eastAsia="Calibri" w:hAnsi="Palatino Linotype"/>
          <w:i/>
        </w:rPr>
        <w:t>Dada la naturaleza de las controversias que conoce la autoridad competente, Y como se ha</w:t>
      </w:r>
      <w:r>
        <w:rPr>
          <w:rFonts w:ascii="Palatino Linotype" w:eastAsia="Calibri" w:hAnsi="Palatino Linotype"/>
          <w:i/>
        </w:rPr>
        <w:t xml:space="preserve"> </w:t>
      </w:r>
      <w:r w:rsidRPr="002D5F1E">
        <w:rPr>
          <w:rFonts w:ascii="Palatino Linotype" w:eastAsia="Calibri" w:hAnsi="Palatino Linotype"/>
          <w:i/>
        </w:rPr>
        <w:t xml:space="preserve">dicho hasta la saciedad, es por lo que solicito, que por el momento se declare la </w:t>
      </w:r>
      <w:r w:rsidRPr="002D5F1E">
        <w:rPr>
          <w:rFonts w:ascii="Palatino Linotype" w:eastAsia="Calibri" w:hAnsi="Palatino Linotype"/>
          <w:b/>
          <w:i/>
          <w:u w:val="single"/>
        </w:rPr>
        <w:t>RESERVA TOTAL</w:t>
      </w:r>
      <w:r w:rsidRPr="002D5F1E">
        <w:rPr>
          <w:rFonts w:ascii="Palatino Linotype" w:eastAsia="Calibri" w:hAnsi="Palatino Linotype"/>
          <w:i/>
        </w:rPr>
        <w:t xml:space="preserve"> de la información que se contiene en la documentación requerida, mismas que servirán de pruebas en su momento procesal oportuno.</w:t>
      </w:r>
      <w:r w:rsidR="002F6FD0">
        <w:rPr>
          <w:rFonts w:ascii="Palatino Linotype" w:eastAsia="Calibri" w:hAnsi="Palatino Linotype"/>
          <w:i/>
        </w:rPr>
        <w:t>”</w:t>
      </w:r>
    </w:p>
    <w:p w:rsidR="008A5D99" w:rsidRDefault="008A5D99" w:rsidP="00F24A91">
      <w:pPr>
        <w:spacing w:after="0" w:line="360" w:lineRule="auto"/>
        <w:jc w:val="both"/>
        <w:rPr>
          <w:rFonts w:ascii="Palatino Linotype" w:eastAsia="Calibri" w:hAnsi="Palatino Linotype"/>
          <w:sz w:val="24"/>
          <w:lang w:val="es-ES_tradnl"/>
        </w:rPr>
      </w:pPr>
    </w:p>
    <w:p w:rsidR="00604E3B" w:rsidRPr="00604E3B" w:rsidRDefault="00604E3B" w:rsidP="00F24A91">
      <w:pPr>
        <w:pStyle w:val="Prrafodelista"/>
        <w:numPr>
          <w:ilvl w:val="0"/>
          <w:numId w:val="15"/>
        </w:numPr>
        <w:spacing w:line="360" w:lineRule="auto"/>
        <w:jc w:val="both"/>
        <w:rPr>
          <w:rFonts w:ascii="Palatino Linotype" w:eastAsia="Calibri" w:hAnsi="Palatino Linotype"/>
          <w:lang w:val="es-ES_tradnl"/>
        </w:rPr>
      </w:pPr>
      <w:r w:rsidRPr="00604E3B">
        <w:rPr>
          <w:rFonts w:ascii="Palatino Linotype" w:eastAsia="Calibri" w:hAnsi="Palatino Linotype"/>
          <w:b/>
          <w:lang w:val="es-ES_tradnl"/>
        </w:rPr>
        <w:t>Acuerdo 1-5 ordinaria.pdf:</w:t>
      </w:r>
      <w:r>
        <w:rPr>
          <w:rFonts w:ascii="Palatino Linotype" w:eastAsia="Calibri" w:hAnsi="Palatino Linotype"/>
          <w:lang w:val="es-ES_tradnl"/>
        </w:rPr>
        <w:t xml:space="preserve"> como su nombre lo indica, corresponde al Acuerdo número AC/TRANSTEOLO/QUINTA/ORDINARIA/PRIMERO/2022 que emite el Comité de Transparencia del Sujeto Obligado, en el cual aprobó la </w:t>
      </w:r>
      <w:r>
        <w:rPr>
          <w:rFonts w:ascii="Palatino Linotype" w:eastAsia="Calibri" w:hAnsi="Palatino Linotype"/>
          <w:lang w:val="es-ES_tradnl"/>
        </w:rPr>
        <w:lastRenderedPageBreak/>
        <w:t>clasificación como reservada por un periodo de cinco años, se inserta la imagen siguiente para mayor referencia:</w:t>
      </w:r>
    </w:p>
    <w:p w:rsidR="00604E3B" w:rsidRDefault="00604E3B" w:rsidP="00F24A91">
      <w:pPr>
        <w:spacing w:after="0" w:line="360" w:lineRule="auto"/>
        <w:jc w:val="both"/>
        <w:rPr>
          <w:rFonts w:ascii="Palatino Linotype" w:eastAsia="Calibri" w:hAnsi="Palatino Linotype"/>
          <w:sz w:val="24"/>
          <w:lang w:val="es-ES_tradnl"/>
        </w:rPr>
      </w:pPr>
    </w:p>
    <w:p w:rsidR="00604E3B" w:rsidRDefault="00604E3B" w:rsidP="00F24A91">
      <w:pPr>
        <w:spacing w:after="0" w:line="360" w:lineRule="auto"/>
        <w:jc w:val="both"/>
        <w:rPr>
          <w:rFonts w:ascii="Palatino Linotype" w:eastAsia="Calibri" w:hAnsi="Palatino Linotype"/>
          <w:sz w:val="24"/>
          <w:lang w:val="es-ES_tradnl"/>
        </w:rPr>
      </w:pPr>
      <w:r w:rsidRPr="00604E3B">
        <w:rPr>
          <w:rFonts w:ascii="Palatino Linotype" w:eastAsia="Calibri" w:hAnsi="Palatino Linotype"/>
          <w:noProof/>
          <w:sz w:val="24"/>
          <w:lang w:eastAsia="es-MX"/>
        </w:rPr>
        <w:drawing>
          <wp:inline distT="0" distB="0" distL="0" distR="0" wp14:anchorId="514D7D00" wp14:editId="35D5810B">
            <wp:extent cx="5760720" cy="2301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01875"/>
                    </a:xfrm>
                    <a:prstGeom prst="rect">
                      <a:avLst/>
                    </a:prstGeom>
                  </pic:spPr>
                </pic:pic>
              </a:graphicData>
            </a:graphic>
          </wp:inline>
        </w:drawing>
      </w:r>
    </w:p>
    <w:p w:rsidR="00604E3B" w:rsidRDefault="00604E3B" w:rsidP="00F24A91">
      <w:pPr>
        <w:spacing w:after="0" w:line="360" w:lineRule="auto"/>
        <w:jc w:val="both"/>
        <w:rPr>
          <w:rFonts w:ascii="Palatino Linotype" w:eastAsia="Calibri" w:hAnsi="Palatino Linotype"/>
          <w:sz w:val="24"/>
          <w:lang w:val="es-ES_tradnl"/>
        </w:rPr>
      </w:pPr>
    </w:p>
    <w:p w:rsidR="008A5D99" w:rsidRPr="00A62FD8" w:rsidRDefault="008A5D99" w:rsidP="00F24A91">
      <w:pPr>
        <w:spacing w:after="0" w:line="360" w:lineRule="auto"/>
        <w:jc w:val="both"/>
        <w:rPr>
          <w:rFonts w:ascii="Palatino Linotype" w:eastAsia="Calibri" w:hAnsi="Palatino Linotype"/>
          <w:sz w:val="24"/>
          <w:lang w:val="es-ES_tradnl"/>
        </w:rPr>
      </w:pPr>
      <w:r>
        <w:rPr>
          <w:rFonts w:ascii="Palatino Linotype" w:eastAsia="Calibri" w:hAnsi="Palatino Linotype"/>
          <w:sz w:val="24"/>
          <w:lang w:val="es-ES_tradnl"/>
        </w:rPr>
        <w:t xml:space="preserve">Inconforme con la respuesta, el </w:t>
      </w:r>
      <w:r w:rsidRPr="001A4F3E">
        <w:rPr>
          <w:rFonts w:ascii="Palatino Linotype" w:eastAsia="Calibri" w:hAnsi="Palatino Linotype"/>
          <w:b/>
          <w:sz w:val="24"/>
          <w:lang w:val="es-ES_tradnl"/>
        </w:rPr>
        <w:t>Recurrente</w:t>
      </w:r>
      <w:r>
        <w:rPr>
          <w:rFonts w:ascii="Palatino Linotype" w:eastAsia="Calibri" w:hAnsi="Palatino Linotype"/>
          <w:sz w:val="24"/>
          <w:lang w:val="es-ES_tradnl"/>
        </w:rPr>
        <w:t xml:space="preserve"> interpuso </w:t>
      </w:r>
      <w:r w:rsidR="002F6FD0">
        <w:rPr>
          <w:rFonts w:ascii="Palatino Linotype" w:eastAsia="Calibri" w:hAnsi="Palatino Linotype"/>
          <w:sz w:val="24"/>
          <w:lang w:val="es-ES_tradnl"/>
        </w:rPr>
        <w:t>el</w:t>
      </w:r>
      <w:r>
        <w:rPr>
          <w:rFonts w:ascii="Palatino Linotype" w:eastAsia="Calibri" w:hAnsi="Palatino Linotype"/>
          <w:sz w:val="24"/>
          <w:lang w:val="es-ES_tradnl"/>
        </w:rPr>
        <w:t xml:space="preserve"> recurso de revisión, haciendo valer como acto impugnado y como razo</w:t>
      </w:r>
      <w:r w:rsidR="002F6FD0">
        <w:rPr>
          <w:rFonts w:ascii="Palatino Linotype" w:eastAsia="Calibri" w:hAnsi="Palatino Linotype"/>
          <w:sz w:val="24"/>
          <w:lang w:val="es-ES_tradnl"/>
        </w:rPr>
        <w:t xml:space="preserve">nes o motivos de inconformidad </w:t>
      </w:r>
      <w:r w:rsidR="002F6FD0">
        <w:rPr>
          <w:rFonts w:ascii="Palatino Linotype" w:eastAsia="Calibri" w:hAnsi="Palatino Linotype"/>
          <w:i/>
          <w:sz w:val="24"/>
          <w:lang w:val="es-ES_tradnl"/>
        </w:rPr>
        <w:t>“</w:t>
      </w:r>
      <w:r w:rsidR="009E7B8E" w:rsidRPr="009E7B8E">
        <w:rPr>
          <w:rFonts w:ascii="Palatino Linotype" w:eastAsia="Calibri" w:hAnsi="Palatino Linotype"/>
          <w:i/>
          <w:sz w:val="24"/>
          <w:lang w:val="es-ES_tradnl"/>
        </w:rPr>
        <w:t>no se proporciona la respuesta</w:t>
      </w:r>
      <w:r w:rsidR="009E7B8E">
        <w:rPr>
          <w:rFonts w:ascii="Palatino Linotype" w:eastAsia="Calibri" w:hAnsi="Palatino Linotype"/>
          <w:i/>
          <w:sz w:val="24"/>
          <w:lang w:val="es-ES_tradnl"/>
        </w:rPr>
        <w:t>…</w:t>
      </w:r>
      <w:r>
        <w:rPr>
          <w:rFonts w:ascii="Palatino Linotype" w:eastAsia="Calibri" w:hAnsi="Palatino Linotype"/>
          <w:i/>
          <w:sz w:val="24"/>
          <w:lang w:val="es-ES_tradnl"/>
        </w:rPr>
        <w:t>”</w:t>
      </w:r>
      <w:r>
        <w:rPr>
          <w:rFonts w:ascii="Palatino Linotype" w:eastAsia="Calibri" w:hAnsi="Palatino Linotype"/>
          <w:sz w:val="24"/>
          <w:lang w:val="es-ES_tradnl"/>
        </w:rPr>
        <w:t>, consideraciones que se encuent</w:t>
      </w:r>
      <w:r w:rsidR="002F6FD0">
        <w:rPr>
          <w:rFonts w:ascii="Palatino Linotype" w:eastAsia="Calibri" w:hAnsi="Palatino Linotype"/>
          <w:sz w:val="24"/>
          <w:lang w:val="es-ES_tradnl"/>
        </w:rPr>
        <w:t xml:space="preserve">ran fundadas al encuadrar en la </w:t>
      </w:r>
      <w:r>
        <w:rPr>
          <w:rFonts w:ascii="Palatino Linotype" w:eastAsia="Calibri" w:hAnsi="Palatino Linotype"/>
          <w:sz w:val="24"/>
          <w:lang w:val="es-ES_tradnl"/>
        </w:rPr>
        <w:t>hipótesis normativa consagrada en la fracciones II del artículo 179 de la Ley de Transparencia Local</w:t>
      </w:r>
      <w:r>
        <w:rPr>
          <w:rStyle w:val="Refdenotaalpie"/>
          <w:rFonts w:ascii="Palatino Linotype" w:eastAsia="Calibri" w:hAnsi="Palatino Linotype"/>
          <w:sz w:val="24"/>
          <w:lang w:val="es-ES_tradnl"/>
        </w:rPr>
        <w:footnoteReference w:id="1"/>
      </w:r>
      <w:r w:rsidR="002F6FD0">
        <w:rPr>
          <w:rFonts w:ascii="Palatino Linotype" w:eastAsia="Calibri" w:hAnsi="Palatino Linotype"/>
          <w:sz w:val="24"/>
          <w:lang w:val="es-ES_tradnl"/>
        </w:rPr>
        <w:t>, relativa a la clasificación de la información.</w:t>
      </w:r>
    </w:p>
    <w:p w:rsidR="008A5D99" w:rsidRDefault="008A5D99" w:rsidP="00F24A91">
      <w:pPr>
        <w:spacing w:after="0" w:line="360" w:lineRule="auto"/>
        <w:jc w:val="both"/>
        <w:rPr>
          <w:rFonts w:ascii="Palatino Linotype" w:eastAsia="Calibri" w:hAnsi="Palatino Linotype"/>
          <w:sz w:val="24"/>
          <w:lang w:val="es-ES_tradnl"/>
        </w:rPr>
      </w:pPr>
    </w:p>
    <w:p w:rsidR="008A5D99" w:rsidRDefault="002F6FD0" w:rsidP="00F24A91">
      <w:pPr>
        <w:spacing w:after="0" w:line="360" w:lineRule="auto"/>
        <w:jc w:val="both"/>
        <w:rPr>
          <w:rFonts w:ascii="Palatino Linotype" w:eastAsia="Calibri" w:hAnsi="Palatino Linotype"/>
          <w:sz w:val="24"/>
          <w:lang w:val="es-ES_tradnl"/>
        </w:rPr>
      </w:pPr>
      <w:r>
        <w:rPr>
          <w:rFonts w:ascii="Palatino Linotype" w:eastAsia="Calibri" w:hAnsi="Palatino Linotype"/>
          <w:sz w:val="24"/>
          <w:lang w:val="es-ES_tradnl"/>
        </w:rPr>
        <w:t xml:space="preserve">Acotado lo anterior, </w:t>
      </w:r>
      <w:r w:rsidR="00ED6858">
        <w:rPr>
          <w:rFonts w:ascii="Palatino Linotype" w:eastAsia="Calibri" w:hAnsi="Palatino Linotype"/>
          <w:sz w:val="24"/>
          <w:lang w:val="es-ES_tradnl"/>
        </w:rPr>
        <w:t xml:space="preserve">podemos apreciar que </w:t>
      </w:r>
      <w:r w:rsidR="008A5D99">
        <w:rPr>
          <w:rFonts w:ascii="Palatino Linotype" w:eastAsia="Calibri" w:hAnsi="Palatino Linotype"/>
          <w:sz w:val="24"/>
          <w:lang w:val="es-ES_tradnl"/>
        </w:rPr>
        <w:t xml:space="preserve">el </w:t>
      </w:r>
      <w:r w:rsidR="008A5D99" w:rsidRPr="00490BC4">
        <w:rPr>
          <w:rFonts w:ascii="Palatino Linotype" w:eastAsia="Calibri" w:hAnsi="Palatino Linotype"/>
          <w:b/>
          <w:sz w:val="24"/>
          <w:lang w:val="es-ES_tradnl"/>
        </w:rPr>
        <w:t>Sujeto Obligado</w:t>
      </w:r>
      <w:r w:rsidR="008A5D99">
        <w:rPr>
          <w:rFonts w:ascii="Palatino Linotype" w:eastAsia="Calibri" w:hAnsi="Palatino Linotype"/>
          <w:sz w:val="24"/>
          <w:lang w:val="es-ES_tradnl"/>
        </w:rPr>
        <w:t xml:space="preserve"> reconoce que dentro de sus archivos se encuentra la información, al manifestar que la calidad de la </w:t>
      </w:r>
      <w:r w:rsidR="008A5D99" w:rsidRPr="00604E3B">
        <w:rPr>
          <w:rFonts w:ascii="Palatino Linotype" w:eastAsia="Calibri" w:hAnsi="Palatino Linotype"/>
          <w:sz w:val="24"/>
          <w:lang w:val="es-ES_tradnl"/>
        </w:rPr>
        <w:t>misma es de naturaleza reservada, por lo que hizo entrega del acuerdo de clasificación.</w:t>
      </w:r>
      <w:r w:rsidR="008A5D99">
        <w:rPr>
          <w:rFonts w:ascii="Palatino Linotype" w:eastAsia="Calibri" w:hAnsi="Palatino Linotype"/>
          <w:sz w:val="24"/>
          <w:lang w:val="es-ES_tradnl"/>
        </w:rPr>
        <w:t xml:space="preserve"> </w:t>
      </w:r>
    </w:p>
    <w:p w:rsidR="008A5D99" w:rsidRDefault="008A5D99" w:rsidP="00F24A91">
      <w:pPr>
        <w:spacing w:after="0" w:line="360" w:lineRule="auto"/>
        <w:jc w:val="both"/>
        <w:rPr>
          <w:rFonts w:ascii="Palatino Linotype" w:eastAsia="Calibri" w:hAnsi="Palatino Linotype"/>
          <w:sz w:val="24"/>
          <w:lang w:val="es-ES_tradnl"/>
        </w:rPr>
      </w:pPr>
    </w:p>
    <w:p w:rsidR="008A5D99" w:rsidRDefault="008A5D99" w:rsidP="00F24A91">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E</w:t>
      </w:r>
      <w:r w:rsidRPr="00490BC4">
        <w:rPr>
          <w:rFonts w:ascii="Palatino Linotype" w:eastAsia="Calibri" w:hAnsi="Palatino Linotype" w:cs="Times New Roman"/>
          <w:sz w:val="24"/>
          <w:szCs w:val="24"/>
          <w:lang w:val="es-ES_tradnl" w:eastAsia="es-ES"/>
        </w:rPr>
        <w:t xml:space="preserve">n ese sentido, se obvia el estudio del marco normativo que rige su actuar, ello atendiendo que, el estudio de la fuente obligacional que constriñe al </w:t>
      </w:r>
      <w:r w:rsidRPr="00490BC4">
        <w:rPr>
          <w:rFonts w:ascii="Palatino Linotype" w:eastAsia="Calibri" w:hAnsi="Palatino Linotype" w:cs="Times New Roman"/>
          <w:b/>
          <w:sz w:val="24"/>
          <w:szCs w:val="24"/>
          <w:lang w:val="es-ES_tradnl" w:eastAsia="es-ES"/>
        </w:rPr>
        <w:t>Sujeto Obligado</w:t>
      </w:r>
      <w:r w:rsidRPr="00490BC4">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rsidR="00962D2F" w:rsidRDefault="00962D2F" w:rsidP="00F24A91">
      <w:pPr>
        <w:spacing w:after="0" w:line="360" w:lineRule="auto"/>
        <w:jc w:val="both"/>
        <w:rPr>
          <w:rFonts w:ascii="Palatino Linotype" w:eastAsia="Calibri" w:hAnsi="Palatino Linotype" w:cs="Times New Roman"/>
          <w:sz w:val="24"/>
          <w:szCs w:val="24"/>
          <w:lang w:val="es-ES_tradnl" w:eastAsia="es-ES"/>
        </w:rPr>
      </w:pPr>
    </w:p>
    <w:p w:rsidR="00962D2F" w:rsidRDefault="00962D2F" w:rsidP="00F24A91">
      <w:pPr>
        <w:spacing w:after="0" w:line="360" w:lineRule="auto"/>
        <w:jc w:val="both"/>
        <w:rPr>
          <w:rFonts w:ascii="Palatino Linotype" w:eastAsia="Calibri" w:hAnsi="Palatino Linotype"/>
          <w:sz w:val="24"/>
          <w:lang w:val="es-ES_tradnl"/>
        </w:rPr>
      </w:pPr>
      <w:r>
        <w:rPr>
          <w:rFonts w:ascii="Palatino Linotype" w:eastAsia="Calibri" w:hAnsi="Palatino Linotype"/>
          <w:sz w:val="24"/>
          <w:lang w:val="es-ES_tradnl"/>
        </w:rPr>
        <w:t xml:space="preserve">En ese orden de ideas, </w:t>
      </w:r>
      <w:r w:rsidRPr="00CC0F14">
        <w:rPr>
          <w:rFonts w:ascii="Palatino Linotype" w:eastAsia="Calibri" w:hAnsi="Palatino Linotype"/>
          <w:sz w:val="24"/>
          <w:lang w:val="es-ES_tradnl"/>
        </w:rPr>
        <w:t xml:space="preserve">debe precisarse que la </w:t>
      </w:r>
      <w:r w:rsidRPr="007173E4">
        <w:rPr>
          <w:rFonts w:ascii="Palatino Linotype" w:eastAsia="Calibri" w:hAnsi="Palatino Linotype"/>
          <w:b/>
          <w:sz w:val="24"/>
          <w:lang w:val="es-ES_tradnl"/>
        </w:rPr>
        <w:t>inexistencia de la información y su clasificación no podrán coexistir</w:t>
      </w:r>
      <w:r w:rsidRPr="00CC0F14">
        <w:rPr>
          <w:rFonts w:ascii="Palatino Linotype" w:eastAsia="Calibri" w:hAnsi="Palatino Linotype"/>
          <w:sz w:val="24"/>
          <w:lang w:val="es-ES_tradnl"/>
        </w:rPr>
        <w:t xml:space="preserve">, sirve de sustento el Criterio orientador </w:t>
      </w:r>
      <w:r w:rsidRPr="007173E4">
        <w:rPr>
          <w:rFonts w:ascii="Palatino Linotype" w:eastAsia="Calibri" w:hAnsi="Palatino Linotype"/>
          <w:b/>
          <w:sz w:val="24"/>
          <w:lang w:val="es-ES_tradnl"/>
        </w:rPr>
        <w:t>29/10</w:t>
      </w:r>
      <w:r w:rsidRPr="00CC0F14">
        <w:rPr>
          <w:rFonts w:ascii="Palatino Linotype" w:eastAsia="Calibri" w:hAnsi="Palatino Linotype"/>
          <w:sz w:val="24"/>
          <w:lang w:val="es-ES_tradnl"/>
        </w:rPr>
        <w:t xml:space="preserve"> emitido por el Instituto Nacional de Transparencia, Acceso a la Información y Protección de Datos Personales, INAI, el cual refiere lo siguiente:</w:t>
      </w:r>
    </w:p>
    <w:p w:rsidR="00962D2F" w:rsidRPr="00CC0F14" w:rsidRDefault="00962D2F" w:rsidP="00F24A91">
      <w:pPr>
        <w:spacing w:after="0" w:line="360" w:lineRule="auto"/>
        <w:jc w:val="both"/>
        <w:rPr>
          <w:rFonts w:ascii="Palatino Linotype" w:eastAsia="Calibri" w:hAnsi="Palatino Linotype"/>
          <w:sz w:val="24"/>
          <w:lang w:val="es-ES_tradnl"/>
        </w:rPr>
      </w:pPr>
    </w:p>
    <w:p w:rsidR="00962D2F" w:rsidRPr="00CC0F14" w:rsidRDefault="00962D2F" w:rsidP="00F24A91">
      <w:pPr>
        <w:spacing w:after="0" w:line="240" w:lineRule="auto"/>
        <w:ind w:left="567" w:right="567"/>
        <w:jc w:val="both"/>
        <w:rPr>
          <w:rFonts w:ascii="Palatino Linotype" w:eastAsia="Calibri" w:hAnsi="Palatino Linotype"/>
          <w:i/>
          <w:lang w:val="es-ES_tradnl"/>
        </w:rPr>
      </w:pPr>
      <w:r w:rsidRPr="00CC0F14">
        <w:rPr>
          <w:rFonts w:ascii="Palatino Linotype" w:eastAsia="Calibri" w:hAnsi="Palatino Linotype"/>
          <w:i/>
          <w:lang w:val="es-ES_tradnl"/>
        </w:rPr>
        <w:t>“</w:t>
      </w:r>
      <w:r w:rsidRPr="00CC0F14">
        <w:rPr>
          <w:rFonts w:ascii="Palatino Linotype" w:eastAsia="Calibri" w:hAnsi="Palatino Linotype"/>
          <w:b/>
          <w:i/>
          <w:lang w:val="es-ES_tradnl"/>
        </w:rPr>
        <w:t>LA CLASIFICACIÓN Y LA INEXISTENCIA DE INFORMACIÓN SON CONCEPTOS QUE NO PUEDEN COEXISTIR</w:t>
      </w:r>
      <w:r w:rsidRPr="00CC0F14">
        <w:rPr>
          <w:rFonts w:ascii="Palatino Linotype" w:eastAsia="Calibri" w:hAnsi="Palatino Linotype"/>
          <w:i/>
          <w:lang w:val="es-ES_tradnl"/>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C0F14">
        <w:rPr>
          <w:rFonts w:ascii="Palatino Linotype" w:eastAsia="Calibri" w:hAnsi="Palatino Linotype"/>
          <w:b/>
          <w:i/>
          <w:lang w:val="es-ES_tradnl"/>
        </w:rPr>
        <w:t xml:space="preserve">la clasificación y la inexistencia no coexisten entre sí, en virtud de que </w:t>
      </w:r>
      <w:r w:rsidRPr="002C57B6">
        <w:rPr>
          <w:rFonts w:ascii="Palatino Linotype" w:eastAsia="Calibri" w:hAnsi="Palatino Linotype"/>
          <w:b/>
          <w:i/>
          <w:u w:val="single"/>
          <w:lang w:val="es-ES_tradnl"/>
        </w:rPr>
        <w:t>la clasificación de información implica invariablemente la existencia de un documento o documentos determinados,</w:t>
      </w:r>
      <w:r w:rsidRPr="00CC0F14">
        <w:rPr>
          <w:rFonts w:ascii="Palatino Linotype" w:eastAsia="Calibri" w:hAnsi="Palatino Linotype"/>
          <w:b/>
          <w:i/>
          <w:lang w:val="es-ES_tradnl"/>
        </w:rPr>
        <w:t xml:space="preserve"> mientras que la inexistencia conlleva la ausencia de los mismos en los archivos de la dependencia o entidad de que se trate</w:t>
      </w:r>
      <w:r w:rsidRPr="00CC0F14">
        <w:rPr>
          <w:rFonts w:ascii="Palatino Linotype" w:eastAsia="Calibri" w:hAnsi="Palatino Linotype"/>
          <w:i/>
          <w:lang w:val="es-ES_tradnl"/>
        </w:rPr>
        <w:t>."</w:t>
      </w:r>
    </w:p>
    <w:p w:rsidR="00962D2F" w:rsidRPr="00CC0F14" w:rsidRDefault="00962D2F" w:rsidP="00F24A91">
      <w:pPr>
        <w:spacing w:after="0" w:line="240" w:lineRule="auto"/>
        <w:ind w:left="567" w:right="567"/>
        <w:jc w:val="right"/>
        <w:rPr>
          <w:rFonts w:ascii="Palatino Linotype" w:eastAsia="Calibri" w:hAnsi="Palatino Linotype"/>
          <w:lang w:val="es-ES_tradnl"/>
        </w:rPr>
      </w:pPr>
      <w:r w:rsidRPr="00CC0F14">
        <w:rPr>
          <w:rFonts w:ascii="Palatino Linotype" w:eastAsia="Calibri" w:hAnsi="Palatino Linotype"/>
          <w:lang w:val="es-ES_tradnl"/>
        </w:rPr>
        <w:t>(Énfasis añadido)</w:t>
      </w:r>
    </w:p>
    <w:p w:rsidR="00962D2F" w:rsidRDefault="00962D2F" w:rsidP="00F24A91">
      <w:pPr>
        <w:spacing w:after="0" w:line="360" w:lineRule="auto"/>
        <w:jc w:val="both"/>
        <w:rPr>
          <w:rFonts w:ascii="Palatino Linotype" w:eastAsia="Calibri" w:hAnsi="Palatino Linotype"/>
          <w:sz w:val="24"/>
          <w:lang w:val="es-ES_tradnl"/>
        </w:rPr>
      </w:pPr>
    </w:p>
    <w:p w:rsidR="00962D2F" w:rsidRDefault="00962D2F" w:rsidP="00F24A91">
      <w:pPr>
        <w:spacing w:after="0" w:line="360" w:lineRule="auto"/>
        <w:jc w:val="both"/>
        <w:rPr>
          <w:rFonts w:ascii="Palatino Linotype" w:eastAsia="Calibri" w:hAnsi="Palatino Linotype"/>
          <w:sz w:val="24"/>
          <w:lang w:val="es-ES_tradnl"/>
        </w:rPr>
      </w:pPr>
      <w:r w:rsidRPr="00CC0F14">
        <w:rPr>
          <w:rFonts w:ascii="Palatino Linotype" w:eastAsia="Calibri" w:hAnsi="Palatino Linotype"/>
          <w:sz w:val="24"/>
          <w:lang w:val="es-ES_tradnl"/>
        </w:rPr>
        <w:t xml:space="preserve">En tal sentido, la restricción al derecho de acceso a la información implica necesariamente una clasificación, la cual debe entenderse como el proceso mediante el </w:t>
      </w:r>
      <w:r w:rsidRPr="00CC0F14">
        <w:rPr>
          <w:rFonts w:ascii="Palatino Linotype" w:eastAsia="Calibri" w:hAnsi="Palatino Linotype"/>
          <w:sz w:val="24"/>
          <w:lang w:val="es-ES_tradnl"/>
        </w:rPr>
        <w:lastRenderedPageBreak/>
        <w:t xml:space="preserve">cual el </w:t>
      </w:r>
      <w:r w:rsidRPr="00CC0F14">
        <w:rPr>
          <w:rFonts w:ascii="Palatino Linotype" w:eastAsia="Calibri" w:hAnsi="Palatino Linotype"/>
          <w:b/>
          <w:sz w:val="24"/>
          <w:lang w:val="es-ES_tradnl"/>
        </w:rPr>
        <w:t>Sujeto Obligado</w:t>
      </w:r>
      <w:r w:rsidRPr="00CC0F14">
        <w:rPr>
          <w:rFonts w:ascii="Palatino Linotype" w:eastAsia="Calibri" w:hAnsi="Palatino Linotype"/>
          <w:sz w:val="24"/>
          <w:lang w:val="es-ES_tradnl"/>
        </w:rPr>
        <w:t xml:space="preserve"> determina que </w:t>
      </w:r>
      <w:r w:rsidRPr="00962D2F">
        <w:rPr>
          <w:rFonts w:ascii="Palatino Linotype" w:eastAsia="Calibri" w:hAnsi="Palatino Linotype"/>
          <w:b/>
          <w:sz w:val="24"/>
          <w:lang w:val="es-ES_tradnl"/>
        </w:rPr>
        <w:t>la información en su poder</w:t>
      </w:r>
      <w:r w:rsidRPr="00CC0F14">
        <w:rPr>
          <w:rFonts w:ascii="Palatino Linotype" w:eastAsia="Calibri" w:hAnsi="Palatino Linotype"/>
          <w:sz w:val="24"/>
          <w:lang w:val="es-ES_tradnl"/>
        </w:rPr>
        <w:t>, actualiza alguno de los supuestos de reserva o confidencialidad, de conformidad con las normas aplicables.</w:t>
      </w:r>
    </w:p>
    <w:p w:rsidR="009E7B8E" w:rsidRPr="00CC0F14" w:rsidRDefault="009E7B8E" w:rsidP="00F24A91">
      <w:pPr>
        <w:spacing w:after="0" w:line="360" w:lineRule="auto"/>
        <w:jc w:val="both"/>
        <w:rPr>
          <w:rFonts w:ascii="Palatino Linotype" w:eastAsia="Calibri" w:hAnsi="Palatino Linotype"/>
          <w:sz w:val="24"/>
          <w:lang w:val="es-ES_tradnl"/>
        </w:rPr>
      </w:pPr>
    </w:p>
    <w:p w:rsidR="008A5D99" w:rsidRPr="00CC0F14" w:rsidRDefault="008A5D99" w:rsidP="00F24A91">
      <w:pPr>
        <w:spacing w:after="0" w:line="360" w:lineRule="auto"/>
        <w:jc w:val="both"/>
        <w:rPr>
          <w:rFonts w:ascii="Palatino Linotype" w:eastAsia="Calibri" w:hAnsi="Palatino Linotype"/>
          <w:sz w:val="24"/>
          <w:lang w:val="es-ES_tradnl"/>
        </w:rPr>
      </w:pPr>
      <w:r w:rsidRPr="00CC0F14">
        <w:rPr>
          <w:rFonts w:ascii="Palatino Linotype" w:eastAsia="Calibri" w:hAnsi="Palatino Linotype"/>
          <w:sz w:val="24"/>
          <w:lang w:val="es-ES_tradnl"/>
        </w:rPr>
        <w:t xml:space="preserve">En efecto, para los casos en los que los </w:t>
      </w:r>
      <w:r w:rsidRPr="00CC0F14">
        <w:rPr>
          <w:rFonts w:ascii="Palatino Linotype" w:eastAsia="Calibri" w:hAnsi="Palatino Linotype"/>
          <w:b/>
          <w:sz w:val="24"/>
          <w:lang w:val="es-ES_tradnl"/>
        </w:rPr>
        <w:t>Sujetos Obligados</w:t>
      </w:r>
      <w:r w:rsidRPr="00CC0F14">
        <w:rPr>
          <w:rFonts w:ascii="Palatino Linotype" w:eastAsia="Calibri" w:hAnsi="Palatino Linotype"/>
          <w:sz w:val="24"/>
          <w:lang w:val="es-ES_tradnl"/>
        </w:rPr>
        <w:t xml:space="preserve"> adviertan que la información no es susceptible de entregar por estimar que sobreviene una causal de clasificación, les compete la carga de la prueba mediante la debida fundamentación y motivación en el respectivo Acuerdo de Clasificación, ello encuentra sustento en el artículo 131 de la legislación vigente en la entidad, el cual versa de la siguiente manera: </w:t>
      </w:r>
    </w:p>
    <w:p w:rsidR="008A5D99" w:rsidRDefault="008A5D99" w:rsidP="00F24A91">
      <w:pPr>
        <w:spacing w:after="0" w:line="360" w:lineRule="auto"/>
        <w:jc w:val="both"/>
        <w:rPr>
          <w:rFonts w:ascii="Palatino Linotype" w:eastAsia="Calibri" w:hAnsi="Palatino Linotype"/>
          <w:sz w:val="24"/>
          <w:lang w:val="es-ES_tradnl"/>
        </w:rPr>
      </w:pPr>
    </w:p>
    <w:p w:rsidR="008A5D99" w:rsidRPr="00CC0F14" w:rsidRDefault="008A5D99" w:rsidP="00F24A91">
      <w:pPr>
        <w:spacing w:after="0" w:line="240" w:lineRule="auto"/>
        <w:ind w:left="567" w:right="567"/>
        <w:jc w:val="both"/>
        <w:rPr>
          <w:rFonts w:ascii="Palatino Linotype" w:eastAsia="Calibri" w:hAnsi="Palatino Linotype"/>
          <w:i/>
          <w:lang w:val="es-ES_tradnl"/>
        </w:rPr>
      </w:pPr>
      <w:r w:rsidRPr="00CC0F14">
        <w:rPr>
          <w:rFonts w:ascii="Palatino Linotype" w:eastAsia="Calibri" w:hAnsi="Palatino Linotype"/>
          <w:i/>
          <w:lang w:val="es-ES_tradnl"/>
        </w:rPr>
        <w:t>“</w:t>
      </w:r>
      <w:r w:rsidRPr="00CC0F14">
        <w:rPr>
          <w:rFonts w:ascii="Palatino Linotype" w:eastAsia="Calibri" w:hAnsi="Palatino Linotype"/>
          <w:b/>
          <w:i/>
          <w:lang w:val="es-ES_tradnl"/>
        </w:rPr>
        <w:t>Artículo 131.</w:t>
      </w:r>
      <w:r w:rsidRPr="00CC0F14">
        <w:rPr>
          <w:rFonts w:ascii="Palatino Linotype" w:eastAsia="Calibri" w:hAnsi="Palatino Linotype"/>
          <w:i/>
          <w:lang w:val="es-ES_tradnl"/>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8A5D99" w:rsidRDefault="008A5D99" w:rsidP="00F24A91">
      <w:pPr>
        <w:spacing w:after="0" w:line="360" w:lineRule="auto"/>
        <w:jc w:val="both"/>
        <w:rPr>
          <w:rFonts w:ascii="Palatino Linotype" w:eastAsia="Calibri" w:hAnsi="Palatino Linotype"/>
          <w:sz w:val="24"/>
          <w:lang w:val="es-ES_tradnl"/>
        </w:rPr>
      </w:pPr>
    </w:p>
    <w:p w:rsidR="008A5D99" w:rsidRPr="002C57B6" w:rsidRDefault="008A5D99" w:rsidP="00F24A91">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sz w:val="24"/>
          <w:lang w:val="es-ES_tradnl"/>
        </w:rPr>
        <w:t xml:space="preserve">Consideraciones de hecho y de derecho que concatenadas con </w:t>
      </w:r>
      <w:r w:rsidRPr="0005476D">
        <w:rPr>
          <w:rFonts w:ascii="Palatino Linotype" w:eastAsia="Calibri" w:hAnsi="Palatino Linotype"/>
          <w:sz w:val="24"/>
          <w:lang w:val="es-ES_tradnl"/>
        </w:rPr>
        <w:t xml:space="preserve">los artículos </w:t>
      </w:r>
      <w:r w:rsidRPr="0005476D">
        <w:rPr>
          <w:rFonts w:ascii="Palatino Linotype" w:eastAsia="Calibri" w:hAnsi="Palatino Linotype" w:cs="Times New Roman"/>
          <w:sz w:val="24"/>
          <w:szCs w:val="24"/>
          <w:lang w:val="es-ES_tradnl" w:eastAsia="es-ES"/>
        </w:rPr>
        <w:t>18 y 19 de la Ley de Transparencia y Acceso a la Información Pública del Estado de México y Municipios</w:t>
      </w:r>
      <w:r w:rsidRPr="0005476D">
        <w:rPr>
          <w:rFonts w:ascii="Palatino Linotype" w:eastAsia="Calibri" w:hAnsi="Palatino Linotype" w:cs="Times New Roman"/>
          <w:sz w:val="24"/>
          <w:szCs w:val="24"/>
          <w:vertAlign w:val="superscript"/>
          <w:lang w:val="es-ES_tradnl" w:eastAsia="es-ES"/>
        </w:rPr>
        <w:footnoteReference w:id="2"/>
      </w:r>
      <w:r w:rsidRPr="0005476D">
        <w:rPr>
          <w:rFonts w:ascii="Palatino Linotype" w:eastAsia="Calibri" w:hAnsi="Palatino Linotype" w:cs="Times New Roman"/>
          <w:sz w:val="24"/>
          <w:szCs w:val="24"/>
          <w:lang w:val="es-ES_tradnl" w:eastAsia="es-ES"/>
        </w:rPr>
        <w:t>, relativos a la obligación de documentar todo acto de</w:t>
      </w:r>
      <w:r w:rsidRPr="002C57B6">
        <w:rPr>
          <w:rFonts w:ascii="Palatino Linotype" w:eastAsia="Calibri" w:hAnsi="Palatino Linotype" w:cs="Times New Roman"/>
          <w:sz w:val="24"/>
          <w:szCs w:val="24"/>
          <w:lang w:val="es-ES_tradnl" w:eastAsia="es-ES"/>
        </w:rPr>
        <w:t xml:space="preserve"> autoridad en ejercicio de sus facultades, funciones y atribuciones, así como la presunción de la existencia del soporte documental en que consta la información en comento, s</w:t>
      </w:r>
      <w:r w:rsidRPr="00962D2F">
        <w:rPr>
          <w:rFonts w:ascii="Palatino Linotype" w:eastAsia="Calibri" w:hAnsi="Palatino Linotype" w:cs="Times New Roman"/>
          <w:b/>
          <w:sz w:val="24"/>
          <w:szCs w:val="24"/>
          <w:lang w:val="es-ES_tradnl" w:eastAsia="es-ES"/>
        </w:rPr>
        <w:t xml:space="preserve">irven de </w:t>
      </w:r>
      <w:r w:rsidRPr="00962D2F">
        <w:rPr>
          <w:rFonts w:ascii="Palatino Linotype" w:eastAsia="Calibri" w:hAnsi="Palatino Linotype" w:cs="Times New Roman"/>
          <w:b/>
          <w:sz w:val="24"/>
          <w:szCs w:val="24"/>
          <w:lang w:val="es-ES_tradnl" w:eastAsia="es-ES"/>
        </w:rPr>
        <w:lastRenderedPageBreak/>
        <w:t>sustento para tener por acreditada la existencia del soporte documental en que obre la información.</w:t>
      </w:r>
      <w:r>
        <w:rPr>
          <w:rFonts w:ascii="Palatino Linotype" w:eastAsia="Calibri" w:hAnsi="Palatino Linotype" w:cs="Times New Roman"/>
          <w:sz w:val="24"/>
          <w:szCs w:val="24"/>
          <w:lang w:val="es-ES_tradnl" w:eastAsia="es-ES"/>
        </w:rPr>
        <w:t xml:space="preserve"> </w:t>
      </w:r>
    </w:p>
    <w:p w:rsidR="008A5D99" w:rsidRDefault="008A5D99" w:rsidP="00F24A91">
      <w:pPr>
        <w:spacing w:after="0" w:line="360" w:lineRule="auto"/>
        <w:jc w:val="both"/>
        <w:rPr>
          <w:rFonts w:ascii="Palatino Linotype" w:eastAsia="Calibri" w:hAnsi="Palatino Linotype"/>
          <w:sz w:val="24"/>
          <w:lang w:val="es-ES_tradnl"/>
        </w:rPr>
      </w:pPr>
    </w:p>
    <w:p w:rsidR="008A5D99" w:rsidRPr="000A07D4" w:rsidRDefault="008A5D99" w:rsidP="00F24A91">
      <w:pPr>
        <w:spacing w:after="0" w:line="360" w:lineRule="auto"/>
        <w:jc w:val="both"/>
        <w:rPr>
          <w:rFonts w:ascii="Palatino Linotype" w:hAnsi="Palatino Linotype"/>
          <w:b/>
          <w:sz w:val="24"/>
          <w:szCs w:val="24"/>
        </w:rPr>
      </w:pPr>
      <w:r>
        <w:rPr>
          <w:rFonts w:ascii="Palatino Linotype" w:eastAsia="Calibri" w:hAnsi="Palatino Linotype"/>
          <w:sz w:val="24"/>
          <w:lang w:val="es-ES_tradnl"/>
        </w:rPr>
        <w:t xml:space="preserve">Hechas las precisiones anteriores, lo procedente es hacer estudio del acuerdo de clasificación que contiene la prueba de daño, a efecto de poder determinar si la misma cumple los requisitos de Ley. </w:t>
      </w:r>
      <w:r w:rsidRPr="000A07D4">
        <w:rPr>
          <w:rFonts w:ascii="Palatino Linotype" w:hAnsi="Palatino Linotype" w:cs="Arial"/>
          <w:sz w:val="24"/>
          <w:szCs w:val="24"/>
        </w:rPr>
        <w:t xml:space="preserve">Luego entonces, </w:t>
      </w:r>
      <w:r w:rsidRPr="000A07D4">
        <w:rPr>
          <w:rFonts w:ascii="Palatino Linotype" w:hAnsi="Palatino Linotype"/>
          <w:sz w:val="24"/>
          <w:szCs w:val="24"/>
        </w:rPr>
        <w:t xml:space="preserve">para realizar la reserva </w:t>
      </w:r>
      <w:r>
        <w:rPr>
          <w:rFonts w:ascii="Palatino Linotype" w:hAnsi="Palatino Linotype"/>
          <w:sz w:val="24"/>
          <w:szCs w:val="24"/>
        </w:rPr>
        <w:t xml:space="preserve">de </w:t>
      </w:r>
      <w:r w:rsidRPr="000A07D4">
        <w:rPr>
          <w:rFonts w:ascii="Palatino Linotype" w:hAnsi="Palatino Linotype"/>
          <w:sz w:val="24"/>
          <w:szCs w:val="24"/>
        </w:rPr>
        <w:t xml:space="preserve">la información, no basta con invocar alguna de las causales previstas en la Ley de transparencia local. </w:t>
      </w:r>
      <w:r>
        <w:rPr>
          <w:rFonts w:ascii="Palatino Linotype" w:hAnsi="Palatino Linotype"/>
          <w:sz w:val="24"/>
          <w:szCs w:val="24"/>
        </w:rPr>
        <w:t>D</w:t>
      </w:r>
      <w:r w:rsidRPr="000A07D4">
        <w:rPr>
          <w:rFonts w:ascii="Palatino Linotype" w:hAnsi="Palatino Linotype"/>
          <w:sz w:val="24"/>
          <w:szCs w:val="24"/>
        </w:rPr>
        <w:t xml:space="preserve">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3"/>
      </w:r>
      <w:r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Pr="000A07D4">
        <w:rPr>
          <w:sz w:val="24"/>
          <w:szCs w:val="24"/>
          <w:vertAlign w:val="superscript"/>
        </w:rPr>
        <w:footnoteReference w:id="4"/>
      </w:r>
      <w:r w:rsidRPr="000A07D4">
        <w:rPr>
          <w:rFonts w:ascii="Palatino Linotype" w:hAnsi="Palatino Linotype"/>
          <w:sz w:val="24"/>
          <w:szCs w:val="24"/>
        </w:rPr>
        <w:t>.</w:t>
      </w:r>
    </w:p>
    <w:p w:rsidR="008A5D99" w:rsidRDefault="008A5D99" w:rsidP="00F24A91">
      <w:pPr>
        <w:spacing w:after="0" w:line="360" w:lineRule="auto"/>
        <w:jc w:val="both"/>
        <w:rPr>
          <w:rFonts w:ascii="Palatino Linotype" w:hAnsi="Palatino Linotype"/>
          <w:color w:val="000000" w:themeColor="text1"/>
          <w:sz w:val="24"/>
          <w:szCs w:val="24"/>
        </w:rPr>
      </w:pPr>
    </w:p>
    <w:p w:rsidR="008A5D99" w:rsidRPr="000A07D4" w:rsidRDefault="008A5D99" w:rsidP="00F24A91">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rsidR="008A5D99" w:rsidRDefault="008A5D99" w:rsidP="00F24A91">
      <w:pPr>
        <w:spacing w:after="0" w:line="360" w:lineRule="auto"/>
        <w:jc w:val="both"/>
        <w:rPr>
          <w:rFonts w:ascii="Palatino Linotype" w:hAnsi="Palatino Linotype"/>
          <w:color w:val="000000" w:themeColor="text1"/>
          <w:sz w:val="24"/>
          <w:szCs w:val="24"/>
        </w:rPr>
      </w:pPr>
    </w:p>
    <w:p w:rsidR="008A5D99" w:rsidRDefault="008A5D99" w:rsidP="00F24A91">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rsidR="008A5D99" w:rsidRPr="000A07D4" w:rsidRDefault="008A5D99" w:rsidP="00F24A91">
      <w:pPr>
        <w:spacing w:after="0" w:line="360" w:lineRule="auto"/>
        <w:jc w:val="both"/>
        <w:rPr>
          <w:rFonts w:ascii="Palatino Linotype" w:hAnsi="Palatino Linotype"/>
          <w:color w:val="000000" w:themeColor="text1"/>
          <w:sz w:val="24"/>
          <w:szCs w:val="24"/>
        </w:rPr>
      </w:pPr>
    </w:p>
    <w:p w:rsidR="008A5D99" w:rsidRDefault="008A5D99" w:rsidP="00F24A91">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w:t>
      </w:r>
      <w:r w:rsidRPr="001735AF">
        <w:rPr>
          <w:rFonts w:ascii="Palatino Linotype" w:hAnsi="Palatino Linotype" w:cs="Bookman Old Style"/>
          <w:b/>
          <w:color w:val="000000" w:themeColor="text1"/>
          <w:sz w:val="24"/>
          <w:szCs w:val="24"/>
          <w:lang w:val="es-ES_tradnl"/>
        </w:rPr>
        <w:t>riesgo real, demostrable e identificable</w:t>
      </w:r>
      <w:r w:rsidRPr="000A07D4">
        <w:rPr>
          <w:rFonts w:ascii="Palatino Linotype" w:hAnsi="Palatino Linotype" w:cs="Bookman Old Style"/>
          <w:color w:val="000000" w:themeColor="text1"/>
          <w:sz w:val="24"/>
          <w:szCs w:val="24"/>
          <w:lang w:val="es-ES_tradnl"/>
        </w:rPr>
        <w:t xml:space="preserve"> del perjuicio significativo al interés público o a la seguridad pública; </w:t>
      </w:r>
    </w:p>
    <w:p w:rsidR="008A5D99" w:rsidRDefault="008A5D99" w:rsidP="00F24A91">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DB7B7E">
        <w:rPr>
          <w:rFonts w:ascii="Palatino Linotype" w:hAnsi="Palatino Linotype" w:cs="Bookman Old Style"/>
          <w:b/>
          <w:color w:val="000000" w:themeColor="text1"/>
          <w:sz w:val="24"/>
          <w:szCs w:val="24"/>
          <w:lang w:val="es-ES_tradnl"/>
        </w:rPr>
        <w:t>El riesgo</w:t>
      </w:r>
      <w:r w:rsidRPr="000A07D4">
        <w:rPr>
          <w:rFonts w:ascii="Palatino Linotype" w:hAnsi="Palatino Linotype" w:cs="Bookman Old Style"/>
          <w:color w:val="000000" w:themeColor="text1"/>
          <w:sz w:val="24"/>
          <w:szCs w:val="24"/>
          <w:lang w:val="es-ES_tradnl"/>
        </w:rPr>
        <w:t xml:space="preserve"> de perjuicio que supondría la divulgación </w:t>
      </w:r>
      <w:r w:rsidRPr="00DB7B7E">
        <w:rPr>
          <w:rFonts w:ascii="Palatino Linotype" w:hAnsi="Palatino Linotype" w:cs="Bookman Old Style"/>
          <w:b/>
          <w:color w:val="000000" w:themeColor="text1"/>
          <w:sz w:val="24"/>
          <w:szCs w:val="24"/>
          <w:lang w:val="es-ES_tradnl"/>
        </w:rPr>
        <w:t>supera el interés público</w:t>
      </w:r>
      <w:r w:rsidRPr="000A07D4">
        <w:rPr>
          <w:rFonts w:ascii="Palatino Linotype" w:hAnsi="Palatino Linotype" w:cs="Bookman Old Style"/>
          <w:color w:val="000000" w:themeColor="text1"/>
          <w:sz w:val="24"/>
          <w:szCs w:val="24"/>
          <w:lang w:val="es-ES_tradnl"/>
        </w:rPr>
        <w:t xml:space="preserve"> general de que se difunda; y </w:t>
      </w:r>
    </w:p>
    <w:p w:rsidR="008A5D99" w:rsidRPr="000A07D4" w:rsidRDefault="008A5D99" w:rsidP="00F24A91">
      <w:pPr>
        <w:widowControl w:val="0"/>
        <w:autoSpaceDE w:val="0"/>
        <w:autoSpaceDN w:val="0"/>
        <w:adjustRightInd w:val="0"/>
        <w:spacing w:after="0" w:line="360" w:lineRule="auto"/>
        <w:ind w:left="567"/>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DB7B7E">
        <w:rPr>
          <w:rFonts w:ascii="Palatino Linotype" w:hAnsi="Palatino Linotype" w:cs="Bookman Old Style"/>
          <w:b/>
          <w:color w:val="000000" w:themeColor="text1"/>
          <w:sz w:val="24"/>
          <w:szCs w:val="24"/>
          <w:lang w:val="es-ES_tradnl"/>
        </w:rPr>
        <w:t>La limitación se adecua al principio de proporcionalidad</w:t>
      </w:r>
      <w:r w:rsidRPr="000A07D4">
        <w:rPr>
          <w:rFonts w:ascii="Palatino Linotype" w:hAnsi="Palatino Linotype" w:cs="Bookman Old Style"/>
          <w:color w:val="000000" w:themeColor="text1"/>
          <w:sz w:val="24"/>
          <w:szCs w:val="24"/>
          <w:lang w:val="es-ES_tradnl"/>
        </w:rPr>
        <w:t xml:space="preserve"> y representa el medio menos restrictivo disponible para evitar el perjuicio. </w:t>
      </w:r>
    </w:p>
    <w:p w:rsidR="008A5D99" w:rsidRDefault="008A5D99" w:rsidP="00F24A91">
      <w:pPr>
        <w:spacing w:after="0" w:line="360" w:lineRule="auto"/>
        <w:jc w:val="both"/>
        <w:rPr>
          <w:rFonts w:ascii="Palatino Linotype" w:hAnsi="Palatino Linotype"/>
          <w:color w:val="000000" w:themeColor="text1"/>
          <w:sz w:val="24"/>
          <w:szCs w:val="24"/>
        </w:rPr>
      </w:pPr>
    </w:p>
    <w:p w:rsidR="008A5D99" w:rsidRDefault="008A5D99" w:rsidP="00F24A91">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8A5D99" w:rsidRPr="000A07D4" w:rsidRDefault="008A5D99" w:rsidP="00F24A91">
      <w:pPr>
        <w:spacing w:after="0" w:line="360" w:lineRule="auto"/>
        <w:jc w:val="both"/>
        <w:rPr>
          <w:rFonts w:ascii="Palatino Linotype" w:hAnsi="Palatino Linotype"/>
          <w:color w:val="000000" w:themeColor="text1"/>
          <w:sz w:val="24"/>
          <w:szCs w:val="24"/>
        </w:rPr>
      </w:pPr>
    </w:p>
    <w:p w:rsidR="008A5D99" w:rsidRDefault="008A5D99" w:rsidP="00F24A91">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Identificado ese riesgo, se debe demostrar que el mismo supera el interés público general porque se difunda dicha información. 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5"/>
      </w:r>
      <w:r w:rsidRPr="000A07D4">
        <w:rPr>
          <w:rFonts w:ascii="Palatino Linotype" w:hAnsi="Palatino Linotype"/>
          <w:color w:val="000000" w:themeColor="text1"/>
          <w:sz w:val="24"/>
          <w:szCs w:val="24"/>
        </w:rPr>
        <w:t xml:space="preserve">, siguiendo el principio de </w:t>
      </w:r>
      <w:r w:rsidRPr="000A07D4">
        <w:rPr>
          <w:rFonts w:ascii="Palatino Linotype" w:hAnsi="Palatino Linotype"/>
          <w:color w:val="000000" w:themeColor="text1"/>
          <w:sz w:val="24"/>
          <w:szCs w:val="24"/>
        </w:rPr>
        <w:lastRenderedPageBreak/>
        <w:t>ponderación propuesto por el Tribunal Constitucional Alemán,</w:t>
      </w:r>
      <w:r w:rsidRPr="000A07D4">
        <w:rPr>
          <w:rStyle w:val="Refdenotaalpie"/>
          <w:rFonts w:ascii="Palatino Linotype" w:hAnsi="Palatino Linotype"/>
          <w:color w:val="000000" w:themeColor="text1"/>
        </w:rPr>
        <w:footnoteReference w:id="6"/>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8A5D99" w:rsidRPr="000A07D4" w:rsidRDefault="008A5D99" w:rsidP="00F24A91">
      <w:pPr>
        <w:spacing w:after="0" w:line="360" w:lineRule="auto"/>
        <w:jc w:val="both"/>
        <w:rPr>
          <w:rFonts w:ascii="Palatino Linotype" w:hAnsi="Palatino Linotype"/>
          <w:color w:val="000000" w:themeColor="text1"/>
          <w:sz w:val="24"/>
          <w:szCs w:val="24"/>
        </w:rPr>
      </w:pPr>
    </w:p>
    <w:p w:rsidR="008A5D99" w:rsidRDefault="008A5D99" w:rsidP="00F24A91">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rsidR="008A5D99" w:rsidRDefault="008A5D99" w:rsidP="00F24A91">
      <w:pPr>
        <w:spacing w:after="0" w:line="360" w:lineRule="auto"/>
        <w:jc w:val="both"/>
        <w:rPr>
          <w:rFonts w:ascii="Palatino Linotype" w:hAnsi="Palatino Linotype"/>
          <w:sz w:val="24"/>
          <w:szCs w:val="24"/>
          <w:lang w:val="es-ES"/>
        </w:rPr>
      </w:pPr>
    </w:p>
    <w:p w:rsidR="008A5D99" w:rsidRDefault="008A5D99" w:rsidP="00F24A91">
      <w:pPr>
        <w:spacing w:after="0" w:line="360" w:lineRule="auto"/>
        <w:jc w:val="both"/>
        <w:rPr>
          <w:rFonts w:ascii="Palatino Linotype" w:hAnsi="Palatino Linotype"/>
          <w:sz w:val="24"/>
          <w:szCs w:val="24"/>
        </w:rPr>
      </w:pPr>
      <w:r>
        <w:rPr>
          <w:rFonts w:ascii="Palatino Linotype" w:hAnsi="Palatino Linotype"/>
          <w:sz w:val="24"/>
          <w:szCs w:val="24"/>
        </w:rPr>
        <w:t>En virtud de lo anterior, se desprende que los Acuerdos de Reserva deberán de cumplir parámetros de forma y fondo, los cuales se abordan a continuación:</w:t>
      </w:r>
    </w:p>
    <w:p w:rsidR="008A5D99" w:rsidRDefault="008A5D99" w:rsidP="00F24A91">
      <w:pPr>
        <w:spacing w:after="0" w:line="360" w:lineRule="auto"/>
        <w:jc w:val="both"/>
        <w:rPr>
          <w:rFonts w:ascii="Palatino Linotype" w:hAnsi="Palatino Linotype"/>
          <w:sz w:val="24"/>
          <w:szCs w:val="24"/>
        </w:rPr>
      </w:pPr>
    </w:p>
    <w:tbl>
      <w:tblPr>
        <w:tblStyle w:val="Tablaconcuadrcula"/>
        <w:tblW w:w="9072" w:type="dxa"/>
        <w:tblLayout w:type="fixed"/>
        <w:tblLook w:val="04A0" w:firstRow="1" w:lastRow="0" w:firstColumn="1" w:lastColumn="0" w:noHBand="0" w:noVBand="1"/>
      </w:tblPr>
      <w:tblGrid>
        <w:gridCol w:w="1560"/>
        <w:gridCol w:w="1417"/>
        <w:gridCol w:w="6095"/>
      </w:tblGrid>
      <w:tr w:rsidR="008A5D99" w:rsidRPr="00A5268A" w:rsidTr="008A5D99">
        <w:tc>
          <w:tcPr>
            <w:tcW w:w="1560" w:type="dxa"/>
            <w:tcBorders>
              <w:top w:val="nil"/>
              <w:left w:val="nil"/>
            </w:tcBorders>
          </w:tcPr>
          <w:p w:rsidR="008A5D99" w:rsidRPr="00A5268A" w:rsidRDefault="008A5D99" w:rsidP="00F24A91">
            <w:pPr>
              <w:pStyle w:val="Prrafodelista"/>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8A5D99" w:rsidRPr="00A5268A" w:rsidRDefault="008A5D99" w:rsidP="00F24A91">
            <w:pPr>
              <w:pStyle w:val="Prrafodelista"/>
              <w:ind w:left="47"/>
              <w:jc w:val="center"/>
              <w:rPr>
                <w:rFonts w:ascii="Palatino Linotype" w:hAnsi="Palatino Linotype"/>
                <w:b/>
                <w:sz w:val="20"/>
                <w:szCs w:val="20"/>
              </w:rPr>
            </w:pPr>
            <w:r w:rsidRPr="00A5268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8A5D99" w:rsidRPr="00A5268A" w:rsidRDefault="008A5D99" w:rsidP="00F24A91">
            <w:pPr>
              <w:pStyle w:val="Prrafodelista"/>
              <w:ind w:left="47"/>
              <w:jc w:val="center"/>
              <w:rPr>
                <w:rFonts w:ascii="Palatino Linotype" w:hAnsi="Palatino Linotype"/>
                <w:b/>
              </w:rPr>
            </w:pPr>
            <w:r w:rsidRPr="00A5268A">
              <w:rPr>
                <w:rFonts w:ascii="Palatino Linotype" w:hAnsi="Palatino Linotype"/>
                <w:b/>
              </w:rPr>
              <w:t>Contenido</w:t>
            </w:r>
          </w:p>
        </w:tc>
      </w:tr>
      <w:tr w:rsidR="008A5D99" w:rsidRPr="00A5268A" w:rsidTr="008A5D99">
        <w:tc>
          <w:tcPr>
            <w:tcW w:w="1560" w:type="dxa"/>
            <w:shd w:val="clear" w:color="auto" w:fill="D5DCE4" w:themeFill="text2" w:themeFillTint="33"/>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lastRenderedPageBreak/>
              <w:t>Número de folio de la solicitud</w:t>
            </w:r>
          </w:p>
        </w:tc>
        <w:tc>
          <w:tcPr>
            <w:tcW w:w="1417" w:type="dxa"/>
            <w:tcBorders>
              <w:top w:val="single" w:sz="4" w:space="0" w:color="auto"/>
            </w:tcBorders>
            <w:shd w:val="clear" w:color="auto" w:fill="D5DCE4" w:themeFill="text2" w:themeFillTint="33"/>
            <w:vAlign w:val="center"/>
          </w:tcPr>
          <w:p w:rsidR="008A5D99" w:rsidRPr="00B01CED" w:rsidRDefault="008A5D99" w:rsidP="00F24A91">
            <w:pPr>
              <w:ind w:left="47"/>
              <w:jc w:val="center"/>
              <w:rPr>
                <w:rFonts w:ascii="Palatino Linotype" w:hAnsi="Palatino Linotype"/>
                <w:b/>
              </w:rPr>
            </w:pPr>
            <w:r>
              <w:rPr>
                <w:rFonts w:ascii="Palatino Linotype" w:hAnsi="Palatino Linotype"/>
                <w:b/>
              </w:rPr>
              <w:t>Si</w:t>
            </w:r>
          </w:p>
        </w:tc>
        <w:tc>
          <w:tcPr>
            <w:tcW w:w="6095" w:type="dxa"/>
            <w:tcBorders>
              <w:top w:val="single" w:sz="4" w:space="0" w:color="auto"/>
            </w:tcBorders>
            <w:shd w:val="clear" w:color="auto" w:fill="D5DCE4" w:themeFill="text2" w:themeFillTint="33"/>
            <w:vAlign w:val="center"/>
          </w:tcPr>
          <w:p w:rsidR="008A5D99" w:rsidRPr="00A5268A" w:rsidRDefault="008A5D99" w:rsidP="00F24A91">
            <w:pPr>
              <w:ind w:left="-115"/>
              <w:jc w:val="both"/>
              <w:rPr>
                <w:rFonts w:ascii="Palatino Linotype" w:hAnsi="Palatino Linotype"/>
              </w:rPr>
            </w:pPr>
            <w:r>
              <w:rPr>
                <w:rFonts w:ascii="Palatino Linotype" w:hAnsi="Palatino Linotype"/>
              </w:rPr>
              <w:t>“…l</w:t>
            </w:r>
            <w:r w:rsidRPr="00DB7B7E">
              <w:rPr>
                <w:rFonts w:ascii="Palatino Linotype" w:hAnsi="Palatino Linotype"/>
              </w:rPr>
              <w:t xml:space="preserve">a solicitud </w:t>
            </w:r>
            <w:r>
              <w:rPr>
                <w:rFonts w:ascii="Palatino Linotype" w:hAnsi="Palatino Linotype"/>
              </w:rPr>
              <w:t xml:space="preserve">presentada bajo el </w:t>
            </w:r>
            <w:r w:rsidRPr="00DB7B7E">
              <w:rPr>
                <w:rFonts w:ascii="Palatino Linotype" w:hAnsi="Palatino Linotype"/>
              </w:rPr>
              <w:t>folio</w:t>
            </w:r>
            <w:r>
              <w:rPr>
                <w:rFonts w:ascii="Palatino Linotype" w:hAnsi="Palatino Linotype"/>
              </w:rPr>
              <w:t xml:space="preserve"> </w:t>
            </w:r>
            <w:r w:rsidRPr="00DB7B7E">
              <w:rPr>
                <w:rFonts w:ascii="Palatino Linotype" w:hAnsi="Palatino Linotype"/>
                <w:b/>
              </w:rPr>
              <w:t>00</w:t>
            </w:r>
            <w:r>
              <w:rPr>
                <w:rFonts w:ascii="Palatino Linotype" w:hAnsi="Palatino Linotype"/>
                <w:b/>
              </w:rPr>
              <w:t>2</w:t>
            </w:r>
            <w:r w:rsidR="00962D2F">
              <w:rPr>
                <w:rFonts w:ascii="Palatino Linotype" w:hAnsi="Palatino Linotype"/>
                <w:b/>
              </w:rPr>
              <w:t>19</w:t>
            </w:r>
            <w:r w:rsidRPr="00DB7B7E">
              <w:rPr>
                <w:rFonts w:ascii="Palatino Linotype" w:hAnsi="Palatino Linotype"/>
                <w:b/>
              </w:rPr>
              <w:t>/</w:t>
            </w:r>
            <w:r w:rsidR="00962D2F">
              <w:rPr>
                <w:rFonts w:ascii="Palatino Linotype" w:hAnsi="Palatino Linotype"/>
                <w:b/>
              </w:rPr>
              <w:t>TEOLOYU/IP/2022</w:t>
            </w:r>
            <w:r>
              <w:rPr>
                <w:rFonts w:ascii="Palatino Linotype" w:hAnsi="Palatino Linotype"/>
              </w:rPr>
              <w:t>, mediante la cual…”</w:t>
            </w:r>
          </w:p>
        </w:tc>
      </w:tr>
      <w:tr w:rsidR="008A5D99" w:rsidRPr="00A5268A" w:rsidTr="008A5D99">
        <w:tc>
          <w:tcPr>
            <w:tcW w:w="1560" w:type="dxa"/>
            <w:shd w:val="clear" w:color="auto" w:fill="F2F2F2" w:themeFill="background1" w:themeFillShade="F2"/>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t>Referencia de la información solicitada</w:t>
            </w:r>
          </w:p>
        </w:tc>
        <w:tc>
          <w:tcPr>
            <w:tcW w:w="1417" w:type="dxa"/>
            <w:shd w:val="clear" w:color="auto" w:fill="F2F2F2" w:themeFill="background1" w:themeFillShade="F2"/>
            <w:vAlign w:val="center"/>
          </w:tcPr>
          <w:p w:rsidR="008A5D99" w:rsidRPr="00B01CED" w:rsidRDefault="00962D2F" w:rsidP="00F24A91">
            <w:pPr>
              <w:ind w:left="47"/>
              <w:jc w:val="center"/>
              <w:rPr>
                <w:rFonts w:ascii="Palatino Linotype" w:hAnsi="Palatino Linotype"/>
                <w:b/>
              </w:rPr>
            </w:pPr>
            <w:r>
              <w:rPr>
                <w:rFonts w:ascii="Palatino Linotype" w:hAnsi="Palatino Linotype"/>
                <w:b/>
              </w:rPr>
              <w:t>S</w:t>
            </w:r>
            <w:r w:rsidR="008A5D99">
              <w:rPr>
                <w:rFonts w:ascii="Palatino Linotype" w:hAnsi="Palatino Linotype"/>
                <w:b/>
              </w:rPr>
              <w:t>í</w:t>
            </w:r>
          </w:p>
        </w:tc>
        <w:tc>
          <w:tcPr>
            <w:tcW w:w="6095" w:type="dxa"/>
            <w:shd w:val="clear" w:color="auto" w:fill="F2F2F2" w:themeFill="background1" w:themeFillShade="F2"/>
            <w:vAlign w:val="center"/>
          </w:tcPr>
          <w:p w:rsidR="008A5D99" w:rsidRPr="00A92A32" w:rsidRDefault="00962D2F" w:rsidP="00F24A91">
            <w:pPr>
              <w:jc w:val="both"/>
              <w:rPr>
                <w:rFonts w:ascii="Palatino Linotype" w:hAnsi="Palatino Linotype"/>
              </w:rPr>
            </w:pPr>
            <w:r>
              <w:rPr>
                <w:rFonts w:ascii="Palatino Linotype" w:hAnsi="Palatino Linotype"/>
                <w:noProof/>
                <w:lang w:eastAsia="es-MX"/>
              </w:rPr>
              <w:drawing>
                <wp:inline distT="0" distB="0" distL="0" distR="0">
                  <wp:extent cx="3733165" cy="145034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3733165" cy="1450340"/>
                          </a:xfrm>
                          <a:prstGeom prst="rect">
                            <a:avLst/>
                          </a:prstGeom>
                        </pic:spPr>
                      </pic:pic>
                    </a:graphicData>
                  </a:graphic>
                </wp:inline>
              </w:drawing>
            </w:r>
          </w:p>
        </w:tc>
      </w:tr>
      <w:tr w:rsidR="008A5D99" w:rsidRPr="00A5268A" w:rsidTr="008A5D99">
        <w:tc>
          <w:tcPr>
            <w:tcW w:w="1560" w:type="dxa"/>
            <w:shd w:val="clear" w:color="auto" w:fill="D5DCE4" w:themeFill="text2" w:themeFillTint="33"/>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shd w:val="clear" w:color="auto" w:fill="D5DCE4" w:themeFill="text2" w:themeFillTint="33"/>
            <w:vAlign w:val="center"/>
          </w:tcPr>
          <w:p w:rsidR="008A5D99" w:rsidRPr="00B01CED" w:rsidRDefault="00962D2F" w:rsidP="00F24A91">
            <w:pPr>
              <w:ind w:left="47"/>
              <w:jc w:val="center"/>
              <w:rPr>
                <w:rFonts w:ascii="Palatino Linotype" w:hAnsi="Palatino Linotype"/>
                <w:sz w:val="18"/>
                <w:szCs w:val="18"/>
              </w:rPr>
            </w:pPr>
            <w:r>
              <w:rPr>
                <w:rFonts w:ascii="Palatino Linotype" w:hAnsi="Palatino Linotype"/>
                <w:sz w:val="18"/>
                <w:szCs w:val="18"/>
              </w:rPr>
              <w:t>Si</w:t>
            </w:r>
          </w:p>
        </w:tc>
        <w:tc>
          <w:tcPr>
            <w:tcW w:w="6095" w:type="dxa"/>
            <w:shd w:val="clear" w:color="auto" w:fill="D5DCE4" w:themeFill="text2" w:themeFillTint="33"/>
            <w:vAlign w:val="center"/>
          </w:tcPr>
          <w:p w:rsidR="008A5D99" w:rsidRPr="00962D2F" w:rsidRDefault="00962D2F" w:rsidP="00F24A91">
            <w:pPr>
              <w:jc w:val="both"/>
              <w:rPr>
                <w:rFonts w:ascii="Palatino Linotype" w:hAnsi="Palatino Linotype"/>
                <w:b/>
                <w:i/>
                <w:noProof/>
                <w:lang w:eastAsia="es-MX"/>
              </w:rPr>
            </w:pPr>
            <w:r>
              <w:rPr>
                <w:rFonts w:ascii="Palatino Linotype" w:hAnsi="Palatino Linotype"/>
                <w:i/>
                <w:noProof/>
                <w:lang w:eastAsia="es-MX"/>
              </w:rPr>
              <w:t>“…</w:t>
            </w:r>
            <w:r w:rsidRPr="00962D2F">
              <w:rPr>
                <w:rFonts w:ascii="Palatino Linotype" w:hAnsi="Palatino Linotype"/>
                <w:i/>
                <w:noProof/>
                <w:lang w:eastAsia="es-MX"/>
              </w:rPr>
              <w:t>el Artículo 113 Fracción XI de la Ley General de Transparencia y Acceso a la Información Pública;</w:t>
            </w:r>
            <w:r>
              <w:rPr>
                <w:rFonts w:ascii="Palatino Linotype" w:hAnsi="Palatino Linotype"/>
                <w:i/>
                <w:noProof/>
                <w:lang w:eastAsia="es-MX"/>
              </w:rPr>
              <w:t>…”</w:t>
            </w:r>
          </w:p>
        </w:tc>
      </w:tr>
      <w:tr w:rsidR="008A5D99" w:rsidRPr="00A5268A" w:rsidTr="008A5D99">
        <w:tc>
          <w:tcPr>
            <w:tcW w:w="1560" w:type="dxa"/>
            <w:shd w:val="clear" w:color="auto" w:fill="F2F2F2" w:themeFill="background1" w:themeFillShade="F2"/>
            <w:vAlign w:val="center"/>
          </w:tcPr>
          <w:p w:rsidR="008A5D99" w:rsidRPr="00B01CED" w:rsidRDefault="008A5D99" w:rsidP="00F24A91">
            <w:pPr>
              <w:tabs>
                <w:tab w:val="left" w:pos="317"/>
              </w:tabs>
              <w:jc w:val="center"/>
              <w:rPr>
                <w:rFonts w:ascii="Palatino Linotype" w:hAnsi="Palatino Linotype"/>
                <w:b/>
                <w:sz w:val="16"/>
                <w:szCs w:val="16"/>
              </w:rPr>
            </w:pPr>
            <w:r w:rsidRPr="00B01CED">
              <w:rPr>
                <w:rFonts w:ascii="Palatino Linotype" w:hAnsi="Palatino Linotype"/>
                <w:b/>
                <w:sz w:val="16"/>
                <w:szCs w:val="16"/>
              </w:rPr>
              <w:t>Fundamento y Motivación Legal</w:t>
            </w:r>
          </w:p>
        </w:tc>
        <w:tc>
          <w:tcPr>
            <w:tcW w:w="1417" w:type="dxa"/>
            <w:shd w:val="clear" w:color="auto" w:fill="F2F2F2" w:themeFill="background1" w:themeFillShade="F2"/>
            <w:vAlign w:val="center"/>
          </w:tcPr>
          <w:p w:rsidR="008A5D99" w:rsidRPr="00B01CED" w:rsidRDefault="00962D2F" w:rsidP="00F24A91">
            <w:pPr>
              <w:ind w:left="47"/>
              <w:jc w:val="center"/>
              <w:rPr>
                <w:rFonts w:ascii="Palatino Linotype" w:hAnsi="Palatino Linotype"/>
                <w:sz w:val="18"/>
                <w:szCs w:val="18"/>
              </w:rPr>
            </w:pPr>
            <w:r>
              <w:rPr>
                <w:rFonts w:ascii="Palatino Linotype" w:hAnsi="Palatino Linotype"/>
                <w:sz w:val="18"/>
                <w:szCs w:val="18"/>
              </w:rPr>
              <w:t>si</w:t>
            </w:r>
            <w:r w:rsidR="008A5D99" w:rsidRPr="00B01CED">
              <w:rPr>
                <w:rFonts w:ascii="Palatino Linotype" w:hAnsi="Palatino Linotype"/>
                <w:sz w:val="18"/>
                <w:szCs w:val="18"/>
              </w:rPr>
              <w:t xml:space="preserve"> </w:t>
            </w:r>
          </w:p>
        </w:tc>
        <w:tc>
          <w:tcPr>
            <w:tcW w:w="6095" w:type="dxa"/>
            <w:shd w:val="clear" w:color="auto" w:fill="F2F2F2" w:themeFill="background1" w:themeFillShade="F2"/>
            <w:vAlign w:val="center"/>
          </w:tcPr>
          <w:p w:rsidR="008A5D99" w:rsidRPr="00646683" w:rsidRDefault="00962D2F" w:rsidP="00F24A91">
            <w:pPr>
              <w:ind w:left="47"/>
              <w:jc w:val="both"/>
              <w:rPr>
                <w:rFonts w:ascii="Palatino Linotype" w:hAnsi="Palatino Linotype"/>
              </w:rPr>
            </w:pPr>
            <w:r>
              <w:rPr>
                <w:rFonts w:ascii="Palatino Linotype" w:hAnsi="Palatino Linotype"/>
                <w:i/>
                <w:sz w:val="20"/>
              </w:rPr>
              <w:t>“…</w:t>
            </w:r>
            <w:r w:rsidRPr="00962D2F">
              <w:rPr>
                <w:rFonts w:ascii="Palatino Linotype" w:hAnsi="Palatino Linotype"/>
                <w:i/>
                <w:sz w:val="20"/>
              </w:rPr>
              <w:t>Artículo 140 Fracciones VI, VIII, X y XI de la Ley de Transparencia y Acceso a la Información Pública del Estado de México y Municipios; Vigésimo Noveno, Trigésimo, Trigésimo Tercero, de los Lineamientos Generales en Materia de Clasificación y Desclasificación de la Información, así como la Elaboración de Versiones Públicas, disposiciones legales</w:t>
            </w:r>
            <w:r>
              <w:rPr>
                <w:rFonts w:ascii="Palatino Linotype" w:hAnsi="Palatino Linotype"/>
                <w:i/>
                <w:sz w:val="20"/>
              </w:rPr>
              <w:t>,…”</w:t>
            </w:r>
          </w:p>
        </w:tc>
      </w:tr>
      <w:tr w:rsidR="008A5D99" w:rsidRPr="00A5268A" w:rsidTr="008A5D99">
        <w:tc>
          <w:tcPr>
            <w:tcW w:w="1560" w:type="dxa"/>
            <w:shd w:val="clear" w:color="auto" w:fill="D5DCE4" w:themeFill="text2" w:themeFillTint="33"/>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t>Conexión entre los fundamentos y motivos que dieron origen a la Reserva de la información</w:t>
            </w:r>
          </w:p>
        </w:tc>
        <w:tc>
          <w:tcPr>
            <w:tcW w:w="1417" w:type="dxa"/>
            <w:shd w:val="clear" w:color="auto" w:fill="D5DCE4" w:themeFill="text2" w:themeFillTint="33"/>
            <w:vAlign w:val="center"/>
          </w:tcPr>
          <w:p w:rsidR="008A5D99" w:rsidRPr="00B01CED" w:rsidRDefault="00723B00" w:rsidP="00F24A91">
            <w:pPr>
              <w:pStyle w:val="Prrafodelista"/>
              <w:ind w:left="29" w:firstLine="18"/>
              <w:jc w:val="center"/>
              <w:rPr>
                <w:rFonts w:ascii="Palatino Linotype" w:hAnsi="Palatino Linotype"/>
                <w:b/>
                <w:sz w:val="18"/>
                <w:szCs w:val="18"/>
              </w:rPr>
            </w:pPr>
            <w:r>
              <w:rPr>
                <w:rFonts w:ascii="Palatino Linotype" w:hAnsi="Palatino Linotype"/>
                <w:b/>
                <w:sz w:val="18"/>
                <w:szCs w:val="18"/>
              </w:rPr>
              <w:t>No</w:t>
            </w:r>
          </w:p>
        </w:tc>
        <w:tc>
          <w:tcPr>
            <w:tcW w:w="6095" w:type="dxa"/>
            <w:shd w:val="clear" w:color="auto" w:fill="D5DCE4" w:themeFill="text2" w:themeFillTint="33"/>
            <w:vAlign w:val="center"/>
          </w:tcPr>
          <w:p w:rsidR="008A5D99" w:rsidRPr="00723B00" w:rsidRDefault="00723B00" w:rsidP="00F24A91">
            <w:pPr>
              <w:autoSpaceDE w:val="0"/>
              <w:autoSpaceDN w:val="0"/>
              <w:adjustRightInd w:val="0"/>
              <w:jc w:val="both"/>
              <w:rPr>
                <w:sz w:val="2"/>
              </w:rPr>
            </w:pPr>
            <w:r>
              <w:rPr>
                <w:rFonts w:ascii="Palatino Linotype" w:hAnsi="Palatino Linotype" w:cs="Arial"/>
                <w:color w:val="0A0D14"/>
                <w:szCs w:val="24"/>
              </w:rPr>
              <w:t>El Sujeto Obligado no señalo manifestaciones con las cuales justifique la procedencia de la clasificación como reservada.</w:t>
            </w:r>
          </w:p>
        </w:tc>
      </w:tr>
      <w:tr w:rsidR="008A5D99" w:rsidRPr="00A5268A" w:rsidTr="008A5D99">
        <w:tc>
          <w:tcPr>
            <w:tcW w:w="9072" w:type="dxa"/>
            <w:gridSpan w:val="3"/>
            <w:shd w:val="clear" w:color="auto" w:fill="D9D9D9" w:themeFill="background1" w:themeFillShade="D9"/>
            <w:vAlign w:val="center"/>
          </w:tcPr>
          <w:p w:rsidR="008A5D99" w:rsidRPr="00A5268A" w:rsidRDefault="008A5D99" w:rsidP="00F24A91">
            <w:pPr>
              <w:pStyle w:val="Prrafodelista"/>
              <w:ind w:left="29" w:firstLine="18"/>
              <w:jc w:val="center"/>
              <w:rPr>
                <w:rFonts w:ascii="Palatino Linotype" w:hAnsi="Palatino Linotype"/>
              </w:rPr>
            </w:pPr>
            <w:r w:rsidRPr="00A5268A">
              <w:rPr>
                <w:rFonts w:ascii="Palatino Linotype" w:hAnsi="Palatino Linotype"/>
                <w:b/>
              </w:rPr>
              <w:t>Prueba de Daño</w:t>
            </w:r>
          </w:p>
        </w:tc>
      </w:tr>
      <w:tr w:rsidR="008A5D99" w:rsidRPr="00A5268A" w:rsidTr="008A5D99">
        <w:tc>
          <w:tcPr>
            <w:tcW w:w="1560" w:type="dxa"/>
            <w:shd w:val="clear" w:color="auto" w:fill="F2F2F2" w:themeFill="background1" w:themeFillShade="F2"/>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t>Riesgo Real, Demostrable e Identificable</w:t>
            </w:r>
          </w:p>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t>(Modo, Tiempo y Lugar)</w:t>
            </w:r>
          </w:p>
        </w:tc>
        <w:tc>
          <w:tcPr>
            <w:tcW w:w="1417" w:type="dxa"/>
            <w:shd w:val="clear" w:color="auto" w:fill="F2F2F2" w:themeFill="background1" w:themeFillShade="F2"/>
            <w:vAlign w:val="center"/>
          </w:tcPr>
          <w:p w:rsidR="008A5D99" w:rsidRPr="00B01CED" w:rsidRDefault="008A5D99" w:rsidP="00F24A91">
            <w:pPr>
              <w:pStyle w:val="Prrafodelista"/>
              <w:ind w:left="29" w:firstLine="18"/>
              <w:jc w:val="center"/>
              <w:rPr>
                <w:rFonts w:ascii="Palatino Linotype" w:hAnsi="Palatino Linotype"/>
                <w:b/>
                <w:sz w:val="18"/>
                <w:szCs w:val="18"/>
              </w:rPr>
            </w:pPr>
            <w:r>
              <w:rPr>
                <w:rFonts w:ascii="Palatino Linotype" w:hAnsi="Palatino Linotype"/>
                <w:b/>
                <w:sz w:val="18"/>
                <w:szCs w:val="18"/>
              </w:rPr>
              <w:t>No</w:t>
            </w:r>
          </w:p>
        </w:tc>
        <w:tc>
          <w:tcPr>
            <w:tcW w:w="6095" w:type="dxa"/>
            <w:shd w:val="clear" w:color="auto" w:fill="F2F2F2" w:themeFill="background1" w:themeFillShade="F2"/>
            <w:vAlign w:val="center"/>
          </w:tcPr>
          <w:p w:rsidR="008A5D99" w:rsidRDefault="00723B00" w:rsidP="00F24A91">
            <w:pPr>
              <w:pStyle w:val="Prrafodelista"/>
              <w:ind w:left="29" w:firstLine="18"/>
              <w:jc w:val="both"/>
              <w:rPr>
                <w:rFonts w:ascii="Palatino Linotype" w:hAnsi="Palatino Linotype"/>
                <w:sz w:val="20"/>
              </w:rPr>
            </w:pPr>
            <w:r>
              <w:rPr>
                <w:rFonts w:ascii="Palatino Linotype" w:hAnsi="Palatino Linotype"/>
                <w:sz w:val="20"/>
              </w:rPr>
              <w:t>Sin prueba de daño</w:t>
            </w:r>
          </w:p>
          <w:p w:rsidR="008A5D99" w:rsidRPr="00A5268A" w:rsidRDefault="008A5D99" w:rsidP="00F24A91">
            <w:pPr>
              <w:pStyle w:val="Prrafodelista"/>
              <w:ind w:left="29" w:firstLine="18"/>
              <w:jc w:val="both"/>
              <w:rPr>
                <w:rFonts w:ascii="Palatino Linotype" w:hAnsi="Palatino Linotype"/>
                <w:sz w:val="2"/>
              </w:rPr>
            </w:pPr>
          </w:p>
        </w:tc>
      </w:tr>
      <w:tr w:rsidR="008A5D99" w:rsidRPr="00A5268A" w:rsidTr="008A5D99">
        <w:tc>
          <w:tcPr>
            <w:tcW w:w="1560" w:type="dxa"/>
            <w:shd w:val="clear" w:color="auto" w:fill="D5DCE4" w:themeFill="text2" w:themeFillTint="33"/>
            <w:vAlign w:val="center"/>
          </w:tcPr>
          <w:p w:rsidR="008A5D99" w:rsidRPr="00B01CED" w:rsidRDefault="008A5D99" w:rsidP="00F24A91">
            <w:pPr>
              <w:jc w:val="center"/>
              <w:rPr>
                <w:rFonts w:ascii="Palatino Linotype" w:hAnsi="Palatino Linotype"/>
                <w:b/>
                <w:sz w:val="16"/>
                <w:szCs w:val="16"/>
              </w:rPr>
            </w:pPr>
            <w:r w:rsidRPr="00B01CED">
              <w:rPr>
                <w:rFonts w:ascii="Palatino Linotype" w:hAnsi="Palatino Linotype"/>
                <w:b/>
                <w:sz w:val="16"/>
                <w:szCs w:val="16"/>
              </w:rPr>
              <w:lastRenderedPageBreak/>
              <w:t>Temporalidad de la Reserva de la información</w:t>
            </w:r>
          </w:p>
        </w:tc>
        <w:tc>
          <w:tcPr>
            <w:tcW w:w="1417" w:type="dxa"/>
            <w:shd w:val="clear" w:color="auto" w:fill="D5DCE4" w:themeFill="text2" w:themeFillTint="33"/>
            <w:vAlign w:val="center"/>
          </w:tcPr>
          <w:p w:rsidR="008A5D99" w:rsidRPr="00B01CED" w:rsidRDefault="008A5D99" w:rsidP="00F24A91">
            <w:pPr>
              <w:pStyle w:val="Prrafodelista"/>
              <w:ind w:left="29" w:firstLine="18"/>
              <w:jc w:val="center"/>
              <w:rPr>
                <w:rFonts w:ascii="Palatino Linotype" w:hAnsi="Palatino Linotype"/>
                <w:b/>
              </w:rPr>
            </w:pPr>
            <w:r w:rsidRPr="00B01CED">
              <w:rPr>
                <w:rFonts w:ascii="Palatino Linotype" w:hAnsi="Palatino Linotype"/>
                <w:b/>
              </w:rPr>
              <w:t>Sí</w:t>
            </w:r>
          </w:p>
        </w:tc>
        <w:tc>
          <w:tcPr>
            <w:tcW w:w="6095" w:type="dxa"/>
            <w:shd w:val="clear" w:color="auto" w:fill="D5DCE4" w:themeFill="text2" w:themeFillTint="33"/>
            <w:vAlign w:val="center"/>
          </w:tcPr>
          <w:p w:rsidR="008A5D99" w:rsidRPr="001B45B1" w:rsidRDefault="00723B00" w:rsidP="00F24A91">
            <w:pPr>
              <w:pStyle w:val="Prrafodelista"/>
              <w:ind w:left="29" w:firstLine="18"/>
              <w:jc w:val="both"/>
              <w:rPr>
                <w:rFonts w:ascii="Palatino Linotype" w:hAnsi="Palatino Linotype"/>
                <w:i/>
              </w:rPr>
            </w:pPr>
            <w:r>
              <w:rPr>
                <w:rFonts w:ascii="Palatino Linotype" w:hAnsi="Palatino Linotype"/>
                <w:noProof/>
                <w:lang w:val="es-MX" w:eastAsia="es-MX"/>
              </w:rPr>
              <w:drawing>
                <wp:inline distT="0" distB="0" distL="0" distR="0" wp14:anchorId="63B22439" wp14:editId="44248390">
                  <wp:extent cx="3733165" cy="145034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3733165" cy="1450340"/>
                          </a:xfrm>
                          <a:prstGeom prst="rect">
                            <a:avLst/>
                          </a:prstGeom>
                        </pic:spPr>
                      </pic:pic>
                    </a:graphicData>
                  </a:graphic>
                </wp:inline>
              </w:drawing>
            </w:r>
          </w:p>
        </w:tc>
      </w:tr>
      <w:tr w:rsidR="008A5D99" w:rsidRPr="00A5268A" w:rsidTr="008A5D99">
        <w:trPr>
          <w:trHeight w:val="1204"/>
        </w:trPr>
        <w:tc>
          <w:tcPr>
            <w:tcW w:w="1560" w:type="dxa"/>
            <w:shd w:val="clear" w:color="auto" w:fill="F2F2F2" w:themeFill="background1" w:themeFillShade="F2"/>
            <w:vAlign w:val="center"/>
          </w:tcPr>
          <w:p w:rsidR="008A5D99" w:rsidRPr="00B01CED" w:rsidRDefault="008A5D99" w:rsidP="00F24A91">
            <w:pPr>
              <w:tabs>
                <w:tab w:val="left" w:pos="317"/>
              </w:tabs>
              <w:jc w:val="center"/>
              <w:rPr>
                <w:rFonts w:ascii="Palatino Linotype" w:hAnsi="Palatino Linotype"/>
                <w:b/>
                <w:sz w:val="16"/>
                <w:szCs w:val="16"/>
              </w:rPr>
            </w:pPr>
            <w:r w:rsidRPr="00B01CED">
              <w:rPr>
                <w:rFonts w:ascii="Palatino Linotype" w:hAnsi="Palatino Linotype"/>
                <w:b/>
                <w:sz w:val="16"/>
                <w:szCs w:val="16"/>
              </w:rPr>
              <w:t>Autoridades competentes.</w:t>
            </w:r>
          </w:p>
        </w:tc>
        <w:tc>
          <w:tcPr>
            <w:tcW w:w="1417" w:type="dxa"/>
            <w:shd w:val="clear" w:color="auto" w:fill="F2F2F2" w:themeFill="background1" w:themeFillShade="F2"/>
            <w:vAlign w:val="center"/>
          </w:tcPr>
          <w:p w:rsidR="008A5D99" w:rsidRPr="00B01CED" w:rsidRDefault="00723B00" w:rsidP="00F24A91">
            <w:pPr>
              <w:pStyle w:val="Prrafodelista"/>
              <w:ind w:left="29" w:firstLine="18"/>
              <w:jc w:val="center"/>
              <w:rPr>
                <w:rFonts w:ascii="Palatino Linotype" w:hAnsi="Palatino Linotype"/>
                <w:b/>
              </w:rPr>
            </w:pPr>
            <w:r>
              <w:rPr>
                <w:rFonts w:ascii="Palatino Linotype" w:hAnsi="Palatino Linotype"/>
                <w:b/>
              </w:rPr>
              <w:t>Si</w:t>
            </w:r>
          </w:p>
        </w:tc>
        <w:tc>
          <w:tcPr>
            <w:tcW w:w="6095" w:type="dxa"/>
            <w:shd w:val="clear" w:color="auto" w:fill="F2F2F2" w:themeFill="background1" w:themeFillShade="F2"/>
          </w:tcPr>
          <w:p w:rsidR="008A5D99" w:rsidRPr="004025EF" w:rsidRDefault="00723B00" w:rsidP="00F24A91">
            <w:pPr>
              <w:jc w:val="center"/>
              <w:rPr>
                <w:rFonts w:ascii="Palatino Linotype" w:hAnsi="Palatino Linotype"/>
              </w:rPr>
            </w:pPr>
            <w:r w:rsidRPr="00723B00">
              <w:rPr>
                <w:rFonts w:ascii="Palatino Linotype" w:hAnsi="Palatino Linotype"/>
                <w:noProof/>
                <w:lang w:eastAsia="es-MX"/>
              </w:rPr>
              <w:drawing>
                <wp:inline distT="0" distB="0" distL="0" distR="0" wp14:anchorId="3476B83D" wp14:editId="6F4D4928">
                  <wp:extent cx="2991917" cy="1574077"/>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7830" cy="1582449"/>
                          </a:xfrm>
                          <a:prstGeom prst="rect">
                            <a:avLst/>
                          </a:prstGeom>
                        </pic:spPr>
                      </pic:pic>
                    </a:graphicData>
                  </a:graphic>
                </wp:inline>
              </w:drawing>
            </w:r>
          </w:p>
        </w:tc>
      </w:tr>
    </w:tbl>
    <w:p w:rsidR="008A5D99" w:rsidRDefault="008A5D99" w:rsidP="00F24A91">
      <w:pPr>
        <w:spacing w:after="0" w:line="360" w:lineRule="auto"/>
        <w:jc w:val="both"/>
        <w:rPr>
          <w:rFonts w:ascii="Palatino Linotype" w:hAnsi="Palatino Linotype"/>
          <w:sz w:val="24"/>
          <w:szCs w:val="24"/>
        </w:rPr>
      </w:pPr>
    </w:p>
    <w:p w:rsidR="008A5D99" w:rsidRDefault="008A5D99" w:rsidP="00F24A91">
      <w:pPr>
        <w:spacing w:after="0" w:line="360" w:lineRule="auto"/>
        <w:jc w:val="both"/>
        <w:rPr>
          <w:rFonts w:ascii="Palatino Linotype" w:hAnsi="Palatino Linotype"/>
          <w:sz w:val="24"/>
          <w:szCs w:val="24"/>
        </w:rPr>
      </w:pPr>
      <w:r>
        <w:rPr>
          <w:rFonts w:ascii="Palatino Linotype" w:hAnsi="Palatino Linotype"/>
          <w:sz w:val="24"/>
          <w:szCs w:val="24"/>
        </w:rPr>
        <w:t xml:space="preserve">En razón de lo </w:t>
      </w:r>
      <w:r w:rsidRPr="005E797B">
        <w:rPr>
          <w:rFonts w:ascii="Palatino Linotype" w:hAnsi="Palatino Linotype"/>
          <w:sz w:val="24"/>
          <w:szCs w:val="24"/>
        </w:rPr>
        <w:t>anterior, se destaca que la pauta metodológica</w:t>
      </w:r>
      <w:r>
        <w:rPr>
          <w:rFonts w:ascii="Palatino Linotype" w:hAnsi="Palatino Linotype"/>
          <w:sz w:val="24"/>
          <w:szCs w:val="24"/>
        </w:rPr>
        <w:t xml:space="preserve"> necesaria para clasificar la información como reservada se desprende inicialmente de identificar las causales aplicables, por ello, resulta oportuno realizar un análisis sistemático del numeral 140 de la Ley de Transparencia y Acceso a la Información Pública del Estado de México y Municipios, así como el artículo 113 de la </w:t>
      </w:r>
      <w:r w:rsidRPr="00A5285E">
        <w:rPr>
          <w:rFonts w:ascii="Palatino Linotype" w:hAnsi="Palatino Linotype"/>
          <w:sz w:val="24"/>
          <w:szCs w:val="24"/>
        </w:rPr>
        <w:t>Ley General de Transparencia</w:t>
      </w:r>
      <w:r>
        <w:rPr>
          <w:rFonts w:ascii="Palatino Linotype" w:hAnsi="Palatino Linotype"/>
          <w:sz w:val="24"/>
          <w:szCs w:val="24"/>
        </w:rPr>
        <w:t xml:space="preserve">, que disponen a la literalidad lo siguiente: </w:t>
      </w:r>
    </w:p>
    <w:p w:rsidR="008A5D99" w:rsidRDefault="008A5D99" w:rsidP="00F24A91">
      <w:pPr>
        <w:spacing w:after="0" w:line="360" w:lineRule="auto"/>
        <w:jc w:val="both"/>
        <w:rPr>
          <w:rFonts w:ascii="Palatino Linotype" w:hAnsi="Palatino Linotype"/>
          <w:sz w:val="24"/>
          <w:szCs w:val="24"/>
        </w:rPr>
      </w:pPr>
    </w:p>
    <w:p w:rsidR="008A5D99" w:rsidRDefault="008A5D99" w:rsidP="00F24A91">
      <w:pPr>
        <w:pStyle w:val="Citas"/>
        <w:spacing w:before="0" w:after="0" w:line="240" w:lineRule="auto"/>
        <w:ind w:left="567" w:right="567"/>
        <w:jc w:val="center"/>
        <w:rPr>
          <w:b/>
        </w:rPr>
      </w:pPr>
      <w:r>
        <w:rPr>
          <w:b/>
        </w:rPr>
        <w:t xml:space="preserve">Ley de Transparencia y Acceso a la Información Pública del </w:t>
      </w:r>
    </w:p>
    <w:p w:rsidR="008A5D99" w:rsidRDefault="008A5D99" w:rsidP="00F24A91">
      <w:pPr>
        <w:pStyle w:val="Citas"/>
        <w:spacing w:before="0" w:after="0" w:line="240" w:lineRule="auto"/>
        <w:ind w:left="567" w:right="567"/>
        <w:jc w:val="center"/>
        <w:rPr>
          <w:b/>
        </w:rPr>
      </w:pPr>
      <w:r>
        <w:rPr>
          <w:b/>
        </w:rPr>
        <w:t xml:space="preserve">Estado de México y Municipios </w:t>
      </w:r>
    </w:p>
    <w:p w:rsidR="008A5D99" w:rsidRPr="00571389" w:rsidRDefault="008A5D99" w:rsidP="00F24A91">
      <w:pPr>
        <w:pStyle w:val="Citas"/>
        <w:spacing w:before="0" w:after="0" w:line="240" w:lineRule="auto"/>
        <w:ind w:left="567" w:right="567"/>
        <w:jc w:val="center"/>
        <w:rPr>
          <w:b/>
        </w:rPr>
      </w:pPr>
    </w:p>
    <w:p w:rsidR="008A5D99" w:rsidRDefault="008A5D99" w:rsidP="00F24A91">
      <w:pPr>
        <w:pStyle w:val="Citas"/>
        <w:spacing w:before="0" w:after="0" w:line="240" w:lineRule="auto"/>
        <w:ind w:left="567" w:right="567"/>
      </w:pPr>
      <w:r>
        <w:t>“</w:t>
      </w:r>
      <w:r w:rsidRPr="004142C8">
        <w:rPr>
          <w:b/>
        </w:rPr>
        <w:t>Artículo 140.</w:t>
      </w:r>
      <w:r>
        <w:t xml:space="preserve"> El acceso a la información pública será restringido excepcionalmente, cuando por razones de interés público, ésta sea clasificada como reservada, conforme a los criterios siguientes: </w:t>
      </w:r>
    </w:p>
    <w:p w:rsidR="008A5D99" w:rsidRPr="004142C8" w:rsidRDefault="008A5D99" w:rsidP="00F24A91">
      <w:pPr>
        <w:pStyle w:val="Citas"/>
        <w:spacing w:before="0" w:after="0" w:line="240" w:lineRule="auto"/>
        <w:ind w:left="567" w:right="567"/>
      </w:pPr>
      <w:r w:rsidRPr="004142C8">
        <w:t xml:space="preserve">I. Comprometa la seguridad pública y cuente con un propósito genuino y un efecto demostrable; </w:t>
      </w:r>
    </w:p>
    <w:p w:rsidR="008A5D99" w:rsidRDefault="008A5D99" w:rsidP="00F24A91">
      <w:pPr>
        <w:pStyle w:val="Citas"/>
        <w:spacing w:before="0" w:after="0" w:line="240" w:lineRule="auto"/>
        <w:ind w:left="567" w:right="567"/>
      </w:pPr>
      <w:r>
        <w:t xml:space="preserve">II. Pueda menoscabar la conducción de las negociaciones y relaciones internacionales; </w:t>
      </w:r>
    </w:p>
    <w:p w:rsidR="008A5D99" w:rsidRDefault="008A5D99" w:rsidP="00F24A91">
      <w:pPr>
        <w:pStyle w:val="Citas"/>
        <w:spacing w:before="0" w:after="0" w:line="240" w:lineRule="auto"/>
        <w:ind w:left="567" w:right="567"/>
      </w:pPr>
      <w: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8A5D99" w:rsidRPr="00EF6048" w:rsidRDefault="008A5D99" w:rsidP="00F24A91">
      <w:pPr>
        <w:pStyle w:val="Citas"/>
        <w:spacing w:before="0" w:after="0" w:line="240" w:lineRule="auto"/>
        <w:ind w:left="567" w:right="567"/>
      </w:pPr>
      <w:r w:rsidRPr="00EF6048">
        <w:t xml:space="preserve">IV. Ponga en riesgo la vida, la seguridad o la salud de una persona física; </w:t>
      </w:r>
    </w:p>
    <w:p w:rsidR="008A5D99" w:rsidRDefault="008A5D99" w:rsidP="00F24A91">
      <w:pPr>
        <w:pStyle w:val="Citas"/>
        <w:spacing w:before="0" w:after="0" w:line="240" w:lineRule="auto"/>
        <w:ind w:left="567" w:right="567"/>
      </w:pPr>
      <w:r>
        <w:t xml:space="preserve">V. Aquella cuya divulgación obstruya o pueda causar un serio perjuicio a: </w:t>
      </w:r>
    </w:p>
    <w:p w:rsidR="008A5D99" w:rsidRDefault="008A5D99" w:rsidP="00F24A91">
      <w:pPr>
        <w:pStyle w:val="Citas"/>
        <w:spacing w:before="0" w:after="0" w:line="240" w:lineRule="auto"/>
        <w:ind w:left="567" w:right="567"/>
      </w:pPr>
      <w:r>
        <w:t xml:space="preserve">1. Las actividades de fiscalización, verificación, inspección, comprobación y auditoría sobre el cumplimiento de las Leyes; o </w:t>
      </w:r>
    </w:p>
    <w:p w:rsidR="008A5D99" w:rsidRDefault="008A5D99" w:rsidP="00F24A91">
      <w:pPr>
        <w:pStyle w:val="Citas"/>
        <w:spacing w:before="0" w:after="0" w:line="240" w:lineRule="auto"/>
        <w:ind w:left="567" w:right="567"/>
      </w:pPr>
      <w:r>
        <w:t xml:space="preserve">2. La recaudación de las contribuciones. </w:t>
      </w:r>
    </w:p>
    <w:p w:rsidR="008A5D99" w:rsidRDefault="008A5D99" w:rsidP="00F24A91">
      <w:pPr>
        <w:pStyle w:val="Citas"/>
        <w:spacing w:before="0" w:after="0" w:line="240" w:lineRule="auto"/>
        <w:ind w:left="567" w:right="567"/>
      </w:pPr>
      <w:r w:rsidRPr="005E797B">
        <w:rPr>
          <w:b/>
        </w:rPr>
        <w:t>VI. Pueda causar daño u obstruya la prevención o persecución de los delitos,</w:t>
      </w:r>
      <w:r>
        <w:t xml:space="preserve"> altere el proceso de investigación de las carpetas de investigación, </w:t>
      </w:r>
      <w:r w:rsidRPr="00F458DF">
        <w:rPr>
          <w:b/>
        </w:rPr>
        <w:t>afecte o vulnere la conducción o los derechos del debido proceso en los procedimientos judiciales</w:t>
      </w:r>
      <w:r>
        <w:t xml:space="preserve"> o administrativos, incluidos los de quejas, denuncias, inconformidades, responsabilidades administrativas y resarcitorias en tanto no hayan quedado firmes o </w:t>
      </w:r>
      <w:r w:rsidRPr="00F458DF">
        <w:rPr>
          <w:b/>
        </w:rPr>
        <w:t>afecte la administración de justicia</w:t>
      </w:r>
      <w:r>
        <w:t xml:space="preserve"> o la seguridad de un denunciante, querellante o testigo, así como sus familias, en los términos de las disposiciones jurídicas aplicables; </w:t>
      </w:r>
    </w:p>
    <w:p w:rsidR="008A5D99" w:rsidRDefault="008A5D99" w:rsidP="00F24A91">
      <w:pPr>
        <w:pStyle w:val="Citas"/>
        <w:spacing w:before="0" w:after="0" w:line="240" w:lineRule="auto"/>
        <w:ind w:left="567" w:right="567"/>
      </w:pPr>
      <w:r>
        <w:t xml:space="preserve">VII. La que contengan las opiniones, recomendaciones o puntos de vista que formen parte del proceso deliberativo de los servidores públicos, hasta en tanto sea adoptada la decisión definitiva, la cual deberá estar documentada; </w:t>
      </w:r>
    </w:p>
    <w:p w:rsidR="008A5D99" w:rsidRDefault="008A5D99" w:rsidP="00F24A91">
      <w:pPr>
        <w:pStyle w:val="Citas"/>
        <w:spacing w:before="0" w:after="0" w:line="240" w:lineRule="auto"/>
        <w:ind w:left="567" w:right="567"/>
      </w:pPr>
      <w:r w:rsidRPr="004142C8">
        <w:rPr>
          <w:b/>
        </w:rPr>
        <w:t xml:space="preserve">VIII. </w:t>
      </w:r>
      <w:r w:rsidRPr="005E797B">
        <w:rPr>
          <w:b/>
        </w:rPr>
        <w:t>Vulnere la conducción de los expedientes judiciales o de los procedimientos administrativos seguidos en forma de juicio, en tanto no hayan quedado firmes</w:t>
      </w:r>
      <w:r>
        <w:t xml:space="preserve">; </w:t>
      </w:r>
    </w:p>
    <w:p w:rsidR="008A5D99" w:rsidRDefault="008A5D99" w:rsidP="00F24A91">
      <w:pPr>
        <w:pStyle w:val="Citas"/>
        <w:spacing w:before="0" w:after="0" w:line="240" w:lineRule="auto"/>
        <w:ind w:left="567" w:right="567"/>
      </w:pPr>
      <w:r>
        <w:t xml:space="preserve">IX. Se encuentre contenida dentro de las investigaciones de hechos que la Ley señale como delitos y se tramiten ante el Ministerio Público; </w:t>
      </w:r>
    </w:p>
    <w:p w:rsidR="008A5D99" w:rsidRPr="005E797B" w:rsidRDefault="008A5D99" w:rsidP="00F24A91">
      <w:pPr>
        <w:pStyle w:val="Citas"/>
        <w:spacing w:before="0" w:after="0" w:line="240" w:lineRule="auto"/>
        <w:ind w:left="567" w:right="567"/>
        <w:rPr>
          <w:b/>
        </w:rPr>
      </w:pPr>
      <w:r w:rsidRPr="005E797B">
        <w:rPr>
          <w:b/>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8A5D99" w:rsidRDefault="008A5D99" w:rsidP="00F24A91">
      <w:pPr>
        <w:pStyle w:val="Citas"/>
        <w:spacing w:before="0" w:after="0" w:line="240" w:lineRule="auto"/>
        <w:ind w:left="567" w:right="567"/>
      </w:pPr>
      <w: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8A5D99" w:rsidRPr="005E797B" w:rsidRDefault="008A5D99" w:rsidP="00F24A91">
      <w:pPr>
        <w:pStyle w:val="Citas"/>
        <w:spacing w:before="0" w:after="0" w:line="240" w:lineRule="auto"/>
        <w:ind w:left="567" w:right="567"/>
        <w:rPr>
          <w:b/>
        </w:rPr>
      </w:pPr>
      <w:r w:rsidRPr="005E797B">
        <w:rPr>
          <w:b/>
        </w:rPr>
        <w:t>XI. Las que por disposición expresa de una ley tengan tal carácter, siempre que sean acordes con las bases, principios y disposiciones establecidos en esta Ley y no la contravengan; así como las previstas en tratados internacionales.</w:t>
      </w:r>
    </w:p>
    <w:p w:rsidR="008A5D99" w:rsidRDefault="008A5D99" w:rsidP="00F24A91">
      <w:pPr>
        <w:pStyle w:val="Citas"/>
        <w:spacing w:before="0" w:after="0" w:line="240" w:lineRule="auto"/>
        <w:ind w:left="567" w:right="567"/>
      </w:pPr>
    </w:p>
    <w:p w:rsidR="008A5D99" w:rsidRDefault="008A5D99" w:rsidP="00F24A91">
      <w:pPr>
        <w:pStyle w:val="Citas"/>
        <w:spacing w:before="0" w:after="0" w:line="240" w:lineRule="auto"/>
        <w:ind w:left="567" w:right="567"/>
        <w:jc w:val="center"/>
        <w:rPr>
          <w:b/>
        </w:rPr>
      </w:pPr>
      <w:r w:rsidRPr="004142C8">
        <w:rPr>
          <w:b/>
        </w:rPr>
        <w:t xml:space="preserve">LEY GENERAL DE TRANSPARENCIA Y ACCESO A </w:t>
      </w:r>
    </w:p>
    <w:p w:rsidR="008A5D99" w:rsidRPr="004142C8" w:rsidRDefault="008A5D99" w:rsidP="00F24A91">
      <w:pPr>
        <w:pStyle w:val="Citas"/>
        <w:spacing w:before="0" w:after="0" w:line="240" w:lineRule="auto"/>
        <w:ind w:left="567" w:right="567"/>
        <w:jc w:val="center"/>
        <w:rPr>
          <w:b/>
        </w:rPr>
      </w:pPr>
      <w:r w:rsidRPr="004142C8">
        <w:rPr>
          <w:b/>
        </w:rPr>
        <w:t>LA INFORMACIÓN PÚBLICA</w:t>
      </w:r>
    </w:p>
    <w:p w:rsidR="008A5D99" w:rsidRDefault="008A5D99" w:rsidP="00F24A91">
      <w:pPr>
        <w:pStyle w:val="Citas"/>
        <w:spacing w:before="0" w:after="0" w:line="240" w:lineRule="auto"/>
        <w:ind w:left="567" w:right="567"/>
      </w:pPr>
    </w:p>
    <w:p w:rsidR="008A5D99" w:rsidRDefault="008A5D99" w:rsidP="00F24A91">
      <w:pPr>
        <w:pStyle w:val="Citas"/>
        <w:spacing w:before="0" w:after="0" w:line="240" w:lineRule="auto"/>
        <w:ind w:left="567" w:right="567"/>
      </w:pPr>
      <w:r w:rsidRPr="004142C8">
        <w:rPr>
          <w:b/>
        </w:rPr>
        <w:t>Artículo 113.</w:t>
      </w:r>
      <w:r w:rsidRPr="004142C8">
        <w:t xml:space="preserve"> Como información reservada podrá clasificarse aquella cuya publicación: </w:t>
      </w:r>
    </w:p>
    <w:p w:rsidR="008A5D99" w:rsidRDefault="008A5D99" w:rsidP="00F24A91">
      <w:pPr>
        <w:pStyle w:val="Citas"/>
        <w:spacing w:before="0" w:after="0" w:line="240" w:lineRule="auto"/>
        <w:ind w:left="567" w:right="567"/>
      </w:pPr>
      <w:r w:rsidRPr="004142C8">
        <w:t xml:space="preserve">I. Comprometa la seguridad nacional, la seguridad pública o la defensa nacional y cuente con un propósito genuino y un efecto demostrable; </w:t>
      </w:r>
    </w:p>
    <w:p w:rsidR="008A5D99" w:rsidRDefault="008A5D99" w:rsidP="00F24A91">
      <w:pPr>
        <w:pStyle w:val="Citas"/>
        <w:spacing w:before="0" w:after="0" w:line="240" w:lineRule="auto"/>
        <w:ind w:left="567" w:right="567"/>
      </w:pPr>
      <w:r w:rsidRPr="004142C8">
        <w:t xml:space="preserve">II. Pueda menoscabar la conducción de las negociaciones y relaciones internacionales; </w:t>
      </w:r>
    </w:p>
    <w:p w:rsidR="008A5D99" w:rsidRDefault="008A5D99" w:rsidP="00F24A91">
      <w:pPr>
        <w:pStyle w:val="Citas"/>
        <w:spacing w:before="0" w:after="0" w:line="240" w:lineRule="auto"/>
        <w:ind w:left="567" w:right="567"/>
      </w:pPr>
      <w:r w:rsidRPr="004142C8">
        <w:lastRenderedPageBreak/>
        <w:t xml:space="preserve">III.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8A5D99" w:rsidRDefault="008A5D99" w:rsidP="00F24A91">
      <w:pPr>
        <w:pStyle w:val="Citas"/>
        <w:spacing w:before="0" w:after="0" w:line="240" w:lineRule="auto"/>
        <w:ind w:left="567" w:right="567"/>
      </w:pPr>
      <w:r w:rsidRPr="004142C8">
        <w:t xml:space="preserve">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8A5D99" w:rsidRDefault="008A5D99" w:rsidP="00F24A91">
      <w:pPr>
        <w:pStyle w:val="Citas"/>
        <w:spacing w:before="0" w:after="0" w:line="240" w:lineRule="auto"/>
        <w:ind w:left="567" w:right="567"/>
      </w:pPr>
      <w:r w:rsidRPr="004142C8">
        <w:t xml:space="preserve">V. Pueda poner en riesgo la vida, seguridad o salud de una persona física; </w:t>
      </w:r>
    </w:p>
    <w:p w:rsidR="008A5D99" w:rsidRDefault="008A5D99" w:rsidP="00F24A91">
      <w:pPr>
        <w:pStyle w:val="Citas"/>
        <w:spacing w:before="0" w:after="0" w:line="240" w:lineRule="auto"/>
        <w:ind w:left="567" w:right="567"/>
      </w:pPr>
      <w:r w:rsidRPr="004142C8">
        <w:t xml:space="preserve">VI. Obstruya las actividades de verificación, inspección y auditoría relativas al cumplimiento de las leyes o afecte la recaudación de contribuciones; </w:t>
      </w:r>
    </w:p>
    <w:p w:rsidR="008A5D99" w:rsidRPr="00F458DF" w:rsidRDefault="008A5D99" w:rsidP="00F24A91">
      <w:pPr>
        <w:pStyle w:val="Citas"/>
        <w:spacing w:before="0" w:after="0" w:line="240" w:lineRule="auto"/>
        <w:ind w:left="567" w:right="567"/>
      </w:pPr>
      <w:r w:rsidRPr="00F458DF">
        <w:t xml:space="preserve">VII. Obstruya la prevención o persecución de los delitos; </w:t>
      </w:r>
    </w:p>
    <w:p w:rsidR="008A5D99" w:rsidRDefault="008A5D99" w:rsidP="00F24A91">
      <w:pPr>
        <w:pStyle w:val="Citas"/>
        <w:spacing w:before="0" w:after="0" w:line="240" w:lineRule="auto"/>
        <w:ind w:left="567" w:right="567"/>
      </w:pPr>
      <w:r w:rsidRPr="004142C8">
        <w:t xml:space="preserve">VIII. La que contenga las opiniones, recomendaciones o puntos de vista que formen parte del proceso deliberativo de los servidores públicos, hasta en tanto no sea adoptada la decisión definitiva, la cual deberá estar documentada; </w:t>
      </w:r>
    </w:p>
    <w:p w:rsidR="008A5D99" w:rsidRPr="005E797B" w:rsidRDefault="008A5D99" w:rsidP="00F24A91">
      <w:pPr>
        <w:pStyle w:val="Citas"/>
        <w:spacing w:before="0" w:after="0" w:line="240" w:lineRule="auto"/>
        <w:ind w:left="567" w:right="567"/>
      </w:pPr>
      <w:r w:rsidRPr="005E797B">
        <w:t>IX. Obstruya los procedimientos para fincar responsabilidad a los Servidores Públicos, en tanto no se haya dictado la resolución administrativa;</w:t>
      </w:r>
    </w:p>
    <w:p w:rsidR="008A5D99" w:rsidRDefault="008A5D99" w:rsidP="00F24A91">
      <w:pPr>
        <w:pStyle w:val="Citas"/>
        <w:spacing w:before="0" w:after="0" w:line="240" w:lineRule="auto"/>
        <w:ind w:left="567" w:right="567"/>
      </w:pPr>
      <w:r w:rsidRPr="004142C8">
        <w:t xml:space="preserve">X. Afecte los derechos del debido proceso; </w:t>
      </w:r>
    </w:p>
    <w:p w:rsidR="008A5D99" w:rsidRPr="004142C8" w:rsidRDefault="008A5D99" w:rsidP="00F24A91">
      <w:pPr>
        <w:pStyle w:val="Citas"/>
        <w:spacing w:before="0" w:after="0" w:line="240" w:lineRule="auto"/>
        <w:ind w:left="567" w:right="567"/>
        <w:rPr>
          <w:b/>
        </w:rPr>
      </w:pPr>
      <w:r w:rsidRPr="004142C8">
        <w:rPr>
          <w:b/>
        </w:rPr>
        <w:t xml:space="preserve">XI. Vulnere la conducción de los Expedientes judiciales o de los procedimientos administrativos seguidos en forma de juicio, en tanto no hayan causado estado; </w:t>
      </w:r>
    </w:p>
    <w:p w:rsidR="008A5D99" w:rsidRDefault="008A5D99" w:rsidP="00F24A91">
      <w:pPr>
        <w:pStyle w:val="Citas"/>
        <w:spacing w:before="0" w:after="0" w:line="240" w:lineRule="auto"/>
        <w:ind w:left="567" w:right="567"/>
      </w:pPr>
      <w:r w:rsidRPr="004142C8">
        <w:t xml:space="preserve">XII. Se encuentre contenida dentro de las investigaciones de hechos que la ley señale como delitos y se tramiten ante el Ministerio Público, y </w:t>
      </w:r>
    </w:p>
    <w:p w:rsidR="008A5D99" w:rsidRDefault="008A5D99" w:rsidP="00F24A91">
      <w:pPr>
        <w:pStyle w:val="Citas"/>
        <w:spacing w:before="0" w:after="0" w:line="240" w:lineRule="auto"/>
        <w:ind w:left="567" w:right="567"/>
      </w:pPr>
      <w:r w:rsidRPr="004142C8">
        <w:t>XIII. Las que por disposición expresa de una ley tengan tal carácter, siempre que sean acordes con las bases, principios y disposiciones establecidos en esta Ley y no la contravengan; así como las previstas en tratados internacionales.</w:t>
      </w:r>
    </w:p>
    <w:p w:rsidR="008A5D99" w:rsidRDefault="008A5D99" w:rsidP="00F24A91">
      <w:pPr>
        <w:pStyle w:val="Citas"/>
        <w:spacing w:before="0" w:after="0" w:line="240" w:lineRule="auto"/>
        <w:ind w:left="567" w:right="567"/>
        <w:rPr>
          <w:i w:val="0"/>
        </w:rPr>
      </w:pPr>
    </w:p>
    <w:p w:rsidR="008A5D99" w:rsidRPr="004142C8" w:rsidRDefault="008A5D99" w:rsidP="00F24A91">
      <w:pPr>
        <w:pStyle w:val="Citas"/>
        <w:spacing w:before="0" w:after="0" w:line="240" w:lineRule="auto"/>
        <w:ind w:left="567" w:right="567"/>
        <w:jc w:val="right"/>
        <w:rPr>
          <w:i w:val="0"/>
          <w:sz w:val="24"/>
          <w:szCs w:val="24"/>
        </w:rPr>
      </w:pPr>
      <w:r>
        <w:rPr>
          <w:i w:val="0"/>
        </w:rPr>
        <w:t>(Énfasis añadido)</w:t>
      </w:r>
    </w:p>
    <w:p w:rsidR="008A5D99" w:rsidRDefault="008A5D99" w:rsidP="00F24A91">
      <w:pPr>
        <w:spacing w:after="0" w:line="360" w:lineRule="auto"/>
        <w:jc w:val="both"/>
        <w:rPr>
          <w:rFonts w:ascii="Palatino Linotype" w:hAnsi="Palatino Linotype"/>
          <w:sz w:val="24"/>
          <w:szCs w:val="24"/>
        </w:rPr>
      </w:pPr>
    </w:p>
    <w:p w:rsidR="008A5D99" w:rsidRDefault="008A5D99" w:rsidP="00F24A91">
      <w:pPr>
        <w:spacing w:after="0" w:line="360" w:lineRule="auto"/>
        <w:jc w:val="both"/>
        <w:rPr>
          <w:rFonts w:ascii="Palatino Linotype" w:hAnsi="Palatino Linotype"/>
          <w:sz w:val="24"/>
          <w:szCs w:val="24"/>
        </w:rPr>
      </w:pPr>
      <w:r>
        <w:rPr>
          <w:rFonts w:ascii="Palatino Linotype" w:hAnsi="Palatino Linotype"/>
          <w:sz w:val="24"/>
          <w:szCs w:val="24"/>
        </w:rPr>
        <w:t>Luego entonces, esta Ponencia Resolutora estima que la información requerida es susceptible de actualizar las causales de procedencia de reserva de la información inmersas en las fr</w:t>
      </w:r>
      <w:r w:rsidR="005E797B">
        <w:rPr>
          <w:rFonts w:ascii="Palatino Linotype" w:hAnsi="Palatino Linotype"/>
          <w:sz w:val="24"/>
          <w:szCs w:val="24"/>
        </w:rPr>
        <w:t>acciones VI,</w:t>
      </w:r>
      <w:r>
        <w:rPr>
          <w:rFonts w:ascii="Palatino Linotype" w:hAnsi="Palatino Linotype"/>
          <w:sz w:val="24"/>
          <w:szCs w:val="24"/>
        </w:rPr>
        <w:t xml:space="preserve"> VIII</w:t>
      </w:r>
      <w:r w:rsidR="005E797B">
        <w:rPr>
          <w:rFonts w:ascii="Palatino Linotype" w:hAnsi="Palatino Linotype"/>
          <w:sz w:val="24"/>
          <w:szCs w:val="24"/>
        </w:rPr>
        <w:t xml:space="preserve"> y X</w:t>
      </w:r>
      <w:r>
        <w:rPr>
          <w:rFonts w:ascii="Palatino Linotype" w:hAnsi="Palatino Linotype"/>
          <w:sz w:val="24"/>
          <w:szCs w:val="24"/>
        </w:rPr>
        <w:t xml:space="preserve"> del artículo 140 de la Ley de Transparencia local </w:t>
      </w:r>
      <w:r w:rsidRPr="00A5285E">
        <w:rPr>
          <w:rFonts w:ascii="Palatino Linotype" w:hAnsi="Palatino Linotype"/>
          <w:sz w:val="24"/>
          <w:szCs w:val="24"/>
        </w:rPr>
        <w:t>(numeral 113, fracci</w:t>
      </w:r>
      <w:r w:rsidR="00F458DF">
        <w:rPr>
          <w:rFonts w:ascii="Palatino Linotype" w:hAnsi="Palatino Linotype"/>
          <w:sz w:val="24"/>
          <w:szCs w:val="24"/>
        </w:rPr>
        <w:t xml:space="preserve">ón </w:t>
      </w:r>
      <w:r w:rsidRPr="00A5285E">
        <w:rPr>
          <w:rFonts w:ascii="Palatino Linotype" w:hAnsi="Palatino Linotype"/>
          <w:sz w:val="24"/>
          <w:szCs w:val="24"/>
        </w:rPr>
        <w:t>XI de la Ley General de Transparencia</w:t>
      </w:r>
      <w:r w:rsidR="00F458DF">
        <w:rPr>
          <w:rFonts w:ascii="Palatino Linotype" w:hAnsi="Palatino Linotype"/>
          <w:sz w:val="24"/>
          <w:szCs w:val="24"/>
        </w:rPr>
        <w:t>)</w:t>
      </w:r>
      <w:r>
        <w:rPr>
          <w:rFonts w:ascii="Palatino Linotype" w:hAnsi="Palatino Linotype"/>
          <w:sz w:val="24"/>
          <w:szCs w:val="24"/>
        </w:rPr>
        <w:t xml:space="preserve">, relativas a la reserva cuando su publicidad </w:t>
      </w:r>
      <w:r w:rsidR="00F458DF" w:rsidRPr="00F458DF">
        <w:rPr>
          <w:rFonts w:ascii="Palatino Linotype" w:hAnsi="Palatino Linotype"/>
          <w:sz w:val="24"/>
          <w:szCs w:val="24"/>
        </w:rPr>
        <w:t>afecte o vulnere la conducción o los derechos del debido</w:t>
      </w:r>
      <w:r w:rsidR="00F458DF">
        <w:rPr>
          <w:rFonts w:ascii="Palatino Linotype" w:hAnsi="Palatino Linotype"/>
          <w:sz w:val="24"/>
          <w:szCs w:val="24"/>
        </w:rPr>
        <w:t xml:space="preserve"> </w:t>
      </w:r>
      <w:r w:rsidR="00F458DF" w:rsidRPr="00F458DF">
        <w:rPr>
          <w:rFonts w:ascii="Palatino Linotype" w:hAnsi="Palatino Linotype"/>
          <w:sz w:val="24"/>
          <w:szCs w:val="24"/>
        </w:rPr>
        <w:t xml:space="preserve">proceso </w:t>
      </w:r>
      <w:r w:rsidR="00F458DF" w:rsidRPr="00F458DF">
        <w:rPr>
          <w:rFonts w:ascii="Palatino Linotype" w:hAnsi="Palatino Linotype"/>
          <w:sz w:val="24"/>
          <w:szCs w:val="24"/>
        </w:rPr>
        <w:lastRenderedPageBreak/>
        <w:t>en los procedimientos judiciales</w:t>
      </w:r>
      <w:r>
        <w:rPr>
          <w:rFonts w:ascii="Palatino Linotype" w:hAnsi="Palatino Linotype"/>
          <w:sz w:val="24"/>
          <w:szCs w:val="24"/>
        </w:rPr>
        <w:t xml:space="preserve"> seguidos en forma de juicio que no hayan quedado firmes.</w:t>
      </w:r>
    </w:p>
    <w:p w:rsidR="009E7B8E" w:rsidRDefault="009E7B8E"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Del precepto legal referido</w:t>
      </w:r>
      <w:r>
        <w:rPr>
          <w:rFonts w:ascii="Palatino Linotype" w:hAnsi="Palatino Linotype"/>
          <w:sz w:val="24"/>
          <w:szCs w:val="24"/>
        </w:rPr>
        <w:t xml:space="preserve"> en el párrafo inmediato anterior,</w:t>
      </w:r>
      <w:r w:rsidRPr="00F24A91">
        <w:rPr>
          <w:rFonts w:ascii="Palatino Linotype" w:hAnsi="Palatino Linotype"/>
          <w:sz w:val="24"/>
          <w:szCs w:val="24"/>
        </w:rPr>
        <w:t>, se advierte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expedientes judiciales en tanto no hayan quedado firmes, hasta en tanto sea adoptada la decisión definitiva</w:t>
      </w:r>
      <w:r w:rsidRPr="00F24A91">
        <w:rPr>
          <w:rFonts w:ascii="Palatino Linotype" w:hAnsi="Palatino Linotype"/>
          <w:b/>
          <w:sz w:val="24"/>
          <w:szCs w:val="24"/>
        </w:rPr>
        <w:t>,</w:t>
      </w:r>
      <w:r w:rsidRPr="00F24A91">
        <w:rPr>
          <w:rFonts w:ascii="Palatino Linotype" w:hAnsi="Palatino Linotype"/>
          <w:sz w:val="24"/>
          <w:szCs w:val="24"/>
        </w:rPr>
        <w:t xml:space="preserve"> la cual deberá estar documentada, o el daño que pueda producirse con la publicación de la información sea mayor al interés público, siempre y cuando esté directamente relacionado con procesos o procedimientos administrativos o judiciales que no hayan quedado firmes.</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Una vez precisado lo anterior, se procede a realizar los siguientes cuestionamientos para determinar la procedencia de la entrega de la información requerida por el recurrente.</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Primera cuestión: ¿Pueden ser restringidos los Principios establecidos en el artículo 6 de la Constitución Federal respecto del derecho de acceso a la información?</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El artículo 6 de la Constitución General de la República, establece una serie de principios y bases sobre las cuales se erige el reconocimiento y ejercicio del derecho humano del acceso a la información pública.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b/>
          <w:sz w:val="24"/>
          <w:szCs w:val="24"/>
        </w:rPr>
      </w:pPr>
      <w:r w:rsidRPr="00F24A91">
        <w:rPr>
          <w:rFonts w:ascii="Palatino Linotype" w:hAnsi="Palatino Linotype"/>
          <w:sz w:val="24"/>
          <w:szCs w:val="24"/>
        </w:rPr>
        <w:t xml:space="preserve">En este sentido, en la fracción I del citado artículo, establece que es pública la información que posea cualquier ente estatal, con </w:t>
      </w:r>
      <w:r w:rsidRPr="00F24A91">
        <w:rPr>
          <w:rFonts w:ascii="Palatino Linotype" w:hAnsi="Palatino Linotype"/>
          <w:b/>
          <w:sz w:val="24"/>
          <w:szCs w:val="24"/>
        </w:rPr>
        <w:t>excepción de reserva temporal</w:t>
      </w:r>
      <w:r w:rsidRPr="00F24A91">
        <w:rPr>
          <w:rFonts w:ascii="Palatino Linotype" w:hAnsi="Palatino Linotype"/>
          <w:sz w:val="24"/>
          <w:szCs w:val="24"/>
        </w:rPr>
        <w:t xml:space="preserve"> </w:t>
      </w:r>
      <w:r w:rsidRPr="00F24A91">
        <w:rPr>
          <w:rFonts w:ascii="Palatino Linotype" w:hAnsi="Palatino Linotype"/>
          <w:b/>
          <w:sz w:val="24"/>
          <w:szCs w:val="24"/>
        </w:rPr>
        <w:t>por razón de interés público</w:t>
      </w:r>
      <w:r w:rsidRPr="00F24A91">
        <w:rPr>
          <w:rFonts w:ascii="Palatino Linotype" w:hAnsi="Palatino Linotype"/>
          <w:sz w:val="24"/>
          <w:szCs w:val="24"/>
        </w:rPr>
        <w:t xml:space="preserve"> </w:t>
      </w:r>
      <w:r w:rsidRPr="00F24A91">
        <w:rPr>
          <w:rFonts w:ascii="Palatino Linotype" w:hAnsi="Palatino Linotype"/>
          <w:b/>
          <w:sz w:val="24"/>
          <w:szCs w:val="24"/>
        </w:rPr>
        <w:t>en los términos que fijen las leyes;</w:t>
      </w:r>
      <w:r w:rsidRPr="00F24A91">
        <w:rPr>
          <w:rFonts w:ascii="Palatino Linotype" w:hAnsi="Palatino Linotype"/>
          <w:sz w:val="24"/>
          <w:szCs w:val="24"/>
        </w:rPr>
        <w:t xml:space="preserve"> y en la fracción segunda se ordena, que la referente a la vida privada y datos personales, sea protegida.</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Por lo tanto, se puede determinar que, a rango constitucional </w:t>
      </w:r>
      <w:r w:rsidRPr="00F24A91">
        <w:rPr>
          <w:rFonts w:ascii="Palatino Linotype" w:hAnsi="Palatino Linotype"/>
          <w:b/>
          <w:sz w:val="24"/>
          <w:szCs w:val="24"/>
        </w:rPr>
        <w:t>el ejercicio del poder público debe operar bajo la máxima publicidad y accesibilidad, sólo limitada por circunstancias específicas establecidas por la ley</w:t>
      </w:r>
      <w:r w:rsidRPr="00F24A91">
        <w:rPr>
          <w:rFonts w:ascii="Palatino Linotype" w:hAnsi="Palatino Linotype"/>
          <w:sz w:val="24"/>
          <w:szCs w:val="24"/>
        </w:rPr>
        <w:t>, y que pudieran implicar que la divulgación de la información atente contra los derechos de terceros o la protección de la seguridad nacional, el orden público, la salud o moral públicas.</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Así, tenemos que como sucede con el ejercicio de otros derechos fundamentales, </w:t>
      </w:r>
      <w:r w:rsidRPr="00F24A91">
        <w:rPr>
          <w:rFonts w:ascii="Palatino Linotype" w:hAnsi="Palatino Linotype"/>
          <w:b/>
          <w:sz w:val="24"/>
          <w:szCs w:val="24"/>
          <w:u w:val="single"/>
        </w:rPr>
        <w:t>el derecho al acceso a la información, se encuentra sujeto a determinadas restricciones; sin embargo, a efecto de no ser excesivas, que lleguen al grado de anular el ejercicio del derecho fundamental, están condicionadas a diversos aspectos,</w:t>
      </w:r>
      <w:r w:rsidRPr="00F24A91">
        <w:rPr>
          <w:rFonts w:ascii="Palatino Linotype" w:hAnsi="Palatino Linotype"/>
          <w:sz w:val="24"/>
          <w:szCs w:val="24"/>
        </w:rPr>
        <w:t xml:space="preserve"> de modo que, como lo indica la propia Convención Americana de Derechos Humanos en su artículo 13.2, para que una restricción al derecho a la información pública pueda ser aplicable, debe demostrarse que ha cumplido con las condiciones de: i)</w:t>
      </w:r>
      <w:r w:rsidRPr="00F24A91">
        <w:rPr>
          <w:rFonts w:ascii="Palatino Linotype" w:hAnsi="Palatino Linotype"/>
          <w:i/>
          <w:sz w:val="24"/>
          <w:szCs w:val="24"/>
        </w:rPr>
        <w:t>carácter excepcional, ii) consagración legal, iii) objetivos legítimos, iii) necesidad y proporcionalidad.</w:t>
      </w:r>
    </w:p>
    <w:p w:rsid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Respecto de estas excepciones, la </w:t>
      </w:r>
      <w:r w:rsidRPr="00F24A91">
        <w:rPr>
          <w:rFonts w:ascii="Palatino Linotype" w:hAnsi="Palatino Linotype"/>
          <w:b/>
          <w:sz w:val="24"/>
          <w:szCs w:val="24"/>
        </w:rPr>
        <w:t xml:space="preserve">Corte Interamericana al resolver el </w:t>
      </w:r>
      <w:r w:rsidRPr="00F24A91">
        <w:rPr>
          <w:rFonts w:ascii="Palatino Linotype" w:hAnsi="Palatino Linotype"/>
          <w:b/>
          <w:i/>
          <w:sz w:val="24"/>
          <w:szCs w:val="24"/>
        </w:rPr>
        <w:t>Caso de Clade Reyes y Otros (sentencia del 19 de septiembre de 2006)</w:t>
      </w:r>
      <w:r w:rsidRPr="00F24A91">
        <w:rPr>
          <w:rFonts w:ascii="Palatino Linotype" w:hAnsi="Palatino Linotype"/>
          <w:sz w:val="24"/>
          <w:szCs w:val="24"/>
        </w:rPr>
        <w:t xml:space="preserve">  preciso que,  el establecimiento de </w:t>
      </w:r>
      <w:r w:rsidRPr="00F24A91">
        <w:rPr>
          <w:rFonts w:ascii="Palatino Linotype" w:hAnsi="Palatino Linotype"/>
          <w:b/>
          <w:sz w:val="24"/>
          <w:szCs w:val="24"/>
          <w:u w:val="single"/>
        </w:rPr>
        <w:t xml:space="preserve">restricciones al derecho de acceso a la información bajo control del Estado, a través de la práctica de las autoridades, sin cumplimiento de los requisitos </w:t>
      </w:r>
      <w:r w:rsidRPr="00F24A91">
        <w:rPr>
          <w:rFonts w:ascii="Palatino Linotype" w:hAnsi="Palatino Linotype"/>
          <w:b/>
          <w:sz w:val="24"/>
          <w:szCs w:val="24"/>
          <w:u w:val="single"/>
        </w:rPr>
        <w:lastRenderedPageBreak/>
        <w:t>establecidos en la Convención Americana, crea un campo fértil para la actuación discrecional y arbitraria en la clasificación de informaciones como secretas, reservadas</w:t>
      </w:r>
      <w:r w:rsidRPr="00F24A91">
        <w:rPr>
          <w:rFonts w:ascii="Palatino Linotype" w:hAnsi="Palatino Linotype"/>
          <w:sz w:val="24"/>
          <w:szCs w:val="24"/>
        </w:rPr>
        <w:t xml:space="preserve"> o confidenciales y genera inseguridad jurídica respecto del ejercicio de dicho derecho, así como del alcance de las facultades estatales para restringirlo; es por ello que, en atención al principio de máxima divulgación, toda excepción que precisen los entes públicos debe sujetarse a  una serie de parámetros jurídicos.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b/>
          <w:sz w:val="24"/>
          <w:szCs w:val="24"/>
        </w:rPr>
      </w:pPr>
      <w:r w:rsidRPr="00F24A91">
        <w:rPr>
          <w:rFonts w:ascii="Palatino Linotype" w:hAnsi="Palatino Linotype"/>
          <w:sz w:val="24"/>
          <w:szCs w:val="24"/>
        </w:rPr>
        <w:t xml:space="preserve">Además, en la misma sentencia el tribunal interamericano puntualizó que la ley debe garantizar un acceso a la información pública que sea efectivo y lo más amplio posible, además de que, </w:t>
      </w:r>
      <w:r w:rsidRPr="00F24A91">
        <w:rPr>
          <w:rFonts w:ascii="Palatino Linotype" w:hAnsi="Palatino Linotype"/>
          <w:b/>
          <w:sz w:val="24"/>
          <w:szCs w:val="24"/>
          <w:u w:val="single"/>
        </w:rPr>
        <w:t xml:space="preserve">en caso de contemplar excepciones, éstas no deben convertirse en la práctica en la regla general, sino deben ser la excepción sujetas a estudios casuísticos.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esa medida, la Relatoría para la Libertad de Expresión de la Comisión Interamericana de Derechos Humanos, </w:t>
      </w:r>
      <w:r w:rsidRPr="00F24A91">
        <w:rPr>
          <w:rFonts w:ascii="Palatino Linotype" w:hAnsi="Palatino Linotype"/>
          <w:b/>
          <w:sz w:val="24"/>
          <w:szCs w:val="24"/>
        </w:rPr>
        <w:t>ha sostenido que las limitaciones impuestas al derecho de acceso a la información, como cualquier otra limitación que se imponga a cualquiera de las derivaciones del derecho a la libertad de expresión, deben ser necesarias en una sociedad democrática para satisfacer un interés público imperativo; debiendo escoger la que restrinja en menor escala el derecho protegido</w:t>
      </w:r>
      <w:r w:rsidRPr="00F24A91">
        <w:rPr>
          <w:rFonts w:ascii="Palatino Linotype" w:hAnsi="Palatino Linotype"/>
          <w:sz w:val="24"/>
          <w:szCs w:val="24"/>
        </w:rPr>
        <w:t>, y observando que ésta:  (i) sea conducente para alcanzar su logro, (ii) sea proporcional al interés que la justifica, e (iii) interfiera en la menor medida posible en el ejercicio efectivo del derecho.</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b/>
          <w:sz w:val="24"/>
          <w:szCs w:val="24"/>
          <w:u w:val="single"/>
        </w:rPr>
      </w:pPr>
      <w:r w:rsidRPr="00F24A91">
        <w:rPr>
          <w:rFonts w:ascii="Palatino Linotype" w:hAnsi="Palatino Linotype"/>
          <w:sz w:val="24"/>
          <w:szCs w:val="24"/>
        </w:rPr>
        <w:t xml:space="preserve">De esta forma, del principio de máxima publicidad tanto en el ámbito internos como en la óptica internacional, deriva el que </w:t>
      </w:r>
      <w:r w:rsidRPr="00F24A91">
        <w:rPr>
          <w:rFonts w:ascii="Palatino Linotype" w:hAnsi="Palatino Linotype"/>
          <w:b/>
          <w:sz w:val="24"/>
          <w:szCs w:val="24"/>
          <w:u w:val="single"/>
        </w:rPr>
        <w:t xml:space="preserve">las normas que limitan el derecho de acceso </w:t>
      </w:r>
      <w:r w:rsidRPr="00F24A91">
        <w:rPr>
          <w:rFonts w:ascii="Palatino Linotype" w:hAnsi="Palatino Linotype"/>
          <w:b/>
          <w:sz w:val="24"/>
          <w:szCs w:val="24"/>
          <w:u w:val="single"/>
        </w:rPr>
        <w:lastRenderedPageBreak/>
        <w:t xml:space="preserve">a la información deben ser interpretadas de manera restrictiva y que toda limitación debe estar debidamente sujeta a una serie de parámetros con los cuales se permita determinar la menor limitación posible al derecho de acceso. </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Segunda cuestión: ¿Cuál es el marco legal que contempla el conjunto de limitaciones excepcionales al Derecho de Acceso a la información Pública en México en los casos en concreto?</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Bajo este panorama, en congruencia con el marco constitucional y convencional, la Ley General de Transparencia y de forma equivalente la Ley de Transparencia y Acceso a la Información Pública del Estado de México y Municipios, establecen dos supuestos bajo los cuales una autoridad del estado puede restringir el Derecho de acceso a la información pública ejercido por los particulares, dichas hipótesis de restricción las podemos delimitar en dos conjuntos, el primero como información: “</w:t>
      </w:r>
      <w:r w:rsidRPr="00F24A91">
        <w:rPr>
          <w:rFonts w:ascii="Palatino Linotype" w:hAnsi="Palatino Linotype"/>
          <w:b/>
          <w:sz w:val="24"/>
          <w:szCs w:val="24"/>
        </w:rPr>
        <w:t>Confidencial”</w:t>
      </w:r>
      <w:r w:rsidRPr="00F24A91">
        <w:rPr>
          <w:rFonts w:ascii="Palatino Linotype" w:hAnsi="Palatino Linotype"/>
          <w:sz w:val="24"/>
          <w:szCs w:val="24"/>
        </w:rPr>
        <w:t xml:space="preserve"> y el segundo como información “</w:t>
      </w:r>
      <w:r w:rsidRPr="00F24A91">
        <w:rPr>
          <w:rFonts w:ascii="Palatino Linotype" w:hAnsi="Palatino Linotype"/>
          <w:b/>
          <w:sz w:val="24"/>
          <w:szCs w:val="24"/>
        </w:rPr>
        <w:t>Reservada</w:t>
      </w:r>
      <w:r w:rsidRPr="00F24A91">
        <w:rPr>
          <w:rFonts w:ascii="Palatino Linotype" w:hAnsi="Palatino Linotype"/>
          <w:sz w:val="24"/>
          <w:szCs w:val="24"/>
        </w:rPr>
        <w:t xml:space="preserve">”.  </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En este sentido, para proteger la vida privada y los datos personales –considerados como uno de los límites constitucionalmente legítimos–</w:t>
      </w:r>
      <w:r w:rsidRPr="00F24A91">
        <w:rPr>
          <w:rFonts w:ascii="Palatino Linotype" w:hAnsi="Palatino Linotype"/>
          <w:i/>
          <w:sz w:val="24"/>
          <w:szCs w:val="24"/>
        </w:rPr>
        <w:t xml:space="preserve"> </w:t>
      </w:r>
      <w:r w:rsidRPr="00F24A91">
        <w:rPr>
          <w:rFonts w:ascii="Palatino Linotype" w:hAnsi="Palatino Linotype"/>
          <w:sz w:val="24"/>
          <w:szCs w:val="24"/>
        </w:rPr>
        <w:t>el artículo 116 de la legislación general reproducido de forma simétrica en el análogo 143 de ley local en la materia, se establece como criterio de clasificación el de “</w:t>
      </w:r>
      <w:r w:rsidRPr="00F24A91">
        <w:rPr>
          <w:rFonts w:ascii="Palatino Linotype" w:hAnsi="Palatino Linotype"/>
          <w:b/>
          <w:sz w:val="24"/>
          <w:szCs w:val="24"/>
        </w:rPr>
        <w:t>información confidencial</w:t>
      </w:r>
      <w:r w:rsidRPr="00F24A91">
        <w:rPr>
          <w:rFonts w:ascii="Palatino Linotype" w:hAnsi="Palatino Linotype"/>
          <w:sz w:val="24"/>
          <w:szCs w:val="24"/>
        </w:rPr>
        <w:t xml:space="preserve">”, el cual restringe el acceso a la información pública que contenga datos personales o haga referencia a la vida privada de una persona física que requieran el consentimiento de estos para su difusión, distribución o comercialización. </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lastRenderedPageBreak/>
        <w:t xml:space="preserve">Por otro lado, para proteger el interés público, ambas legislaciones de manera homogénea en los numerales 113 y 140 de la ley general y de la ley local respectivamente, consideran la posibilidad de restringir el derecho de acceso a la información pública ejercido por los particulares, estableciendo la posibilidad de catalogar la información pública que obra en su poder </w:t>
      </w:r>
      <w:r w:rsidRPr="00F24A91">
        <w:rPr>
          <w:rFonts w:ascii="Palatino Linotype" w:hAnsi="Palatino Linotype"/>
          <w:b/>
          <w:sz w:val="24"/>
          <w:szCs w:val="24"/>
        </w:rPr>
        <w:t>con la calidad de reservada.</w:t>
      </w:r>
      <w:r w:rsidRPr="00F24A91">
        <w:rPr>
          <w:rFonts w:ascii="Palatino Linotype" w:hAnsi="Palatino Linotype"/>
          <w:sz w:val="24"/>
          <w:szCs w:val="24"/>
        </w:rPr>
        <w:t xml:space="preserve"> </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Además, la información que sea clasificada como reservada, podrá permanecer con tal carácter hasta por un periodo de cinco años; previendo, además, que podrá ser desclasificada cuando se extingan las causas que dieron origen a su clasificación o haya transcurrido el periodo de reserva.</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la misma lógica, los numerales en comento precisan un catálogo generoso de lineamientos bajo los cuales deberá reservarse la información, lo cual procederá cuando la difusión de la información pueda, entre otras en las </w:t>
      </w:r>
      <w:r>
        <w:rPr>
          <w:rFonts w:ascii="Palatino Linotype" w:hAnsi="Palatino Linotype"/>
          <w:sz w:val="24"/>
          <w:szCs w:val="24"/>
        </w:rPr>
        <w:t>aplicables en el presente caso:</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numPr>
          <w:ilvl w:val="0"/>
          <w:numId w:val="18"/>
        </w:numPr>
        <w:spacing w:after="0" w:line="360" w:lineRule="auto"/>
        <w:ind w:left="993"/>
        <w:jc w:val="both"/>
        <w:rPr>
          <w:rFonts w:ascii="Palatino Linotype" w:hAnsi="Palatino Linotype"/>
          <w:sz w:val="24"/>
          <w:szCs w:val="24"/>
        </w:rPr>
      </w:pPr>
      <w:r w:rsidRPr="00F24A91">
        <w:rPr>
          <w:rFonts w:ascii="Palatino Linotype" w:hAnsi="Palatino Linotype"/>
          <w:b/>
          <w:sz w:val="24"/>
          <w:szCs w:val="24"/>
          <w:u w:val="single"/>
        </w:rPr>
        <w:t>Pueda causar daño u obstruya</w:t>
      </w:r>
      <w:r w:rsidRPr="00F24A91">
        <w:rPr>
          <w:rFonts w:ascii="Palatino Linotype" w:hAnsi="Palatino Linotype"/>
          <w:sz w:val="24"/>
          <w:szCs w:val="24"/>
        </w:rPr>
        <w:t xml:space="preserve"> la prevención o persecución de los delitos, altere el proceso de investigación de las carpetas de investigación, </w:t>
      </w:r>
      <w:r w:rsidRPr="00F24A91">
        <w:rPr>
          <w:rFonts w:ascii="Palatino Linotype" w:hAnsi="Palatino Linotype"/>
          <w:b/>
          <w:sz w:val="24"/>
          <w:szCs w:val="24"/>
        </w:rPr>
        <w:t>afecte o vulnere la conducción</w:t>
      </w:r>
      <w:r w:rsidRPr="00F24A91">
        <w:rPr>
          <w:rFonts w:ascii="Palatino Linotype" w:hAnsi="Palatino Linotype"/>
          <w:sz w:val="24"/>
          <w:szCs w:val="24"/>
        </w:rPr>
        <w:t xml:space="preserve"> o los derechos </w:t>
      </w:r>
      <w:r w:rsidRPr="00F24A91">
        <w:rPr>
          <w:rFonts w:ascii="Palatino Linotype" w:hAnsi="Palatino Linotype"/>
          <w:b/>
          <w:sz w:val="24"/>
          <w:szCs w:val="24"/>
        </w:rPr>
        <w:t>del debido proceso en los procedimientos</w:t>
      </w:r>
      <w:r w:rsidRPr="00F24A91">
        <w:rPr>
          <w:rFonts w:ascii="Palatino Linotype" w:hAnsi="Palatino Linotype"/>
          <w:sz w:val="24"/>
          <w:szCs w:val="24"/>
        </w:rPr>
        <w:t xml:space="preserve"> judiciales o </w:t>
      </w:r>
      <w:r w:rsidRPr="00F24A91">
        <w:rPr>
          <w:rFonts w:ascii="Palatino Linotype" w:hAnsi="Palatino Linotype"/>
          <w:b/>
          <w:sz w:val="24"/>
          <w:szCs w:val="24"/>
        </w:rPr>
        <w:t>administrativos,</w:t>
      </w:r>
      <w:r w:rsidRPr="00F24A91">
        <w:rPr>
          <w:rFonts w:ascii="Palatino Linotype" w:hAnsi="Palatino Linotype"/>
          <w:sz w:val="24"/>
          <w:szCs w:val="24"/>
        </w:rPr>
        <w:t xml:space="preserve"> incluidos los de quejas, denuncias, inconformidades, responsabilidades administrativas y resarcitorias </w:t>
      </w:r>
      <w:r w:rsidRPr="00F24A91">
        <w:rPr>
          <w:rFonts w:ascii="Palatino Linotype" w:hAnsi="Palatino Linotype"/>
          <w:b/>
          <w:sz w:val="24"/>
          <w:szCs w:val="24"/>
        </w:rPr>
        <w:t>en tanto no hayan quedado firmes</w:t>
      </w:r>
      <w:r w:rsidRPr="00F24A91">
        <w:rPr>
          <w:rFonts w:ascii="Palatino Linotype" w:hAnsi="Palatino Linotype"/>
          <w:sz w:val="24"/>
          <w:szCs w:val="24"/>
        </w:rPr>
        <w:t xml:space="preserve"> o afecte la administración de justicia o la seguridad de un denunciante, querellante o testigo, así como sus familias, en los términos de las disposiciones jurídicas aplicables.</w:t>
      </w:r>
    </w:p>
    <w:p w:rsidR="00F24A91" w:rsidRPr="00F24A91" w:rsidRDefault="00F24A91" w:rsidP="00F24A91">
      <w:pPr>
        <w:spacing w:after="0" w:line="360" w:lineRule="auto"/>
        <w:ind w:left="993"/>
        <w:jc w:val="both"/>
        <w:rPr>
          <w:rFonts w:ascii="Palatino Linotype" w:hAnsi="Palatino Linotype"/>
          <w:sz w:val="24"/>
          <w:szCs w:val="24"/>
        </w:rPr>
      </w:pPr>
    </w:p>
    <w:p w:rsidR="00F24A91" w:rsidRPr="00F24A91" w:rsidRDefault="00F24A91" w:rsidP="00F24A91">
      <w:pPr>
        <w:numPr>
          <w:ilvl w:val="0"/>
          <w:numId w:val="17"/>
        </w:numPr>
        <w:spacing w:after="0" w:line="360" w:lineRule="auto"/>
        <w:ind w:left="993"/>
        <w:jc w:val="both"/>
        <w:rPr>
          <w:rFonts w:ascii="Palatino Linotype" w:hAnsi="Palatino Linotype"/>
          <w:sz w:val="24"/>
          <w:szCs w:val="24"/>
        </w:rPr>
      </w:pPr>
      <w:r w:rsidRPr="00F24A91">
        <w:rPr>
          <w:rFonts w:ascii="Palatino Linotype" w:hAnsi="Palatino Linotype"/>
          <w:b/>
          <w:sz w:val="24"/>
          <w:szCs w:val="24"/>
        </w:rPr>
        <w:lastRenderedPageBreak/>
        <w:t>Vulnere la conducción de los expedientes</w:t>
      </w:r>
      <w:r w:rsidRPr="00F24A91">
        <w:rPr>
          <w:rFonts w:ascii="Palatino Linotype" w:hAnsi="Palatino Linotype"/>
          <w:sz w:val="24"/>
          <w:szCs w:val="24"/>
        </w:rPr>
        <w:t xml:space="preserve"> judiciales o </w:t>
      </w:r>
      <w:r w:rsidRPr="00F24A91">
        <w:rPr>
          <w:rFonts w:ascii="Palatino Linotype" w:hAnsi="Palatino Linotype"/>
          <w:b/>
          <w:sz w:val="24"/>
          <w:szCs w:val="24"/>
        </w:rPr>
        <w:t>de los procedimientos administrativos seguidos en forma de juicio, en tanto no hayan quedado firmes</w:t>
      </w:r>
      <w:r w:rsidRPr="00F24A91">
        <w:rPr>
          <w:rFonts w:ascii="Palatino Linotype" w:hAnsi="Palatino Linotype"/>
          <w:sz w:val="24"/>
          <w:szCs w:val="24"/>
        </w:rPr>
        <w:t>;</w:t>
      </w:r>
    </w:p>
    <w:p w:rsidR="00F24A91" w:rsidRPr="00F24A91" w:rsidRDefault="00F24A91" w:rsidP="00F24A91">
      <w:pPr>
        <w:spacing w:after="0" w:line="360" w:lineRule="auto"/>
        <w:ind w:left="993"/>
        <w:jc w:val="both"/>
        <w:rPr>
          <w:rFonts w:ascii="Palatino Linotype" w:hAnsi="Palatino Linotype"/>
          <w:sz w:val="24"/>
          <w:szCs w:val="24"/>
        </w:rPr>
      </w:pPr>
    </w:p>
    <w:p w:rsidR="00F24A91" w:rsidRPr="00F24A91" w:rsidRDefault="00F24A91" w:rsidP="00F24A91">
      <w:pPr>
        <w:numPr>
          <w:ilvl w:val="0"/>
          <w:numId w:val="17"/>
        </w:numPr>
        <w:spacing w:after="0" w:line="360" w:lineRule="auto"/>
        <w:ind w:left="993"/>
        <w:jc w:val="both"/>
        <w:rPr>
          <w:rFonts w:ascii="Palatino Linotype" w:hAnsi="Palatino Linotype"/>
          <w:b/>
          <w:sz w:val="24"/>
          <w:szCs w:val="24"/>
        </w:rPr>
      </w:pPr>
      <w:r w:rsidRPr="00F24A91">
        <w:rPr>
          <w:rFonts w:ascii="Palatino Linotype" w:hAnsi="Palatino Linotype"/>
          <w:b/>
          <w:sz w:val="24"/>
          <w:szCs w:val="24"/>
          <w:u w:val="single"/>
        </w:rPr>
        <w:t xml:space="preserve">El daño que pueda producirse con la publicación de la información sea mayor que el interés público </w:t>
      </w:r>
      <w:r w:rsidRPr="00F24A91">
        <w:rPr>
          <w:rFonts w:ascii="Palatino Linotype" w:hAnsi="Palatino Linotype"/>
          <w:sz w:val="24"/>
          <w:szCs w:val="24"/>
        </w:rPr>
        <w:t xml:space="preserve">de conocer la información de referencia, siempre que esté directamente relacionado con procesos o </w:t>
      </w:r>
      <w:r w:rsidRPr="00F24A91">
        <w:rPr>
          <w:rFonts w:ascii="Palatino Linotype" w:hAnsi="Palatino Linotype"/>
          <w:b/>
          <w:sz w:val="24"/>
          <w:szCs w:val="24"/>
        </w:rPr>
        <w:t>procedimientos administrativos o judiciales que no hayan quedado firmes;</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Las hipótesis contenidas en las fracciones que se transcriben, para su actualización manifiestan dos momentos para poder restringir el derecho de acceso a la información pública, a saber: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numPr>
          <w:ilvl w:val="0"/>
          <w:numId w:val="19"/>
        </w:numPr>
        <w:spacing w:after="0" w:line="360" w:lineRule="auto"/>
        <w:ind w:left="1134"/>
        <w:jc w:val="both"/>
        <w:rPr>
          <w:rFonts w:ascii="Palatino Linotype" w:hAnsi="Palatino Linotype"/>
          <w:sz w:val="24"/>
          <w:szCs w:val="24"/>
        </w:rPr>
      </w:pPr>
      <w:r w:rsidRPr="00F24A91">
        <w:rPr>
          <w:rFonts w:ascii="Palatino Linotype" w:hAnsi="Palatino Linotype"/>
          <w:sz w:val="24"/>
          <w:szCs w:val="24"/>
        </w:rPr>
        <w:t>En primer lugar, que la información solicitada se encuentre en un procedimiento vivo; y</w:t>
      </w:r>
    </w:p>
    <w:p w:rsidR="00F24A91" w:rsidRPr="00F24A91" w:rsidRDefault="00F24A91" w:rsidP="00F24A91">
      <w:pPr>
        <w:numPr>
          <w:ilvl w:val="0"/>
          <w:numId w:val="19"/>
        </w:numPr>
        <w:spacing w:after="0" w:line="360" w:lineRule="auto"/>
        <w:ind w:left="1134"/>
        <w:jc w:val="both"/>
        <w:rPr>
          <w:rFonts w:ascii="Palatino Linotype" w:hAnsi="Palatino Linotype"/>
          <w:sz w:val="24"/>
          <w:szCs w:val="24"/>
        </w:rPr>
      </w:pPr>
      <w:r w:rsidRPr="00F24A91">
        <w:rPr>
          <w:rFonts w:ascii="Palatino Linotype" w:hAnsi="Palatino Linotype"/>
          <w:sz w:val="24"/>
          <w:szCs w:val="24"/>
        </w:rPr>
        <w:t xml:space="preserve"> Como segundo requisito, que el operador jurídico que posee la información, demuestre que su publicidad vulnera, transgrede y pone en riesgo la conducción de expedientes administrativos y demostrar que el daño que pueda producirse con la publicación de la información sea mayor que el interés público.</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bookmarkStart w:id="1" w:name="_heading=h.2et92p0" w:colFirst="0" w:colLast="0"/>
      <w:bookmarkEnd w:id="1"/>
      <w:r w:rsidRPr="00F24A91">
        <w:rPr>
          <w:rFonts w:ascii="Palatino Linotype" w:hAnsi="Palatino Linotype"/>
          <w:sz w:val="24"/>
          <w:szCs w:val="24"/>
        </w:rPr>
        <w:t xml:space="preserve">Ahora bien, para el caso de que la información que se ordena se encuentre en proceso en términos de lo señalado por el artículo 140 fracción VIII que señala como información reservada toda aquella que vulnere la conducción de los expedientes judiciales o de los procedimientos administrativos seguidos en forma de juicio, en </w:t>
      </w:r>
      <w:r w:rsidRPr="00F24A91">
        <w:rPr>
          <w:rFonts w:ascii="Palatino Linotype" w:hAnsi="Palatino Linotype"/>
          <w:sz w:val="24"/>
          <w:szCs w:val="24"/>
        </w:rPr>
        <w:lastRenderedPageBreak/>
        <w:t xml:space="preserve">tanto no hayan quedado firmes; no es aplicable en el presente caso en particular, pues si bien la información pública generada que se ubique dentro de un procedimiento judicial o administrativo que no haya quedado firme tiene naturaleza de reservada, la presente no actualiza la hipótesis señalada por causas de interés público o trascendencia social del caso relacionado con la información correspondiente al conflicto diferendo limítrofe con el municipio de </w:t>
      </w:r>
      <w:r>
        <w:rPr>
          <w:rFonts w:ascii="Palatino Linotype" w:hAnsi="Palatino Linotype"/>
          <w:sz w:val="24"/>
          <w:szCs w:val="24"/>
        </w:rPr>
        <w:t>Teoloyucan</w:t>
      </w:r>
      <w:r w:rsidRPr="00F24A91">
        <w:rPr>
          <w:rFonts w:ascii="Palatino Linotype" w:hAnsi="Palatino Linotype"/>
          <w:sz w:val="24"/>
          <w:szCs w:val="24"/>
        </w:rPr>
        <w:t>.</w:t>
      </w:r>
    </w:p>
    <w:p w:rsidR="009E7B8E" w:rsidRDefault="009E7B8E"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Además, de consentir este Organismo Garante la reserva de la información solicitada, por el solo hecho de encontrarse inmersa en un procedimiento que no ha causado estado, se anularía por completo la posibilidad de la existencia de casos excepcionales en los cuales existen intereses superiores de la sociedad de conocer la información.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Es decir, conforme a lo expresado por la Corte Interamericana, ha de vigilarse en todo momento, que las excepciones no se conviertan en regla general, dado que el derecho a la información juega un papel determinante en un Estado democrático, a partir del cual, los gobernados pueden ejercer un control respecto del funcionamiento institucional de los poderes públicos.</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este sentido, la propia Suprema Corte de Justicia de la Nación (SCJN) al resolver la Acción de inconstitucionalidad 26/2006, concreto la tesis de jurisprudencia de rubro: </w:t>
      </w:r>
      <w:r w:rsidRPr="00F24A91">
        <w:rPr>
          <w:rFonts w:ascii="Palatino Linotype" w:hAnsi="Palatino Linotype"/>
          <w:b/>
          <w:sz w:val="24"/>
          <w:szCs w:val="24"/>
        </w:rPr>
        <w:t>“INFORMACIÓN RESERVADA. EXCEPCIÓN A LA PROHIBICIÓN DE SU DIVULGACIÓN”</w:t>
      </w:r>
      <w:r w:rsidRPr="00F24A91">
        <w:rPr>
          <w:rFonts w:ascii="Palatino Linotype" w:hAnsi="Palatino Linotype"/>
          <w:sz w:val="24"/>
          <w:szCs w:val="24"/>
        </w:rPr>
        <w:t xml:space="preserve">, de cuyo cuerpo, en el tema que interesa se precisa que: “…No obstante la imposibilidad de acceder a dicha información no puede considerarse como una regla absoluta, porque en aquellos supuestos en los cuales su difusión producirá mayores beneficios para la sociedad que los daños que pudieran provocarse con su </w:t>
      </w:r>
      <w:r w:rsidRPr="00F24A91">
        <w:rPr>
          <w:rFonts w:ascii="Palatino Linotype" w:hAnsi="Palatino Linotype"/>
          <w:sz w:val="24"/>
          <w:szCs w:val="24"/>
        </w:rPr>
        <w:lastRenderedPageBreak/>
        <w:t>divulgación, debe hacerse una excepción a la regla general, privilegiando la transparencia y difusión de la información respectiva.”</w:t>
      </w:r>
      <w:r w:rsidRPr="00F24A91">
        <w:rPr>
          <w:rFonts w:ascii="Palatino Linotype" w:hAnsi="Palatino Linotype"/>
          <w:sz w:val="24"/>
          <w:szCs w:val="24"/>
          <w:vertAlign w:val="superscript"/>
        </w:rPr>
        <w:footnoteReference w:id="7"/>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Así, se puede desprender que</w:t>
      </w:r>
      <w:r w:rsidR="002904E4">
        <w:rPr>
          <w:rFonts w:ascii="Palatino Linotype" w:hAnsi="Palatino Linotype"/>
          <w:sz w:val="24"/>
          <w:szCs w:val="24"/>
        </w:rPr>
        <w:t xml:space="preserve"> </w:t>
      </w:r>
      <w:r w:rsidRPr="00F24A91">
        <w:rPr>
          <w:rFonts w:ascii="Palatino Linotype" w:hAnsi="Palatino Linotype"/>
          <w:sz w:val="24"/>
          <w:szCs w:val="24"/>
        </w:rPr>
        <w:t xml:space="preserve">la restricción para acceder a </w:t>
      </w:r>
      <w:r w:rsidR="002904E4">
        <w:rPr>
          <w:rFonts w:ascii="Palatino Linotype" w:hAnsi="Palatino Linotype"/>
          <w:sz w:val="24"/>
          <w:szCs w:val="24"/>
        </w:rPr>
        <w:t xml:space="preserve">la información relacionada con </w:t>
      </w:r>
      <w:r w:rsidRPr="00F24A91">
        <w:rPr>
          <w:rFonts w:ascii="Palatino Linotype" w:hAnsi="Palatino Linotype"/>
          <w:sz w:val="24"/>
          <w:szCs w:val="24"/>
        </w:rPr>
        <w:t>expedientes administrativ</w:t>
      </w:r>
      <w:r w:rsidR="002904E4">
        <w:rPr>
          <w:rFonts w:ascii="Palatino Linotype" w:hAnsi="Palatino Linotype"/>
          <w:sz w:val="24"/>
          <w:szCs w:val="24"/>
        </w:rPr>
        <w:t xml:space="preserve">os que no hayan causado estado, </w:t>
      </w:r>
      <w:r w:rsidRPr="00F24A91">
        <w:rPr>
          <w:rFonts w:ascii="Palatino Linotype" w:hAnsi="Palatino Linotype"/>
          <w:sz w:val="24"/>
          <w:szCs w:val="24"/>
        </w:rPr>
        <w:t>no puede considerarse como una regla absoluta. Debe hacerse una excepción a esta regla</w:t>
      </w:r>
      <w:r w:rsidR="002904E4">
        <w:rPr>
          <w:rFonts w:ascii="Palatino Linotype" w:hAnsi="Palatino Linotype"/>
          <w:sz w:val="24"/>
          <w:szCs w:val="24"/>
        </w:rPr>
        <w:t xml:space="preserve"> </w:t>
      </w:r>
      <w:r w:rsidRPr="00F24A91">
        <w:rPr>
          <w:rFonts w:ascii="Palatino Linotype" w:hAnsi="Palatino Linotype"/>
          <w:sz w:val="24"/>
          <w:szCs w:val="24"/>
        </w:rPr>
        <w:t>privilegiando la transparencia y difusión de la información respectiva</w:t>
      </w:r>
      <w:r w:rsidR="002904E4">
        <w:rPr>
          <w:rFonts w:ascii="Palatino Linotype" w:hAnsi="Palatino Linotype"/>
          <w:sz w:val="24"/>
          <w:szCs w:val="24"/>
        </w:rPr>
        <w:t xml:space="preserve"> </w:t>
      </w:r>
      <w:r w:rsidRPr="00F24A91">
        <w:rPr>
          <w:rFonts w:ascii="Palatino Linotype" w:hAnsi="Palatino Linotype"/>
          <w:sz w:val="24"/>
          <w:szCs w:val="24"/>
        </w:rPr>
        <w:t>cuando su difusión producirá mayores beneficios para la sociedad que los daños que pudieran provocarse con su divulgación.</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Por esta razón, existe la posibilidad de que la información que referencia al expediente que contiene lo relacionado con l</w:t>
      </w:r>
      <w:r w:rsidR="00E5062C">
        <w:rPr>
          <w:rFonts w:ascii="Palatino Linotype" w:hAnsi="Palatino Linotype"/>
          <w:sz w:val="24"/>
          <w:szCs w:val="24"/>
        </w:rPr>
        <w:t xml:space="preserve">as controversias constitucionales entre los Municipios de </w:t>
      </w:r>
      <w:r w:rsidR="00E5062C" w:rsidRPr="00E5062C">
        <w:rPr>
          <w:rFonts w:ascii="Palatino Linotype" w:hAnsi="Palatino Linotype"/>
          <w:sz w:val="24"/>
          <w:szCs w:val="24"/>
        </w:rPr>
        <w:t>Tepotzotlán vs Teoloyucan</w:t>
      </w:r>
      <w:r w:rsidR="00E5062C">
        <w:rPr>
          <w:rFonts w:ascii="Palatino Linotype" w:hAnsi="Palatino Linotype"/>
          <w:sz w:val="24"/>
          <w:szCs w:val="24"/>
        </w:rPr>
        <w:t xml:space="preserve"> y</w:t>
      </w:r>
      <w:r w:rsidR="00E5062C" w:rsidRPr="00E5062C">
        <w:rPr>
          <w:rFonts w:ascii="Palatino Linotype" w:hAnsi="Palatino Linotype"/>
          <w:sz w:val="24"/>
          <w:szCs w:val="24"/>
        </w:rPr>
        <w:t xml:space="preserve"> Cuautitlán Izcalli vs Teoloyucan</w:t>
      </w:r>
      <w:r w:rsidRPr="00F24A91">
        <w:rPr>
          <w:rFonts w:ascii="Palatino Linotype" w:hAnsi="Palatino Linotype"/>
          <w:sz w:val="24"/>
          <w:szCs w:val="24"/>
        </w:rPr>
        <w:t>, ostente</w:t>
      </w:r>
      <w:r w:rsidR="00E5062C">
        <w:rPr>
          <w:rFonts w:ascii="Palatino Linotype" w:hAnsi="Palatino Linotype"/>
          <w:sz w:val="24"/>
          <w:szCs w:val="24"/>
        </w:rPr>
        <w:t>n</w:t>
      </w:r>
      <w:r w:rsidRPr="00F24A91">
        <w:rPr>
          <w:rFonts w:ascii="Palatino Linotype" w:hAnsi="Palatino Linotype"/>
          <w:sz w:val="24"/>
          <w:szCs w:val="24"/>
        </w:rPr>
        <w:t xml:space="preserve"> características tan especiales que el beneficio social y colectivo que otorga su acceso es tan grande que la reserva no resultaba ser una barrera infranqueable.</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En razón de lo anterior, este Organismo Garante del Derecho de Acceso a la información Pública en la entidad Mexiquense, debe valorar de nueva cuenta a través de criterios razonables y ponderables el interés público en el presente caso, a fin de determinar si este interés público que reviste la información de mérito, resulta suficiente para restringir la necesidad de clasificar la información como reservada, o en su defecto, determinar si prevalece más el sigilo de la información.</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2904E4">
        <w:rPr>
          <w:rFonts w:ascii="Palatino Linotype" w:hAnsi="Palatino Linotype"/>
          <w:b/>
          <w:sz w:val="24"/>
          <w:szCs w:val="24"/>
        </w:rPr>
        <w:lastRenderedPageBreak/>
        <w:t>Tercera cuestión:</w:t>
      </w:r>
      <w:r w:rsidRPr="00F24A91">
        <w:rPr>
          <w:rFonts w:ascii="Palatino Linotype" w:hAnsi="Palatino Linotype"/>
          <w:sz w:val="24"/>
          <w:szCs w:val="24"/>
        </w:rPr>
        <w:t xml:space="preserve"> ¿El interés público que envuelve la información referida resulta suficiente para restringir la necesidad de clasificar la información como reservada?</w:t>
      </w:r>
    </w:p>
    <w:p w:rsidR="002904E4" w:rsidRDefault="002904E4"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b/>
          <w:i/>
          <w:sz w:val="24"/>
          <w:szCs w:val="24"/>
        </w:rPr>
      </w:pPr>
      <w:r w:rsidRPr="00F24A91">
        <w:rPr>
          <w:rFonts w:ascii="Palatino Linotype" w:hAnsi="Palatino Linotype"/>
          <w:sz w:val="24"/>
          <w:szCs w:val="24"/>
        </w:rPr>
        <w:t>Entonces al hablar de una valoración de los beneficios o perjuicios de la divulgación señalada, debe fundarse en las consecuencias concretas que, potencialmente, resulten de la publicidad de la información, se deberá ponderar si la publicidad de la información tienen una trascendencia social y poder ser catalogada como información de interés público</w:t>
      </w:r>
      <w:r w:rsidRPr="00F24A91">
        <w:rPr>
          <w:rFonts w:ascii="Palatino Linotype" w:hAnsi="Palatino Linotype"/>
          <w:b/>
          <w:i/>
          <w:sz w:val="24"/>
          <w:szCs w:val="24"/>
        </w:rPr>
        <w:t>.</w:t>
      </w:r>
      <w:r w:rsidRPr="00F24A91">
        <w:rPr>
          <w:rFonts w:ascii="Palatino Linotype" w:hAnsi="Palatino Linotype"/>
          <w:b/>
          <w:sz w:val="24"/>
          <w:szCs w:val="24"/>
          <w:u w:val="single"/>
          <w:vertAlign w:val="superscript"/>
        </w:rPr>
        <w:t xml:space="preserve"> </w:t>
      </w:r>
      <w:r w:rsidRPr="00F24A91">
        <w:rPr>
          <w:rFonts w:ascii="Palatino Linotype" w:hAnsi="Palatino Linotype"/>
          <w:b/>
          <w:sz w:val="24"/>
          <w:szCs w:val="24"/>
          <w:u w:val="single"/>
          <w:vertAlign w:val="superscript"/>
        </w:rPr>
        <w:footnoteReference w:id="8"/>
      </w:r>
    </w:p>
    <w:p w:rsidR="002904E4" w:rsidRDefault="002904E4"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Así, este Instituto considera procedente efectuar una prueba de interés público ante la colisión de derechos que se plantea en el presente recurso de revisión, por una parte: i) el derecho aducido por el Sujeto Obligado consistente en el derecho a la secrecía del expediente en virtud de no haber causado estado, frente al derecho ejercido por el particular consiéntete en el Derecho de Acceso a la Información Pública. Lo anterior, conforme a lo que mandata la Ley General de Transparencia y Acceso a la Información Pública, la cual en su artículo 149 refiere la posibilidad, tratándose de colisión de </w:t>
      </w:r>
      <w:r w:rsidRPr="00F24A91">
        <w:rPr>
          <w:rFonts w:ascii="Palatino Linotype" w:hAnsi="Palatino Linotype"/>
          <w:sz w:val="24"/>
          <w:szCs w:val="24"/>
        </w:rPr>
        <w:lastRenderedPageBreak/>
        <w:t>derechos, la solución bajo el principio de proporcionalidad en observancia a las gradas de: idoneidad, necesidad y proporcionalidad (premisa que es replicada en el artículo 184 de la ley local en la ma</w:t>
      </w:r>
      <w:r w:rsidR="002904E4">
        <w:rPr>
          <w:rFonts w:ascii="Palatino Linotype" w:hAnsi="Palatino Linotype"/>
          <w:sz w:val="24"/>
          <w:szCs w:val="24"/>
        </w:rPr>
        <w:t>teria), tal y como se precisa:</w:t>
      </w:r>
    </w:p>
    <w:p w:rsidR="002904E4" w:rsidRPr="00F24A91" w:rsidRDefault="002904E4" w:rsidP="00F24A91">
      <w:pPr>
        <w:spacing w:after="0" w:line="360" w:lineRule="auto"/>
        <w:jc w:val="both"/>
        <w:rPr>
          <w:rFonts w:ascii="Palatino Linotype" w:hAnsi="Palatino Linotype"/>
          <w:sz w:val="24"/>
          <w:szCs w:val="24"/>
        </w:rPr>
      </w:pP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“Artículo 149. </w:t>
      </w:r>
      <w:r w:rsidRPr="002904E4">
        <w:rPr>
          <w:rFonts w:ascii="Palatino Linotype" w:hAnsi="Palatino Linotype"/>
          <w:b/>
          <w:i/>
          <w:szCs w:val="24"/>
        </w:rPr>
        <w:t xml:space="preserve">El organismo garante, al resolver el recurso de revisión, deberá aplicar una prueba de interés público con base en elementos de idoneidad, necesidad y proporcionalidad, cuando exista una </w:t>
      </w:r>
      <w:r w:rsidRPr="002904E4">
        <w:rPr>
          <w:rFonts w:ascii="Palatino Linotype" w:hAnsi="Palatino Linotype"/>
          <w:b/>
          <w:i/>
          <w:szCs w:val="24"/>
          <w:u w:val="single"/>
        </w:rPr>
        <w:t xml:space="preserve">colisión de derechos.” </w:t>
      </w:r>
      <w:r w:rsidRPr="002904E4">
        <w:rPr>
          <w:rFonts w:ascii="Palatino Linotype" w:hAnsi="Palatino Linotype"/>
          <w:b/>
          <w:i/>
          <w:szCs w:val="24"/>
        </w:rPr>
        <w:t>(Sic)</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Para estos efectos, se entenderá por:</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b/>
          <w:i/>
          <w:szCs w:val="24"/>
        </w:rPr>
        <w:t>I. Idoneidad:</w:t>
      </w:r>
      <w:r w:rsidRPr="002904E4">
        <w:rPr>
          <w:rFonts w:ascii="Palatino Linotype" w:hAnsi="Palatino Linotype"/>
          <w:i/>
          <w:szCs w:val="24"/>
        </w:rPr>
        <w:t xml:space="preserve"> La legitimidad del derecho adoptado como preferente, que sea el adecuado para el logro de un fin constitucionalmente válido o apto para conseguir el fin pretendido;</w:t>
      </w:r>
    </w:p>
    <w:p w:rsidR="00F24A91" w:rsidRPr="002904E4" w:rsidRDefault="00F24A91" w:rsidP="002904E4">
      <w:pPr>
        <w:spacing w:after="0" w:line="240" w:lineRule="auto"/>
        <w:ind w:left="567" w:right="567"/>
        <w:jc w:val="both"/>
        <w:rPr>
          <w:rFonts w:ascii="Palatino Linotype" w:hAnsi="Palatino Linotype"/>
          <w:i/>
          <w:szCs w:val="24"/>
        </w:rPr>
      </w:pPr>
    </w:p>
    <w:p w:rsidR="00F24A91" w:rsidRPr="002904E4" w:rsidRDefault="00F24A91" w:rsidP="002904E4">
      <w:pPr>
        <w:spacing w:after="0" w:line="240" w:lineRule="auto"/>
        <w:ind w:left="567" w:right="567"/>
        <w:jc w:val="both"/>
        <w:rPr>
          <w:rFonts w:ascii="Palatino Linotype" w:hAnsi="Palatino Linotype"/>
          <w:b/>
          <w:i/>
          <w:szCs w:val="24"/>
        </w:rPr>
      </w:pPr>
      <w:r w:rsidRPr="002904E4">
        <w:rPr>
          <w:rFonts w:ascii="Palatino Linotype" w:hAnsi="Palatino Linotype"/>
          <w:i/>
          <w:szCs w:val="24"/>
        </w:rPr>
        <w:t xml:space="preserve"> </w:t>
      </w:r>
      <w:r w:rsidRPr="002904E4">
        <w:rPr>
          <w:rFonts w:ascii="Palatino Linotype" w:hAnsi="Palatino Linotype"/>
          <w:b/>
          <w:i/>
          <w:szCs w:val="24"/>
        </w:rPr>
        <w:t>II. Necesidad:</w:t>
      </w:r>
      <w:r w:rsidRPr="002904E4">
        <w:rPr>
          <w:rFonts w:ascii="Palatino Linotype" w:hAnsi="Palatino Linotype"/>
          <w:i/>
          <w:szCs w:val="24"/>
        </w:rPr>
        <w:t xml:space="preserve"> La falta de un medio alternativo menos lesivo a la apertura de la información, para satisfacer el interés público, y </w:t>
      </w:r>
    </w:p>
    <w:p w:rsidR="00F24A91" w:rsidRPr="002904E4" w:rsidRDefault="00F24A91" w:rsidP="002904E4">
      <w:pPr>
        <w:spacing w:after="0" w:line="240" w:lineRule="auto"/>
        <w:ind w:left="567" w:right="567"/>
        <w:jc w:val="both"/>
        <w:rPr>
          <w:rFonts w:ascii="Palatino Linotype" w:hAnsi="Palatino Linotype"/>
          <w:i/>
          <w:szCs w:val="24"/>
        </w:rPr>
      </w:pPr>
    </w:p>
    <w:p w:rsidR="00F24A91" w:rsidRPr="002904E4" w:rsidRDefault="00F24A91" w:rsidP="002904E4">
      <w:pPr>
        <w:spacing w:after="0" w:line="240" w:lineRule="auto"/>
        <w:ind w:left="567" w:right="567"/>
        <w:jc w:val="both"/>
        <w:rPr>
          <w:rFonts w:ascii="Palatino Linotype" w:hAnsi="Palatino Linotype"/>
          <w:b/>
          <w:i/>
          <w:szCs w:val="24"/>
        </w:rPr>
      </w:pPr>
      <w:r w:rsidRPr="002904E4">
        <w:rPr>
          <w:rFonts w:ascii="Palatino Linotype" w:hAnsi="Palatino Linotype"/>
          <w:b/>
          <w:i/>
          <w:szCs w:val="24"/>
        </w:rPr>
        <w:t>III. Proporcionalidad:</w:t>
      </w:r>
      <w:r w:rsidRPr="002904E4">
        <w:rPr>
          <w:rFonts w:ascii="Palatino Linotype" w:hAnsi="Palatino Linotype"/>
          <w:i/>
          <w:szCs w:val="24"/>
        </w:rPr>
        <w:t xml:space="preserve"> El equilibrio entre perjuicio y beneficio a favor del interés público, a fin de que la decisión tomada represente un beneficio mayor al perjuicio que podría causar a la población.” (Sic)</w:t>
      </w:r>
    </w:p>
    <w:p w:rsidR="002904E4" w:rsidRDefault="002904E4"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b/>
          <w:i/>
          <w:sz w:val="24"/>
          <w:szCs w:val="24"/>
        </w:rPr>
      </w:pPr>
      <w:r w:rsidRPr="00F24A91">
        <w:rPr>
          <w:rFonts w:ascii="Palatino Linotype" w:hAnsi="Palatino Linotype"/>
          <w:sz w:val="24"/>
          <w:szCs w:val="24"/>
        </w:rPr>
        <w:t xml:space="preserve">Ahora bien, utilizando lo precisado en la parte inicial de este apartado, el contenido de ciertos derechos fundamentales no puede ser absoluto, y la colisión entre derechos fundamentales no puede resolverse apelando a reglas de prioridad entre normas, </w:t>
      </w:r>
      <w:r w:rsidRPr="00F24A91">
        <w:rPr>
          <w:rFonts w:ascii="Palatino Linotype" w:hAnsi="Palatino Linotype"/>
          <w:b/>
          <w:sz w:val="24"/>
          <w:szCs w:val="24"/>
        </w:rPr>
        <w:t>s</w:t>
      </w:r>
      <w:r w:rsidRPr="00F24A91">
        <w:rPr>
          <w:rFonts w:ascii="Palatino Linotype" w:hAnsi="Palatino Linotype"/>
          <w:b/>
          <w:i/>
          <w:sz w:val="24"/>
          <w:szCs w:val="24"/>
        </w:rPr>
        <w:t>ino mediante una ponderación que determine el derecho que ha de prevalecer</w:t>
      </w:r>
      <w:r w:rsidRPr="00F24A91">
        <w:rPr>
          <w:rFonts w:ascii="Palatino Linotype" w:hAnsi="Palatino Linotype"/>
          <w:sz w:val="24"/>
          <w:szCs w:val="24"/>
        </w:rPr>
        <w:t xml:space="preserve"> en el caso concreto, esto conforme la doctrina de</w:t>
      </w:r>
      <w:r w:rsidRPr="00F24A91">
        <w:rPr>
          <w:rFonts w:ascii="Palatino Linotype" w:hAnsi="Palatino Linotype"/>
          <w:b/>
          <w:sz w:val="24"/>
          <w:szCs w:val="24"/>
        </w:rPr>
        <w:t xml:space="preserve"> Riccardnao Guastini al señalar que “</w:t>
      </w:r>
      <w:r w:rsidRPr="00F24A91">
        <w:rPr>
          <w:rFonts w:ascii="Palatino Linotype" w:hAnsi="Palatino Linotype"/>
          <w:i/>
          <w:sz w:val="24"/>
          <w:szCs w:val="24"/>
        </w:rPr>
        <w:t>La ponderación, por tanto, no es una “conciliación</w:t>
      </w:r>
      <w:r w:rsidRPr="00F24A91">
        <w:rPr>
          <w:rFonts w:ascii="Palatino Linotype" w:hAnsi="Palatino Linotype"/>
          <w:sz w:val="24"/>
          <w:szCs w:val="24"/>
        </w:rPr>
        <w:t>”. No consiste en “</w:t>
      </w:r>
      <w:r w:rsidRPr="00F24A91">
        <w:rPr>
          <w:rFonts w:ascii="Palatino Linotype" w:hAnsi="Palatino Linotype"/>
          <w:i/>
          <w:sz w:val="24"/>
          <w:szCs w:val="24"/>
        </w:rPr>
        <w:t>poner de acuerdo</w:t>
      </w:r>
      <w:r w:rsidRPr="00F24A91">
        <w:rPr>
          <w:rFonts w:ascii="Palatino Linotype" w:hAnsi="Palatino Linotype"/>
          <w:sz w:val="24"/>
          <w:szCs w:val="24"/>
        </w:rPr>
        <w:t xml:space="preserve">” los dos principios en conflicto, o en encontrar un punto de “equilibrio” entre ellos. No consiste en la aplicación o en el sacrificio parcial de dos principios. </w:t>
      </w:r>
      <w:r w:rsidRPr="00F24A91">
        <w:rPr>
          <w:rFonts w:ascii="Palatino Linotype" w:hAnsi="Palatino Linotype"/>
          <w:b/>
          <w:i/>
          <w:sz w:val="24"/>
          <w:szCs w:val="24"/>
        </w:rPr>
        <w:t>Uno de los dos principios es aplicado, el otro es ciertamente acantonado.”</w:t>
      </w:r>
      <w:r w:rsidRPr="00F24A91">
        <w:rPr>
          <w:rFonts w:ascii="Palatino Linotype" w:hAnsi="Palatino Linotype"/>
          <w:sz w:val="24"/>
          <w:szCs w:val="24"/>
          <w:vertAlign w:val="superscript"/>
        </w:rPr>
        <w:t xml:space="preserve"> </w:t>
      </w:r>
      <w:r w:rsidRPr="00F24A91">
        <w:rPr>
          <w:rFonts w:ascii="Palatino Linotype" w:hAnsi="Palatino Linotype"/>
          <w:sz w:val="24"/>
          <w:szCs w:val="24"/>
          <w:vertAlign w:val="superscript"/>
        </w:rPr>
        <w:footnoteReference w:id="9"/>
      </w:r>
    </w:p>
    <w:p w:rsidR="002904E4" w:rsidRDefault="002904E4"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cuanto a la metodología de ponderación de derechos, es necesario citar el siguiente criterio del Poder Judicial de la Federación, en el que se dispone lo siguiente: </w:t>
      </w:r>
    </w:p>
    <w:p w:rsidR="002904E4" w:rsidRPr="00F24A91" w:rsidRDefault="002904E4" w:rsidP="00F24A91">
      <w:pPr>
        <w:spacing w:after="0" w:line="360" w:lineRule="auto"/>
        <w:jc w:val="both"/>
        <w:rPr>
          <w:rFonts w:ascii="Palatino Linotype" w:hAnsi="Palatino Linotype"/>
          <w:sz w:val="24"/>
          <w:szCs w:val="24"/>
        </w:rPr>
      </w:pP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Época Novena Época  </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Registro 174338 </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Instancia Tribunales Colegiados de Circuito</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 Tipo de Tesis: Aislada </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Fuente Semanario Judicial de la Federación y su Gaceta </w:t>
      </w:r>
    </w:p>
    <w:p w:rsidR="00F24A91" w:rsidRPr="002904E4" w:rsidRDefault="00F24A91" w:rsidP="002904E4">
      <w:pPr>
        <w:spacing w:after="0" w:line="240" w:lineRule="auto"/>
        <w:ind w:left="567" w:right="567"/>
        <w:jc w:val="both"/>
        <w:rPr>
          <w:rFonts w:ascii="Palatino Linotype" w:hAnsi="Palatino Linotype"/>
          <w:b/>
          <w:i/>
          <w:szCs w:val="24"/>
        </w:rPr>
      </w:pPr>
      <w:r w:rsidRPr="002904E4">
        <w:rPr>
          <w:rFonts w:ascii="Palatino Linotype" w:hAnsi="Palatino Linotype"/>
          <w:i/>
          <w:szCs w:val="24"/>
        </w:rPr>
        <w:t>Tomo XXIV. Agosto</w:t>
      </w:r>
    </w:p>
    <w:p w:rsidR="00F24A91" w:rsidRPr="002904E4" w:rsidRDefault="00F24A91" w:rsidP="002904E4">
      <w:pPr>
        <w:spacing w:after="0" w:line="240" w:lineRule="auto"/>
        <w:ind w:left="567" w:right="567"/>
        <w:jc w:val="both"/>
        <w:rPr>
          <w:rFonts w:ascii="Palatino Linotype" w:hAnsi="Palatino Linotype"/>
          <w:i/>
          <w:szCs w:val="24"/>
        </w:rPr>
      </w:pPr>
      <w:r w:rsidRPr="002904E4">
        <w:rPr>
          <w:rFonts w:ascii="Palatino Linotype" w:hAnsi="Palatino Linotype"/>
          <w:i/>
          <w:szCs w:val="24"/>
        </w:rPr>
        <w:t xml:space="preserve">SUSPENSIÓN EN EL AMPARO. CONFORME A LA TEORÍA DE PONDERACIÓN DE PRINCIPIOS DEBE NEGARSE SI EL INTERÉS SOCIAL CONSTITUCIONALMENTE TUTELADO ES PREFERENTE AL DEL PARTICULAR. </w:t>
      </w:r>
    </w:p>
    <w:p w:rsidR="00F24A91" w:rsidRPr="002904E4" w:rsidRDefault="00F24A91" w:rsidP="002904E4">
      <w:pPr>
        <w:spacing w:after="0" w:line="240" w:lineRule="auto"/>
        <w:ind w:left="567" w:right="567"/>
        <w:jc w:val="both"/>
        <w:rPr>
          <w:rFonts w:ascii="Palatino Linotype" w:hAnsi="Palatino Linotype"/>
          <w:b/>
          <w:i/>
          <w:szCs w:val="24"/>
        </w:rPr>
      </w:pPr>
      <w:r w:rsidRPr="002904E4">
        <w:rPr>
          <w:rFonts w:ascii="Palatino Linotype" w:hAnsi="Palatino Linotype"/>
          <w:b/>
          <w:i/>
          <w:szCs w:val="24"/>
        </w:rPr>
        <w:t>Cuando dos derechos fundamentales entran en colisión, se debe resolver el problema atendiendo a las características y naturaleza del caso concreto, conforme al criterio de proporcionalidad, ponderando los elementos o subprincipio</w:t>
      </w:r>
      <w:r w:rsidRPr="002904E4">
        <w:rPr>
          <w:rFonts w:ascii="Palatino Linotype" w:hAnsi="Palatino Linotype"/>
          <w:i/>
          <w:szCs w:val="24"/>
        </w:rPr>
        <w:t xml:space="preserve">s siguientes: a) </w:t>
      </w:r>
      <w:r w:rsidRPr="002904E4">
        <w:rPr>
          <w:rFonts w:ascii="Palatino Linotype" w:hAnsi="Palatino Linotype"/>
          <w:b/>
          <w:i/>
          <w:szCs w:val="24"/>
          <w:u w:val="single"/>
        </w:rPr>
        <w:t>idoneidad,</w:t>
      </w:r>
      <w:r w:rsidRPr="002904E4">
        <w:rPr>
          <w:rFonts w:ascii="Palatino Linotype" w:hAnsi="Palatino Linotype"/>
          <w:i/>
          <w:szCs w:val="24"/>
        </w:rPr>
        <w:t xml:space="preserve"> la cual es la legitimidad constitucional del principio adoptado como preferente, por resultar ser el adecuado para el logro de un fin constitucionalmente válido o apto para conseguir el objetivo pretendido; b) </w:t>
      </w:r>
      <w:r w:rsidRPr="002904E4">
        <w:rPr>
          <w:rFonts w:ascii="Palatino Linotype" w:hAnsi="Palatino Linotype"/>
          <w:b/>
          <w:i/>
          <w:szCs w:val="24"/>
          <w:u w:val="single"/>
        </w:rPr>
        <w:t>necesidad,</w:t>
      </w:r>
      <w:r w:rsidRPr="002904E4">
        <w:rPr>
          <w:rFonts w:ascii="Palatino Linotype" w:hAnsi="Palatino Linotype"/>
          <w:i/>
          <w:szCs w:val="24"/>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c</w:t>
      </w:r>
      <w:r w:rsidRPr="002904E4">
        <w:rPr>
          <w:rFonts w:ascii="Palatino Linotype" w:hAnsi="Palatino Linotype"/>
          <w:b/>
          <w:i/>
          <w:szCs w:val="24"/>
          <w:u w:val="single"/>
        </w:rPr>
        <w:t>) el mandato de proporcionalidad</w:t>
      </w:r>
      <w:r w:rsidRPr="002904E4">
        <w:rPr>
          <w:rFonts w:ascii="Palatino Linotype" w:hAnsi="Palatino Linotype"/>
          <w:i/>
          <w:szCs w:val="24"/>
        </w:rPr>
        <w:t xml:space="preserve">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w:t>
      </w:r>
      <w:r w:rsidRPr="002904E4">
        <w:rPr>
          <w:rFonts w:ascii="Palatino Linotype" w:hAnsi="Palatino Linotype"/>
          <w:i/>
          <w:szCs w:val="24"/>
        </w:rPr>
        <w:lastRenderedPageBreak/>
        <w:t>que cause un menor daño y el que resulta indispensable privilegiarse, o sea, el que evidentemente conlleve a un mayor beneficio.” (Sic)</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De lo que se desprende que, cuando dos derechos fundamentales entran en colisión debe resolverse el problema atendiendo a las características y naturaleza del caso concreto, conforme al criterio de</w:t>
      </w:r>
      <w:r w:rsidRPr="00F24A91">
        <w:rPr>
          <w:rFonts w:ascii="Palatino Linotype" w:hAnsi="Palatino Linotype"/>
          <w:b/>
          <w:sz w:val="24"/>
          <w:szCs w:val="24"/>
          <w:u w:val="single"/>
        </w:rPr>
        <w:t xml:space="preserve"> proporcionalidad, ponderando los elementos o subprincipios siguientes: a) Idoneidad. b) necesidad y c) proporcionalidad:</w:t>
      </w:r>
    </w:p>
    <w:p w:rsidR="002904E4" w:rsidRPr="002904E4" w:rsidRDefault="002904E4" w:rsidP="00F24A91">
      <w:pPr>
        <w:spacing w:after="0" w:line="360" w:lineRule="auto"/>
        <w:jc w:val="both"/>
        <w:rPr>
          <w:rFonts w:ascii="Palatino Linotype" w:hAnsi="Palatino Linotype"/>
          <w:sz w:val="24"/>
          <w:szCs w:val="24"/>
        </w:rPr>
      </w:pPr>
    </w:p>
    <w:p w:rsidR="00F24A91" w:rsidRPr="00F24A91" w:rsidRDefault="00F24A91" w:rsidP="00F24A91">
      <w:pPr>
        <w:numPr>
          <w:ilvl w:val="0"/>
          <w:numId w:val="20"/>
        </w:num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Análisis en el caso en concreto de la primera grada de la ponderación: Idoneidad. </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Cabe recordar que, sin la intención de entrar en materia de los derechos que involucran el procedimiento que únicamente compete a la Comisión Legislativa de Límites Territoriales del Estado de México perteneciente al Poder Legislativo del Estado de México y a los Sujetos Obligados involucrados, esta autoridad se abocara a la publicidad de la información que se ordena por motivo de la existencia de un interés social que motiva y obliga hacerla del dominio público.</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Una vez puntualizado lo anterior, la presente solicitud de acceso a la información para este Órgano Garante del Derecho de Acceso a la Información evidencia el ejercicio del derecho de acceso a la información, en contraposición al derecho de sigilo que deben guardar los expedientes que se generan a raíz del procedimiento para la solución de diferendos limítrofes intermunicipales cuando aún no ha quedado firme o no haya concluido. </w:t>
      </w:r>
    </w:p>
    <w:p w:rsid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lastRenderedPageBreak/>
        <w:t xml:space="preserve">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el municipio de Acolman, en atención a los siguientes argumentos: </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Primero, es precedente la publicidad de la referida información en atención a la proyección pública de las partes, ya que de acuerdo al artículo 115 de la Constitución Política de los Estados Unidos Mexicanos, define al municipio como:</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w:t>
      </w:r>
      <w:r w:rsidRPr="00F24A91">
        <w:rPr>
          <w:rFonts w:ascii="Palatino Linotype" w:hAnsi="Palatino Linotype"/>
          <w:b/>
          <w:i/>
          <w:szCs w:val="24"/>
        </w:rPr>
        <w:t>Artículo 115</w:t>
      </w:r>
      <w:r w:rsidRPr="00F24A91">
        <w:rPr>
          <w:rFonts w:ascii="Palatino Linotype" w:hAnsi="Palatino Linotype"/>
          <w:i/>
          <w:szCs w:val="24"/>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b/>
          <w:i/>
          <w:szCs w:val="24"/>
          <w:u w:val="single"/>
        </w:rPr>
        <w:t>I. Cada Municipio será gobernado por un Ayuntamiento de elección popular directa, integrado por un Presidente o Presidenta Municipal y el número de regidurías y sindicaturas que la ley determine, de conformidad con el principio de paridad.</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 xml:space="preserve"> La competencia que esta Constitución otorga al gobierno municipal se ejercerá por el Ayuntamiento de manera exclusiva y no habrá autoridad intermedia alguna entre éste y el gobierno del Estado.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b/>
          <w:i/>
          <w:szCs w:val="24"/>
        </w:rPr>
        <w:t>Las Constituciones de los estados deberán establecer la elección consecutiva para el mismo cargo de presidentes municipales, regidores y síndicos, por un período adicional, siempre y cuando el periodo del mandato de los ayuntamientos no sea superior a tres años</w:t>
      </w:r>
      <w:r w:rsidRPr="00F24A91">
        <w:rPr>
          <w:rFonts w:ascii="Palatino Linotype" w:hAnsi="Palatino Linotype"/>
          <w:i/>
          <w:szCs w:val="24"/>
        </w:rPr>
        <w:t xml:space="preserve">.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 xml:space="preserve">La postulación sólo podrá ser realizada por el mismo partido o por cualquiera de los partidos integrantes de la coalición que lo hubieren postulado, salvo que hayan renunciado o perdido su militancia antes de la mitad de su mandato.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w:t>
      </w:r>
      <w:r w:rsidRPr="00F24A91">
        <w:rPr>
          <w:rFonts w:ascii="Palatino Linotype" w:hAnsi="Palatino Linotype"/>
          <w:i/>
          <w:szCs w:val="24"/>
        </w:rPr>
        <w:lastRenderedPageBreak/>
        <w:t xml:space="preserve">administración pública municipal, regulen las materias, procedimientos, funciones y servicios públicos de su competencia y aseguren la participación ciudadana y vecinal.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i/>
          <w:szCs w:val="24"/>
        </w:rPr>
        <w:t xml:space="preserve">El objeto de las leyes a que se refiere el párrafo anterior será establecer: </w:t>
      </w:r>
    </w:p>
    <w:p w:rsidR="00F24A91" w:rsidRP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b/>
          <w:i/>
          <w:szCs w:val="24"/>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r w:rsidRPr="00F24A91">
        <w:rPr>
          <w:rFonts w:ascii="Palatino Linotype" w:hAnsi="Palatino Linotype"/>
          <w:i/>
          <w:szCs w:val="24"/>
        </w:rPr>
        <w:t>…(Sic)</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Lo que se robustece con lo señalado por el artículo 1 de la Ley Municipal del Estado de México, que señala:</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240" w:lineRule="auto"/>
        <w:ind w:left="567" w:right="567"/>
        <w:jc w:val="both"/>
        <w:rPr>
          <w:rFonts w:ascii="Palatino Linotype" w:hAnsi="Palatino Linotype"/>
          <w:i/>
          <w:szCs w:val="24"/>
        </w:rPr>
      </w:pPr>
      <w:r w:rsidRPr="00F24A91">
        <w:rPr>
          <w:rFonts w:ascii="Palatino Linotype" w:hAnsi="Palatino Linotype"/>
          <w:b/>
          <w:i/>
          <w:szCs w:val="24"/>
        </w:rPr>
        <w:t>“Artículo 1.-</w:t>
      </w:r>
      <w:r w:rsidRPr="00F24A91">
        <w:rPr>
          <w:rFonts w:ascii="Palatino Linotype" w:hAnsi="Palatino Linotype"/>
          <w:i/>
          <w:szCs w:val="24"/>
        </w:rPr>
        <w:t xml:space="preserve"> Esta Ley es de interés público y tiene por objeto regular las bases para la integración y organización del territorio, la población, el gobierno y la administración pública municipales. </w:t>
      </w:r>
    </w:p>
    <w:p w:rsidR="00F24A91" w:rsidRPr="00F24A91" w:rsidRDefault="00F24A91" w:rsidP="00F24A91">
      <w:pPr>
        <w:spacing w:after="0" w:line="240" w:lineRule="auto"/>
        <w:ind w:left="567" w:right="567"/>
        <w:jc w:val="both"/>
        <w:rPr>
          <w:rFonts w:ascii="Palatino Linotype" w:hAnsi="Palatino Linotype"/>
          <w:i/>
          <w:szCs w:val="24"/>
        </w:rPr>
      </w:pPr>
    </w:p>
    <w:p w:rsidR="00F24A91" w:rsidRPr="00F24A91" w:rsidRDefault="00F24A91" w:rsidP="00F24A91">
      <w:pPr>
        <w:spacing w:after="0" w:line="240" w:lineRule="auto"/>
        <w:ind w:left="567" w:right="567"/>
        <w:jc w:val="both"/>
        <w:rPr>
          <w:rFonts w:ascii="Palatino Linotype" w:hAnsi="Palatino Linotype"/>
          <w:b/>
          <w:i/>
          <w:szCs w:val="24"/>
        </w:rPr>
      </w:pPr>
      <w:r w:rsidRPr="00F24A91">
        <w:rPr>
          <w:rFonts w:ascii="Palatino Linotype" w:hAnsi="Palatino Linotype"/>
          <w:b/>
          <w:i/>
          <w:szCs w:val="24"/>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(sic)</w:t>
      </w:r>
    </w:p>
    <w:p w:rsid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Por lo que se precisa la existencia de elementos objetivos que permiten demostrar la relevancia del asunto por virtud de tratarse de municipios que son conocidos por todos, es decir, son entes públicos ya que su esencia es realizar actividades de interés público.</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En tal contexto, la única forma que tiene la ciudadanía en general de constatar el buen funcionamiento y actuar de</w:t>
      </w:r>
      <w:r>
        <w:rPr>
          <w:rFonts w:ascii="Palatino Linotype" w:hAnsi="Palatino Linotype"/>
          <w:sz w:val="24"/>
          <w:szCs w:val="24"/>
        </w:rPr>
        <w:t xml:space="preserve"> </w:t>
      </w:r>
      <w:r w:rsidRPr="00F24A91">
        <w:rPr>
          <w:rFonts w:ascii="Palatino Linotype" w:hAnsi="Palatino Linotype"/>
          <w:sz w:val="24"/>
          <w:szCs w:val="24"/>
        </w:rPr>
        <w:t>l</w:t>
      </w:r>
      <w:r>
        <w:rPr>
          <w:rFonts w:ascii="Palatino Linotype" w:hAnsi="Palatino Linotype"/>
          <w:sz w:val="24"/>
          <w:szCs w:val="24"/>
        </w:rPr>
        <w:t>os</w:t>
      </w:r>
      <w:r w:rsidRPr="00F24A91">
        <w:rPr>
          <w:rFonts w:ascii="Palatino Linotype" w:hAnsi="Palatino Linotype"/>
          <w:sz w:val="24"/>
          <w:szCs w:val="24"/>
        </w:rPr>
        <w:t xml:space="preserve"> Ayuntamiento</w:t>
      </w:r>
      <w:r>
        <w:rPr>
          <w:rFonts w:ascii="Palatino Linotype" w:hAnsi="Palatino Linotype"/>
          <w:sz w:val="24"/>
          <w:szCs w:val="24"/>
        </w:rPr>
        <w:t>s</w:t>
      </w:r>
      <w:r w:rsidRPr="00F24A91">
        <w:rPr>
          <w:rFonts w:ascii="Palatino Linotype" w:hAnsi="Palatino Linotype"/>
          <w:sz w:val="24"/>
          <w:szCs w:val="24"/>
        </w:rPr>
        <w:t xml:space="preserve"> de Tepotzotlá</w:t>
      </w:r>
      <w:r>
        <w:rPr>
          <w:rFonts w:ascii="Palatino Linotype" w:hAnsi="Palatino Linotype"/>
          <w:sz w:val="24"/>
          <w:szCs w:val="24"/>
        </w:rPr>
        <w:t xml:space="preserve">n </w:t>
      </w:r>
      <w:r w:rsidRPr="00F24A91">
        <w:rPr>
          <w:rFonts w:ascii="Palatino Linotype" w:hAnsi="Palatino Linotype"/>
          <w:sz w:val="24"/>
          <w:szCs w:val="24"/>
        </w:rPr>
        <w:t xml:space="preserve">vs Teoloyucan, Cuautitlán Izcalli vs Teoloyucan, es accediendo a esta actuación de dicha autoridad mediante el derecho de acceso a la información pública, lo que le permitirá valorar el </w:t>
      </w:r>
      <w:r w:rsidRPr="00F24A91">
        <w:rPr>
          <w:rFonts w:ascii="Palatino Linotype" w:hAnsi="Palatino Linotype"/>
          <w:sz w:val="24"/>
          <w:szCs w:val="24"/>
        </w:rPr>
        <w:lastRenderedPageBreak/>
        <w:t>desempeño y actuar en la documentación que contiene relacionado con los conflictos por límites territoriales de</w:t>
      </w:r>
      <w:r>
        <w:rPr>
          <w:rFonts w:ascii="Palatino Linotype" w:hAnsi="Palatino Linotype"/>
          <w:sz w:val="24"/>
          <w:szCs w:val="24"/>
        </w:rPr>
        <w:t xml:space="preserve"> dichos municipios</w:t>
      </w:r>
      <w:r w:rsidRPr="00F24A91">
        <w:rPr>
          <w:rFonts w:ascii="Palatino Linotype" w:hAnsi="Palatino Linotype"/>
          <w:sz w:val="24"/>
          <w:szCs w:val="24"/>
        </w:rPr>
        <w:t xml:space="preserve">. </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Ante este panorama, es que se considera que existe un inminente interés público de conocer la documentación que contiene el conflicto por límites territoriales</w:t>
      </w:r>
      <w:r w:rsidR="00D34693">
        <w:rPr>
          <w:rFonts w:ascii="Palatino Linotype" w:hAnsi="Palatino Linotype"/>
          <w:sz w:val="24"/>
          <w:szCs w:val="24"/>
        </w:rPr>
        <w:t xml:space="preserve"> entre los</w:t>
      </w:r>
      <w:r w:rsidRPr="00F24A91">
        <w:rPr>
          <w:rFonts w:ascii="Palatino Linotype" w:hAnsi="Palatino Linotype"/>
          <w:sz w:val="24"/>
          <w:szCs w:val="24"/>
        </w:rPr>
        <w:t xml:space="preserve"> municipio</w:t>
      </w:r>
      <w:r w:rsidR="00D34693">
        <w:rPr>
          <w:rFonts w:ascii="Palatino Linotype" w:hAnsi="Palatino Linotype"/>
          <w:sz w:val="24"/>
          <w:szCs w:val="24"/>
        </w:rPr>
        <w:t>s</w:t>
      </w:r>
      <w:r w:rsidRPr="00F24A91">
        <w:rPr>
          <w:rFonts w:ascii="Palatino Linotype" w:hAnsi="Palatino Linotype"/>
          <w:sz w:val="24"/>
          <w:szCs w:val="24"/>
        </w:rPr>
        <w:t xml:space="preserve"> de </w:t>
      </w:r>
      <w:r w:rsidR="00D34693" w:rsidRPr="00D34693">
        <w:rPr>
          <w:rFonts w:ascii="Palatino Linotype" w:hAnsi="Palatino Linotype"/>
          <w:sz w:val="24"/>
          <w:szCs w:val="24"/>
        </w:rPr>
        <w:t xml:space="preserve">Tepotzotlán </w:t>
      </w:r>
      <w:r w:rsidR="00D34693">
        <w:rPr>
          <w:rFonts w:ascii="Palatino Linotype" w:hAnsi="Palatino Linotype"/>
          <w:sz w:val="24"/>
          <w:szCs w:val="24"/>
        </w:rPr>
        <w:t>con</w:t>
      </w:r>
      <w:r w:rsidR="00D34693" w:rsidRPr="00D34693">
        <w:rPr>
          <w:rFonts w:ascii="Palatino Linotype" w:hAnsi="Palatino Linotype"/>
          <w:sz w:val="24"/>
          <w:szCs w:val="24"/>
        </w:rPr>
        <w:t xml:space="preserve"> Teoloyucan</w:t>
      </w:r>
      <w:r w:rsidR="00D34693">
        <w:rPr>
          <w:rFonts w:ascii="Palatino Linotype" w:hAnsi="Palatino Linotype"/>
          <w:sz w:val="24"/>
          <w:szCs w:val="24"/>
        </w:rPr>
        <w:t xml:space="preserve"> y de</w:t>
      </w:r>
      <w:r w:rsidR="00D34693" w:rsidRPr="00D34693">
        <w:rPr>
          <w:rFonts w:ascii="Palatino Linotype" w:hAnsi="Palatino Linotype"/>
          <w:sz w:val="24"/>
          <w:szCs w:val="24"/>
        </w:rPr>
        <w:t xml:space="preserve"> Cuautitlán Izcalli </w:t>
      </w:r>
      <w:r w:rsidR="00D34693">
        <w:rPr>
          <w:rFonts w:ascii="Palatino Linotype" w:hAnsi="Palatino Linotype"/>
          <w:sz w:val="24"/>
          <w:szCs w:val="24"/>
        </w:rPr>
        <w:t>con</w:t>
      </w:r>
      <w:r w:rsidR="00D34693" w:rsidRPr="00D34693">
        <w:rPr>
          <w:rFonts w:ascii="Palatino Linotype" w:hAnsi="Palatino Linotype"/>
          <w:sz w:val="24"/>
          <w:szCs w:val="24"/>
        </w:rPr>
        <w:t xml:space="preserve"> Teoloyucan</w:t>
      </w:r>
      <w:r w:rsidRPr="00F24A91">
        <w:rPr>
          <w:rFonts w:ascii="Palatino Linotype" w:hAnsi="Palatino Linotype"/>
          <w:sz w:val="24"/>
          <w:szCs w:val="24"/>
        </w:rPr>
        <w:t xml:space="preserve">, pues el permitir el acceso a la misma fomentaría la transparencia de las actividades el Ayuntamiento de </w:t>
      </w:r>
      <w:r>
        <w:rPr>
          <w:rFonts w:ascii="Palatino Linotype" w:hAnsi="Palatino Linotype"/>
          <w:sz w:val="24"/>
          <w:szCs w:val="24"/>
        </w:rPr>
        <w:t>Teoloyucan</w:t>
      </w:r>
      <w:r w:rsidRPr="00F24A91">
        <w:rPr>
          <w:rFonts w:ascii="Palatino Linotype" w:hAnsi="Palatino Linotype"/>
          <w:sz w:val="24"/>
          <w:szCs w:val="24"/>
        </w:rPr>
        <w:t>,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caso de mérito.</w:t>
      </w:r>
    </w:p>
    <w:p w:rsidR="00F24A91" w:rsidRPr="00F24A91" w:rsidRDefault="00F24A91" w:rsidP="00F24A91">
      <w:pPr>
        <w:spacing w:after="0" w:line="360" w:lineRule="auto"/>
        <w:jc w:val="both"/>
        <w:rPr>
          <w:rFonts w:ascii="Palatino Linotype" w:hAnsi="Palatino Linotype"/>
          <w:b/>
          <w:sz w:val="24"/>
          <w:szCs w:val="24"/>
        </w:rPr>
      </w:pPr>
      <w:r w:rsidRPr="00F24A91">
        <w:rPr>
          <w:rFonts w:ascii="Palatino Linotype" w:hAnsi="Palatino Linotype"/>
          <w:b/>
          <w:sz w:val="24"/>
          <w:szCs w:val="24"/>
        </w:rPr>
        <w:t xml:space="preserve"> </w:t>
      </w:r>
    </w:p>
    <w:p w:rsidR="00F24A91" w:rsidRPr="00F24A91" w:rsidRDefault="00F24A91" w:rsidP="00F24A91">
      <w:pPr>
        <w:numPr>
          <w:ilvl w:val="0"/>
          <w:numId w:val="20"/>
        </w:num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Análisis de la segunda grada de la ponderación: Necesidad. </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Nuestra carta magna, así como diversos ordenamientos reconocen los principios bajo los cuales deben regirse los procedimientos administrativos, como lo es el principio de publicidad que implica el deber del dictaminador de procurar que el proceso se </w:t>
      </w:r>
      <w:r w:rsidRPr="00F24A91">
        <w:rPr>
          <w:rFonts w:ascii="Palatino Linotype" w:hAnsi="Palatino Linotype"/>
          <w:sz w:val="24"/>
          <w:szCs w:val="24"/>
        </w:rPr>
        <w:lastRenderedPageBreak/>
        <w:t>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w:t>
      </w: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este sentido, la  Corte Interamericana de Derechos Humanos al resolver el </w:t>
      </w:r>
      <w:r w:rsidRPr="00F24A91">
        <w:rPr>
          <w:rFonts w:ascii="Palatino Linotype" w:hAnsi="Palatino Linotype"/>
          <w:i/>
          <w:sz w:val="24"/>
          <w:szCs w:val="24"/>
        </w:rPr>
        <w:t>Caso Claude Reyes y otros vs. Chile</w:t>
      </w:r>
      <w:r w:rsidRPr="00F24A91">
        <w:rPr>
          <w:rFonts w:ascii="Palatino Linotype" w:hAnsi="Palatino Linotype"/>
          <w:sz w:val="24"/>
          <w:szCs w:val="24"/>
          <w:vertAlign w:val="superscript"/>
        </w:rPr>
        <w:footnoteReference w:id="10"/>
      </w:r>
      <w:r w:rsidRPr="00F24A91">
        <w:rPr>
          <w:rFonts w:ascii="Palatino Linotype" w:hAnsi="Palatino Linotype"/>
          <w:sz w:val="24"/>
          <w:szCs w:val="24"/>
        </w:rPr>
        <w:t>,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w:t>
      </w:r>
      <w:r w:rsidRPr="00F24A91">
        <w:rPr>
          <w:rFonts w:ascii="Palatino Linotype" w:hAnsi="Palatino Linotype"/>
          <w:b/>
          <w:sz w:val="24"/>
          <w:szCs w:val="24"/>
        </w:rPr>
        <w:t>es necesario para evitar abusos de los funcionarios gubernamentales, promover la rendición de cuentas y la transparencia dentro del Estado y permitir un debate público sólido e informado para asegurar la garantía de contar con recursos efectivos contra tales abusos.</w:t>
      </w:r>
    </w:p>
    <w:p w:rsid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En este sentido, este Instituto observa que también se actualiza el principio de necesidad, ya que no existe un medio menos oneroso para lograr el fin constitucionalmente válido, en tanto que el ejercicio del derecho de acceso a la </w:t>
      </w:r>
      <w:r w:rsidRPr="00F24A91">
        <w:rPr>
          <w:rFonts w:ascii="Palatino Linotype" w:hAnsi="Palatino Linotype"/>
          <w:sz w:val="24"/>
          <w:szCs w:val="24"/>
        </w:rPr>
        <w:lastRenderedPageBreak/>
        <w:t>información es la única vía para que cualquier persona acceda al multireferido expediente.</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La necesidad de hacer pública el multicitado expediente deriva de la trascendencia social al involucrar entes públicos como quedó demostrado.</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Asimismo, el acceso a la información de la documentación que contiene el conflicto por límites territoriales </w:t>
      </w:r>
      <w:r w:rsidR="00175DD9">
        <w:rPr>
          <w:rFonts w:ascii="Palatino Linotype" w:hAnsi="Palatino Linotype"/>
          <w:sz w:val="24"/>
          <w:szCs w:val="24"/>
        </w:rPr>
        <w:t>entre los</w:t>
      </w:r>
      <w:r w:rsidRPr="00F24A91">
        <w:rPr>
          <w:rFonts w:ascii="Palatino Linotype" w:hAnsi="Palatino Linotype"/>
          <w:sz w:val="24"/>
          <w:szCs w:val="24"/>
        </w:rPr>
        <w:t xml:space="preserve"> municipio</w:t>
      </w:r>
      <w:r w:rsidR="00175DD9">
        <w:rPr>
          <w:rFonts w:ascii="Palatino Linotype" w:hAnsi="Palatino Linotype"/>
          <w:sz w:val="24"/>
          <w:szCs w:val="24"/>
        </w:rPr>
        <w:t>s</w:t>
      </w:r>
      <w:r w:rsidRPr="00F24A91">
        <w:rPr>
          <w:rFonts w:ascii="Palatino Linotype" w:hAnsi="Palatino Linotype"/>
          <w:sz w:val="24"/>
          <w:szCs w:val="24"/>
        </w:rPr>
        <w:t xml:space="preserve"> de </w:t>
      </w:r>
      <w:r w:rsidR="00175DD9" w:rsidRPr="00175DD9">
        <w:rPr>
          <w:rFonts w:ascii="Palatino Linotype" w:hAnsi="Palatino Linotype"/>
          <w:sz w:val="24"/>
          <w:szCs w:val="24"/>
        </w:rPr>
        <w:t xml:space="preserve">Tepotzotlán </w:t>
      </w:r>
      <w:r w:rsidR="00175DD9">
        <w:rPr>
          <w:rFonts w:ascii="Palatino Linotype" w:hAnsi="Palatino Linotype"/>
          <w:sz w:val="24"/>
          <w:szCs w:val="24"/>
        </w:rPr>
        <w:t>con Teoloyucan y de</w:t>
      </w:r>
      <w:r w:rsidR="00175DD9" w:rsidRPr="00175DD9">
        <w:rPr>
          <w:rFonts w:ascii="Palatino Linotype" w:hAnsi="Palatino Linotype"/>
          <w:sz w:val="24"/>
          <w:szCs w:val="24"/>
        </w:rPr>
        <w:t xml:space="preserve"> Cuautitlán Izcalli </w:t>
      </w:r>
      <w:r w:rsidR="00175DD9">
        <w:rPr>
          <w:rFonts w:ascii="Palatino Linotype" w:hAnsi="Palatino Linotype"/>
          <w:sz w:val="24"/>
          <w:szCs w:val="24"/>
        </w:rPr>
        <w:t>con</w:t>
      </w:r>
      <w:r w:rsidR="00175DD9" w:rsidRPr="00175DD9">
        <w:rPr>
          <w:rFonts w:ascii="Palatino Linotype" w:hAnsi="Palatino Linotype"/>
          <w:sz w:val="24"/>
          <w:szCs w:val="24"/>
        </w:rPr>
        <w:t xml:space="preserve"> Teoloyucan</w:t>
      </w:r>
      <w:r w:rsidRPr="00F24A91">
        <w:rPr>
          <w:rFonts w:ascii="Palatino Linotype" w:hAnsi="Palatino Linotype"/>
          <w:sz w:val="24"/>
          <w:szCs w:val="24"/>
        </w:rPr>
        <w:t xml:space="preserve">, es una aportación a la rendición de cuentas, que evidencia el actuar de la autoridad encarga del asunto como del </w:t>
      </w:r>
      <w:r w:rsidRPr="00F24A91">
        <w:rPr>
          <w:rFonts w:ascii="Palatino Linotype" w:hAnsi="Palatino Linotype"/>
          <w:b/>
          <w:sz w:val="24"/>
          <w:szCs w:val="24"/>
        </w:rPr>
        <w:t>Sujeto Obligado</w:t>
      </w:r>
      <w:r w:rsidRPr="00F24A91">
        <w:rPr>
          <w:rFonts w:ascii="Palatino Linotype" w:hAnsi="Palatino Linotype"/>
          <w:sz w:val="24"/>
          <w:szCs w:val="24"/>
        </w:rPr>
        <w:t xml:space="preserve"> en términos de su competencia y atribuciones.</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numPr>
          <w:ilvl w:val="0"/>
          <w:numId w:val="20"/>
        </w:numPr>
        <w:spacing w:after="0" w:line="360" w:lineRule="auto"/>
        <w:jc w:val="both"/>
        <w:rPr>
          <w:rFonts w:ascii="Palatino Linotype" w:hAnsi="Palatino Linotype"/>
          <w:sz w:val="24"/>
          <w:szCs w:val="24"/>
        </w:rPr>
      </w:pPr>
      <w:r w:rsidRPr="00F24A91">
        <w:rPr>
          <w:rFonts w:ascii="Palatino Linotype" w:hAnsi="Palatino Linotype"/>
          <w:sz w:val="24"/>
          <w:szCs w:val="24"/>
        </w:rPr>
        <w:t>Finalmente, el análisis de la tercera grada de la ponderación: Proporcionalidad</w:t>
      </w:r>
    </w:p>
    <w:p w:rsid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w:t>
      </w:r>
    </w:p>
    <w:p w:rsidR="00F24A91" w:rsidRPr="00F24A91" w:rsidRDefault="00F24A91" w:rsidP="00F24A91">
      <w:pPr>
        <w:spacing w:after="0" w:line="360" w:lineRule="auto"/>
        <w:jc w:val="both"/>
        <w:rPr>
          <w:rFonts w:ascii="Palatino Linotype" w:hAnsi="Palatino Linotype"/>
          <w:sz w:val="24"/>
          <w:szCs w:val="24"/>
        </w:rPr>
      </w:pPr>
    </w:p>
    <w:p w:rsid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Luego entonces, es posible advertir un margen de beneficio mayor al favorecer el derecho de acceso a la información, respecto de la secrecía a la información que contiene el conflicto de límites territoriales multicitado, pues favorece la rendición de cuentas a los ciudadanos, de manera que puedan valorar el desempeño del </w:t>
      </w:r>
      <w:r w:rsidRPr="00F24A91">
        <w:rPr>
          <w:rFonts w:ascii="Palatino Linotype" w:hAnsi="Palatino Linotype"/>
          <w:sz w:val="24"/>
          <w:szCs w:val="24"/>
        </w:rPr>
        <w:lastRenderedPageBreak/>
        <w:t xml:space="preserve">Ayuntamiento de </w:t>
      </w:r>
      <w:r w:rsidR="00175DD9">
        <w:rPr>
          <w:rFonts w:ascii="Palatino Linotype" w:hAnsi="Palatino Linotype"/>
          <w:sz w:val="24"/>
          <w:szCs w:val="24"/>
        </w:rPr>
        <w:t xml:space="preserve">Teoloyucan </w:t>
      </w:r>
      <w:r w:rsidRPr="00F24A91">
        <w:rPr>
          <w:rFonts w:ascii="Palatino Linotype" w:hAnsi="Palatino Linotype"/>
          <w:sz w:val="24"/>
          <w:szCs w:val="24"/>
        </w:rPr>
        <w:t>y fortalece el escrutinio ciudadano so</w:t>
      </w:r>
      <w:r>
        <w:rPr>
          <w:rFonts w:ascii="Palatino Linotype" w:hAnsi="Palatino Linotype"/>
          <w:sz w:val="24"/>
          <w:szCs w:val="24"/>
        </w:rPr>
        <w:t>bre sus actividades sustantivas.</w:t>
      </w:r>
    </w:p>
    <w:p w:rsidR="00F24A91" w:rsidRP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sidRPr="00F24A91">
        <w:rPr>
          <w:rFonts w:ascii="Palatino Linotype" w:hAnsi="Palatino Linotype"/>
          <w:sz w:val="24"/>
          <w:szCs w:val="24"/>
        </w:rPr>
        <w:t xml:space="preserve">De tal suerte, que la intervención que subsume este ejercicio de ponderación apunta a la obtención de mayores efectos positivos para la sociedad y una afectación menor en el bien jurídico de secrecía, favoreciendo el control ciudadano. </w:t>
      </w:r>
    </w:p>
    <w:p w:rsidR="00F24A91" w:rsidRDefault="00F24A91" w:rsidP="00F24A91">
      <w:pPr>
        <w:spacing w:after="0" w:line="360" w:lineRule="auto"/>
        <w:jc w:val="both"/>
        <w:rPr>
          <w:rFonts w:ascii="Palatino Linotype" w:hAnsi="Palatino Linotype"/>
          <w:sz w:val="24"/>
          <w:szCs w:val="24"/>
        </w:rPr>
      </w:pPr>
    </w:p>
    <w:p w:rsidR="00F24A91" w:rsidRPr="00F24A91" w:rsidRDefault="00F24A91" w:rsidP="00F24A91">
      <w:pPr>
        <w:spacing w:after="0" w:line="360" w:lineRule="auto"/>
        <w:jc w:val="both"/>
        <w:rPr>
          <w:rFonts w:ascii="Palatino Linotype" w:hAnsi="Palatino Linotype"/>
          <w:sz w:val="24"/>
          <w:szCs w:val="24"/>
        </w:rPr>
      </w:pPr>
      <w:r>
        <w:rPr>
          <w:rFonts w:ascii="Palatino Linotype" w:hAnsi="Palatino Linotype"/>
          <w:sz w:val="24"/>
          <w:szCs w:val="24"/>
        </w:rPr>
        <w:t xml:space="preserve">En </w:t>
      </w:r>
      <w:r w:rsidRPr="00F24A91">
        <w:rPr>
          <w:rFonts w:ascii="Palatino Linotype" w:hAnsi="Palatino Linotype"/>
          <w:sz w:val="24"/>
          <w:szCs w:val="24"/>
        </w:rPr>
        <w:t xml:space="preserve">resumen, para el caso de que la información que se ordena actualice un supuesto de reserva, al encuadrar en alguna de  las excepciones a  la  publicidad  de  la información  establecida  en  la  Ley   General   de  Transparencia  y  Acceso   a  la Información Pública, replicada en el artículo 140 de la ley local, </w:t>
      </w:r>
      <w:r w:rsidRPr="00F24A91">
        <w:rPr>
          <w:rFonts w:ascii="Palatino Linotype" w:hAnsi="Palatino Linotype"/>
          <w:b/>
          <w:sz w:val="24"/>
          <w:szCs w:val="24"/>
          <w:u w:val="single"/>
        </w:rPr>
        <w:t>esta no es procedente por motivos de interés público</w:t>
      </w:r>
      <w:r w:rsidRPr="00F24A91">
        <w:rPr>
          <w:rFonts w:ascii="Palatino Linotype" w:hAnsi="Palatino Linotype"/>
          <w:sz w:val="24"/>
          <w:szCs w:val="24"/>
        </w:rPr>
        <w:t xml:space="preserve">, por consiguiente es procedente publicidad  pues su difusión contribuirá tanto a garantizar el ejercicio de acceso a la información, como a favorecer la rendición de cuentas a los  ciudadanos, de manera que puedan valorar el desempeño del Ayuntamiento de </w:t>
      </w:r>
      <w:r w:rsidR="00ED078F">
        <w:rPr>
          <w:rFonts w:ascii="Palatino Linotype" w:hAnsi="Palatino Linotype"/>
          <w:sz w:val="24"/>
          <w:szCs w:val="24"/>
        </w:rPr>
        <w:t>Teoloyucan</w:t>
      </w:r>
      <w:r w:rsidRPr="00F24A91">
        <w:rPr>
          <w:rFonts w:ascii="Palatino Linotype" w:hAnsi="Palatino Linotype"/>
          <w:sz w:val="24"/>
          <w:szCs w:val="24"/>
        </w:rPr>
        <w:t>, fortaleciendo el escrutinio ciudadano sobre sus actividades sustantivas, cumpliendo así con los ideales planteados en los  objetivos previstos en el artículo 2 de la Ley de Transparencia y Acceso a la información Pública del estado de México y Municipios.</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numPr>
          <w:ilvl w:val="0"/>
          <w:numId w:val="12"/>
        </w:numPr>
        <w:spacing w:after="0" w:line="360" w:lineRule="auto"/>
        <w:jc w:val="both"/>
        <w:rPr>
          <w:rFonts w:ascii="Palatino Linotype" w:eastAsia="Times New Roman" w:hAnsi="Palatino Linotype" w:cs="Arial"/>
          <w:b/>
          <w:sz w:val="28"/>
          <w:szCs w:val="24"/>
          <w:lang w:val="es-ES" w:eastAsia="es-ES"/>
        </w:rPr>
      </w:pPr>
      <w:r w:rsidRPr="00DF5079">
        <w:rPr>
          <w:rFonts w:ascii="Palatino Linotype" w:eastAsia="Times New Roman" w:hAnsi="Palatino Linotype" w:cs="Arial"/>
          <w:b/>
          <w:sz w:val="28"/>
          <w:szCs w:val="24"/>
          <w:lang w:val="es-ES" w:eastAsia="es-ES"/>
        </w:rPr>
        <w:t>De la Versión Pública.</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 xml:space="preserve">Debido a que la información requerida se destaca que de acuerdo con la naturaleza de la información, amerita la elaboración de una versión pública, esto es, omitirá, eliminará o suprimirá la información personal de los servidores públicos sujetos a evaluación, en el caso específico en dichos documentos pueden obran datos que son </w:t>
      </w:r>
      <w:r w:rsidRPr="00DF5079">
        <w:rPr>
          <w:rFonts w:ascii="Palatino Linotype" w:eastAsia="MS Mincho" w:hAnsi="Palatino Linotype" w:cs="Arial"/>
          <w:sz w:val="24"/>
          <w:szCs w:val="24"/>
          <w:lang w:val="es-ES"/>
        </w:rPr>
        <w:lastRenderedPageBreak/>
        <w:t>considerados confidenciales, cuyo acceso debe ser restringido, los cuales deben testarse al momento de la ela</w:t>
      </w:r>
      <w:r w:rsidR="00445D4A">
        <w:rPr>
          <w:rFonts w:ascii="Palatino Linotype" w:eastAsia="MS Mincho" w:hAnsi="Palatino Linotype" w:cs="Arial"/>
          <w:sz w:val="24"/>
          <w:szCs w:val="24"/>
          <w:lang w:val="es-ES"/>
        </w:rPr>
        <w:t>boración de versiones públicas.</w:t>
      </w:r>
    </w:p>
    <w:p w:rsidR="00445D4A" w:rsidRPr="00DF5079" w:rsidRDefault="00445D4A" w:rsidP="00F24A91">
      <w:pPr>
        <w:spacing w:after="0" w:line="360" w:lineRule="auto"/>
        <w:jc w:val="both"/>
        <w:rPr>
          <w:rFonts w:ascii="Palatino Linotype" w:eastAsia="MS Mincho" w:hAnsi="Palatino Linotype" w:cs="Arial"/>
          <w:sz w:val="24"/>
          <w:szCs w:val="24"/>
          <w:lang w:val="es-ES"/>
        </w:rPr>
      </w:pPr>
    </w:p>
    <w:p w:rsidR="008A5D99" w:rsidRPr="00DF5079" w:rsidRDefault="00445D4A" w:rsidP="00F24A91">
      <w:pPr>
        <w:spacing w:after="0" w:line="360" w:lineRule="auto"/>
        <w:jc w:val="both"/>
        <w:rPr>
          <w:rFonts w:ascii="Palatino Linotype" w:eastAsia="MS Mincho" w:hAnsi="Palatino Linotype" w:cs="Arial"/>
          <w:sz w:val="24"/>
          <w:szCs w:val="24"/>
          <w:lang w:val="es-ES"/>
        </w:rPr>
      </w:pPr>
      <w:r>
        <w:rPr>
          <w:rFonts w:ascii="Palatino Linotype" w:eastAsia="MS Mincho" w:hAnsi="Palatino Linotype" w:cs="Arial"/>
          <w:sz w:val="24"/>
          <w:szCs w:val="24"/>
          <w:lang w:val="es-ES"/>
        </w:rPr>
        <w:t>E</w:t>
      </w:r>
      <w:r w:rsidR="008A5D99" w:rsidRPr="00DF5079">
        <w:rPr>
          <w:rFonts w:ascii="Palatino Linotype" w:eastAsia="MS Mincho" w:hAnsi="Palatino Linotype" w:cs="Arial"/>
          <w:sz w:val="24"/>
          <w:szCs w:val="24"/>
          <w:lang w:val="es-ES"/>
        </w:rPr>
        <w:t xml:space="preserve">n atención a que </w:t>
      </w:r>
      <w:r>
        <w:rPr>
          <w:rFonts w:ascii="Palatino Linotype" w:eastAsia="MS Mincho" w:hAnsi="Palatino Linotype" w:cs="Arial"/>
          <w:sz w:val="24"/>
          <w:szCs w:val="24"/>
          <w:lang w:val="es-ES"/>
        </w:rPr>
        <w:t xml:space="preserve">existen </w:t>
      </w:r>
      <w:r w:rsidR="008A5D99" w:rsidRPr="00DF5079">
        <w:rPr>
          <w:rFonts w:ascii="Palatino Linotype" w:eastAsia="MS Mincho" w:hAnsi="Palatino Linotype" w:cs="Arial"/>
          <w:sz w:val="24"/>
          <w:szCs w:val="24"/>
          <w:lang w:val="es-ES"/>
        </w:rPr>
        <w:t>datos personales que hacen identificable a la persona, estos son susceptibles de ser testados con el objeto de protegerlos en términos de lo dispuesto en los artículos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que establecen:</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b/>
          <w:i/>
          <w:szCs w:val="24"/>
          <w:lang w:val="es-ES"/>
        </w:rPr>
        <w:t xml:space="preserve">Artículo 3. </w:t>
      </w:r>
      <w:r w:rsidRPr="00DF5079">
        <w:rPr>
          <w:rFonts w:ascii="Palatino Linotype" w:eastAsia="MS Mincho" w:hAnsi="Palatino Linotype" w:cs="Arial"/>
          <w:i/>
          <w:szCs w:val="24"/>
          <w:lang w:val="es-ES"/>
        </w:rPr>
        <w:t>Para los efectos de la presente Ley se entenderá por:</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IX. Datos personales: La información concerniente a una persona, identificada o identificable según lo dispuesto por la Ley de Protección de Datos Personales del Estado de México;</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XX. Información clasificada: Aquella considerada por la presente Ley como reservada o confidencial;</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XLV. Versión pública: Documento en el que se elimine, suprime o borra la información clasificada como reservada o confidencial para permitir su acceso.</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b/>
          <w:i/>
          <w:szCs w:val="24"/>
          <w:lang w:val="es-ES"/>
        </w:rPr>
        <w:t>Artículo 91.</w:t>
      </w:r>
      <w:r w:rsidRPr="00DF5079">
        <w:rPr>
          <w:rFonts w:ascii="Palatino Linotype" w:eastAsia="MS Mincho" w:hAnsi="Palatino Linotype" w:cs="Arial"/>
          <w:i/>
          <w:szCs w:val="24"/>
          <w:lang w:val="es-ES"/>
        </w:rPr>
        <w:t xml:space="preserve"> El acceso a la información pública será restringido excepcionalmente, cuando ésta sea clasificada como reservada o confidencial.</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b/>
          <w:i/>
          <w:szCs w:val="24"/>
          <w:lang w:val="es-ES"/>
        </w:rPr>
        <w:t>Artículo 132.</w:t>
      </w:r>
      <w:r w:rsidRPr="00DF5079">
        <w:rPr>
          <w:rFonts w:ascii="Palatino Linotype" w:eastAsia="MS Mincho" w:hAnsi="Palatino Linotype" w:cs="Arial"/>
          <w:i/>
          <w:szCs w:val="24"/>
          <w:lang w:val="es-ES"/>
        </w:rPr>
        <w:t xml:space="preserve"> La clasificación de la información se llevará a cabo en el momento en que:</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 Se reciba una solicitud de acceso a la información;</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II. Se determine mediante resolución de autoridad competente; o</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III. Se generen versiones públicas para dar cumplimiento a las obligaciones de transparencia previstas en esta Ley.</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b/>
          <w:i/>
          <w:szCs w:val="24"/>
          <w:lang w:val="es-ES"/>
        </w:rPr>
        <w:t>Artículo 143.</w:t>
      </w:r>
      <w:r w:rsidRPr="00DF5079">
        <w:rPr>
          <w:rFonts w:ascii="Palatino Linotype" w:eastAsia="MS Mincho" w:hAnsi="Palatino Linotype" w:cs="Arial"/>
          <w:i/>
          <w:szCs w:val="24"/>
          <w:lang w:val="es-ES"/>
        </w:rPr>
        <w:t xml:space="preserve"> Para los efectos de esta Ley se considera información confidencial, la clasificada como tal, de manera permanente, por su naturaleza, cuando:</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 Se refiera a la información privada y los datos personales concernientes a una persona física o jurídico colectiva identificada o identificable;</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III. La que presenten los particulares a los sujetos obligados, de conformidad con lo dispuesto por las leyes o los tratados internacionales.</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La información confidencial no estará sujeta a temporalidad alguna y sólo podrán tener acceso a ella los titulares de la misma, sus representantes y los servidores públicos facultados para ello.</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No se considerará confidencial la información que se encuentre en los registros públicos o en fuentes de acceso público, ni tampoco la que sea considerada por la presente ley como información pública. [Sic]</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 xml:space="preserve">Es conveniente mencionar que </w:t>
      </w:r>
      <w:r w:rsidRPr="00DF5079">
        <w:rPr>
          <w:rFonts w:ascii="Palatino Linotype" w:eastAsia="MS Mincho" w:hAnsi="Palatino Linotype" w:cs="Arial"/>
          <w:b/>
          <w:sz w:val="24"/>
          <w:szCs w:val="24"/>
          <w:lang w:val="es-ES"/>
        </w:rPr>
        <w:t>en el caso de dicha información aun siga en sustanciación, lo procedente sería clasificar la información como RESERVADA</w:t>
      </w:r>
      <w:r w:rsidRPr="00DF5079">
        <w:rPr>
          <w:rFonts w:ascii="Palatino Linotype" w:eastAsia="MS Mincho" w:hAnsi="Palatino Linotype" w:cs="Arial"/>
          <w:sz w:val="24"/>
          <w:szCs w:val="24"/>
          <w:lang w:val="es-ES"/>
        </w:rPr>
        <w:t xml:space="preserve"> debido a que pudiera encontrarse en actividades de fiscalización, verificación, inspección, comprobación y auditoría sobre el cumplimiento de las Leyes, lo que </w:t>
      </w:r>
      <w:r w:rsidRPr="00DF5079">
        <w:rPr>
          <w:rFonts w:ascii="Palatino Linotype" w:eastAsia="MS Mincho" w:hAnsi="Palatino Linotype" w:cs="Arial"/>
          <w:sz w:val="24"/>
          <w:szCs w:val="24"/>
          <w:lang w:val="es-ES"/>
        </w:rPr>
        <w:lastRenderedPageBreak/>
        <w:t>actualiza lo previsto en los artículos 91 y artículo 140, fracción V, numeral 1, de la Ley de Transparencia estatal, en los que se estipula lo siguiente:</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b/>
          <w:i/>
          <w:szCs w:val="24"/>
          <w:lang w:val="es-ES"/>
        </w:rPr>
        <w:t>Artículo 91.</w:t>
      </w:r>
      <w:r w:rsidRPr="00DF5079">
        <w:rPr>
          <w:rFonts w:ascii="Palatino Linotype" w:eastAsia="MS Mincho" w:hAnsi="Palatino Linotype" w:cs="Arial"/>
          <w:i/>
          <w:szCs w:val="24"/>
          <w:lang w:val="es-ES"/>
        </w:rPr>
        <w:t xml:space="preserve"> El acceso a la información pública será restringido excepcionalmente, cuando ésta sea clasificada como reservada o confidencial.</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p>
    <w:p w:rsidR="008A5D99" w:rsidRDefault="008A5D99" w:rsidP="00F24A91">
      <w:pPr>
        <w:pStyle w:val="Citas"/>
        <w:spacing w:before="0" w:after="0" w:line="240" w:lineRule="auto"/>
        <w:ind w:left="567" w:right="567"/>
      </w:pPr>
      <w:r w:rsidRPr="00DF5079">
        <w:rPr>
          <w:rFonts w:eastAsia="MS Mincho"/>
          <w:szCs w:val="24"/>
          <w:lang w:val="es-ES"/>
        </w:rPr>
        <w:t>“</w:t>
      </w:r>
      <w:r w:rsidRPr="004142C8">
        <w:rPr>
          <w:b/>
        </w:rPr>
        <w:t>Artículo 140.</w:t>
      </w:r>
      <w:r>
        <w:t xml:space="preserve"> El acceso a la información pública será restringido excepcionalmente, cuando por razones de interés público, ésta sea clasificada como reservada, conforme a los criterios siguientes: </w:t>
      </w:r>
    </w:p>
    <w:p w:rsidR="008A5D99" w:rsidRDefault="008A5D99" w:rsidP="00F24A91">
      <w:pPr>
        <w:pStyle w:val="Citas"/>
        <w:spacing w:before="0" w:after="0" w:line="240" w:lineRule="auto"/>
        <w:ind w:left="567" w:right="567"/>
      </w:pPr>
      <w:r>
        <w:t>…</w:t>
      </w:r>
    </w:p>
    <w:p w:rsidR="008A5D99" w:rsidRDefault="008A5D99" w:rsidP="00F24A91">
      <w:pPr>
        <w:pStyle w:val="Citas"/>
        <w:spacing w:before="0" w:after="0" w:line="240" w:lineRule="auto"/>
        <w:ind w:left="567" w:right="567"/>
      </w:pPr>
      <w:r w:rsidRPr="00DF5079">
        <w:rPr>
          <w:b/>
        </w:rPr>
        <w:t xml:space="preserve">VI. </w:t>
      </w:r>
      <w:r w:rsidRPr="00DF5079">
        <w:t>Pueda causar daño u obstruya la prevención o persecución de los delitos,</w:t>
      </w:r>
      <w: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8A5D99" w:rsidRDefault="008A5D99" w:rsidP="00F24A91">
      <w:pPr>
        <w:pStyle w:val="Citas"/>
        <w:spacing w:before="0" w:after="0" w:line="240" w:lineRule="auto"/>
        <w:ind w:left="567" w:right="567"/>
      </w:pPr>
      <w:r>
        <w:t xml:space="preserve">…; </w:t>
      </w:r>
    </w:p>
    <w:p w:rsidR="008A5D99" w:rsidRDefault="008A5D99" w:rsidP="00F24A91">
      <w:pPr>
        <w:pStyle w:val="Citas"/>
        <w:spacing w:before="0" w:after="0" w:line="240" w:lineRule="auto"/>
        <w:ind w:left="567" w:right="567"/>
      </w:pPr>
      <w:r w:rsidRPr="004142C8">
        <w:rPr>
          <w:b/>
        </w:rPr>
        <w:t xml:space="preserve">VIII. </w:t>
      </w:r>
      <w:r w:rsidRPr="00DF5079">
        <w:t>Vulnere la conducción de los expedientes judiciales o de los procedimientos administrativos seguidos en forma de juicio, en tanto no hayan quedado firmes</w:t>
      </w:r>
      <w:r>
        <w:t xml:space="preserve">; </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t>(…)”</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Conforme a lo anterior, se puede corroborar que el procedimiento en cuestión, podría constituir un procedimiento administrativo seguido en forma de juicio; por lo que, la información solicitada podría actualizar una causal de clasificación, en su carácter de reservada</w:t>
      </w:r>
      <w:r>
        <w:rPr>
          <w:rFonts w:ascii="Palatino Linotype" w:eastAsia="MS Mincho" w:hAnsi="Palatino Linotype" w:cs="Arial"/>
          <w:sz w:val="24"/>
          <w:szCs w:val="24"/>
          <w:lang w:val="es-ES"/>
        </w:rPr>
        <w:t>.</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Por su parte, en los Lineamientos Generales en materia de clasificación y desclasificación de la información, así como para la elaboración de versiones públicas, se prevé lo siguiente:</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DF5079">
        <w:rPr>
          <w:rFonts w:ascii="Palatino Linotype" w:eastAsia="MS Mincho" w:hAnsi="Palatino Linotype" w:cs="Arial"/>
          <w:i/>
          <w:szCs w:val="24"/>
          <w:lang w:val="es-ES"/>
        </w:rPr>
        <w:lastRenderedPageBreak/>
        <w:t>“</w:t>
      </w:r>
      <w:r w:rsidRPr="00BC031C">
        <w:rPr>
          <w:rFonts w:ascii="Palatino Linotype" w:eastAsia="MS Mincho" w:hAnsi="Palatino Linotype" w:cs="Arial"/>
          <w:b/>
          <w:i/>
          <w:szCs w:val="24"/>
          <w:lang w:val="es-ES"/>
        </w:rPr>
        <w:t>Vigésimo sexto.</w:t>
      </w:r>
      <w:r w:rsidRPr="00BC031C">
        <w:rPr>
          <w:rFonts w:ascii="Palatino Linotype" w:eastAsia="MS Mincho" w:hAnsi="Palatino Linotype" w:cs="Arial"/>
          <w:i/>
          <w:szCs w:val="24"/>
          <w:lang w:val="es-ES"/>
        </w:rPr>
        <w:t xml:space="preserve"> De conformidad con el artículo 113, fracción VII de la Ley General, podrá considerarse como información reservada, aquella que </w:t>
      </w:r>
      <w:r w:rsidRPr="00BC031C">
        <w:rPr>
          <w:rFonts w:ascii="Palatino Linotype" w:eastAsia="MS Mincho" w:hAnsi="Palatino Linotype" w:cs="Arial"/>
          <w:i/>
          <w:szCs w:val="24"/>
          <w:u w:val="single"/>
          <w:lang w:val="es-ES"/>
        </w:rPr>
        <w:t>obstruya la prevención de delitos</w:t>
      </w:r>
      <w:r w:rsidRPr="00BC031C">
        <w:rPr>
          <w:rFonts w:ascii="Palatino Linotype" w:eastAsia="MS Mincho" w:hAnsi="Palatino Linotype" w:cs="Arial"/>
          <w:i/>
          <w:szCs w:val="24"/>
          <w:lang w:val="es-ES"/>
        </w:rPr>
        <w:t xml:space="preserve"> al obstaculizar las acciones implementadas por las autoridades para evitar su comisión, o menoscabar o limitar la capacidad de las autoridades para evitar la comisión de delitos.</w:t>
      </w: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Para que se verifique el supuesto de reserva, cuando se cause un perjuicio a las actividades de persecución de los delitos, deben de actualizarse los siguientes elementos:</w:t>
      </w: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I.        La existencia de un proceso penal en sustanciación o una carpeta de investigación en trámite;</w:t>
      </w: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II.       Que se acredite el vínculo que existe entre la información solicitada y la carpeta de investigación, o el proceso penal, según sea el caso, y</w:t>
      </w:r>
    </w:p>
    <w:p w:rsidR="008A5D99"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III.      Que la difusión de la información pueda impedir u obstruir las funciones que ejerce el Ministerio Público o su equivalente durante la etapa de investigación o ante los tribunales judiciales con motivo del ejercicio de la acción penal.</w:t>
      </w:r>
    </w:p>
    <w:p w:rsidR="008A5D99" w:rsidRDefault="008A5D99" w:rsidP="00F24A91">
      <w:pPr>
        <w:spacing w:after="0" w:line="240" w:lineRule="auto"/>
        <w:ind w:left="567" w:right="567"/>
        <w:jc w:val="both"/>
        <w:rPr>
          <w:rFonts w:ascii="Palatino Linotype" w:eastAsia="MS Mincho" w:hAnsi="Palatino Linotype" w:cs="Arial"/>
          <w:i/>
          <w:szCs w:val="24"/>
          <w:lang w:val="es-ES"/>
        </w:rPr>
      </w:pP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b/>
          <w:i/>
          <w:szCs w:val="24"/>
          <w:lang w:val="es-ES"/>
        </w:rPr>
        <w:t>Vigésimo octavo.</w:t>
      </w:r>
      <w:r w:rsidRPr="00BC031C">
        <w:rPr>
          <w:rFonts w:ascii="Palatino Linotype" w:eastAsia="MS Mincho" w:hAnsi="Palatino Linotype" w:cs="Arial"/>
          <w:i/>
          <w:szCs w:val="24"/>
          <w:lang w:val="es-ES"/>
        </w:rPr>
        <w:t xml:space="preserve"> De conformidad con el artículo 113, fracción IX de la Ley General, podrá considerarse como información reservada, aquella que </w:t>
      </w:r>
      <w:r w:rsidRPr="00BC031C">
        <w:rPr>
          <w:rFonts w:ascii="Palatino Linotype" w:eastAsia="MS Mincho" w:hAnsi="Palatino Linotype" w:cs="Arial"/>
          <w:i/>
          <w:szCs w:val="24"/>
          <w:u w:val="single"/>
          <w:lang w:val="es-ES"/>
        </w:rPr>
        <w:t>obstruya los procedimientos para fincar responsabilidad a los servidores públicos,</w:t>
      </w:r>
      <w:r w:rsidRPr="00BC031C">
        <w:rPr>
          <w:rFonts w:ascii="Palatino Linotype" w:eastAsia="MS Mincho" w:hAnsi="Palatino Linotype" w:cs="Arial"/>
          <w:i/>
          <w:szCs w:val="24"/>
          <w:lang w:val="es-ES"/>
        </w:rPr>
        <w:t xml:space="preserve"> en tanto no se haya dictado la resolución administrativa correspondiente; para lo cual, se deberán acreditar los siguientes supuestos:</w:t>
      </w:r>
    </w:p>
    <w:p w:rsidR="008A5D99" w:rsidRPr="00BC031C"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I.        La existencia de un procedimiento de responsabilidad administrativa en trámite, y</w:t>
      </w:r>
    </w:p>
    <w:p w:rsidR="008A5D99" w:rsidRPr="00DF5079" w:rsidRDefault="008A5D99" w:rsidP="00F24A91">
      <w:pPr>
        <w:spacing w:after="0" w:line="240" w:lineRule="auto"/>
        <w:ind w:left="567" w:right="567"/>
        <w:jc w:val="both"/>
        <w:rPr>
          <w:rFonts w:ascii="Palatino Linotype" w:eastAsia="MS Mincho" w:hAnsi="Palatino Linotype" w:cs="Arial"/>
          <w:i/>
          <w:szCs w:val="24"/>
          <w:lang w:val="es-ES"/>
        </w:rPr>
      </w:pPr>
      <w:r w:rsidRPr="00BC031C">
        <w:rPr>
          <w:rFonts w:ascii="Palatino Linotype" w:eastAsia="MS Mincho" w:hAnsi="Palatino Linotype" w:cs="Arial"/>
          <w:i/>
          <w:szCs w:val="24"/>
          <w:lang w:val="es-ES"/>
        </w:rPr>
        <w:t>II.       Que la información se refiera a actuaciones, diligencias y constancias propias del procedimiento de responsabilidad.</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Para los efectos de</w:t>
      </w:r>
      <w:r>
        <w:rPr>
          <w:rFonts w:ascii="Palatino Linotype" w:eastAsia="MS Mincho" w:hAnsi="Palatino Linotype" w:cs="Arial"/>
          <w:sz w:val="24"/>
          <w:szCs w:val="24"/>
          <w:lang w:val="es-ES"/>
        </w:rPr>
        <w:t xml:space="preserve"> los Lineamientos citados</w:t>
      </w:r>
      <w:r w:rsidRPr="00DF5079">
        <w:rPr>
          <w:rFonts w:ascii="Palatino Linotype" w:eastAsia="MS Mincho" w:hAnsi="Palatino Linotype" w:cs="Arial"/>
          <w:sz w:val="24"/>
          <w:szCs w:val="24"/>
          <w:lang w:val="es-ES"/>
        </w:rPr>
        <w:t xml:space="preserve">, se considera como información </w:t>
      </w:r>
      <w:r w:rsidRPr="00DF5079">
        <w:rPr>
          <w:rFonts w:ascii="Palatino Linotype" w:eastAsia="MS Mincho" w:hAnsi="Palatino Linotype" w:cs="Arial"/>
          <w:b/>
          <w:sz w:val="24"/>
          <w:szCs w:val="24"/>
          <w:lang w:val="es-ES"/>
        </w:rPr>
        <w:t>RESERVADA</w:t>
      </w:r>
      <w:r w:rsidRPr="00DF5079">
        <w:rPr>
          <w:rFonts w:ascii="Palatino Linotype" w:eastAsia="MS Mincho" w:hAnsi="Palatino Linotype" w:cs="Arial"/>
          <w:sz w:val="24"/>
          <w:szCs w:val="24"/>
          <w:lang w:val="es-ES"/>
        </w:rPr>
        <w:t xml:space="preserve"> podrá clasificarse aquella </w:t>
      </w:r>
      <w:r>
        <w:rPr>
          <w:rFonts w:ascii="Palatino Linotype" w:eastAsia="MS Mincho" w:hAnsi="Palatino Linotype" w:cs="Arial"/>
          <w:sz w:val="24"/>
          <w:szCs w:val="24"/>
          <w:lang w:val="es-ES"/>
        </w:rPr>
        <w:t>que se encuentre en un procedimiento de responsabilidad administrativa y su publicidad obstruya la prevención de delitos o de fincar responsabilidades administrativas a servidores públicos.</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Por lo cual, para considerar que se actualiza dicha causal es necesario que se configuren los siguientes elementos:</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ind w:left="567" w:right="567"/>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lastRenderedPageBreak/>
        <w:t>1) La existencia de un juicio o procedimiento administrativo materialmente jurisdiccional, que se encuentre en trámite, y</w:t>
      </w:r>
    </w:p>
    <w:p w:rsidR="008A5D99" w:rsidRPr="00DF5079" w:rsidRDefault="008A5D99" w:rsidP="00F24A91">
      <w:pPr>
        <w:spacing w:after="0" w:line="360" w:lineRule="auto"/>
        <w:ind w:left="567" w:right="567"/>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2) Que la información solicitada se refiera a actuaciones, diligencias o constancias propias del procedimiento.</w:t>
      </w:r>
    </w:p>
    <w:p w:rsidR="008A5D99" w:rsidRPr="00DF5079" w:rsidRDefault="008A5D99" w:rsidP="00F24A91">
      <w:pPr>
        <w:spacing w:after="0" w:line="360" w:lineRule="auto"/>
        <w:jc w:val="both"/>
        <w:rPr>
          <w:rFonts w:ascii="Palatino Linotype" w:eastAsia="MS Mincho" w:hAnsi="Palatino Linotype" w:cs="Arial"/>
          <w:sz w:val="24"/>
          <w:szCs w:val="24"/>
          <w:lang w:val="es-ES"/>
        </w:rPr>
      </w:pPr>
    </w:p>
    <w:p w:rsidR="008A5D9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 xml:space="preserve">Con base en lo expuesto, se advierte que la información susceptible de clasificarse como </w:t>
      </w:r>
      <w:r w:rsidRPr="00DF5079">
        <w:rPr>
          <w:rFonts w:ascii="Palatino Linotype" w:eastAsia="MS Mincho" w:hAnsi="Palatino Linotype" w:cs="Arial"/>
          <w:b/>
          <w:sz w:val="24"/>
          <w:szCs w:val="24"/>
          <w:lang w:val="es-ES"/>
        </w:rPr>
        <w:t>RESERVADA</w:t>
      </w:r>
      <w:r w:rsidRPr="00DF5079">
        <w:rPr>
          <w:rFonts w:ascii="Palatino Linotype" w:eastAsia="MS Mincho" w:hAnsi="Palatino Linotype" w:cs="Arial"/>
          <w:sz w:val="24"/>
          <w:szCs w:val="24"/>
          <w:lang w:val="es-ES"/>
        </w:rPr>
        <w:t xml:space="preserve"> bajo el supuesto aludido por el </w:t>
      </w:r>
      <w:r w:rsidRPr="00DF5079">
        <w:rPr>
          <w:rFonts w:ascii="Palatino Linotype" w:eastAsia="MS Mincho" w:hAnsi="Palatino Linotype" w:cs="Arial"/>
          <w:b/>
          <w:sz w:val="24"/>
          <w:szCs w:val="24"/>
          <w:lang w:val="es-ES"/>
        </w:rPr>
        <w:t>Sujeto Obligado</w:t>
      </w:r>
      <w:r w:rsidRPr="00DF5079">
        <w:rPr>
          <w:rFonts w:ascii="Palatino Linotype" w:eastAsia="MS Mincho" w:hAnsi="Palatino Linotype" w:cs="Arial"/>
          <w:sz w:val="24"/>
          <w:szCs w:val="24"/>
          <w:lang w:val="es-ES"/>
        </w:rPr>
        <w:t xml:space="preserve">, es aquella cuya difusión, </w:t>
      </w:r>
      <w:r w:rsidRPr="00BC031C">
        <w:rPr>
          <w:rFonts w:ascii="Palatino Linotype" w:eastAsia="MS Mincho" w:hAnsi="Palatino Linotype" w:cs="Arial"/>
          <w:sz w:val="24"/>
          <w:szCs w:val="24"/>
          <w:lang w:val="es-ES"/>
        </w:rPr>
        <w:t>obstruya la prevención de delitos o de fincar responsabilidades administrativas a servidores públicos</w:t>
      </w:r>
      <w:r w:rsidRPr="00DF5079">
        <w:rPr>
          <w:rFonts w:ascii="Palatino Linotype" w:eastAsia="MS Mincho" w:hAnsi="Palatino Linotype" w:cs="Arial"/>
          <w:sz w:val="24"/>
          <w:szCs w:val="24"/>
          <w:lang w:val="es-ES"/>
        </w:rPr>
        <w:t xml:space="preserve">, en tanto no hayan </w:t>
      </w:r>
      <w:r>
        <w:rPr>
          <w:rFonts w:ascii="Palatino Linotype" w:eastAsia="MS Mincho" w:hAnsi="Palatino Linotype" w:cs="Arial"/>
          <w:sz w:val="24"/>
          <w:szCs w:val="24"/>
          <w:lang w:val="es-ES"/>
        </w:rPr>
        <w:t>causado estado los procedimientos.</w:t>
      </w:r>
    </w:p>
    <w:p w:rsidR="005A378E" w:rsidRDefault="005A378E" w:rsidP="00F24A91">
      <w:pPr>
        <w:spacing w:after="0" w:line="360" w:lineRule="auto"/>
        <w:jc w:val="both"/>
        <w:rPr>
          <w:rFonts w:ascii="Palatino Linotype" w:eastAsia="MS Mincho" w:hAnsi="Palatino Linotype" w:cs="Arial"/>
          <w:sz w:val="24"/>
          <w:szCs w:val="24"/>
          <w:lang w:val="es-ES"/>
        </w:rPr>
      </w:pPr>
    </w:p>
    <w:p w:rsidR="008A5D99" w:rsidRPr="00DF5079" w:rsidRDefault="008A5D99" w:rsidP="00F24A91">
      <w:pPr>
        <w:spacing w:after="0" w:line="360" w:lineRule="auto"/>
        <w:jc w:val="both"/>
        <w:rPr>
          <w:rFonts w:ascii="Palatino Linotype" w:eastAsia="MS Mincho" w:hAnsi="Palatino Linotype" w:cs="Arial"/>
          <w:sz w:val="24"/>
          <w:szCs w:val="24"/>
          <w:lang w:val="es-ES"/>
        </w:rPr>
      </w:pPr>
      <w:r w:rsidRPr="00DF5079">
        <w:rPr>
          <w:rFonts w:ascii="Palatino Linotype" w:eastAsia="MS Mincho" w:hAnsi="Palatino Linotype" w:cs="Arial"/>
          <w:sz w:val="24"/>
          <w:szCs w:val="24"/>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A5D99" w:rsidRDefault="008A5D99" w:rsidP="00F24A91">
      <w:pPr>
        <w:spacing w:after="0" w:line="360" w:lineRule="auto"/>
        <w:jc w:val="both"/>
        <w:rPr>
          <w:rFonts w:ascii="Palatino Linotype" w:hAnsi="Palatino Linotype" w:cs="Arial"/>
          <w:sz w:val="24"/>
          <w:szCs w:val="24"/>
          <w:lang w:val="es-ES"/>
        </w:rPr>
      </w:pPr>
    </w:p>
    <w:p w:rsidR="008A5D99" w:rsidRPr="00EF1140" w:rsidRDefault="008A5D99" w:rsidP="00F24A91">
      <w:pPr>
        <w:spacing w:after="0" w:line="360" w:lineRule="auto"/>
        <w:jc w:val="both"/>
        <w:rPr>
          <w:rFonts w:ascii="Palatino Linotype" w:hAnsi="Palatino Linotype"/>
          <w:sz w:val="24"/>
          <w:szCs w:val="24"/>
        </w:rPr>
      </w:pPr>
      <w:r w:rsidRPr="00EF1140">
        <w:rPr>
          <w:rFonts w:ascii="Palatino Linotype" w:hAnsi="Palatino Linotype"/>
          <w:sz w:val="24"/>
          <w:szCs w:val="24"/>
        </w:rPr>
        <w:t xml:space="preserve">En mérito de lo expuesto en líneas anteriores, al resultar fundados los motivos de inconformidad vertidos por la </w:t>
      </w:r>
      <w:r w:rsidRPr="00BC031C">
        <w:rPr>
          <w:rFonts w:ascii="Palatino Linotype" w:hAnsi="Palatino Linotype"/>
          <w:b/>
          <w:sz w:val="24"/>
          <w:szCs w:val="24"/>
        </w:rPr>
        <w:t>Recurrente</w:t>
      </w:r>
      <w:r w:rsidRPr="00EF1140">
        <w:rPr>
          <w:rFonts w:ascii="Palatino Linotype" w:hAnsi="Palatino Linotype"/>
          <w:sz w:val="24"/>
          <w:szCs w:val="24"/>
        </w:rPr>
        <w:t xml:space="preserve">, con fundamento en la </w:t>
      </w:r>
      <w:r w:rsidR="00456E32">
        <w:rPr>
          <w:rFonts w:ascii="Palatino Linotype" w:hAnsi="Palatino Linotype"/>
          <w:sz w:val="24"/>
          <w:szCs w:val="24"/>
        </w:rPr>
        <w:t>primera</w:t>
      </w:r>
      <w:r w:rsidRPr="00EF1140">
        <w:rPr>
          <w:rFonts w:ascii="Palatino Linotype" w:hAnsi="Palatino Linotype"/>
          <w:sz w:val="24"/>
          <w:szCs w:val="24"/>
        </w:rPr>
        <w:t xml:space="preserve"> hipótesis del artículo 186 fracción III de la Ley de Transparencia y Acceso a la Información Pública </w:t>
      </w:r>
      <w:r w:rsidRPr="00EF1140">
        <w:rPr>
          <w:rFonts w:ascii="Palatino Linotype" w:hAnsi="Palatino Linotype"/>
          <w:sz w:val="24"/>
          <w:szCs w:val="24"/>
        </w:rPr>
        <w:lastRenderedPageBreak/>
        <w:t>del Estado de México y Municipios, se</w:t>
      </w:r>
      <w:r w:rsidRPr="00EF1140">
        <w:rPr>
          <w:rFonts w:ascii="Palatino Linotype" w:hAnsi="Palatino Linotype"/>
          <w:b/>
          <w:sz w:val="24"/>
          <w:szCs w:val="24"/>
        </w:rPr>
        <w:t xml:space="preserve">, </w:t>
      </w:r>
      <w:r w:rsidR="00456E32">
        <w:rPr>
          <w:rFonts w:ascii="Palatino Linotype" w:hAnsi="Palatino Linotype"/>
          <w:b/>
          <w:sz w:val="24"/>
          <w:szCs w:val="24"/>
        </w:rPr>
        <w:t>REVOCA</w:t>
      </w:r>
      <w:r w:rsidRPr="00EF1140">
        <w:rPr>
          <w:rFonts w:ascii="Palatino Linotype" w:hAnsi="Palatino Linotype"/>
          <w:b/>
          <w:sz w:val="24"/>
          <w:szCs w:val="24"/>
        </w:rPr>
        <w:t xml:space="preserve"> </w:t>
      </w:r>
      <w:r w:rsidRPr="00EF1140">
        <w:rPr>
          <w:rFonts w:ascii="Palatino Linotype" w:hAnsi="Palatino Linotype"/>
          <w:sz w:val="24"/>
          <w:szCs w:val="24"/>
        </w:rPr>
        <w:t>la</w:t>
      </w:r>
      <w:r w:rsidR="005A378E">
        <w:rPr>
          <w:rFonts w:ascii="Palatino Linotype" w:hAnsi="Palatino Linotype"/>
          <w:sz w:val="24"/>
          <w:szCs w:val="24"/>
        </w:rPr>
        <w:t xml:space="preserve"> respuesta</w:t>
      </w:r>
      <w:r w:rsidRPr="00EF1140">
        <w:rPr>
          <w:rFonts w:ascii="Palatino Linotype" w:hAnsi="Palatino Linotype"/>
          <w:sz w:val="24"/>
          <w:szCs w:val="24"/>
        </w:rPr>
        <w:t xml:space="preserve"> emitida a la solicitud de información </w:t>
      </w:r>
      <w:r w:rsidR="005A378E" w:rsidRPr="005A378E">
        <w:rPr>
          <w:rFonts w:ascii="Palatino Linotype" w:hAnsi="Palatino Linotype" w:cs="Arial"/>
          <w:b/>
          <w:sz w:val="24"/>
          <w:szCs w:val="24"/>
        </w:rPr>
        <w:t>00219/TEOLOYU/IP/2022</w:t>
      </w:r>
      <w:r w:rsidRPr="00EF1140">
        <w:rPr>
          <w:rFonts w:ascii="Palatino Linotype" w:hAnsi="Palatino Linotype" w:cs="Arial"/>
          <w:sz w:val="24"/>
          <w:szCs w:val="24"/>
        </w:rPr>
        <w:t xml:space="preserve">, </w:t>
      </w:r>
      <w:r w:rsidRPr="00EF1140">
        <w:rPr>
          <w:rFonts w:ascii="Palatino Linotype" w:hAnsi="Palatino Linotype"/>
          <w:sz w:val="24"/>
          <w:szCs w:val="24"/>
        </w:rPr>
        <w:t>que ha sido materia del presente fallo.</w:t>
      </w:r>
    </w:p>
    <w:p w:rsidR="008A5D99" w:rsidRPr="00EF1140" w:rsidRDefault="008A5D99" w:rsidP="00F24A91">
      <w:pPr>
        <w:spacing w:after="0" w:line="360" w:lineRule="auto"/>
        <w:jc w:val="both"/>
        <w:rPr>
          <w:rFonts w:ascii="Palatino Linotype" w:hAnsi="Palatino Linotype"/>
          <w:sz w:val="24"/>
          <w:szCs w:val="24"/>
        </w:rPr>
      </w:pPr>
    </w:p>
    <w:p w:rsidR="008A5D99" w:rsidRDefault="008A5D99" w:rsidP="00F24A91">
      <w:pPr>
        <w:autoSpaceDE w:val="0"/>
        <w:autoSpaceDN w:val="0"/>
        <w:adjustRightInd w:val="0"/>
        <w:spacing w:after="0" w:line="360" w:lineRule="auto"/>
        <w:jc w:val="both"/>
        <w:rPr>
          <w:rFonts w:ascii="Palatino Linotype" w:hAnsi="Palatino Linotype" w:cs="Arial"/>
          <w:sz w:val="24"/>
          <w:szCs w:val="24"/>
        </w:rPr>
      </w:pPr>
      <w:r w:rsidRPr="00EF1140">
        <w:rPr>
          <w:rFonts w:ascii="Palatino Linotype" w:hAnsi="Palatino Linotype" w:cs="Arial"/>
          <w:sz w:val="24"/>
          <w:szCs w:val="24"/>
        </w:rPr>
        <w:t>Por lo antes expuesto y fundado es de resolverse y,</w:t>
      </w:r>
    </w:p>
    <w:p w:rsidR="00445D4A" w:rsidRPr="00EF1140" w:rsidRDefault="00445D4A" w:rsidP="00F24A91">
      <w:pPr>
        <w:autoSpaceDE w:val="0"/>
        <w:autoSpaceDN w:val="0"/>
        <w:adjustRightInd w:val="0"/>
        <w:spacing w:after="0" w:line="360" w:lineRule="auto"/>
        <w:jc w:val="both"/>
        <w:rPr>
          <w:rFonts w:ascii="Palatino Linotype" w:hAnsi="Palatino Linotype" w:cs="Arial"/>
          <w:sz w:val="24"/>
          <w:szCs w:val="24"/>
        </w:rPr>
      </w:pPr>
    </w:p>
    <w:p w:rsidR="008A5D99" w:rsidRPr="00EF1140" w:rsidRDefault="008A5D99" w:rsidP="00F24A91">
      <w:pPr>
        <w:spacing w:after="0" w:line="360" w:lineRule="auto"/>
        <w:ind w:left="426"/>
        <w:jc w:val="center"/>
        <w:rPr>
          <w:rFonts w:ascii="Palatino Linotype" w:eastAsia="Times New Roman" w:hAnsi="Palatino Linotype" w:cs="Times New Roman"/>
          <w:b/>
          <w:color w:val="000000"/>
          <w:sz w:val="28"/>
          <w:szCs w:val="24"/>
          <w:lang w:val="es-ES" w:eastAsia="es-ES"/>
        </w:rPr>
      </w:pPr>
      <w:r w:rsidRPr="00EF1140">
        <w:rPr>
          <w:rFonts w:ascii="Palatino Linotype" w:eastAsia="Times New Roman" w:hAnsi="Palatino Linotype" w:cs="Times New Roman"/>
          <w:b/>
          <w:color w:val="000000"/>
          <w:sz w:val="28"/>
          <w:szCs w:val="24"/>
          <w:lang w:val="es-ES" w:eastAsia="es-ES"/>
        </w:rPr>
        <w:t>SE    RESUELVE</w:t>
      </w:r>
    </w:p>
    <w:p w:rsidR="008A5D99" w:rsidRPr="00EF1140" w:rsidRDefault="008A5D99" w:rsidP="00F24A91">
      <w:pPr>
        <w:spacing w:after="0" w:line="360" w:lineRule="auto"/>
        <w:ind w:left="426"/>
        <w:jc w:val="center"/>
        <w:rPr>
          <w:rFonts w:ascii="Palatino Linotype" w:eastAsia="Times New Roman" w:hAnsi="Palatino Linotype" w:cs="Times New Roman"/>
          <w:b/>
          <w:color w:val="000000"/>
          <w:sz w:val="24"/>
          <w:szCs w:val="24"/>
          <w:lang w:val="es-ES" w:eastAsia="es-ES"/>
        </w:rPr>
      </w:pPr>
    </w:p>
    <w:p w:rsidR="008A5D99" w:rsidRPr="00EF1140" w:rsidRDefault="008A5D99" w:rsidP="00F24A91">
      <w:pPr>
        <w:spacing w:after="0" w:line="360" w:lineRule="auto"/>
        <w:jc w:val="both"/>
        <w:rPr>
          <w:rFonts w:ascii="Palatino Linotype" w:eastAsia="Times New Roman" w:hAnsi="Palatino Linotype" w:cs="Arial"/>
          <w:sz w:val="24"/>
          <w:szCs w:val="24"/>
          <w:lang w:eastAsia="es-ES"/>
        </w:rPr>
      </w:pPr>
      <w:r w:rsidRPr="00EF1140">
        <w:rPr>
          <w:rFonts w:ascii="Palatino Linotype" w:eastAsia="Times New Roman" w:hAnsi="Palatino Linotype" w:cs="Arial"/>
          <w:b/>
          <w:sz w:val="28"/>
          <w:szCs w:val="24"/>
          <w:lang w:eastAsia="es-ES"/>
        </w:rPr>
        <w:t>PRIMERO</w:t>
      </w:r>
      <w:r w:rsidRPr="00EF1140">
        <w:rPr>
          <w:rFonts w:ascii="Palatino Linotype" w:eastAsia="Times New Roman" w:hAnsi="Palatino Linotype" w:cs="Arial"/>
          <w:b/>
          <w:sz w:val="24"/>
          <w:szCs w:val="24"/>
          <w:lang w:eastAsia="es-ES"/>
        </w:rPr>
        <w:t xml:space="preserve">. </w:t>
      </w:r>
      <w:r w:rsidRPr="00EF1140">
        <w:rPr>
          <w:rFonts w:ascii="Palatino Linotype" w:eastAsia="Times New Roman" w:hAnsi="Palatino Linotype" w:cs="Arial"/>
          <w:sz w:val="24"/>
          <w:szCs w:val="24"/>
          <w:lang w:eastAsia="es-ES"/>
        </w:rPr>
        <w:t>Se</w:t>
      </w:r>
      <w:r w:rsidRPr="00EF1140">
        <w:rPr>
          <w:rFonts w:ascii="Palatino Linotype" w:eastAsia="Times New Roman" w:hAnsi="Palatino Linotype" w:cs="Arial"/>
          <w:b/>
          <w:sz w:val="24"/>
          <w:szCs w:val="24"/>
          <w:lang w:eastAsia="es-ES"/>
        </w:rPr>
        <w:t xml:space="preserve"> </w:t>
      </w:r>
      <w:r w:rsidR="00456E32">
        <w:rPr>
          <w:rFonts w:ascii="Palatino Linotype" w:eastAsia="Times New Roman" w:hAnsi="Palatino Linotype" w:cs="Arial"/>
          <w:b/>
          <w:sz w:val="24"/>
          <w:szCs w:val="24"/>
          <w:lang w:eastAsia="es-ES"/>
        </w:rPr>
        <w:t>REVOCA</w:t>
      </w:r>
      <w:r w:rsidRPr="00EF1140">
        <w:rPr>
          <w:rFonts w:ascii="Palatino Linotype" w:eastAsia="Times New Roman" w:hAnsi="Palatino Linotype" w:cs="Arial"/>
          <w:b/>
          <w:sz w:val="24"/>
          <w:szCs w:val="24"/>
          <w:lang w:eastAsia="es-ES"/>
        </w:rPr>
        <w:t xml:space="preserve"> </w:t>
      </w:r>
      <w:r w:rsidRPr="00EF1140">
        <w:rPr>
          <w:rFonts w:ascii="Palatino Linotype" w:eastAsia="Times New Roman" w:hAnsi="Palatino Linotype" w:cs="Arial"/>
          <w:sz w:val="24"/>
          <w:szCs w:val="24"/>
          <w:lang w:eastAsia="es-ES"/>
        </w:rPr>
        <w:t xml:space="preserve">la respuesta del </w:t>
      </w:r>
      <w:r w:rsidRPr="00EF1140">
        <w:rPr>
          <w:rFonts w:ascii="Palatino Linotype" w:eastAsia="Times New Roman" w:hAnsi="Palatino Linotype" w:cs="Arial"/>
          <w:b/>
          <w:sz w:val="24"/>
          <w:szCs w:val="24"/>
          <w:lang w:eastAsia="es-ES"/>
        </w:rPr>
        <w:t>Sujeto Obligado</w:t>
      </w:r>
      <w:r w:rsidRPr="00EF1140">
        <w:rPr>
          <w:rFonts w:ascii="Palatino Linotype" w:eastAsia="Times New Roman" w:hAnsi="Palatino Linotype" w:cs="Arial"/>
          <w:sz w:val="24"/>
          <w:szCs w:val="24"/>
          <w:lang w:eastAsia="es-ES"/>
        </w:rPr>
        <w:t xml:space="preserve"> a la</w:t>
      </w:r>
      <w:r w:rsidR="005A378E">
        <w:rPr>
          <w:rFonts w:ascii="Palatino Linotype" w:eastAsia="Times New Roman" w:hAnsi="Palatino Linotype" w:cs="Arial"/>
          <w:sz w:val="24"/>
          <w:szCs w:val="24"/>
          <w:lang w:eastAsia="es-ES"/>
        </w:rPr>
        <w:t xml:space="preserve"> solicitud</w:t>
      </w:r>
      <w:r w:rsidRPr="00EF1140">
        <w:rPr>
          <w:rFonts w:ascii="Palatino Linotype" w:eastAsia="Times New Roman" w:hAnsi="Palatino Linotype" w:cs="Arial"/>
          <w:sz w:val="24"/>
          <w:szCs w:val="24"/>
          <w:lang w:eastAsia="es-ES"/>
        </w:rPr>
        <w:t xml:space="preserve"> de acceso a la información pública</w:t>
      </w:r>
      <w:r w:rsidRPr="005A378E">
        <w:rPr>
          <w:rFonts w:ascii="Palatino Linotype" w:eastAsia="Times New Roman" w:hAnsi="Palatino Linotype" w:cs="Arial"/>
          <w:sz w:val="24"/>
          <w:szCs w:val="24"/>
          <w:lang w:eastAsia="es-ES"/>
        </w:rPr>
        <w:t xml:space="preserve"> </w:t>
      </w:r>
      <w:r w:rsidR="005A378E" w:rsidRPr="008A5D99">
        <w:rPr>
          <w:rFonts w:ascii="Palatino Linotype" w:hAnsi="Palatino Linotype" w:cs="Arial"/>
          <w:b/>
          <w:sz w:val="24"/>
          <w:szCs w:val="24"/>
        </w:rPr>
        <w:t>00219/TEOLOYU/IP/2022</w:t>
      </w:r>
      <w:r w:rsidRPr="00EF1140">
        <w:rPr>
          <w:rFonts w:ascii="Palatino Linotype" w:hAnsi="Palatino Linotype" w:cs="Arial"/>
          <w:sz w:val="24"/>
          <w:szCs w:val="24"/>
        </w:rPr>
        <w:t xml:space="preserve">, </w:t>
      </w:r>
      <w:r w:rsidRPr="00EF1140">
        <w:rPr>
          <w:rFonts w:ascii="Palatino Linotype" w:eastAsia="Times New Roman" w:hAnsi="Palatino Linotype" w:cs="Arial"/>
          <w:sz w:val="24"/>
          <w:szCs w:val="24"/>
          <w:lang w:eastAsia="es-ES"/>
        </w:rPr>
        <w:t xml:space="preserve">por resultar </w:t>
      </w:r>
      <w:r w:rsidRPr="00EF1140">
        <w:rPr>
          <w:rFonts w:ascii="Palatino Linotype" w:eastAsia="Times New Roman" w:hAnsi="Palatino Linotype" w:cs="Arial"/>
          <w:b/>
          <w:sz w:val="24"/>
          <w:szCs w:val="24"/>
          <w:lang w:eastAsia="es-ES"/>
        </w:rPr>
        <w:t xml:space="preserve">fundados </w:t>
      </w:r>
      <w:r w:rsidRPr="00EF1140">
        <w:rPr>
          <w:rFonts w:ascii="Palatino Linotype" w:eastAsia="Times New Roman" w:hAnsi="Palatino Linotype" w:cs="Arial"/>
          <w:sz w:val="24"/>
          <w:szCs w:val="24"/>
          <w:lang w:eastAsia="es-ES"/>
        </w:rPr>
        <w:t xml:space="preserve">los motivos de inconformidad vertidos por el </w:t>
      </w:r>
      <w:r w:rsidRPr="00EF1140">
        <w:rPr>
          <w:rFonts w:ascii="Palatino Linotype" w:eastAsia="Times New Roman" w:hAnsi="Palatino Linotype" w:cs="Arial"/>
          <w:b/>
          <w:sz w:val="24"/>
          <w:szCs w:val="24"/>
          <w:lang w:eastAsia="es-ES"/>
        </w:rPr>
        <w:t>Recurrente</w:t>
      </w:r>
      <w:r w:rsidRPr="00EF1140">
        <w:rPr>
          <w:rFonts w:ascii="Palatino Linotype" w:eastAsia="Times New Roman" w:hAnsi="Palatino Linotype" w:cs="Arial"/>
          <w:sz w:val="24"/>
          <w:szCs w:val="24"/>
          <w:lang w:eastAsia="es-ES"/>
        </w:rPr>
        <w:t>, en términos del considerandos</w:t>
      </w:r>
      <w:r w:rsidRPr="00EF1140">
        <w:rPr>
          <w:rFonts w:ascii="Palatino Linotype" w:eastAsia="Times New Roman" w:hAnsi="Palatino Linotype" w:cs="Arial"/>
          <w:b/>
          <w:sz w:val="24"/>
          <w:szCs w:val="24"/>
          <w:lang w:eastAsia="es-ES"/>
        </w:rPr>
        <w:t xml:space="preserve"> CUARTO </w:t>
      </w:r>
      <w:r w:rsidRPr="00EF1140">
        <w:rPr>
          <w:rFonts w:ascii="Palatino Linotype" w:eastAsia="Times New Roman" w:hAnsi="Palatino Linotype" w:cs="Arial"/>
          <w:sz w:val="24"/>
          <w:szCs w:val="24"/>
          <w:lang w:eastAsia="es-ES"/>
        </w:rPr>
        <w:t>de la presente Resolución.</w:t>
      </w:r>
    </w:p>
    <w:p w:rsidR="008A5D99" w:rsidRPr="007C3942" w:rsidRDefault="008A5D99" w:rsidP="00F24A91">
      <w:pPr>
        <w:spacing w:after="0" w:line="360" w:lineRule="auto"/>
        <w:ind w:right="-595"/>
        <w:jc w:val="both"/>
        <w:rPr>
          <w:rFonts w:ascii="Palatino Linotype" w:eastAsia="Times New Roman" w:hAnsi="Palatino Linotype" w:cs="Arial"/>
          <w:b/>
          <w:sz w:val="24"/>
          <w:szCs w:val="24"/>
          <w:lang w:eastAsia="es-ES"/>
        </w:rPr>
      </w:pPr>
    </w:p>
    <w:p w:rsidR="008A5D99" w:rsidRPr="00046391" w:rsidRDefault="008A5D99" w:rsidP="00F24A91">
      <w:pPr>
        <w:spacing w:after="0" w:line="360" w:lineRule="auto"/>
        <w:jc w:val="both"/>
        <w:rPr>
          <w:rFonts w:ascii="Palatino Linotype" w:hAnsi="Palatino Linotype" w:cs="Tahoma"/>
          <w:sz w:val="24"/>
          <w:szCs w:val="24"/>
        </w:rPr>
      </w:pPr>
      <w:r w:rsidRPr="000456E0">
        <w:rPr>
          <w:rFonts w:ascii="Palatino Linotype" w:eastAsia="Times New Roman" w:hAnsi="Palatino Linotype" w:cs="Arial"/>
          <w:b/>
          <w:sz w:val="28"/>
          <w:szCs w:val="24"/>
          <w:lang w:eastAsia="es-ES"/>
        </w:rPr>
        <w:t>SEGUNDO</w:t>
      </w:r>
      <w:r w:rsidRPr="007C3942">
        <w:rPr>
          <w:rFonts w:ascii="Palatino Linotype" w:eastAsia="Times New Roman" w:hAnsi="Palatino Linotype" w:cs="Arial"/>
          <w:b/>
          <w:sz w:val="24"/>
          <w:szCs w:val="24"/>
          <w:lang w:eastAsia="es-ES"/>
        </w:rPr>
        <w:t>.</w:t>
      </w:r>
      <w:r w:rsidRPr="007C3942">
        <w:rPr>
          <w:rFonts w:ascii="Palatino Linotype" w:eastAsia="Times New Roman" w:hAnsi="Palatino Linotype" w:cs="Tahoma"/>
          <w:sz w:val="24"/>
          <w:szCs w:val="24"/>
          <w:lang w:eastAsia="es-ES"/>
        </w:rPr>
        <w:t xml:space="preserve"> </w:t>
      </w:r>
      <w:r w:rsidRPr="007D2F3D">
        <w:rPr>
          <w:rFonts w:ascii="Palatino Linotype" w:eastAsia="Times New Roman" w:hAnsi="Palatino Linotype" w:cs="Tahoma"/>
          <w:sz w:val="24"/>
          <w:szCs w:val="24"/>
          <w:lang w:eastAsia="es-ES"/>
        </w:rPr>
        <w:t xml:space="preserve">Se </w:t>
      </w:r>
      <w:r w:rsidRPr="007D2F3D">
        <w:rPr>
          <w:rFonts w:ascii="Palatino Linotype" w:eastAsia="Times New Roman" w:hAnsi="Palatino Linotype" w:cs="Tahoma"/>
          <w:b/>
          <w:sz w:val="24"/>
          <w:szCs w:val="24"/>
          <w:lang w:eastAsia="es-ES"/>
        </w:rPr>
        <w:t>ORDENA</w:t>
      </w:r>
      <w:r w:rsidRPr="007D2F3D">
        <w:rPr>
          <w:rFonts w:ascii="Palatino Linotype" w:eastAsia="Times New Roman" w:hAnsi="Palatino Linotype" w:cs="Tahoma"/>
          <w:sz w:val="24"/>
          <w:szCs w:val="24"/>
          <w:lang w:eastAsia="es-ES"/>
        </w:rPr>
        <w:t xml:space="preserve"> al </w:t>
      </w:r>
      <w:r w:rsidRPr="007D2F3D">
        <w:rPr>
          <w:rFonts w:ascii="Palatino Linotype" w:eastAsia="Times New Roman" w:hAnsi="Palatino Linotype" w:cs="Tahoma"/>
          <w:b/>
          <w:sz w:val="24"/>
          <w:szCs w:val="24"/>
          <w:lang w:eastAsia="es-ES"/>
        </w:rPr>
        <w:t>Sujeto Obligado</w:t>
      </w:r>
      <w:r w:rsidRPr="007D2F3D">
        <w:rPr>
          <w:rFonts w:ascii="Palatino Linotype" w:eastAsia="Times New Roman" w:hAnsi="Palatino Linotype" w:cs="Tahoma"/>
          <w:sz w:val="24"/>
          <w:szCs w:val="24"/>
          <w:lang w:eastAsia="es-ES"/>
        </w:rPr>
        <w:t xml:space="preserve"> </w:t>
      </w:r>
      <w:r>
        <w:rPr>
          <w:rFonts w:ascii="Palatino Linotype" w:eastAsia="Times New Roman" w:hAnsi="Palatino Linotype" w:cs="Tahoma"/>
          <w:sz w:val="24"/>
          <w:szCs w:val="24"/>
          <w:lang w:eastAsia="es-ES"/>
        </w:rPr>
        <w:t xml:space="preserve">haga </w:t>
      </w:r>
      <w:r w:rsidRPr="007D2F3D">
        <w:rPr>
          <w:rFonts w:ascii="Palatino Linotype" w:eastAsia="Times New Roman" w:hAnsi="Palatino Linotype" w:cs="Tahoma"/>
          <w:sz w:val="24"/>
          <w:szCs w:val="24"/>
          <w:lang w:eastAsia="es-ES"/>
        </w:rPr>
        <w:t xml:space="preserve">entrega al </w:t>
      </w:r>
      <w:r w:rsidRPr="007D2F3D">
        <w:rPr>
          <w:rFonts w:ascii="Palatino Linotype" w:eastAsia="Times New Roman" w:hAnsi="Palatino Linotype" w:cs="Tahoma"/>
          <w:b/>
          <w:sz w:val="24"/>
          <w:szCs w:val="24"/>
          <w:lang w:eastAsia="es-ES"/>
        </w:rPr>
        <w:t>Recurrente</w:t>
      </w:r>
      <w:r w:rsidRPr="007D2F3D">
        <w:rPr>
          <w:rFonts w:ascii="Palatino Linotype" w:eastAsia="Times New Roman" w:hAnsi="Palatino Linotype" w:cs="Tahoma"/>
          <w:sz w:val="24"/>
          <w:szCs w:val="24"/>
          <w:lang w:eastAsia="es-ES"/>
        </w:rPr>
        <w:t>, en versión pública, a través del Sistema de Acceso a la Información Mexiquense (</w:t>
      </w:r>
      <w:r w:rsidRPr="00046391">
        <w:rPr>
          <w:rFonts w:ascii="Palatino Linotype" w:eastAsia="Times New Roman" w:hAnsi="Palatino Linotype" w:cs="Tahoma"/>
          <w:b/>
          <w:sz w:val="24"/>
          <w:szCs w:val="24"/>
          <w:lang w:eastAsia="es-ES"/>
        </w:rPr>
        <w:t>SAIMEX</w:t>
      </w:r>
      <w:r w:rsidRPr="00046391">
        <w:rPr>
          <w:rFonts w:ascii="Palatino Linotype" w:eastAsia="Times New Roman" w:hAnsi="Palatino Linotype" w:cs="Tahoma"/>
          <w:sz w:val="24"/>
          <w:szCs w:val="24"/>
          <w:lang w:eastAsia="es-ES"/>
        </w:rPr>
        <w:t xml:space="preserve">), </w:t>
      </w:r>
      <w:r>
        <w:rPr>
          <w:rFonts w:ascii="Palatino Linotype" w:hAnsi="Palatino Linotype" w:cs="Tahoma"/>
          <w:sz w:val="24"/>
          <w:szCs w:val="24"/>
        </w:rPr>
        <w:t>del soporte documental en que conste lo siguiente:</w:t>
      </w:r>
    </w:p>
    <w:p w:rsidR="008A5D99" w:rsidRDefault="008A5D99" w:rsidP="00F24A91">
      <w:pPr>
        <w:spacing w:after="0" w:line="360" w:lineRule="auto"/>
        <w:ind w:right="-595"/>
        <w:jc w:val="both"/>
        <w:rPr>
          <w:rFonts w:ascii="Palatino Linotype" w:eastAsia="Times New Roman" w:hAnsi="Palatino Linotype" w:cs="Tahoma"/>
          <w:sz w:val="24"/>
          <w:szCs w:val="24"/>
          <w:lang w:eastAsia="es-ES"/>
        </w:rPr>
      </w:pPr>
    </w:p>
    <w:p w:rsidR="005A378E" w:rsidRPr="00617D1B" w:rsidRDefault="00456E32" w:rsidP="00F24A91">
      <w:pPr>
        <w:pStyle w:val="Prrafodelista"/>
        <w:numPr>
          <w:ilvl w:val="0"/>
          <w:numId w:val="16"/>
        </w:numPr>
        <w:pBdr>
          <w:top w:val="nil"/>
          <w:left w:val="nil"/>
          <w:bottom w:val="nil"/>
          <w:right w:val="nil"/>
          <w:between w:val="nil"/>
        </w:pBdr>
        <w:spacing w:line="360" w:lineRule="auto"/>
        <w:contextualSpacing/>
        <w:jc w:val="both"/>
        <w:rPr>
          <w:rFonts w:ascii="Palatino Linotype" w:eastAsia="Calibri" w:hAnsi="Palatino Linotype"/>
          <w:lang w:val="es-ES_tradnl"/>
        </w:rPr>
      </w:pPr>
      <w:r>
        <w:rPr>
          <w:rFonts w:ascii="Palatino Linotype" w:eastAsia="Calibri" w:hAnsi="Palatino Linotype"/>
          <w:lang w:val="es-ES_tradnl"/>
        </w:rPr>
        <w:t>T</w:t>
      </w:r>
      <w:r w:rsidR="005A378E" w:rsidRPr="00617D1B">
        <w:rPr>
          <w:rFonts w:ascii="Palatino Linotype" w:eastAsia="Calibri" w:hAnsi="Palatino Linotype"/>
          <w:lang w:val="es-ES_tradnl"/>
        </w:rPr>
        <w:t xml:space="preserve">odas las actuaciones de la Controversia Constitucional </w:t>
      </w:r>
      <w:r w:rsidRPr="00617D1B">
        <w:rPr>
          <w:rFonts w:ascii="Palatino Linotype" w:eastAsia="Calibri" w:hAnsi="Palatino Linotype"/>
          <w:lang w:val="es-ES_tradnl"/>
        </w:rPr>
        <w:t>Tepotzotlán</w:t>
      </w:r>
      <w:r w:rsidR="005A378E" w:rsidRPr="00617D1B">
        <w:rPr>
          <w:rFonts w:ascii="Palatino Linotype" w:eastAsia="Calibri" w:hAnsi="Palatino Linotype"/>
          <w:lang w:val="es-ES_tradnl"/>
        </w:rPr>
        <w:t xml:space="preserve"> vs Teoloyucan, </w:t>
      </w:r>
      <w:r w:rsidRPr="00617D1B">
        <w:rPr>
          <w:rFonts w:ascii="Palatino Linotype" w:eastAsia="Calibri" w:hAnsi="Palatino Linotype"/>
          <w:lang w:val="es-ES_tradnl"/>
        </w:rPr>
        <w:t>Cuaut</w:t>
      </w:r>
      <w:r>
        <w:rPr>
          <w:rFonts w:ascii="Palatino Linotype" w:eastAsia="Calibri" w:hAnsi="Palatino Linotype"/>
          <w:lang w:val="es-ES_tradnl"/>
        </w:rPr>
        <w:t>itlán Izcalli vs Teoloyucan, con que cuente al día siete de junio de dos mil veintidós.</w:t>
      </w:r>
    </w:p>
    <w:p w:rsidR="008A5D99" w:rsidRDefault="008A5D99" w:rsidP="00F24A91">
      <w:pPr>
        <w:spacing w:after="0" w:line="360" w:lineRule="auto"/>
        <w:ind w:right="-595"/>
        <w:jc w:val="both"/>
        <w:rPr>
          <w:rFonts w:ascii="Palatino Linotype" w:eastAsia="Times New Roman" w:hAnsi="Palatino Linotype" w:cs="Tahoma"/>
          <w:sz w:val="24"/>
          <w:szCs w:val="24"/>
          <w:lang w:val="es-ES_tradnl" w:eastAsia="es-ES"/>
        </w:rPr>
      </w:pPr>
    </w:p>
    <w:p w:rsidR="008A5D99" w:rsidRDefault="005A378E" w:rsidP="00F24A91">
      <w:pPr>
        <w:spacing w:after="0" w:line="360" w:lineRule="auto"/>
        <w:jc w:val="both"/>
        <w:rPr>
          <w:rFonts w:ascii="Palatino Linotype" w:eastAsia="Times New Roman" w:hAnsi="Palatino Linotype" w:cs="Tahoma"/>
          <w:sz w:val="24"/>
          <w:szCs w:val="24"/>
          <w:lang w:eastAsia="es-ES"/>
        </w:rPr>
      </w:pPr>
      <w:r>
        <w:rPr>
          <w:rFonts w:ascii="Palatino Linotype" w:eastAsia="Times New Roman" w:hAnsi="Palatino Linotype" w:cs="Tahoma"/>
          <w:sz w:val="24"/>
          <w:szCs w:val="24"/>
          <w:lang w:eastAsia="es-ES"/>
        </w:rPr>
        <w:t xml:space="preserve">De ser procedente la </w:t>
      </w:r>
      <w:r w:rsidR="008A5D99" w:rsidRPr="007D2F3D">
        <w:rPr>
          <w:rFonts w:ascii="Palatino Linotype" w:eastAsia="Times New Roman" w:hAnsi="Palatino Linotype" w:cs="Tahoma"/>
          <w:sz w:val="24"/>
          <w:szCs w:val="24"/>
          <w:lang w:eastAsia="es-ES"/>
        </w:rPr>
        <w:t xml:space="preserve">versión pública deberá emitir el Acuerdo del Comité de Transparencia en términos de los artículos 49, fracción VIII y 132 fracción II de la Ley de Transparencia y Acceso a la Información Pública del Estado de México y </w:t>
      </w:r>
      <w:r w:rsidR="008A5D99" w:rsidRPr="007D2F3D">
        <w:rPr>
          <w:rFonts w:ascii="Palatino Linotype" w:eastAsia="Times New Roman" w:hAnsi="Palatino Linotype" w:cs="Tahoma"/>
          <w:sz w:val="24"/>
          <w:szCs w:val="24"/>
          <w:lang w:eastAsia="es-ES"/>
        </w:rPr>
        <w:lastRenderedPageBreak/>
        <w:t>Municipios, en el que funde y motive las razones sobre los datos que se supriman o eliminen y se ponga a disposición del recurrente.</w:t>
      </w:r>
    </w:p>
    <w:p w:rsidR="008A5D99" w:rsidRDefault="008A5D99" w:rsidP="00F24A91">
      <w:pPr>
        <w:spacing w:after="0" w:line="360" w:lineRule="auto"/>
        <w:jc w:val="both"/>
        <w:rPr>
          <w:rFonts w:ascii="Palatino Linotype" w:eastAsia="Times New Roman" w:hAnsi="Palatino Linotype" w:cs="Tahoma"/>
          <w:sz w:val="24"/>
          <w:szCs w:val="24"/>
          <w:lang w:eastAsia="es-ES"/>
        </w:rPr>
      </w:pPr>
    </w:p>
    <w:p w:rsidR="008A5D99" w:rsidRDefault="008A5D99" w:rsidP="00F24A91">
      <w:pPr>
        <w:spacing w:after="0" w:line="360" w:lineRule="auto"/>
        <w:jc w:val="both"/>
        <w:rPr>
          <w:rFonts w:ascii="Palatino Linotype" w:eastAsia="Times New Roman" w:hAnsi="Palatino Linotype" w:cs="Tahoma"/>
          <w:sz w:val="24"/>
          <w:szCs w:val="24"/>
          <w:lang w:eastAsia="es-ES"/>
        </w:rPr>
      </w:pPr>
      <w:r w:rsidRPr="007C3942">
        <w:rPr>
          <w:rFonts w:ascii="Palatino Linotype" w:eastAsia="Times New Roman" w:hAnsi="Palatino Linotype" w:cs="Arial"/>
          <w:b/>
          <w:sz w:val="28"/>
          <w:szCs w:val="24"/>
          <w:lang w:eastAsia="es-ES"/>
        </w:rPr>
        <w:t>TERCERO</w:t>
      </w:r>
      <w:r w:rsidRPr="007C3942">
        <w:rPr>
          <w:rFonts w:ascii="Palatino Linotype" w:eastAsia="Times New Roman" w:hAnsi="Palatino Linotype" w:cs="Arial"/>
          <w:b/>
          <w:sz w:val="24"/>
          <w:szCs w:val="24"/>
          <w:lang w:eastAsia="es-ES"/>
        </w:rPr>
        <w:t>.</w:t>
      </w:r>
      <w:r w:rsidRPr="007C3942">
        <w:rPr>
          <w:rFonts w:ascii="Palatino Linotype" w:eastAsia="Times New Roman" w:hAnsi="Palatino Linotype" w:cs="Arial"/>
          <w:sz w:val="24"/>
          <w:szCs w:val="24"/>
          <w:lang w:eastAsia="es-ES"/>
        </w:rPr>
        <w:t xml:space="preserve"> </w:t>
      </w:r>
      <w:r w:rsidRPr="007C3942">
        <w:rPr>
          <w:rFonts w:ascii="Palatino Linotype" w:eastAsia="Times New Roman" w:hAnsi="Palatino Linotype" w:cs="Tahoma"/>
          <w:b/>
          <w:sz w:val="24"/>
          <w:szCs w:val="24"/>
          <w:lang w:eastAsia="es-ES"/>
        </w:rPr>
        <w:t xml:space="preserve">NOTIFÍQUESE </w:t>
      </w:r>
      <w:r w:rsidRPr="007C3942">
        <w:rPr>
          <w:rFonts w:ascii="Palatino Linotype" w:eastAsia="Times New Roman" w:hAnsi="Palatino Linotype" w:cs="Tahoma"/>
          <w:sz w:val="24"/>
          <w:szCs w:val="24"/>
          <w:lang w:eastAsia="es-ES"/>
        </w:rPr>
        <w:t xml:space="preserve">la presente Resolución al Titular de la Unidad de Transparencia del </w:t>
      </w:r>
      <w:r w:rsidRPr="007C3942">
        <w:rPr>
          <w:rFonts w:ascii="Palatino Linotype" w:eastAsia="Times New Roman" w:hAnsi="Palatino Linotype" w:cs="Tahoma"/>
          <w:b/>
          <w:sz w:val="24"/>
          <w:szCs w:val="24"/>
          <w:lang w:eastAsia="es-ES"/>
        </w:rPr>
        <w:t>Sujeto Obligado</w:t>
      </w:r>
      <w:r w:rsidRPr="007C3942">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8A5D99" w:rsidRDefault="008A5D99" w:rsidP="00F24A91">
      <w:pPr>
        <w:spacing w:after="0" w:line="360" w:lineRule="auto"/>
        <w:jc w:val="both"/>
        <w:rPr>
          <w:rFonts w:ascii="Palatino Linotype" w:eastAsia="Times New Roman" w:hAnsi="Palatino Linotype" w:cs="Tahoma"/>
          <w:sz w:val="24"/>
          <w:szCs w:val="24"/>
          <w:lang w:eastAsia="es-ES"/>
        </w:rPr>
      </w:pPr>
    </w:p>
    <w:p w:rsidR="008A5D99" w:rsidRPr="007C3942"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3942">
        <w:rPr>
          <w:rFonts w:ascii="Palatino Linotype" w:eastAsia="Times New Roman" w:hAnsi="Palatino Linotype" w:cs="Arial"/>
          <w:b/>
          <w:sz w:val="28"/>
          <w:szCs w:val="28"/>
          <w:lang w:val="es-ES" w:eastAsia="es-ES"/>
        </w:rPr>
        <w:t>CUARTO.</w:t>
      </w:r>
      <w:r w:rsidRPr="007C3942">
        <w:rPr>
          <w:rFonts w:ascii="Palatino Linotype" w:eastAsia="Times New Roman" w:hAnsi="Palatino Linotype" w:cs="Arial"/>
          <w:b/>
          <w:sz w:val="24"/>
          <w:szCs w:val="24"/>
          <w:lang w:val="es-ES" w:eastAsia="es-ES"/>
        </w:rPr>
        <w:t xml:space="preserve"> </w:t>
      </w:r>
      <w:r w:rsidRPr="007C3942">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C3942">
        <w:rPr>
          <w:rFonts w:ascii="Palatino Linotype" w:eastAsia="Times New Roman" w:hAnsi="Palatino Linotype" w:cs="Arial"/>
          <w:b/>
          <w:sz w:val="24"/>
          <w:szCs w:val="24"/>
          <w:lang w:val="es-ES" w:eastAsia="es-ES"/>
        </w:rPr>
        <w:t>Sujeto Obligado</w:t>
      </w:r>
      <w:r w:rsidRPr="007C3942">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8A5D99" w:rsidRPr="007C3942" w:rsidRDefault="008A5D99" w:rsidP="00F24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A5D99" w:rsidRPr="007C3942" w:rsidRDefault="008A5D99" w:rsidP="00F24A91">
      <w:pPr>
        <w:autoSpaceDE w:val="0"/>
        <w:autoSpaceDN w:val="0"/>
        <w:adjustRightInd w:val="0"/>
        <w:spacing w:after="0" w:line="360" w:lineRule="auto"/>
        <w:jc w:val="both"/>
        <w:rPr>
          <w:rFonts w:ascii="Palatino Linotype" w:hAnsi="Palatino Linotype"/>
          <w:sz w:val="24"/>
          <w:szCs w:val="24"/>
          <w:lang w:eastAsia="es-ES_tradnl"/>
        </w:rPr>
      </w:pPr>
      <w:r w:rsidRPr="007C3942">
        <w:rPr>
          <w:rFonts w:ascii="Palatino Linotype" w:hAnsi="Palatino Linotype"/>
          <w:b/>
          <w:sz w:val="28"/>
          <w:szCs w:val="28"/>
        </w:rPr>
        <w:t>QUINTO</w:t>
      </w:r>
      <w:r w:rsidRPr="007C3942">
        <w:rPr>
          <w:rFonts w:ascii="Palatino Linotype" w:hAnsi="Palatino Linotype"/>
          <w:b/>
          <w:sz w:val="24"/>
          <w:szCs w:val="24"/>
        </w:rPr>
        <w:t xml:space="preserve">. </w:t>
      </w:r>
      <w:r w:rsidRPr="007C3942">
        <w:rPr>
          <w:rFonts w:ascii="Palatino Linotype" w:hAnsi="Palatino Linotype" w:cs="Arial"/>
          <w:b/>
          <w:sz w:val="24"/>
          <w:szCs w:val="24"/>
        </w:rPr>
        <w:t>NOTIFÍQUESE</w:t>
      </w:r>
      <w:r w:rsidRPr="007C3942">
        <w:rPr>
          <w:rFonts w:ascii="Palatino Linotype" w:hAnsi="Palatino Linotype" w:cs="Arial"/>
          <w:sz w:val="24"/>
          <w:szCs w:val="24"/>
        </w:rPr>
        <w:t xml:space="preserve"> a través del Sistema de Acceso a la Información Mexiquense (SAIMEX),</w:t>
      </w:r>
      <w:r>
        <w:rPr>
          <w:rFonts w:ascii="Palatino Linotype" w:hAnsi="Palatino Linotype" w:cs="Arial"/>
          <w:sz w:val="24"/>
          <w:szCs w:val="24"/>
        </w:rPr>
        <w:t xml:space="preserve"> </w:t>
      </w:r>
      <w:r w:rsidRPr="007C3942">
        <w:rPr>
          <w:rFonts w:ascii="Palatino Linotype" w:hAnsi="Palatino Linotype" w:cs="Arial"/>
          <w:sz w:val="24"/>
          <w:szCs w:val="24"/>
        </w:rPr>
        <w:t xml:space="preserve">al </w:t>
      </w:r>
      <w:r w:rsidRPr="007C3942">
        <w:rPr>
          <w:rFonts w:ascii="Palatino Linotype" w:hAnsi="Palatino Linotype" w:cs="Arial"/>
          <w:b/>
          <w:sz w:val="24"/>
          <w:szCs w:val="24"/>
        </w:rPr>
        <w:t>Recurrente</w:t>
      </w:r>
      <w:r w:rsidRPr="007C3942">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A5D99" w:rsidRDefault="008A5D99" w:rsidP="00F24A91">
      <w:pPr>
        <w:spacing w:after="0" w:line="360" w:lineRule="auto"/>
        <w:jc w:val="both"/>
        <w:rPr>
          <w:rFonts w:ascii="Palatino Linotype" w:hAnsi="Palatino Linotype"/>
          <w:sz w:val="24"/>
          <w:szCs w:val="24"/>
          <w:lang w:eastAsia="es-ES_tradnl"/>
        </w:rPr>
      </w:pPr>
    </w:p>
    <w:p w:rsidR="008A5D99" w:rsidRDefault="008A5D99" w:rsidP="00F24A91">
      <w:pPr>
        <w:spacing w:after="0" w:line="360" w:lineRule="auto"/>
        <w:jc w:val="both"/>
        <w:rPr>
          <w:rFonts w:ascii="Palatino Linotype" w:hAnsi="Palatino Linotype"/>
          <w:sz w:val="24"/>
          <w:szCs w:val="24"/>
          <w:lang w:eastAsia="es-ES_tradnl"/>
        </w:rPr>
      </w:pPr>
    </w:p>
    <w:p w:rsidR="008A5D99" w:rsidRPr="003753CC"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lastRenderedPageBreak/>
        <w:t>ASÍ LO RESUELVE, POR UNANIMIDAD DE VOTOS EL PLENO DEL</w:t>
      </w:r>
      <w:r w:rsidRPr="003753C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753CC">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4"/>
          <w:szCs w:val="24"/>
        </w:rPr>
        <w:t>CUADRAGÉSIMA</w:t>
      </w:r>
      <w:r w:rsidRPr="003753CC">
        <w:rPr>
          <w:rFonts w:ascii="Palatino Linotype" w:hAnsi="Palatino Linotype" w:cs="Arial"/>
          <w:sz w:val="24"/>
          <w:szCs w:val="24"/>
        </w:rPr>
        <w:t xml:space="preserve"> </w:t>
      </w:r>
      <w:r w:rsidRPr="00456E32">
        <w:rPr>
          <w:rFonts w:ascii="Palatino Linotype" w:hAnsi="Palatino Linotype" w:cs="Arial"/>
          <w:sz w:val="24"/>
          <w:szCs w:val="24"/>
        </w:rPr>
        <w:t>TERCERA</w:t>
      </w:r>
      <w:r w:rsidRPr="003753CC">
        <w:rPr>
          <w:rFonts w:ascii="Palatino Linotype" w:hAnsi="Palatino Linotype" w:cs="Arial"/>
          <w:sz w:val="24"/>
          <w:szCs w:val="24"/>
        </w:rPr>
        <w:t xml:space="preserve"> SESIÓN ORDINARIA CELEBRADA EL </w:t>
      </w:r>
      <w:r w:rsidR="00456E32">
        <w:rPr>
          <w:rFonts w:ascii="Palatino Linotype" w:hAnsi="Palatino Linotype" w:cs="Arial"/>
          <w:sz w:val="24"/>
          <w:szCs w:val="24"/>
        </w:rPr>
        <w:t>TREINTA</w:t>
      </w:r>
      <w:r>
        <w:rPr>
          <w:rFonts w:ascii="Palatino Linotype" w:hAnsi="Palatino Linotype" w:cs="Arial"/>
          <w:sz w:val="24"/>
          <w:szCs w:val="24"/>
        </w:rPr>
        <w:t xml:space="preserve"> DE NOVIEMBRE </w:t>
      </w:r>
      <w:r w:rsidRPr="003753CC">
        <w:rPr>
          <w:rFonts w:ascii="Palatino Linotype" w:hAnsi="Palatino Linotype" w:cs="Arial"/>
          <w:sz w:val="24"/>
          <w:szCs w:val="24"/>
        </w:rPr>
        <w:t>DE DOS MIL VEINTIDÓS, ANTE EL ANTE EL SECRETARIO TÉCNICO DEL PLENO, ALEXIS TAPIA RAMÍREZ. -----------------</w:t>
      </w:r>
      <w:r>
        <w:rPr>
          <w:rFonts w:ascii="Palatino Linotype" w:hAnsi="Palatino Linotype" w:cs="Arial"/>
          <w:sz w:val="24"/>
          <w:szCs w:val="24"/>
        </w:rPr>
        <w:t>----------------</w:t>
      </w:r>
      <w:r w:rsidRPr="003753CC">
        <w:rPr>
          <w:rFonts w:ascii="Palatino Linotype" w:hAnsi="Palatino Linotype" w:cs="Arial"/>
          <w:sz w:val="24"/>
          <w:szCs w:val="24"/>
        </w:rPr>
        <w:t>----------</w:t>
      </w:r>
    </w:p>
    <w:p w:rsidR="008A5D99" w:rsidRPr="003753CC"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rsidR="008A5D99" w:rsidRPr="003753CC"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rsidR="008A5D99" w:rsidRPr="003753CC" w:rsidRDefault="008A5D99" w:rsidP="00F24A91">
      <w:pPr>
        <w:spacing w:after="0" w:line="360" w:lineRule="auto"/>
        <w:jc w:val="both"/>
        <w:rPr>
          <w:rFonts w:ascii="Palatino Linotype" w:hAnsi="Palatino Linotype" w:cs="Arial"/>
          <w:sz w:val="24"/>
          <w:szCs w:val="24"/>
        </w:rPr>
      </w:pPr>
      <w:r w:rsidRPr="003753CC">
        <w:rPr>
          <w:rFonts w:ascii="Palatino Linotype" w:hAnsi="Palatino Linotype" w:cs="Arial"/>
          <w:sz w:val="24"/>
          <w:szCs w:val="24"/>
        </w:rPr>
        <w:t>-----------------------------------------------------------------------------------------------------------------</w:t>
      </w:r>
    </w:p>
    <w:p w:rsidR="008A5D99" w:rsidRPr="005323D1" w:rsidRDefault="008A5D99" w:rsidP="00F24A91">
      <w:pPr>
        <w:spacing w:after="0" w:line="360" w:lineRule="auto"/>
        <w:jc w:val="both"/>
        <w:rPr>
          <w:rFonts w:ascii="Palatino Linotype" w:hAnsi="Palatino Linotype" w:cs="Arial"/>
          <w:sz w:val="20"/>
        </w:rPr>
      </w:pPr>
      <w:r>
        <w:rPr>
          <w:rFonts w:ascii="Palatino Linotype" w:hAnsi="Palatino Linotype" w:cs="Arial"/>
          <w:sz w:val="20"/>
        </w:rPr>
        <w:t>CCR/</w:t>
      </w:r>
    </w:p>
    <w:p w:rsidR="008A5D99" w:rsidRDefault="008A5D99" w:rsidP="00F24A91">
      <w:pPr>
        <w:spacing w:after="0" w:line="360" w:lineRule="auto"/>
        <w:jc w:val="both"/>
        <w:rPr>
          <w:rFonts w:ascii="Palatino Linotype" w:hAnsi="Palatino Linotype" w:cs="Arial"/>
          <w:sz w:val="24"/>
          <w:szCs w:val="24"/>
        </w:rPr>
      </w:pPr>
    </w:p>
    <w:p w:rsidR="008A5D99" w:rsidRDefault="008A5D99" w:rsidP="00F24A91">
      <w:pPr>
        <w:spacing w:after="0" w:line="360" w:lineRule="auto"/>
        <w:jc w:val="both"/>
        <w:rPr>
          <w:rFonts w:ascii="Palatino Linotype" w:hAnsi="Palatino Linotype" w:cs="Arial"/>
          <w:sz w:val="24"/>
          <w:szCs w:val="24"/>
        </w:rPr>
      </w:pPr>
    </w:p>
    <w:p w:rsidR="008A5D99" w:rsidRDefault="008A5D99" w:rsidP="00F24A91">
      <w:pPr>
        <w:spacing w:after="0" w:line="360" w:lineRule="auto"/>
        <w:jc w:val="both"/>
        <w:rPr>
          <w:rFonts w:ascii="Palatino Linotype" w:hAnsi="Palatino Linotype" w:cs="Arial"/>
          <w:sz w:val="24"/>
          <w:szCs w:val="24"/>
        </w:rPr>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p w:rsidR="008A5D99" w:rsidRDefault="008A5D99" w:rsidP="00F24A91">
      <w:pPr>
        <w:spacing w:after="0"/>
      </w:pPr>
    </w:p>
    <w:sectPr w:rsidR="008A5D99" w:rsidSect="008A5D99">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653" w:rsidRDefault="00842653" w:rsidP="008A5D99">
      <w:pPr>
        <w:spacing w:after="0" w:line="240" w:lineRule="auto"/>
      </w:pPr>
      <w:r>
        <w:separator/>
      </w:r>
    </w:p>
  </w:endnote>
  <w:endnote w:type="continuationSeparator" w:id="0">
    <w:p w:rsidR="00842653" w:rsidRDefault="00842653" w:rsidP="008A5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E7B8E" w:rsidRPr="002D6DD8" w:rsidRDefault="009E7B8E" w:rsidP="008A5D9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7AC8">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37AC8">
              <w:rPr>
                <w:rFonts w:ascii="Palatino Linotype" w:hAnsi="Palatino Linotype"/>
                <w:bCs/>
                <w:noProof/>
                <w:sz w:val="20"/>
              </w:rPr>
              <w:t>56</w:t>
            </w:r>
            <w:r>
              <w:rPr>
                <w:rFonts w:ascii="Palatino Linotype" w:hAnsi="Palatino Linotype"/>
                <w:bCs/>
                <w:noProof/>
                <w:sz w:val="20"/>
              </w:rPr>
              <w:fldChar w:fldCharType="end"/>
            </w:r>
          </w:p>
        </w:sdtContent>
      </w:sdt>
    </w:sdtContent>
  </w:sdt>
  <w:p w:rsidR="009E7B8E" w:rsidRDefault="009E7B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8E" w:rsidRPr="000B69FA" w:rsidRDefault="009E7B8E" w:rsidP="008A5D9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7A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37AC8">
      <w:rPr>
        <w:rFonts w:ascii="Palatino Linotype" w:hAnsi="Palatino Linotype"/>
        <w:bCs/>
        <w:noProof/>
        <w:sz w:val="20"/>
      </w:rPr>
      <w:t>56</w:t>
    </w:r>
    <w:r>
      <w:rPr>
        <w:rFonts w:ascii="Palatino Linotype" w:hAnsi="Palatino Linotype"/>
        <w:bCs/>
        <w:noProof/>
        <w:sz w:val="20"/>
      </w:rPr>
      <w:fldChar w:fldCharType="end"/>
    </w:r>
  </w:p>
  <w:p w:rsidR="009E7B8E" w:rsidRDefault="009E7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653" w:rsidRDefault="00842653" w:rsidP="008A5D99">
      <w:pPr>
        <w:spacing w:after="0" w:line="240" w:lineRule="auto"/>
      </w:pPr>
      <w:r>
        <w:separator/>
      </w:r>
    </w:p>
  </w:footnote>
  <w:footnote w:type="continuationSeparator" w:id="0">
    <w:p w:rsidR="00842653" w:rsidRDefault="00842653" w:rsidP="008A5D99">
      <w:pPr>
        <w:spacing w:after="0" w:line="240" w:lineRule="auto"/>
      </w:pPr>
      <w:r>
        <w:continuationSeparator/>
      </w:r>
    </w:p>
  </w:footnote>
  <w:footnote w:id="1">
    <w:p w:rsidR="009E7B8E" w:rsidRPr="00A62FD8" w:rsidRDefault="009E7B8E" w:rsidP="008A5D99">
      <w:pPr>
        <w:pStyle w:val="Textonotapie"/>
        <w:jc w:val="both"/>
        <w:rPr>
          <w:rFonts w:ascii="Palatino Linotype" w:hAnsi="Palatino Linotype"/>
          <w:i/>
          <w:lang w:val="es-MX"/>
        </w:rPr>
      </w:pPr>
      <w:r>
        <w:rPr>
          <w:rStyle w:val="Refdenotaalpie"/>
        </w:rPr>
        <w:footnoteRef/>
      </w:r>
      <w:r>
        <w:t xml:space="preserve"> </w:t>
      </w:r>
      <w:r w:rsidRPr="00A62FD8">
        <w:rPr>
          <w:rFonts w:ascii="Palatino Linotype" w:hAnsi="Palatino Linotype"/>
          <w:b/>
          <w:i/>
          <w:lang w:val="es-MX"/>
        </w:rPr>
        <w:t>Artículo 179.</w:t>
      </w:r>
      <w:r w:rsidRPr="00A62FD8">
        <w:rPr>
          <w:rFonts w:ascii="Palatino Linotype" w:hAnsi="Palatino Linotype"/>
          <w:i/>
          <w:lang w:val="es-MX"/>
        </w:rPr>
        <w:t xml:space="preserve"> El recurso de revisión es un medio de protección que la Ley otorga a los particulares, para hacer valer su derecho de acceso a la información pública, y procederá en contra de las siguientes causas: </w:t>
      </w:r>
    </w:p>
    <w:p w:rsidR="009E7B8E" w:rsidRDefault="009E7B8E" w:rsidP="008A5D99">
      <w:pPr>
        <w:pStyle w:val="Textonotapie"/>
        <w:jc w:val="both"/>
        <w:rPr>
          <w:rFonts w:ascii="Palatino Linotype" w:hAnsi="Palatino Linotype"/>
          <w:i/>
          <w:lang w:val="es-MX"/>
        </w:rPr>
      </w:pPr>
      <w:r>
        <w:rPr>
          <w:rFonts w:ascii="Palatino Linotype" w:hAnsi="Palatino Linotype"/>
          <w:b/>
          <w:i/>
          <w:lang w:val="es-MX"/>
        </w:rPr>
        <w:t>I</w:t>
      </w:r>
      <w:r>
        <w:rPr>
          <w:rFonts w:ascii="Palatino Linotype" w:hAnsi="Palatino Linotype"/>
          <w:i/>
          <w:lang w:val="es-MX"/>
        </w:rPr>
        <w:t>…</w:t>
      </w:r>
      <w:r w:rsidRPr="00A62FD8">
        <w:rPr>
          <w:rFonts w:ascii="Palatino Linotype" w:hAnsi="Palatino Linotype"/>
          <w:i/>
          <w:lang w:val="es-MX"/>
        </w:rPr>
        <w:t>;</w:t>
      </w:r>
    </w:p>
    <w:p w:rsidR="009E7B8E" w:rsidRDefault="009E7B8E" w:rsidP="008A5D99">
      <w:pPr>
        <w:pStyle w:val="Textonotapie"/>
        <w:jc w:val="both"/>
        <w:rPr>
          <w:rFonts w:ascii="Palatino Linotype" w:hAnsi="Palatino Linotype"/>
          <w:i/>
        </w:rPr>
      </w:pPr>
      <w:r w:rsidRPr="00EE7AE1">
        <w:rPr>
          <w:rFonts w:ascii="Palatino Linotype" w:hAnsi="Palatino Linotype"/>
          <w:b/>
          <w:i/>
        </w:rPr>
        <w:t>II.</w:t>
      </w:r>
      <w:r w:rsidRPr="00EE7AE1">
        <w:rPr>
          <w:rFonts w:ascii="Palatino Linotype" w:hAnsi="Palatino Linotype"/>
          <w:i/>
        </w:rPr>
        <w:t xml:space="preserve"> La clasificación de la información;</w:t>
      </w:r>
    </w:p>
    <w:p w:rsidR="009E7B8E" w:rsidRPr="00EE7AE1" w:rsidRDefault="009E7B8E" w:rsidP="008A5D99">
      <w:pPr>
        <w:pStyle w:val="Textonotapie"/>
        <w:jc w:val="both"/>
        <w:rPr>
          <w:rFonts w:ascii="Palatino Linotype" w:hAnsi="Palatino Linotype"/>
          <w:i/>
          <w:lang w:val="es-MX"/>
        </w:rPr>
      </w:pPr>
      <w:r>
        <w:rPr>
          <w:rFonts w:ascii="Palatino Linotype" w:hAnsi="Palatino Linotype"/>
          <w:i/>
        </w:rPr>
        <w:t>…</w:t>
      </w:r>
    </w:p>
  </w:footnote>
  <w:footnote w:id="2">
    <w:p w:rsidR="009E7B8E" w:rsidRPr="0005476D" w:rsidRDefault="009E7B8E" w:rsidP="008A5D99">
      <w:pPr>
        <w:pStyle w:val="Textonotapie"/>
        <w:jc w:val="both"/>
        <w:rPr>
          <w:rFonts w:ascii="Palatino Linotype" w:hAnsi="Palatino Linotype"/>
          <w:i/>
          <w:sz w:val="18"/>
          <w:lang w:val="es-MX"/>
        </w:rPr>
      </w:pPr>
      <w:r>
        <w:rPr>
          <w:rStyle w:val="Refdenotaalpie"/>
        </w:rPr>
        <w:footnoteRef/>
      </w:r>
      <w:r>
        <w:t xml:space="preserve"> </w:t>
      </w:r>
      <w:r w:rsidRPr="0005476D">
        <w:rPr>
          <w:rFonts w:ascii="Palatino Linotype" w:hAnsi="Palatino Linotype"/>
          <w:b/>
          <w:i/>
          <w:sz w:val="18"/>
          <w:lang w:val="es-MX"/>
        </w:rPr>
        <w:t>Artículo 18.</w:t>
      </w:r>
      <w:r w:rsidRPr="0005476D">
        <w:rPr>
          <w:rFonts w:ascii="Palatino Linotype" w:hAnsi="Palatino Linotype"/>
          <w:i/>
          <w:sz w:val="18"/>
          <w:lang w:val="es-MX"/>
        </w:rPr>
        <w:t xml:space="preserve"> Los sujetos obligados deberán documentar todo acto que derive del ejercicio de sus facultades, competencias o funciones, considerando desde su origen la eventual publicidad y reutilización de la información que generen. </w:t>
      </w:r>
    </w:p>
    <w:p w:rsidR="009E7B8E" w:rsidRPr="0005476D" w:rsidRDefault="009E7B8E" w:rsidP="008A5D99">
      <w:pPr>
        <w:pStyle w:val="Textonotapie"/>
        <w:jc w:val="both"/>
        <w:rPr>
          <w:rFonts w:ascii="Palatino Linotype" w:hAnsi="Palatino Linotype"/>
          <w:i/>
          <w:sz w:val="18"/>
          <w:lang w:val="es-MX"/>
        </w:rPr>
      </w:pPr>
    </w:p>
    <w:p w:rsidR="009E7B8E" w:rsidRPr="00EF7063" w:rsidRDefault="009E7B8E" w:rsidP="008A5D99">
      <w:pPr>
        <w:pStyle w:val="Textonotapie"/>
        <w:jc w:val="both"/>
        <w:rPr>
          <w:lang w:val="es-MX"/>
        </w:rPr>
      </w:pPr>
      <w:r w:rsidRPr="0005476D">
        <w:rPr>
          <w:rFonts w:ascii="Palatino Linotype" w:hAnsi="Palatino Linotype"/>
          <w:b/>
          <w:i/>
          <w:sz w:val="18"/>
          <w:lang w:val="es-MX"/>
        </w:rPr>
        <w:t>Artículo 19.</w:t>
      </w:r>
      <w:r w:rsidRPr="0005476D">
        <w:rPr>
          <w:rFonts w:ascii="Palatino Linotype" w:hAnsi="Palatino Linotype"/>
          <w:i/>
          <w:sz w:val="18"/>
          <w:lang w:val="es-MX"/>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 w:id="3">
    <w:p w:rsidR="009E7B8E" w:rsidRDefault="009E7B8E" w:rsidP="008A5D99">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rsidR="009E7B8E" w:rsidRDefault="009E7B8E" w:rsidP="008A5D99">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rsidR="009E7B8E" w:rsidRPr="005E797B" w:rsidRDefault="009E7B8E" w:rsidP="008A5D99">
      <w:pPr>
        <w:jc w:val="both"/>
        <w:rPr>
          <w:rFonts w:ascii="Palatino Linotype" w:eastAsia="Times New Roman" w:hAnsi="Palatino Linotype" w:cs="Times New Roman"/>
          <w:i/>
          <w:color w:val="000000" w:themeColor="text1"/>
          <w:sz w:val="18"/>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5E797B">
        <w:rPr>
          <w:rFonts w:ascii="Palatino Linotype" w:hAnsi="Palatino Linotype"/>
          <w:i/>
          <w:color w:val="000000" w:themeColor="text1"/>
          <w:sz w:val="18"/>
          <w:szCs w:val="16"/>
          <w:lang w:val="es-ES"/>
        </w:rPr>
        <w:t>“</w:t>
      </w:r>
      <w:r w:rsidRPr="005E797B">
        <w:rPr>
          <w:rFonts w:ascii="Palatino Linotype" w:eastAsia="Times New Roman" w:hAnsi="Palatino Linotype" w:cs="Arial"/>
          <w:i/>
          <w:color w:val="000000" w:themeColor="text1"/>
          <w:sz w:val="18"/>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rsidR="009E7B8E" w:rsidRPr="00D75A73" w:rsidRDefault="009E7B8E" w:rsidP="008A5D99">
      <w:pPr>
        <w:pStyle w:val="Textonotapie"/>
        <w:jc w:val="both"/>
        <w:rPr>
          <w:rFonts w:ascii="Palatino Linotype" w:hAnsi="Palatino Linotype"/>
          <w:color w:val="000000" w:themeColor="text1"/>
          <w:sz w:val="16"/>
          <w:szCs w:val="16"/>
        </w:rPr>
      </w:pPr>
      <w:r w:rsidRPr="005E797B">
        <w:rPr>
          <w:rStyle w:val="Refdenotaalpie"/>
          <w:rFonts w:ascii="Palatino Linotype" w:hAnsi="Palatino Linotype"/>
          <w:i/>
          <w:color w:val="000000" w:themeColor="text1"/>
          <w:sz w:val="18"/>
          <w:szCs w:val="16"/>
        </w:rPr>
        <w:footnoteRef/>
      </w:r>
      <w:r w:rsidRPr="005E797B">
        <w:rPr>
          <w:rFonts w:ascii="Palatino Linotype" w:hAnsi="Palatino Linotype"/>
          <w:i/>
          <w:color w:val="000000" w:themeColor="text1"/>
          <w:sz w:val="18"/>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7">
    <w:p w:rsidR="00F24A91" w:rsidRDefault="00F24A91" w:rsidP="00F24A9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Visible en: </w:t>
      </w:r>
      <w:hyperlink r:id="rId1">
        <w:r>
          <w:rPr>
            <w:i/>
            <w:color w:val="0563C1"/>
            <w:sz w:val="20"/>
            <w:szCs w:val="20"/>
            <w:u w:val="single"/>
          </w:rPr>
          <w:t>http://sjf.scjn.gob.mx/SJFSist/Documentos/Tesis/170/170722.pdf</w:t>
        </w:r>
      </w:hyperlink>
      <w:r>
        <w:rPr>
          <w:color w:val="000000"/>
          <w:sz w:val="20"/>
          <w:szCs w:val="20"/>
        </w:rPr>
        <w:t>. Consultado en fecha 18 de marzo de 2019.</w:t>
      </w:r>
    </w:p>
  </w:footnote>
  <w:footnote w:id="8">
    <w:p w:rsidR="00F24A91" w:rsidRDefault="00F24A91" w:rsidP="00F24A9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 respecto la fracd6n XII del artículo 3 de la ley General de Transparencia y Acceso a la Información Pública, define a la información de Interés público como:</w:t>
      </w:r>
    </w:p>
    <w:p w:rsidR="00F24A91" w:rsidRDefault="00F24A91" w:rsidP="00F24A91">
      <w:pPr>
        <w:pBdr>
          <w:top w:val="nil"/>
          <w:left w:val="nil"/>
          <w:bottom w:val="nil"/>
          <w:right w:val="nil"/>
          <w:between w:val="nil"/>
        </w:pBdr>
        <w:rPr>
          <w:color w:val="000000"/>
          <w:sz w:val="20"/>
          <w:szCs w:val="20"/>
        </w:rPr>
      </w:pPr>
    </w:p>
    <w:p w:rsidR="00F24A91" w:rsidRDefault="00F24A91" w:rsidP="00F24A91">
      <w:pPr>
        <w:pBdr>
          <w:top w:val="nil"/>
          <w:left w:val="nil"/>
          <w:bottom w:val="nil"/>
          <w:right w:val="nil"/>
          <w:between w:val="nil"/>
        </w:pBdr>
        <w:rPr>
          <w:color w:val="000000"/>
          <w:sz w:val="20"/>
          <w:szCs w:val="20"/>
        </w:rPr>
      </w:pPr>
      <w:r>
        <w:rPr>
          <w:color w:val="000000"/>
          <w:sz w:val="20"/>
          <w:szCs w:val="20"/>
        </w:rPr>
        <w:t>Artículo 3. Para los efectos de la presente Ley se entenderá por:</w:t>
      </w:r>
    </w:p>
    <w:p w:rsidR="00F24A91" w:rsidRDefault="00F24A91" w:rsidP="00F24A91">
      <w:pPr>
        <w:pBdr>
          <w:top w:val="nil"/>
          <w:left w:val="nil"/>
          <w:bottom w:val="nil"/>
          <w:right w:val="nil"/>
          <w:between w:val="nil"/>
        </w:pBdr>
        <w:rPr>
          <w:color w:val="000000"/>
          <w:sz w:val="20"/>
          <w:szCs w:val="20"/>
        </w:rPr>
      </w:pPr>
      <w:r>
        <w:rPr>
          <w:color w:val="000000"/>
          <w:sz w:val="20"/>
          <w:szCs w:val="20"/>
        </w:rPr>
        <w:t>…</w:t>
      </w:r>
    </w:p>
    <w:p w:rsidR="00F24A91" w:rsidRDefault="00F24A91" w:rsidP="00F24A91">
      <w:pPr>
        <w:pBdr>
          <w:top w:val="nil"/>
          <w:left w:val="nil"/>
          <w:bottom w:val="nil"/>
          <w:right w:val="nil"/>
          <w:between w:val="nil"/>
        </w:pBdr>
        <w:rPr>
          <w:color w:val="000000"/>
          <w:sz w:val="20"/>
          <w:szCs w:val="20"/>
        </w:rPr>
      </w:pPr>
      <w:r>
        <w:rPr>
          <w:b/>
          <w:color w:val="000000"/>
          <w:sz w:val="20"/>
          <w:szCs w:val="20"/>
        </w:rPr>
        <w:t>XII. Información de interés público: Se refiere a la información que resulta relevante o beneficiosa para la sociedad y no simplemente de interés individual</w:t>
      </w:r>
      <w:r>
        <w:rPr>
          <w:color w:val="000000"/>
          <w:sz w:val="20"/>
          <w:szCs w:val="20"/>
        </w:rPr>
        <w:t>, cuya divulgación resulta útil para que el público comprenda las actividades que llevan a cabo los sujetos obligados;</w:t>
      </w:r>
    </w:p>
    <w:p w:rsidR="00F24A91" w:rsidRDefault="00F24A91" w:rsidP="00F24A91">
      <w:pPr>
        <w:pBdr>
          <w:top w:val="nil"/>
          <w:left w:val="nil"/>
          <w:bottom w:val="nil"/>
          <w:right w:val="nil"/>
          <w:between w:val="nil"/>
        </w:pBdr>
        <w:rPr>
          <w:color w:val="000000"/>
          <w:sz w:val="20"/>
          <w:szCs w:val="20"/>
        </w:rPr>
      </w:pPr>
      <w:r>
        <w:rPr>
          <w:color w:val="000000"/>
          <w:sz w:val="20"/>
          <w:szCs w:val="20"/>
        </w:rPr>
        <w:t>…</w:t>
      </w:r>
    </w:p>
    <w:p w:rsidR="00F24A91" w:rsidRDefault="00F24A91" w:rsidP="00F24A91">
      <w:pPr>
        <w:pBdr>
          <w:top w:val="nil"/>
          <w:left w:val="nil"/>
          <w:bottom w:val="nil"/>
          <w:right w:val="nil"/>
          <w:between w:val="nil"/>
        </w:pBdr>
        <w:jc w:val="both"/>
        <w:rPr>
          <w:color w:val="000000"/>
          <w:sz w:val="20"/>
          <w:szCs w:val="20"/>
        </w:rPr>
      </w:pPr>
    </w:p>
  </w:footnote>
  <w:footnote w:id="9">
    <w:p w:rsidR="00F24A91" w:rsidRDefault="00F24A91" w:rsidP="00F24A9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Michelle Zezza. LA RACIONALIDAD DE LA PONDERACIÓN JUDICIAL: ANÁLISIS DE LAS TEORÍAS DE ROBERT ALEXY Y RICCARDO GUASTINI” Universidad Carlos III de Madrid. 2006. Visible en: </w:t>
      </w:r>
      <w:hyperlink r:id="rId2">
        <w:r>
          <w:rPr>
            <w:color w:val="0563C1"/>
            <w:sz w:val="20"/>
            <w:szCs w:val="20"/>
            <w:u w:val="single"/>
          </w:rPr>
          <w:t>https://e-archivo.uc3m.es/bitstream/handle/10016/26545/WF-18-03.pdf</w:t>
        </w:r>
      </w:hyperlink>
      <w:r>
        <w:rPr>
          <w:color w:val="000000"/>
          <w:sz w:val="20"/>
          <w:szCs w:val="20"/>
        </w:rPr>
        <w:t>.</w:t>
      </w:r>
    </w:p>
    <w:p w:rsidR="00F24A91" w:rsidRDefault="00F24A91" w:rsidP="00F24A91">
      <w:pPr>
        <w:pBdr>
          <w:top w:val="nil"/>
          <w:left w:val="nil"/>
          <w:bottom w:val="nil"/>
          <w:right w:val="nil"/>
          <w:between w:val="nil"/>
        </w:pBdr>
        <w:jc w:val="both"/>
        <w:rPr>
          <w:color w:val="000000"/>
          <w:sz w:val="20"/>
          <w:szCs w:val="20"/>
        </w:rPr>
      </w:pPr>
    </w:p>
    <w:p w:rsidR="00F24A91" w:rsidRDefault="00F24A91" w:rsidP="00F24A91">
      <w:pPr>
        <w:pBdr>
          <w:top w:val="nil"/>
          <w:left w:val="nil"/>
          <w:bottom w:val="nil"/>
          <w:right w:val="nil"/>
          <w:between w:val="nil"/>
        </w:pBdr>
        <w:jc w:val="both"/>
        <w:rPr>
          <w:color w:val="000000"/>
          <w:sz w:val="20"/>
          <w:szCs w:val="20"/>
        </w:rPr>
      </w:pPr>
    </w:p>
  </w:footnote>
  <w:footnote w:id="10">
    <w:p w:rsidR="00F24A91" w:rsidRDefault="00F24A91" w:rsidP="00F24A91">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w:t>
      </w:r>
      <w:r>
        <w:rPr>
          <w:rFonts w:ascii="Palatino Linotype" w:eastAsia="Palatino Linotype" w:hAnsi="Palatino Linotype" w:cs="Palatino Linotype"/>
          <w:color w:val="000000"/>
          <w:sz w:val="16"/>
          <w:szCs w:val="16"/>
        </w:rPr>
        <w:t>entencia de fecha 19 de septiembre de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E7B8E" w:rsidTr="008A5D99">
      <w:trPr>
        <w:trHeight w:val="227"/>
      </w:trPr>
      <w:tc>
        <w:tcPr>
          <w:tcW w:w="5246" w:type="dxa"/>
          <w:hideMark/>
        </w:tcPr>
        <w:p w:rsidR="009E7B8E" w:rsidRPr="00641471" w:rsidRDefault="009E7B8E" w:rsidP="008A5D9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9E7B8E" w:rsidRPr="00641471" w:rsidRDefault="009E7B8E" w:rsidP="008A5D99">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12405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9E7B8E" w:rsidTr="008A5D99">
      <w:trPr>
        <w:trHeight w:val="242"/>
      </w:trPr>
      <w:tc>
        <w:tcPr>
          <w:tcW w:w="5246" w:type="dxa"/>
          <w:hideMark/>
        </w:tcPr>
        <w:p w:rsidR="009E7B8E" w:rsidRPr="00641471" w:rsidRDefault="009E7B8E" w:rsidP="008A5D9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9E7B8E" w:rsidRPr="00641471" w:rsidRDefault="009E7B8E" w:rsidP="008A5D99">
          <w:pPr>
            <w:spacing w:after="120" w:line="256" w:lineRule="auto"/>
            <w:ind w:left="-486" w:right="214" w:firstLine="284"/>
            <w:jc w:val="right"/>
            <w:rPr>
              <w:rFonts w:ascii="Palatino Linotype" w:hAnsi="Palatino Linotype" w:cs="Arial"/>
              <w:b/>
              <w:szCs w:val="20"/>
            </w:rPr>
          </w:pPr>
          <w:r w:rsidRPr="008A5D99">
            <w:rPr>
              <w:rFonts w:ascii="Palatino Linotype" w:hAnsi="Palatino Linotype" w:cs="Arial"/>
              <w:b/>
              <w:szCs w:val="20"/>
            </w:rPr>
            <w:t>Ayuntamiento de Teoloyucan</w:t>
          </w:r>
        </w:p>
      </w:tc>
    </w:tr>
    <w:tr w:rsidR="009E7B8E" w:rsidTr="008A5D99">
      <w:trPr>
        <w:trHeight w:val="342"/>
      </w:trPr>
      <w:tc>
        <w:tcPr>
          <w:tcW w:w="5246" w:type="dxa"/>
          <w:hideMark/>
        </w:tcPr>
        <w:p w:rsidR="009E7B8E" w:rsidRPr="00641471" w:rsidRDefault="009E7B8E" w:rsidP="008A5D99">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9E7B8E" w:rsidRPr="00641471" w:rsidRDefault="009E7B8E" w:rsidP="008A5D99">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9E7B8E" w:rsidRPr="00AE046A" w:rsidRDefault="009E7B8E" w:rsidP="008A5D99">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BBCFF4E" wp14:editId="5C9B1DBD">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9E7B8E" w:rsidTr="008A5D99">
      <w:trPr>
        <w:trHeight w:val="227"/>
      </w:trPr>
      <w:tc>
        <w:tcPr>
          <w:tcW w:w="5104" w:type="dxa"/>
          <w:hideMark/>
        </w:tcPr>
        <w:p w:rsidR="009E7B8E" w:rsidRPr="00641471" w:rsidRDefault="009E7B8E" w:rsidP="008A5D99">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9E7B8E" w:rsidRPr="00641471" w:rsidRDefault="009E7B8E" w:rsidP="008A5D99">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12405/INFOEM/IP/RR/2022</w:t>
          </w:r>
        </w:p>
      </w:tc>
    </w:tr>
    <w:tr w:rsidR="009E7B8E" w:rsidTr="008A5D99">
      <w:trPr>
        <w:trHeight w:val="242"/>
      </w:trPr>
      <w:tc>
        <w:tcPr>
          <w:tcW w:w="5104" w:type="dxa"/>
          <w:hideMark/>
        </w:tcPr>
        <w:p w:rsidR="009E7B8E" w:rsidRPr="00641471" w:rsidRDefault="009E7B8E" w:rsidP="008A5D9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9E7B8E" w:rsidRPr="00641471" w:rsidRDefault="009E7B8E" w:rsidP="008A5D99">
          <w:pPr>
            <w:spacing w:after="120" w:line="256" w:lineRule="auto"/>
            <w:ind w:left="-486" w:right="214" w:firstLine="284"/>
            <w:jc w:val="right"/>
            <w:rPr>
              <w:rFonts w:ascii="Palatino Linotype" w:hAnsi="Palatino Linotype" w:cs="Arial"/>
              <w:b/>
              <w:szCs w:val="20"/>
            </w:rPr>
          </w:pPr>
          <w:r w:rsidRPr="008A5D99">
            <w:rPr>
              <w:rFonts w:ascii="Palatino Linotype" w:hAnsi="Palatino Linotype" w:cs="Arial"/>
              <w:b/>
              <w:szCs w:val="20"/>
            </w:rPr>
            <w:t>Ayuntamiento de Teoloyucan</w:t>
          </w:r>
        </w:p>
      </w:tc>
    </w:tr>
    <w:tr w:rsidR="009E7B8E" w:rsidTr="008A5D99">
      <w:trPr>
        <w:trHeight w:val="342"/>
      </w:trPr>
      <w:tc>
        <w:tcPr>
          <w:tcW w:w="5104" w:type="dxa"/>
        </w:tcPr>
        <w:p w:rsidR="009E7B8E" w:rsidRPr="00641471" w:rsidRDefault="009E7B8E" w:rsidP="008A5D9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9E7B8E" w:rsidRPr="00641471" w:rsidRDefault="00E37AC8" w:rsidP="008A5D99">
          <w:pPr>
            <w:spacing w:after="120" w:line="256" w:lineRule="auto"/>
            <w:ind w:left="-486" w:right="214" w:firstLine="567"/>
            <w:jc w:val="right"/>
            <w:rPr>
              <w:rFonts w:ascii="Palatino Linotype" w:hAnsi="Palatino Linotype" w:cs="Arial"/>
              <w:b/>
            </w:rPr>
          </w:pPr>
          <w:r>
            <w:rPr>
              <w:rFonts w:ascii="Palatino Linotype" w:hAnsi="Palatino Linotype" w:cs="Arial"/>
              <w:b/>
            </w:rPr>
            <w:t>xxxx</w:t>
          </w:r>
        </w:p>
      </w:tc>
    </w:tr>
    <w:tr w:rsidR="009E7B8E" w:rsidTr="008A5D99">
      <w:trPr>
        <w:trHeight w:val="342"/>
      </w:trPr>
      <w:tc>
        <w:tcPr>
          <w:tcW w:w="5104" w:type="dxa"/>
        </w:tcPr>
        <w:p w:rsidR="009E7B8E" w:rsidRPr="00641471" w:rsidRDefault="009E7B8E" w:rsidP="008A5D99">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9E7B8E" w:rsidRPr="00641471" w:rsidRDefault="009E7B8E" w:rsidP="008A5D99">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9E7B8E" w:rsidRPr="00C222C0" w:rsidRDefault="009E7B8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0C3A9" wp14:editId="74EF08BA">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63C"/>
    <w:multiLevelType w:val="hybridMultilevel"/>
    <w:tmpl w:val="BAC48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42B43"/>
    <w:multiLevelType w:val="hybridMultilevel"/>
    <w:tmpl w:val="C314800C"/>
    <w:lvl w:ilvl="0" w:tplc="C0C243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2A3B18"/>
    <w:multiLevelType w:val="hybridMultilevel"/>
    <w:tmpl w:val="C314800C"/>
    <w:lvl w:ilvl="0" w:tplc="C0C243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CE2116"/>
    <w:multiLevelType w:val="hybridMultilevel"/>
    <w:tmpl w:val="DEA60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E01FF"/>
    <w:multiLevelType w:val="multilevel"/>
    <w:tmpl w:val="7C461C0C"/>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1C3A0345"/>
    <w:multiLevelType w:val="hybridMultilevel"/>
    <w:tmpl w:val="53E85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6A16C0"/>
    <w:multiLevelType w:val="multilevel"/>
    <w:tmpl w:val="002E52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135DE5"/>
    <w:multiLevelType w:val="multilevel"/>
    <w:tmpl w:val="B9B27172"/>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58209B"/>
    <w:multiLevelType w:val="hybridMultilevel"/>
    <w:tmpl w:val="381C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4687D"/>
    <w:multiLevelType w:val="hybridMultilevel"/>
    <w:tmpl w:val="A224A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7C75F9"/>
    <w:multiLevelType w:val="hybridMultilevel"/>
    <w:tmpl w:val="C314800C"/>
    <w:lvl w:ilvl="0" w:tplc="C0C243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A61D50"/>
    <w:multiLevelType w:val="hybridMultilevel"/>
    <w:tmpl w:val="91D4F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2972A1"/>
    <w:multiLevelType w:val="hybridMultilevel"/>
    <w:tmpl w:val="A224A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CE1104"/>
    <w:multiLevelType w:val="multilevel"/>
    <w:tmpl w:val="E58E2986"/>
    <w:lvl w:ilvl="0">
      <w:start w:val="1"/>
      <w:numFmt w:val="low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64F02758"/>
    <w:multiLevelType w:val="hybridMultilevel"/>
    <w:tmpl w:val="7AB85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AD2DEE"/>
    <w:multiLevelType w:val="hybridMultilevel"/>
    <w:tmpl w:val="FE5A8AE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7EB398F"/>
    <w:multiLevelType w:val="hybridMultilevel"/>
    <w:tmpl w:val="B4FCCE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3"/>
  </w:num>
  <w:num w:numId="4">
    <w:abstractNumId w:val="2"/>
  </w:num>
  <w:num w:numId="5">
    <w:abstractNumId w:val="0"/>
  </w:num>
  <w:num w:numId="6">
    <w:abstractNumId w:val="19"/>
  </w:num>
  <w:num w:numId="7">
    <w:abstractNumId w:val="18"/>
  </w:num>
  <w:num w:numId="8">
    <w:abstractNumId w:val="8"/>
  </w:num>
  <w:num w:numId="9">
    <w:abstractNumId w:val="12"/>
  </w:num>
  <w:num w:numId="10">
    <w:abstractNumId w:val="5"/>
  </w:num>
  <w:num w:numId="11">
    <w:abstractNumId w:val="16"/>
  </w:num>
  <w:num w:numId="12">
    <w:abstractNumId w:val="11"/>
  </w:num>
  <w:num w:numId="13">
    <w:abstractNumId w:val="1"/>
  </w:num>
  <w:num w:numId="14">
    <w:abstractNumId w:val="10"/>
  </w:num>
  <w:num w:numId="15">
    <w:abstractNumId w:val="3"/>
  </w:num>
  <w:num w:numId="16">
    <w:abstractNumId w:val="14"/>
  </w:num>
  <w:num w:numId="17">
    <w:abstractNumId w:val="4"/>
  </w:num>
  <w:num w:numId="18">
    <w:abstractNumId w:val="7"/>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D99"/>
    <w:rsid w:val="00084DE8"/>
    <w:rsid w:val="00175DD9"/>
    <w:rsid w:val="002904E4"/>
    <w:rsid w:val="002D5F1E"/>
    <w:rsid w:val="002F6FD0"/>
    <w:rsid w:val="00334773"/>
    <w:rsid w:val="00376284"/>
    <w:rsid w:val="00445D4A"/>
    <w:rsid w:val="00456E32"/>
    <w:rsid w:val="004B1AFD"/>
    <w:rsid w:val="005A378E"/>
    <w:rsid w:val="005E797B"/>
    <w:rsid w:val="00604E3B"/>
    <w:rsid w:val="00617D1B"/>
    <w:rsid w:val="00723B00"/>
    <w:rsid w:val="007E2BAA"/>
    <w:rsid w:val="00823DD3"/>
    <w:rsid w:val="00830B55"/>
    <w:rsid w:val="00842653"/>
    <w:rsid w:val="00873CD5"/>
    <w:rsid w:val="00880F12"/>
    <w:rsid w:val="008A5D99"/>
    <w:rsid w:val="008A5E44"/>
    <w:rsid w:val="00962D2F"/>
    <w:rsid w:val="009D3512"/>
    <w:rsid w:val="009E7B8E"/>
    <w:rsid w:val="00A11316"/>
    <w:rsid w:val="00C467F2"/>
    <w:rsid w:val="00C91B4E"/>
    <w:rsid w:val="00CC3A7B"/>
    <w:rsid w:val="00D34693"/>
    <w:rsid w:val="00DA4A0F"/>
    <w:rsid w:val="00E37AC8"/>
    <w:rsid w:val="00E5062C"/>
    <w:rsid w:val="00E833BD"/>
    <w:rsid w:val="00E87C3A"/>
    <w:rsid w:val="00EB6052"/>
    <w:rsid w:val="00ED078F"/>
    <w:rsid w:val="00ED6858"/>
    <w:rsid w:val="00F24A91"/>
    <w:rsid w:val="00F458DF"/>
    <w:rsid w:val="00FC28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8F0747E-F658-4392-B87C-3236BE13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D9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A5D9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A5D9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A5D9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A5D9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5D99"/>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A5D9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5D9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A5D99"/>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8A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5D99"/>
    <w:rPr>
      <w:color w:val="0563C1" w:themeColor="hyperlink"/>
      <w:u w:val="single"/>
    </w:rPr>
  </w:style>
  <w:style w:type="paragraph" w:customStyle="1" w:styleId="Citas">
    <w:name w:val="Citas"/>
    <w:basedOn w:val="Normal"/>
    <w:qFormat/>
    <w:rsid w:val="008A5D99"/>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03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archivo.uc3m.es/bitstream/handle/10016/26545/WF-18-03.pdf" TargetMode="External"/><Relationship Id="rId1" Type="http://schemas.openxmlformats.org/officeDocument/2006/relationships/hyperlink" Target="http://sjf.scjn.gob.mx/SJFSist/Documentos/Tesis/170/1707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56</Pages>
  <Words>14298</Words>
  <Characters>78643</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USUARIO</cp:lastModifiedBy>
  <cp:revision>22</cp:revision>
  <dcterms:created xsi:type="dcterms:W3CDTF">2022-11-07T19:26:00Z</dcterms:created>
  <dcterms:modified xsi:type="dcterms:W3CDTF">2022-12-14T20:33:00Z</dcterms:modified>
</cp:coreProperties>
</file>