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39F5566E" w:rsidR="00536C04" w:rsidRPr="006F0A66" w:rsidRDefault="00536C04" w:rsidP="00536C04">
      <w:pPr>
        <w:spacing w:line="360" w:lineRule="auto"/>
        <w:jc w:val="both"/>
        <w:rPr>
          <w:rFonts w:ascii="Palatino Linotype" w:hAnsi="Palatino Linotype"/>
        </w:rPr>
      </w:pPr>
      <w:r w:rsidRPr="006F0A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16979">
        <w:rPr>
          <w:rFonts w:ascii="Palatino Linotype" w:hAnsi="Palatino Linotype"/>
        </w:rPr>
        <w:t xml:space="preserve">celebrada el </w:t>
      </w:r>
      <w:r w:rsidR="00076AA1">
        <w:rPr>
          <w:rFonts w:ascii="Palatino Linotype" w:hAnsi="Palatino Linotype"/>
          <w:lang w:val="es-419"/>
        </w:rPr>
        <w:t>nueve</w:t>
      </w:r>
      <w:r w:rsidR="00516979">
        <w:rPr>
          <w:rFonts w:ascii="Palatino Linotype" w:hAnsi="Palatino Linotype"/>
        </w:rPr>
        <w:t xml:space="preserve"> de noviembre</w:t>
      </w:r>
      <w:r w:rsidR="001E5515">
        <w:rPr>
          <w:rFonts w:ascii="Palatino Linotype" w:hAnsi="Palatino Linotype"/>
        </w:rPr>
        <w:t xml:space="preserve"> d</w:t>
      </w:r>
      <w:r w:rsidRPr="006F0A66">
        <w:rPr>
          <w:rFonts w:ascii="Palatino Linotype" w:hAnsi="Palatino Linotype"/>
        </w:rPr>
        <w:t>e dos mil veintidós.</w:t>
      </w:r>
    </w:p>
    <w:p w14:paraId="4BB42F7D" w14:textId="77777777" w:rsidR="00536C04" w:rsidRPr="006F0A66" w:rsidRDefault="00536C04" w:rsidP="00536C04">
      <w:pPr>
        <w:spacing w:line="360" w:lineRule="auto"/>
        <w:jc w:val="both"/>
        <w:rPr>
          <w:rFonts w:ascii="Palatino Linotype" w:hAnsi="Palatino Linotype"/>
        </w:rPr>
      </w:pPr>
    </w:p>
    <w:p w14:paraId="5A8EB4C3" w14:textId="792CD079" w:rsidR="00536C04" w:rsidRPr="006F0A66" w:rsidRDefault="00536C04" w:rsidP="001E5515">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1E5515" w:rsidRPr="001E5515">
        <w:rPr>
          <w:rFonts w:ascii="Palatino Linotype" w:hAnsi="Palatino Linotype"/>
          <w:b/>
        </w:rPr>
        <w:t>15287/INFOEM/IP/RR/2022</w:t>
      </w:r>
      <w:r w:rsidR="001E5515">
        <w:rPr>
          <w:rFonts w:ascii="Palatino Linotype" w:hAnsi="Palatino Linotype"/>
          <w:b/>
        </w:rPr>
        <w:t xml:space="preserve">, </w:t>
      </w:r>
      <w:r w:rsidR="001E5515" w:rsidRPr="001E5515">
        <w:rPr>
          <w:rFonts w:ascii="Palatino Linotype" w:hAnsi="Palatino Linotype"/>
          <w:b/>
        </w:rPr>
        <w:t>15328/INFOEM/IP/RR/2022</w:t>
      </w:r>
      <w:r w:rsidR="001E5515">
        <w:rPr>
          <w:rFonts w:ascii="Palatino Linotype" w:hAnsi="Palatino Linotype"/>
          <w:b/>
        </w:rPr>
        <w:t xml:space="preserve"> </w:t>
      </w:r>
      <w:r w:rsidR="001E5515" w:rsidRPr="001E5515">
        <w:rPr>
          <w:rFonts w:ascii="Palatino Linotype" w:hAnsi="Palatino Linotype"/>
        </w:rPr>
        <w:t>y</w:t>
      </w:r>
      <w:r w:rsidR="001E5515" w:rsidRPr="001E5515">
        <w:rPr>
          <w:rFonts w:ascii="Palatino Linotype" w:hAnsi="Palatino Linotype"/>
          <w:b/>
        </w:rPr>
        <w:t xml:space="preserve"> 15360/INFOEM/IP/RR/2022</w:t>
      </w:r>
      <w:r w:rsidR="00675D67">
        <w:rPr>
          <w:rFonts w:ascii="Palatino Linotype" w:hAnsi="Palatino Linotype"/>
          <w:b/>
        </w:rPr>
        <w:t>,</w:t>
      </w:r>
      <w:r w:rsidRPr="006F0A66">
        <w:rPr>
          <w:rFonts w:ascii="Palatino Linotype" w:hAnsi="Palatino Linotype"/>
          <w:b/>
        </w:rPr>
        <w:t xml:space="preserve"> </w:t>
      </w:r>
      <w:r w:rsidRPr="006F0A66">
        <w:rPr>
          <w:rFonts w:ascii="Palatino Linotype" w:hAnsi="Palatino Linotype"/>
        </w:rPr>
        <w:t>promovido</w:t>
      </w:r>
      <w:r w:rsidR="00234374">
        <w:rPr>
          <w:rFonts w:ascii="Palatino Linotype" w:hAnsi="Palatino Linotype"/>
        </w:rPr>
        <w:t>s por</w:t>
      </w:r>
      <w:r w:rsidR="00675D67">
        <w:rPr>
          <w:rFonts w:ascii="Palatino Linotype" w:hAnsi="Palatino Linotype"/>
        </w:rPr>
        <w:t xml:space="preserve"> </w:t>
      </w:r>
      <w:r w:rsidR="001E5515">
        <w:rPr>
          <w:rFonts w:ascii="Palatino Linotype" w:hAnsi="Palatino Linotype"/>
          <w:b/>
        </w:rPr>
        <w:t>una persona de manera anónima</w:t>
      </w:r>
      <w:r w:rsidR="00E44BB1" w:rsidRPr="006F0A66">
        <w:rPr>
          <w:rFonts w:ascii="Palatino Linotype" w:hAnsi="Palatino Linotype"/>
          <w:lang w:val="es-ES"/>
        </w:rPr>
        <w:t xml:space="preserve">, </w:t>
      </w:r>
      <w:r w:rsidR="00675D67">
        <w:rPr>
          <w:rFonts w:ascii="Palatino Linotype" w:hAnsi="Palatino Linotype"/>
          <w:lang w:val="es-ES"/>
        </w:rPr>
        <w:t xml:space="preserve">a quien </w:t>
      </w:r>
      <w:r w:rsidRPr="006F0A66">
        <w:rPr>
          <w:rFonts w:ascii="Palatino Linotype" w:hAnsi="Palatino Linotype" w:cs="Arial"/>
        </w:rPr>
        <w:t xml:space="preserve">en lo sucesivo se denominará </w:t>
      </w:r>
      <w:r w:rsidR="007A3DB8">
        <w:rPr>
          <w:rFonts w:ascii="Palatino Linotype" w:hAnsi="Palatino Linotype" w:cs="Arial"/>
          <w:b/>
        </w:rPr>
        <w:t xml:space="preserve">LA </w:t>
      </w:r>
      <w:r w:rsidRPr="006F0A66">
        <w:rPr>
          <w:rFonts w:ascii="Palatino Linotype" w:hAnsi="Palatino Linotype" w:cs="Arial"/>
          <w:b/>
        </w:rPr>
        <w:t>RECURRENTE,</w:t>
      </w:r>
      <w:r w:rsidRPr="006F0A66">
        <w:rPr>
          <w:rFonts w:ascii="Palatino Linotype" w:hAnsi="Palatino Linotype"/>
        </w:rPr>
        <w:t xml:space="preserve"> en contra de </w:t>
      </w:r>
      <w:r w:rsidR="00250720">
        <w:rPr>
          <w:rFonts w:ascii="Palatino Linotype" w:hAnsi="Palatino Linotype" w:cs="Arial"/>
          <w:color w:val="000000" w:themeColor="text1"/>
          <w:lang w:val="es-ES"/>
        </w:rPr>
        <w:t>la falta de respuesta</w:t>
      </w:r>
      <w:r w:rsidRPr="006F0A66">
        <w:rPr>
          <w:rFonts w:ascii="Palatino Linotype" w:hAnsi="Palatino Linotype" w:cs="Arial"/>
          <w:color w:val="000000" w:themeColor="text1"/>
          <w:lang w:val="es-ES"/>
        </w:rPr>
        <w:t xml:space="preserve"> del </w:t>
      </w:r>
      <w:r w:rsidR="001E5515" w:rsidRPr="001E5515">
        <w:rPr>
          <w:rFonts w:ascii="Palatino Linotype" w:hAnsi="Palatino Linotype"/>
          <w:b/>
        </w:rPr>
        <w:t>Ayuntamiento de Zinacantepec</w:t>
      </w:r>
      <w:r w:rsidRPr="006F0A66">
        <w:rPr>
          <w:rFonts w:ascii="Palatino Linotype" w:hAnsi="Palatino Linotype"/>
          <w:b/>
        </w:rPr>
        <w:t xml:space="preserve">, </w:t>
      </w:r>
      <w:r w:rsidR="004052A3">
        <w:rPr>
          <w:rFonts w:ascii="Palatino Linotype" w:hAnsi="Palatino Linotype"/>
        </w:rPr>
        <w:t>que</w:t>
      </w:r>
      <w:r w:rsidR="00BD57ED">
        <w:rPr>
          <w:rFonts w:ascii="Palatino Linotype" w:hAnsi="Palatino Linotype"/>
          <w:b/>
          <w:lang w:val="es-419"/>
        </w:rPr>
        <w:t xml:space="preserve"> </w:t>
      </w:r>
      <w:r w:rsidRPr="006F0A66">
        <w:rPr>
          <w:rFonts w:ascii="Palatino Linotype" w:hAnsi="Palatino Linotype"/>
        </w:rPr>
        <w:t xml:space="preserve">en lo sucesivo se denominará </w:t>
      </w:r>
      <w:r w:rsidRPr="006F0A66">
        <w:rPr>
          <w:rFonts w:ascii="Palatino Linotype" w:hAnsi="Palatino Linotype"/>
          <w:b/>
        </w:rPr>
        <w:t>EL SUJETO OBLIGADO</w:t>
      </w:r>
      <w:r w:rsidRPr="006F0A66">
        <w:rPr>
          <w:rFonts w:ascii="Palatino Linotype" w:hAnsi="Palatino Linotype"/>
        </w:rPr>
        <w:t xml:space="preserve">, se procede a dictar la presente resolución con base en lo siguiente: </w:t>
      </w:r>
    </w:p>
    <w:p w14:paraId="48CEFEB5" w14:textId="77777777" w:rsidR="00457BB8" w:rsidRDefault="00457BB8"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77777777" w:rsidR="00457BB8" w:rsidRDefault="00457BB8"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7D079E8A" w:rsidR="00395A8B" w:rsidRDefault="00536C04" w:rsidP="00395A8B">
      <w:pPr>
        <w:spacing w:line="360" w:lineRule="auto"/>
        <w:jc w:val="both"/>
        <w:rPr>
          <w:rFonts w:ascii="Palatino Linotype" w:hAnsi="Palatino Linotype" w:cs="Arial"/>
          <w:lang w:val="es-ES"/>
        </w:rPr>
      </w:pPr>
      <w:r w:rsidRPr="006F0A66">
        <w:rPr>
          <w:rFonts w:ascii="Palatino Linotype" w:hAnsi="Palatino Linotype" w:cs="Arial"/>
        </w:rPr>
        <w:t xml:space="preserve">En </w:t>
      </w:r>
      <w:r w:rsidR="004052A3">
        <w:rPr>
          <w:rFonts w:ascii="Palatino Linotype" w:hAnsi="Palatino Linotype" w:cs="Arial"/>
          <w:lang w:val="es-419"/>
        </w:rPr>
        <w:t>fecha</w:t>
      </w:r>
      <w:r w:rsidR="001E5515">
        <w:rPr>
          <w:rFonts w:ascii="Palatino Linotype" w:hAnsi="Palatino Linotype" w:cs="Arial"/>
          <w:lang w:val="es-419"/>
        </w:rPr>
        <w:t>s</w:t>
      </w:r>
      <w:r w:rsidR="00DC53AF">
        <w:rPr>
          <w:rFonts w:ascii="Palatino Linotype" w:hAnsi="Palatino Linotype" w:cs="Arial"/>
          <w:lang w:val="es-419"/>
        </w:rPr>
        <w:t xml:space="preserve"> </w:t>
      </w:r>
      <w:r w:rsidR="001E5515">
        <w:rPr>
          <w:rFonts w:ascii="Palatino Linotype" w:hAnsi="Palatino Linotype" w:cs="Arial"/>
          <w:b/>
        </w:rPr>
        <w:t xml:space="preserve">veintinueve de agoto y cinco de septiembre </w:t>
      </w:r>
      <w:r w:rsidR="00BA428A">
        <w:rPr>
          <w:rFonts w:ascii="Palatino Linotype" w:hAnsi="Palatino Linotype" w:cs="Arial"/>
          <w:b/>
        </w:rPr>
        <w:t>de</w:t>
      </w:r>
      <w:r w:rsidR="00BD57ED" w:rsidRPr="004B1BCA">
        <w:rPr>
          <w:rFonts w:ascii="Palatino Linotype" w:hAnsi="Palatino Linotype" w:cs="Arial"/>
          <w:b/>
          <w:lang w:val="es-419"/>
        </w:rPr>
        <w:t xml:space="preserve"> dos mil veintidós</w:t>
      </w:r>
      <w:r w:rsidRPr="006F0A66">
        <w:rPr>
          <w:rFonts w:ascii="Palatino Linotype" w:hAnsi="Palatino Linotype"/>
          <w:lang w:val="es-ES"/>
        </w:rPr>
        <w:t xml:space="preserve">, </w:t>
      </w:r>
      <w:r w:rsidR="007A3DB8">
        <w:rPr>
          <w:rFonts w:ascii="Palatino Linotype" w:hAnsi="Palatino Linotype" w:cs="Arial"/>
          <w:b/>
        </w:rPr>
        <w:t>LA</w:t>
      </w:r>
      <w:r w:rsidRPr="006F0A66">
        <w:rPr>
          <w:rFonts w:ascii="Palatino Linotype" w:hAnsi="Palatino Linotype"/>
          <w:b/>
          <w:lang w:val="es-ES"/>
        </w:rPr>
        <w:t xml:space="preserve"> RECURRENTE</w:t>
      </w:r>
      <w:r w:rsidRPr="006F0A66">
        <w:rPr>
          <w:rFonts w:ascii="Palatino Linotype" w:hAnsi="Palatino Linotype" w:cs="Arial"/>
          <w:lang w:val="es-ES"/>
        </w:rPr>
        <w:t xml:space="preserve"> </w:t>
      </w:r>
      <w:r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Pr="006F0A66">
        <w:rPr>
          <w:rFonts w:ascii="Palatino Linotype" w:hAnsi="Palatino Linotype" w:cs="Arial"/>
        </w:rPr>
        <w:t xml:space="preserve">en lo subsecuente se denominará </w:t>
      </w:r>
      <w:r w:rsidRPr="006F0A66">
        <w:rPr>
          <w:rFonts w:ascii="Palatino Linotype" w:hAnsi="Palatino Linotype" w:cs="Arial"/>
          <w:b/>
        </w:rPr>
        <w:t>EL SAIMEX</w:t>
      </w:r>
      <w:r w:rsidRPr="006F0A66">
        <w:rPr>
          <w:rFonts w:ascii="Palatino Linotype" w:hAnsi="Palatino Linotype" w:cs="Arial"/>
        </w:rPr>
        <w:t xml:space="preserve"> </w:t>
      </w:r>
      <w:r w:rsidR="009932FA" w:rsidRPr="006F0A66">
        <w:rPr>
          <w:rFonts w:ascii="Palatino Linotype" w:hAnsi="Palatino Linotype" w:cs="Arial"/>
        </w:rPr>
        <w:t xml:space="preserve">presentó </w:t>
      </w:r>
      <w:r w:rsidRPr="006F0A66">
        <w:rPr>
          <w:rFonts w:ascii="Palatino Linotype" w:hAnsi="Palatino Linotype" w:cs="Arial"/>
        </w:rPr>
        <w:t xml:space="preserve">ante </w:t>
      </w:r>
      <w:r w:rsidRPr="006F0A66">
        <w:rPr>
          <w:rFonts w:ascii="Palatino Linotype" w:hAnsi="Palatino Linotype" w:cs="Arial"/>
          <w:b/>
        </w:rPr>
        <w:t>EL SUJETO OBLIGADO</w:t>
      </w:r>
      <w:r w:rsidRPr="006F0A66">
        <w:rPr>
          <w:rFonts w:ascii="Palatino Linotype" w:hAnsi="Palatino Linotype" w:cs="Arial"/>
          <w:lang w:val="es-ES"/>
        </w:rPr>
        <w:t>, la</w:t>
      </w:r>
      <w:r w:rsidR="007A1EF3" w:rsidRPr="006F0A66">
        <w:rPr>
          <w:rFonts w:ascii="Palatino Linotype" w:hAnsi="Palatino Linotype" w:cs="Arial"/>
          <w:lang w:val="es-ES"/>
        </w:rPr>
        <w:t>s</w:t>
      </w:r>
      <w:r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Pr="006F0A66">
        <w:rPr>
          <w:rFonts w:ascii="Palatino Linotype" w:hAnsi="Palatino Linotype" w:cs="Arial"/>
          <w:lang w:val="es-ES"/>
        </w:rPr>
        <w:t>a la</w:t>
      </w:r>
      <w:r w:rsidR="007A1EF3" w:rsidRPr="006F0A66">
        <w:rPr>
          <w:rFonts w:ascii="Palatino Linotype" w:hAnsi="Palatino Linotype" w:cs="Arial"/>
          <w:lang w:val="es-ES"/>
        </w:rPr>
        <w:t>s</w:t>
      </w:r>
      <w:r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sidRPr="006F0A66">
        <w:rPr>
          <w:rFonts w:ascii="Palatino Linotype" w:hAnsi="Palatino Linotype" w:cs="Arial"/>
          <w:lang w:val="es-ES"/>
        </w:rPr>
        <w:t xml:space="preserve"> asignó </w:t>
      </w:r>
      <w:r w:rsidR="007A1EF3" w:rsidRPr="006F0A66">
        <w:rPr>
          <w:rFonts w:ascii="Palatino Linotype" w:hAnsi="Palatino Linotype" w:cs="Arial"/>
          <w:lang w:val="es-ES"/>
        </w:rPr>
        <w:t>los</w:t>
      </w:r>
      <w:r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Pr="006F0A66">
        <w:rPr>
          <w:rFonts w:ascii="Palatino Linotype" w:hAnsi="Palatino Linotype" w:cs="Arial"/>
          <w:lang w:val="es-ES"/>
        </w:rPr>
        <w:t xml:space="preserve"> de expediente</w:t>
      </w:r>
      <w:r w:rsidR="007A1EF3" w:rsidRPr="006F0A66">
        <w:rPr>
          <w:rFonts w:ascii="Palatino Linotype" w:hAnsi="Palatino Linotype" w:cs="Arial"/>
          <w:lang w:val="es-ES"/>
        </w:rPr>
        <w:t>s</w:t>
      </w:r>
      <w:r w:rsidR="00250720">
        <w:rPr>
          <w:rFonts w:ascii="Palatino Linotype" w:hAnsi="Palatino Linotype" w:cs="Arial"/>
          <w:lang w:val="es-ES"/>
        </w:rPr>
        <w:t xml:space="preserve"> </w:t>
      </w:r>
      <w:r w:rsidR="001E5515" w:rsidRPr="001E5515">
        <w:rPr>
          <w:rFonts w:ascii="Palatino Linotype" w:hAnsi="Palatino Linotype"/>
          <w:b/>
        </w:rPr>
        <w:t>00873/ZINACANT/IP/2022</w:t>
      </w:r>
      <w:r w:rsidR="00675D67">
        <w:rPr>
          <w:rFonts w:ascii="Palatino Linotype" w:hAnsi="Palatino Linotype"/>
          <w:b/>
        </w:rPr>
        <w:t xml:space="preserve">, </w:t>
      </w:r>
      <w:r w:rsidR="001E5515" w:rsidRPr="001E5515">
        <w:rPr>
          <w:rFonts w:ascii="Palatino Linotype" w:hAnsi="Palatino Linotype"/>
          <w:b/>
        </w:rPr>
        <w:t>00831/ZINACANT/IP/2022</w:t>
      </w:r>
      <w:r w:rsidR="002B6CC1">
        <w:rPr>
          <w:rFonts w:ascii="Palatino Linotype" w:hAnsi="Palatino Linotype"/>
          <w:b/>
        </w:rPr>
        <w:t xml:space="preserve"> </w:t>
      </w:r>
      <w:r w:rsidR="002B6CC1">
        <w:rPr>
          <w:rFonts w:ascii="Palatino Linotype" w:hAnsi="Palatino Linotype"/>
        </w:rPr>
        <w:t>y</w:t>
      </w:r>
      <w:r w:rsidR="00A352AD" w:rsidRPr="00A352AD">
        <w:t xml:space="preserve"> </w:t>
      </w:r>
      <w:r w:rsidR="001E5515" w:rsidRPr="001E5515">
        <w:rPr>
          <w:rFonts w:ascii="Palatino Linotype" w:hAnsi="Palatino Linotype"/>
          <w:b/>
        </w:rPr>
        <w:t>00863/ZINACANT/IP/2022</w:t>
      </w:r>
      <w:r w:rsidR="00B77F5B">
        <w:rPr>
          <w:rFonts w:ascii="Palatino Linotype" w:hAnsi="Palatino Linotype"/>
          <w:b/>
        </w:rPr>
        <w:t xml:space="preserve">, </w:t>
      </w:r>
      <w:r w:rsidRPr="006F0A66">
        <w:rPr>
          <w:rFonts w:ascii="Palatino Linotype" w:hAnsi="Palatino Linotype" w:cs="Arial"/>
          <w:lang w:val="es-ES"/>
        </w:rPr>
        <w:t>mediante la</w:t>
      </w:r>
      <w:r w:rsidR="007A1EF3" w:rsidRPr="006F0A66">
        <w:rPr>
          <w:rFonts w:ascii="Palatino Linotype" w:hAnsi="Palatino Linotype" w:cs="Arial"/>
          <w:lang w:val="es-ES"/>
        </w:rPr>
        <w:t>s</w:t>
      </w:r>
      <w:r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p w14:paraId="285A0ECB" w14:textId="77777777" w:rsidR="001E5515" w:rsidRDefault="001E5515"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F44CFD" w:rsidRPr="00290366" w14:paraId="37AEFD27" w14:textId="77777777" w:rsidTr="00B77F5B">
        <w:trPr>
          <w:tblHeader/>
          <w:jc w:val="center"/>
        </w:trPr>
        <w:tc>
          <w:tcPr>
            <w:tcW w:w="2294" w:type="dxa"/>
            <w:shd w:val="clear" w:color="auto" w:fill="000000" w:themeFill="text1"/>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B77F5B">
        <w:trPr>
          <w:jc w:val="center"/>
        </w:trPr>
        <w:tc>
          <w:tcPr>
            <w:tcW w:w="2294" w:type="dxa"/>
            <w:vAlign w:val="center"/>
          </w:tcPr>
          <w:p w14:paraId="636E8D87" w14:textId="1CA8B99E" w:rsidR="00F44CFD" w:rsidRPr="00A509E0" w:rsidRDefault="001E5515"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E5515">
              <w:rPr>
                <w:rFonts w:ascii="Palatino Linotype" w:hAnsi="Palatino Linotype"/>
                <w:b/>
                <w:sz w:val="16"/>
                <w:szCs w:val="16"/>
              </w:rPr>
              <w:t>00873/ZINACANT/IP/2022</w:t>
            </w:r>
          </w:p>
        </w:tc>
        <w:tc>
          <w:tcPr>
            <w:tcW w:w="4222" w:type="dxa"/>
          </w:tcPr>
          <w:p w14:paraId="2338518E" w14:textId="62467040" w:rsidR="00F44CFD" w:rsidRPr="00A509E0" w:rsidRDefault="00F44CFD" w:rsidP="002B6CC1">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B8534D" w:rsidRPr="00B8534D">
              <w:rPr>
                <w:rFonts w:ascii="Palatino Linotype" w:hAnsi="Palatino Linotype"/>
                <w:i/>
                <w:color w:val="000000"/>
                <w:sz w:val="16"/>
                <w:szCs w:val="16"/>
              </w:rPr>
              <w:t>SOLICITO COPIA DE TODOS LOS OFICIOS GENERADOS Y RECIBIDOS POR LA DIRECCIÓN DE SEGURIDAD PÚBLICA DEL AÑO 2022</w:t>
            </w:r>
            <w:r>
              <w:rPr>
                <w:rFonts w:ascii="Palatino Linotype" w:hAnsi="Palatino Linotype"/>
                <w:i/>
                <w:color w:val="000000"/>
                <w:sz w:val="16"/>
                <w:szCs w:val="16"/>
              </w:rPr>
              <w:t>”</w:t>
            </w:r>
            <w:r w:rsidR="002B6CC1">
              <w:rPr>
                <w:rFonts w:ascii="Palatino Linotype" w:hAnsi="Palatino Linotype"/>
                <w:i/>
                <w:color w:val="000000"/>
                <w:sz w:val="16"/>
                <w:szCs w:val="16"/>
              </w:rPr>
              <w:t xml:space="preserve"> </w:t>
            </w:r>
            <w:r>
              <w:rPr>
                <w:rFonts w:ascii="Palatino Linotype" w:hAnsi="Palatino Linotype"/>
                <w:i/>
                <w:color w:val="000000"/>
                <w:sz w:val="16"/>
                <w:szCs w:val="16"/>
              </w:rPr>
              <w:t>(Sic)</w:t>
            </w:r>
          </w:p>
        </w:tc>
      </w:tr>
      <w:tr w:rsidR="00F44CFD" w:rsidRPr="00290366" w14:paraId="7EDCD5A5" w14:textId="77777777" w:rsidTr="00B77F5B">
        <w:trPr>
          <w:jc w:val="center"/>
        </w:trPr>
        <w:tc>
          <w:tcPr>
            <w:tcW w:w="2294" w:type="dxa"/>
            <w:vAlign w:val="center"/>
          </w:tcPr>
          <w:p w14:paraId="6E00AAF3" w14:textId="4FC17334" w:rsidR="00F44CFD" w:rsidRPr="00A509E0" w:rsidRDefault="001E5515"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E5515">
              <w:rPr>
                <w:rFonts w:ascii="Palatino Linotype" w:hAnsi="Palatino Linotype"/>
                <w:b/>
                <w:sz w:val="16"/>
                <w:szCs w:val="16"/>
              </w:rPr>
              <w:lastRenderedPageBreak/>
              <w:t>00831/ZINACANT/IP/2022</w:t>
            </w:r>
          </w:p>
        </w:tc>
        <w:tc>
          <w:tcPr>
            <w:tcW w:w="4222" w:type="dxa"/>
          </w:tcPr>
          <w:p w14:paraId="2AAB0B4A" w14:textId="6FDF3EB3" w:rsidR="00F44CFD" w:rsidRPr="00A509E0" w:rsidRDefault="00BC0159"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8534D" w:rsidRPr="00B8534D">
              <w:rPr>
                <w:rFonts w:ascii="Palatino Linotype" w:hAnsi="Palatino Linotype"/>
                <w:i/>
                <w:color w:val="000000"/>
                <w:sz w:val="16"/>
                <w:szCs w:val="16"/>
              </w:rPr>
              <w:t>SOLICITO TODAS LAS CIRCULARES EMITIDAS POR TODAS LAS AREAS DEL AYUNTAMIENTO Y DE LAS REGIDURÍAS DURANTE 2022</w:t>
            </w:r>
            <w:r w:rsidR="00F44CFD">
              <w:rPr>
                <w:rFonts w:ascii="Palatino Linotype" w:hAnsi="Palatino Linotype"/>
                <w:i/>
                <w:color w:val="000000"/>
                <w:sz w:val="16"/>
                <w:szCs w:val="16"/>
              </w:rPr>
              <w:t>” (Sic)</w:t>
            </w:r>
          </w:p>
        </w:tc>
      </w:tr>
      <w:tr w:rsidR="00F44CFD" w:rsidRPr="00290366" w14:paraId="377BEEAF" w14:textId="77777777" w:rsidTr="00B77F5B">
        <w:trPr>
          <w:jc w:val="center"/>
        </w:trPr>
        <w:tc>
          <w:tcPr>
            <w:tcW w:w="2294" w:type="dxa"/>
            <w:vAlign w:val="center"/>
          </w:tcPr>
          <w:p w14:paraId="0BDC0DF2" w14:textId="42CBFBFB" w:rsidR="00F44CFD" w:rsidRPr="00E31D3C" w:rsidRDefault="001E5515"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E5515">
              <w:rPr>
                <w:rFonts w:ascii="Palatino Linotype" w:hAnsi="Palatino Linotype"/>
                <w:b/>
                <w:sz w:val="16"/>
                <w:szCs w:val="16"/>
              </w:rPr>
              <w:t>00863/ZINACANT/IP/2022</w:t>
            </w:r>
          </w:p>
        </w:tc>
        <w:tc>
          <w:tcPr>
            <w:tcW w:w="4222" w:type="dxa"/>
          </w:tcPr>
          <w:p w14:paraId="140FA6BA" w14:textId="66C4B28E" w:rsidR="00F44CFD" w:rsidRPr="00E31D3C" w:rsidRDefault="00F44CFD" w:rsidP="00BC015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8534D" w:rsidRPr="00B8534D">
              <w:rPr>
                <w:rFonts w:ascii="Palatino Linotype" w:hAnsi="Palatino Linotype"/>
                <w:i/>
                <w:color w:val="000000"/>
                <w:sz w:val="16"/>
                <w:szCs w:val="16"/>
              </w:rPr>
              <w:t>SE SOLICITA COPIA DE TODOS LOS OFICIOS GENERADOS Y RECIBIDOS DE LA UNIDAD DE TRANSPARENCIA EN EL AÑO 2022</w:t>
            </w:r>
            <w:r>
              <w:rPr>
                <w:rFonts w:ascii="Palatino Linotype" w:hAnsi="Palatino Linotype"/>
                <w:i/>
                <w:color w:val="000000"/>
                <w:sz w:val="16"/>
                <w:szCs w:val="16"/>
              </w:rPr>
              <w:t>” (Sic)</w:t>
            </w:r>
          </w:p>
        </w:tc>
      </w:tr>
    </w:tbl>
    <w:p w14:paraId="09AC31CF" w14:textId="77777777" w:rsidR="00D56A23" w:rsidRPr="006F0A66" w:rsidRDefault="00D56A23" w:rsidP="00395A8B">
      <w:pPr>
        <w:spacing w:line="360" w:lineRule="auto"/>
        <w:jc w:val="both"/>
        <w:rPr>
          <w:rFonts w:ascii="Palatino Linotype" w:hAnsi="Palatino Linotype" w:cs="Arial"/>
          <w:i/>
          <w:sz w:val="22"/>
          <w:szCs w:val="22"/>
        </w:rPr>
      </w:pPr>
    </w:p>
    <w:p w14:paraId="6291ABCF" w14:textId="77777777" w:rsidR="00536C04" w:rsidRPr="006F0A66" w:rsidRDefault="00536C04" w:rsidP="00536C04">
      <w:pPr>
        <w:spacing w:line="360" w:lineRule="auto"/>
        <w:jc w:val="both"/>
        <w:rPr>
          <w:rFonts w:ascii="Palatino Linotype" w:hAnsi="Palatino Linotype" w:cs="Arial"/>
          <w:b/>
        </w:rPr>
      </w:pPr>
      <w:r w:rsidRPr="006F0A66">
        <w:rPr>
          <w:rFonts w:ascii="Palatino Linotype" w:hAnsi="Palatino Linotype" w:cs="Arial"/>
          <w:b/>
        </w:rPr>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1397F81A" w14:textId="1F88CA9C" w:rsidR="0076231C" w:rsidRPr="00A00A65" w:rsidRDefault="0076231C" w:rsidP="003404B0">
      <w:pPr>
        <w:pStyle w:val="Prrafodelista"/>
        <w:tabs>
          <w:tab w:val="left" w:pos="709"/>
        </w:tabs>
        <w:spacing w:line="360" w:lineRule="auto"/>
        <w:ind w:left="0"/>
        <w:jc w:val="both"/>
        <w:rPr>
          <w:rFonts w:ascii="Palatino Linotype" w:hAnsi="Palatino Linotype"/>
          <w:b/>
          <w:sz w:val="16"/>
          <w:szCs w:val="16"/>
        </w:rPr>
      </w:pPr>
    </w:p>
    <w:p w14:paraId="0EA59B04" w14:textId="77777777" w:rsidR="00A00A65" w:rsidRPr="00980A79" w:rsidRDefault="00A00A65" w:rsidP="00A00A65">
      <w:pPr>
        <w:spacing w:line="360" w:lineRule="auto"/>
        <w:jc w:val="both"/>
        <w:rPr>
          <w:rFonts w:ascii="Palatino Linotype" w:hAnsi="Palatino Linotype"/>
          <w:b/>
          <w:sz w:val="28"/>
          <w:szCs w:val="28"/>
        </w:rPr>
      </w:pPr>
      <w:r w:rsidRPr="00980A79">
        <w:rPr>
          <w:rFonts w:ascii="Palatino Linotype" w:hAnsi="Palatino Linotype"/>
          <w:b/>
          <w:sz w:val="28"/>
          <w:szCs w:val="28"/>
        </w:rPr>
        <w:t xml:space="preserve">II. </w:t>
      </w:r>
      <w:r>
        <w:rPr>
          <w:rFonts w:ascii="Palatino Linotype" w:hAnsi="Palatino Linotype"/>
          <w:b/>
          <w:sz w:val="28"/>
          <w:szCs w:val="28"/>
        </w:rPr>
        <w:t>Solicitud de Aclaración</w:t>
      </w:r>
    </w:p>
    <w:p w14:paraId="3780A286" w14:textId="19F92AA3" w:rsidR="00384F7B" w:rsidRDefault="00A00A65" w:rsidP="00A00A65">
      <w:pPr>
        <w:pStyle w:val="Prrafodelista"/>
        <w:tabs>
          <w:tab w:val="left" w:pos="709"/>
        </w:tabs>
        <w:spacing w:line="360" w:lineRule="auto"/>
        <w:ind w:left="0"/>
        <w:jc w:val="both"/>
        <w:rPr>
          <w:rFonts w:ascii="Palatino Linotype" w:hAnsi="Palatino Linotype"/>
          <w:b/>
          <w:sz w:val="28"/>
          <w:szCs w:val="28"/>
        </w:rPr>
      </w:pPr>
      <w:r w:rsidRPr="00E61B51">
        <w:rPr>
          <w:rFonts w:ascii="Palatino Linotype" w:hAnsi="Palatino Linotype"/>
          <w:color w:val="000000" w:themeColor="text1"/>
        </w:rPr>
        <w:t>Con fundamento en el artículo 159 de la Ley de Transparencia y Acceso a la Información Pública del Estado de México y Municipios, en fecha</w:t>
      </w:r>
      <w:r>
        <w:rPr>
          <w:rFonts w:ascii="Palatino Linotype" w:hAnsi="Palatino Linotype"/>
          <w:color w:val="000000" w:themeColor="text1"/>
        </w:rPr>
        <w:t>s</w:t>
      </w:r>
      <w:r w:rsidRPr="00E61B51">
        <w:rPr>
          <w:rFonts w:ascii="Palatino Linotype" w:hAnsi="Palatino Linotype"/>
          <w:color w:val="000000" w:themeColor="text1"/>
        </w:rPr>
        <w:t xml:space="preserve"> </w:t>
      </w:r>
      <w:r>
        <w:rPr>
          <w:rFonts w:ascii="Palatino Linotype" w:hAnsi="Palatino Linotype"/>
          <w:b/>
          <w:color w:val="000000" w:themeColor="text1"/>
        </w:rPr>
        <w:t xml:space="preserve">cuatro, ocho y nueve de septiembre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w:t>
      </w:r>
      <w:r>
        <w:rPr>
          <w:rFonts w:ascii="Palatino Linotype" w:hAnsi="Palatino Linotype"/>
          <w:color w:val="000000" w:themeColor="text1"/>
        </w:rPr>
        <w:t xml:space="preserve"> </w:t>
      </w:r>
      <w:r w:rsidRPr="008B4B61">
        <w:rPr>
          <w:rFonts w:ascii="Palatino Linotype" w:hAnsi="Palatino Linotype"/>
          <w:b/>
          <w:color w:val="000000" w:themeColor="text1"/>
        </w:rPr>
        <w:t>LA</w:t>
      </w:r>
      <w:r w:rsidRPr="00E61B51">
        <w:rPr>
          <w:rFonts w:ascii="Palatino Linotype" w:hAnsi="Palatino Linotype"/>
          <w:color w:val="000000" w:themeColor="text1"/>
        </w:rPr>
        <w:t xml:space="preserve">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w:t>
      </w:r>
      <w:r>
        <w:rPr>
          <w:rFonts w:ascii="Palatino Linotype" w:hAnsi="Palatino Linotype"/>
          <w:color w:val="000000" w:themeColor="text1"/>
        </w:rPr>
        <w:t>s</w:t>
      </w:r>
      <w:r w:rsidRPr="00E61B51">
        <w:rPr>
          <w:rFonts w:ascii="Palatino Linotype" w:hAnsi="Palatino Linotype"/>
          <w:color w:val="000000" w:themeColor="text1"/>
        </w:rPr>
        <w:t xml:space="preserve"> solicitud</w:t>
      </w:r>
      <w:r>
        <w:rPr>
          <w:rFonts w:ascii="Palatino Linotype" w:hAnsi="Palatino Linotype"/>
          <w:color w:val="000000" w:themeColor="text1"/>
        </w:rPr>
        <w:t>es:</w:t>
      </w:r>
    </w:p>
    <w:p w14:paraId="5924803E" w14:textId="267CD72D" w:rsidR="00384F7B" w:rsidRPr="00A00A65" w:rsidRDefault="00384F7B" w:rsidP="003404B0">
      <w:pPr>
        <w:pStyle w:val="Prrafodelista"/>
        <w:tabs>
          <w:tab w:val="left" w:pos="709"/>
        </w:tabs>
        <w:spacing w:line="360" w:lineRule="auto"/>
        <w:ind w:left="0"/>
        <w:jc w:val="both"/>
        <w:rPr>
          <w:rFonts w:ascii="Palatino Linotype" w:hAnsi="Palatino Linotype"/>
          <w:b/>
          <w:sz w:val="16"/>
          <w:szCs w:val="16"/>
        </w:rPr>
      </w:pPr>
    </w:p>
    <w:p w14:paraId="321B7EEF" w14:textId="55B37D0E" w:rsidR="00A00A65" w:rsidRPr="00A00A65" w:rsidRDefault="00A00A65" w:rsidP="00A00A6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Pr="00A00A65">
        <w:rPr>
          <w:rFonts w:ascii="Palatino Linotype" w:eastAsia="Palatino Linotype" w:hAnsi="Palatino Linotype" w:cs="Palatino Linotype"/>
          <w:i/>
          <w:color w:val="000000"/>
          <w:sz w:val="22"/>
          <w:szCs w:val="22"/>
          <w:lang w:eastAsia="es-MX"/>
        </w:rPr>
        <w:t xml:space="preserve">Con fundamento en el </w:t>
      </w:r>
      <w:proofErr w:type="spellStart"/>
      <w:r w:rsidRPr="00A00A65">
        <w:rPr>
          <w:rFonts w:ascii="Palatino Linotype" w:eastAsia="Palatino Linotype" w:hAnsi="Palatino Linotype" w:cs="Palatino Linotype"/>
          <w:i/>
          <w:color w:val="000000"/>
          <w:sz w:val="22"/>
          <w:szCs w:val="22"/>
          <w:lang w:eastAsia="es-MX"/>
        </w:rPr>
        <w:t>articulo</w:t>
      </w:r>
      <w:proofErr w:type="spellEnd"/>
      <w:r w:rsidRPr="00A00A65">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63E16A11" w14:textId="77777777" w:rsidR="00A00A65" w:rsidRPr="00A00A65" w:rsidRDefault="00A00A65" w:rsidP="00A00A6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00A65">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9AF06CF" w14:textId="77777777" w:rsidR="00A00A65" w:rsidRPr="00A00A65" w:rsidRDefault="00A00A65" w:rsidP="00A00A6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00A65">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AA51DF9" w14:textId="77777777" w:rsidR="00A00A65" w:rsidRPr="00A00A65" w:rsidRDefault="00A00A65" w:rsidP="00A00A6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00A65">
        <w:rPr>
          <w:rFonts w:ascii="Palatino Linotype" w:eastAsia="Palatino Linotype" w:hAnsi="Palatino Linotype" w:cs="Palatino Linotype"/>
          <w:i/>
          <w:color w:val="000000"/>
          <w:sz w:val="22"/>
          <w:szCs w:val="22"/>
          <w:lang w:eastAsia="es-MX"/>
        </w:rPr>
        <w:t>ATENTAMENTE</w:t>
      </w:r>
    </w:p>
    <w:p w14:paraId="1E57A361" w14:textId="1B7BAD14" w:rsidR="00090DE9" w:rsidRDefault="00A00A65" w:rsidP="00A00A65">
      <w:pPr>
        <w:widowControl w:val="0"/>
        <w:pBdr>
          <w:top w:val="nil"/>
          <w:left w:val="nil"/>
          <w:bottom w:val="nil"/>
          <w:right w:val="nil"/>
          <w:between w:val="nil"/>
        </w:pBdr>
        <w:ind w:left="850" w:right="901"/>
        <w:jc w:val="both"/>
        <w:rPr>
          <w:rFonts w:ascii="Palatino Linotype" w:hAnsi="Palatino Linotype"/>
          <w:b/>
          <w:sz w:val="28"/>
          <w:szCs w:val="28"/>
        </w:rPr>
      </w:pPr>
      <w:r w:rsidRPr="00A00A65">
        <w:rPr>
          <w:rFonts w:ascii="Palatino Linotype" w:eastAsia="Palatino Linotype" w:hAnsi="Palatino Linotype" w:cs="Palatino Linotype"/>
          <w:i/>
          <w:color w:val="000000"/>
          <w:sz w:val="22"/>
          <w:szCs w:val="22"/>
          <w:lang w:eastAsia="es-MX"/>
        </w:rPr>
        <w:t>ING. JESUS EMMANUEL ENCASTIN RENDON</w:t>
      </w:r>
      <w:r>
        <w:rPr>
          <w:rFonts w:ascii="Palatino Linotype" w:eastAsia="Palatino Linotype" w:hAnsi="Palatino Linotype" w:cs="Palatino Linotype"/>
          <w:i/>
          <w:color w:val="000000"/>
          <w:sz w:val="22"/>
          <w:szCs w:val="22"/>
          <w:lang w:eastAsia="es-MX"/>
        </w:rPr>
        <w:t>” (Sic)</w:t>
      </w:r>
    </w:p>
    <w:p w14:paraId="0BA17ACF" w14:textId="77777777" w:rsidR="00A00A65" w:rsidRDefault="00A00A65" w:rsidP="00A00A65">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50952EDD" w14:textId="099E4B61" w:rsidR="00090DE9" w:rsidRDefault="00A00A65" w:rsidP="00A00A65">
      <w:pPr>
        <w:pStyle w:val="Prrafodelista"/>
        <w:tabs>
          <w:tab w:val="left" w:pos="709"/>
        </w:tabs>
        <w:spacing w:line="360" w:lineRule="auto"/>
        <w:ind w:left="0"/>
        <w:jc w:val="both"/>
        <w:rPr>
          <w:rFonts w:ascii="Palatino Linotype" w:hAnsi="Palatino Linotype"/>
          <w:color w:val="000000" w:themeColor="text1"/>
        </w:rPr>
      </w:pPr>
      <w:r w:rsidRPr="00EA3676">
        <w:rPr>
          <w:rFonts w:ascii="Palatino Linotype" w:hAnsi="Palatino Linotype" w:cs="Arial"/>
        </w:rPr>
        <w:t>En fecha</w:t>
      </w:r>
      <w:r>
        <w:rPr>
          <w:rFonts w:ascii="Palatino Linotype" w:hAnsi="Palatino Linotype" w:cs="Arial"/>
        </w:rPr>
        <w:t>s</w:t>
      </w:r>
      <w:r>
        <w:rPr>
          <w:rFonts w:ascii="Palatino Linotype" w:hAnsi="Palatino Linotype" w:cs="Arial"/>
          <w:b/>
        </w:rPr>
        <w:t xml:space="preserve"> cinco, ocho y nueve de septiembre de dos mil veintidós, </w:t>
      </w:r>
      <w:r w:rsidRPr="00EA3676">
        <w:rPr>
          <w:rFonts w:ascii="Palatino Linotype" w:hAnsi="Palatino Linotype" w:cs="Arial"/>
          <w:b/>
        </w:rPr>
        <w:t>L</w:t>
      </w:r>
      <w:r>
        <w:rPr>
          <w:rFonts w:ascii="Palatino Linotype" w:hAnsi="Palatino Linotype" w:cs="Arial"/>
          <w:b/>
        </w:rPr>
        <w:t>A</w:t>
      </w:r>
      <w:r w:rsidRPr="00EA3676">
        <w:rPr>
          <w:rFonts w:ascii="Palatino Linotype" w:hAnsi="Palatino Linotype" w:cs="Arial"/>
          <w:b/>
        </w:rPr>
        <w:t xml:space="preserve"> RECURRENTE </w:t>
      </w:r>
      <w:r w:rsidRPr="00EA3676">
        <w:rPr>
          <w:rFonts w:ascii="Palatino Linotype" w:hAnsi="Palatino Linotype" w:cs="Arial"/>
        </w:rPr>
        <w:t>atendió la</w:t>
      </w:r>
      <w:r>
        <w:rPr>
          <w:rFonts w:ascii="Palatino Linotype" w:hAnsi="Palatino Linotype" w:cs="Arial"/>
        </w:rPr>
        <w:t>s</w:t>
      </w:r>
      <w:r w:rsidRPr="00EA3676">
        <w:rPr>
          <w:rFonts w:ascii="Palatino Linotype" w:hAnsi="Palatino Linotype" w:cs="Arial"/>
        </w:rPr>
        <w:t xml:space="preserve"> solicitud</w:t>
      </w:r>
      <w:r>
        <w:rPr>
          <w:rFonts w:ascii="Palatino Linotype" w:hAnsi="Palatino Linotype" w:cs="Arial"/>
        </w:rPr>
        <w:t>es</w:t>
      </w:r>
      <w:r w:rsidRPr="00EA3676">
        <w:rPr>
          <w:rFonts w:ascii="Palatino Linotype" w:hAnsi="Palatino Linotype" w:cs="Arial"/>
        </w:rPr>
        <w:t xml:space="preserve"> de aclaración </w:t>
      </w:r>
      <w:r w:rsidR="00B8534D">
        <w:rPr>
          <w:rFonts w:ascii="Palatino Linotype" w:hAnsi="Palatino Linotype" w:cs="Arial"/>
        </w:rPr>
        <w:t>en los siguientes términos</w:t>
      </w:r>
      <w:r w:rsidR="00B8534D">
        <w:rPr>
          <w:rFonts w:ascii="Palatino Linotype" w:hAnsi="Palatino Linotype"/>
          <w:color w:val="000000" w:themeColor="text1"/>
        </w:rPr>
        <w:t>:</w:t>
      </w:r>
    </w:p>
    <w:p w14:paraId="30D986F3" w14:textId="77777777" w:rsidR="00A00A65" w:rsidRDefault="00A00A65" w:rsidP="00A00A65">
      <w:pPr>
        <w:pStyle w:val="Prrafodelista"/>
        <w:tabs>
          <w:tab w:val="left" w:pos="709"/>
        </w:tabs>
        <w:spacing w:line="360" w:lineRule="auto"/>
        <w:ind w:left="0"/>
        <w:jc w:val="both"/>
        <w:rPr>
          <w:rFonts w:ascii="Palatino Linotype" w:hAnsi="Palatino Linotype"/>
          <w:color w:val="000000" w:themeColor="text1"/>
        </w:rPr>
      </w:pPr>
    </w:p>
    <w:p w14:paraId="319FFC8D" w14:textId="13194798" w:rsidR="00A00A65" w:rsidRDefault="00A00A65" w:rsidP="00A00A65">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06297266" wp14:editId="33FAB4EC">
            <wp:extent cx="5941060" cy="278320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783205"/>
                    </a:xfrm>
                    <a:prstGeom prst="rect">
                      <a:avLst/>
                    </a:prstGeom>
                  </pic:spPr>
                </pic:pic>
              </a:graphicData>
            </a:graphic>
          </wp:inline>
        </w:drawing>
      </w:r>
    </w:p>
    <w:p w14:paraId="4BDC4D7D" w14:textId="575E08AD" w:rsidR="00A00A65" w:rsidRDefault="00A00A65" w:rsidP="00A00A65">
      <w:pPr>
        <w:pStyle w:val="Prrafodelista"/>
        <w:tabs>
          <w:tab w:val="left" w:pos="709"/>
        </w:tabs>
        <w:spacing w:line="360" w:lineRule="auto"/>
        <w:ind w:left="0"/>
        <w:jc w:val="both"/>
        <w:rPr>
          <w:rFonts w:ascii="Palatino Linotype" w:hAnsi="Palatino Linotype"/>
          <w:b/>
          <w:sz w:val="28"/>
          <w:szCs w:val="28"/>
        </w:rPr>
      </w:pPr>
    </w:p>
    <w:p w14:paraId="4D7FC3E4" w14:textId="3868B30F" w:rsidR="00A00A65" w:rsidRDefault="00A00A65" w:rsidP="00A00A65">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23AA2875" wp14:editId="21F22469">
            <wp:extent cx="5941060" cy="2814955"/>
            <wp:effectExtent l="0" t="0" r="254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814955"/>
                    </a:xfrm>
                    <a:prstGeom prst="rect">
                      <a:avLst/>
                    </a:prstGeom>
                  </pic:spPr>
                </pic:pic>
              </a:graphicData>
            </a:graphic>
          </wp:inline>
        </w:drawing>
      </w:r>
    </w:p>
    <w:p w14:paraId="238A7EFA" w14:textId="501D7237" w:rsidR="00A00A65" w:rsidRDefault="00A00A65"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lastRenderedPageBreak/>
        <w:drawing>
          <wp:inline distT="0" distB="0" distL="0" distR="0" wp14:anchorId="283FCA48" wp14:editId="783E165F">
            <wp:extent cx="5941060" cy="276669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766695"/>
                    </a:xfrm>
                    <a:prstGeom prst="rect">
                      <a:avLst/>
                    </a:prstGeom>
                  </pic:spPr>
                </pic:pic>
              </a:graphicData>
            </a:graphic>
          </wp:inline>
        </w:drawing>
      </w:r>
    </w:p>
    <w:p w14:paraId="11A63BFE" w14:textId="77777777" w:rsidR="00A00A65" w:rsidRDefault="00A00A65" w:rsidP="003404B0">
      <w:pPr>
        <w:pStyle w:val="Prrafodelista"/>
        <w:tabs>
          <w:tab w:val="left" w:pos="709"/>
        </w:tabs>
        <w:spacing w:line="360" w:lineRule="auto"/>
        <w:ind w:left="0"/>
        <w:jc w:val="both"/>
        <w:rPr>
          <w:rFonts w:ascii="Palatino Linotype" w:hAnsi="Palatino Linotype"/>
          <w:b/>
          <w:sz w:val="28"/>
          <w:szCs w:val="28"/>
        </w:rPr>
      </w:pPr>
    </w:p>
    <w:p w14:paraId="76B305E3" w14:textId="70B807B8" w:rsidR="003404B0" w:rsidRPr="006F0A66" w:rsidRDefault="00384F7B"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I</w:t>
      </w:r>
      <w:r w:rsidR="00A00A65">
        <w:rPr>
          <w:rFonts w:ascii="Palatino Linotype" w:hAnsi="Palatino Linotype"/>
          <w:b/>
          <w:sz w:val="28"/>
          <w:szCs w:val="28"/>
        </w:rPr>
        <w:t>V</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7D7098A8" w:rsidR="00536C04" w:rsidRDefault="00536C04" w:rsidP="00536C04">
      <w:pPr>
        <w:spacing w:line="360" w:lineRule="auto"/>
        <w:jc w:val="both"/>
        <w:rPr>
          <w:rFonts w:ascii="Palatino Linotype" w:hAnsi="Palatino Linotype" w:cs="Arial"/>
          <w:color w:val="000000" w:themeColor="text1"/>
        </w:rPr>
      </w:pPr>
      <w:r w:rsidRPr="006F0A66">
        <w:rPr>
          <w:rFonts w:ascii="Palatino Linotype" w:hAnsi="Palatino Linotype"/>
          <w:color w:val="000000" w:themeColor="text1"/>
        </w:rPr>
        <w:t>De las constancias que obran</w:t>
      </w:r>
      <w:r w:rsidR="00395A8B" w:rsidRPr="006F0A66">
        <w:rPr>
          <w:rFonts w:ascii="Palatino Linotype" w:hAnsi="Palatino Linotype"/>
          <w:color w:val="000000" w:themeColor="text1"/>
        </w:rPr>
        <w:t xml:space="preserve"> en los expedientes del </w:t>
      </w:r>
      <w:r w:rsidRPr="006F0A66">
        <w:rPr>
          <w:rFonts w:ascii="Palatino Linotype" w:hAnsi="Palatino Linotype"/>
          <w:b/>
          <w:color w:val="000000" w:themeColor="text1"/>
        </w:rPr>
        <w:t>SAIMEX,</w:t>
      </w:r>
      <w:r w:rsidRPr="006F0A66">
        <w:rPr>
          <w:rFonts w:ascii="Palatino Linotype" w:hAnsi="Palatino Linotype"/>
          <w:color w:val="000000" w:themeColor="text1"/>
        </w:rPr>
        <w:t xml:space="preserve"> se advierte que </w:t>
      </w:r>
      <w:r w:rsidRPr="006F0A66">
        <w:rPr>
          <w:rFonts w:ascii="Palatino Linotype" w:hAnsi="Palatino Linotype" w:cs="Arial"/>
          <w:b/>
          <w:color w:val="000000" w:themeColor="text1"/>
        </w:rPr>
        <w:t>EL SUJETO OBLIGADO</w:t>
      </w:r>
      <w:r w:rsidRPr="006F0A66">
        <w:rPr>
          <w:rFonts w:ascii="Palatino Linotype" w:hAnsi="Palatino Linotype" w:cs="Arial"/>
          <w:color w:val="000000" w:themeColor="text1"/>
        </w:rPr>
        <w:t xml:space="preserve"> </w:t>
      </w:r>
      <w:r w:rsidR="003404B0" w:rsidRPr="006F0A66">
        <w:rPr>
          <w:rFonts w:ascii="Palatino Linotype" w:hAnsi="Palatino Linotype" w:cs="Arial"/>
          <w:color w:val="000000" w:themeColor="text1"/>
        </w:rPr>
        <w:t xml:space="preserve">no entregó </w:t>
      </w:r>
      <w:r w:rsidRPr="006F0A66">
        <w:rPr>
          <w:rFonts w:ascii="Palatino Linotype" w:hAnsi="Palatino Linotype" w:cs="Arial"/>
          <w:color w:val="000000" w:themeColor="text1"/>
        </w:rPr>
        <w:t>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respuesta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 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solicitud</w:t>
      </w:r>
      <w:r w:rsidR="007A1EF3" w:rsidRPr="006F0A66">
        <w:rPr>
          <w:rFonts w:ascii="Palatino Linotype" w:hAnsi="Palatino Linotype" w:cs="Arial"/>
          <w:color w:val="000000" w:themeColor="text1"/>
        </w:rPr>
        <w:t>es</w:t>
      </w:r>
      <w:r w:rsidR="003404B0" w:rsidRPr="006F0A66">
        <w:rPr>
          <w:rFonts w:ascii="Palatino Linotype" w:hAnsi="Palatino Linotype" w:cs="Arial"/>
          <w:color w:val="000000" w:themeColor="text1"/>
        </w:rPr>
        <w:t xml:space="preserve"> de información pública del particular. </w:t>
      </w:r>
    </w:p>
    <w:p w14:paraId="357005DC" w14:textId="77777777" w:rsidR="00090DE9" w:rsidRDefault="00090DE9" w:rsidP="00536C04">
      <w:pPr>
        <w:spacing w:line="360" w:lineRule="auto"/>
        <w:jc w:val="both"/>
        <w:rPr>
          <w:rFonts w:ascii="Palatino Linotype" w:hAnsi="Palatino Linotype" w:cs="Arial"/>
          <w:color w:val="000000" w:themeColor="text1"/>
        </w:rPr>
      </w:pPr>
    </w:p>
    <w:p w14:paraId="5392CA30" w14:textId="77A10399" w:rsidR="003404B0" w:rsidRPr="006F0A66" w:rsidRDefault="00313F83" w:rsidP="003404B0">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V</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22224E54" w:rsidR="00626768" w:rsidRDefault="00536C04" w:rsidP="001A695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Inconforme por la falta de respuesta, en fecha</w:t>
      </w:r>
      <w:r w:rsidR="001A6956">
        <w:rPr>
          <w:rFonts w:ascii="Palatino Linotype" w:hAnsi="Palatino Linotype" w:cs="Arial"/>
          <w:color w:val="000000" w:themeColor="text1"/>
        </w:rPr>
        <w:t>s</w:t>
      </w:r>
      <w:r w:rsidRPr="006F0A66">
        <w:rPr>
          <w:rFonts w:ascii="Palatino Linotype" w:hAnsi="Palatino Linotype" w:cs="Arial"/>
          <w:color w:val="000000" w:themeColor="text1"/>
        </w:rPr>
        <w:t xml:space="preserve"> </w:t>
      </w:r>
      <w:r w:rsidR="001A6956">
        <w:rPr>
          <w:rFonts w:ascii="Palatino Linotype" w:hAnsi="Palatino Linotype" w:cs="Arial"/>
          <w:b/>
          <w:bCs/>
          <w:color w:val="000000" w:themeColor="text1"/>
        </w:rPr>
        <w:t xml:space="preserve">tres y cuatro de octubre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7A3DB8">
        <w:rPr>
          <w:rFonts w:ascii="Palatino Linotype" w:hAnsi="Palatino Linotype" w:cs="Arial"/>
          <w:b/>
        </w:rPr>
        <w:t>LA</w:t>
      </w:r>
      <w:r w:rsidRPr="006F0A66">
        <w:rPr>
          <w:rFonts w:ascii="Palatino Linotype" w:hAnsi="Palatino Linotype" w:cs="Arial"/>
          <w:b/>
          <w:color w:val="000000" w:themeColor="text1"/>
        </w:rPr>
        <w:t xml:space="preserve">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Pr="006F0A66">
        <w:rPr>
          <w:rFonts w:ascii="Palatino Linotype" w:hAnsi="Palatino Linotype" w:cs="Arial"/>
          <w:color w:val="000000" w:themeColor="text1"/>
        </w:rPr>
        <w:t>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w:t>
      </w:r>
      <w:r w:rsidR="001A6956">
        <w:rPr>
          <w:rFonts w:ascii="Palatino Linotype" w:hAnsi="Palatino Linotype" w:cs="Arial"/>
          <w:color w:val="000000" w:themeColor="text1"/>
        </w:rPr>
        <w:t>s</w:t>
      </w:r>
      <w:r w:rsidRPr="006F0A66">
        <w:rPr>
          <w:rFonts w:ascii="Palatino Linotype" w:hAnsi="Palatino Linotype" w:cs="Arial"/>
          <w:color w:val="000000" w:themeColor="text1"/>
        </w:rPr>
        <w:t xml:space="preserve"> </w:t>
      </w:r>
      <w:r w:rsidR="001A6956" w:rsidRPr="001A6956">
        <w:rPr>
          <w:rFonts w:ascii="Palatino Linotype" w:hAnsi="Palatino Linotype"/>
          <w:b/>
        </w:rPr>
        <w:t>15287/INFOEM/IP/RR/2022</w:t>
      </w:r>
      <w:r w:rsidR="001A6956">
        <w:rPr>
          <w:rFonts w:ascii="Palatino Linotype" w:hAnsi="Palatino Linotype"/>
          <w:b/>
        </w:rPr>
        <w:t xml:space="preserve">, </w:t>
      </w:r>
      <w:r w:rsidR="001A6956" w:rsidRPr="001A6956">
        <w:rPr>
          <w:rFonts w:ascii="Palatino Linotype" w:hAnsi="Palatino Linotype"/>
          <w:b/>
        </w:rPr>
        <w:t>15328/INFOEM/IP/RR/2022</w:t>
      </w:r>
      <w:r w:rsidR="001A6956">
        <w:rPr>
          <w:rFonts w:ascii="Palatino Linotype" w:hAnsi="Palatino Linotype"/>
          <w:b/>
        </w:rPr>
        <w:t xml:space="preserve"> </w:t>
      </w:r>
      <w:r w:rsidR="001A6956" w:rsidRPr="001A6956">
        <w:rPr>
          <w:rFonts w:ascii="Palatino Linotype" w:hAnsi="Palatino Linotype"/>
        </w:rPr>
        <w:t>y</w:t>
      </w:r>
      <w:r w:rsidR="001A6956" w:rsidRPr="001A6956">
        <w:rPr>
          <w:rFonts w:ascii="Palatino Linotype" w:hAnsi="Palatino Linotype"/>
          <w:b/>
        </w:rPr>
        <w:t xml:space="preserve"> 15360/INFOEM/IP/RR/2022</w:t>
      </w:r>
      <w:r w:rsidR="00196321" w:rsidRPr="00196321">
        <w:rPr>
          <w:rFonts w:ascii="Palatino Linotype" w:hAnsi="Palatino Linotype"/>
          <w:b/>
        </w:rPr>
        <w:t>,</w:t>
      </w:r>
      <w:r w:rsidRPr="005F4F31">
        <w:rPr>
          <w:rFonts w:ascii="Palatino Linotype" w:hAnsi="Palatino Linotype" w:cs="Arial"/>
          <w:color w:val="000000" w:themeColor="text1"/>
        </w:rPr>
        <w:t xml:space="preserve"> </w:t>
      </w:r>
      <w:r w:rsidR="00196321">
        <w:rPr>
          <w:rFonts w:ascii="Palatino Linotype" w:hAnsi="Palatino Linotype" w:cs="Arial"/>
          <w:color w:val="000000" w:themeColor="text1"/>
        </w:rPr>
        <w:t>en los</w:t>
      </w:r>
      <w:r w:rsidR="00597EF5" w:rsidRPr="00597EF5">
        <w:rPr>
          <w:rFonts w:ascii="Palatino Linotype" w:hAnsi="Palatino Linotype" w:cs="Arial"/>
          <w:color w:val="000000" w:themeColor="text1"/>
        </w:rPr>
        <w:t xml:space="preserve"> que señaló como</w:t>
      </w:r>
      <w:r w:rsidR="00626768">
        <w:rPr>
          <w:rFonts w:ascii="Palatino Linotype" w:hAnsi="Palatino Linotype" w:cs="Arial"/>
          <w:color w:val="000000" w:themeColor="text1"/>
        </w:rPr>
        <w:t>:</w:t>
      </w:r>
    </w:p>
    <w:p w14:paraId="59254FEE" w14:textId="77777777" w:rsidR="00FD7041" w:rsidRDefault="00FD7041" w:rsidP="00626768">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484"/>
        <w:gridCol w:w="2588"/>
      </w:tblGrid>
      <w:tr w:rsidR="00FD7041" w:rsidRPr="00290366" w14:paraId="145EB914" w14:textId="77777777" w:rsidTr="0009766E">
        <w:trPr>
          <w:trHeight w:val="324"/>
          <w:tblHeader/>
          <w:jc w:val="center"/>
        </w:trPr>
        <w:tc>
          <w:tcPr>
            <w:tcW w:w="2189" w:type="dxa"/>
            <w:shd w:val="clear" w:color="auto" w:fill="000000" w:themeFill="text1"/>
            <w:vAlign w:val="center"/>
          </w:tcPr>
          <w:p w14:paraId="34540117" w14:textId="77777777" w:rsidR="00FD7041" w:rsidRPr="00290366"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lastRenderedPageBreak/>
              <w:t>Número de Recurso</w:t>
            </w:r>
          </w:p>
        </w:tc>
        <w:tc>
          <w:tcPr>
            <w:tcW w:w="2484" w:type="dxa"/>
            <w:shd w:val="clear" w:color="auto" w:fill="000000" w:themeFill="text1"/>
            <w:vAlign w:val="center"/>
          </w:tcPr>
          <w:p w14:paraId="15BA98CA" w14:textId="77777777" w:rsidR="00FD7041" w:rsidRPr="00290366"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D4234">
              <w:rPr>
                <w:rFonts w:ascii="Palatino Linotype" w:hAnsi="Palatino Linotype"/>
                <w:b/>
                <w:color w:val="FFFFFF" w:themeColor="background1"/>
                <w:sz w:val="16"/>
                <w:szCs w:val="16"/>
              </w:rPr>
              <w:t>Acto impugnado</w:t>
            </w:r>
          </w:p>
        </w:tc>
        <w:tc>
          <w:tcPr>
            <w:tcW w:w="2588" w:type="dxa"/>
            <w:shd w:val="clear" w:color="auto" w:fill="000000" w:themeFill="text1"/>
            <w:vAlign w:val="center"/>
          </w:tcPr>
          <w:p w14:paraId="32843129" w14:textId="77777777" w:rsidR="00FD7041" w:rsidRPr="00290366"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w:t>
            </w:r>
            <w:r w:rsidRPr="000D4234">
              <w:rPr>
                <w:rFonts w:ascii="Palatino Linotype" w:hAnsi="Palatino Linotype"/>
                <w:b/>
                <w:color w:val="FFFFFF" w:themeColor="background1"/>
                <w:sz w:val="16"/>
                <w:szCs w:val="16"/>
              </w:rPr>
              <w:t>nconformidad</w:t>
            </w:r>
          </w:p>
        </w:tc>
      </w:tr>
      <w:tr w:rsidR="00FD7041" w:rsidRPr="000D4234" w14:paraId="68BFCC4D" w14:textId="77777777" w:rsidTr="00851D87">
        <w:trPr>
          <w:trHeight w:val="622"/>
          <w:jc w:val="center"/>
        </w:trPr>
        <w:tc>
          <w:tcPr>
            <w:tcW w:w="2189" w:type="dxa"/>
            <w:vAlign w:val="center"/>
          </w:tcPr>
          <w:p w14:paraId="10EEFD2D" w14:textId="59A8146F" w:rsidR="00FD7041" w:rsidRPr="00A509E0" w:rsidRDefault="001A6956"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A6956">
              <w:rPr>
                <w:rFonts w:ascii="Palatino Linotype" w:hAnsi="Palatino Linotype"/>
                <w:b/>
                <w:sz w:val="16"/>
                <w:szCs w:val="16"/>
              </w:rPr>
              <w:t>15287/INFOEM/IP/RR/2022</w:t>
            </w:r>
          </w:p>
        </w:tc>
        <w:tc>
          <w:tcPr>
            <w:tcW w:w="2484" w:type="dxa"/>
            <w:vAlign w:val="center"/>
          </w:tcPr>
          <w:p w14:paraId="3B7350B5" w14:textId="5610EB8F" w:rsidR="00FD7041" w:rsidRPr="000D4234" w:rsidRDefault="00FD7041" w:rsidP="00921A89">
            <w:pPr>
              <w:pStyle w:val="Prrafodelista"/>
              <w:tabs>
                <w:tab w:val="left" w:pos="709"/>
              </w:tabs>
              <w:ind w:left="0"/>
              <w:jc w:val="both"/>
              <w:rPr>
                <w:rFonts w:ascii="Palatino Linotype" w:hAnsi="Palatino Linotype"/>
                <w:i/>
                <w:sz w:val="16"/>
                <w:szCs w:val="16"/>
              </w:rPr>
            </w:pPr>
            <w:r>
              <w:rPr>
                <w:rFonts w:ascii="Palatino Linotype" w:hAnsi="Palatino Linotype"/>
                <w:i/>
                <w:sz w:val="16"/>
                <w:szCs w:val="16"/>
              </w:rPr>
              <w:t>“</w:t>
            </w:r>
            <w:r w:rsidR="00851D87" w:rsidRPr="00851D87">
              <w:rPr>
                <w:rFonts w:ascii="Palatino Linotype" w:hAnsi="Palatino Linotype"/>
                <w:i/>
                <w:sz w:val="16"/>
                <w:szCs w:val="16"/>
              </w:rPr>
              <w:t>NO ENTREGA INFORMACIÓN SOLICITADA</w:t>
            </w:r>
            <w:r>
              <w:rPr>
                <w:rFonts w:ascii="Palatino Linotype" w:hAnsi="Palatino Linotype"/>
                <w:i/>
                <w:sz w:val="16"/>
                <w:szCs w:val="16"/>
              </w:rPr>
              <w:t>” (Sic)</w:t>
            </w:r>
          </w:p>
        </w:tc>
        <w:tc>
          <w:tcPr>
            <w:tcW w:w="2588" w:type="dxa"/>
            <w:vAlign w:val="center"/>
          </w:tcPr>
          <w:p w14:paraId="51EC13C8" w14:textId="62E665EB" w:rsidR="00FD7041" w:rsidRPr="000D4234" w:rsidRDefault="00FD7041" w:rsidP="00921A89">
            <w:pPr>
              <w:pStyle w:val="Prrafodelista"/>
              <w:tabs>
                <w:tab w:val="left" w:pos="709"/>
              </w:tabs>
              <w:ind w:left="0"/>
              <w:jc w:val="both"/>
              <w:rPr>
                <w:rFonts w:ascii="Palatino Linotype" w:hAnsi="Palatino Linotype"/>
                <w:i/>
                <w:sz w:val="16"/>
                <w:szCs w:val="16"/>
              </w:rPr>
            </w:pPr>
            <w:r>
              <w:rPr>
                <w:rFonts w:ascii="Palatino Linotype" w:hAnsi="Palatino Linotype"/>
                <w:i/>
                <w:sz w:val="16"/>
                <w:szCs w:val="16"/>
              </w:rPr>
              <w:t>“</w:t>
            </w:r>
            <w:r w:rsidR="00851D87" w:rsidRPr="00851D87">
              <w:rPr>
                <w:rFonts w:ascii="Palatino Linotype" w:hAnsi="Palatino Linotype"/>
                <w:i/>
                <w:sz w:val="16"/>
                <w:szCs w:val="16"/>
              </w:rPr>
              <w:t>NO ENTREGA INFORMACIÓN SOLICITADA</w:t>
            </w:r>
            <w:r>
              <w:rPr>
                <w:rFonts w:ascii="Palatino Linotype" w:hAnsi="Palatino Linotype"/>
                <w:i/>
                <w:sz w:val="16"/>
                <w:szCs w:val="16"/>
              </w:rPr>
              <w:t>”</w:t>
            </w:r>
            <w:r w:rsidR="00851D87">
              <w:rPr>
                <w:rFonts w:ascii="Palatino Linotype" w:hAnsi="Palatino Linotype"/>
                <w:i/>
                <w:sz w:val="16"/>
                <w:szCs w:val="16"/>
              </w:rPr>
              <w:t xml:space="preserve"> (Sic)</w:t>
            </w:r>
          </w:p>
        </w:tc>
      </w:tr>
      <w:tr w:rsidR="00FD7041" w:rsidRPr="00A509E0" w14:paraId="1F900200" w14:textId="77777777" w:rsidTr="0009766E">
        <w:trPr>
          <w:trHeight w:val="430"/>
          <w:jc w:val="center"/>
        </w:trPr>
        <w:tc>
          <w:tcPr>
            <w:tcW w:w="2189" w:type="dxa"/>
            <w:vAlign w:val="center"/>
          </w:tcPr>
          <w:p w14:paraId="210D8E5A" w14:textId="4188BFA7" w:rsidR="00FD7041" w:rsidRPr="00A509E0" w:rsidRDefault="001A6956"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A6956">
              <w:rPr>
                <w:rFonts w:ascii="Palatino Linotype" w:hAnsi="Palatino Linotype"/>
                <w:b/>
                <w:sz w:val="16"/>
                <w:szCs w:val="16"/>
              </w:rPr>
              <w:t>15328/INFOEM/IP/RR/2022</w:t>
            </w:r>
          </w:p>
        </w:tc>
        <w:tc>
          <w:tcPr>
            <w:tcW w:w="2484" w:type="dxa"/>
            <w:vAlign w:val="center"/>
          </w:tcPr>
          <w:p w14:paraId="201AC726" w14:textId="0CAA49C1" w:rsidR="00FD7041" w:rsidRPr="00A509E0" w:rsidRDefault="00FD7041" w:rsidP="00921A8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851D87" w:rsidRPr="00851D87">
              <w:rPr>
                <w:rFonts w:ascii="Palatino Linotype" w:hAnsi="Palatino Linotype"/>
                <w:i/>
                <w:color w:val="000000"/>
                <w:sz w:val="16"/>
                <w:szCs w:val="16"/>
              </w:rPr>
              <w:t>NO ENTREGA INFORMACIÓN SOLICITADA</w:t>
            </w:r>
            <w:r>
              <w:rPr>
                <w:rFonts w:ascii="Palatino Linotype" w:hAnsi="Palatino Linotype"/>
                <w:i/>
                <w:color w:val="000000"/>
                <w:sz w:val="16"/>
                <w:szCs w:val="16"/>
              </w:rPr>
              <w:t>” (Sic)</w:t>
            </w:r>
          </w:p>
        </w:tc>
        <w:tc>
          <w:tcPr>
            <w:tcW w:w="2588" w:type="dxa"/>
            <w:vAlign w:val="center"/>
          </w:tcPr>
          <w:p w14:paraId="3E56B5FA" w14:textId="2AE39FE7" w:rsidR="00FD7041" w:rsidRPr="00A509E0" w:rsidRDefault="00FD7041" w:rsidP="00921A8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851D87" w:rsidRPr="00851D87">
              <w:rPr>
                <w:rFonts w:ascii="Palatino Linotype" w:hAnsi="Palatino Linotype"/>
                <w:i/>
                <w:color w:val="000000"/>
                <w:sz w:val="16"/>
                <w:szCs w:val="16"/>
              </w:rPr>
              <w:t>NO ENTREGA INFORMACIÓN SOLICITADA</w:t>
            </w:r>
            <w:r>
              <w:rPr>
                <w:rFonts w:ascii="Palatino Linotype" w:hAnsi="Palatino Linotype"/>
                <w:i/>
                <w:color w:val="000000"/>
                <w:sz w:val="16"/>
                <w:szCs w:val="16"/>
              </w:rPr>
              <w:t>” (Sic)</w:t>
            </w:r>
          </w:p>
        </w:tc>
      </w:tr>
      <w:tr w:rsidR="00FD7041" w14:paraId="545DE4A0" w14:textId="77777777" w:rsidTr="0009766E">
        <w:trPr>
          <w:trHeight w:val="641"/>
          <w:jc w:val="center"/>
        </w:trPr>
        <w:tc>
          <w:tcPr>
            <w:tcW w:w="2189" w:type="dxa"/>
            <w:vAlign w:val="center"/>
          </w:tcPr>
          <w:p w14:paraId="72A98D18" w14:textId="30F466B9" w:rsidR="00FD7041" w:rsidRPr="00770C9A" w:rsidRDefault="001A6956"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A6956">
              <w:rPr>
                <w:rFonts w:ascii="Palatino Linotype" w:hAnsi="Palatino Linotype"/>
                <w:b/>
                <w:sz w:val="16"/>
                <w:szCs w:val="16"/>
              </w:rPr>
              <w:t>15360/INFOEM/IP/RR/2022</w:t>
            </w:r>
          </w:p>
        </w:tc>
        <w:tc>
          <w:tcPr>
            <w:tcW w:w="2484" w:type="dxa"/>
            <w:vAlign w:val="center"/>
          </w:tcPr>
          <w:p w14:paraId="6D96BC6A" w14:textId="77841A97" w:rsidR="00FD7041" w:rsidRDefault="00FD7041" w:rsidP="00921A8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851D87" w:rsidRPr="00851D87">
              <w:rPr>
                <w:rFonts w:ascii="Palatino Linotype" w:hAnsi="Palatino Linotype"/>
                <w:i/>
                <w:color w:val="000000"/>
                <w:sz w:val="16"/>
                <w:szCs w:val="16"/>
              </w:rPr>
              <w:t xml:space="preserve">NO ENTREGAN INFORMACIÓN </w:t>
            </w:r>
            <w:proofErr w:type="gramStart"/>
            <w:r w:rsidR="00851D87" w:rsidRPr="00851D87">
              <w:rPr>
                <w:rFonts w:ascii="Palatino Linotype" w:hAnsi="Palatino Linotype"/>
                <w:i/>
                <w:color w:val="000000"/>
                <w:sz w:val="16"/>
                <w:szCs w:val="16"/>
              </w:rPr>
              <w:t>SOLICITADA</w:t>
            </w:r>
            <w:r>
              <w:rPr>
                <w:rFonts w:ascii="Palatino Linotype" w:hAnsi="Palatino Linotype"/>
                <w:i/>
                <w:color w:val="000000"/>
                <w:sz w:val="16"/>
                <w:szCs w:val="16"/>
              </w:rPr>
              <w:t>”(</w:t>
            </w:r>
            <w:proofErr w:type="gramEnd"/>
            <w:r>
              <w:rPr>
                <w:rFonts w:ascii="Palatino Linotype" w:hAnsi="Palatino Linotype"/>
                <w:i/>
                <w:color w:val="000000"/>
                <w:sz w:val="16"/>
                <w:szCs w:val="16"/>
              </w:rPr>
              <w:t>Sic)</w:t>
            </w:r>
          </w:p>
        </w:tc>
        <w:tc>
          <w:tcPr>
            <w:tcW w:w="2588" w:type="dxa"/>
            <w:vAlign w:val="center"/>
          </w:tcPr>
          <w:p w14:paraId="4AC72186" w14:textId="35D6CDF8" w:rsidR="00FD7041" w:rsidRDefault="00FD7041" w:rsidP="00921A8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851D87" w:rsidRPr="00851D87">
              <w:rPr>
                <w:rFonts w:ascii="Palatino Linotype" w:hAnsi="Palatino Linotype"/>
                <w:i/>
                <w:color w:val="000000"/>
                <w:sz w:val="16"/>
                <w:szCs w:val="16"/>
              </w:rPr>
              <w:t>NO ENTREGAN INFORMACIÓN SOLICITADA</w:t>
            </w:r>
            <w:r>
              <w:rPr>
                <w:rFonts w:ascii="Palatino Linotype" w:hAnsi="Palatino Linotype"/>
                <w:i/>
                <w:color w:val="000000"/>
                <w:sz w:val="16"/>
                <w:szCs w:val="16"/>
              </w:rPr>
              <w:t>” (Sic)</w:t>
            </w:r>
          </w:p>
        </w:tc>
      </w:tr>
    </w:tbl>
    <w:p w14:paraId="37005389" w14:textId="5E155D94" w:rsidR="007F553B" w:rsidRDefault="007F553B" w:rsidP="003404B0">
      <w:pPr>
        <w:spacing w:line="360" w:lineRule="auto"/>
        <w:jc w:val="both"/>
        <w:rPr>
          <w:rFonts w:ascii="Palatino Linotype" w:hAnsi="Palatino Linotype" w:cs="Arial"/>
          <w:b/>
          <w:color w:val="000000" w:themeColor="text1"/>
          <w:sz w:val="28"/>
          <w:szCs w:val="28"/>
        </w:rPr>
      </w:pPr>
    </w:p>
    <w:p w14:paraId="45B4414C" w14:textId="5175A354" w:rsidR="003404B0" w:rsidRPr="006F0A66" w:rsidRDefault="0009766E" w:rsidP="003404B0">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V</w:t>
      </w:r>
      <w:r w:rsidR="001A6956">
        <w:rPr>
          <w:rFonts w:ascii="Palatino Linotype" w:hAnsi="Palatino Linotype" w:cs="Arial"/>
          <w:b/>
          <w:color w:val="000000" w:themeColor="text1"/>
          <w:sz w:val="28"/>
          <w:szCs w:val="28"/>
        </w:rPr>
        <w:t>I</w:t>
      </w:r>
      <w:r w:rsidR="003404B0" w:rsidRPr="006F0A66">
        <w:rPr>
          <w:rFonts w:ascii="Palatino Linotype" w:hAnsi="Palatino Linotype" w:cs="Arial"/>
          <w:b/>
          <w:color w:val="000000" w:themeColor="text1"/>
          <w:sz w:val="28"/>
          <w:szCs w:val="28"/>
        </w:rPr>
        <w:t xml:space="preserve">. </w:t>
      </w:r>
      <w:r w:rsidR="003404B0" w:rsidRPr="006F0A66">
        <w:rPr>
          <w:rFonts w:ascii="Palatino Linotype" w:hAnsi="Palatino Linotype" w:cs="Arial"/>
          <w:b/>
          <w:sz w:val="28"/>
          <w:szCs w:val="28"/>
        </w:rPr>
        <w:t>Del turno del Recurso de Revisión</w:t>
      </w:r>
    </w:p>
    <w:p w14:paraId="7D6276FD" w14:textId="49EADA36" w:rsidR="009D6B53" w:rsidRPr="00267FBD" w:rsidRDefault="00851D87" w:rsidP="00851D87">
      <w:pPr>
        <w:spacing w:line="360" w:lineRule="auto"/>
        <w:jc w:val="both"/>
      </w:pPr>
      <w:r>
        <w:rPr>
          <w:rFonts w:ascii="Palatino Linotype" w:hAnsi="Palatino Linotype" w:cs="Arial"/>
          <w:color w:val="000000" w:themeColor="text1"/>
        </w:rPr>
        <w:t>En fechas</w:t>
      </w:r>
      <w:r w:rsidR="009D6B53" w:rsidRPr="006F0A66">
        <w:rPr>
          <w:rFonts w:ascii="Palatino Linotype" w:hAnsi="Palatino Linotype" w:cs="Arial"/>
          <w:color w:val="000000" w:themeColor="text1"/>
        </w:rPr>
        <w:t xml:space="preserve"> </w:t>
      </w:r>
      <w:r>
        <w:rPr>
          <w:rFonts w:ascii="Palatino Linotype" w:hAnsi="Palatino Linotype" w:cs="Arial"/>
          <w:b/>
          <w:bCs/>
          <w:color w:val="000000" w:themeColor="text1"/>
        </w:rPr>
        <w:t xml:space="preserve">tres </w:t>
      </w:r>
      <w:r w:rsidRPr="00851D87">
        <w:rPr>
          <w:rFonts w:ascii="Palatino Linotype" w:hAnsi="Palatino Linotype" w:cs="Arial"/>
          <w:bCs/>
          <w:color w:val="000000" w:themeColor="text1"/>
        </w:rPr>
        <w:t>y</w:t>
      </w:r>
      <w:r>
        <w:rPr>
          <w:rFonts w:ascii="Palatino Linotype" w:hAnsi="Palatino Linotype" w:cs="Arial"/>
          <w:b/>
          <w:bCs/>
          <w:color w:val="000000" w:themeColor="text1"/>
        </w:rPr>
        <w:t xml:space="preserve"> cuatro de octubre</w:t>
      </w:r>
      <w:r w:rsidR="0009766E">
        <w:rPr>
          <w:rFonts w:ascii="Palatino Linotype" w:hAnsi="Palatino Linotype" w:cs="Arial"/>
          <w:b/>
          <w:bCs/>
          <w:color w:val="000000" w:themeColor="text1"/>
        </w:rPr>
        <w:t xml:space="preserve"> </w:t>
      </w:r>
      <w:r w:rsidR="002D07EC" w:rsidRPr="002D07EC">
        <w:rPr>
          <w:rFonts w:ascii="Palatino Linotype" w:hAnsi="Palatino Linotype" w:cs="Arial"/>
          <w:b/>
          <w:bCs/>
          <w:color w:val="000000" w:themeColor="text1"/>
          <w:lang w:val="es-419"/>
        </w:rPr>
        <w:t>de dos mil veintidós</w:t>
      </w:r>
      <w:r w:rsidR="009D6B53" w:rsidRPr="006F0A66">
        <w:rPr>
          <w:rFonts w:ascii="Palatino Linotype" w:hAnsi="Palatino Linotype" w:cs="Arial"/>
          <w:color w:val="000000" w:themeColor="text1"/>
        </w:rPr>
        <w:t xml:space="preserve">, </w:t>
      </w:r>
      <w:r w:rsidR="009D6B53" w:rsidRPr="006F0A66">
        <w:rPr>
          <w:rFonts w:ascii="Palatino Linotype" w:hAnsi="Palatino Linotype"/>
          <w:color w:val="000000" w:themeColor="text1"/>
        </w:rPr>
        <w:t>los</w:t>
      </w:r>
      <w:r w:rsidR="009D6B53"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009D6B53" w:rsidRPr="006F0A66">
        <w:rPr>
          <w:rFonts w:ascii="Palatino Linotype" w:hAnsi="Palatino Linotype" w:cs="Arial"/>
          <w:color w:val="000000" w:themeColor="text1"/>
          <w:lang w:val="es-ES_tradnl"/>
        </w:rPr>
        <w:t xml:space="preserve">viaron electrónicamente al Instituto de </w:t>
      </w:r>
      <w:r w:rsidR="009D6B53" w:rsidRPr="006F0A66">
        <w:rPr>
          <w:rFonts w:ascii="Palatino Linotype" w:eastAsia="Arial Unicode MS" w:hAnsi="Palatino Linotype" w:cs="Arial"/>
          <w:color w:val="000000" w:themeColor="text1"/>
        </w:rPr>
        <w:t>Transparencia</w:t>
      </w:r>
      <w:r w:rsidR="009D6B53"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009D6B53"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009D6B53" w:rsidRPr="006F0A66">
        <w:rPr>
          <w:rFonts w:ascii="Palatino Linotype" w:hAnsi="Palatino Linotype" w:cs="Arial"/>
          <w:color w:val="000000" w:themeColor="text1"/>
          <w:lang w:val="es-ES_tradnl"/>
        </w:rPr>
        <w:t xml:space="preserve">con fundamento en el artículo 185, fracción I de la </w:t>
      </w:r>
      <w:r w:rsidR="009D6B53" w:rsidRPr="006F0A66">
        <w:rPr>
          <w:rFonts w:ascii="Palatino Linotype" w:hAnsi="Palatino Linotype"/>
          <w:color w:val="000000" w:themeColor="text1"/>
        </w:rPr>
        <w:t>Ley de Transparencia y Acceso a la Información Pública del Estado de México y Municipios</w:t>
      </w:r>
      <w:r w:rsidR="009D6B53" w:rsidRPr="006F0A66">
        <w:rPr>
          <w:rFonts w:ascii="Palatino Linotype" w:hAnsi="Palatino Linotype" w:cs="Arial"/>
          <w:color w:val="000000" w:themeColor="text1"/>
          <w:lang w:val="es-ES_tradnl"/>
        </w:rPr>
        <w:t>, se turnaron, a través del</w:t>
      </w:r>
      <w:r w:rsidR="009D6B53" w:rsidRPr="006F0A66">
        <w:rPr>
          <w:rFonts w:ascii="Palatino Linotype" w:eastAsia="Arial Unicode MS" w:hAnsi="Palatino Linotype" w:cs="Arial"/>
          <w:color w:val="000000" w:themeColor="text1"/>
          <w:lang w:val="es-ES_tradnl"/>
        </w:rPr>
        <w:t xml:space="preserve"> </w:t>
      </w:r>
      <w:r w:rsidR="009D6B53" w:rsidRPr="006F0A66">
        <w:rPr>
          <w:rFonts w:ascii="Palatino Linotype" w:eastAsia="Arial Unicode MS" w:hAnsi="Palatino Linotype" w:cs="Arial"/>
          <w:b/>
          <w:color w:val="000000" w:themeColor="text1"/>
          <w:lang w:val="es-ES_tradnl"/>
        </w:rPr>
        <w:t>SAIMEX</w:t>
      </w:r>
      <w:r>
        <w:rPr>
          <w:rFonts w:ascii="Palatino Linotype" w:hAnsi="Palatino Linotype"/>
          <w:color w:val="000000" w:themeColor="text1"/>
        </w:rPr>
        <w:t>;</w:t>
      </w:r>
      <w:r w:rsidR="009D6B53" w:rsidRPr="006F0A66">
        <w:rPr>
          <w:rFonts w:ascii="Palatino Linotype" w:hAnsi="Palatino Linotype"/>
          <w:color w:val="000000" w:themeColor="text1"/>
        </w:rPr>
        <w:t xml:space="preserve"> </w:t>
      </w:r>
      <w:r>
        <w:rPr>
          <w:rFonts w:ascii="Palatino Linotype" w:hAnsi="Palatino Linotype"/>
          <w:color w:val="000000" w:themeColor="text1"/>
        </w:rPr>
        <w:t>el</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009D6B53" w:rsidRPr="006F0A66">
        <w:rPr>
          <w:rFonts w:ascii="Palatino Linotype" w:hAnsi="Palatino Linotype"/>
          <w:color w:val="000000" w:themeColor="text1"/>
        </w:rPr>
        <w:t>ecurso</w:t>
      </w:r>
      <w:r w:rsidR="009D6B53"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009D6B53"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Pr="00851D87">
        <w:rPr>
          <w:rFonts w:ascii="Palatino Linotype" w:hAnsi="Palatino Linotype" w:cs="Arial"/>
          <w:b/>
          <w:color w:val="000000" w:themeColor="text1"/>
          <w:szCs w:val="20"/>
        </w:rPr>
        <w:t>15287/INFOEM/IP/RR/2022</w:t>
      </w:r>
      <w:r w:rsidR="003422EF">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009D6B53"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555672" w:rsidRPr="006F0A66">
        <w:rPr>
          <w:rFonts w:ascii="Palatino Linotype" w:hAnsi="Palatino Linotype"/>
        </w:rPr>
        <w:t>,</w:t>
      </w:r>
      <w:r w:rsidR="009D6B53" w:rsidRPr="006F0A66">
        <w:rPr>
          <w:rFonts w:ascii="Palatino Linotype" w:hAnsi="Palatino Linotype"/>
        </w:rPr>
        <w:t xml:space="preserve"> </w:t>
      </w:r>
      <w:r>
        <w:rPr>
          <w:rFonts w:ascii="Palatino Linotype" w:hAnsi="Palatino Linotype"/>
        </w:rPr>
        <w:t>el</w:t>
      </w:r>
      <w:r w:rsidR="009D6B53" w:rsidRPr="006F0A66">
        <w:rPr>
          <w:rFonts w:ascii="Palatino Linotype" w:hAnsi="Palatino Linotype"/>
        </w:rPr>
        <w:t xml:space="preserve"> </w:t>
      </w:r>
      <w:r w:rsidR="00025060" w:rsidRPr="006F0A66">
        <w:rPr>
          <w:rFonts w:ascii="Palatino Linotype" w:hAnsi="Palatino Linotype"/>
        </w:rPr>
        <w:t>Recurso de R</w:t>
      </w:r>
      <w:r w:rsidR="009D6B53" w:rsidRPr="006F0A66">
        <w:rPr>
          <w:rFonts w:ascii="Palatino Linotype" w:hAnsi="Palatino Linotype"/>
        </w:rPr>
        <w:t xml:space="preserve">evisión </w:t>
      </w:r>
      <w:r w:rsidRPr="00851D87">
        <w:rPr>
          <w:rFonts w:ascii="Palatino Linotype" w:hAnsi="Palatino Linotype"/>
          <w:b/>
        </w:rPr>
        <w:t>15360/INFOEM/IP/RR/2022</w:t>
      </w:r>
      <w:r w:rsidR="003422EF">
        <w:rPr>
          <w:rFonts w:ascii="Palatino Linotype" w:hAnsi="Palatino Linotype"/>
          <w:b/>
        </w:rPr>
        <w:t xml:space="preserve">, </w:t>
      </w:r>
      <w:r w:rsidR="003422EF">
        <w:rPr>
          <w:rFonts w:ascii="Palatino Linotype" w:hAnsi="Palatino Linotype"/>
        </w:rPr>
        <w:t xml:space="preserve">al </w:t>
      </w:r>
      <w:r w:rsidR="009D6B53" w:rsidRPr="00E41C02">
        <w:rPr>
          <w:rFonts w:ascii="Palatino Linotype" w:hAnsi="Palatino Linotype"/>
          <w:b/>
        </w:rPr>
        <w:t>Comisionad</w:t>
      </w:r>
      <w:r w:rsidR="00267FBD">
        <w:rPr>
          <w:rFonts w:ascii="Palatino Linotype" w:hAnsi="Palatino Linotype"/>
          <w:b/>
        </w:rPr>
        <w:t xml:space="preserve">o </w:t>
      </w:r>
      <w:r w:rsidR="00801793" w:rsidRPr="00E41C02">
        <w:rPr>
          <w:rFonts w:ascii="Palatino Linotype" w:hAnsi="Palatino Linotype"/>
          <w:b/>
        </w:rPr>
        <w:t>Presidente José Martínez Vilchis</w:t>
      </w:r>
      <w:r w:rsidR="007C65F7">
        <w:rPr>
          <w:rFonts w:ascii="Palatino Linotype" w:hAnsi="Palatino Linotype"/>
          <w:b/>
        </w:rPr>
        <w:t xml:space="preserve"> </w:t>
      </w:r>
      <w:r w:rsidR="007C65F7">
        <w:rPr>
          <w:rFonts w:ascii="Palatino Linotype" w:hAnsi="Palatino Linotype"/>
        </w:rPr>
        <w:t xml:space="preserve">y </w:t>
      </w:r>
      <w:r w:rsidR="00EB2306">
        <w:rPr>
          <w:rFonts w:ascii="Palatino Linotype" w:hAnsi="Palatino Linotype"/>
        </w:rPr>
        <w:t xml:space="preserve">finalmente </w:t>
      </w:r>
      <w:r w:rsidR="0009766E">
        <w:rPr>
          <w:rFonts w:ascii="Palatino Linotype" w:hAnsi="Palatino Linotype"/>
          <w:color w:val="000000" w:themeColor="text1"/>
        </w:rPr>
        <w:t>el</w:t>
      </w:r>
      <w:r w:rsidR="007C65F7">
        <w:rPr>
          <w:rFonts w:ascii="Palatino Linotype" w:hAnsi="Palatino Linotype"/>
          <w:color w:val="000000" w:themeColor="text1"/>
        </w:rPr>
        <w:t xml:space="preserve"> </w:t>
      </w:r>
      <w:r w:rsidR="007C65F7" w:rsidRPr="006F0A66">
        <w:rPr>
          <w:rFonts w:ascii="Palatino Linotype" w:hAnsi="Palatino Linotype"/>
        </w:rPr>
        <w:t>Recurso de Revisión</w:t>
      </w:r>
      <w:r w:rsidR="00267FBD">
        <w:rPr>
          <w:rFonts w:ascii="Palatino Linotype" w:hAnsi="Palatino Linotype"/>
          <w:color w:val="000000" w:themeColor="text1"/>
        </w:rPr>
        <w:t xml:space="preserve"> </w:t>
      </w:r>
      <w:r w:rsidRPr="00851D87">
        <w:rPr>
          <w:rFonts w:ascii="Palatino Linotype" w:hAnsi="Palatino Linotype"/>
          <w:b/>
        </w:rPr>
        <w:t>15328/INFOEM/IP/RR/2022</w:t>
      </w:r>
      <w:r>
        <w:rPr>
          <w:rFonts w:ascii="Palatino Linotype" w:hAnsi="Palatino Linotype"/>
          <w:b/>
        </w:rPr>
        <w:t>,</w:t>
      </w:r>
      <w:r w:rsidR="0009766E">
        <w:t xml:space="preserve"> </w:t>
      </w:r>
      <w:r w:rsidR="007C65F7" w:rsidRPr="007C65F7">
        <w:rPr>
          <w:rFonts w:ascii="Palatino Linotype" w:hAnsi="Palatino Linotype"/>
        </w:rPr>
        <w:t>a la</w:t>
      </w:r>
      <w:r w:rsidR="007C65F7">
        <w:rPr>
          <w:rFonts w:ascii="Palatino Linotype" w:hAnsi="Palatino Linotype"/>
        </w:rPr>
        <w:t xml:space="preserve"> </w:t>
      </w:r>
      <w:r w:rsidR="007C65F7" w:rsidRPr="007C65F7">
        <w:rPr>
          <w:rFonts w:ascii="Palatino Linotype" w:hAnsi="Palatino Linotype"/>
          <w:b/>
        </w:rPr>
        <w:t>Comisionada</w:t>
      </w:r>
      <w:r w:rsidR="007C65F7">
        <w:rPr>
          <w:rFonts w:ascii="Palatino Linotype" w:hAnsi="Palatino Linotype"/>
          <w:b/>
        </w:rPr>
        <w:t xml:space="preserve"> María del Rosario Mejía Ayala</w:t>
      </w:r>
      <w:r w:rsidR="009D6B53" w:rsidRPr="006F0A66">
        <w:rPr>
          <w:rFonts w:ascii="Palatino Linotype" w:hAnsi="Palatino Linotype"/>
          <w:color w:val="000000" w:themeColor="text1"/>
        </w:rPr>
        <w:t xml:space="preserve"> </w:t>
      </w:r>
      <w:r w:rsidR="00587DC6">
        <w:rPr>
          <w:rFonts w:ascii="Palatino Linotype" w:hAnsi="Palatino Linotype"/>
          <w:color w:val="000000" w:themeColor="text1"/>
        </w:rPr>
        <w:t xml:space="preserve">a </w:t>
      </w:r>
      <w:r w:rsidR="009D6B53" w:rsidRPr="006F0A66">
        <w:rPr>
          <w:rFonts w:ascii="Palatino Linotype" w:hAnsi="Palatino Linotype" w:cs="Arial"/>
          <w:color w:val="000000" w:themeColor="text1"/>
          <w:lang w:val="es-ES_tradnl"/>
        </w:rPr>
        <w:t>efecto de que decretaran su admisión o desechamiento.</w:t>
      </w:r>
    </w:p>
    <w:p w14:paraId="7D850418" w14:textId="6E1A8C0A" w:rsidR="009D6B53" w:rsidRPr="006F0A66"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t>a) Admisión del Recurso de Revisión</w:t>
      </w:r>
    </w:p>
    <w:p w14:paraId="3933D19F" w14:textId="133D23AF" w:rsidR="009D6B53" w:rsidRPr="006F0A66"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 xml:space="preserve">n fechas </w:t>
      </w:r>
      <w:r w:rsidR="00851D87">
        <w:rPr>
          <w:rFonts w:ascii="Palatino Linotype" w:hAnsi="Palatino Linotype" w:cs="Arial"/>
          <w:b/>
          <w:color w:val="000000" w:themeColor="text1"/>
        </w:rPr>
        <w:t xml:space="preserve">cinco, seis y siete de octubre </w:t>
      </w:r>
      <w:r w:rsidR="00DF5831">
        <w:rPr>
          <w:rFonts w:ascii="Palatino Linotype" w:hAnsi="Palatino Linotype" w:cs="Arial"/>
          <w:b/>
          <w:color w:val="000000" w:themeColor="text1"/>
        </w:rPr>
        <w:t>de</w:t>
      </w:r>
      <w:r w:rsidR="00C10EEE"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evisión que nos ocupan, así como la integración de los expedientes respectivos, mismos que se pusieron a disposición de las partes, para </w:t>
      </w:r>
      <w:r w:rsidRPr="006F0A66">
        <w:rPr>
          <w:rFonts w:ascii="Palatino Linotype" w:hAnsi="Palatino Linotype" w:cs="Arial"/>
          <w:color w:val="000000" w:themeColor="text1"/>
        </w:rPr>
        <w:lastRenderedPageBreak/>
        <w:t>que en un plazo máximo de siete días hábiles</w:t>
      </w:r>
      <w:r w:rsidR="005F5D50" w:rsidRPr="006F0A66">
        <w:rPr>
          <w:rFonts w:ascii="Palatino Linotype" w:hAnsi="Palatino Linotype" w:cs="Arial"/>
          <w:color w:val="000000" w:themeColor="text1"/>
        </w:rPr>
        <w:t xml:space="preserve"> </w:t>
      </w:r>
      <w:r w:rsidR="007A3DB8">
        <w:rPr>
          <w:rFonts w:ascii="Palatino Linotype" w:hAnsi="Palatino Linotype" w:cs="Arial"/>
          <w:b/>
        </w:rPr>
        <w:t>LA</w:t>
      </w:r>
      <w:r w:rsidR="00D01412" w:rsidRPr="006F0A66">
        <w:rPr>
          <w:rFonts w:ascii="Palatino Linotype" w:hAnsi="Palatino Linotype" w:cs="Arial"/>
          <w:b/>
          <w:color w:val="000000" w:themeColor="text1"/>
        </w:rPr>
        <w:t xml:space="preserve"> RECURRENTE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339873F9" w14:textId="77777777" w:rsidR="0009766E" w:rsidRDefault="0009766E" w:rsidP="003404B0">
      <w:pPr>
        <w:spacing w:line="360" w:lineRule="auto"/>
        <w:jc w:val="both"/>
        <w:rPr>
          <w:rFonts w:ascii="Palatino Linotype" w:eastAsia="Arial Unicode MS" w:hAnsi="Palatino Linotype" w:cs="Arial"/>
          <w:b/>
          <w:color w:val="000000" w:themeColor="text1"/>
        </w:rPr>
      </w:pPr>
    </w:p>
    <w:p w14:paraId="1B661F59" w14:textId="22CD2886"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0B9AF124"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7A3DB8">
        <w:rPr>
          <w:rFonts w:ascii="Palatino Linotype" w:eastAsia="Arial Unicode MS" w:hAnsi="Palatino Linotype" w:cs="Arial"/>
          <w:color w:val="000000" w:themeColor="text1"/>
        </w:rPr>
        <w:t xml:space="preserve"> </w:t>
      </w:r>
      <w:r w:rsidR="007A3DB8">
        <w:rPr>
          <w:rFonts w:ascii="Palatino Linotype" w:hAnsi="Palatino Linotype" w:cs="Arial"/>
          <w:b/>
        </w:rPr>
        <w:t>LA</w:t>
      </w:r>
      <w:r w:rsidRPr="006F0A66">
        <w:rPr>
          <w:rFonts w:ascii="Palatino Linotype" w:eastAsia="Arial Unicode MS" w:hAnsi="Palatino Linotype" w:cs="Arial"/>
          <w:color w:val="000000" w:themeColor="text1"/>
        </w:rPr>
        <w:t xml:space="preserve">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009D1F7B">
        <w:rPr>
          <w:rFonts w:ascii="Palatino Linotype" w:eastAsia="Arial Unicode MS" w:hAnsi="Palatino Linotype" w:cs="Arial"/>
          <w:color w:val="000000" w:themeColor="text1"/>
        </w:rPr>
        <w:t xml:space="preserve"> presentó pruebas o alegatos y</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tal y como se aprecia en la</w:t>
      </w:r>
      <w:r w:rsidR="009D1F7B">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r w:rsidR="000225BC">
        <w:rPr>
          <w:rFonts w:ascii="Palatino Linotype" w:eastAsia="Arial Unicode MS" w:hAnsi="Palatino Linotype" w:cs="Arial"/>
          <w:color w:val="000000" w:themeColor="text1"/>
        </w:rPr>
        <w:t>:</w:t>
      </w:r>
    </w:p>
    <w:p w14:paraId="45EB9209" w14:textId="77777777" w:rsidR="00357C81" w:rsidRDefault="00357C81" w:rsidP="00756235">
      <w:pPr>
        <w:spacing w:line="360" w:lineRule="auto"/>
        <w:jc w:val="both"/>
        <w:rPr>
          <w:rFonts w:ascii="Palatino Linotype" w:hAnsi="Palatino Linotype" w:cs="Arial"/>
          <w:color w:val="000000" w:themeColor="text1"/>
        </w:rPr>
      </w:pPr>
    </w:p>
    <w:p w14:paraId="6FFEB769" w14:textId="69B0C86B" w:rsidR="00DF5831" w:rsidRDefault="00851D87" w:rsidP="00756235">
      <w:pPr>
        <w:spacing w:line="360" w:lineRule="auto"/>
        <w:jc w:val="both"/>
        <w:rPr>
          <w:rFonts w:ascii="Palatino Linotype" w:hAnsi="Palatino Linotype" w:cs="Arial"/>
          <w:color w:val="000000" w:themeColor="text1"/>
        </w:rPr>
      </w:pPr>
      <w:r>
        <w:rPr>
          <w:noProof/>
          <w:lang w:val="es-419" w:eastAsia="es-419"/>
        </w:rPr>
        <w:drawing>
          <wp:inline distT="0" distB="0" distL="0" distR="0" wp14:anchorId="3E059D25" wp14:editId="1DFB9BEE">
            <wp:extent cx="5941060" cy="14160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416050"/>
                    </a:xfrm>
                    <a:prstGeom prst="rect">
                      <a:avLst/>
                    </a:prstGeom>
                  </pic:spPr>
                </pic:pic>
              </a:graphicData>
            </a:graphic>
          </wp:inline>
        </w:drawing>
      </w:r>
    </w:p>
    <w:p w14:paraId="19CF3879" w14:textId="77222B8E" w:rsidR="00DF5831" w:rsidRDefault="00DF5831" w:rsidP="00756235">
      <w:pPr>
        <w:spacing w:line="360" w:lineRule="auto"/>
        <w:jc w:val="both"/>
        <w:rPr>
          <w:rFonts w:ascii="Palatino Linotype" w:hAnsi="Palatino Linotype" w:cs="Arial"/>
          <w:color w:val="000000" w:themeColor="text1"/>
        </w:rPr>
      </w:pPr>
    </w:p>
    <w:p w14:paraId="151CA08F" w14:textId="6BE8B9A2" w:rsidR="00DF5831" w:rsidRDefault="00851D87" w:rsidP="00756235">
      <w:pPr>
        <w:spacing w:line="360" w:lineRule="auto"/>
        <w:jc w:val="both"/>
        <w:rPr>
          <w:rFonts w:ascii="Palatino Linotype" w:hAnsi="Palatino Linotype" w:cs="Arial"/>
          <w:color w:val="000000" w:themeColor="text1"/>
        </w:rPr>
      </w:pPr>
      <w:r>
        <w:rPr>
          <w:noProof/>
          <w:lang w:val="es-419" w:eastAsia="es-419"/>
        </w:rPr>
        <w:lastRenderedPageBreak/>
        <w:drawing>
          <wp:inline distT="0" distB="0" distL="0" distR="0" wp14:anchorId="5A266A38" wp14:editId="682D4E82">
            <wp:extent cx="5941060" cy="139319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93190"/>
                    </a:xfrm>
                    <a:prstGeom prst="rect">
                      <a:avLst/>
                    </a:prstGeom>
                  </pic:spPr>
                </pic:pic>
              </a:graphicData>
            </a:graphic>
          </wp:inline>
        </w:drawing>
      </w:r>
    </w:p>
    <w:p w14:paraId="3780245D" w14:textId="440056C9" w:rsidR="0073215D" w:rsidRDefault="0073215D" w:rsidP="002E7E03">
      <w:pPr>
        <w:tabs>
          <w:tab w:val="center" w:pos="4252"/>
          <w:tab w:val="right" w:pos="8504"/>
        </w:tabs>
        <w:spacing w:line="360" w:lineRule="auto"/>
        <w:jc w:val="both"/>
        <w:rPr>
          <w:rFonts w:ascii="Palatino Linotype" w:hAnsi="Palatino Linotype" w:cs="Arial"/>
          <w:b/>
          <w:color w:val="000000" w:themeColor="text1"/>
        </w:rPr>
      </w:pPr>
    </w:p>
    <w:p w14:paraId="5C0E2CF8" w14:textId="27372222" w:rsidR="00851D87" w:rsidRDefault="00851D87" w:rsidP="002E7E03">
      <w:pPr>
        <w:tabs>
          <w:tab w:val="center" w:pos="4252"/>
          <w:tab w:val="right" w:pos="8504"/>
        </w:tabs>
        <w:spacing w:line="360" w:lineRule="auto"/>
        <w:jc w:val="both"/>
        <w:rPr>
          <w:rFonts w:ascii="Palatino Linotype" w:hAnsi="Palatino Linotype" w:cs="Arial"/>
          <w:b/>
          <w:color w:val="000000" w:themeColor="text1"/>
        </w:rPr>
      </w:pPr>
      <w:r>
        <w:rPr>
          <w:noProof/>
          <w:lang w:val="es-419" w:eastAsia="es-419"/>
        </w:rPr>
        <w:drawing>
          <wp:inline distT="0" distB="0" distL="0" distR="0" wp14:anchorId="09252DEC" wp14:editId="5A3E387F">
            <wp:extent cx="5941060" cy="1403985"/>
            <wp:effectExtent l="0" t="0" r="254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403985"/>
                    </a:xfrm>
                    <a:prstGeom prst="rect">
                      <a:avLst/>
                    </a:prstGeom>
                  </pic:spPr>
                </pic:pic>
              </a:graphicData>
            </a:graphic>
          </wp:inline>
        </w:drawing>
      </w:r>
    </w:p>
    <w:p w14:paraId="0B24FAA6" w14:textId="77777777" w:rsidR="00851D87" w:rsidRDefault="00851D87" w:rsidP="002E7E03">
      <w:pPr>
        <w:tabs>
          <w:tab w:val="center" w:pos="4252"/>
          <w:tab w:val="right" w:pos="8504"/>
        </w:tabs>
        <w:spacing w:line="360" w:lineRule="auto"/>
        <w:jc w:val="both"/>
        <w:rPr>
          <w:rFonts w:ascii="Palatino Linotype" w:hAnsi="Palatino Linotype" w:cs="Arial"/>
          <w:b/>
          <w:color w:val="000000" w:themeColor="text1"/>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37CD3711" w:rsidR="002E7E03" w:rsidRPr="00BA2633" w:rsidRDefault="002E7E03" w:rsidP="000225BC">
      <w:pPr>
        <w:spacing w:line="360" w:lineRule="auto"/>
        <w:jc w:val="both"/>
        <w:rPr>
          <w:rFonts w:ascii="Palatino Linotype" w:hAnsi="Palatino Linotype"/>
          <w:b/>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B8534D" w:rsidRPr="00B8534D">
        <w:rPr>
          <w:rFonts w:ascii="Palatino Linotype" w:hAnsi="Palatino Linotype" w:cs="Arial"/>
          <w:color w:val="000000" w:themeColor="text1"/>
        </w:rPr>
        <w:t>Trigésima Séptima Sesión</w:t>
      </w:r>
      <w:r w:rsidR="000225BC">
        <w:rPr>
          <w:rFonts w:ascii="Palatino Linotype" w:hAnsi="Palatino Linotype" w:cs="Arial"/>
          <w:color w:val="000000" w:themeColor="text1"/>
        </w:rPr>
        <w:t xml:space="preserve"> O</w:t>
      </w:r>
      <w:r w:rsidR="000225BC" w:rsidRPr="000225BC">
        <w:rPr>
          <w:rFonts w:ascii="Palatino Linotype" w:hAnsi="Palatino Linotype" w:cs="Arial"/>
          <w:color w:val="000000" w:themeColor="text1"/>
        </w:rPr>
        <w:t>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de</w:t>
      </w:r>
      <w:r w:rsidR="002F12C6">
        <w:rPr>
          <w:rFonts w:ascii="Palatino Linotype" w:hAnsi="Palatino Linotype" w:cs="Arial"/>
          <w:color w:val="000000" w:themeColor="text1"/>
          <w:lang w:val="es-419"/>
        </w:rPr>
        <w:t xml:space="preserve"> fecha </w:t>
      </w:r>
      <w:r w:rsidR="00B8534D">
        <w:rPr>
          <w:rFonts w:ascii="Palatino Linotype" w:hAnsi="Palatino Linotype" w:cs="Arial"/>
          <w:b/>
          <w:color w:val="000000" w:themeColor="text1"/>
        </w:rPr>
        <w:t>doce de octubre</w:t>
      </w:r>
      <w:r w:rsidR="002F12C6" w:rsidRPr="002F12C6">
        <w:rPr>
          <w:rFonts w:ascii="Palatino Linotype" w:hAnsi="Palatino Linotype" w:cs="Arial"/>
          <w:b/>
          <w:color w:val="000000" w:themeColor="text1"/>
          <w:lang w:val="es-419"/>
        </w:rPr>
        <w:t xml:space="preserve"> 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acumular los Recursos de Revisión</w:t>
      </w:r>
      <w:r w:rsidR="000225BC" w:rsidRPr="000225BC">
        <w:rPr>
          <w:rFonts w:ascii="Palatino Linotype" w:hAnsi="Palatino Linotype"/>
          <w:b/>
        </w:rPr>
        <w:t xml:space="preserve"> </w:t>
      </w:r>
      <w:r w:rsidR="00B8534D" w:rsidRPr="00B8534D">
        <w:rPr>
          <w:rFonts w:ascii="Palatino Linotype" w:hAnsi="Palatino Linotype"/>
          <w:b/>
        </w:rPr>
        <w:t>15287/INFOEM/IP/RR/2022</w:t>
      </w:r>
      <w:r w:rsidR="00B8534D">
        <w:rPr>
          <w:rFonts w:ascii="Palatino Linotype" w:hAnsi="Palatino Linotype"/>
          <w:b/>
        </w:rPr>
        <w:t xml:space="preserve">, </w:t>
      </w:r>
      <w:r w:rsidR="00B8534D" w:rsidRPr="00B8534D">
        <w:rPr>
          <w:rFonts w:ascii="Palatino Linotype" w:hAnsi="Palatino Linotype"/>
          <w:b/>
        </w:rPr>
        <w:t>15328/INFOEM/IP/RR/2022</w:t>
      </w:r>
      <w:r w:rsidR="00B8534D">
        <w:rPr>
          <w:rFonts w:ascii="Palatino Linotype" w:hAnsi="Palatino Linotype"/>
          <w:b/>
        </w:rPr>
        <w:t xml:space="preserve"> </w:t>
      </w:r>
      <w:r w:rsidR="00B8534D" w:rsidRPr="00B8534D">
        <w:rPr>
          <w:rFonts w:ascii="Palatino Linotype" w:hAnsi="Palatino Linotype"/>
        </w:rPr>
        <w:t>y</w:t>
      </w:r>
      <w:r w:rsidR="00B8534D" w:rsidRPr="00B8534D">
        <w:rPr>
          <w:rFonts w:ascii="Palatino Linotype" w:hAnsi="Palatino Linotype"/>
          <w:b/>
        </w:rPr>
        <w:t xml:space="preserve"> 15360/INFOEM/IP/RR/2022</w:t>
      </w:r>
      <w:r w:rsidR="0073215D">
        <w:rPr>
          <w:rFonts w:ascii="Palatino Linotype" w:hAnsi="Palatino Linotype"/>
          <w:b/>
        </w:rPr>
        <w:t>,</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6F1AA041" w14:textId="2A7354D6" w:rsidR="003404B0" w:rsidRPr="006F0A66" w:rsidRDefault="00672EE4" w:rsidP="003404B0">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3404B0" w:rsidRPr="006F0A66">
        <w:rPr>
          <w:rFonts w:ascii="Palatino Linotype" w:hAnsi="Palatino Linotype" w:cs="Arial"/>
          <w:b/>
          <w:bCs/>
        </w:rPr>
        <w:t>) Cierre de Instrucción</w:t>
      </w:r>
    </w:p>
    <w:p w14:paraId="53B11923" w14:textId="55282D07" w:rsidR="003404B0" w:rsidRPr="00B8534D" w:rsidRDefault="00536C04" w:rsidP="0073215D">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en fecha</w:t>
      </w:r>
      <w:r w:rsidRPr="00CB16B0">
        <w:rPr>
          <w:rFonts w:ascii="Palatino Linotype" w:hAnsi="Palatino Linotype"/>
          <w:color w:val="000000" w:themeColor="text1"/>
        </w:rPr>
        <w:t xml:space="preserve"> </w:t>
      </w:r>
      <w:r w:rsidR="00B8534D">
        <w:rPr>
          <w:rFonts w:ascii="Palatino Linotype" w:hAnsi="Palatino Linotype"/>
          <w:b/>
          <w:bCs/>
          <w:color w:val="000000" w:themeColor="text1"/>
        </w:rPr>
        <w:t xml:space="preserve">diecinueve de octubre </w:t>
      </w:r>
      <w:r w:rsidR="00CB16B0">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w:t>
      </w:r>
      <w:proofErr w:type="gramStart"/>
      <w:r w:rsidR="00C10EEE" w:rsidRPr="00CB16B0">
        <w:rPr>
          <w:rFonts w:ascii="Palatino Linotype" w:hAnsi="Palatino Linotype" w:cs="Arial"/>
        </w:rPr>
        <w:t xml:space="preserve">los </w:t>
      </w:r>
      <w:r w:rsidRPr="00CB16B0">
        <w:rPr>
          <w:rFonts w:ascii="Palatino Linotype" w:hAnsi="Palatino Linotype" w:cs="Arial"/>
        </w:rPr>
        <w:t>mismo</w:t>
      </w:r>
      <w:r w:rsidR="00C10EEE" w:rsidRPr="00CB16B0">
        <w:rPr>
          <w:rFonts w:ascii="Palatino Linotype" w:hAnsi="Palatino Linotype" w:cs="Arial"/>
        </w:rPr>
        <w:t>s</w:t>
      </w:r>
      <w:proofErr w:type="gramEnd"/>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FD1E54">
        <w:rPr>
          <w:rFonts w:ascii="Palatino Linotype" w:hAnsi="Palatino Linotype" w:cs="Arial"/>
          <w:color w:val="000000" w:themeColor="text1"/>
        </w:rPr>
        <w:t>; y</w:t>
      </w:r>
      <w:r w:rsidR="0032566F" w:rsidRPr="00FD1E54">
        <w:rPr>
          <w:rFonts w:ascii="Palatino Linotype" w:hAnsi="Palatino Linotype" w:cs="Arial"/>
          <w:color w:val="000000" w:themeColor="text1"/>
          <w:lang w:val="es-419"/>
        </w:rPr>
        <w:t>,</w:t>
      </w:r>
    </w:p>
    <w:p w14:paraId="10639969" w14:textId="77777777" w:rsidR="0032566F" w:rsidRPr="0073215D" w:rsidRDefault="0032566F" w:rsidP="0073215D">
      <w:pPr>
        <w:spacing w:line="360" w:lineRule="auto"/>
        <w:jc w:val="both"/>
        <w:rPr>
          <w:rFonts w:ascii="Palatino Linotype" w:hAnsi="Palatino Linotype" w:cs="Arial"/>
        </w:rPr>
      </w:pPr>
    </w:p>
    <w:p w14:paraId="0D05B39D" w14:textId="77777777" w:rsidR="009C497F" w:rsidRPr="006F0A66" w:rsidRDefault="009C497F" w:rsidP="00177BA7">
      <w:pPr>
        <w:ind w:right="50"/>
        <w:jc w:val="center"/>
        <w:rPr>
          <w:rFonts w:ascii="Palatino Linotype" w:hAnsi="Palatino Linotype" w:cs="Arial"/>
          <w:b/>
          <w:color w:val="000000" w:themeColor="text1"/>
          <w:sz w:val="28"/>
        </w:rPr>
      </w:pP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588566A6" w14:textId="77777777" w:rsidR="009C497F"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3E3DB571" w:rsidR="0076231C" w:rsidRDefault="0076231C" w:rsidP="00323C71">
      <w:pPr>
        <w:spacing w:line="360" w:lineRule="auto"/>
        <w:jc w:val="both"/>
        <w:rPr>
          <w:rFonts w:ascii="Palatino Linotype" w:hAnsi="Palatino Linotype"/>
          <w:b/>
          <w:color w:val="000000" w:themeColor="text1"/>
          <w:sz w:val="28"/>
          <w:szCs w:val="28"/>
        </w:rPr>
      </w:pPr>
    </w:p>
    <w:p w14:paraId="6066840B" w14:textId="77777777" w:rsidR="00B8534D" w:rsidRPr="006F0A66" w:rsidRDefault="00B8534D" w:rsidP="00323C71">
      <w:pPr>
        <w:spacing w:line="360" w:lineRule="auto"/>
        <w:jc w:val="both"/>
        <w:rPr>
          <w:rFonts w:ascii="Palatino Linotype" w:hAnsi="Palatino Linotype"/>
          <w:b/>
          <w:color w:val="000000" w:themeColor="text1"/>
          <w:sz w:val="28"/>
          <w:szCs w:val="28"/>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lastRenderedPageBreak/>
        <w:t>SEGUNDO</w:t>
      </w:r>
      <w:r w:rsidRPr="006F0A66">
        <w:rPr>
          <w:rFonts w:ascii="Palatino Linotype" w:hAnsi="Palatino Linotype" w:cs="Arial"/>
          <w:b/>
          <w:color w:val="000000" w:themeColor="text1"/>
        </w:rPr>
        <w:t xml:space="preserve">. Interés. </w:t>
      </w:r>
    </w:p>
    <w:p w14:paraId="204DEEDD" w14:textId="1FBF42A3"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007A3DB8">
        <w:rPr>
          <w:rFonts w:ascii="Palatino Linotype" w:hAnsi="Palatino Linotype" w:cs="Arial"/>
          <w:b/>
        </w:rPr>
        <w:t>LA</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6E9E0E25" w14:textId="77777777" w:rsidR="0032566F" w:rsidRPr="006F0A66" w:rsidRDefault="0032566F" w:rsidP="00323C71">
      <w:pPr>
        <w:spacing w:line="360" w:lineRule="auto"/>
        <w:jc w:val="both"/>
        <w:rPr>
          <w:rFonts w:ascii="Palatino Linotype" w:hAnsi="Palatino Linotype" w:cs="Arial"/>
          <w:b/>
          <w:color w:val="000000" w:themeColor="text1"/>
          <w:szCs w:val="28"/>
        </w:rPr>
      </w:pPr>
    </w:p>
    <w:p w14:paraId="27798468" w14:textId="77777777" w:rsidR="00756235" w:rsidRPr="006F0A66"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BD95E86" w14:textId="49AAEDE6" w:rsidR="00756235" w:rsidRPr="006F0A66"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6F0A66">
        <w:rPr>
          <w:rFonts w:ascii="Palatino Linotype" w:hAnsi="Palatino Linotype" w:cs="Arial"/>
          <w:color w:val="000000" w:themeColor="text1"/>
          <w:lang w:val="es-ES"/>
        </w:rPr>
        <w:t>ecanismo de procedencia de los R</w:t>
      </w:r>
      <w:r w:rsidRPr="006F0A66">
        <w:rPr>
          <w:rFonts w:ascii="Palatino Linotype" w:hAnsi="Palatino Linotype" w:cs="Arial"/>
          <w:color w:val="000000" w:themeColor="text1"/>
          <w:lang w:val="es-ES"/>
        </w:rPr>
        <w:t xml:space="preserve">ecursos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 como se puede apreciar en el siguiente artículo:</w:t>
      </w:r>
    </w:p>
    <w:p w14:paraId="35FD074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F0A66"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w:t>
      </w:r>
      <w:r w:rsidRPr="006F0A66">
        <w:rPr>
          <w:rFonts w:ascii="Palatino Linotype" w:hAnsi="Palatino Linotype" w:cs="Arial"/>
          <w:color w:val="000000" w:themeColor="text1"/>
          <w:lang w:val="es-ES"/>
        </w:rPr>
        <w:lastRenderedPageBreak/>
        <w:t xml:space="preserve">por lo que al solicitante le asiste el derecho para poder presentar el correspondiente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w:t>
      </w:r>
    </w:p>
    <w:p w14:paraId="7FA6017D"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6F0A66" w:rsidRDefault="00756235" w:rsidP="00756235">
      <w:pPr>
        <w:jc w:val="both"/>
        <w:rPr>
          <w:rFonts w:ascii="Palatino Linotype" w:hAnsi="Palatino Linotype" w:cs="Arial"/>
          <w:color w:val="000000" w:themeColor="text1"/>
          <w:lang w:val="es-ES"/>
        </w:rPr>
      </w:pPr>
    </w:p>
    <w:p w14:paraId="0FA5F18B"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084DFB78" w14:textId="77777777" w:rsidR="00756235" w:rsidRPr="006F0A66" w:rsidRDefault="00756235" w:rsidP="00756235">
      <w:pPr>
        <w:jc w:val="both"/>
        <w:rPr>
          <w:rFonts w:ascii="Palatino Linotype" w:hAnsi="Palatino Linotype" w:cs="Arial"/>
          <w:color w:val="000000" w:themeColor="text1"/>
          <w:lang w:val="es-ES"/>
        </w:rPr>
      </w:pPr>
    </w:p>
    <w:p w14:paraId="32B4E7F6" w14:textId="10C24382"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Es así </w:t>
      </w:r>
      <w:proofErr w:type="gramStart"/>
      <w:r w:rsidRPr="006F0A66">
        <w:rPr>
          <w:rFonts w:ascii="Palatino Linotype" w:hAnsi="Palatino Linotype" w:cs="Arial"/>
          <w:color w:val="000000" w:themeColor="text1"/>
          <w:lang w:val="es-ES"/>
        </w:rPr>
        <w:t>que</w:t>
      </w:r>
      <w:proofErr w:type="gramEnd"/>
      <w:r w:rsidRPr="006F0A66">
        <w:rPr>
          <w:rFonts w:ascii="Palatino Linotype" w:hAnsi="Palatino Linotype" w:cs="Arial"/>
          <w:color w:val="000000" w:themeColor="text1"/>
          <w:lang w:val="es-ES"/>
        </w:rPr>
        <w:t xml:space="preserve">, el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 xml:space="preserve">Sin embargo, tratándose de negativa ficta no existe resolución que se haga del conocimiento del </w:t>
      </w:r>
      <w:r w:rsidRPr="006F0A66">
        <w:rPr>
          <w:rFonts w:ascii="Palatino Linotype" w:hAnsi="Palatino Linotype" w:cs="Arial"/>
          <w:color w:val="000000" w:themeColor="text1"/>
          <w:lang w:val="es-ES"/>
        </w:rPr>
        <w:lastRenderedPageBreak/>
        <w:t>particular a partir de la cual pueda computarse dicho término, por lo que es pertinente establecer que no hay p</w:t>
      </w:r>
      <w:r w:rsidR="005E17B7" w:rsidRPr="006F0A66">
        <w:rPr>
          <w:rFonts w:ascii="Palatino Linotype" w:hAnsi="Palatino Linotype" w:cs="Arial"/>
          <w:color w:val="000000" w:themeColor="text1"/>
          <w:lang w:val="es-ES"/>
        </w:rPr>
        <w:t>lazo para la interposición del 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y, por tanto, </w:t>
      </w:r>
      <w:r w:rsidR="007A3DB8">
        <w:rPr>
          <w:rFonts w:ascii="Palatino Linotype" w:hAnsi="Palatino Linotype" w:cs="Arial"/>
          <w:b/>
        </w:rPr>
        <w:t>LA</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ecursos se interpusieron oportunamente.</w:t>
      </w:r>
    </w:p>
    <w:p w14:paraId="4639D341" w14:textId="77777777" w:rsidR="0032566F" w:rsidRPr="006F0A66" w:rsidRDefault="0032566F"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49227959" w:rsidR="00FD4FD4" w:rsidRPr="006F0A66"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007A3DB8">
        <w:rPr>
          <w:rFonts w:ascii="Palatino Linotype" w:hAnsi="Palatino Linotype" w:cs="Arial"/>
        </w:rPr>
        <w:t xml:space="preserve">fueron presentados por </w:t>
      </w:r>
      <w:r w:rsidRPr="006F0A66">
        <w:rPr>
          <w:rFonts w:ascii="Palatino Linotype" w:hAnsi="Palatino Linotype" w:cs="Arial"/>
        </w:rPr>
        <w:t>l</w:t>
      </w:r>
      <w:r w:rsidR="007A3DB8">
        <w:rPr>
          <w:rFonts w:ascii="Palatino Linotype" w:hAnsi="Palatino Linotype" w:cs="Arial"/>
        </w:rPr>
        <w:t>a misma</w:t>
      </w:r>
      <w:r w:rsidRPr="006F0A66">
        <w:rPr>
          <w:rFonts w:ascii="Palatino Linotype" w:hAnsi="Palatino Linotype" w:cs="Arial"/>
        </w:rPr>
        <w:t xml:space="preserve">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Default="00313F83" w:rsidP="00323C71">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lastRenderedPageBreak/>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0ED9AF71" w14:textId="77777777" w:rsidR="0032566F" w:rsidRDefault="0032566F" w:rsidP="00323C71">
      <w:pPr>
        <w:tabs>
          <w:tab w:val="center" w:pos="4252"/>
          <w:tab w:val="right" w:pos="8504"/>
        </w:tabs>
        <w:spacing w:line="360" w:lineRule="auto"/>
        <w:jc w:val="both"/>
        <w:rPr>
          <w:rFonts w:ascii="Palatino Linotype" w:eastAsiaTheme="minorEastAsia" w:hAnsi="Palatino Linotype" w:cs="Arial"/>
        </w:rPr>
      </w:pPr>
    </w:p>
    <w:p w14:paraId="4BFBD90E" w14:textId="2A8D6EA0"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w:t>
      </w:r>
      <w:r w:rsidR="007A3DB8">
        <w:rPr>
          <w:rFonts w:ascii="Palatino Linotype" w:eastAsiaTheme="minorEastAsia" w:hAnsi="Palatino Linotype" w:cs="Arial"/>
        </w:rPr>
        <w:t xml:space="preserve">ocupan fueron interpuestos por </w:t>
      </w:r>
      <w:r w:rsidRPr="006F0A66">
        <w:rPr>
          <w:rFonts w:ascii="Palatino Linotype" w:eastAsiaTheme="minorEastAsia" w:hAnsi="Palatino Linotype" w:cs="Arial"/>
        </w:rPr>
        <w:t>l</w:t>
      </w:r>
      <w:r w:rsidR="007A3DB8">
        <w:rPr>
          <w:rFonts w:ascii="Palatino Linotype" w:eastAsiaTheme="minorEastAsia" w:hAnsi="Palatino Linotype" w:cs="Arial"/>
        </w:rPr>
        <w:t>a misma</w:t>
      </w:r>
      <w:r w:rsidRPr="006F0A66">
        <w:rPr>
          <w:rFonts w:ascii="Palatino Linotype" w:eastAsiaTheme="minorEastAsia" w:hAnsi="Palatino Linotype" w:cs="Arial"/>
        </w:rPr>
        <w:t xml:space="preserve">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5FA0B666" w14:textId="77777777" w:rsidR="005A4754" w:rsidRDefault="005A4754" w:rsidP="00756235">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585C811B" w14:textId="0BCA014E"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6DC6E8CE"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73215D"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46D59C5"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219BDC5"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0921B4A"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2DAEDD"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69EC44F6" w14:textId="77777777" w:rsidR="005E641F" w:rsidRDefault="005E641F" w:rsidP="0076231C">
      <w:pPr>
        <w:spacing w:line="360" w:lineRule="auto"/>
        <w:jc w:val="both"/>
        <w:rPr>
          <w:rFonts w:ascii="Palatino Linotype" w:hAnsi="Palatino Linotype"/>
          <w:lang w:val="es-ES"/>
        </w:rPr>
      </w:pPr>
    </w:p>
    <w:p w14:paraId="3C6F98BB" w14:textId="58CEEB22" w:rsidR="0076231C" w:rsidRDefault="0076231C" w:rsidP="0076231C">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Pr>
          <w:rFonts w:ascii="Palatino Linotype" w:hAnsi="Palatino Linotype"/>
          <w:lang w:val="es-ES"/>
        </w:rPr>
        <w:t xml:space="preserve"> </w:t>
      </w:r>
      <w:r w:rsidR="007A3DB8" w:rsidRPr="007A3DB8">
        <w:rPr>
          <w:rFonts w:ascii="Palatino Linotype" w:hAnsi="Palatino Linotype"/>
          <w:b/>
          <w:lang w:val="es-ES"/>
        </w:rPr>
        <w:t>LA</w:t>
      </w:r>
      <w:r>
        <w:rPr>
          <w:rFonts w:ascii="Palatino Linotype" w:hAnsi="Palatino Linotype" w:cs="Arial"/>
          <w:b/>
          <w:lang w:val="es-ES"/>
        </w:rPr>
        <w:t xml:space="preserve"> RECURRENTE;</w:t>
      </w:r>
      <w:r>
        <w:rPr>
          <w:rFonts w:ascii="Palatino Linotype" w:hAnsi="Palatino Linotype"/>
          <w:lang w:val="es-ES"/>
        </w:rPr>
        <w:t xml:space="preserve"> en ese </w:t>
      </w:r>
      <w:r>
        <w:rPr>
          <w:rFonts w:ascii="Palatino Linotype" w:hAnsi="Palatino Linotype"/>
          <w:lang w:val="es-ES"/>
        </w:rPr>
        <w:lastRenderedPageBreak/>
        <w:t xml:space="preserve">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1E5E04FD" w14:textId="77777777" w:rsidR="0073215D" w:rsidRDefault="0073215D" w:rsidP="0076231C">
      <w:pPr>
        <w:spacing w:line="360" w:lineRule="auto"/>
        <w:jc w:val="both"/>
        <w:rPr>
          <w:rFonts w:ascii="Palatino Linotype" w:hAnsi="Palatino Linotype"/>
          <w:lang w:val="es-ES"/>
        </w:rPr>
      </w:pPr>
    </w:p>
    <w:p w14:paraId="4613F9B5" w14:textId="77777777" w:rsidR="0076231C" w:rsidRDefault="0076231C" w:rsidP="0076231C">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Default="0076231C" w:rsidP="0076231C">
      <w:pPr>
        <w:spacing w:line="360" w:lineRule="auto"/>
        <w:jc w:val="both"/>
        <w:rPr>
          <w:rFonts w:ascii="Palatino Linotype" w:hAnsi="Palatino Linotype" w:cs="Arial"/>
          <w:color w:val="000000"/>
          <w:lang w:val="es-ES"/>
        </w:rPr>
      </w:pPr>
    </w:p>
    <w:p w14:paraId="75F12E8E" w14:textId="77777777" w:rsidR="0076231C" w:rsidRDefault="0076231C" w:rsidP="0076231C">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Default="0076231C" w:rsidP="0076231C">
      <w:pPr>
        <w:tabs>
          <w:tab w:val="left" w:pos="851"/>
        </w:tabs>
        <w:ind w:left="851" w:right="901"/>
        <w:jc w:val="both"/>
        <w:rPr>
          <w:rFonts w:ascii="Palatino Linotype" w:hAnsi="Palatino Linotype"/>
          <w:sz w:val="22"/>
          <w:szCs w:val="22"/>
          <w:lang w:val="es-ES"/>
        </w:rPr>
      </w:pPr>
    </w:p>
    <w:p w14:paraId="093F7757" w14:textId="5FC97FC3" w:rsidR="0076231C" w:rsidRDefault="0076231C" w:rsidP="0076231C">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7A3DB8">
        <w:rPr>
          <w:rFonts w:ascii="Palatino Linotype" w:hAnsi="Palatino Linotype"/>
          <w:lang w:val="es-ES"/>
        </w:rPr>
        <w:t xml:space="preserve"> </w:t>
      </w:r>
      <w:r w:rsidR="007A3DB8">
        <w:rPr>
          <w:rFonts w:ascii="Palatino Linotype" w:hAnsi="Palatino Linotype" w:cs="Arial"/>
          <w:b/>
        </w:rPr>
        <w:t>LA</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7A3DB8">
        <w:rPr>
          <w:rFonts w:ascii="Palatino Linotype" w:hAnsi="Palatino Linotype" w:cs="Arial"/>
          <w:b/>
        </w:rPr>
        <w:t>LA</w:t>
      </w:r>
      <w:r>
        <w:rPr>
          <w:rFonts w:ascii="Palatino Linotype" w:hAnsi="Palatino Linotype" w:cs="Arial"/>
          <w:b/>
          <w:lang w:val="es-ES"/>
        </w:rPr>
        <w:t xml:space="preserve"> RECURRENTE</w:t>
      </w:r>
      <w:r>
        <w:rPr>
          <w:rFonts w:ascii="Palatino Linotype" w:hAnsi="Palatino Linotype"/>
          <w:lang w:val="es-ES"/>
        </w:rPr>
        <w:t xml:space="preserve"> es la misma persona que realizó la solicitud de acceso a la Información Pública que ahora se impugna.</w:t>
      </w:r>
    </w:p>
    <w:p w14:paraId="62D1F2E9" w14:textId="77777777" w:rsidR="0076231C"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553DFF" w:rsidRDefault="0076231C" w:rsidP="0076231C">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9D03FE"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t>SEXTO</w:t>
      </w:r>
      <w:r w:rsidR="003533BB" w:rsidRPr="006F0A66">
        <w:rPr>
          <w:rFonts w:ascii="Palatino Linotype" w:hAnsi="Palatino Linotype"/>
          <w:b/>
          <w:color w:val="000000" w:themeColor="text1"/>
          <w:sz w:val="28"/>
          <w:szCs w:val="28"/>
        </w:rPr>
        <w:t>.</w:t>
      </w:r>
      <w:r w:rsidR="003533BB"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7F34065F" w14:textId="77777777" w:rsidR="00C83CB6" w:rsidRPr="006F0A66" w:rsidRDefault="00C83CB6" w:rsidP="00C83CB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 xml:space="preserve">Constitución </w:t>
      </w:r>
      <w:r w:rsidRPr="006F0A66">
        <w:rPr>
          <w:rFonts w:ascii="Palatino Linotype" w:hAnsi="Palatino Linotype"/>
          <w:lang w:val="es-ES"/>
        </w:rPr>
        <w:lastRenderedPageBreak/>
        <w:t>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022A4444" w14:textId="77777777" w:rsidR="0004393C" w:rsidRDefault="0004393C"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6F0A66" w:rsidRDefault="00C83CB6" w:rsidP="00FF592F">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t xml:space="preserve">Es así </w:t>
      </w:r>
      <w:proofErr w:type="gramStart"/>
      <w:r w:rsidRPr="006F0A66">
        <w:rPr>
          <w:rFonts w:ascii="Palatino Linotype" w:hAnsi="Palatino Linotype" w:cs="Arial"/>
          <w:color w:val="000000" w:themeColor="text1"/>
          <w:lang w:val="es-ES" w:eastAsia="es-MX"/>
        </w:rPr>
        <w:t>que</w:t>
      </w:r>
      <w:proofErr w:type="gramEnd"/>
      <w:r w:rsidRPr="006F0A66">
        <w:rPr>
          <w:rFonts w:ascii="Palatino Linotype" w:hAnsi="Palatino Linotype" w:cs="Arial"/>
          <w:color w:val="000000" w:themeColor="text1"/>
          <w:lang w:val="es-ES" w:eastAsia="es-MX"/>
        </w:rPr>
        <w:t xml:space="preserve">, del </w:t>
      </w:r>
      <w:r w:rsidR="00FF592F" w:rsidRPr="006F0A66">
        <w:rPr>
          <w:rFonts w:ascii="Palatino Linotype" w:hAnsi="Palatino Linotype" w:cs="Arial"/>
          <w:color w:val="000000" w:themeColor="text1"/>
          <w:lang w:val="es-ES" w:eastAsia="es-MX"/>
        </w:rPr>
        <w:t xml:space="preserve">análisis efectuado se advierte que los presentes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 xml:space="preserve">ecursos de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6F0A66">
        <w:rPr>
          <w:rFonts w:ascii="Palatino Linotype" w:hAnsi="Palatino Linotype" w:cs="Arial"/>
          <w:color w:val="000000" w:themeColor="text1"/>
          <w:lang w:val="es-ES" w:eastAsia="es-MX"/>
        </w:rPr>
        <w:t>a</w:t>
      </w:r>
      <w:r w:rsidR="00FF592F" w:rsidRPr="006F0A66">
        <w:rPr>
          <w:rFonts w:ascii="Palatino Linotype" w:hAnsi="Palatino Linotype" w:cs="Arial"/>
          <w:color w:val="000000" w:themeColor="text1"/>
          <w:lang w:val="es-ES" w:eastAsia="es-MX"/>
        </w:rPr>
        <w:t xml:space="preserve"> cual dispone:</w:t>
      </w:r>
    </w:p>
    <w:p w14:paraId="24F32135"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2797E2B0"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VII. La falta de respuesta a una solicitud de acceso a la </w:t>
      </w:r>
      <w:proofErr w:type="gramStart"/>
      <w:r w:rsidRPr="006F0A66">
        <w:rPr>
          <w:rFonts w:ascii="Palatino Linotype" w:hAnsi="Palatino Linotype" w:cs="Arial"/>
          <w:b/>
          <w:i/>
          <w:color w:val="000000" w:themeColor="text1"/>
          <w:sz w:val="22"/>
          <w:szCs w:val="22"/>
          <w:lang w:val="es-ES"/>
        </w:rPr>
        <w:t>información</w:t>
      </w:r>
      <w:r w:rsidRPr="006F0A66">
        <w:rPr>
          <w:rFonts w:ascii="Palatino Linotype" w:hAnsi="Palatino Linotype" w:cs="Arial"/>
          <w:i/>
          <w:color w:val="000000" w:themeColor="text1"/>
          <w:sz w:val="22"/>
          <w:szCs w:val="22"/>
          <w:lang w:val="es-ES"/>
        </w:rPr>
        <w:t>;…</w:t>
      </w:r>
      <w:proofErr w:type="gramEnd"/>
      <w:r w:rsidRPr="006F0A66">
        <w:rPr>
          <w:rFonts w:ascii="Palatino Linotype" w:hAnsi="Palatino Linotype" w:cs="Arial"/>
          <w:i/>
          <w:color w:val="000000" w:themeColor="text1"/>
          <w:sz w:val="22"/>
          <w:szCs w:val="22"/>
          <w:lang w:val="es-ES"/>
        </w:rPr>
        <w:t>”</w:t>
      </w:r>
    </w:p>
    <w:p w14:paraId="08E0417F"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p>
    <w:p w14:paraId="1E3D6A86" w14:textId="4E738724" w:rsidR="00FF592F"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4114413A" w14:textId="77777777" w:rsidR="0032566F" w:rsidRPr="006F0A66" w:rsidRDefault="0032566F" w:rsidP="00FF592F">
      <w:pPr>
        <w:ind w:left="851" w:right="901"/>
        <w:jc w:val="both"/>
        <w:rPr>
          <w:rFonts w:ascii="Palatino Linotype" w:hAnsi="Palatino Linotype" w:cs="Arial"/>
          <w:i/>
          <w:color w:val="000000" w:themeColor="text1"/>
          <w:sz w:val="22"/>
          <w:szCs w:val="22"/>
          <w:lang w:val="es-ES"/>
        </w:rPr>
      </w:pPr>
    </w:p>
    <w:p w14:paraId="004AE504" w14:textId="629BD869"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El precepto legal citado, establece com</w:t>
      </w:r>
      <w:r w:rsidR="0038105A" w:rsidRPr="006F0A66">
        <w:rPr>
          <w:rFonts w:ascii="Palatino Linotype" w:hAnsi="Palatino Linotype" w:cs="Arial"/>
          <w:lang w:val="es-ES"/>
        </w:rPr>
        <w:t>o supuestos de procedencia del R</w:t>
      </w:r>
      <w:r w:rsidRPr="006F0A66">
        <w:rPr>
          <w:rFonts w:ascii="Palatino Linotype" w:hAnsi="Palatino Linotype" w:cs="Arial"/>
          <w:lang w:val="es-ES"/>
        </w:rPr>
        <w:t xml:space="preserve">ecurso </w:t>
      </w:r>
      <w:r w:rsidR="0038105A" w:rsidRPr="006F0A66">
        <w:rPr>
          <w:rFonts w:ascii="Palatino Linotype" w:hAnsi="Palatino Linotype" w:cs="Arial"/>
          <w:lang w:val="es-ES"/>
        </w:rPr>
        <w:t>de R</w:t>
      </w:r>
      <w:r w:rsidRPr="006F0A66">
        <w:rPr>
          <w:rFonts w:ascii="Palatino Linotype" w:hAnsi="Palatino Linotype" w:cs="Arial"/>
          <w:lang w:val="es-ES"/>
        </w:rPr>
        <w:t xml:space="preserve">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007A3DB8">
        <w:rPr>
          <w:rFonts w:ascii="Palatino Linotype" w:hAnsi="Palatino Linotype" w:cs="Arial"/>
          <w:b/>
        </w:rPr>
        <w:t>LA</w:t>
      </w:r>
      <w:r w:rsidRPr="006F0A66">
        <w:rPr>
          <w:rFonts w:ascii="Palatino Linotype" w:hAnsi="Palatino Linotype" w:cs="Arial"/>
          <w:b/>
          <w:lang w:val="es-ES"/>
        </w:rPr>
        <w:t xml:space="preserve">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54407F20"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6F0A66" w:rsidRDefault="00FF592F" w:rsidP="00FF592F">
      <w:pPr>
        <w:spacing w:line="360" w:lineRule="auto"/>
        <w:jc w:val="both"/>
        <w:rPr>
          <w:rFonts w:ascii="Palatino Linotype" w:hAnsi="Palatino Linotype"/>
        </w:rPr>
      </w:pPr>
      <w:proofErr w:type="gramStart"/>
      <w:r w:rsidRPr="006F0A66">
        <w:rPr>
          <w:rFonts w:ascii="Palatino Linotype" w:hAnsi="Palatino Linotype"/>
        </w:rPr>
        <w:t>Ya que</w:t>
      </w:r>
      <w:proofErr w:type="gramEnd"/>
      <w:r w:rsidRPr="006F0A66">
        <w:rPr>
          <w:rFonts w:ascii="Palatino Linotype" w:hAnsi="Palatino Linotype"/>
        </w:rPr>
        <w:t xml:space="preserv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7E88BAB" w14:textId="77777777" w:rsidR="00FF592F" w:rsidRPr="006F0A66" w:rsidRDefault="00FF592F" w:rsidP="00FF592F">
      <w:pPr>
        <w:spacing w:line="360" w:lineRule="auto"/>
        <w:jc w:val="both"/>
        <w:rPr>
          <w:rFonts w:ascii="Palatino Linotype" w:hAnsi="Palatino Linotype"/>
        </w:rPr>
      </w:pPr>
      <w:r w:rsidRPr="006F0A66">
        <w:rPr>
          <w:rFonts w:ascii="Palatino Linotype" w:eastAsia="Arial Unicode MS" w:hAnsi="Palatino Linotype" w:cs="Arial"/>
        </w:rPr>
        <w:lastRenderedPageBreak/>
        <w:t xml:space="preserve">En ese contexto, </w:t>
      </w:r>
      <w:r w:rsidRPr="006F0A66">
        <w:rPr>
          <w:rFonts w:ascii="Palatino Linotype" w:hAnsi="Palatino Linotype"/>
        </w:rPr>
        <w:t xml:space="preserve">es pertinente enfatizar lo que el derecho de acceso a la información </w:t>
      </w:r>
      <w:proofErr w:type="gramStart"/>
      <w:r w:rsidRPr="006F0A66">
        <w:rPr>
          <w:rFonts w:ascii="Palatino Linotype" w:hAnsi="Palatino Linotype"/>
        </w:rPr>
        <w:t>pública,</w:t>
      </w:r>
      <w:proofErr w:type="gramEnd"/>
      <w:r w:rsidRPr="006F0A66">
        <w:rPr>
          <w:rFonts w:ascii="Palatino Linotype" w:hAnsi="Palatino Linotype"/>
        </w:rPr>
        <w:t xml:space="preserve"> se refiere al contemplado en el artículo 6°, Apartado A de la Constitución Política de los Estados Unidos Mexicanos, que señala:</w:t>
      </w:r>
    </w:p>
    <w:p w14:paraId="10AD5A18" w14:textId="77777777" w:rsidR="009D03FE" w:rsidRPr="006F0A66" w:rsidRDefault="009D03FE" w:rsidP="00FF592F">
      <w:pPr>
        <w:jc w:val="both"/>
        <w:rPr>
          <w:rFonts w:ascii="Palatino Linotype" w:hAnsi="Palatino Linotype"/>
          <w:sz w:val="22"/>
          <w:szCs w:val="22"/>
        </w:rPr>
      </w:pPr>
    </w:p>
    <w:p w14:paraId="3EEFA7C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B043DF6"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16EB7BDF" w14:textId="10D0D4D7" w:rsidR="00FF592F" w:rsidRDefault="00FF592F" w:rsidP="00FF592F">
      <w:pPr>
        <w:spacing w:line="360" w:lineRule="auto"/>
        <w:jc w:val="both"/>
        <w:rPr>
          <w:rFonts w:ascii="Palatino Linotype" w:hAnsi="Palatino Linotype"/>
        </w:rPr>
      </w:pPr>
      <w:r w:rsidRPr="006F0A66">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3681EAA3" w14:textId="77777777" w:rsidR="0032566F" w:rsidRPr="006F0A66" w:rsidRDefault="0032566F" w:rsidP="00FF592F">
      <w:pPr>
        <w:spacing w:line="360" w:lineRule="auto"/>
        <w:jc w:val="both"/>
        <w:rPr>
          <w:rFonts w:ascii="Palatino Linotype" w:hAnsi="Palatino Linotype"/>
        </w:rPr>
      </w:pPr>
    </w:p>
    <w:p w14:paraId="725D16B1" w14:textId="77777777" w:rsidR="00FF592F" w:rsidRPr="006F0A66" w:rsidRDefault="00FF592F" w:rsidP="00FF592F">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783C6601"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40222F2C"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703C65DF" w14:textId="77777777" w:rsidR="00FF592F" w:rsidRPr="006F0A66" w:rsidRDefault="00FF592F" w:rsidP="00FF592F">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6D9CD513" w14:textId="035E3286" w:rsidR="00FF592F" w:rsidRPr="00F00272" w:rsidRDefault="00FF592F" w:rsidP="00F00272">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281E8835" w14:textId="77777777" w:rsidR="005E641F" w:rsidRDefault="005E641F" w:rsidP="00FF592F">
      <w:pPr>
        <w:spacing w:line="360" w:lineRule="auto"/>
        <w:jc w:val="both"/>
        <w:rPr>
          <w:rFonts w:ascii="Palatino Linotype" w:hAnsi="Palatino Linotype"/>
        </w:rPr>
      </w:pPr>
    </w:p>
    <w:p w14:paraId="34A71C5C"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6F0A66" w:rsidRDefault="00FF592F" w:rsidP="00FF592F">
      <w:pPr>
        <w:jc w:val="both"/>
        <w:rPr>
          <w:rFonts w:ascii="Palatino Linotype" w:hAnsi="Palatino Linotype"/>
          <w:sz w:val="22"/>
          <w:szCs w:val="22"/>
        </w:rPr>
      </w:pPr>
    </w:p>
    <w:p w14:paraId="00FFA43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7D463EA7"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34B028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4FAD262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VII. Los </w:t>
      </w:r>
      <w:proofErr w:type="gramStart"/>
      <w:r w:rsidRPr="006F0A66">
        <w:rPr>
          <w:rFonts w:ascii="Palatino Linotype" w:hAnsi="Palatino Linotype" w:cs="Arial"/>
          <w:i/>
          <w:sz w:val="22"/>
          <w:szCs w:val="22"/>
        </w:rPr>
        <w:t>partidos políticos y agrupaciones políticas</w:t>
      </w:r>
      <w:proofErr w:type="gramEnd"/>
      <w:r w:rsidRPr="006F0A66">
        <w:rPr>
          <w:rFonts w:ascii="Palatino Linotype" w:hAnsi="Palatino Linotype" w:cs="Arial"/>
          <w:i/>
          <w:sz w:val="22"/>
          <w:szCs w:val="22"/>
        </w:rPr>
        <w:t>, en los términos de las disposiciones aplicables;</w:t>
      </w:r>
    </w:p>
    <w:p w14:paraId="409E4F1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04BCD23E"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 xml:space="preserve">Los servidores públicos deberán transparentar sus </w:t>
      </w:r>
      <w:proofErr w:type="gramStart"/>
      <w:r w:rsidRPr="006F0A66">
        <w:rPr>
          <w:rFonts w:ascii="Palatino Linotype" w:hAnsi="Palatino Linotype" w:cs="Arial"/>
          <w:b/>
          <w:i/>
          <w:sz w:val="22"/>
          <w:szCs w:val="22"/>
        </w:rPr>
        <w:t>acciones</w:t>
      </w:r>
      <w:proofErr w:type="gramEnd"/>
      <w:r w:rsidRPr="006F0A66">
        <w:rPr>
          <w:rFonts w:ascii="Palatino Linotype" w:hAnsi="Palatino Linotype" w:cs="Arial"/>
          <w:b/>
          <w:i/>
          <w:sz w:val="22"/>
          <w:szCs w:val="22"/>
        </w:rPr>
        <w:t xml:space="preserve"> así como garantizar y respetar el derecho de acceso a la información pública.</w:t>
      </w:r>
    </w:p>
    <w:p w14:paraId="704AD35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019B5E88" w14:textId="77777777" w:rsidR="00FF592F" w:rsidRPr="005E641F" w:rsidRDefault="00FF592F" w:rsidP="00FF592F">
      <w:pPr>
        <w:ind w:left="851" w:right="901"/>
        <w:jc w:val="both"/>
        <w:rPr>
          <w:rFonts w:ascii="Palatino Linotype" w:hAnsi="Palatino Linotype" w:cs="Arial"/>
          <w:i/>
        </w:rPr>
      </w:pPr>
    </w:p>
    <w:p w14:paraId="40864B11" w14:textId="77777777" w:rsidR="00FF592F" w:rsidRPr="006F0A66" w:rsidRDefault="00FF592F" w:rsidP="00FF592F">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w:t>
      </w:r>
      <w:r w:rsidRPr="006F0A66">
        <w:rPr>
          <w:rFonts w:ascii="Palatino Linotype" w:eastAsia="Arial Unicode MS" w:hAnsi="Palatino Linotype" w:cs="Arial"/>
          <w:lang w:val="es-ES"/>
        </w:rPr>
        <w:lastRenderedPageBreak/>
        <w:t>y IV de la Constitución Política de los Estados Unidos Mexicanos, que en lo que interesa menciona:</w:t>
      </w:r>
    </w:p>
    <w:p w14:paraId="7AFAA5D6" w14:textId="77777777" w:rsidR="00FF592F" w:rsidRPr="005E641F" w:rsidRDefault="00FF592F" w:rsidP="00FF592F">
      <w:pPr>
        <w:jc w:val="both"/>
        <w:rPr>
          <w:rFonts w:ascii="Palatino Linotype" w:eastAsia="Arial Unicode MS" w:hAnsi="Palatino Linotype" w:cs="Arial"/>
        </w:rPr>
      </w:pPr>
    </w:p>
    <w:p w14:paraId="7CB9062A"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7FEE86B2"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5F04A309" w14:textId="77777777" w:rsidR="00FF592F" w:rsidRPr="006F0A66" w:rsidRDefault="00FF592F" w:rsidP="00FF592F">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308131E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17F221CC" w14:textId="77777777" w:rsidR="0073215D" w:rsidRDefault="0073215D" w:rsidP="00FF592F">
      <w:pPr>
        <w:spacing w:line="360" w:lineRule="auto"/>
        <w:jc w:val="both"/>
        <w:rPr>
          <w:rFonts w:ascii="Palatino Linotype" w:eastAsia="Arial Unicode MS" w:hAnsi="Palatino Linotype" w:cs="Arial"/>
        </w:rPr>
      </w:pPr>
    </w:p>
    <w:p w14:paraId="31BC6D60" w14:textId="77777777" w:rsidR="00FF592F" w:rsidRPr="006F0A66" w:rsidRDefault="00FF592F" w:rsidP="00FF592F">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Default="005E641F" w:rsidP="00FF592F">
      <w:pPr>
        <w:tabs>
          <w:tab w:val="left" w:pos="709"/>
        </w:tabs>
        <w:spacing w:line="360" w:lineRule="auto"/>
        <w:jc w:val="both"/>
        <w:rPr>
          <w:rFonts w:ascii="Palatino Linotype" w:hAnsi="Palatino Linotype" w:cs="Arial"/>
        </w:rPr>
      </w:pPr>
    </w:p>
    <w:p w14:paraId="787A0084"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lastRenderedPageBreak/>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Default="00313F83" w:rsidP="00FF592F">
      <w:pPr>
        <w:tabs>
          <w:tab w:val="left" w:pos="709"/>
        </w:tabs>
        <w:spacing w:line="360" w:lineRule="auto"/>
        <w:jc w:val="both"/>
        <w:rPr>
          <w:rFonts w:ascii="Palatino Linotype" w:hAnsi="Palatino Linotype" w:cs="Arial"/>
        </w:rPr>
      </w:pPr>
    </w:p>
    <w:p w14:paraId="7BC08BEF" w14:textId="75C44071"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F0A66" w:rsidRDefault="00FF592F" w:rsidP="00FF592F">
      <w:pPr>
        <w:tabs>
          <w:tab w:val="left" w:pos="709"/>
        </w:tabs>
        <w:jc w:val="both"/>
        <w:rPr>
          <w:rFonts w:ascii="Palatino Linotype" w:hAnsi="Palatino Linotype" w:cs="Arial"/>
        </w:rPr>
      </w:pPr>
    </w:p>
    <w:p w14:paraId="3DBC0F6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F0A66" w:rsidRDefault="00FF592F" w:rsidP="00FF592F">
      <w:pPr>
        <w:ind w:left="851" w:right="1134"/>
        <w:jc w:val="both"/>
        <w:rPr>
          <w:rFonts w:ascii="Palatino Linotype" w:hAnsi="Palatino Linotype" w:cs="Arial"/>
          <w:i/>
          <w:szCs w:val="22"/>
        </w:rPr>
      </w:pPr>
    </w:p>
    <w:p w14:paraId="1AEEFEA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w:t>
      </w:r>
      <w:proofErr w:type="gramStart"/>
      <w:r w:rsidRPr="006F0A66">
        <w:rPr>
          <w:rFonts w:ascii="Palatino Linotype" w:hAnsi="Palatino Linotype" w:cs="Arial"/>
          <w:i/>
          <w:sz w:val="22"/>
          <w:szCs w:val="22"/>
        </w:rPr>
        <w:t xml:space="preserve">la </w:t>
      </w:r>
      <w:r w:rsidRPr="006F0A66">
        <w:rPr>
          <w:rFonts w:ascii="Palatino Linotype" w:hAnsi="Palatino Linotype" w:cs="Arial"/>
          <w:i/>
          <w:sz w:val="22"/>
          <w:szCs w:val="22"/>
        </w:rPr>
        <w:lastRenderedPageBreak/>
        <w:t>misma</w:t>
      </w:r>
      <w:proofErr w:type="gramEnd"/>
      <w:r w:rsidRPr="006F0A66">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53060B0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29E1B8E0" w14:textId="77777777" w:rsidR="00FF592F" w:rsidRPr="006F0A66" w:rsidRDefault="00FF592F" w:rsidP="00FF592F">
      <w:pPr>
        <w:ind w:left="851" w:right="901"/>
        <w:jc w:val="both"/>
        <w:rPr>
          <w:rFonts w:ascii="Palatino Linotype" w:hAnsi="Palatino Linotype" w:cs="Arial"/>
          <w:i/>
          <w:sz w:val="22"/>
          <w:szCs w:val="22"/>
        </w:rPr>
      </w:pPr>
    </w:p>
    <w:p w14:paraId="537E3F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237F2E1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460A4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w:t>
      </w:r>
      <w:r w:rsidRPr="006F0A66">
        <w:rPr>
          <w:rFonts w:ascii="Palatino Linotype" w:hAnsi="Palatino Linotype" w:cs="Arial"/>
          <w:i/>
          <w:sz w:val="22"/>
          <w:szCs w:val="22"/>
        </w:rPr>
        <w:lastRenderedPageBreak/>
        <w:t>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6F0A66" w:rsidRDefault="00FF592F" w:rsidP="00FF592F">
      <w:pPr>
        <w:ind w:left="851" w:right="901"/>
        <w:jc w:val="both"/>
        <w:rPr>
          <w:rFonts w:ascii="Palatino Linotype" w:hAnsi="Palatino Linotype" w:cs="Arial"/>
          <w:b/>
          <w:i/>
          <w:szCs w:val="22"/>
        </w:rPr>
      </w:pPr>
    </w:p>
    <w:p w14:paraId="37E2001F" w14:textId="4601C27A"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6F0A66" w:rsidRDefault="005A4754" w:rsidP="00FF592F">
      <w:pPr>
        <w:spacing w:line="360" w:lineRule="auto"/>
        <w:jc w:val="both"/>
        <w:rPr>
          <w:rFonts w:ascii="Palatino Linotype" w:hAnsi="Palatino Linotype" w:cs="Arial"/>
        </w:rPr>
      </w:pPr>
    </w:p>
    <w:p w14:paraId="4458D2E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F0A66" w:rsidRDefault="00FF592F" w:rsidP="00FF592F">
      <w:pPr>
        <w:jc w:val="both"/>
        <w:rPr>
          <w:rFonts w:ascii="Palatino Linotype" w:hAnsi="Palatino Linotype" w:cs="Arial"/>
          <w:sz w:val="22"/>
          <w:szCs w:val="22"/>
        </w:rPr>
      </w:pPr>
    </w:p>
    <w:p w14:paraId="49785234"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27F6795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A5492D" w14:textId="0C49A6E3" w:rsidR="00FF592F"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lastRenderedPageBreak/>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00941694" w14:textId="77777777" w:rsidR="005A4754" w:rsidRPr="006F0A66" w:rsidRDefault="005A4754" w:rsidP="00FF592F">
      <w:pPr>
        <w:autoSpaceDE w:val="0"/>
        <w:autoSpaceDN w:val="0"/>
        <w:adjustRightInd w:val="0"/>
        <w:spacing w:line="360" w:lineRule="auto"/>
        <w:jc w:val="both"/>
        <w:rPr>
          <w:rFonts w:ascii="Palatino Linotype" w:hAnsi="Palatino Linotype" w:cs="Arial"/>
        </w:rPr>
      </w:pPr>
    </w:p>
    <w:p w14:paraId="512968C3" w14:textId="77777777" w:rsidR="00FF592F" w:rsidRPr="006F0A66" w:rsidRDefault="00FF592F" w:rsidP="00FF592F">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3CA4E8D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w:t>
      </w:r>
      <w:proofErr w:type="gramStart"/>
      <w:r w:rsidRPr="006F0A66">
        <w:rPr>
          <w:rFonts w:ascii="Palatino Linotype" w:hAnsi="Palatino Linotype" w:cs="Arial"/>
          <w:i/>
          <w:sz w:val="22"/>
          <w:szCs w:val="22"/>
          <w:lang w:eastAsia="es-MX"/>
        </w:rPr>
        <w:t>pública,</w:t>
      </w:r>
      <w:proofErr w:type="gramEnd"/>
      <w:r w:rsidRPr="006F0A66">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En </w:t>
      </w:r>
      <w:proofErr w:type="gramStart"/>
      <w:r w:rsidRPr="006F0A66">
        <w:rPr>
          <w:rFonts w:ascii="Palatino Linotype" w:hAnsi="Palatino Linotype" w:cs="Arial"/>
          <w:i/>
          <w:sz w:val="22"/>
          <w:szCs w:val="22"/>
          <w:lang w:eastAsia="es-MX"/>
        </w:rPr>
        <w:t>consecuencia</w:t>
      </w:r>
      <w:proofErr w:type="gramEnd"/>
      <w:r w:rsidRPr="006F0A66">
        <w:rPr>
          <w:rFonts w:ascii="Palatino Linotype" w:hAnsi="Palatino Linotype" w:cs="Arial"/>
          <w:i/>
          <w:sz w:val="22"/>
          <w:szCs w:val="22"/>
          <w:lang w:eastAsia="es-MX"/>
        </w:rPr>
        <w:t xml:space="preserve"> el acceso a la información se refiere a que se cumplan cualquiera de los siguientes tres supuestos:</w:t>
      </w:r>
    </w:p>
    <w:p w14:paraId="223CAF0B" w14:textId="77777777" w:rsidR="00FF592F" w:rsidRPr="006F0A66" w:rsidRDefault="00FF592F" w:rsidP="00FF592F">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 xml:space="preserve">1) Que se trate de información registrada en cualquier soporte documental, </w:t>
      </w:r>
      <w:proofErr w:type="gramStart"/>
      <w:r w:rsidRPr="006F0A66">
        <w:rPr>
          <w:rFonts w:ascii="Palatino Linotype" w:hAnsi="Palatino Linotype" w:cs="Arial"/>
          <w:b/>
          <w:i/>
          <w:sz w:val="22"/>
          <w:szCs w:val="22"/>
          <w:u w:val="single"/>
          <w:lang w:eastAsia="es-MX"/>
        </w:rPr>
        <w:t>que</w:t>
      </w:r>
      <w:proofErr w:type="gramEnd"/>
      <w:r w:rsidRPr="006F0A66">
        <w:rPr>
          <w:rFonts w:ascii="Palatino Linotype" w:hAnsi="Palatino Linotype" w:cs="Arial"/>
          <w:b/>
          <w:i/>
          <w:sz w:val="22"/>
          <w:szCs w:val="22"/>
          <w:u w:val="single"/>
          <w:lang w:eastAsia="es-MX"/>
        </w:rPr>
        <w:t xml:space="preserve"> en ejercicio de las atribuciones conferidas, sea generada por los Sujetos Obligados;</w:t>
      </w:r>
    </w:p>
    <w:p w14:paraId="0D13F099"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sea administrada por los Sujetos Obligados, y</w:t>
      </w:r>
    </w:p>
    <w:p w14:paraId="5101C884"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3) Que se trate de información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 encuentre en posesión de los Sujetos Obligados.” (SIC)</w:t>
      </w:r>
    </w:p>
    <w:p w14:paraId="4C764CDD" w14:textId="0C276C0B" w:rsidR="00FF592F" w:rsidRDefault="00FF592F" w:rsidP="00FF592F">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5F6895D8" w14:textId="77777777" w:rsidR="005A4754" w:rsidRPr="006F0A66" w:rsidRDefault="005A4754" w:rsidP="00FF592F">
      <w:pPr>
        <w:ind w:left="851" w:right="1134"/>
        <w:jc w:val="both"/>
        <w:rPr>
          <w:rFonts w:ascii="Palatino Linotype" w:hAnsi="Palatino Linotype" w:cs="Arial"/>
          <w:sz w:val="22"/>
          <w:szCs w:val="22"/>
          <w:lang w:eastAsia="es-MX"/>
        </w:rPr>
      </w:pPr>
    </w:p>
    <w:p w14:paraId="61EB51C7" w14:textId="77777777" w:rsidR="00FF592F" w:rsidRPr="006F0A66"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w:t>
      </w:r>
      <w:r w:rsidRPr="006F0A66">
        <w:rPr>
          <w:rFonts w:ascii="Palatino Linotype" w:eastAsia="Arial Unicode MS" w:hAnsi="Palatino Linotype" w:cs="Arial"/>
        </w:rPr>
        <w:lastRenderedPageBreak/>
        <w:t xml:space="preserve">responsable para atender esa área, además, de fungir como enlace entre éstos y los solicitantes. </w:t>
      </w:r>
    </w:p>
    <w:p w14:paraId="1BAD1D08" w14:textId="77777777" w:rsidR="00FF592F" w:rsidRPr="006F0A66" w:rsidRDefault="00FF592F" w:rsidP="00FF592F">
      <w:pPr>
        <w:spacing w:line="360" w:lineRule="auto"/>
        <w:jc w:val="both"/>
        <w:rPr>
          <w:rFonts w:ascii="Palatino Linotype" w:eastAsia="Arial Unicode MS" w:hAnsi="Palatino Linotype" w:cs="Arial"/>
        </w:rPr>
      </w:pPr>
    </w:p>
    <w:p w14:paraId="5B3F78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36514901" w:rsidR="00FF592F"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76A7EE8" w14:textId="77777777" w:rsidR="0032566F" w:rsidRPr="006F0A66" w:rsidRDefault="0032566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021C3FDF" w:rsidR="00FF592F" w:rsidRDefault="00FF592F" w:rsidP="00FF592F">
      <w:pPr>
        <w:spacing w:line="360" w:lineRule="auto"/>
        <w:jc w:val="both"/>
        <w:rPr>
          <w:rFonts w:ascii="Palatino Linotype" w:hAnsi="Palatino Linotype" w:cs="Arial"/>
        </w:rPr>
      </w:pPr>
    </w:p>
    <w:p w14:paraId="10CAF640" w14:textId="77777777" w:rsidR="005A4754" w:rsidRPr="006F0A66" w:rsidRDefault="005A4754" w:rsidP="00FF592F">
      <w:pPr>
        <w:spacing w:line="360" w:lineRule="auto"/>
        <w:jc w:val="both"/>
        <w:rPr>
          <w:rFonts w:ascii="Palatino Linotype" w:hAnsi="Palatino Linotype" w:cs="Arial"/>
        </w:rPr>
      </w:pPr>
    </w:p>
    <w:p w14:paraId="4C13DB32"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6F0A66" w:rsidRDefault="00FF592F" w:rsidP="00FF592F">
      <w:pPr>
        <w:spacing w:line="360" w:lineRule="auto"/>
        <w:jc w:val="both"/>
        <w:rPr>
          <w:rFonts w:ascii="Palatino Linotype" w:hAnsi="Palatino Linotype" w:cs="Arial"/>
        </w:rPr>
      </w:pPr>
    </w:p>
    <w:p w14:paraId="69705FC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59E8F554" w14:textId="77777777" w:rsidR="00FF592F" w:rsidRPr="006F0A66" w:rsidRDefault="00FF592F" w:rsidP="00FF592F">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9187A7F" w14:textId="77777777" w:rsidR="00FF592F" w:rsidRPr="006F0A66" w:rsidRDefault="00FF592F" w:rsidP="00FF592F">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6F0A66" w:rsidRDefault="00FF592F" w:rsidP="00FF592F">
      <w:pPr>
        <w:ind w:left="851" w:right="902"/>
        <w:jc w:val="both"/>
        <w:rPr>
          <w:rFonts w:ascii="Palatino Linotype" w:hAnsi="Palatino Linotype"/>
          <w:sz w:val="22"/>
        </w:rPr>
      </w:pPr>
      <w:r w:rsidRPr="006F0A66">
        <w:rPr>
          <w:rFonts w:ascii="Palatino Linotype" w:hAnsi="Palatino Linotype"/>
          <w:sz w:val="22"/>
        </w:rPr>
        <w:t>(Énfasis añadido.)</w:t>
      </w:r>
    </w:p>
    <w:p w14:paraId="3D2932FC" w14:textId="77777777" w:rsidR="00FF592F" w:rsidRPr="006F0A66" w:rsidRDefault="00FF592F" w:rsidP="00FF592F">
      <w:pPr>
        <w:ind w:left="851" w:right="902"/>
        <w:jc w:val="both"/>
        <w:rPr>
          <w:rFonts w:ascii="Palatino Linotype" w:hAnsi="Palatino Linotype"/>
          <w:sz w:val="22"/>
        </w:rPr>
      </w:pPr>
    </w:p>
    <w:p w14:paraId="7095C3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mérito de lo expuesto, es claro que en este caso la Unidad de Transparencia incumplió la normatividad aplicable a la materia, puesto que no dio respuesta a la solicitud de </w:t>
      </w:r>
      <w:r w:rsidRPr="006F0A66">
        <w:rPr>
          <w:rFonts w:ascii="Palatino Linotype" w:hAnsi="Palatino Linotype"/>
        </w:rPr>
        <w:lastRenderedPageBreak/>
        <w:t>acceso a la información que en el presente caso nos ocupa, limitando el derecho de acceso a la información, accionado por la particular.</w:t>
      </w:r>
    </w:p>
    <w:p w14:paraId="3C6B1A02"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Default="00FF592F" w:rsidP="00FF592F">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576C942" w14:textId="77777777" w:rsidR="005A4754" w:rsidRPr="006F0A66" w:rsidRDefault="005A4754" w:rsidP="00FF592F">
      <w:pPr>
        <w:spacing w:line="360" w:lineRule="auto"/>
        <w:jc w:val="both"/>
        <w:rPr>
          <w:rFonts w:ascii="Palatino Linotype" w:hAnsi="Palatino Linotype"/>
        </w:rPr>
      </w:pPr>
    </w:p>
    <w:p w14:paraId="282B6162"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2343AA32" w14:textId="77777777" w:rsidR="00FF592F" w:rsidRPr="006F0A66" w:rsidRDefault="00FF592F" w:rsidP="00FF592F">
      <w:pPr>
        <w:spacing w:line="360" w:lineRule="auto"/>
        <w:jc w:val="both"/>
        <w:rPr>
          <w:rFonts w:ascii="Palatino Linotype" w:hAnsi="Palatino Linotype"/>
        </w:rPr>
      </w:pPr>
    </w:p>
    <w:p w14:paraId="75E4FF7A" w14:textId="77777777" w:rsidR="00FF592F" w:rsidRPr="006F0A66" w:rsidRDefault="00FF592F" w:rsidP="00FF592F">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6F0A66">
        <w:rPr>
          <w:rFonts w:ascii="Palatino Linotype" w:eastAsia="Calibri" w:hAnsi="Palatino Linotype"/>
          <w:szCs w:val="22"/>
          <w:lang w:eastAsia="en-US"/>
        </w:rPr>
        <w:t>los argumentos para justificar cualquier negativa de acceso a la información debe</w:t>
      </w:r>
      <w:proofErr w:type="gramEnd"/>
      <w:r w:rsidRPr="006F0A66">
        <w:rPr>
          <w:rFonts w:ascii="Palatino Linotype" w:eastAsia="Calibri" w:hAnsi="Palatino Linotype"/>
          <w:szCs w:val="22"/>
          <w:lang w:eastAsia="en-US"/>
        </w:rPr>
        <w:t xml:space="preserv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6D29D7D0" w14:textId="77777777" w:rsidR="00FF592F" w:rsidRPr="006F0A66" w:rsidRDefault="00FF592F" w:rsidP="00FF592F">
      <w:pPr>
        <w:spacing w:line="360" w:lineRule="auto"/>
        <w:jc w:val="both"/>
        <w:rPr>
          <w:rFonts w:ascii="Palatino Linotype" w:eastAsia="Calibri" w:hAnsi="Palatino Linotype"/>
          <w:szCs w:val="22"/>
          <w:lang w:eastAsia="en-US"/>
        </w:rPr>
      </w:pPr>
    </w:p>
    <w:p w14:paraId="7949475C" w14:textId="210D4C62" w:rsidR="00FF592F" w:rsidRDefault="00FF592F" w:rsidP="00FF592F">
      <w:pPr>
        <w:spacing w:line="360" w:lineRule="auto"/>
        <w:jc w:val="both"/>
        <w:rPr>
          <w:rFonts w:ascii="Palatino Linotype" w:hAnsi="Palatino Linotype" w:cs="Arial"/>
        </w:rPr>
      </w:pPr>
      <w:r w:rsidRPr="006F0A66">
        <w:rPr>
          <w:rFonts w:ascii="Palatino Linotype" w:eastAsia="Calibri" w:hAnsi="Palatino Linotype"/>
          <w:szCs w:val="22"/>
          <w:lang w:eastAsia="en-US"/>
        </w:rPr>
        <w:lastRenderedPageBreak/>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6F0A66" w:rsidRDefault="005A4754" w:rsidP="00FF592F">
      <w:pPr>
        <w:spacing w:line="360" w:lineRule="auto"/>
        <w:jc w:val="both"/>
        <w:rPr>
          <w:rFonts w:ascii="Palatino Linotype" w:hAnsi="Palatino Linotype" w:cs="Arial"/>
        </w:rPr>
      </w:pPr>
    </w:p>
    <w:p w14:paraId="3C0DFFD6" w14:textId="44094EDF" w:rsidR="00FF592F" w:rsidRDefault="00FF592F" w:rsidP="00FF592F">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3423874C" w14:textId="77777777" w:rsidR="0032566F" w:rsidRPr="006F0A66" w:rsidRDefault="0032566F"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w:t>
      </w:r>
      <w:r w:rsidRPr="006F0A66">
        <w:rPr>
          <w:rFonts w:ascii="Palatino Linotype" w:hAnsi="Palatino Linotype" w:cs="Arial"/>
        </w:rPr>
        <w:lastRenderedPageBreak/>
        <w:t xml:space="preserve">cuya utilización indebida pueda dar origen a discriminación o conlleve un riesgo grave para éste. </w:t>
      </w:r>
    </w:p>
    <w:p w14:paraId="2081A7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Default="00FF592F" w:rsidP="00FF592F">
      <w:pPr>
        <w:autoSpaceDE w:val="0"/>
        <w:autoSpaceDN w:val="0"/>
        <w:adjustRightInd w:val="0"/>
        <w:spacing w:line="360" w:lineRule="auto"/>
        <w:jc w:val="both"/>
        <w:rPr>
          <w:rFonts w:ascii="Palatino Linotype" w:hAnsi="Palatino Linotype" w:cs="Arial"/>
        </w:rPr>
      </w:pPr>
    </w:p>
    <w:p w14:paraId="38B25E66" w14:textId="38F7BB83"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w:t>
      </w:r>
      <w:r w:rsidR="005A4754">
        <w:rPr>
          <w:rFonts w:ascii="Palatino Linotype" w:hAnsi="Palatino Linotype" w:cs="Arial"/>
        </w:rPr>
        <w:t>Órgano Garante</w:t>
      </w:r>
      <w:r w:rsidRPr="006F0A66">
        <w:rPr>
          <w:rFonts w:ascii="Palatino Linotype" w:hAnsi="Palatino Linotype" w:cs="Arial"/>
        </w:rPr>
        <w:t xml:space="preserve"> no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términos de las hipótesis previstas en el numeral 140 de la Ley de Transparencia y Acceso a la Información Pública del Estado de México y Municipios; así como, en </w:t>
      </w:r>
      <w:r w:rsidRPr="006F0A66">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07920B7"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6F0A66" w:rsidRDefault="00FF592F" w:rsidP="00FF592F">
      <w:pPr>
        <w:spacing w:line="360" w:lineRule="auto"/>
        <w:jc w:val="both"/>
        <w:rPr>
          <w:rFonts w:ascii="Palatino Linotype" w:hAnsi="Palatino Linotype" w:cs="Arial"/>
        </w:rPr>
      </w:pPr>
    </w:p>
    <w:p w14:paraId="04FFC37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w:t>
      </w:r>
      <w:proofErr w:type="gramStart"/>
      <w:r w:rsidRPr="006F0A66">
        <w:rPr>
          <w:rFonts w:ascii="Palatino Linotype" w:hAnsi="Palatino Linotype"/>
        </w:rPr>
        <w:t>reservada,</w:t>
      </w:r>
      <w:proofErr w:type="gramEnd"/>
      <w:r w:rsidRPr="006F0A66">
        <w:rPr>
          <w:rFonts w:ascii="Palatino Linotype" w:hAnsi="Palatino Linotype"/>
        </w:rPr>
        <w:t xml:space="preserve">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6F0A66" w:rsidRDefault="00FF592F" w:rsidP="00FF592F">
      <w:pPr>
        <w:spacing w:line="360" w:lineRule="auto"/>
        <w:jc w:val="both"/>
        <w:rPr>
          <w:rFonts w:ascii="Palatino Linotype" w:hAnsi="Palatino Linotype"/>
        </w:rPr>
      </w:pPr>
    </w:p>
    <w:p w14:paraId="11FB23CE" w14:textId="77777777" w:rsidR="00FF592F" w:rsidRPr="006F0A66" w:rsidRDefault="00FF592F" w:rsidP="00FF592F">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6F0A66" w:rsidRDefault="00FF592F" w:rsidP="00FF592F">
      <w:pPr>
        <w:spacing w:line="360" w:lineRule="auto"/>
        <w:jc w:val="both"/>
        <w:rPr>
          <w:rFonts w:ascii="Palatino Linotype" w:eastAsia="Calibri" w:hAnsi="Palatino Linotype" w:cs="Arial"/>
          <w:bCs/>
        </w:rPr>
      </w:pPr>
      <w:r w:rsidRPr="006F0A66">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Libro 5, </w:t>
      </w:r>
      <w:r w:rsidRPr="006F0A66">
        <w:rPr>
          <w:rFonts w:ascii="Palatino Linotype" w:eastAsia="Calibri" w:hAnsi="Palatino Linotype" w:cs="Arial"/>
        </w:rPr>
        <w:lastRenderedPageBreak/>
        <w:t>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2F37F15B" w14:textId="77777777" w:rsidR="00FF592F" w:rsidRPr="006F0A66" w:rsidRDefault="00FF592F" w:rsidP="00FF592F">
      <w:pPr>
        <w:jc w:val="both"/>
        <w:rPr>
          <w:rFonts w:ascii="Palatino Linotype" w:eastAsia="Calibri" w:hAnsi="Palatino Linotype" w:cs="Arial"/>
          <w:bCs/>
        </w:rPr>
      </w:pPr>
    </w:p>
    <w:p w14:paraId="10330DCC" w14:textId="77777777" w:rsidR="00FF592F" w:rsidRPr="006F0A66" w:rsidRDefault="00FF592F" w:rsidP="00FF592F">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F0A66">
        <w:rPr>
          <w:rFonts w:ascii="Palatino Linotype" w:eastAsia="Calibri" w:hAnsi="Palatino Linotype"/>
          <w:i/>
          <w:sz w:val="22"/>
          <w:szCs w:val="22"/>
        </w:rPr>
        <w:t>officio</w:t>
      </w:r>
      <w:proofErr w:type="spellEnd"/>
      <w:r w:rsidRPr="006F0A66">
        <w:rPr>
          <w:rFonts w:ascii="Palatino Linotype" w:eastAsia="Calibri" w:hAnsi="Palatino Linotype"/>
          <w:i/>
          <w:sz w:val="22"/>
          <w:szCs w:val="22"/>
        </w:rPr>
        <w:t>, con el propósito de obtener una versión que sea pública para la parte interesada.” (sic)</w:t>
      </w:r>
    </w:p>
    <w:p w14:paraId="11A50781" w14:textId="77777777" w:rsidR="00FF592F" w:rsidRPr="006F0A66" w:rsidRDefault="00FF592F" w:rsidP="00FF592F">
      <w:pPr>
        <w:ind w:left="851" w:right="902"/>
        <w:jc w:val="both"/>
        <w:rPr>
          <w:rFonts w:ascii="Palatino Linotype" w:eastAsia="Calibri" w:hAnsi="Palatino Linotype"/>
          <w:i/>
          <w:sz w:val="22"/>
          <w:szCs w:val="22"/>
        </w:rPr>
      </w:pPr>
    </w:p>
    <w:p w14:paraId="031DA2C7" w14:textId="77777777" w:rsidR="00FF592F" w:rsidRPr="006F0A66" w:rsidRDefault="00FF592F" w:rsidP="00FF592F">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w:t>
      </w:r>
      <w:proofErr w:type="spellStart"/>
      <w:r w:rsidRPr="006F0A66">
        <w:rPr>
          <w:rFonts w:ascii="Palatino Linotype" w:hAnsi="Palatino Linotype"/>
          <w:bCs/>
        </w:rPr>
        <w:t>actualiza</w:t>
      </w:r>
      <w:proofErr w:type="spellEnd"/>
      <w:r w:rsidRPr="006F0A66">
        <w:rPr>
          <w:rFonts w:ascii="Palatino Linotype" w:hAnsi="Palatino Linotype"/>
          <w:bCs/>
        </w:rPr>
        <w:t xml:space="preserve"> alguno de los supuestos conforme a las normas aplicables.</w:t>
      </w:r>
    </w:p>
    <w:p w14:paraId="22FA67A3" w14:textId="77777777" w:rsidR="00FF592F" w:rsidRPr="006F0A66" w:rsidRDefault="00FF592F" w:rsidP="00FF592F">
      <w:pPr>
        <w:spacing w:line="360" w:lineRule="auto"/>
        <w:jc w:val="both"/>
        <w:rPr>
          <w:rFonts w:ascii="Palatino Linotype" w:hAnsi="Palatino Linotype"/>
          <w:bCs/>
        </w:rPr>
      </w:pPr>
    </w:p>
    <w:p w14:paraId="7B66ACA8"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w:t>
      </w:r>
      <w:r w:rsidRPr="006F0A66">
        <w:rPr>
          <w:rFonts w:ascii="Palatino Linotype" w:hAnsi="Palatino Linotype"/>
        </w:rPr>
        <w:lastRenderedPageBreak/>
        <w:t xml:space="preserve">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CFAB513" w14:textId="77777777" w:rsidR="00FF592F" w:rsidRPr="006F0A66" w:rsidRDefault="00FF592F" w:rsidP="00FF592F">
      <w:pPr>
        <w:spacing w:line="360" w:lineRule="auto"/>
        <w:jc w:val="both"/>
        <w:rPr>
          <w:rFonts w:ascii="Palatino Linotype" w:hAnsi="Palatino Linotype"/>
        </w:rPr>
      </w:pPr>
    </w:p>
    <w:p w14:paraId="2901601D" w14:textId="07AFE2C1" w:rsidR="00FF592F" w:rsidRDefault="00FF592F" w:rsidP="00FF592F">
      <w:pPr>
        <w:spacing w:line="360" w:lineRule="auto"/>
        <w:jc w:val="both"/>
        <w:rPr>
          <w:rFonts w:ascii="Palatino Linotype" w:hAnsi="Palatino Linotype"/>
        </w:rPr>
      </w:pPr>
      <w:r w:rsidRPr="006F0A66">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6F0A66">
        <w:rPr>
          <w:rFonts w:ascii="Palatino Linotype" w:hAnsi="Palatino Linotype"/>
        </w:rPr>
        <w:t>información,</w:t>
      </w:r>
      <w:proofErr w:type="gramEnd"/>
      <w:r w:rsidRPr="006F0A66">
        <w:rPr>
          <w:rFonts w:ascii="Palatino Linotype" w:hAnsi="Palatino Linotype"/>
        </w:rPr>
        <w:t xml:space="preserve"> es mayor que el interés de conocerla; por lo que, debe clasificarse como reservada.</w:t>
      </w:r>
    </w:p>
    <w:p w14:paraId="019AC6C8" w14:textId="77777777" w:rsidR="005A4754" w:rsidRPr="006F0A66" w:rsidRDefault="005A4754" w:rsidP="00FF592F">
      <w:pPr>
        <w:spacing w:line="360" w:lineRule="auto"/>
        <w:jc w:val="both"/>
        <w:rPr>
          <w:rFonts w:ascii="Palatino Linotype" w:hAnsi="Palatino Linotype"/>
        </w:rPr>
      </w:pPr>
    </w:p>
    <w:p w14:paraId="4F1D53B3"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6F0A66" w:rsidRDefault="00FF592F" w:rsidP="00FF592F">
      <w:pPr>
        <w:spacing w:line="360" w:lineRule="auto"/>
        <w:jc w:val="both"/>
        <w:rPr>
          <w:rFonts w:ascii="Palatino Linotype" w:hAnsi="Palatino Linotype"/>
        </w:rPr>
      </w:pPr>
    </w:p>
    <w:p w14:paraId="0E38D42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352F2A6B"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6D7B0D5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4197B00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 xml:space="preserve">Situación que se robustece con el artículo 141 de la misma Ley, que señala que las causales de reserva </w:t>
      </w:r>
      <w:proofErr w:type="gramStart"/>
      <w:r w:rsidRPr="006F0A66">
        <w:rPr>
          <w:rFonts w:ascii="Palatino Linotype" w:hAnsi="Palatino Linotype"/>
        </w:rPr>
        <w:t>previstas,</w:t>
      </w:r>
      <w:proofErr w:type="gramEnd"/>
      <w:r w:rsidRPr="006F0A66">
        <w:rPr>
          <w:rFonts w:ascii="Palatino Linotype" w:hAnsi="Palatino Linotype"/>
        </w:rPr>
        <w:t xml:space="preserve"> se deberán fundar y motivar, a través de la aplicación de la prueba de daño.</w:t>
      </w:r>
    </w:p>
    <w:p w14:paraId="734923A1" w14:textId="77777777" w:rsidR="00FF592F" w:rsidRPr="006F0A66" w:rsidRDefault="00FF592F" w:rsidP="00FF592F">
      <w:pPr>
        <w:spacing w:line="360" w:lineRule="auto"/>
        <w:jc w:val="both"/>
        <w:rPr>
          <w:rFonts w:ascii="Palatino Linotype" w:hAnsi="Palatino Linotype"/>
        </w:rPr>
      </w:pPr>
    </w:p>
    <w:p w14:paraId="57E8D9F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6F0A66" w:rsidRDefault="00FF592F" w:rsidP="00FF592F">
      <w:pPr>
        <w:spacing w:line="360" w:lineRule="auto"/>
        <w:jc w:val="both"/>
        <w:rPr>
          <w:rFonts w:ascii="Palatino Linotype" w:hAnsi="Palatino Linotype"/>
        </w:rPr>
      </w:pPr>
    </w:p>
    <w:p w14:paraId="1135DC71"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5A568A08"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44FA2A79"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6F0A66" w:rsidRDefault="00FF592F" w:rsidP="00FF592F">
      <w:pPr>
        <w:spacing w:line="360" w:lineRule="auto"/>
        <w:ind w:left="1134"/>
        <w:jc w:val="both"/>
        <w:rPr>
          <w:rFonts w:ascii="Palatino Linotype" w:hAnsi="Palatino Linotype"/>
        </w:rPr>
      </w:pPr>
    </w:p>
    <w:p w14:paraId="4099B012"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EF35D99"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6F0A66" w:rsidRDefault="00FF592F" w:rsidP="00FF592F">
      <w:pPr>
        <w:spacing w:line="360" w:lineRule="auto"/>
        <w:jc w:val="both"/>
        <w:rPr>
          <w:rFonts w:ascii="Palatino Linotype" w:hAnsi="Palatino Linotype" w:cs="Arial"/>
        </w:rPr>
      </w:pPr>
    </w:p>
    <w:p w14:paraId="43D900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F0A66" w:rsidRDefault="00FF592F" w:rsidP="00FF592F">
      <w:pPr>
        <w:spacing w:line="360" w:lineRule="auto"/>
        <w:jc w:val="both"/>
        <w:rPr>
          <w:rFonts w:ascii="Palatino Linotype" w:hAnsi="Palatino Linotype"/>
        </w:rPr>
      </w:pPr>
    </w:p>
    <w:p w14:paraId="5B8B2811" w14:textId="1DEBE15C" w:rsidR="00FF592F" w:rsidRPr="006F0A66" w:rsidRDefault="00FF592F" w:rsidP="00FF592F">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6F0A66">
        <w:rPr>
          <w:rFonts w:ascii="Palatino Linotype" w:eastAsia="Calibri" w:hAnsi="Palatino Linotype" w:cs="Bookman Old Style"/>
          <w:lang w:eastAsia="en-US"/>
        </w:rPr>
        <w:t>la misma</w:t>
      </w:r>
      <w:proofErr w:type="gramEnd"/>
      <w:r w:rsidRPr="006F0A66">
        <w:rPr>
          <w:rFonts w:ascii="Palatino Linotype" w:eastAsia="Calibri" w:hAnsi="Palatino Linotype" w:cs="Bookman Old Style"/>
          <w:lang w:eastAsia="en-US"/>
        </w:rPr>
        <w:t>.</w:t>
      </w:r>
    </w:p>
    <w:p w14:paraId="048D08FE" w14:textId="77777777" w:rsidR="00FF592F" w:rsidRPr="006F0A66"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6F0A66" w:rsidRDefault="00FF592F" w:rsidP="00FF592F">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6F0A66">
        <w:rPr>
          <w:rFonts w:ascii="Palatino Linotype" w:hAnsi="Palatino Linotype"/>
        </w:rPr>
        <w:lastRenderedPageBreak/>
        <w:t>competencias o funciones y que se presume que la información debe existir si se refiere a dichas facultades, competencias y/o funciones.</w:t>
      </w:r>
    </w:p>
    <w:p w14:paraId="30354AA8" w14:textId="77777777" w:rsidR="00FF592F" w:rsidRPr="006F0A66" w:rsidRDefault="00FF592F" w:rsidP="00FF592F">
      <w:pPr>
        <w:spacing w:line="360" w:lineRule="auto"/>
        <w:jc w:val="both"/>
        <w:rPr>
          <w:rFonts w:ascii="Palatino Linotype" w:hAnsi="Palatino Linotype"/>
        </w:rPr>
      </w:pPr>
    </w:p>
    <w:p w14:paraId="077DCAAE"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6F0A66"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F0A66"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6F0A66" w:rsidRDefault="00FF592F" w:rsidP="00FF592F">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6F0A66">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0E13CFF1" w14:textId="77777777" w:rsidR="00FF592F" w:rsidRPr="006F0A66" w:rsidRDefault="00FF592F" w:rsidP="00FF592F">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291D1842" w14:textId="77777777" w:rsidR="00FF592F" w:rsidRPr="006F0A66" w:rsidRDefault="00FF592F" w:rsidP="00FF592F">
      <w:pPr>
        <w:shd w:val="clear" w:color="auto" w:fill="FFFFFF"/>
        <w:ind w:right="902" w:firstLine="851"/>
        <w:jc w:val="both"/>
        <w:rPr>
          <w:rFonts w:ascii="Palatino Linotype" w:hAnsi="Palatino Linotype"/>
          <w:sz w:val="22"/>
          <w:szCs w:val="22"/>
          <w:lang w:eastAsia="es-MX"/>
        </w:rPr>
      </w:pPr>
    </w:p>
    <w:p w14:paraId="5C386F4C" w14:textId="79AEBDAB"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007A3DB8">
        <w:rPr>
          <w:rFonts w:ascii="Palatino Linotype" w:hAnsi="Palatino Linotype" w:cs="Arial"/>
          <w:b/>
        </w:rPr>
        <w:t>LA</w:t>
      </w:r>
      <w:r w:rsidRPr="006F0A66">
        <w:rPr>
          <w:rFonts w:ascii="Palatino Linotype" w:hAnsi="Palatino Linotype" w:cs="Arial"/>
          <w:b/>
        </w:rPr>
        <w:t xml:space="preserve">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respuesta a la</w:t>
      </w:r>
      <w:r w:rsidR="00461FE2" w:rsidRPr="006F0A66">
        <w:rPr>
          <w:rFonts w:ascii="Palatino Linotype" w:hAnsi="Palatino Linotype" w:cs="Arial"/>
        </w:rPr>
        <w:t>s</w:t>
      </w:r>
      <w:r w:rsidRPr="006F0A66">
        <w:rPr>
          <w:rFonts w:ascii="Palatino Linotype" w:hAnsi="Palatino Linotype" w:cs="Arial"/>
        </w:rPr>
        <w:t xml:space="preserve"> solicitud</w:t>
      </w:r>
      <w:r w:rsidR="00461FE2" w:rsidRPr="006F0A66">
        <w:rPr>
          <w:rFonts w:ascii="Palatino Linotype" w:hAnsi="Palatino Linotype" w:cs="Arial"/>
        </w:rPr>
        <w:t>es</w:t>
      </w:r>
      <w:r w:rsidRPr="006F0A66">
        <w:rPr>
          <w:rFonts w:ascii="Palatino Linotype" w:hAnsi="Palatino Linotype" w:cs="Arial"/>
        </w:rPr>
        <w:t xml:space="preserve"> de acceso a la información, atendiendo lo señalado en el presente Considerando.</w:t>
      </w:r>
    </w:p>
    <w:p w14:paraId="7C128FD8" w14:textId="77777777" w:rsidR="00FF592F" w:rsidRPr="00F00272" w:rsidRDefault="00FF592F" w:rsidP="00FF592F">
      <w:pPr>
        <w:spacing w:line="360" w:lineRule="auto"/>
        <w:jc w:val="both"/>
        <w:rPr>
          <w:rFonts w:ascii="Palatino Linotype" w:eastAsia="Calibri" w:hAnsi="Palatino Linotype" w:cs="Arial"/>
          <w:sz w:val="16"/>
          <w:szCs w:val="16"/>
        </w:rPr>
      </w:pPr>
    </w:p>
    <w:p w14:paraId="608B2FE4" w14:textId="39F8F41E" w:rsidR="00177BA7" w:rsidRPr="006F0A66" w:rsidRDefault="00177BA7" w:rsidP="00177BA7">
      <w:pPr>
        <w:spacing w:line="360" w:lineRule="auto"/>
        <w:jc w:val="both"/>
        <w:rPr>
          <w:rFonts w:ascii="Palatino Linotype" w:hAnsi="Palatino Linotype" w:cs="Arial"/>
        </w:rPr>
      </w:pPr>
      <w:bookmarkStart w:id="0" w:name="_Hlk63244169"/>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w:t>
      </w:r>
      <w:r w:rsidR="0038105A" w:rsidRPr="006F0A66">
        <w:rPr>
          <w:rFonts w:ascii="Palatino Linotype" w:hAnsi="Palatino Linotype" w:cs="Arial"/>
        </w:rPr>
        <w:t>los</w:t>
      </w:r>
      <w:r w:rsidRPr="006F0A66">
        <w:rPr>
          <w:rFonts w:ascii="Palatino Linotype" w:hAnsi="Palatino Linotype" w:cs="Arial"/>
        </w:rPr>
        <w:t xml:space="preserve"> </w:t>
      </w:r>
      <w:r w:rsidR="0038105A" w:rsidRPr="006F0A66">
        <w:rPr>
          <w:rFonts w:ascii="Palatino Linotype" w:hAnsi="Palatino Linotype" w:cs="Arial"/>
        </w:rPr>
        <w:t>Recurso de Re</w:t>
      </w:r>
      <w:r w:rsidRPr="006F0A66">
        <w:rPr>
          <w:rFonts w:ascii="Palatino Linotype" w:hAnsi="Palatino Linotype" w:cs="Arial"/>
        </w:rPr>
        <w:t xml:space="preserv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F00272" w:rsidRDefault="00177BA7" w:rsidP="00177BA7">
      <w:pPr>
        <w:spacing w:line="360" w:lineRule="auto"/>
        <w:jc w:val="both"/>
        <w:rPr>
          <w:rFonts w:ascii="Palatino Linotype" w:eastAsia="Calibri" w:hAnsi="Palatino Linotype" w:cs="Arial"/>
          <w:sz w:val="16"/>
          <w:szCs w:val="16"/>
        </w:rPr>
      </w:pPr>
    </w:p>
    <w:p w14:paraId="160FE9D2" w14:textId="0C4C3896" w:rsidR="00177BA7" w:rsidRDefault="00177BA7" w:rsidP="00177BA7">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w:t>
      </w:r>
      <w:r w:rsidR="0032566F">
        <w:rPr>
          <w:rFonts w:ascii="Palatino Linotype" w:eastAsia="Calibri" w:hAnsi="Palatino Linotype" w:cs="Arial"/>
          <w:color w:val="000000" w:themeColor="text1"/>
        </w:rPr>
        <w:t xml:space="preserve">lo previsto en los artículos 5, </w:t>
      </w:r>
      <w:proofErr w:type="gramStart"/>
      <w:r w:rsidRPr="006F0A66">
        <w:rPr>
          <w:rFonts w:ascii="Palatino Linotype" w:eastAsia="Calibri" w:hAnsi="Palatino Linotype" w:cs="Arial"/>
          <w:color w:val="000000" w:themeColor="text1"/>
        </w:rPr>
        <w:t xml:space="preserve">párrafos </w:t>
      </w:r>
      <w:r w:rsidRPr="006F0A66">
        <w:rPr>
          <w:rFonts w:ascii="Palatino Linotype" w:hAnsi="Palatino Linotype"/>
          <w:color w:val="000000" w:themeColor="text1"/>
        </w:rPr>
        <w:t>trigésimo, trigésimo primero y trigésimo segundo</w:t>
      </w:r>
      <w:proofErr w:type="gramEnd"/>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p w14:paraId="31D30492" w14:textId="698A6F1E" w:rsidR="0032566F" w:rsidRDefault="0032566F" w:rsidP="00177BA7">
      <w:pPr>
        <w:spacing w:line="360" w:lineRule="auto"/>
        <w:jc w:val="both"/>
        <w:rPr>
          <w:rFonts w:ascii="Palatino Linotype" w:eastAsia="Calibri" w:hAnsi="Palatino Linotype" w:cs="Arial"/>
          <w:color w:val="000000" w:themeColor="text1"/>
        </w:rPr>
      </w:pPr>
    </w:p>
    <w:p w14:paraId="7ED5C463" w14:textId="73AF436A" w:rsidR="005A4754" w:rsidRDefault="005A4754" w:rsidP="00177BA7">
      <w:pPr>
        <w:spacing w:line="360" w:lineRule="auto"/>
        <w:jc w:val="both"/>
        <w:rPr>
          <w:rFonts w:ascii="Palatino Linotype" w:eastAsia="Calibri" w:hAnsi="Palatino Linotype" w:cs="Arial"/>
          <w:color w:val="000000" w:themeColor="text1"/>
        </w:rPr>
      </w:pPr>
    </w:p>
    <w:p w14:paraId="25BA1F7D" w14:textId="77777777" w:rsidR="005A4754" w:rsidRPr="006F0A66" w:rsidRDefault="005A4754" w:rsidP="00177BA7">
      <w:pPr>
        <w:spacing w:line="360" w:lineRule="auto"/>
        <w:jc w:val="both"/>
        <w:rPr>
          <w:rFonts w:ascii="Palatino Linotype" w:eastAsia="Calibri" w:hAnsi="Palatino Linotype" w:cs="Arial"/>
          <w:color w:val="000000" w:themeColor="text1"/>
        </w:rPr>
      </w:pPr>
    </w:p>
    <w:bookmarkEnd w:id="0"/>
    <w:p w14:paraId="7FD08FB9" w14:textId="77777777" w:rsidR="000171D8" w:rsidRPr="006F0A66" w:rsidRDefault="000171D8" w:rsidP="00323C71">
      <w:pPr>
        <w:jc w:val="center"/>
        <w:rPr>
          <w:rFonts w:ascii="Palatino Linotype" w:hAnsi="Palatino Linotype"/>
          <w:b/>
          <w:color w:val="000000" w:themeColor="text1"/>
          <w:spacing w:val="60"/>
          <w:sz w:val="28"/>
          <w:szCs w:val="28"/>
        </w:rPr>
      </w:pPr>
      <w:r w:rsidRPr="006F0A66">
        <w:rPr>
          <w:rFonts w:ascii="Palatino Linotype" w:hAnsi="Palatino Linotype"/>
          <w:b/>
          <w:color w:val="000000" w:themeColor="text1"/>
          <w:spacing w:val="60"/>
          <w:sz w:val="28"/>
          <w:szCs w:val="28"/>
        </w:rPr>
        <w:lastRenderedPageBreak/>
        <w:t>RESUELVE</w:t>
      </w:r>
    </w:p>
    <w:p w14:paraId="124A5727" w14:textId="77777777" w:rsidR="00323C71" w:rsidRPr="006F0A66" w:rsidRDefault="00323C71" w:rsidP="00323C71">
      <w:pPr>
        <w:jc w:val="center"/>
        <w:rPr>
          <w:rFonts w:ascii="Palatino Linotype" w:hAnsi="Palatino Linotype"/>
          <w:b/>
          <w:color w:val="000000" w:themeColor="text1"/>
          <w:spacing w:val="60"/>
          <w:sz w:val="28"/>
          <w:szCs w:val="28"/>
        </w:rPr>
      </w:pPr>
    </w:p>
    <w:p w14:paraId="16B7EA35" w14:textId="07FF6B88"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007A3DB8">
        <w:rPr>
          <w:rFonts w:ascii="Palatino Linotype" w:hAnsi="Palatino Linotype" w:cs="Arial"/>
          <w:b/>
        </w:rPr>
        <w:t>LA</w:t>
      </w:r>
      <w:r w:rsidRPr="006F0A66">
        <w:rPr>
          <w:rFonts w:ascii="Palatino Linotype" w:eastAsia="Calibri" w:hAnsi="Palatino Linotype"/>
          <w:b/>
          <w:szCs w:val="22"/>
          <w:lang w:eastAsia="en-US"/>
        </w:rPr>
        <w:t xml:space="preserve">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28A09F77" w14:textId="77777777" w:rsidR="00177BA7" w:rsidRPr="00F00272"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9155A3" w14:textId="1CDEEB01" w:rsidR="00177BA7" w:rsidRDefault="00177BA7" w:rsidP="005A4754">
      <w:pPr>
        <w:spacing w:line="360" w:lineRule="auto"/>
        <w:jc w:val="both"/>
        <w:rPr>
          <w:rFonts w:ascii="Palatino Linotype" w:hAnsi="Palatino Linotype"/>
          <w:lang w:eastAsia="es-MX"/>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w:t>
      </w:r>
      <w:r w:rsidR="0038105A" w:rsidRPr="006F0A66">
        <w:rPr>
          <w:rFonts w:ascii="Palatino Linotype" w:hAnsi="Palatino Linotype" w:cs="Arial"/>
        </w:rPr>
        <w:t>R</w:t>
      </w:r>
      <w:r w:rsidRPr="006F0A66">
        <w:rPr>
          <w:rFonts w:ascii="Palatino Linotype" w:hAnsi="Palatino Linotype" w:cs="Arial"/>
        </w:rPr>
        <w:t xml:space="preserve">ecursos de </w:t>
      </w:r>
      <w:r w:rsidR="0038105A" w:rsidRPr="006F0A66">
        <w:rPr>
          <w:rFonts w:ascii="Palatino Linotype" w:hAnsi="Palatino Linotype" w:cs="Arial"/>
        </w:rPr>
        <w:t>R</w:t>
      </w:r>
      <w:r w:rsidRPr="006F0A66">
        <w:rPr>
          <w:rFonts w:ascii="Palatino Linotype" w:hAnsi="Palatino Linotype" w:cs="Arial"/>
        </w:rPr>
        <w:t xml:space="preserve">evisión </w:t>
      </w:r>
      <w:r w:rsidR="005A4754" w:rsidRPr="005A4754">
        <w:rPr>
          <w:rFonts w:ascii="Palatino Linotype" w:hAnsi="Palatino Linotype"/>
          <w:b/>
        </w:rPr>
        <w:t>15287/INFOEM/IP/RR/2022</w:t>
      </w:r>
      <w:r w:rsidR="005A4754">
        <w:rPr>
          <w:rFonts w:ascii="Palatino Linotype" w:hAnsi="Palatino Linotype"/>
          <w:b/>
        </w:rPr>
        <w:t xml:space="preserve">, </w:t>
      </w:r>
      <w:r w:rsidR="005A4754" w:rsidRPr="005A4754">
        <w:rPr>
          <w:rFonts w:ascii="Palatino Linotype" w:hAnsi="Palatino Linotype"/>
          <w:b/>
        </w:rPr>
        <w:t>15328/INFOEM/IP/RR/2022</w:t>
      </w:r>
      <w:r w:rsidR="005A4754">
        <w:rPr>
          <w:rFonts w:ascii="Palatino Linotype" w:hAnsi="Palatino Linotype"/>
          <w:b/>
        </w:rPr>
        <w:t xml:space="preserve"> </w:t>
      </w:r>
      <w:r w:rsidR="005A4754" w:rsidRPr="005A4754">
        <w:rPr>
          <w:rFonts w:ascii="Palatino Linotype" w:hAnsi="Palatino Linotype"/>
        </w:rPr>
        <w:t>y</w:t>
      </w:r>
      <w:r w:rsidR="005A4754" w:rsidRPr="005A4754">
        <w:rPr>
          <w:rFonts w:ascii="Palatino Linotype" w:hAnsi="Palatino Linotype"/>
          <w:b/>
        </w:rPr>
        <w:t xml:space="preserve"> 15360/INFOEM/IP/RR/2022</w:t>
      </w:r>
      <w:r w:rsidR="0073215D">
        <w:rPr>
          <w:rFonts w:ascii="Palatino Linotype" w:hAnsi="Palatino Linotype"/>
          <w:b/>
        </w:rPr>
        <w:t>,</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sidRPr="006F0A66">
        <w:rPr>
          <w:rFonts w:ascii="Palatino Linotype" w:hAnsi="Palatino Linotype"/>
          <w:b/>
          <w:bCs/>
          <w:lang w:eastAsia="es-MX"/>
        </w:rPr>
        <w:t xml:space="preserve">SEXTO </w:t>
      </w:r>
      <w:r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8571818" w14:textId="77777777" w:rsidR="0032566F" w:rsidRPr="00786401" w:rsidRDefault="0032566F" w:rsidP="0032566F">
      <w:pPr>
        <w:spacing w:line="360" w:lineRule="auto"/>
        <w:jc w:val="both"/>
        <w:rPr>
          <w:rFonts w:ascii="Palatino Linotype" w:hAnsi="Palatino Linotype"/>
          <w:b/>
        </w:rPr>
      </w:pPr>
    </w:p>
    <w:p w14:paraId="6C1ADD08"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C912352" w14:textId="77777777" w:rsidR="00313D0D" w:rsidRDefault="00313D0D" w:rsidP="00177BA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F1E289F"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w:t>
      </w:r>
      <w:r w:rsidRPr="006F0A66">
        <w:rPr>
          <w:rFonts w:ascii="Palatino Linotype" w:hAnsi="Palatino Linotype"/>
          <w:szCs w:val="17"/>
          <w:lang w:eastAsia="es-ES_tradnl"/>
        </w:rPr>
        <w:lastRenderedPageBreak/>
        <w:t>manera parcial se actuará de conformidad con lo previsto en los artículos 213, 214, 216 y 217 de dicha Ley.</w:t>
      </w:r>
    </w:p>
    <w:p w14:paraId="2AB027BD" w14:textId="77777777" w:rsidR="00F00272" w:rsidRPr="00313D0D" w:rsidRDefault="00F00272" w:rsidP="00461FE2">
      <w:pPr>
        <w:tabs>
          <w:tab w:val="left" w:pos="709"/>
        </w:tabs>
        <w:spacing w:line="360" w:lineRule="auto"/>
        <w:ind w:right="51"/>
        <w:jc w:val="both"/>
        <w:rPr>
          <w:rFonts w:ascii="Palatino Linotype" w:hAnsi="Palatino Linotype" w:cs="Arial"/>
          <w:b/>
          <w:bCs/>
          <w:sz w:val="28"/>
          <w:szCs w:val="28"/>
          <w:lang w:eastAsia="es-MX"/>
        </w:rPr>
      </w:pPr>
    </w:p>
    <w:p w14:paraId="4012B888" w14:textId="073D8A3E" w:rsidR="00461FE2" w:rsidRPr="006F0A66"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w:t>
      </w:r>
      <w:r w:rsidR="007A3DB8">
        <w:rPr>
          <w:rFonts w:ascii="Palatino Linotype" w:hAnsi="Palatino Linotype"/>
          <w:szCs w:val="17"/>
          <w:lang w:eastAsia="es-ES_tradnl"/>
        </w:rPr>
        <w:t xml:space="preserve"> </w:t>
      </w:r>
      <w:r w:rsidR="007A3DB8">
        <w:rPr>
          <w:rFonts w:ascii="Palatino Linotype" w:hAnsi="Palatino Linotype" w:cs="Arial"/>
          <w:b/>
        </w:rPr>
        <w:t>LA</w:t>
      </w:r>
      <w:r w:rsidRPr="006F0A66">
        <w:rPr>
          <w:rFonts w:ascii="Palatino Linotype" w:hAnsi="Palatino Linotype"/>
          <w:szCs w:val="17"/>
          <w:lang w:eastAsia="es-ES_tradnl"/>
        </w:rPr>
        <w:t xml:space="preserve">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00461FE2" w:rsidRPr="006F0A66">
        <w:rPr>
          <w:rFonts w:ascii="Palatino Linotype" w:hAnsi="Palatino Linotype"/>
          <w:color w:val="000000" w:themeColor="text1"/>
          <w:szCs w:val="17"/>
          <w:lang w:eastAsia="es-ES_tradnl"/>
        </w:rPr>
        <w:t xml:space="preserve">vía </w:t>
      </w:r>
      <w:r w:rsidR="00461FE2" w:rsidRPr="006F0A66">
        <w:rPr>
          <w:rFonts w:ascii="Palatino Linotype" w:hAnsi="Palatino Linotype" w:cs="Arial"/>
          <w:color w:val="000000" w:themeColor="text1"/>
        </w:rPr>
        <w:t xml:space="preserve">Sistema de Acceso a la Información Mexiquense </w:t>
      </w:r>
      <w:r w:rsidR="00461FE2" w:rsidRPr="006F0A66">
        <w:rPr>
          <w:rFonts w:ascii="Palatino Linotype" w:hAnsi="Palatino Linotype" w:cs="Arial"/>
          <w:b/>
          <w:bCs/>
          <w:color w:val="000000" w:themeColor="text1"/>
        </w:rPr>
        <w:t>SAIMEX</w:t>
      </w:r>
      <w:r w:rsidR="00461FE2" w:rsidRPr="006F0A66">
        <w:rPr>
          <w:rFonts w:ascii="Palatino Linotype" w:hAnsi="Palatino Linotype" w:cs="Arial"/>
          <w:color w:val="000000" w:themeColor="text1"/>
        </w:rPr>
        <w:t>.</w:t>
      </w:r>
    </w:p>
    <w:p w14:paraId="7053F62E" w14:textId="77777777" w:rsidR="0032566F" w:rsidRDefault="0032566F" w:rsidP="00177BA7">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E0524A0" w14:textId="74D76925" w:rsidR="00177BA7" w:rsidRPr="006F0A66"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w:t>
      </w:r>
      <w:r w:rsidR="007A3DB8">
        <w:rPr>
          <w:rFonts w:ascii="Palatino Linotype" w:hAnsi="Palatino Linotype"/>
        </w:rPr>
        <w:t xml:space="preserve"> </w:t>
      </w:r>
      <w:r w:rsidR="007A3DB8">
        <w:rPr>
          <w:rFonts w:ascii="Palatino Linotype" w:hAnsi="Palatino Linotype" w:cs="Arial"/>
          <w:b/>
        </w:rPr>
        <w:t>LA</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57912C01" w14:textId="77777777" w:rsidR="005E641F" w:rsidRPr="00313D0D" w:rsidRDefault="005E641F" w:rsidP="00177BA7">
      <w:pPr>
        <w:widowControl w:val="0"/>
        <w:tabs>
          <w:tab w:val="left" w:pos="1276"/>
        </w:tabs>
        <w:autoSpaceDE w:val="0"/>
        <w:autoSpaceDN w:val="0"/>
        <w:adjustRightInd w:val="0"/>
        <w:spacing w:line="360" w:lineRule="auto"/>
        <w:ind w:right="49"/>
        <w:jc w:val="both"/>
        <w:rPr>
          <w:rFonts w:ascii="Palatino Linotype" w:hAnsi="Palatino Linotype"/>
          <w:sz w:val="28"/>
          <w:szCs w:val="28"/>
          <w:lang w:eastAsia="es-ES_tradnl"/>
        </w:rPr>
      </w:pPr>
    </w:p>
    <w:p w14:paraId="38148551" w14:textId="392A9578" w:rsidR="00177BA7" w:rsidRPr="006F0A6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de</w:t>
      </w:r>
      <w:r w:rsidR="007A3DB8">
        <w:rPr>
          <w:rFonts w:ascii="Palatino Linotype" w:hAnsi="Palatino Linotype"/>
          <w:szCs w:val="17"/>
          <w:lang w:eastAsia="es-ES_tradnl"/>
        </w:rPr>
        <w:t xml:space="preserve"> </w:t>
      </w:r>
      <w:r w:rsidR="007A3DB8">
        <w:rPr>
          <w:rFonts w:ascii="Palatino Linotype" w:hAnsi="Palatino Linotype" w:cs="Arial"/>
          <w:b/>
        </w:rPr>
        <w:t>LA</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w:t>
      </w:r>
      <w:r w:rsidR="00061854" w:rsidRPr="006F0A66">
        <w:rPr>
          <w:rFonts w:ascii="Palatino Linotype" w:hAnsi="Palatino Linotype"/>
          <w:szCs w:val="17"/>
          <w:lang w:eastAsia="es-ES_tradnl"/>
        </w:rPr>
        <w:t>mpugnadas nuevamente, mediante R</w:t>
      </w:r>
      <w:r w:rsidRPr="006F0A66">
        <w:rPr>
          <w:rFonts w:ascii="Palatino Linotype" w:hAnsi="Palatino Linotype"/>
          <w:szCs w:val="17"/>
          <w:lang w:eastAsia="es-ES_tradnl"/>
        </w:rPr>
        <w:t xml:space="preserve">ecurso de </w:t>
      </w:r>
      <w:r w:rsidR="00061854" w:rsidRPr="006F0A66">
        <w:rPr>
          <w:rFonts w:ascii="Palatino Linotype" w:hAnsi="Palatino Linotype"/>
          <w:szCs w:val="17"/>
          <w:lang w:eastAsia="es-ES_tradnl"/>
        </w:rPr>
        <w:t>R</w:t>
      </w:r>
      <w:r w:rsidRPr="006F0A66">
        <w:rPr>
          <w:rFonts w:ascii="Palatino Linotype" w:hAnsi="Palatino Linotype"/>
          <w:szCs w:val="17"/>
          <w:lang w:eastAsia="es-ES_tradnl"/>
        </w:rPr>
        <w:t xml:space="preserve">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3E01AED4" w14:textId="77777777" w:rsidR="00F00272" w:rsidRPr="00313D0D"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126DD3B9" w14:textId="42F14C1C" w:rsidR="00177BA7"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755E1FFC" w14:textId="46040936" w:rsidR="00177BA7" w:rsidRPr="006F0A66"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lastRenderedPageBreak/>
        <w:t xml:space="preserve">ASÍ LO RESUELVE, POR </w:t>
      </w:r>
      <w:r w:rsidR="00357C81" w:rsidRPr="006B0987">
        <w:rPr>
          <w:rFonts w:ascii="Palatino Linotype" w:hAnsi="Palatino Linotype" w:cs="Arial"/>
          <w:color w:val="000000" w:themeColor="text1"/>
          <w:lang w:val="es-419"/>
        </w:rPr>
        <w:t>UNANIMIDAD</w:t>
      </w:r>
      <w:r w:rsidRPr="006F0A6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76AA1">
        <w:rPr>
          <w:rFonts w:ascii="Palatino Linotype" w:hAnsi="Palatino Linotype" w:cs="Arial"/>
          <w:color w:val="000000" w:themeColor="text1"/>
          <w:lang w:val="es-419"/>
        </w:rPr>
        <w:t>CUADRAGÉSIMA</w:t>
      </w:r>
      <w:r w:rsidR="00B034B7">
        <w:rPr>
          <w:rFonts w:ascii="Palatino Linotype" w:hAnsi="Palatino Linotype" w:cs="Arial"/>
          <w:color w:val="000000" w:themeColor="text1"/>
        </w:rPr>
        <w:t xml:space="preserve"> </w:t>
      </w:r>
      <w:r w:rsidRPr="006F0A66">
        <w:rPr>
          <w:rFonts w:ascii="Palatino Linotype" w:hAnsi="Palatino Linotype" w:cs="Arial"/>
          <w:color w:val="000000" w:themeColor="text1"/>
        </w:rPr>
        <w:t xml:space="preserve">SESIÓN ORDINARIA CELEBRADA </w:t>
      </w:r>
      <w:r w:rsidR="00516979">
        <w:rPr>
          <w:rFonts w:ascii="Palatino Linotype" w:hAnsi="Palatino Linotype" w:cs="Arial"/>
          <w:color w:val="000000" w:themeColor="text1"/>
        </w:rPr>
        <w:t xml:space="preserve">EL </w:t>
      </w:r>
      <w:r w:rsidR="00076AA1">
        <w:rPr>
          <w:rFonts w:ascii="Palatino Linotype" w:hAnsi="Palatino Linotype" w:cs="Arial"/>
          <w:color w:val="000000" w:themeColor="text1"/>
          <w:lang w:val="es-419"/>
        </w:rPr>
        <w:t>NUEVE</w:t>
      </w:r>
      <w:r w:rsidR="00516979">
        <w:rPr>
          <w:rFonts w:ascii="Palatino Linotype" w:hAnsi="Palatino Linotype" w:cs="Arial"/>
          <w:color w:val="000000" w:themeColor="text1"/>
        </w:rPr>
        <w:t xml:space="preserve"> DE NOVIEMBRE DE</w:t>
      </w:r>
      <w:r w:rsidRPr="006F0A66">
        <w:rPr>
          <w:rFonts w:ascii="Palatino Linotype" w:hAnsi="Palatino Linotype" w:cs="Arial"/>
          <w:color w:val="000000" w:themeColor="text1"/>
        </w:rPr>
        <w:t xml:space="preserv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6F0A66">
        <w:rPr>
          <w:rFonts w:ascii="Palatino Linotype" w:hAnsi="Palatino Linotype"/>
          <w:sz w:val="20"/>
        </w:rPr>
        <w:t>SCMM</w:t>
      </w:r>
      <w:r w:rsidR="00357C81">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4"/>
      <w:headerReference w:type="default" r:id="rId15"/>
      <w:footerReference w:type="default" r:id="rId16"/>
      <w:headerReference w:type="first" r:id="rId17"/>
      <w:footerReference w:type="first" r:id="rId1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EAEB" w14:textId="77777777" w:rsidR="008E1433" w:rsidRDefault="008E1433" w:rsidP="00C80F8C">
      <w:r>
        <w:separator/>
      </w:r>
    </w:p>
  </w:endnote>
  <w:endnote w:type="continuationSeparator" w:id="0">
    <w:p w14:paraId="507DA4AA" w14:textId="77777777" w:rsidR="008E1433" w:rsidRDefault="008E14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831C799" w:rsidR="00921A89" w:rsidRPr="0010196A" w:rsidRDefault="00921A8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6AA1">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6AA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E21B7D5" w:rsidR="00921A89" w:rsidRPr="0010196A" w:rsidRDefault="00921A8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6AA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6AA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31D5" w14:textId="77777777" w:rsidR="008E1433" w:rsidRDefault="008E1433" w:rsidP="00C80F8C">
      <w:r>
        <w:separator/>
      </w:r>
    </w:p>
  </w:footnote>
  <w:footnote w:type="continuationSeparator" w:id="0">
    <w:p w14:paraId="68DF71BB" w14:textId="77777777" w:rsidR="008E1433" w:rsidRDefault="008E1433" w:rsidP="00C80F8C">
      <w:r>
        <w:continuationSeparator/>
      </w:r>
    </w:p>
  </w:footnote>
  <w:footnote w:id="1">
    <w:p w14:paraId="1B037A4A" w14:textId="77777777" w:rsidR="00921A89" w:rsidRDefault="00921A89"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921A89" w:rsidRDefault="00921A89"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921A89" w:rsidRDefault="00AF6B0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921A89" w:rsidRPr="0010196A" w:rsidRDefault="00AF6B0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21A89" w:rsidRPr="008F2CCC" w14:paraId="1F097D8A" w14:textId="77777777" w:rsidTr="00E44BB1">
      <w:tc>
        <w:tcPr>
          <w:tcW w:w="2694" w:type="dxa"/>
          <w:vMerge w:val="restart"/>
        </w:tcPr>
        <w:p w14:paraId="1F780A0C" w14:textId="1EFF25F4" w:rsidR="00921A89" w:rsidRPr="008F2CCC" w:rsidRDefault="00921A8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21A89" w:rsidRPr="00664658" w:rsidRDefault="00921A8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F1F6BEE" w:rsidR="00921A89" w:rsidRPr="00664658" w:rsidRDefault="001E5515" w:rsidP="00EC7656">
          <w:pPr>
            <w:jc w:val="both"/>
            <w:rPr>
              <w:rFonts w:ascii="Palatino Linotype" w:hAnsi="Palatino Linotype"/>
              <w:b/>
              <w:sz w:val="22"/>
              <w:szCs w:val="22"/>
              <w:lang w:val="es-ES_tradnl"/>
            </w:rPr>
          </w:pPr>
          <w:r>
            <w:rPr>
              <w:rFonts w:ascii="Palatino Linotype" w:hAnsi="Palatino Linotype"/>
              <w:b/>
              <w:sz w:val="22"/>
              <w:szCs w:val="22"/>
              <w:lang w:val="es-ES_tradnl"/>
            </w:rPr>
            <w:t>15287</w:t>
          </w:r>
          <w:r w:rsidR="00921A89"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w:t>
          </w:r>
          <w:r w:rsidR="00921A89">
            <w:rPr>
              <w:rFonts w:ascii="Palatino Linotype" w:hAnsi="Palatino Linotype"/>
              <w:b/>
              <w:sz w:val="22"/>
              <w:szCs w:val="22"/>
              <w:lang w:val="es-ES_tradnl"/>
            </w:rPr>
            <w:t>cumulados</w:t>
          </w:r>
        </w:p>
      </w:tc>
    </w:tr>
    <w:tr w:rsidR="00921A89" w:rsidRPr="008F2CCC" w14:paraId="049677A3" w14:textId="77777777" w:rsidTr="00E44BB1">
      <w:tc>
        <w:tcPr>
          <w:tcW w:w="2694" w:type="dxa"/>
          <w:vMerge/>
        </w:tcPr>
        <w:p w14:paraId="4A21EAC1" w14:textId="5C1F145E"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1237BCDE" w14:textId="77777777" w:rsidR="00921A89" w:rsidRPr="00664658" w:rsidRDefault="00921A89"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921A89" w:rsidRPr="00AB5C2B" w:rsidRDefault="001E5515"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921A89" w:rsidRPr="008F2CCC" w14:paraId="72CD087D" w14:textId="77777777" w:rsidTr="00E44BB1">
      <w:trPr>
        <w:trHeight w:val="228"/>
      </w:trPr>
      <w:tc>
        <w:tcPr>
          <w:tcW w:w="2694" w:type="dxa"/>
          <w:vMerge/>
        </w:tcPr>
        <w:p w14:paraId="1B78656F" w14:textId="01E6F6F6"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74D81628" w14:textId="5DC3BCA5" w:rsidR="00921A89" w:rsidRPr="00664658" w:rsidRDefault="00921A89"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21A89" w:rsidRPr="00664658" w:rsidRDefault="00921A89"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21A89" w:rsidRPr="0010196A" w:rsidRDefault="00921A8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921A89" w:rsidRPr="0010196A" w:rsidRDefault="00921A8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21A89" w:rsidRPr="008F2CCC" w14:paraId="6ABABA57" w14:textId="77777777" w:rsidTr="00E44BB1">
      <w:tc>
        <w:tcPr>
          <w:tcW w:w="3828" w:type="dxa"/>
          <w:vMerge w:val="restart"/>
          <w:shd w:val="clear" w:color="auto" w:fill="auto"/>
        </w:tcPr>
        <w:p w14:paraId="6AA376CC" w14:textId="1E62217E" w:rsidR="00921A89" w:rsidRPr="008F2CCC" w:rsidRDefault="00921A89"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67F7E7B" w:rsidR="00921A89" w:rsidRPr="008F2CCC" w:rsidRDefault="001E5515" w:rsidP="00E153A2">
          <w:pPr>
            <w:jc w:val="both"/>
            <w:rPr>
              <w:rFonts w:ascii="Palatino Linotype" w:hAnsi="Palatino Linotype"/>
              <w:b/>
              <w:sz w:val="22"/>
              <w:szCs w:val="22"/>
              <w:lang w:val="es-ES_tradnl"/>
            </w:rPr>
          </w:pPr>
          <w:r>
            <w:rPr>
              <w:rFonts w:ascii="Palatino Linotype" w:hAnsi="Palatino Linotype"/>
              <w:b/>
              <w:sz w:val="22"/>
              <w:szCs w:val="22"/>
              <w:lang w:val="es-ES_tradnl"/>
            </w:rPr>
            <w:t>15287</w:t>
          </w:r>
          <w:r w:rsidR="00921A89"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w:t>
          </w:r>
          <w:r w:rsidR="00921A89">
            <w:rPr>
              <w:rFonts w:ascii="Palatino Linotype" w:hAnsi="Palatino Linotype"/>
              <w:b/>
              <w:sz w:val="22"/>
              <w:szCs w:val="22"/>
              <w:lang w:val="es-ES_tradnl"/>
            </w:rPr>
            <w:t xml:space="preserve">cumulados </w:t>
          </w:r>
        </w:p>
      </w:tc>
    </w:tr>
    <w:tr w:rsidR="00921A89" w:rsidRPr="008F2CCC" w14:paraId="3B45FB53" w14:textId="77777777" w:rsidTr="00E44BB1">
      <w:tc>
        <w:tcPr>
          <w:tcW w:w="3828" w:type="dxa"/>
          <w:vMerge/>
          <w:shd w:val="clear" w:color="auto" w:fill="auto"/>
        </w:tcPr>
        <w:p w14:paraId="188B82EF"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B2AD0CF" w14:textId="77777777" w:rsidR="00921A89" w:rsidRPr="008F2CCC" w:rsidRDefault="00921A8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921A89" w:rsidRPr="00234374" w:rsidRDefault="00921A89" w:rsidP="00C27EA8">
          <w:pPr>
            <w:jc w:val="both"/>
            <w:rPr>
              <w:rFonts w:ascii="Palatino Linotype" w:hAnsi="Palatino Linotype" w:cs="Arial"/>
              <w:b/>
              <w:bCs/>
              <w:sz w:val="22"/>
              <w:szCs w:val="22"/>
            </w:rPr>
          </w:pPr>
        </w:p>
      </w:tc>
    </w:tr>
    <w:tr w:rsidR="00921A89" w:rsidRPr="008F2CCC" w14:paraId="28A493EB" w14:textId="77777777" w:rsidTr="00E44BB1">
      <w:trPr>
        <w:trHeight w:val="228"/>
      </w:trPr>
      <w:tc>
        <w:tcPr>
          <w:tcW w:w="3828" w:type="dxa"/>
          <w:vMerge/>
          <w:shd w:val="clear" w:color="auto" w:fill="auto"/>
        </w:tcPr>
        <w:p w14:paraId="06C77D31" w14:textId="77777777" w:rsidR="00921A89" w:rsidRPr="008F2CCC" w:rsidRDefault="00921A89" w:rsidP="00E37C88">
          <w:pPr>
            <w:rPr>
              <w:rFonts w:ascii="Palatino Linotype" w:hAnsi="Palatino Linotype"/>
              <w:b/>
              <w:sz w:val="22"/>
              <w:szCs w:val="22"/>
              <w:lang w:val="es-ES_tradnl"/>
            </w:rPr>
          </w:pPr>
        </w:p>
      </w:tc>
      <w:tc>
        <w:tcPr>
          <w:tcW w:w="2551" w:type="dxa"/>
          <w:shd w:val="clear" w:color="auto" w:fill="auto"/>
        </w:tcPr>
        <w:p w14:paraId="2E1A72B4" w14:textId="77777777"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921A89" w:rsidRPr="00DC41C8" w:rsidRDefault="001E5515"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921A89" w:rsidRPr="008F2CCC" w14:paraId="0F114FF0" w14:textId="77777777" w:rsidTr="00E44BB1">
      <w:tc>
        <w:tcPr>
          <w:tcW w:w="3828" w:type="dxa"/>
          <w:vMerge/>
          <w:shd w:val="clear" w:color="auto" w:fill="auto"/>
        </w:tcPr>
        <w:p w14:paraId="4CCB64BA"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1E422EA" w14:textId="12F398EB" w:rsidR="00921A89" w:rsidRPr="008F2CCC" w:rsidRDefault="00921A89"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21A89" w:rsidRPr="008F2CCC" w:rsidRDefault="00921A8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21A89" w:rsidRPr="0010196A" w:rsidRDefault="00AF6B0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478195">
    <w:abstractNumId w:val="4"/>
  </w:num>
  <w:num w:numId="2" w16cid:durableId="364866473">
    <w:abstractNumId w:val="2"/>
  </w:num>
  <w:num w:numId="3" w16cid:durableId="912085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073609">
    <w:abstractNumId w:val="0"/>
  </w:num>
  <w:num w:numId="5" w16cid:durableId="135146066">
    <w:abstractNumId w:val="3"/>
  </w:num>
  <w:num w:numId="6" w16cid:durableId="227956924">
    <w:abstractNumId w:val="7"/>
  </w:num>
  <w:num w:numId="7" w16cid:durableId="2105878978">
    <w:abstractNumId w:val="1"/>
  </w:num>
  <w:num w:numId="8" w16cid:durableId="267811818">
    <w:abstractNumId w:val="8"/>
  </w:num>
  <w:num w:numId="9" w16cid:durableId="2058164557">
    <w:abstractNumId w:val="0"/>
  </w:num>
  <w:num w:numId="10" w16cid:durableId="150512085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AA1"/>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23"/>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979"/>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433"/>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B08"/>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B7B9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429F-7BFA-4BF7-B5C6-F757F954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9237</Words>
  <Characters>50808</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2022-11-13T02:20:00Z</cp:lastPrinted>
  <dcterms:created xsi:type="dcterms:W3CDTF">2022-10-20T19:17:00Z</dcterms:created>
  <dcterms:modified xsi:type="dcterms:W3CDTF">2022-11-13T02:20:00Z</dcterms:modified>
</cp:coreProperties>
</file>