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4515" w:rsidRDefault="00F50B90">
      <w:pPr>
        <w:spacing w:before="240" w:after="240" w:line="360" w:lineRule="auto"/>
        <w:jc w:val="both"/>
        <w:rPr>
          <w:rFonts w:ascii="Palatino Linotype" w:eastAsia="Palatino Linotype" w:hAnsi="Palatino Linotype" w:cs="Palatino Linotype"/>
        </w:rPr>
      </w:pPr>
      <w:bookmarkStart w:id="0" w:name="_heading=h.30j0zll" w:colFirst="0" w:colLast="0"/>
      <w:bookmarkStart w:id="1" w:name="_GoBack"/>
      <w:bookmarkEnd w:id="0"/>
      <w:bookmarkEnd w:id="1"/>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Palatino Linotype" w:hAnsi="Palatino Linotype" w:cs="Palatino Linotype"/>
          <w:b/>
        </w:rPr>
        <w:t>dieciséis de marzo del dos mil veintidós</w:t>
      </w:r>
      <w:r>
        <w:rPr>
          <w:rFonts w:ascii="Palatino Linotype" w:eastAsia="Palatino Linotype" w:hAnsi="Palatino Linotype" w:cs="Palatino Linotype"/>
        </w:rPr>
        <w:t>.</w:t>
      </w:r>
    </w:p>
    <w:p w:rsidR="00A64515" w:rsidRDefault="00F50B9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00314/INFOEM/IP/RR/2022</w:t>
      </w:r>
      <w:r>
        <w:rPr>
          <w:rFonts w:ascii="Palatino Linotype" w:eastAsia="Palatino Linotype" w:hAnsi="Palatino Linotype" w:cs="Palatino Linotype"/>
        </w:rPr>
        <w:t xml:space="preserve">, interpuesto por </w:t>
      </w:r>
      <w:r>
        <w:rPr>
          <w:rFonts w:ascii="Palatino Linotype" w:eastAsia="Palatino Linotype" w:hAnsi="Palatino Linotype" w:cs="Palatino Linotype"/>
          <w:b/>
        </w:rPr>
        <w:t>un particular de manera anónima</w:t>
      </w:r>
      <w:r>
        <w:rPr>
          <w:rFonts w:ascii="Palatino Linotype" w:eastAsia="Palatino Linotype" w:hAnsi="Palatino Linotype" w:cs="Palatino Linotype"/>
        </w:rPr>
        <w:t xml:space="preserve"> en lo sucesivo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de información con número de folio </w:t>
      </w:r>
      <w:r>
        <w:rPr>
          <w:rFonts w:ascii="Palatino Linotype" w:eastAsia="Palatino Linotype" w:hAnsi="Palatino Linotype" w:cs="Palatino Linotype"/>
          <w:b/>
        </w:rPr>
        <w:t xml:space="preserve">00029/ATENCO/IP/2022, </w:t>
      </w:r>
      <w:r>
        <w:rPr>
          <w:rFonts w:ascii="Palatino Linotype" w:eastAsia="Palatino Linotype" w:hAnsi="Palatino Linotype" w:cs="Palatino Linotype"/>
        </w:rPr>
        <w:t xml:space="preserve">por parte del </w:t>
      </w:r>
      <w:r>
        <w:rPr>
          <w:rFonts w:ascii="Palatino Linotype" w:eastAsia="Palatino Linotype" w:hAnsi="Palatino Linotype" w:cs="Palatino Linotype"/>
          <w:b/>
        </w:rPr>
        <w:t xml:space="preserve">Ayuntamiento de Atenco,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rsidR="00A64515" w:rsidRDefault="00F50B90">
      <w:pPr>
        <w:numPr>
          <w:ilvl w:val="0"/>
          <w:numId w:val="1"/>
        </w:numPr>
        <w:pBdr>
          <w:top w:val="nil"/>
          <w:left w:val="nil"/>
          <w:bottom w:val="nil"/>
          <w:right w:val="nil"/>
          <w:between w:val="nil"/>
        </w:pBdr>
        <w:spacing w:before="240" w:after="240" w:line="360" w:lineRule="auto"/>
        <w:ind w:left="567" w:hanging="283"/>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rsidR="00A64515" w:rsidRDefault="00F50B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diecisiete de enero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rsidR="00A64515" w:rsidRDefault="00F50B90">
      <w:pPr>
        <w:spacing w:before="240" w:after="240"/>
        <w:ind w:left="851"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“de acuerdo a lo establecido por el articulo 32 de la Ley Organica Municipal, del Secretario; Tesorero; Director de Obras Públicas, de Desarrollo Económico, Director de Turismo, Coordinador General Municipal de Mejora Regulatoria, Ecología, Desarrollo Urbano, de Desarrollo Social, requiero si cuentan con la experiencia minima de un año para ocupar el cargo, y si cuenta con certificación de competencia laboral en la materia del cargo que se desempeñará.”(Sic).</w:t>
      </w:r>
    </w:p>
    <w:p w:rsidR="00A64515" w:rsidRDefault="00F50B9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p>
    <w:p w:rsidR="00A64515" w:rsidRDefault="00F50B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veinticinco de enero del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dio respuesta a la solicitud de acceso a la información a través del SAIMEX, en los siguientes términos:</w:t>
      </w:r>
    </w:p>
    <w:p w:rsidR="00A64515" w:rsidRDefault="00F50B90">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64515" w:rsidRDefault="00F50B90">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UNIDAD DE TRANSPARENCIA Oficio No.: PMA/UT/INT/2022/0014 Solicitud de Información: 00029/ATENCO/IP/2022 Atenco, Estado de México, 25 de enero de 2022. C. SOLICITANTE DE INFORMACIÓN P R E S E N T E. De conformidad con los artículos 1, 2, 3, fracción XLIV, 4, 12, 16, 23 fracción IV, 24 fracción XI y último párrafo, 50, 51 y 53 de la Ley de Transparencia y Acceso a la Información Pública del Estado de México y Municipios; me permito comentar a usted lo siguiente: En atención a la solicitud de información registrada con el folio número 00029/ATENCO/IP/2022, sírvase encontrar en archivos adjuntos, copia digitalizada del oficio emitido por el Servidor Público Habilitado, en el cual se detalla lo referente a su solicitud de acceso a la información. Se hace de su conocimiento el término de quince días hábiles, contados a partir del día hábil siguiente del que haya surtido efectos la notificación del presente oficio, para interponer el recurso de revisión que se señala en los artículos 176, 177 y 178 de la Ley de Transparencia y Acceso a la Información Pública del Estado de México y Municipios. Sin otro particular por el momento, reciba un cordial saludo. A T E N T A M E N T E Mtro. Juan Manuel Mancera García Titular de la Unidad de Transparencia.</w:t>
      </w:r>
    </w:p>
    <w:p w:rsidR="00A64515" w:rsidRDefault="00F50B90">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rsidR="00A64515" w:rsidRDefault="00F50B90">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Mtro. en D. Juan Manuel Mancera García”</w:t>
      </w:r>
    </w:p>
    <w:p w:rsidR="00A64515" w:rsidRDefault="00F50B90">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a su respuesta los siguientes archivos: </w:t>
      </w:r>
    </w:p>
    <w:p w:rsidR="00A64515" w:rsidRDefault="00F50B90">
      <w:pPr>
        <w:spacing w:before="240" w:after="240" w:line="360" w:lineRule="auto"/>
        <w:ind w:left="567"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“Resp. Sol 29 RH.pdf”: </w:t>
      </w:r>
      <w:r>
        <w:rPr>
          <w:rFonts w:ascii="Palatino Linotype" w:eastAsia="Palatino Linotype" w:hAnsi="Palatino Linotype" w:cs="Palatino Linotype"/>
          <w:sz w:val="22"/>
          <w:szCs w:val="22"/>
        </w:rPr>
        <w:t xml:space="preserve">Oficio signado por la Jefa de Recursos Humanos en el que medularmente refiere que los titulares de las áreas en mención </w:t>
      </w:r>
      <w:r>
        <w:rPr>
          <w:rFonts w:ascii="Palatino Linotype" w:eastAsia="Palatino Linotype" w:hAnsi="Palatino Linotype" w:cs="Palatino Linotype"/>
          <w:sz w:val="22"/>
          <w:szCs w:val="22"/>
        </w:rPr>
        <w:lastRenderedPageBreak/>
        <w:t xml:space="preserve">cuentan con la experiencia mínima de un año para ocupar el cargo, no obstante, por cuanto hace a la certificación de competencia laboral manifiesta que únicamente se cuenta con la del Director de Obras Públicas, sirve de ejemplo la siguiente captura de pantalla. </w:t>
      </w:r>
    </w:p>
    <w:p w:rsidR="00A64515" w:rsidRDefault="00F50B90">
      <w:pPr>
        <w:spacing w:before="240" w:after="240" w:line="360" w:lineRule="auto"/>
        <w:ind w:left="567" w:right="902"/>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eastAsia="es-MX"/>
        </w:rPr>
        <w:drawing>
          <wp:inline distT="0" distB="0" distL="0" distR="0">
            <wp:extent cx="5612705" cy="5663831"/>
            <wp:effectExtent l="0" t="0" r="0" b="0"/>
            <wp:docPr id="5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5612705" cy="5663831"/>
                    </a:xfrm>
                    <a:prstGeom prst="rect">
                      <a:avLst/>
                    </a:prstGeom>
                    <a:ln/>
                  </pic:spPr>
                </pic:pic>
              </a:graphicData>
            </a:graphic>
          </wp:inline>
        </w:drawing>
      </w:r>
    </w:p>
    <w:p w:rsidR="00A64515" w:rsidRDefault="00F50B90">
      <w:pPr>
        <w:spacing w:before="240" w:after="240" w:line="360" w:lineRule="auto"/>
        <w:ind w:left="567" w:right="49"/>
        <w:jc w:val="both"/>
        <w:rPr>
          <w:rFonts w:ascii="Palatino Linotype" w:eastAsia="Palatino Linotype" w:hAnsi="Palatino Linotype" w:cs="Palatino Linotype"/>
          <w:sz w:val="22"/>
          <w:szCs w:val="22"/>
        </w:rPr>
      </w:pPr>
      <w:r>
        <w:rPr>
          <w:rFonts w:ascii="Palatino Linotype" w:eastAsia="Palatino Linotype" w:hAnsi="Palatino Linotype" w:cs="Palatino Linotype"/>
          <w:b/>
          <w:i/>
        </w:rPr>
        <w:lastRenderedPageBreak/>
        <w:t xml:space="preserve">“Solicitante de Inf. sol. 29.pdf”: </w:t>
      </w:r>
      <w:r>
        <w:rPr>
          <w:rFonts w:ascii="Palatino Linotype" w:eastAsia="Palatino Linotype" w:hAnsi="Palatino Linotype" w:cs="Palatino Linotype"/>
        </w:rPr>
        <w:t>Soporte documental mediante el cual, el Titular de la Unidad de Transparencia remite la respuesta al solicitante.</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noProof/>
          <w:sz w:val="22"/>
          <w:szCs w:val="22"/>
          <w:lang w:val="es-MX" w:eastAsia="es-MX"/>
        </w:rPr>
        <w:drawing>
          <wp:inline distT="0" distB="0" distL="0" distR="0">
            <wp:extent cx="5610225" cy="5953125"/>
            <wp:effectExtent l="0" t="0" r="0" b="0"/>
            <wp:docPr id="5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5610225" cy="5953125"/>
                    </a:xfrm>
                    <a:prstGeom prst="rect">
                      <a:avLst/>
                    </a:prstGeom>
                    <a:ln/>
                  </pic:spPr>
                </pic:pic>
              </a:graphicData>
            </a:graphic>
          </wp:inline>
        </w:drawing>
      </w:r>
    </w:p>
    <w:p w:rsidR="00A64515" w:rsidRDefault="00A64515">
      <w:pPr>
        <w:spacing w:before="240" w:after="240" w:line="360" w:lineRule="auto"/>
        <w:ind w:left="567" w:right="902"/>
        <w:jc w:val="both"/>
        <w:rPr>
          <w:rFonts w:ascii="Palatino Linotype" w:eastAsia="Palatino Linotype" w:hAnsi="Palatino Linotype" w:cs="Palatino Linotype"/>
          <w:sz w:val="22"/>
          <w:szCs w:val="22"/>
        </w:rPr>
      </w:pPr>
    </w:p>
    <w:p w:rsidR="00A64515" w:rsidRDefault="00A64515">
      <w:pPr>
        <w:spacing w:before="240" w:after="240" w:line="360" w:lineRule="auto"/>
        <w:jc w:val="both"/>
        <w:rPr>
          <w:rFonts w:ascii="Palatino Linotype" w:eastAsia="Palatino Linotype" w:hAnsi="Palatino Linotype" w:cs="Palatino Linotype"/>
          <w:sz w:val="22"/>
          <w:szCs w:val="22"/>
        </w:rPr>
      </w:pPr>
    </w:p>
    <w:p w:rsidR="00A64515" w:rsidRDefault="00F50B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Interposición del recurso de revisión. </w:t>
      </w:r>
      <w:r>
        <w:rPr>
          <w:rFonts w:ascii="Palatino Linotype" w:eastAsia="Palatino Linotype" w:hAnsi="Palatino Linotype" w:cs="Palatino Linotype"/>
        </w:rPr>
        <w:t xml:space="preserve">Inconforme con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recurso de revisión a través del SAIMEX en fecha </w:t>
      </w:r>
      <w:r>
        <w:rPr>
          <w:rFonts w:ascii="Palatino Linotype" w:eastAsia="Palatino Linotype" w:hAnsi="Palatino Linotype" w:cs="Palatino Linotype"/>
          <w:b/>
        </w:rPr>
        <w:t>veinticinco de enero del dos mil veintidós</w:t>
      </w:r>
      <w:r>
        <w:rPr>
          <w:rFonts w:ascii="Palatino Linotype" w:eastAsia="Palatino Linotype" w:hAnsi="Palatino Linotype" w:cs="Palatino Linotype"/>
        </w:rPr>
        <w:t>, a través del cual expresó lo siguiente:</w:t>
      </w:r>
    </w:p>
    <w:p w:rsidR="00A64515" w:rsidRDefault="00F50B90">
      <w:pPr>
        <w:spacing w:before="240" w:after="240"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A64515" w:rsidRDefault="00F50B90">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“Respuesta la informacion suata, pues no basta con la manifestacion del propio titular de la jefatura de recursis humanos, pues de acuerdo al numeral que el susrito invoque en mi soliciitud del mismo emana que debe tener por satisfechos los requisitos enunciados en el mismo, </w:t>
      </w:r>
      <w:r>
        <w:rPr>
          <w:rFonts w:ascii="Palatino Linotype" w:eastAsia="Palatino Linotype" w:hAnsi="Palatino Linotype" w:cs="Palatino Linotype"/>
          <w:b/>
          <w:i/>
          <w:color w:val="000000"/>
          <w:sz w:val="22"/>
          <w:szCs w:val="22"/>
          <w:u w:val="single"/>
        </w:rPr>
        <w:t>por lo que se deduce que para ocupar el cargo que se le designo debio acreditar con documentacion el cargo que se le nombro</w:t>
      </w:r>
      <w:r>
        <w:rPr>
          <w:rFonts w:ascii="Palatino Linotype" w:eastAsia="Palatino Linotype" w:hAnsi="Palatino Linotype" w:cs="Palatino Linotype"/>
          <w:i/>
          <w:color w:val="000000"/>
          <w:sz w:val="22"/>
          <w:szCs w:val="22"/>
        </w:rPr>
        <w:t>” (Sic)</w:t>
      </w:r>
    </w:p>
    <w:p w:rsidR="00A64515" w:rsidRDefault="00F50B9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A64515" w:rsidRDefault="00F50B90">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“Respuesta la informacion suata, pues no basta con la manifestacion del propio titular de la jefatura de recursis humanos, pues de acuerdo al numeral que el susrito invoque en mi soliciitud del mismo emana que debe tener por satisfechos los requisitos enunciados en el mismo, </w:t>
      </w:r>
      <w:r>
        <w:rPr>
          <w:rFonts w:ascii="Palatino Linotype" w:eastAsia="Palatino Linotype" w:hAnsi="Palatino Linotype" w:cs="Palatino Linotype"/>
          <w:b/>
          <w:i/>
          <w:color w:val="000000"/>
          <w:sz w:val="22"/>
          <w:szCs w:val="22"/>
          <w:u w:val="single"/>
        </w:rPr>
        <w:t>por lo que se deduce que para ocupar el cargo que se le designo debio acreditar con documentacion el cargo que se le nombro</w:t>
      </w:r>
      <w:r>
        <w:rPr>
          <w:rFonts w:ascii="Palatino Linotype" w:eastAsia="Palatino Linotype" w:hAnsi="Palatino Linotype" w:cs="Palatino Linotype"/>
          <w:i/>
          <w:color w:val="000000"/>
          <w:sz w:val="22"/>
          <w:szCs w:val="22"/>
        </w:rPr>
        <w:t>"(Sic)</w:t>
      </w:r>
    </w:p>
    <w:p w:rsidR="00A64515" w:rsidRDefault="00F50B90">
      <w:pPr>
        <w:spacing w:before="240" w:after="24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b/>
        </w:rPr>
        <w:t xml:space="preserve">4. </w:t>
      </w:r>
      <w:r>
        <w:rPr>
          <w:rFonts w:ascii="Palatino Linotype" w:eastAsia="Palatino Linotype" w:hAnsi="Palatino Linotype" w:cs="Palatino Linotype"/>
          <w:b/>
          <w:color w:val="222222"/>
        </w:rPr>
        <w:t>Turno.  </w:t>
      </w:r>
      <w:r>
        <w:rPr>
          <w:rFonts w:ascii="Palatino Linotype" w:eastAsia="Palatino Linotype" w:hAnsi="Palatino Linotype" w:cs="Palatino Linotype"/>
          <w:color w:val="222222"/>
        </w:rPr>
        <w:t xml:space="preserve">En fecha </w:t>
      </w:r>
      <w:r>
        <w:rPr>
          <w:rFonts w:ascii="Palatino Linotype" w:eastAsia="Palatino Linotype" w:hAnsi="Palatino Linotype" w:cs="Palatino Linotype"/>
          <w:b/>
          <w:color w:val="222222"/>
        </w:rPr>
        <w:t>veinticinco de enero del año dos mil veintidós</w:t>
      </w:r>
      <w:r>
        <w:rPr>
          <w:rFonts w:ascii="Palatino Linotype" w:eastAsia="Palatino Linotype" w:hAnsi="Palatino Linotype" w:cs="Palatino Linotype"/>
          <w:color w:val="222222"/>
        </w:rPr>
        <w:t>, 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w:t>
      </w:r>
      <w:r>
        <w:rPr>
          <w:rFonts w:ascii="Palatino Linotype" w:eastAsia="Palatino Linotype" w:hAnsi="Palatino Linotype" w:cs="Palatino Linotype"/>
          <w:b/>
          <w:color w:val="222222"/>
        </w:rPr>
        <w:t xml:space="preserve"> Comisionada</w:t>
      </w:r>
      <w:r>
        <w:rPr>
          <w:rFonts w:ascii="Palatino Linotype" w:eastAsia="Palatino Linotype" w:hAnsi="Palatino Linotype" w:cs="Palatino Linotype"/>
          <w:color w:val="222222"/>
        </w:rPr>
        <w:t> </w:t>
      </w:r>
      <w:r>
        <w:rPr>
          <w:rFonts w:ascii="Palatino Linotype" w:eastAsia="Palatino Linotype" w:hAnsi="Palatino Linotype" w:cs="Palatino Linotype"/>
          <w:b/>
          <w:color w:val="222222"/>
        </w:rPr>
        <w:t>Guadalupe Ramírez Peña</w:t>
      </w:r>
      <w:r>
        <w:rPr>
          <w:rFonts w:ascii="Palatino Linotype" w:eastAsia="Palatino Linotype" w:hAnsi="Palatino Linotype" w:cs="Palatino Linotype"/>
          <w:color w:val="222222"/>
        </w:rPr>
        <w:t> para su análisis, estudio, elaboración del proyecto y presentación ante el Pleno de este Instituto.</w:t>
      </w:r>
    </w:p>
    <w:p w:rsidR="00A64515" w:rsidRDefault="00F50B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5. Admisión del recurso de revisión: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veintiocho de enero del dos mil veintidós</w:t>
      </w:r>
      <w:r>
        <w:rPr>
          <w:rFonts w:ascii="Palatino Linotype" w:eastAsia="Palatino Linotype" w:hAnsi="Palatino Linotype" w:cs="Palatino Linotype"/>
        </w:rPr>
        <w:t>,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rsidR="00A64515" w:rsidRDefault="00F50B90">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6. Manifestaciones</w:t>
      </w:r>
      <w:r>
        <w:rPr>
          <w:rFonts w:ascii="Palatino Linotype" w:eastAsia="Palatino Linotype" w:hAnsi="Palatino Linotype" w:cs="Palatino Linotype"/>
          <w:color w:val="000000"/>
        </w:rPr>
        <w:t xml:space="preserve">: Por su parte,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fue omiso en rendir su informe justificado, asimismo la parte Recurrente fue omisa en emitir alguna manifestación, alegato o cualquier pronunciamiento que a su derecho conviniera, por lo tanto, se tiene por precluido su derecho para tal efecto. </w:t>
      </w:r>
    </w:p>
    <w:p w:rsidR="00A64515" w:rsidRDefault="00F50B90">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color w:val="FF0000"/>
          <w:highlight w:val="green"/>
        </w:rPr>
      </w:pPr>
      <w:r>
        <w:rPr>
          <w:rFonts w:ascii="Palatino Linotype" w:eastAsia="Palatino Linotype" w:hAnsi="Palatino Linotype" w:cs="Palatino Linotype"/>
          <w:noProof/>
          <w:color w:val="FF0000"/>
          <w:highlight w:val="green"/>
          <w:lang w:val="es-MX" w:eastAsia="es-MX"/>
        </w:rPr>
        <w:drawing>
          <wp:inline distT="0" distB="0" distL="0" distR="0">
            <wp:extent cx="5610225" cy="1400175"/>
            <wp:effectExtent l="0" t="0" r="0" b="0"/>
            <wp:docPr id="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610225" cy="1400175"/>
                    </a:xfrm>
                    <a:prstGeom prst="rect">
                      <a:avLst/>
                    </a:prstGeom>
                    <a:ln/>
                  </pic:spPr>
                </pic:pic>
              </a:graphicData>
            </a:graphic>
          </wp:inline>
        </w:drawing>
      </w:r>
    </w:p>
    <w:p w:rsidR="00A64515" w:rsidRDefault="00F50B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Cierre de instrucción</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En fecha </w:t>
      </w:r>
      <w:r>
        <w:rPr>
          <w:rFonts w:ascii="Palatino Linotype" w:eastAsia="Palatino Linotype" w:hAnsi="Palatino Linotype" w:cs="Palatino Linotype"/>
          <w:b/>
          <w:color w:val="000000"/>
        </w:rPr>
        <w:t>dos de marzo de dos mil veintidós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w:t>
      </w:r>
    </w:p>
    <w:p w:rsidR="00A64515" w:rsidRDefault="00A64515">
      <w:pPr>
        <w:spacing w:before="240" w:after="240" w:line="360" w:lineRule="auto"/>
        <w:jc w:val="both"/>
        <w:rPr>
          <w:rFonts w:ascii="Palatino Linotype" w:eastAsia="Palatino Linotype" w:hAnsi="Palatino Linotype" w:cs="Palatino Linotype"/>
        </w:rPr>
      </w:pPr>
    </w:p>
    <w:p w:rsidR="00A64515" w:rsidRDefault="00F50B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8.- Ampliación del plazo para emitir resolución.</w:t>
      </w:r>
      <w:r>
        <w:rPr>
          <w:rFonts w:ascii="Palatino Linotype" w:eastAsia="Palatino Linotype" w:hAnsi="Palatino Linotype" w:cs="Palatino Linotype"/>
        </w:rPr>
        <w:t xml:space="preserve"> El </w:t>
      </w:r>
      <w:r>
        <w:rPr>
          <w:rFonts w:ascii="Palatino Linotype" w:eastAsia="Palatino Linotype" w:hAnsi="Palatino Linotype" w:cs="Palatino Linotype"/>
          <w:b/>
        </w:rPr>
        <w:t>quince de marzo de dos mil veintidós</w:t>
      </w:r>
      <w:r>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dado el incremento en el número de recursos de revisión promovidos ante este Instituto de Transparencia, Acceso a la Información Pública y Protección de Datos Personales del Estado de México y Municipios y con la finalidad de realizar un análisis exhaustivo de las constancias que obran en el expediente electrónico, adoptando las medidas pertinentes, a fin de aminorar los efectos que conlleva.</w:t>
      </w:r>
    </w:p>
    <w:p w:rsidR="00A64515" w:rsidRDefault="00F50B90">
      <w:pPr>
        <w:widowControl w:val="0"/>
        <w:pBdr>
          <w:top w:val="nil"/>
          <w:left w:val="nil"/>
          <w:bottom w:val="nil"/>
          <w:right w:val="nil"/>
          <w:between w:val="nil"/>
        </w:pBdr>
        <w:tabs>
          <w:tab w:val="left" w:pos="709"/>
        </w:tabs>
        <w:spacing w:before="240" w:after="240" w:line="360" w:lineRule="auto"/>
        <w:ind w:left="426"/>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II</w:t>
      </w:r>
      <w:r>
        <w:rPr>
          <w:rFonts w:ascii="Palatino Linotype" w:eastAsia="Palatino Linotype" w:hAnsi="Palatino Linotype" w:cs="Palatino Linotype"/>
          <w:b/>
          <w:color w:val="000000"/>
        </w:rPr>
        <w:tab/>
        <w:t>C O N S I D E R A N D O:</w:t>
      </w:r>
    </w:p>
    <w:p w:rsidR="00A64515" w:rsidRDefault="00F50B90">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rsidR="00A64515" w:rsidRDefault="00F50B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Segundo. Oportunidad y Procedibilidad del Recurso de Revisión</w:t>
      </w:r>
      <w:r>
        <w:rPr>
          <w:rFonts w:ascii="Palatino Linotype" w:eastAsia="Palatino Linotype" w:hAnsi="Palatino Linotype" w:cs="Palatino Linotype"/>
        </w:rPr>
        <w:t xml:space="preserve">. 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la solicitante en fecha </w:t>
      </w:r>
      <w:r>
        <w:rPr>
          <w:rFonts w:ascii="Palatino Linotype" w:eastAsia="Palatino Linotype" w:hAnsi="Palatino Linotype" w:cs="Palatino Linotype"/>
          <w:b/>
        </w:rPr>
        <w:t>veinticinco de enero del año dos mil veintidós</w:t>
      </w:r>
      <w:r>
        <w:rPr>
          <w:rFonts w:ascii="Palatino Linotype" w:eastAsia="Palatino Linotype" w:hAnsi="Palatino Linotype" w:cs="Palatino Linotype"/>
        </w:rPr>
        <w:t xml:space="preserve"> y la parte Recurrente presentó su recurso de revisión el </w:t>
      </w:r>
      <w:r>
        <w:rPr>
          <w:rFonts w:ascii="Palatino Linotype" w:eastAsia="Palatino Linotype" w:hAnsi="Palatino Linotype" w:cs="Palatino Linotype"/>
          <w:b/>
        </w:rPr>
        <w:t>veinticinco de enero del dos mil veintidós</w:t>
      </w:r>
      <w:r>
        <w:rPr>
          <w:rFonts w:ascii="Palatino Linotype" w:eastAsia="Palatino Linotype" w:hAnsi="Palatino Linotype" w:cs="Palatino Linotype"/>
        </w:rPr>
        <w:t xml:space="preserve">, esto es al mismo día hábil de aquel en que tuvo conocimiento de la respuesta; evidenciándose que la interposición del recurso se encuentra dentro de los márgenes temporales previstos en el citado precepto legal. </w:t>
      </w:r>
    </w:p>
    <w:p w:rsidR="00A64515" w:rsidRDefault="00F50B90">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w:t>
      </w:r>
      <w:r>
        <w:rPr>
          <w:rFonts w:ascii="Palatino Linotype" w:eastAsia="Palatino Linotype" w:hAnsi="Palatino Linotype" w:cs="Palatino Linotype"/>
          <w:color w:val="000000"/>
        </w:rPr>
        <w:t>Se advierte que</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A64515" w:rsidRDefault="00F50B90">
      <w:pPr>
        <w:pBdr>
          <w:top w:val="nil"/>
          <w:left w:val="nil"/>
          <w:bottom w:val="nil"/>
          <w:right w:val="nil"/>
          <w:between w:val="nil"/>
        </w:pBdr>
        <w:spacing w:before="240" w:after="240" w:line="276" w:lineRule="auto"/>
        <w:ind w:left="567" w:right="49"/>
        <w:jc w:val="both"/>
        <w:rPr>
          <w:color w:val="000000"/>
        </w:rPr>
      </w:pPr>
      <w:r>
        <w:rPr>
          <w:rFonts w:ascii="Palatino Linotype" w:eastAsia="Palatino Linotype" w:hAnsi="Palatino Linotype" w:cs="Palatino Linotype"/>
          <w:b/>
          <w:i/>
          <w:color w:val="000000"/>
          <w:sz w:val="22"/>
          <w:szCs w:val="22"/>
        </w:rPr>
        <w:t xml:space="preserve">“RECURSO DE RECLAMACIÓN. SU INTERPOSICIÓN NO ES EXTEMPORÁNEA SI SE REALIZA ANTES DE QUE INICIE EL PLAZO PARA HACERLO. </w:t>
      </w:r>
      <w:r>
        <w:rPr>
          <w:rFonts w:ascii="Palatino Linotype" w:eastAsia="Palatino Linotype" w:hAnsi="Palatino Linotype" w:cs="Palatino Linotype"/>
          <w:i/>
          <w:color w:val="000000"/>
          <w:sz w:val="22"/>
          <w:szCs w:val="22"/>
        </w:rPr>
        <w:t>Conforme al artículo </w:t>
      </w:r>
      <w:hyperlink r:id="rId11">
        <w:r>
          <w:rPr>
            <w:rFonts w:ascii="Palatino Linotype" w:eastAsia="Palatino Linotype" w:hAnsi="Palatino Linotype" w:cs="Palatino Linotype"/>
            <w:i/>
            <w:color w:val="000000"/>
            <w:sz w:val="22"/>
            <w:szCs w:val="22"/>
            <w:u w:val="single"/>
          </w:rPr>
          <w:t>104, párrafo segundo, de la Ley de Amparo</w:t>
        </w:r>
      </w:hyperlink>
      <w:r>
        <w:rPr>
          <w:rFonts w:ascii="Palatino Linotype" w:eastAsia="Palatino Linotype" w:hAnsi="Palatino Linotype" w:cs="Palatino Linotype"/>
          <w:i/>
          <w:color w:val="000000"/>
          <w:sz w:val="22"/>
          <w:szCs w:val="22"/>
        </w:rPr>
        <w:t xml:space="preserve">, el recurso de reclamación podrá </w:t>
      </w:r>
      <w:r>
        <w:rPr>
          <w:rFonts w:ascii="Palatino Linotype" w:eastAsia="Palatino Linotype" w:hAnsi="Palatino Linotype" w:cs="Palatino Linotype"/>
          <w:i/>
          <w:color w:val="000000"/>
          <w:sz w:val="22"/>
          <w:szCs w:val="22"/>
        </w:rPr>
        <w:lastRenderedPageBreak/>
        <w:t>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A64515" w:rsidRDefault="00F50B90">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tanto, el hecho de que el recurso haya sido presentado el mismo día en que fue notificada la respuesta a </w:t>
      </w:r>
      <w:r>
        <w:rPr>
          <w:rFonts w:ascii="Palatino Linotype" w:eastAsia="Palatino Linotype" w:hAnsi="Palatino Linotype" w:cs="Palatino Linotype"/>
          <w:b/>
          <w:color w:val="000000"/>
        </w:rPr>
        <w:t>la parte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no debe desecharse, debido a que no existe una prohibición expresa en la Ley para realizarlo el mismo día y en atención a los principios generales del derecho, todo aquello que no esté prohibido para el gobernado se tiene por permitido se debe de dar trámite al presente recurso.</w:t>
      </w:r>
    </w:p>
    <w:p w:rsidR="00A64515" w:rsidRDefault="00F50B90">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por cuanto hace a la procedibilidad de los recursos de revisión, es de suma importancia señalar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no señaló nombre o seudónimo con el cual desee ser identificado,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A64515" w:rsidRDefault="00F50B90">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A64515" w:rsidRDefault="00F50B90">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Así las cosas, por cuanto hace a la procedibilidad del recurso de revisión, una vez realizado el análisis del formato de interposición del mismo, se concluye la acreditación plena de los elementos formales precisados por el artículo 180 de la Ley </w:t>
      </w:r>
      <w:r>
        <w:rPr>
          <w:rFonts w:ascii="Palatino Linotype" w:eastAsia="Palatino Linotype" w:hAnsi="Palatino Linotype" w:cs="Palatino Linotype"/>
          <w:color w:val="000000"/>
        </w:rPr>
        <w:lastRenderedPageBreak/>
        <w:t>de Transparencia y Acceso a la Información Pública del Estado de México y Municipios, en atención a que fue presentado mediante el formato visible en el SAIMEX.</w:t>
      </w:r>
    </w:p>
    <w:p w:rsidR="00A64515" w:rsidRDefault="00F50B90">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Finalmente, resulta procedente la interposición del recurso revisión, según lo aducido por el recurrente en su acto impugnado como en sus motivos de inconformidad, de acuerdo al artículo 179 fracción V de la Ley de Transparencia y Acceso a la Información Pública del Estado de México y Municipios; que a la letra dice:</w:t>
      </w:r>
    </w:p>
    <w:p w:rsidR="00A64515" w:rsidRDefault="00F50B90">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sz w:val="22"/>
          <w:szCs w:val="22"/>
        </w:rPr>
        <w:t>, y procederá en contra de las siguientes causas</w:t>
      </w:r>
      <w:r>
        <w:rPr>
          <w:rFonts w:ascii="Palatino Linotype" w:eastAsia="Palatino Linotype" w:hAnsi="Palatino Linotype" w:cs="Palatino Linotype"/>
          <w:i/>
          <w:color w:val="000000"/>
          <w:sz w:val="22"/>
          <w:szCs w:val="22"/>
        </w:rPr>
        <w:t>:</w:t>
      </w:r>
    </w:p>
    <w:p w:rsidR="00A64515" w:rsidRDefault="00F50B90">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A64515" w:rsidRDefault="00F50B90">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b/>
          <w:i/>
          <w:color w:val="FF0000"/>
          <w:sz w:val="22"/>
          <w:szCs w:val="22"/>
        </w:rPr>
      </w:pPr>
      <w:r>
        <w:rPr>
          <w:rFonts w:ascii="Palatino Linotype" w:eastAsia="Palatino Linotype" w:hAnsi="Palatino Linotype" w:cs="Palatino Linotype"/>
          <w:b/>
          <w:i/>
          <w:color w:val="000000"/>
          <w:sz w:val="22"/>
          <w:szCs w:val="22"/>
        </w:rPr>
        <w:t>V. La entrega de información incompleta;</w:t>
      </w:r>
      <w:r>
        <w:rPr>
          <w:rFonts w:ascii="Palatino Linotype" w:eastAsia="Palatino Linotype" w:hAnsi="Palatino Linotype" w:cs="Palatino Linotype"/>
          <w:i/>
          <w:color w:val="000000"/>
          <w:sz w:val="22"/>
          <w:szCs w:val="22"/>
        </w:rPr>
        <w:t>”</w:t>
      </w:r>
    </w:p>
    <w:p w:rsidR="00A64515" w:rsidRDefault="00F50B90">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(Énfasis añadido)</w:t>
      </w:r>
    </w:p>
    <w:p w:rsidR="00A64515" w:rsidRDefault="00F50B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 Materia de Revisión</w:t>
      </w:r>
      <w:r>
        <w:rPr>
          <w:rFonts w:ascii="Palatino Linotype" w:eastAsia="Palatino Linotype" w:hAnsi="Palatino Linotype" w:cs="Palatino Linotype"/>
        </w:rPr>
        <w:t xml:space="preserve">. 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rsidR="00A64515" w:rsidRDefault="00F50B90">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rPr>
        <w:t xml:space="preserve">Cuarto. Estudio de fondo del asunto. </w:t>
      </w:r>
      <w:r>
        <w:rPr>
          <w:rFonts w:ascii="Palatino Linotype" w:eastAsia="Palatino Linotype" w:hAnsi="Palatino Linotype" w:cs="Palatino Linotype"/>
          <w:color w:val="000000"/>
        </w:rPr>
        <w:t xml:space="preserve">Ahora bien, retomando el análisis de las constancias que integran el presente recurso de revisión es conveniente recordar que </w:t>
      </w:r>
      <w:r>
        <w:rPr>
          <w:rFonts w:ascii="Palatino Linotype" w:eastAsia="Palatino Linotype" w:hAnsi="Palatino Linotype" w:cs="Palatino Linotype"/>
          <w:b/>
          <w:color w:val="000000"/>
        </w:rPr>
        <w:t>la parte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requirió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que le proporcionara lo siguiente</w:t>
      </w:r>
      <w:r>
        <w:rPr>
          <w:rFonts w:ascii="Palatino Linotype" w:eastAsia="Palatino Linotype" w:hAnsi="Palatino Linotype" w:cs="Palatino Linotype"/>
          <w:color w:val="000000"/>
          <w:sz w:val="22"/>
          <w:szCs w:val="22"/>
        </w:rPr>
        <w:t>:</w:t>
      </w:r>
    </w:p>
    <w:p w:rsidR="00A64515" w:rsidRDefault="00F50B90">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lastRenderedPageBreak/>
        <w:t>Del Secretario, Tesorero, Director de Obras Públicas, Director de Desarrollo Económico, Director de Turismo, Coordinador General Municipal de Mejora Regulatoria, Ecología, Desarrollo Urbano y de Desarrollo Social:</w:t>
      </w:r>
    </w:p>
    <w:p w:rsidR="00A64515" w:rsidRDefault="00F50B90">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Si cuentan con la experiencia mínima de un año para ocupar el cargo.</w:t>
      </w:r>
    </w:p>
    <w:p w:rsidR="00A64515" w:rsidRDefault="00F50B90">
      <w:pPr>
        <w:numPr>
          <w:ilvl w:val="0"/>
          <w:numId w:val="3"/>
        </w:numPr>
        <w:pBdr>
          <w:top w:val="nil"/>
          <w:left w:val="nil"/>
          <w:bottom w:val="nil"/>
          <w:right w:val="nil"/>
          <w:between w:val="nil"/>
        </w:pBdr>
        <w:spacing w:before="240" w:after="240" w:line="360" w:lineRule="auto"/>
        <w:ind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Si cuenta con certificación de competencia laboral en la materia del cargo que se desempeñará.</w:t>
      </w:r>
    </w:p>
    <w:p w:rsidR="00A64515" w:rsidRDefault="00F50B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la Jefa de Recursos Humanos manifestó que todos los titulares de las áreas en mención, cuentan con la experiencia mínima de un año para ocupar el cargo, asimismo refiere que únicamente el Director de Obras Públicas cuenta con Certificación de Competencia Laboral. </w:t>
      </w:r>
    </w:p>
    <w:p w:rsidR="00A64515" w:rsidRDefault="00F50B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orden de ideas, al no estar conforme con los términos de la misma, el particular interpuso el recurso de revisión que nos ocupa, donde señaló como motivos de inconformidad, mediante archivo digital, lo siguiente: </w:t>
      </w:r>
      <w:r>
        <w:rPr>
          <w:rFonts w:ascii="Palatino Linotype" w:eastAsia="Palatino Linotype" w:hAnsi="Palatino Linotype" w:cs="Palatino Linotype"/>
          <w:i/>
          <w:color w:val="000000"/>
          <w:sz w:val="22"/>
          <w:szCs w:val="22"/>
        </w:rPr>
        <w:t xml:space="preserve">“Respuesta la informacion suata, pues </w:t>
      </w:r>
      <w:r>
        <w:rPr>
          <w:rFonts w:ascii="Palatino Linotype" w:eastAsia="Palatino Linotype" w:hAnsi="Palatino Linotype" w:cs="Palatino Linotype"/>
          <w:b/>
          <w:i/>
          <w:color w:val="000000"/>
          <w:sz w:val="22"/>
          <w:szCs w:val="22"/>
          <w:u w:val="single"/>
        </w:rPr>
        <w:t>no basta con la manifestacion del propio titular de la jefatura de recursis humanos</w:t>
      </w:r>
      <w:r>
        <w:rPr>
          <w:rFonts w:ascii="Palatino Linotype" w:eastAsia="Palatino Linotype" w:hAnsi="Palatino Linotype" w:cs="Palatino Linotype"/>
          <w:i/>
          <w:color w:val="000000"/>
          <w:sz w:val="22"/>
          <w:szCs w:val="22"/>
        </w:rPr>
        <w:t xml:space="preserve">, pues de acuerdo al numeral que el susrito invoque en mi soliciitud </w:t>
      </w:r>
      <w:r>
        <w:rPr>
          <w:rFonts w:ascii="Palatino Linotype" w:eastAsia="Palatino Linotype" w:hAnsi="Palatino Linotype" w:cs="Palatino Linotype"/>
          <w:b/>
          <w:i/>
          <w:color w:val="000000"/>
          <w:sz w:val="22"/>
          <w:szCs w:val="22"/>
          <w:u w:val="single"/>
        </w:rPr>
        <w:t>del mismo emana que debe tener por satisfechos los requisitos enunciados en el mismo, por lo que se deduce que para ocupar el cargo que se le designo debio acreditar con documentacion el cargo que se le nombro</w:t>
      </w:r>
      <w:r>
        <w:rPr>
          <w:rFonts w:ascii="Palatino Linotype" w:eastAsia="Palatino Linotype" w:hAnsi="Palatino Linotype" w:cs="Palatino Linotype"/>
          <w:i/>
          <w:color w:val="000000"/>
          <w:sz w:val="22"/>
          <w:szCs w:val="22"/>
        </w:rPr>
        <w:t>” (Sic) (Énfasis añadido)</w:t>
      </w:r>
    </w:p>
    <w:p w:rsidR="00A64515" w:rsidRDefault="00F50B9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Así, admitido el presente recurso de revisión, en términos del artículo 185 fracción II</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de la Ley de Transparencia y Acceso a la Información Pública del Estado de </w:t>
      </w:r>
      <w:r>
        <w:rPr>
          <w:rFonts w:ascii="Palatino Linotype" w:eastAsia="Palatino Linotype" w:hAnsi="Palatino Linotype" w:cs="Palatino Linotype"/>
        </w:rPr>
        <w:lastRenderedPageBreak/>
        <w:t>México y Municipios, se integró el expediente y se puso a disposición de las partes para que en un  plazo máximo de siete días hábiles, manifestaran lo que a su derecho resultara conveniente.</w:t>
      </w:r>
    </w:p>
    <w:p w:rsidR="00A64515" w:rsidRDefault="00F50B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tal suerte que en el presente asunto, tanto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como </w:t>
      </w:r>
      <w:r>
        <w:rPr>
          <w:rFonts w:ascii="Palatino Linotype" w:eastAsia="Palatino Linotype" w:hAnsi="Palatino Linotype" w:cs="Palatino Linotype"/>
          <w:b/>
        </w:rPr>
        <w:t xml:space="preserve">la parte  Recurrente </w:t>
      </w:r>
      <w:r>
        <w:rPr>
          <w:rFonts w:ascii="Palatino Linotype" w:eastAsia="Palatino Linotype" w:hAnsi="Palatino Linotype" w:cs="Palatino Linotype"/>
        </w:rPr>
        <w:t>fueron</w:t>
      </w:r>
      <w:r>
        <w:rPr>
          <w:rFonts w:ascii="Palatino Linotype" w:eastAsia="Palatino Linotype" w:hAnsi="Palatino Linotype" w:cs="Palatino Linotype"/>
          <w:b/>
        </w:rPr>
        <w:t xml:space="preserve"> </w:t>
      </w:r>
      <w:r>
        <w:rPr>
          <w:rFonts w:ascii="Palatino Linotype" w:eastAsia="Palatino Linotype" w:hAnsi="Palatino Linotype" w:cs="Palatino Linotype"/>
        </w:rPr>
        <w:t>omisos en emitir alguna manifestación, alegato o pronunciamiento que a su derecho conviniera, por lo tanto, se tuvo por precluido su derecho para tal efecto y se procedió a continuar con el trámite del recurso de revisión citado al rubro.</w:t>
      </w:r>
    </w:p>
    <w:p w:rsidR="00A64515" w:rsidRDefault="00F50B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apuntado lo anterior, este Órgano Garante procede al análisis de las razones o motivos de inconformidad hechos valer por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las constancias que conforman el expediente electrónico. </w:t>
      </w:r>
    </w:p>
    <w:p w:rsidR="00A64515" w:rsidRDefault="00F50B9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primera instancia, debe resaltarse que el derecho de acceso a información pública, es un derecho humano, mismo que en términos del artículo 1° de la Constitución Política de los Estados Unidos Mexicanos, toda autoridad tiene la ineludible obligación de promoverlo, respetarlo, protegerlo y garantizarlo, lo que deriva en que se deben reparar las violaciones al derecho humano en cuestión, incluso se prevé que se deberán interpretar las normas favoreciendo en todo tiempo a las personas con la protección más amplia. </w:t>
      </w:r>
    </w:p>
    <w:p w:rsidR="00A64515" w:rsidRDefault="00F50B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mismo, resulta indispensable referir que el derecho de acceso a la información pública implica que cualquier persona pueda acceder y conocer la información </w:t>
      </w:r>
      <w:r>
        <w:rPr>
          <w:rFonts w:ascii="Palatino Linotype" w:eastAsia="Palatino Linotype" w:hAnsi="Palatino Linotype" w:cs="Palatino Linotype"/>
        </w:rPr>
        <w:lastRenderedPageBreak/>
        <w:t xml:space="preserve">contenida en los documentos que se encuentran en posesión de los Sujetos Obligados. </w:t>
      </w:r>
    </w:p>
    <w:p w:rsidR="00A64515" w:rsidRDefault="00F50B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Sobre el caso en particular, debe precisarse que en sus razones o motivos de inconformidad, el particular manifestó lo siguiente: </w:t>
      </w:r>
      <w:r>
        <w:rPr>
          <w:rFonts w:ascii="Palatino Linotype" w:eastAsia="Palatino Linotype" w:hAnsi="Palatino Linotype" w:cs="Palatino Linotype"/>
          <w:i/>
        </w:rPr>
        <w:t xml:space="preserve">“Respuesta la informacion suata, pues </w:t>
      </w:r>
      <w:r>
        <w:rPr>
          <w:rFonts w:ascii="Palatino Linotype" w:eastAsia="Palatino Linotype" w:hAnsi="Palatino Linotype" w:cs="Palatino Linotype"/>
          <w:b/>
          <w:i/>
          <w:u w:val="single"/>
        </w:rPr>
        <w:t>no basta con la manifestacion del propio titular de la jefatura de recursis humanos</w:t>
      </w:r>
      <w:r>
        <w:rPr>
          <w:rFonts w:ascii="Palatino Linotype" w:eastAsia="Palatino Linotype" w:hAnsi="Palatino Linotype" w:cs="Palatino Linotype"/>
          <w:i/>
        </w:rPr>
        <w:t xml:space="preserve">, pues de acuerdo al numeral que el susrito invoque en mi soliciitud </w:t>
      </w:r>
      <w:r>
        <w:rPr>
          <w:rFonts w:ascii="Palatino Linotype" w:eastAsia="Palatino Linotype" w:hAnsi="Palatino Linotype" w:cs="Palatino Linotype"/>
          <w:b/>
          <w:i/>
          <w:u w:val="single"/>
        </w:rPr>
        <w:t>del mismo emana que debe tener por satisfechos los requisitos enunciados en el mismo, por lo que se deduce que para ocupar el cargo que se le designo debio acreditar con documentacion el cargo que se le nombro</w:t>
      </w:r>
      <w:r>
        <w:rPr>
          <w:rFonts w:ascii="Palatino Linotype" w:eastAsia="Palatino Linotype" w:hAnsi="Palatino Linotype" w:cs="Palatino Linotype"/>
          <w:i/>
        </w:rPr>
        <w:t>”</w:t>
      </w:r>
      <w:r>
        <w:rPr>
          <w:rFonts w:ascii="Palatino Linotype" w:eastAsia="Palatino Linotype" w:hAnsi="Palatino Linotype" w:cs="Palatino Linotype"/>
        </w:rPr>
        <w:t xml:space="preserve">, por lo que es dable que al no ser experto en la materia omitió señalar de manera concreta que el particular requería los documentos presentados por los servidores públicos para efecto de dar cumplimiento a lo previsto por el artículo 32 de la Ley Orgánica Municipal, lo cierto es que es obligación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dar a la solicitud una interpretación que le dé una expresión documental, por tal motivo, privilegiando el principio de máxima publicidad, se deberá proceder a la entrega de los documentos, que hubiere generado en el ejercicio de sus facultades o actividad sin importar su fuente o fecha de elaboración.</w:t>
      </w:r>
    </w:p>
    <w:p w:rsidR="00A64515" w:rsidRDefault="00F50B90">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Como sustento a lo anterior es aplicable el Criterio 16/17, emitido por el Instituto Federal de Acceso a la Información y Protección de Datos, ahora Instituto Nacional de Transparencia, Acceso a la Información y Protección de Datos Personales, establece lo siguiente: </w:t>
      </w:r>
    </w:p>
    <w:p w:rsidR="00A64515" w:rsidRDefault="00F50B90">
      <w:pPr>
        <w:pBdr>
          <w:top w:val="nil"/>
          <w:left w:val="nil"/>
          <w:bottom w:val="nil"/>
          <w:right w:val="nil"/>
          <w:between w:val="nil"/>
        </w:pBdr>
        <w:spacing w:before="240" w:after="240" w:line="276" w:lineRule="auto"/>
        <w:ind w:left="851" w:right="902"/>
        <w:jc w:val="both"/>
        <w:rPr>
          <w:rFonts w:ascii="Palatino Linotype" w:eastAsia="Palatino Linotype" w:hAnsi="Palatino Linotype" w:cs="Palatino Linotype"/>
          <w:color w:val="000000"/>
          <w:sz w:val="22"/>
          <w:szCs w:val="22"/>
        </w:rPr>
      </w:pPr>
      <w:r>
        <w:rPr>
          <w:color w:val="000000"/>
          <w:sz w:val="22"/>
          <w:szCs w:val="22"/>
        </w:rPr>
        <w:t xml:space="preserve"> “</w:t>
      </w:r>
      <w:r>
        <w:rPr>
          <w:rFonts w:ascii="Palatino Linotype" w:eastAsia="Palatino Linotype" w:hAnsi="Palatino Linotype" w:cs="Palatino Linotype"/>
          <w:b/>
          <w:i/>
          <w:color w:val="000000"/>
          <w:sz w:val="22"/>
          <w:szCs w:val="22"/>
        </w:rPr>
        <w:t xml:space="preserve">Expresión documental. </w:t>
      </w:r>
      <w:r>
        <w:rPr>
          <w:rFonts w:ascii="Palatino Linotype" w:eastAsia="Palatino Linotype" w:hAnsi="Palatino Linotype" w:cs="Palatino Linotype"/>
          <w:i/>
          <w:color w:val="000000"/>
          <w:sz w:val="22"/>
          <w:szCs w:val="22"/>
        </w:rPr>
        <w:t xml:space="preserve">Cuando los particulares presenten solicitudes de acceso a la información sin identificar de forma precisa la documentación que </w:t>
      </w:r>
      <w:r>
        <w:rPr>
          <w:rFonts w:ascii="Palatino Linotype" w:eastAsia="Palatino Linotype" w:hAnsi="Palatino Linotype" w:cs="Palatino Linotype"/>
          <w:i/>
          <w:color w:val="000000"/>
          <w:sz w:val="22"/>
          <w:szCs w:val="22"/>
        </w:rPr>
        <w:lastRenderedPageBreak/>
        <w:t>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rsidR="00A64515" w:rsidRDefault="00F50B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en virtud de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 encuentra constreñido a documentar todo acto que derive del ejercicio sus facultades, competencias o funciones, considerando desde su origen la eventual publicidad y reutilización de la información que generen, según lo dispuesto en los artículos 18, 24 fracción XXII y 160 párrafo primero de la Ley de la Materia, que son del tenor literal siguiente:</w:t>
      </w:r>
    </w:p>
    <w:p w:rsidR="00A64515" w:rsidRDefault="00F50B90">
      <w:pPr>
        <w:pBdr>
          <w:top w:val="nil"/>
          <w:left w:val="nil"/>
          <w:bottom w:val="nil"/>
          <w:right w:val="nil"/>
          <w:between w:val="nil"/>
        </w:pBdr>
        <w:spacing w:before="240" w:after="240" w:line="276" w:lineRule="auto"/>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18</w:t>
      </w:r>
      <w:r>
        <w:rPr>
          <w:rFonts w:ascii="Palatino Linotype" w:eastAsia="Palatino Linotype" w:hAnsi="Palatino Linotype" w:cs="Palatino Linotype"/>
          <w:i/>
          <w:color w:val="000000"/>
          <w:sz w:val="22"/>
          <w:szCs w:val="22"/>
        </w:rPr>
        <w:t>. Los sujetos obligados deberán documentar todo acto que derive del ejercicio de sus facultades, competencias o funciones, considerando desde su origen la eventual publicidad y reutilización de la información que generen.</w:t>
      </w:r>
    </w:p>
    <w:p w:rsidR="00A64515" w:rsidRDefault="00F50B90">
      <w:pPr>
        <w:pBdr>
          <w:top w:val="nil"/>
          <w:left w:val="nil"/>
          <w:bottom w:val="nil"/>
          <w:right w:val="nil"/>
          <w:between w:val="nil"/>
        </w:pBdr>
        <w:spacing w:before="240" w:after="240" w:line="276" w:lineRule="auto"/>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A64515" w:rsidRDefault="00F50B90">
      <w:pPr>
        <w:pBdr>
          <w:top w:val="nil"/>
          <w:left w:val="nil"/>
          <w:bottom w:val="nil"/>
          <w:right w:val="nil"/>
          <w:between w:val="nil"/>
        </w:pBdr>
        <w:spacing w:before="240" w:after="240" w:line="276" w:lineRule="auto"/>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24.</w:t>
      </w:r>
      <w:r>
        <w:rPr>
          <w:rFonts w:ascii="Palatino Linotype" w:eastAsia="Palatino Linotype" w:hAnsi="Palatino Linotype" w:cs="Palatino Linotype"/>
          <w:i/>
          <w:color w:val="000000"/>
          <w:sz w:val="22"/>
          <w:szCs w:val="22"/>
        </w:rPr>
        <w:t xml:space="preserve"> Para el cumplimiento de los objetivos de esta Ley, los sujetos obligados deberán cumplir con las siguientes obligaciones, según corresponda, de acuerdo a su naturaleza:</w:t>
      </w:r>
    </w:p>
    <w:p w:rsidR="00A64515" w:rsidRDefault="00F50B90">
      <w:pPr>
        <w:pBdr>
          <w:top w:val="nil"/>
          <w:left w:val="nil"/>
          <w:bottom w:val="nil"/>
          <w:right w:val="nil"/>
          <w:between w:val="nil"/>
        </w:pBdr>
        <w:spacing w:before="240" w:after="240" w:line="276" w:lineRule="auto"/>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XXII.</w:t>
      </w:r>
      <w:r>
        <w:rPr>
          <w:rFonts w:ascii="Palatino Linotype" w:eastAsia="Palatino Linotype" w:hAnsi="Palatino Linotype" w:cs="Palatino Linotype"/>
          <w:i/>
          <w:color w:val="000000"/>
          <w:sz w:val="22"/>
          <w:szCs w:val="22"/>
        </w:rPr>
        <w:t xml:space="preserve"> Documentar todo acto que derive del ejercicio de sus facultades, competencias o funciones y abstenerse de destruirlos u ocultarlos, dentro de los que destacan los procesos deliberativos y de decisión definitiva;</w:t>
      </w:r>
    </w:p>
    <w:p w:rsidR="00A64515" w:rsidRDefault="00F50B90">
      <w:pPr>
        <w:spacing w:before="240" w:after="240" w:line="276" w:lineRule="auto"/>
        <w:ind w:left="567"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A64515" w:rsidRDefault="00F50B90">
      <w:pPr>
        <w:spacing w:before="240" w:after="240" w:line="276" w:lineRule="auto"/>
        <w:ind w:left="567" w:right="902"/>
        <w:jc w:val="both"/>
        <w:rPr>
          <w:rFonts w:ascii="Palatino Linotype" w:eastAsia="Palatino Linotype" w:hAnsi="Palatino Linotype" w:cs="Palatino Linotype"/>
          <w:i/>
          <w:sz w:val="36"/>
          <w:szCs w:val="36"/>
        </w:rPr>
      </w:pPr>
      <w:r>
        <w:rPr>
          <w:rFonts w:ascii="Palatino Linotype" w:eastAsia="Palatino Linotype" w:hAnsi="Palatino Linotype" w:cs="Palatino Linotype"/>
          <w:b/>
          <w:i/>
          <w:sz w:val="22"/>
          <w:szCs w:val="22"/>
        </w:rPr>
        <w:t>Artículo 160</w:t>
      </w:r>
      <w:r>
        <w:rPr>
          <w:rFonts w:ascii="Palatino Linotype" w:eastAsia="Palatino Linotype" w:hAnsi="Palatino Linotype" w:cs="Palatino Linotype"/>
          <w:i/>
          <w:sz w:val="22"/>
          <w:szCs w:val="22"/>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A64515" w:rsidRDefault="00F50B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manera que, la obligación de acceso a la información se tendrá por cumplida cuando el solicitante tenga a su disposición la información requerida, o cuando realice su consulta en el lugar que ésta se localice, conforme a los artículos 3 fracción XI, XII 4, 12 y 24 último párrafo de la Ley de Transparencia y Acceso a la Información Pública del Estado de México y Municipios:</w:t>
      </w:r>
    </w:p>
    <w:p w:rsidR="00A64515" w:rsidRDefault="00F50B90">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A64515" w:rsidRDefault="00F50B90">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64515" w:rsidRDefault="00F50B90">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XI. Documento: </w:t>
      </w:r>
      <w:r>
        <w:rPr>
          <w:rFonts w:ascii="Palatino Linotype" w:eastAsia="Palatino Linotype" w:hAnsi="Palatino Linotype" w:cs="Palatino Linotype"/>
          <w:i/>
          <w:sz w:val="22"/>
          <w:szCs w:val="22"/>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A64515" w:rsidRDefault="00F50B90">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XII. Documento electrónico:</w:t>
      </w:r>
      <w:r>
        <w:rPr>
          <w:rFonts w:ascii="Palatino Linotype" w:eastAsia="Palatino Linotype" w:hAnsi="Palatino Linotype" w:cs="Palatino Linotype"/>
          <w:i/>
          <w:sz w:val="22"/>
          <w:szCs w:val="22"/>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A64515" w:rsidRDefault="00F50B90">
      <w:pPr>
        <w:spacing w:before="240" w:after="240" w:line="276" w:lineRule="auto"/>
        <w:ind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p>
    <w:p w:rsidR="00A64515" w:rsidRDefault="00F50B90">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 El derecho humano de acceso a la información pública es la prerrogativa de las personas para buscar, difundir, investigar, recabar, recibir y solicitar información pública</w:t>
      </w:r>
      <w:r>
        <w:rPr>
          <w:rFonts w:ascii="Palatino Linotype" w:eastAsia="Palatino Linotype" w:hAnsi="Palatino Linotype" w:cs="Palatino Linotype"/>
          <w:i/>
          <w:sz w:val="22"/>
          <w:szCs w:val="22"/>
        </w:rPr>
        <w:t>, sin necesidad de acreditar personalidad ni interés jurídico.</w:t>
      </w:r>
    </w:p>
    <w:p w:rsidR="00A64515" w:rsidRDefault="00F50B90">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w:t>
      </w:r>
      <w:r>
        <w:rPr>
          <w:rFonts w:ascii="Palatino Linotype" w:eastAsia="Palatino Linotype" w:hAnsi="Palatino Linotype" w:cs="Palatino Linotype"/>
          <w:b/>
          <w:i/>
          <w:sz w:val="22"/>
          <w:szCs w:val="22"/>
        </w:rPr>
        <w:lastRenderedPageBreak/>
        <w:t>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Pr>
          <w:rFonts w:ascii="Palatino Linotype" w:eastAsia="Palatino Linotype" w:hAnsi="Palatino Linotype" w:cs="Palatino Linotype"/>
          <w:i/>
          <w:sz w:val="22"/>
          <w:szCs w:val="22"/>
        </w:rPr>
        <w:t xml:space="preserve"> Solo podrá ser clasificada excepcionalmente como reservada temporalmente por razones de interés público, en los términos de las causas legítimas y estrictamente necesarias previstas por esta Ley.</w:t>
      </w:r>
    </w:p>
    <w:p w:rsidR="00A64515" w:rsidRDefault="00F50B90">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A64515" w:rsidRDefault="00F50B90">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12. </w:t>
      </w:r>
      <w:r>
        <w:rPr>
          <w:rFonts w:ascii="Palatino Linotype" w:eastAsia="Palatino Linotype" w:hAnsi="Palatino Linotype" w:cs="Palatino Linotype"/>
          <w:i/>
          <w:sz w:val="22"/>
          <w:szCs w:val="22"/>
        </w:rPr>
        <w:t>Quienes generen, recopilen, administren, manejen, procesen, archiven o conserven información pública serán responsables de la misma en los términos de las disposiciones jurídicas aplicables.</w:t>
      </w:r>
    </w:p>
    <w:p w:rsidR="00A64515" w:rsidRDefault="00F50B90">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u w:val="single"/>
        </w:rPr>
        <w:t>.</w:t>
      </w:r>
      <w:r>
        <w:rPr>
          <w:rFonts w:ascii="Palatino Linotype" w:eastAsia="Palatino Linotype" w:hAnsi="Palatino Linotype" w:cs="Palatino Linotype"/>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rsidR="00A64515" w:rsidRDefault="00F50B90">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64515" w:rsidRDefault="00F50B90">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24. </w:t>
      </w:r>
      <w:r>
        <w:rPr>
          <w:rFonts w:ascii="Palatino Linotype" w:eastAsia="Palatino Linotype" w:hAnsi="Palatino Linotype" w:cs="Palatino Linotype"/>
          <w:i/>
          <w:sz w:val="22"/>
          <w:szCs w:val="22"/>
        </w:rPr>
        <w:t>Para el cumplimiento de los objetivos de esta Ley, los sujetos obligados deberán cumplir con las siguientes obligaciones, según corresponda, de acuerdo a su naturaleza:</w:t>
      </w:r>
    </w:p>
    <w:p w:rsidR="00A64515" w:rsidRDefault="00F50B90">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A64515" w:rsidRDefault="00F50B90">
      <w:pPr>
        <w:spacing w:before="240" w:after="240" w:line="276" w:lineRule="auto"/>
        <w:ind w:left="567" w:right="902"/>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b/>
          <w:i/>
          <w:sz w:val="22"/>
          <w:szCs w:val="22"/>
        </w:rPr>
        <w:t>IX.</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Fomentar el uso de tecnologías de la información para garantizar la transparencia, el derecho de acceso a la información y la accesibilidad a éstos;</w:t>
      </w:r>
    </w:p>
    <w:p w:rsidR="00A64515" w:rsidRDefault="00F50B90">
      <w:pPr>
        <w:spacing w:before="240" w:after="240" w:line="276" w:lineRule="auto"/>
        <w:ind w:left="567"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A64515" w:rsidRDefault="00F50B90">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w:t>
      </w:r>
      <w:r>
        <w:rPr>
          <w:rFonts w:ascii="Palatino Linotype" w:eastAsia="Palatino Linotype" w:hAnsi="Palatino Linotype" w:cs="Palatino Linotype"/>
          <w:i/>
          <w:sz w:val="22"/>
          <w:szCs w:val="22"/>
        </w:rPr>
        <w:t xml:space="preserve"> Dar acceso a la información pública que le sea requerida, en los términos de la Ley General, esta Ley y demás disposiciones jurídicas aplicables;</w:t>
      </w:r>
    </w:p>
    <w:p w:rsidR="00A64515" w:rsidRDefault="00F50B90">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rsidR="00A64515" w:rsidRDefault="00F50B90">
      <w:pPr>
        <w:spacing w:before="240" w:after="240" w:line="276" w:lineRule="auto"/>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la administración, gestión y custodia de los archivos de información pública, los sujetos obligados, los servidores públicos habilitados y los servidores públicos en general, se ajustarán a lo establecido por la normatividad aplicable.</w:t>
      </w:r>
    </w:p>
    <w:p w:rsidR="00A64515" w:rsidRDefault="00F50B90">
      <w:pPr>
        <w:spacing w:before="240" w:after="240" w:line="276" w:lineRule="auto"/>
        <w:ind w:left="567"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Los sujetos obligados solo proporcionarán la información pública que generen, administren o posean en el ejercicio de sus atribuciones.”</w:t>
      </w:r>
    </w:p>
    <w:p w:rsidR="00A64515" w:rsidRDefault="00F50B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el ejercicio del derecho de acceso a la información pública es la prerrogativa de las personas para buscar, difundir, investigar, recabar, recibir y solicitar información pública, sin necesidad de acreditar personalidad ni interés jurídico. </w:t>
      </w:r>
    </w:p>
    <w:p w:rsidR="00A64515" w:rsidRDefault="00F50B90">
      <w:pPr>
        <w:spacing w:before="240"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1.- De la certificación de competencia laboral expedida por instituciones con reconocimiento de validez oficial.</w:t>
      </w:r>
    </w:p>
    <w:p w:rsidR="00A64515" w:rsidRDefault="00F50B90">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Una vez precisado lo anterior, se procede al análisis del punto relativo a la certificación de competencia laboral expedida por las instituciones de validez oficial. Al respecto es de señalar que los requerimientos del particular, encuentran sustento en lo previsto por el artículo 32 de la Ley Orgánica Municipal, el cual refiere lo siguiente: </w:t>
      </w:r>
    </w:p>
    <w:p w:rsidR="00A64515" w:rsidRDefault="00F50B90">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32. </w:t>
      </w:r>
      <w:r>
        <w:rPr>
          <w:rFonts w:ascii="Palatino Linotype" w:eastAsia="Palatino Linotype" w:hAnsi="Palatino Linotype" w:cs="Palatino Linotype"/>
          <w:b/>
          <w:i/>
          <w:color w:val="000000"/>
          <w:sz w:val="22"/>
          <w:szCs w:val="22"/>
        </w:rPr>
        <w:t>Para ocupar los cargos de Secretario; Tesorero; Director de Obras Públicas, de Desarrollo Económico, Director de Turismo, Coordinador General Municipal de Mejora Regulatoria, Ecología, Desarrollo Urbano, de Desarrollo Social, o equivalentes, titulares de las unidades administrativas, de Protección Civil</w:t>
      </w:r>
      <w:r>
        <w:rPr>
          <w:rFonts w:ascii="Palatino Linotype" w:eastAsia="Palatino Linotype" w:hAnsi="Palatino Linotype" w:cs="Palatino Linotype"/>
          <w:i/>
          <w:color w:val="000000"/>
          <w:sz w:val="22"/>
          <w:szCs w:val="22"/>
        </w:rPr>
        <w:t xml:space="preserve"> y de los organismos auxiliares se deberán satisfacer los siguientes requisitos: </w:t>
      </w:r>
    </w:p>
    <w:p w:rsidR="00A64515" w:rsidRDefault="00F50B90">
      <w:pPr>
        <w:numPr>
          <w:ilvl w:val="0"/>
          <w:numId w:val="4"/>
        </w:numPr>
        <w:pBdr>
          <w:top w:val="nil"/>
          <w:left w:val="nil"/>
          <w:bottom w:val="nil"/>
          <w:right w:val="nil"/>
          <w:between w:val="nil"/>
        </w:pBdr>
        <w:spacing w:before="240" w:after="240" w:line="276" w:lineRule="auto"/>
        <w:ind w:left="567" w:right="900"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Ser ciudadano del Estado en pleno uso de sus derechos; </w:t>
      </w:r>
    </w:p>
    <w:p w:rsidR="00A64515" w:rsidRDefault="00F50B90">
      <w:pPr>
        <w:numPr>
          <w:ilvl w:val="0"/>
          <w:numId w:val="4"/>
        </w:numPr>
        <w:pBdr>
          <w:top w:val="nil"/>
          <w:left w:val="nil"/>
          <w:bottom w:val="nil"/>
          <w:right w:val="nil"/>
          <w:between w:val="nil"/>
        </w:pBdr>
        <w:spacing w:before="240" w:after="240"/>
        <w:ind w:left="567" w:right="902"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No estar inhabilitado para desempeñar cargo, empleo, o comisión pública. </w:t>
      </w:r>
    </w:p>
    <w:p w:rsidR="00A64515" w:rsidRDefault="00F50B90">
      <w:pPr>
        <w:numPr>
          <w:ilvl w:val="0"/>
          <w:numId w:val="4"/>
        </w:numPr>
        <w:pBdr>
          <w:top w:val="nil"/>
          <w:left w:val="nil"/>
          <w:bottom w:val="nil"/>
          <w:right w:val="nil"/>
          <w:between w:val="nil"/>
        </w:pBdr>
        <w:spacing w:before="240" w:after="240"/>
        <w:ind w:left="567" w:right="902"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No haber sido condenado en proceso penal, por delito intencional que amerite pena privativa de libertad; </w:t>
      </w:r>
    </w:p>
    <w:p w:rsidR="00A64515" w:rsidRDefault="00F50B90">
      <w:pPr>
        <w:numPr>
          <w:ilvl w:val="0"/>
          <w:numId w:val="4"/>
        </w:numPr>
        <w:pBdr>
          <w:top w:val="nil"/>
          <w:left w:val="nil"/>
          <w:bottom w:val="nil"/>
          <w:right w:val="nil"/>
          <w:between w:val="nil"/>
        </w:pBdr>
        <w:spacing w:before="240" w:after="240"/>
        <w:ind w:left="567" w:right="902"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Contar con título profesional o </w:t>
      </w:r>
      <w:r>
        <w:rPr>
          <w:rFonts w:ascii="Palatino Linotype" w:eastAsia="Palatino Linotype" w:hAnsi="Palatino Linotype" w:cs="Palatino Linotype"/>
          <w:b/>
          <w:i/>
          <w:color w:val="000000"/>
          <w:sz w:val="22"/>
          <w:szCs w:val="22"/>
        </w:rPr>
        <w:t>acreditar experiencia mínima de un año en la materia, ante el Presidente o el Ayuntamiento, cuando sea el caso, para el desempeño de los cargos que así lo requieran;</w:t>
      </w:r>
      <w:r>
        <w:rPr>
          <w:rFonts w:ascii="Palatino Linotype" w:eastAsia="Palatino Linotype" w:hAnsi="Palatino Linotype" w:cs="Palatino Linotype"/>
          <w:i/>
          <w:color w:val="000000"/>
          <w:sz w:val="22"/>
          <w:szCs w:val="22"/>
        </w:rPr>
        <w:t xml:space="preserve"> y </w:t>
      </w:r>
    </w:p>
    <w:p w:rsidR="00A64515" w:rsidRDefault="00F50B90">
      <w:pPr>
        <w:numPr>
          <w:ilvl w:val="0"/>
          <w:numId w:val="4"/>
        </w:numPr>
        <w:pBdr>
          <w:top w:val="nil"/>
          <w:left w:val="nil"/>
          <w:bottom w:val="nil"/>
          <w:right w:val="nil"/>
          <w:between w:val="nil"/>
        </w:pBdr>
        <w:spacing w:before="240" w:after="240"/>
        <w:ind w:left="567" w:right="902" w:hanging="14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En su caso, contar con certificación de competencia laboral en la materia del cargo que se desempeñará, expedida por institución con reconocimiento de validez oficial. </w:t>
      </w:r>
    </w:p>
    <w:p w:rsidR="00A64515" w:rsidRDefault="00F50B90">
      <w:pPr>
        <w:pBdr>
          <w:top w:val="nil"/>
          <w:left w:val="nil"/>
          <w:bottom w:val="nil"/>
          <w:right w:val="nil"/>
          <w:between w:val="nil"/>
        </w:pBdr>
        <w:spacing w:before="240" w:after="240"/>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Este requisito podrá acreditarse dentro de los seis meses siguientes a la fecha en que inicien sus funciones. </w:t>
      </w:r>
    </w:p>
    <w:p w:rsidR="00A64515" w:rsidRDefault="00F50B90">
      <w:pPr>
        <w:pBdr>
          <w:top w:val="nil"/>
          <w:left w:val="nil"/>
          <w:bottom w:val="nil"/>
          <w:right w:val="nil"/>
          <w:between w:val="nil"/>
        </w:pBdr>
        <w:spacing w:before="240" w:after="240"/>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Vencido el plazo a que se refiere el párrafo anterior, el Presidente Municipal informará al Cabildo sobre el cumplimiento de dicha certificación laboral para que, en su caso, el Ayuntamiento tome las medidas correspondientes respecto de aquellos servidores públicos que no hubiesen cumplido.”</w:t>
      </w:r>
    </w:p>
    <w:p w:rsidR="00A64515" w:rsidRDefault="00F50B90">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(Énfasis añadido)</w:t>
      </w:r>
    </w:p>
    <w:p w:rsidR="00A64515" w:rsidRDefault="00F50B90">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 lo anterior se advierte que será necesario c</w:t>
      </w:r>
      <w:r>
        <w:rPr>
          <w:rFonts w:ascii="Palatino Linotype" w:eastAsia="Palatino Linotype" w:hAnsi="Palatino Linotype" w:cs="Palatino Linotype"/>
          <w:color w:val="000000"/>
        </w:rPr>
        <w:t xml:space="preserve">ontar con título profesional o </w:t>
      </w:r>
      <w:r>
        <w:rPr>
          <w:rFonts w:ascii="Palatino Linotype" w:eastAsia="Palatino Linotype" w:hAnsi="Palatino Linotype" w:cs="Palatino Linotype"/>
          <w:b/>
          <w:color w:val="000000"/>
        </w:rPr>
        <w:t xml:space="preserve">acreditar experiencia mínima de un año en la materia, y en su caso, contar con certificación de competencia laboral en la materia para ocupar los cargos de </w:t>
      </w:r>
      <w:r>
        <w:rPr>
          <w:rFonts w:ascii="Palatino Linotype" w:eastAsia="Palatino Linotype" w:hAnsi="Palatino Linotype" w:cs="Palatino Linotype"/>
        </w:rPr>
        <w:t xml:space="preserve">Secretario, Tesorero, Director de Obras Públicas, Director de Desarrollo Económico, Director de Turismo, Coordinador General Municipal de Mejora Regulatoria, Ecología, Desarrollo Urbano y de Desarrollo Social o unidades administrativas equivalentes, dichas certificaciones se establecen en los artículos 81 Bis, 85 Sexies, 92, 96, 96 Ter, Quintus, Septies, Nonies y Undecies de la Ley Orgánica Municipal, mismos que a manera de resumen establecen lo siguiente: </w:t>
      </w:r>
    </w:p>
    <w:tbl>
      <w:tblPr>
        <w:tblStyle w:val="a7"/>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A64515">
        <w:tc>
          <w:tcPr>
            <w:tcW w:w="2942" w:type="dxa"/>
            <w:shd w:val="clear" w:color="auto" w:fill="538135"/>
          </w:tcPr>
          <w:p w:rsidR="00A64515" w:rsidRDefault="00F50B90">
            <w:pPr>
              <w:spacing w:before="240" w:after="240"/>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color w:val="FFFFFF"/>
                <w:sz w:val="22"/>
                <w:szCs w:val="22"/>
              </w:rPr>
              <w:lastRenderedPageBreak/>
              <w:t>Denominación del cargo conforme a la Ley Orgánica Municipal</w:t>
            </w:r>
          </w:p>
        </w:tc>
        <w:tc>
          <w:tcPr>
            <w:tcW w:w="2943" w:type="dxa"/>
            <w:shd w:val="clear" w:color="auto" w:fill="538135"/>
          </w:tcPr>
          <w:p w:rsidR="00A64515" w:rsidRDefault="00F50B90">
            <w:pPr>
              <w:spacing w:before="240" w:after="240"/>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color w:val="FFFFFF"/>
                <w:sz w:val="22"/>
                <w:szCs w:val="22"/>
              </w:rPr>
              <w:t>Denominación del cargo conforme al Bando Municipal 2022</w:t>
            </w:r>
          </w:p>
        </w:tc>
        <w:tc>
          <w:tcPr>
            <w:tcW w:w="2943" w:type="dxa"/>
            <w:shd w:val="clear" w:color="auto" w:fill="538135"/>
          </w:tcPr>
          <w:p w:rsidR="00A64515" w:rsidRDefault="00F50B90">
            <w:pPr>
              <w:spacing w:before="240" w:after="240"/>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color w:val="FFFFFF"/>
                <w:sz w:val="22"/>
                <w:szCs w:val="22"/>
              </w:rPr>
              <w:t>Requisito conforme a la Ley Orgánica Municipal</w:t>
            </w:r>
          </w:p>
        </w:tc>
      </w:tr>
      <w:tr w:rsidR="00A64515">
        <w:tc>
          <w:tcPr>
            <w:tcW w:w="2942" w:type="dxa"/>
          </w:tcPr>
          <w:p w:rsidR="00A64515" w:rsidRDefault="00F50B90">
            <w:pPr>
              <w:spacing w:before="240" w:after="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Secretario</w:t>
            </w:r>
          </w:p>
        </w:tc>
        <w:tc>
          <w:tcPr>
            <w:tcW w:w="2943" w:type="dxa"/>
          </w:tcPr>
          <w:p w:rsidR="00A64515" w:rsidRDefault="00F50B90">
            <w:pP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Secretaría del Ayuntamiento</w:t>
            </w:r>
          </w:p>
        </w:tc>
        <w:tc>
          <w:tcPr>
            <w:tcW w:w="2943" w:type="dxa"/>
          </w:tcPr>
          <w:p w:rsidR="00A64515" w:rsidRDefault="00F50B90">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sz w:val="20"/>
                <w:szCs w:val="20"/>
              </w:rPr>
              <w:t xml:space="preserve">Contar con la certificación de competencia laboral </w:t>
            </w:r>
            <w:r>
              <w:rPr>
                <w:rFonts w:ascii="Palatino Linotype" w:eastAsia="Palatino Linotype" w:hAnsi="Palatino Linotype" w:cs="Palatino Linotype"/>
                <w:i/>
                <w:color w:val="000000"/>
                <w:sz w:val="20"/>
                <w:szCs w:val="20"/>
              </w:rPr>
              <w:t xml:space="preserve">en la materia,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 </w:t>
            </w:r>
            <w:r>
              <w:rPr>
                <w:rFonts w:ascii="Palatino Linotype" w:eastAsia="Palatino Linotype" w:hAnsi="Palatino Linotype" w:cs="Palatino Linotype"/>
                <w:b/>
                <w:i/>
                <w:color w:val="000000"/>
                <w:sz w:val="20"/>
                <w:szCs w:val="20"/>
              </w:rPr>
              <w:t>dentro de los seis meses siguientes a la fecha en que inicie funciones</w:t>
            </w:r>
            <w:r>
              <w:rPr>
                <w:rFonts w:ascii="Palatino Linotype" w:eastAsia="Palatino Linotype" w:hAnsi="Palatino Linotype" w:cs="Palatino Linotype"/>
                <w:i/>
                <w:color w:val="000000"/>
                <w:sz w:val="20"/>
                <w:szCs w:val="20"/>
              </w:rPr>
              <w:t>.</w:t>
            </w:r>
          </w:p>
        </w:tc>
      </w:tr>
      <w:tr w:rsidR="00A64515">
        <w:tc>
          <w:tcPr>
            <w:tcW w:w="2942" w:type="dxa"/>
          </w:tcPr>
          <w:p w:rsidR="00A64515" w:rsidRDefault="00F50B90">
            <w:pPr>
              <w:spacing w:before="240" w:after="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Tesorero</w:t>
            </w:r>
          </w:p>
        </w:tc>
        <w:tc>
          <w:tcPr>
            <w:tcW w:w="2943" w:type="dxa"/>
          </w:tcPr>
          <w:p w:rsidR="00A64515" w:rsidRDefault="00F50B90">
            <w:pP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Tesorería Municipal</w:t>
            </w:r>
          </w:p>
        </w:tc>
        <w:tc>
          <w:tcPr>
            <w:tcW w:w="2943" w:type="dxa"/>
          </w:tcPr>
          <w:p w:rsidR="00A64515" w:rsidRDefault="00F50B90">
            <w:pPr>
              <w:spacing w:before="240" w:after="24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sz w:val="20"/>
                <w:szCs w:val="20"/>
              </w:rPr>
              <w:t xml:space="preserve">Tener los conocimientos suficientes para poder desempeñar el cargo, a juicio del Ayuntamiento; </w:t>
            </w:r>
            <w:r>
              <w:rPr>
                <w:rFonts w:ascii="Palatino Linotype" w:eastAsia="Palatino Linotype" w:hAnsi="Palatino Linotype" w:cs="Palatino Linotype"/>
                <w:b/>
                <w:i/>
                <w:color w:val="000000"/>
                <w:sz w:val="20"/>
                <w:szCs w:val="20"/>
              </w:rPr>
              <w:t>contar con título profesional en las áreas jurídicas, económicas o contables</w:t>
            </w:r>
            <w:r>
              <w:rPr>
                <w:rFonts w:ascii="Palatino Linotype" w:eastAsia="Palatino Linotype" w:hAnsi="Palatino Linotype" w:cs="Palatino Linotype"/>
                <w:i/>
                <w:color w:val="000000"/>
                <w:sz w:val="20"/>
                <w:szCs w:val="20"/>
              </w:rPr>
              <w:t xml:space="preserve"> administrativas, </w:t>
            </w:r>
            <w:r>
              <w:rPr>
                <w:rFonts w:ascii="Palatino Linotype" w:eastAsia="Palatino Linotype" w:hAnsi="Palatino Linotype" w:cs="Palatino Linotype"/>
                <w:b/>
                <w:i/>
                <w:color w:val="000000"/>
                <w:sz w:val="20"/>
                <w:szCs w:val="20"/>
              </w:rPr>
              <w:t>con experiencia mínima de un año</w:t>
            </w:r>
            <w:r>
              <w:rPr>
                <w:rFonts w:ascii="Palatino Linotype" w:eastAsia="Palatino Linotype" w:hAnsi="Palatino Linotype" w:cs="Palatino Linotype"/>
                <w:i/>
                <w:color w:val="000000"/>
                <w:sz w:val="20"/>
                <w:szCs w:val="20"/>
              </w:rPr>
              <w:t xml:space="preserve">, con anterioridad a la fecha de su designación, </w:t>
            </w:r>
            <w:r>
              <w:rPr>
                <w:rFonts w:ascii="Palatino Linotype" w:eastAsia="Palatino Linotype" w:hAnsi="Palatino Linotype" w:cs="Palatino Linotype"/>
                <w:b/>
                <w:i/>
                <w:color w:val="000000"/>
                <w:sz w:val="20"/>
                <w:szCs w:val="20"/>
              </w:rPr>
              <w:t xml:space="preserve">y con certificación de competencia laboral </w:t>
            </w:r>
            <w:r>
              <w:rPr>
                <w:rFonts w:ascii="Palatino Linotype" w:eastAsia="Palatino Linotype" w:hAnsi="Palatino Linotype" w:cs="Palatino Linotype"/>
                <w:i/>
                <w:color w:val="000000"/>
                <w:sz w:val="20"/>
                <w:szCs w:val="20"/>
              </w:rPr>
              <w:t xml:space="preserve">en funciones expedida por el Instituto Hacendario del Estado de México o por alguna institución con reconocimiento de validez oficial, que asegure los conocimientos y habilidades para desempeñar el cargo, de conformidad con los aspectos técnicos y operativos aplicables al Estado de México; </w:t>
            </w:r>
            <w:r>
              <w:rPr>
                <w:rFonts w:ascii="Palatino Linotype" w:eastAsia="Palatino Linotype" w:hAnsi="Palatino Linotype" w:cs="Palatino Linotype"/>
                <w:b/>
                <w:i/>
                <w:color w:val="000000"/>
                <w:sz w:val="20"/>
                <w:szCs w:val="20"/>
              </w:rPr>
              <w:t xml:space="preserve">El requisito de la certificación de </w:t>
            </w:r>
            <w:r>
              <w:rPr>
                <w:rFonts w:ascii="Palatino Linotype" w:eastAsia="Palatino Linotype" w:hAnsi="Palatino Linotype" w:cs="Palatino Linotype"/>
                <w:b/>
                <w:i/>
                <w:color w:val="000000"/>
                <w:sz w:val="20"/>
                <w:szCs w:val="20"/>
              </w:rPr>
              <w:lastRenderedPageBreak/>
              <w:t>competencia laboral, deberá acreditarse dentro de los seis meses siguientes a la fecha en que inicie funciones.</w:t>
            </w:r>
          </w:p>
        </w:tc>
      </w:tr>
      <w:tr w:rsidR="00A64515">
        <w:tc>
          <w:tcPr>
            <w:tcW w:w="2942" w:type="dxa"/>
          </w:tcPr>
          <w:p w:rsidR="00A64515" w:rsidRDefault="00F50B90">
            <w:pPr>
              <w:spacing w:before="240" w:after="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Director de Obras Públicas</w:t>
            </w:r>
          </w:p>
        </w:tc>
        <w:tc>
          <w:tcPr>
            <w:tcW w:w="2943" w:type="dxa"/>
          </w:tcPr>
          <w:p w:rsidR="00A64515" w:rsidRDefault="00F50B90">
            <w:pP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Dirección de Obras Públicas</w:t>
            </w:r>
          </w:p>
        </w:tc>
        <w:tc>
          <w:tcPr>
            <w:tcW w:w="2943" w:type="dxa"/>
          </w:tcPr>
          <w:p w:rsidR="00A64515" w:rsidRDefault="00F50B90">
            <w:pPr>
              <w:spacing w:before="240" w:after="24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 xml:space="preserve">El Director de Obras Públicas o Titular de la Unidad Administrativa equivalente, además de los requisitos del artículo 32 de esta Ley, </w:t>
            </w:r>
            <w:r>
              <w:rPr>
                <w:rFonts w:ascii="Palatino Linotype" w:eastAsia="Palatino Linotype" w:hAnsi="Palatino Linotype" w:cs="Palatino Linotype"/>
                <w:b/>
                <w:i/>
                <w:color w:val="000000"/>
                <w:sz w:val="20"/>
                <w:szCs w:val="20"/>
              </w:rPr>
              <w:t>requiere contar con título profesional en ingeniería, arquitectura o alguna área afín, o contar con una experiencia mínima de un año, con anterioridad a la fecha de su designación.</w:t>
            </w:r>
          </w:p>
          <w:p w:rsidR="00A64515" w:rsidRDefault="00F50B90">
            <w:pPr>
              <w:spacing w:before="240" w:after="24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0"/>
                <w:szCs w:val="20"/>
              </w:rPr>
              <w:t xml:space="preserve">Además, deberá acreditar, dentro de los seis meses siguientes a la fecha en que inicie funciones, la certificación de competencia laboral </w:t>
            </w:r>
            <w:r>
              <w:rPr>
                <w:rFonts w:ascii="Palatino Linotype" w:eastAsia="Palatino Linotype" w:hAnsi="Palatino Linotype" w:cs="Palatino Linotype"/>
                <w:i/>
                <w:color w:val="000000"/>
                <w:sz w:val="20"/>
                <w:szCs w:val="20"/>
              </w:rPr>
              <w:t>expedida por el Instituto Hacendario delEstado de México o por alguna otra institución con reconocimiento de validez oficial, que asegure los conocimientos y habilidades para desempeñar el cargo, de conformidad con los aspectos técnicos y operativos aplicables al Estado de México.</w:t>
            </w:r>
          </w:p>
        </w:tc>
      </w:tr>
      <w:tr w:rsidR="00A64515">
        <w:tc>
          <w:tcPr>
            <w:tcW w:w="2942" w:type="dxa"/>
          </w:tcPr>
          <w:p w:rsidR="00A64515" w:rsidRDefault="00F50B90">
            <w:pPr>
              <w:spacing w:before="240" w:after="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Director de Desarrollo Económico</w:t>
            </w:r>
          </w:p>
        </w:tc>
        <w:tc>
          <w:tcPr>
            <w:tcW w:w="2943" w:type="dxa"/>
          </w:tcPr>
          <w:p w:rsidR="00A64515" w:rsidRDefault="00F50B90">
            <w:pP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Dirección de Desarrollo Económico</w:t>
            </w:r>
          </w:p>
        </w:tc>
        <w:tc>
          <w:tcPr>
            <w:tcW w:w="2943" w:type="dxa"/>
          </w:tcPr>
          <w:p w:rsidR="00A64515" w:rsidRDefault="00F50B90">
            <w:pPr>
              <w:spacing w:before="240" w:after="240"/>
              <w:jc w:val="both"/>
              <w:rPr>
                <w:rFonts w:ascii="Palatino Linotype" w:eastAsia="Palatino Linotype" w:hAnsi="Palatino Linotype" w:cs="Palatino Linotype"/>
                <w:b/>
                <w:i/>
                <w:color w:val="000000"/>
                <w:sz w:val="20"/>
                <w:szCs w:val="20"/>
              </w:rPr>
            </w:pPr>
            <w:r>
              <w:rPr>
                <w:rFonts w:ascii="Palatino Linotype" w:eastAsia="Palatino Linotype" w:hAnsi="Palatino Linotype" w:cs="Palatino Linotype"/>
                <w:i/>
                <w:color w:val="000000"/>
                <w:sz w:val="20"/>
                <w:szCs w:val="20"/>
              </w:rPr>
              <w:t xml:space="preserve">El Director de Desarrollo Económico o Titular de la Unidad Administrativa equivalente, además de los requisitos del artículo 32 de esta Ley, </w:t>
            </w:r>
            <w:r>
              <w:rPr>
                <w:rFonts w:ascii="Palatino Linotype" w:eastAsia="Palatino Linotype" w:hAnsi="Palatino Linotype" w:cs="Palatino Linotype"/>
                <w:b/>
                <w:i/>
                <w:color w:val="000000"/>
                <w:sz w:val="20"/>
                <w:szCs w:val="20"/>
              </w:rPr>
              <w:t xml:space="preserve">requiere contar con título profesional en el área económico-administrativa o contar con experiencia mínima de un año, </w:t>
            </w:r>
            <w:r>
              <w:rPr>
                <w:rFonts w:ascii="Palatino Linotype" w:eastAsia="Palatino Linotype" w:hAnsi="Palatino Linotype" w:cs="Palatino Linotype"/>
                <w:b/>
                <w:i/>
                <w:color w:val="000000"/>
                <w:sz w:val="20"/>
                <w:szCs w:val="20"/>
              </w:rPr>
              <w:lastRenderedPageBreak/>
              <w:t>con anterioridad a la fecha de su designación.</w:t>
            </w:r>
          </w:p>
          <w:p w:rsidR="00A64515" w:rsidRDefault="00F50B90">
            <w:pPr>
              <w:spacing w:before="240" w:after="24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b/>
                <w:i/>
                <w:color w:val="000000"/>
                <w:sz w:val="20"/>
                <w:szCs w:val="20"/>
              </w:rPr>
              <w:t xml:space="preserve">Además, deberá acreditar, dentro de los seis meses siguientes a la fecha en que inicie funciones, la certificación de competencia laboral </w:t>
            </w:r>
            <w:r>
              <w:rPr>
                <w:rFonts w:ascii="Palatino Linotype" w:eastAsia="Palatino Linotype" w:hAnsi="Palatino Linotype" w:cs="Palatino Linotype"/>
                <w:i/>
                <w:color w:val="000000"/>
                <w:sz w:val="20"/>
                <w:szCs w:val="20"/>
              </w:rPr>
              <w:t>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tc>
      </w:tr>
      <w:tr w:rsidR="00A64515">
        <w:tc>
          <w:tcPr>
            <w:tcW w:w="2942" w:type="dxa"/>
          </w:tcPr>
          <w:p w:rsidR="00A64515" w:rsidRDefault="00F50B90">
            <w:pPr>
              <w:spacing w:before="240" w:after="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Director de Turismo</w:t>
            </w:r>
          </w:p>
        </w:tc>
        <w:tc>
          <w:tcPr>
            <w:tcW w:w="2943" w:type="dxa"/>
          </w:tcPr>
          <w:p w:rsidR="00A64515" w:rsidRDefault="00F50B90">
            <w:pP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Jefatura de Turismo</w:t>
            </w:r>
          </w:p>
        </w:tc>
        <w:tc>
          <w:tcPr>
            <w:tcW w:w="2943" w:type="dxa"/>
          </w:tcPr>
          <w:p w:rsidR="00A64515" w:rsidRDefault="00F50B90">
            <w:pPr>
              <w:spacing w:before="240" w:after="240"/>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 xml:space="preserve">El Director de Turismo, además de los requisitos establecidos en el artículo 32 de esta Ley, </w:t>
            </w:r>
            <w:r>
              <w:rPr>
                <w:rFonts w:ascii="Palatino Linotype" w:eastAsia="Palatino Linotype" w:hAnsi="Palatino Linotype" w:cs="Palatino Linotype"/>
                <w:b/>
                <w:i/>
                <w:color w:val="000000"/>
                <w:sz w:val="20"/>
                <w:szCs w:val="20"/>
              </w:rPr>
              <w:t>requiere contar con título profesional en el área de turismo o afín</w:t>
            </w:r>
            <w:r>
              <w:rPr>
                <w:rFonts w:ascii="Palatino Linotype" w:eastAsia="Palatino Linotype" w:hAnsi="Palatino Linotype" w:cs="Palatino Linotype"/>
                <w:i/>
                <w:color w:val="000000"/>
                <w:sz w:val="20"/>
                <w:szCs w:val="20"/>
              </w:rPr>
              <w:t>.</w:t>
            </w:r>
          </w:p>
        </w:tc>
      </w:tr>
      <w:tr w:rsidR="00A64515">
        <w:tc>
          <w:tcPr>
            <w:tcW w:w="2942" w:type="dxa"/>
          </w:tcPr>
          <w:p w:rsidR="00A64515" w:rsidRDefault="00F50B90">
            <w:pPr>
              <w:spacing w:before="240" w:after="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Coordinador General Municipal de Mejora Regulatoria</w:t>
            </w:r>
          </w:p>
        </w:tc>
        <w:tc>
          <w:tcPr>
            <w:tcW w:w="2943" w:type="dxa"/>
          </w:tcPr>
          <w:p w:rsidR="00A64515" w:rsidRDefault="00F50B90">
            <w:pP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Coordinador General Municipal de Mejora Regulatoria</w:t>
            </w:r>
          </w:p>
        </w:tc>
        <w:tc>
          <w:tcPr>
            <w:tcW w:w="2943" w:type="dxa"/>
          </w:tcPr>
          <w:p w:rsidR="00A64515" w:rsidRDefault="00F50B90">
            <w:pPr>
              <w:spacing w:before="240" w:after="240"/>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sz w:val="20"/>
                <w:szCs w:val="20"/>
              </w:rPr>
              <w:t xml:space="preserve">El Coordinador General Municipal de Mejora Regulatoria, además de los requisitos establecidos en el artículo 32 de esta Ley, </w:t>
            </w:r>
            <w:r>
              <w:rPr>
                <w:rFonts w:ascii="Palatino Linotype" w:eastAsia="Palatino Linotype" w:hAnsi="Palatino Linotype" w:cs="Palatino Linotype"/>
                <w:b/>
                <w:i/>
                <w:color w:val="000000"/>
                <w:sz w:val="20"/>
                <w:szCs w:val="20"/>
              </w:rPr>
              <w:t>requiere contar con título profesional,</w:t>
            </w:r>
            <w:r>
              <w:rPr>
                <w:rFonts w:ascii="Palatino Linotype" w:eastAsia="Palatino Linotype" w:hAnsi="Palatino Linotype" w:cs="Palatino Linotype"/>
                <w:i/>
                <w:color w:val="000000"/>
                <w:sz w:val="20"/>
                <w:szCs w:val="20"/>
              </w:rPr>
              <w:t xml:space="preserve"> </w:t>
            </w:r>
            <w:r>
              <w:rPr>
                <w:rFonts w:ascii="Palatino Linotype" w:eastAsia="Palatino Linotype" w:hAnsi="Palatino Linotype" w:cs="Palatino Linotype"/>
                <w:b/>
                <w:i/>
                <w:color w:val="000000"/>
                <w:sz w:val="20"/>
                <w:szCs w:val="20"/>
              </w:rPr>
              <w:t xml:space="preserve">además deberá acreditar, dentro de los seis meses siguientes a la fecha en que inicie sus funciones, el diplomado en materia de mejora regulatoria </w:t>
            </w:r>
            <w:r>
              <w:rPr>
                <w:rFonts w:ascii="Palatino Linotype" w:eastAsia="Palatino Linotype" w:hAnsi="Palatino Linotype" w:cs="Palatino Linotype"/>
                <w:i/>
                <w:color w:val="000000"/>
                <w:sz w:val="20"/>
                <w:szCs w:val="20"/>
              </w:rPr>
              <w:t xml:space="preserve">expedido por el Instituto de Profesionalización de los Servidores Públicos del Estado de México </w:t>
            </w:r>
            <w:r>
              <w:rPr>
                <w:rFonts w:ascii="Palatino Linotype" w:eastAsia="Palatino Linotype" w:hAnsi="Palatino Linotype" w:cs="Palatino Linotype"/>
                <w:b/>
                <w:i/>
                <w:color w:val="000000"/>
                <w:sz w:val="20"/>
                <w:szCs w:val="20"/>
              </w:rPr>
              <w:t xml:space="preserve">o la certificación de competencia laboral </w:t>
            </w:r>
            <w:r>
              <w:rPr>
                <w:rFonts w:ascii="Palatino Linotype" w:eastAsia="Palatino Linotype" w:hAnsi="Palatino Linotype" w:cs="Palatino Linotype"/>
                <w:i/>
                <w:color w:val="000000"/>
                <w:sz w:val="20"/>
                <w:szCs w:val="20"/>
              </w:rPr>
              <w:t xml:space="preserve">expedida por el Instituto Hacendario del Estado de México o por alguna otra institución con </w:t>
            </w:r>
            <w:r>
              <w:rPr>
                <w:rFonts w:ascii="Palatino Linotype" w:eastAsia="Palatino Linotype" w:hAnsi="Palatino Linotype" w:cs="Palatino Linotype"/>
                <w:i/>
                <w:color w:val="000000"/>
                <w:sz w:val="20"/>
                <w:szCs w:val="20"/>
              </w:rPr>
              <w:lastRenderedPageBreak/>
              <w:t>reconocimiento de validez oficial, que asegure los conocimientos y habilidades para desempeñar el cargo, de conformidad con los aspectos técnicos y operativos aplicables al Estado de México.</w:t>
            </w:r>
          </w:p>
        </w:tc>
      </w:tr>
      <w:tr w:rsidR="00A64515">
        <w:tc>
          <w:tcPr>
            <w:tcW w:w="2942" w:type="dxa"/>
          </w:tcPr>
          <w:p w:rsidR="00A64515" w:rsidRDefault="00F50B90">
            <w:pPr>
              <w:spacing w:before="240" w:after="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Director de Ecología</w:t>
            </w:r>
          </w:p>
        </w:tc>
        <w:tc>
          <w:tcPr>
            <w:tcW w:w="2943" w:type="dxa"/>
          </w:tcPr>
          <w:p w:rsidR="00A64515" w:rsidRDefault="00F50B90">
            <w:pP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Dirección de Ecología y Medio Ambiente o unidad equivalente</w:t>
            </w:r>
          </w:p>
        </w:tc>
        <w:tc>
          <w:tcPr>
            <w:tcW w:w="2943" w:type="dxa"/>
          </w:tcPr>
          <w:p w:rsidR="00A64515" w:rsidRDefault="00F50B90">
            <w:pPr>
              <w:spacing w:before="240" w:after="240"/>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sz w:val="20"/>
                <w:szCs w:val="20"/>
              </w:rPr>
              <w:t xml:space="preserve">El Director de Ecología o el Titular de la Unidad Administrativa equivalente, además de los requisitos establecidos en el artículo 32 de esta Ley, </w:t>
            </w:r>
            <w:r>
              <w:rPr>
                <w:rFonts w:ascii="Palatino Linotype" w:eastAsia="Palatino Linotype" w:hAnsi="Palatino Linotype" w:cs="Palatino Linotype"/>
                <w:b/>
                <w:i/>
                <w:color w:val="000000"/>
                <w:sz w:val="20"/>
                <w:szCs w:val="20"/>
              </w:rPr>
              <w:t xml:space="preserve">requiere contar con título profesional en el área de biología-agronomía-administración pública o afín, o contar con una experiencia mínima de un año, con anterioridad a la fecha de su designación; además deberá acreditar, dentro de los seis meses siguientes a la fecha en que inicie sus funciones, la certificación de competencia laboral </w:t>
            </w:r>
            <w:r>
              <w:rPr>
                <w:rFonts w:ascii="Palatino Linotype" w:eastAsia="Palatino Linotype" w:hAnsi="Palatino Linotype" w:cs="Palatino Linotype"/>
                <w:i/>
                <w:color w:val="000000"/>
                <w:sz w:val="20"/>
                <w:szCs w:val="20"/>
              </w:rPr>
              <w:t>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tc>
      </w:tr>
      <w:tr w:rsidR="00A64515">
        <w:tc>
          <w:tcPr>
            <w:tcW w:w="2942" w:type="dxa"/>
          </w:tcPr>
          <w:p w:rsidR="00A64515" w:rsidRDefault="00F50B90">
            <w:pPr>
              <w:spacing w:before="240" w:after="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t>Director de Desarrollo Urbano</w:t>
            </w:r>
          </w:p>
        </w:tc>
        <w:tc>
          <w:tcPr>
            <w:tcW w:w="2943" w:type="dxa"/>
          </w:tcPr>
          <w:p w:rsidR="00A64515" w:rsidRDefault="00F50B90">
            <w:pP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Dirección de Desarrollo Urbano</w:t>
            </w:r>
          </w:p>
        </w:tc>
        <w:tc>
          <w:tcPr>
            <w:tcW w:w="2943" w:type="dxa"/>
          </w:tcPr>
          <w:p w:rsidR="00A64515" w:rsidRDefault="00F50B90">
            <w:pPr>
              <w:spacing w:before="240" w:after="240"/>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sz w:val="20"/>
                <w:szCs w:val="20"/>
              </w:rPr>
              <w:t xml:space="preserve">El Director de Desarrollo Urbano o el Titular de la Unidad Administrativa equivalente, además de los requisitos establecidos en el artículo 32 de esta Ley, </w:t>
            </w:r>
            <w:r>
              <w:rPr>
                <w:rFonts w:ascii="Palatino Linotype" w:eastAsia="Palatino Linotype" w:hAnsi="Palatino Linotype" w:cs="Palatino Linotype"/>
                <w:b/>
                <w:i/>
                <w:color w:val="000000"/>
                <w:sz w:val="20"/>
                <w:szCs w:val="20"/>
              </w:rPr>
              <w:t xml:space="preserve">requiere contar con título profesional en el área de ingeniería civil-arquitectura o </w:t>
            </w:r>
            <w:r>
              <w:rPr>
                <w:rFonts w:ascii="Palatino Linotype" w:eastAsia="Palatino Linotype" w:hAnsi="Palatino Linotype" w:cs="Palatino Linotype"/>
                <w:b/>
                <w:i/>
                <w:color w:val="000000"/>
                <w:sz w:val="20"/>
                <w:szCs w:val="20"/>
              </w:rPr>
              <w:lastRenderedPageBreak/>
              <w:t>afín, o contar con una experiencia mínima de un año, con anterioridad a la fecha de su designación; además deberá acreditar,</w:t>
            </w:r>
            <w:r>
              <w:rPr>
                <w:rFonts w:ascii="Palatino Linotype" w:eastAsia="Palatino Linotype" w:hAnsi="Palatino Linotype" w:cs="Palatino Linotype"/>
                <w:i/>
                <w:color w:val="000000"/>
                <w:sz w:val="20"/>
                <w:szCs w:val="20"/>
              </w:rPr>
              <w:t xml:space="preserve"> </w:t>
            </w:r>
            <w:r>
              <w:rPr>
                <w:rFonts w:ascii="Palatino Linotype" w:eastAsia="Palatino Linotype" w:hAnsi="Palatino Linotype" w:cs="Palatino Linotype"/>
                <w:b/>
                <w:i/>
                <w:color w:val="000000"/>
                <w:sz w:val="20"/>
                <w:szCs w:val="20"/>
              </w:rPr>
              <w:t xml:space="preserve">dentro de los seis meses siguientes a la fecha en que inicie sus funciones, la certificación de competencia laboral </w:t>
            </w:r>
            <w:r>
              <w:rPr>
                <w:rFonts w:ascii="Palatino Linotype" w:eastAsia="Palatino Linotype" w:hAnsi="Palatino Linotype" w:cs="Palatino Linotype"/>
                <w:i/>
                <w:color w:val="000000"/>
                <w:sz w:val="20"/>
                <w:szCs w:val="20"/>
              </w:rPr>
              <w:t>expedida por el Instituto Hacendario del Estado de México</w:t>
            </w:r>
            <w:r>
              <w:rPr>
                <w:rFonts w:ascii="Palatino Linotype" w:eastAsia="Palatino Linotype" w:hAnsi="Palatino Linotype" w:cs="Palatino Linotype"/>
                <w:b/>
                <w:i/>
                <w:color w:val="000000"/>
                <w:sz w:val="20"/>
                <w:szCs w:val="20"/>
              </w:rPr>
              <w:t xml:space="preserve"> </w:t>
            </w:r>
            <w:r>
              <w:rPr>
                <w:rFonts w:ascii="Palatino Linotype" w:eastAsia="Palatino Linotype" w:hAnsi="Palatino Linotype" w:cs="Palatino Linotype"/>
                <w:i/>
                <w:color w:val="000000"/>
                <w:sz w:val="20"/>
                <w:szCs w:val="20"/>
              </w:rPr>
              <w:t>o por alguna otra institución con reconocimiento de validez oficial, que asegure los conocimientos y habilidades para desempeñar el cargo, de conformidad con los aspectos técnicos y operativos aplicables al Estado de México.</w:t>
            </w:r>
          </w:p>
        </w:tc>
      </w:tr>
      <w:tr w:rsidR="00A64515">
        <w:tc>
          <w:tcPr>
            <w:tcW w:w="2942" w:type="dxa"/>
          </w:tcPr>
          <w:p w:rsidR="00A64515" w:rsidRDefault="00F50B90">
            <w:pPr>
              <w:spacing w:before="240" w:after="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Director de Desarrollo Social</w:t>
            </w:r>
          </w:p>
        </w:tc>
        <w:tc>
          <w:tcPr>
            <w:tcW w:w="2943" w:type="dxa"/>
          </w:tcPr>
          <w:p w:rsidR="00A64515" w:rsidRDefault="00F50B90">
            <w:pP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Dirección de Desarrollo Social</w:t>
            </w:r>
          </w:p>
        </w:tc>
        <w:tc>
          <w:tcPr>
            <w:tcW w:w="2943" w:type="dxa"/>
          </w:tcPr>
          <w:p w:rsidR="00A64515" w:rsidRDefault="00F50B90">
            <w:pPr>
              <w:spacing w:before="240" w:after="240" w:line="276" w:lineRule="auto"/>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 xml:space="preserve">El Director de Desarrollo Social o el Titular de la Unidad Administrativa equivalente, además de los requisitos establecidos en el artículo 32 de esta Ley, </w:t>
            </w:r>
            <w:r>
              <w:rPr>
                <w:rFonts w:ascii="Palatino Linotype" w:eastAsia="Palatino Linotype" w:hAnsi="Palatino Linotype" w:cs="Palatino Linotype"/>
                <w:b/>
                <w:i/>
                <w:color w:val="000000"/>
                <w:sz w:val="20"/>
                <w:szCs w:val="20"/>
              </w:rPr>
              <w:t>requiere contar con título profesional en el área de Ciencias Sociales o a fin, o contar</w:t>
            </w:r>
            <w:r>
              <w:rPr>
                <w:rFonts w:ascii="Palatino Linotype" w:eastAsia="Palatino Linotype" w:hAnsi="Palatino Linotype" w:cs="Palatino Linotype"/>
                <w:i/>
                <w:color w:val="000000"/>
                <w:sz w:val="20"/>
                <w:szCs w:val="20"/>
              </w:rPr>
              <w:t xml:space="preserve"> </w:t>
            </w:r>
            <w:r>
              <w:rPr>
                <w:rFonts w:ascii="Palatino Linotype" w:eastAsia="Palatino Linotype" w:hAnsi="Palatino Linotype" w:cs="Palatino Linotype"/>
                <w:b/>
                <w:i/>
                <w:color w:val="000000"/>
                <w:sz w:val="20"/>
                <w:szCs w:val="20"/>
              </w:rPr>
              <w:t>con una experiencia mínima de un año en la materia, con anterioridad a la fecha de su designación.</w:t>
            </w:r>
          </w:p>
        </w:tc>
      </w:tr>
    </w:tbl>
    <w:p w:rsidR="00A64515" w:rsidRDefault="00F50B90">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Como bien se desprende del cuadro anterior, la Ley determina los cargos que necesitan acreditar una certificación por parte del Instituto Hacendario del Estado de México (IHAEM), misma que deberá expedirse dentro del periodo de seis meses posterior al inicio de sus funciones, es decir que los nuevos servidores públicos cuentan con seis meses para certificarse. </w:t>
      </w:r>
    </w:p>
    <w:p w:rsidR="00A64515" w:rsidRDefault="00F50B90">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En ese sentido, es de recordar que a través de la Comisión Certificadora de Competencia Laboral de los Servidores Públicos del Estado de México (COCERTEM) que el IHAEM certifica a los servidores públicos mencionados con anterioridad, para ello es importante mencionar que la certificación de competencia laboral requerida es el proceso mediante el cual un organismo acreditado, reconoce que una persona ha demostrado su competencia, para desempeñar una función productiva determinada, con base en la Norma Institucional de Competencia Laboral (NICL) aprobada, dicha norma describe lo que una persona es competente de saber y hacer en su función laboral</w:t>
      </w:r>
      <w:r>
        <w:rPr>
          <w:rFonts w:ascii="Palatino Linotype" w:eastAsia="Palatino Linotype" w:hAnsi="Palatino Linotype" w:cs="Palatino Linotype"/>
          <w:color w:val="000000"/>
          <w:vertAlign w:val="superscript"/>
        </w:rPr>
        <w:footnoteReference w:id="2"/>
      </w:r>
      <w:r>
        <w:rPr>
          <w:rFonts w:ascii="Palatino Linotype" w:eastAsia="Palatino Linotype" w:hAnsi="Palatino Linotype" w:cs="Palatino Linotype"/>
          <w:color w:val="000000"/>
        </w:rPr>
        <w:t xml:space="preserve">. </w:t>
      </w:r>
    </w:p>
    <w:p w:rsidR="00A64515" w:rsidRDefault="00F50B90">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Para al fin, la COCERTEM desarrolla planes de evaluación con los candidatos para establecer la fecha y hora en que se llevará a cabo el proceso de evaluación, indicándole los derechos y obligaciones correspondientes; además la evaluación se hace de tres tipos: evaluación de conocimientos, desempeño y productos; el primero de ellos se trata de un cuestionario que permite evaluar los conocimientos adquiridos, en la segunda fase se aplica una guía de observación que permite evaluar las habilidades, aptitudes y destrezas de un candidato para desempeñar alguna función productiva y en la tercera se aplica una lista de cotejo que permite evaluar los elementos que deben contener los papeles de trabajo establecidos en una Norma Institucional de Competencia Laboral, con la finalidad de obtener un certificado o documento emitido por la Comisión en el cual se manifiesta la competencia de una persona para desempeñar una función productiva, por cumplir los requisitos de una o algunas Normas de Competencia Laboral.</w:t>
      </w:r>
    </w:p>
    <w:p w:rsidR="00A64515" w:rsidRDefault="00F50B90">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 Para tales efectos, la COCERTEM ha desarrollado un calendario de evaluaciones aplicable para los meses de enero, febrero, marzo, abril, mayo y junio de dos mil veintidós, tomando en consideración que junio sería el último mes para que los nuevos servidores públicos obtengan la certificación correspondiente, por ello a manera de referencia se toma el siguiente extracto del calendario.</w:t>
      </w:r>
    </w:p>
    <w:p w:rsidR="00A64515" w:rsidRDefault="00F50B90" w:rsidP="00F50B90">
      <w:pPr>
        <w:spacing w:before="240" w:after="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drawing>
          <wp:inline distT="0" distB="0" distL="0" distR="0">
            <wp:extent cx="3771900" cy="575745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6022" cy="5763751"/>
                    </a:xfrm>
                    <a:prstGeom prst="rect">
                      <a:avLst/>
                    </a:prstGeom>
                    <a:noFill/>
                    <a:ln>
                      <a:noFill/>
                    </a:ln>
                  </pic:spPr>
                </pic:pic>
              </a:graphicData>
            </a:graphic>
          </wp:inline>
        </w:drawing>
      </w:r>
    </w:p>
    <w:p w:rsidR="00F50B90" w:rsidRDefault="00F50B90">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lastRenderedPageBreak/>
        <w:drawing>
          <wp:inline distT="0" distB="0" distL="0" distR="0">
            <wp:extent cx="5219700" cy="6610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9700" cy="6610350"/>
                    </a:xfrm>
                    <a:prstGeom prst="rect">
                      <a:avLst/>
                    </a:prstGeom>
                    <a:noFill/>
                    <a:ln>
                      <a:noFill/>
                    </a:ln>
                  </pic:spPr>
                </pic:pic>
              </a:graphicData>
            </a:graphic>
          </wp:inline>
        </w:drawing>
      </w:r>
    </w:p>
    <w:p w:rsidR="00F50B90" w:rsidRDefault="00F50B90">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lastRenderedPageBreak/>
        <w:drawing>
          <wp:inline distT="0" distB="0" distL="0" distR="0">
            <wp:extent cx="5153025" cy="66008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3025" cy="6600825"/>
                    </a:xfrm>
                    <a:prstGeom prst="rect">
                      <a:avLst/>
                    </a:prstGeom>
                    <a:noFill/>
                    <a:ln>
                      <a:noFill/>
                    </a:ln>
                  </pic:spPr>
                </pic:pic>
              </a:graphicData>
            </a:graphic>
          </wp:inline>
        </w:drawing>
      </w:r>
    </w:p>
    <w:p w:rsidR="00F50B90" w:rsidRDefault="00F50B90">
      <w:pPr>
        <w:spacing w:before="240" w:after="240" w:line="360" w:lineRule="auto"/>
        <w:jc w:val="both"/>
        <w:rPr>
          <w:rFonts w:ascii="Palatino Linotype" w:eastAsia="Palatino Linotype" w:hAnsi="Palatino Linotype" w:cs="Palatino Linotype"/>
          <w:color w:val="000000"/>
        </w:rPr>
      </w:pPr>
    </w:p>
    <w:p w:rsidR="00A64515" w:rsidRDefault="00F50B90">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lastRenderedPageBreak/>
        <mc:AlternateContent>
          <mc:Choice Requires="wps">
            <w:drawing>
              <wp:anchor distT="0" distB="0" distL="114300" distR="114300" simplePos="0" relativeHeight="251666432" behindDoc="0" locked="0" layoutInCell="1" allowOverlap="1">
                <wp:simplePos x="0" y="0"/>
                <wp:positionH relativeFrom="column">
                  <wp:posOffset>129540</wp:posOffset>
                </wp:positionH>
                <wp:positionV relativeFrom="paragraph">
                  <wp:posOffset>3345180</wp:posOffset>
                </wp:positionV>
                <wp:extent cx="5276850" cy="3943350"/>
                <wp:effectExtent l="0" t="0" r="19050" b="19050"/>
                <wp:wrapNone/>
                <wp:docPr id="4" name="Conector recto 4"/>
                <wp:cNvGraphicFramePr/>
                <a:graphic xmlns:a="http://schemas.openxmlformats.org/drawingml/2006/main">
                  <a:graphicData uri="http://schemas.microsoft.com/office/word/2010/wordprocessingShape">
                    <wps:wsp>
                      <wps:cNvCnPr/>
                      <wps:spPr>
                        <a:xfrm>
                          <a:off x="0" y="0"/>
                          <a:ext cx="5276850" cy="394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9DD5B1" id="Conector recto 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0.2pt,263.4pt" to="425.7pt,5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NNTtwEAALkDAAAOAAAAZHJzL2Uyb0RvYy54bWysU9uO0zAQfUfiHyy/06SXXZao6T50BS8I&#10;KhY+wOuMGwvfNDZN+veMnTaLACGEeLEz9jkzc44n2/vRGnYCjNq7li8XNWfgpO+0O7b8y+e3r+44&#10;i0m4ThjvoOVniPx+9/LFdggNrHzvTQfIKImLzRBa3qcUmqqKsgcr4sIHcHSpPFqRKMRj1aEYKLs1&#10;1aqub6vBYxfQS4iRTh+mS74r+ZUCmT4qFSEx03LqLZUVy/qU12q3Fc0RRei1vLQh/qELK7SjonOq&#10;B5EE+4b6l1RWS/TRq7SQ3lZeKS2haCA1y/onNY+9CFC0kDkxzDbF/5dWfjgdkOmu5RvOnLD0RHt6&#10;KJk8Mswb22SPhhAbgu7dAS9RDAfMgkeFNu8khY3F1/PsK4yJSTq8Wb2+vbsh+yXdrd9s1msKKE/1&#10;TA8Y0zvwluWPlhvtsnDRiNP7mCboFUK83M7UQPlKZwMZbNwnUCSGSi4Lu4wR7A2yk6AB6L4uL2UL&#10;MlOUNmYm1X8mXbCZBmW0/pY4o0tF79JMtNp5/F3VNF5bVRP+qnrSmmU/+e5cnqPYQfNRDL3Mch7A&#10;H+NCf/7jdt8BAAD//wMAUEsDBBQABgAIAAAAIQB5Xe5c3wAAAAsBAAAPAAAAZHJzL2Rvd25yZXYu&#10;eG1sTI/BTsMwDIbvSLxDZCRuLG21lao0naZJCHFBrIN71mRtIXGqJO3K22NO7Gj70+/vr7aLNWzW&#10;PgwOBaSrBJjG1qkBOwEfx+eHAliIEpU0DrWAHx1gW9/eVLJU7oIHPTexYxSCoZQC+hjHkvPQ9trK&#10;sHKjRrqdnbcy0ug7rry8ULg1PEuSnFs5IH3o5aj3vW6/m8kKMK9+/uz23S5ML4e8+Xo/Z2/HWYj7&#10;u2X3BCzqJf7D8KdP6lCT08lNqAIzArJkTaSATZZTBQKKTUqbE5Hp+rEAXlf8ukP9CwAA//8DAFBL&#10;AQItABQABgAIAAAAIQC2gziS/gAAAOEBAAATAAAAAAAAAAAAAAAAAAAAAABbQ29udGVudF9UeXBl&#10;c10ueG1sUEsBAi0AFAAGAAgAAAAhADj9If/WAAAAlAEAAAsAAAAAAAAAAAAAAAAALwEAAF9yZWxz&#10;Ly5yZWxzUEsBAi0AFAAGAAgAAAAhAHkY01O3AQAAuQMAAA4AAAAAAAAAAAAAAAAALgIAAGRycy9l&#10;Mm9Eb2MueG1sUEsBAi0AFAAGAAgAAAAhAHld7lzfAAAACwEAAA8AAAAAAAAAAAAAAAAAEQQAAGRy&#10;cy9kb3ducmV2LnhtbFBLBQYAAAAABAAEAPMAAAAdBQAAAAA=&#10;" strokecolor="black [3200]" strokeweight=".5pt">
                <v:stroke joinstyle="miter"/>
              </v:line>
            </w:pict>
          </mc:Fallback>
        </mc:AlternateContent>
      </w:r>
      <w:r>
        <w:rPr>
          <w:rFonts w:ascii="Palatino Linotype" w:eastAsia="Palatino Linotype" w:hAnsi="Palatino Linotype" w:cs="Palatino Linotype"/>
          <w:color w:val="000000"/>
        </w:rPr>
        <w:t xml:space="preserve">Como se puede observar de la imagen anterior, para el proceso de certificación de la COCERTEM se establecen seis convocatorias al año, en donde se dan </w:t>
      </w:r>
      <w:r>
        <w:rPr>
          <w:rFonts w:ascii="Palatino Linotype" w:eastAsia="Palatino Linotype" w:hAnsi="Palatino Linotype" w:cs="Palatino Linotype"/>
        </w:rPr>
        <w:t>distintas</w:t>
      </w:r>
      <w:r>
        <w:rPr>
          <w:rFonts w:ascii="Palatino Linotype" w:eastAsia="Palatino Linotype" w:hAnsi="Palatino Linotype" w:cs="Palatino Linotype"/>
          <w:color w:val="000000"/>
        </w:rPr>
        <w:t xml:space="preserve"> fechas para la certificación de los servidores públicos que vayan a desempeñarse en las funciones establecidas por la Ley Orgánica Municipal, por lo que al momento de emitir la presente resolución ya fue concluido el primer periodo y por ello solamente siguen abiertas de las convocatoria 2 a 6, por lo que los servidores públicos referidos en la solicitud, adscritos al Ayuntamiento de Atenco, aún se encuentran en tiempo de poder certificarse, toda vez que su toma de protesta se contabiliza desde el 2 de enero de 2022, ello encuentra sustento en la siguiente publicación realizada en la red social Facebook</w:t>
      </w:r>
      <w:r>
        <w:rPr>
          <w:rFonts w:ascii="Palatino Linotype" w:eastAsia="Palatino Linotype" w:hAnsi="Palatino Linotype" w:cs="Palatino Linotype"/>
          <w:color w:val="000000"/>
          <w:vertAlign w:val="superscript"/>
        </w:rPr>
        <w:footnoteReference w:id="3"/>
      </w:r>
      <w:r>
        <w:rPr>
          <w:rFonts w:ascii="Palatino Linotype" w:eastAsia="Palatino Linotype" w:hAnsi="Palatino Linotype" w:cs="Palatino Linotype"/>
          <w:color w:val="000000"/>
        </w:rPr>
        <w:t xml:space="preserve">,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la cual se inserta a continuación para mejor proveer del estudio:</w:t>
      </w:r>
    </w:p>
    <w:p w:rsidR="00A64515" w:rsidRDefault="00F50B90">
      <w:pPr>
        <w:spacing w:before="240" w:after="240"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lastRenderedPageBreak/>
        <w:drawing>
          <wp:inline distT="0" distB="0" distL="0" distR="0">
            <wp:extent cx="3264491" cy="3921253"/>
            <wp:effectExtent l="0" t="0" r="0" b="0"/>
            <wp:docPr id="6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3264491" cy="3921253"/>
                    </a:xfrm>
                    <a:prstGeom prst="rect">
                      <a:avLst/>
                    </a:prstGeom>
                    <a:ln/>
                  </pic:spPr>
                </pic:pic>
              </a:graphicData>
            </a:graphic>
          </wp:inline>
        </w:drawing>
      </w:r>
    </w:p>
    <w:p w:rsidR="00A64515" w:rsidRDefault="00F50B90">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el artículo 19 de la Ley Orgánica Municipal regula lo siguiente sobre la fecha de entrada en funciones de los titulares de las unidades que conformarán la administración pública municipal: </w:t>
      </w:r>
    </w:p>
    <w:p w:rsidR="00A64515" w:rsidRDefault="00F50B90">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19.- </w:t>
      </w:r>
      <w:r>
        <w:rPr>
          <w:rFonts w:ascii="Palatino Linotype" w:eastAsia="Palatino Linotype" w:hAnsi="Palatino Linotype" w:cs="Palatino Linotype"/>
          <w:b/>
          <w:i/>
          <w:color w:val="000000"/>
          <w:sz w:val="22"/>
          <w:szCs w:val="22"/>
          <w:u w:val="single"/>
        </w:rPr>
        <w:t>A las nueve horas del día 1 de enero del año inmediato siguiente a aquel en que se hayan efectuado las elecciones municipales, el ayuntamiento saliente dará posesión de las oficinas municipales a los miembros del ayuntamiento entrante, que hubieren rendido la protesta de ley</w:t>
      </w:r>
      <w:r>
        <w:rPr>
          <w:rFonts w:ascii="Palatino Linotype" w:eastAsia="Palatino Linotype" w:hAnsi="Palatino Linotype" w:cs="Palatino Linotype"/>
          <w:i/>
          <w:color w:val="000000"/>
          <w:sz w:val="22"/>
          <w:szCs w:val="22"/>
        </w:rPr>
        <w:t xml:space="preserve">, cuyo presidente municipal hará la siguiente declaratoria formal y solemne: “Queda legítimamente instalado el ayuntamiento del municipio de…, que deberá funcionar durante los años de…”. </w:t>
      </w:r>
    </w:p>
    <w:p w:rsidR="00A64515" w:rsidRDefault="00F50B90">
      <w:pPr>
        <w:spacing w:before="240" w:after="240" w:line="276" w:lineRule="auto"/>
        <w:ind w:left="567" w:right="900"/>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i/>
          <w:color w:val="000000"/>
          <w:sz w:val="22"/>
          <w:szCs w:val="22"/>
        </w:rPr>
        <w:t xml:space="preserve">La inasistencia de los integrantes del ayuntamiento saliente no será obstáculo para que se dé por instalado el entrante, sin perjuicio de las sanciones que establezcan las </w:t>
      </w:r>
      <w:r>
        <w:rPr>
          <w:rFonts w:ascii="Palatino Linotype" w:eastAsia="Palatino Linotype" w:hAnsi="Palatino Linotype" w:cs="Palatino Linotype"/>
          <w:i/>
          <w:color w:val="000000"/>
          <w:sz w:val="22"/>
          <w:szCs w:val="22"/>
        </w:rPr>
        <w:lastRenderedPageBreak/>
        <w:t xml:space="preserve">disposiciones jurídicas aplicables. </w:t>
      </w:r>
      <w:r>
        <w:rPr>
          <w:rFonts w:ascii="Palatino Linotype" w:eastAsia="Palatino Linotype" w:hAnsi="Palatino Linotype" w:cs="Palatino Linotype"/>
          <w:b/>
          <w:i/>
          <w:color w:val="000000"/>
          <w:sz w:val="22"/>
          <w:szCs w:val="22"/>
          <w:u w:val="single"/>
        </w:rPr>
        <w:t xml:space="preserve">A continuación se procederá a la suscripción de las actas y demás documentos relativos a la entrega-recepción de la administración municipal, con la participación de los miembros de los ayuntamientos y los titulares de sus dependencias administrativas salientes y entrantes, designados al efecto; la cual se realizará siguiendo los lineamientos, términos, instructivos, formatos, cédulas y demás documentación que disponga el Órgano Superior de Fiscalización del Estado de México, para el caso, misma que tendrá en ese acto, la intervención que establezcan las leyes. </w:t>
      </w:r>
    </w:p>
    <w:p w:rsidR="00A64515" w:rsidRDefault="00F50B90">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documentación que se señala anteriormente deberá ser conocida en la primera sesión de Cabildo por los integrantes del Ayuntamiento a los cuales se les entregará copia de la misma. El ayuntamiento saliente, a través del presidente municipal, presentará al ayuntamiento entrante, con una copia para la Legislatura, un documento que contenga sus observaciones, sugerencias y recomendaciones en relación a la administración y gobierno municipal.”</w:t>
      </w:r>
    </w:p>
    <w:p w:rsidR="00A64515" w:rsidRDefault="00F50B90">
      <w:pPr>
        <w:spacing w:before="240" w:after="240" w:line="360"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(Énfasis añadido)</w:t>
      </w:r>
    </w:p>
    <w:p w:rsidR="00A64515" w:rsidRDefault="00F50B90">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que en el caso particular, se tiene que los servidores públicos referidos en la solicitud tienen hasta el mes de julio para contar con las certificaciones correspondientes, esto en términos de la Ley Orgánica Municipal, por lo que </w:t>
      </w:r>
      <w:r>
        <w:rPr>
          <w:rFonts w:ascii="Palatino Linotype" w:eastAsia="Palatino Linotype" w:hAnsi="Palatino Linotype" w:cs="Palatino Linotype"/>
          <w:color w:val="000000"/>
          <w:sz w:val="22"/>
          <w:szCs w:val="22"/>
        </w:rPr>
        <w:t xml:space="preserve">se </w:t>
      </w:r>
      <w:r>
        <w:rPr>
          <w:rFonts w:ascii="Palatino Linotype" w:eastAsia="Palatino Linotype" w:hAnsi="Palatino Linotype" w:cs="Palatino Linotype"/>
          <w:color w:val="000000"/>
        </w:rPr>
        <w:t xml:space="preserve"> considera procedente ordenar la entrega de la certificación con la que cuenta al momento de la solicitud, es decir, la del Director de Obras Públicas, toda vez que las restantes aún no obran en sus archivos por encontrarse dentro del plazo legal para someterse a las evaluaciones y obtener este soporte documental.</w:t>
      </w:r>
    </w:p>
    <w:p w:rsidR="00A64515" w:rsidRDefault="00F50B90">
      <w:pPr>
        <w:spacing w:before="240" w:after="240" w:line="360" w:lineRule="auto"/>
        <w:jc w:val="both"/>
        <w:rPr>
          <w:rFonts w:ascii="Palatino Linotype" w:eastAsia="Palatino Linotype" w:hAnsi="Palatino Linotype" w:cs="Palatino Linotype"/>
          <w:color w:val="000000"/>
        </w:rPr>
      </w:pPr>
      <w:r>
        <w:rPr>
          <w:noProof/>
          <w:lang w:val="es-MX" w:eastAsia="es-MX"/>
        </w:rPr>
        <w:lastRenderedPageBreak/>
        <mc:AlternateContent>
          <mc:Choice Requires="wps">
            <w:drawing>
              <wp:anchor distT="0" distB="0" distL="114300" distR="114300" simplePos="0" relativeHeight="251661312" behindDoc="0" locked="0" layoutInCell="1" hidden="0" allowOverlap="1" wp14:anchorId="53D1EAEF" wp14:editId="372EC1A5">
                <wp:simplePos x="0" y="0"/>
                <wp:positionH relativeFrom="column">
                  <wp:posOffset>605790</wp:posOffset>
                </wp:positionH>
                <wp:positionV relativeFrom="paragraph">
                  <wp:posOffset>2116455</wp:posOffset>
                </wp:positionV>
                <wp:extent cx="4695825" cy="5372100"/>
                <wp:effectExtent l="0" t="0" r="28575" b="19050"/>
                <wp:wrapNone/>
                <wp:docPr id="53" name=""/>
                <wp:cNvGraphicFramePr/>
                <a:graphic xmlns:a="http://schemas.openxmlformats.org/drawingml/2006/main">
                  <a:graphicData uri="http://schemas.microsoft.com/office/word/2010/wordprocessingShape">
                    <wps:wsp>
                      <wps:cNvCnPr/>
                      <wps:spPr>
                        <a:xfrm>
                          <a:off x="0" y="0"/>
                          <a:ext cx="4695825" cy="5372100"/>
                        </a:xfrm>
                        <a:prstGeom prst="straightConnector1">
                          <a:avLst/>
                        </a:prstGeom>
                        <a:noFill/>
                        <a:ln w="9525" cap="flat" cmpd="sng">
                          <a:solidFill>
                            <a:schemeClr val="dk1"/>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61000FC5" id="_x0000_t32" coordsize="21600,21600" o:spt="32" o:oned="t" path="m,l21600,21600e" filled="f">
                <v:path arrowok="t" fillok="f" o:connecttype="none"/>
                <o:lock v:ext="edit" shapetype="t"/>
              </v:shapetype>
              <v:shape id="Conector recto de flecha 53" o:spid="_x0000_s1026" type="#_x0000_t32" style="position:absolute;margin-left:47.7pt;margin-top:166.65pt;width:369.75pt;height:4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4p6gEAAMYDAAAOAAAAZHJzL2Uyb0RvYy54bWysU9uOEzEMfUfiH6K805np0qVbdboPLcsL&#10;gkrAB3hz6UTkpjh02r/HyZQul4eVVsxDJrFj+/j4ZH1/cpYdVUITfM+7WcuZ8iJI4w89//b14c2S&#10;M8zgJdjgVc/PCvn95vWr9RhXah6GYKVKjJJ4XI2x50POcdU0KAblAGchKk9OHZKDTMd0aGSCkbI7&#10;28zb9rYZQ5IxBaEQybqbnHxT82utRP6sNarMbM8JW65rqutjWZvNGlaHBHEw4gIDXoDCgfFU9Jpq&#10;BxnYj2T+SeWMSAGDzjMRXBO0NkLVHqibrv2rmy8DRFV7IXIwXmnC/5dWfDruEzOy54sbzjw4mtGW&#10;JiVySCyVH5OKaavEAIyuEF9jxBWFbf0+XU4Y96k0f9LJlT+1xU6V4/OVY3XKTJDx7e3dYjlfcCbI&#10;t7h5N+/aOoXmKTwmzB9UcKxseo45gTkMmWBNuLrKNBw/YiYAFPgroNT24cFYW8dqPRt7freo1YDE&#10;pS1kKuwitYv+UNNgsEaWkBJcZae2NrEjkGDk9640TBX+uFXK7QCH6VJ1TTpyJpOYrXE9X7blm8yD&#10;AvneS5bPkdj1xC4vwNBxZhW9GtpUvBmMff4eobGeQJUxTMSX3WOQ5zqPaiexVNgXYRc1/n6u0U/P&#10;b/MTAAD//wMAUEsDBBQABgAIAAAAIQAGUOn33QAAAAsBAAAPAAAAZHJzL2Rvd25yZXYueG1sTI/B&#10;TsMwDIbvSLxDZCRuLB0pYy1NpwmJw04TgwdIG9NWNE7VZFn39pgT+Gb50+/vr3aLG0XCOQyeNKxX&#10;GQik1tuBOg2fH28PWxAhGrJm9IQarhhgV9/eVKa0/kLvmE6xExxCoTQa+hinUsrQ9uhMWPkJiW9f&#10;fnYm8jp30s7mwuFulI9ZtpHODMQfejPha4/t9+nsNOzToVNSHdN1oBzjZkwH3xy1vr9b9i8gIi7x&#10;D4ZffVaHmp0afyYbxKiheMqZ1KB4QDCwVXkBomFy/VwokHUl/3eofwAAAP//AwBQSwECLQAUAAYA&#10;CAAAACEAtoM4kv4AAADhAQAAEwAAAAAAAAAAAAAAAAAAAAAAW0NvbnRlbnRfVHlwZXNdLnhtbFBL&#10;AQItABQABgAIAAAAIQA4/SH/1gAAAJQBAAALAAAAAAAAAAAAAAAAAC8BAABfcmVscy8ucmVsc1BL&#10;AQItABQABgAIAAAAIQBr+K4p6gEAAMYDAAAOAAAAAAAAAAAAAAAAAC4CAABkcnMvZTJvRG9jLnht&#10;bFBLAQItABQABgAIAAAAIQAGUOn33QAAAAsBAAAPAAAAAAAAAAAAAAAAAEQEAABkcnMvZG93bnJl&#10;di54bWxQSwUGAAAAAAQABADzAAAATgUAAAAA&#10;" strokecolor="black [3200]">
                <v:stroke startarrowwidth="narrow" startarrowlength="short" endarrowwidth="narrow" endarrowlength="short" joinstyle="miter"/>
              </v:shape>
            </w:pict>
          </mc:Fallback>
        </mc:AlternateContent>
      </w:r>
      <w:r>
        <w:rPr>
          <w:rFonts w:ascii="Palatino Linotype" w:eastAsia="Palatino Linotype" w:hAnsi="Palatino Linotype" w:cs="Palatino Linotype"/>
          <w:color w:val="000000"/>
        </w:rPr>
        <w:t xml:space="preserve">Ahora bien, debemos resaltar que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xml:space="preserve">, turnó mediante el Sistema de Acceso a la Información Mexiquense (SAIMEX), la presente solicitud a la Jefa de Recursos Humanos, sirven de sustento las siguientes capturas de pantalla. </w:t>
      </w:r>
      <w:r>
        <w:rPr>
          <w:noProof/>
          <w:lang w:val="es-MX" w:eastAsia="es-MX"/>
        </w:rPr>
        <w:drawing>
          <wp:anchor distT="0" distB="0" distL="114300" distR="114300" simplePos="0" relativeHeight="251660288" behindDoc="0" locked="0" layoutInCell="1" hidden="0" allowOverlap="1" wp14:anchorId="1C5097BA" wp14:editId="5AD98A38">
            <wp:simplePos x="0" y="0"/>
            <wp:positionH relativeFrom="column">
              <wp:posOffset>-737869</wp:posOffset>
            </wp:positionH>
            <wp:positionV relativeFrom="paragraph">
              <wp:posOffset>1090295</wp:posOffset>
            </wp:positionV>
            <wp:extent cx="7193915" cy="1038225"/>
            <wp:effectExtent l="0" t="0" r="0" b="0"/>
            <wp:wrapTopAndBottom distT="0" distB="0"/>
            <wp:docPr id="6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7193915" cy="1038225"/>
                    </a:xfrm>
                    <a:prstGeom prst="rect">
                      <a:avLst/>
                    </a:prstGeom>
                    <a:ln/>
                  </pic:spPr>
                </pic:pic>
              </a:graphicData>
            </a:graphic>
          </wp:anchor>
        </w:drawing>
      </w:r>
    </w:p>
    <w:p w:rsidR="00A64515" w:rsidRDefault="00A64515">
      <w:pPr>
        <w:spacing w:before="240" w:after="240" w:line="360" w:lineRule="auto"/>
        <w:jc w:val="both"/>
        <w:rPr>
          <w:rFonts w:ascii="Palatino Linotype" w:eastAsia="Palatino Linotype" w:hAnsi="Palatino Linotype" w:cs="Palatino Linotype"/>
          <w:color w:val="000000"/>
        </w:rPr>
      </w:pPr>
    </w:p>
    <w:p w:rsidR="00A64515" w:rsidRDefault="00F50B90">
      <w:pPr>
        <w:spacing w:before="240" w:after="24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noProof/>
          <w:color w:val="222222"/>
          <w:lang w:val="es-MX" w:eastAsia="es-MX"/>
        </w:rPr>
        <w:lastRenderedPageBreak/>
        <w:drawing>
          <wp:inline distT="0" distB="0" distL="0" distR="0">
            <wp:extent cx="5545167" cy="5599156"/>
            <wp:effectExtent l="0" t="0" r="0" b="0"/>
            <wp:docPr id="6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545167" cy="5599156"/>
                    </a:xfrm>
                    <a:prstGeom prst="rect">
                      <a:avLst/>
                    </a:prstGeom>
                    <a:ln/>
                  </pic:spPr>
                </pic:pic>
              </a:graphicData>
            </a:graphic>
          </wp:inline>
        </w:drawing>
      </w:r>
    </w:p>
    <w:p w:rsidR="00A64515" w:rsidRDefault="00F50B90">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222222"/>
        </w:rPr>
        <w:t xml:space="preserve">Al respecto, es de precisar que en términos del Bando Municipal vigente en la demarcación municipal, le compete a la Dirección de Administración por conducto de la Jefatura de Recursos Humanos, el manejo de los recursos humanos, materiales, tecnológicos y de servicios generales necesarios para la ejecución de los planes y </w:t>
      </w:r>
      <w:r>
        <w:rPr>
          <w:rFonts w:ascii="Palatino Linotype" w:eastAsia="Palatino Linotype" w:hAnsi="Palatino Linotype" w:cs="Palatino Linotype"/>
          <w:color w:val="222222"/>
        </w:rPr>
        <w:lastRenderedPageBreak/>
        <w:t xml:space="preserve">programas de las unidades administrativas, que integran el Ayuntamiento de Atenco, como se advierte de los siguientes artículos: </w:t>
      </w:r>
    </w:p>
    <w:p w:rsidR="00A64515" w:rsidRDefault="00F50B90">
      <w:pPr>
        <w:spacing w:before="240" w:after="240" w:line="276" w:lineRule="auto"/>
        <w:ind w:left="567" w:right="900"/>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“TÍTULO DÉCIMO PRIMERO. DE LA DIRECCIÓN DE ADMINISTRACIÓN Capítulo Único </w:t>
      </w:r>
    </w:p>
    <w:p w:rsidR="00A64515" w:rsidRDefault="00F50B90">
      <w:pPr>
        <w:spacing w:before="240" w:after="240" w:line="276" w:lineRule="auto"/>
        <w:ind w:left="567" w:right="900"/>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Artículo 177. La Dirección de Administración, proporcionará a la Administración Pública Municipal, Servidores Públicos, un compromiso inapelable con las aspiraciones de la comunidad, con eficiencia y oportunidad de los recursos humanos, materiales, tecnológicos y de servicios generales necesarios para la ejecución de los planes y programas de las unidades administrativas, que integran el Ayuntamiento de Atenco, manejándolos con criterios de racionalidad y disciplina presupuestal, a efecto de optimizar su utilización y aprovechamiento de acuerdo a la normatividad correspondiente. </w:t>
      </w:r>
    </w:p>
    <w:p w:rsidR="00A64515" w:rsidRDefault="00F50B90">
      <w:pPr>
        <w:spacing w:before="240" w:after="240" w:line="276" w:lineRule="auto"/>
        <w:ind w:left="567" w:right="900"/>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Artículo 178. La Dirección de Administración, Servidores Públicos, aportará los principios de ética profesional, transparencia, beneficencia, autonomía y justicia. Artículo 179. Para el ejercicio de sus atribuciones la Dirección de Administración contará con las siguientes unidades administrativas: </w:t>
      </w:r>
    </w:p>
    <w:p w:rsidR="00A64515" w:rsidRDefault="00F50B90">
      <w:pPr>
        <w:spacing w:before="240" w:after="240" w:line="276" w:lineRule="auto"/>
        <w:ind w:left="567" w:right="900"/>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I.Jefatura de Recursos Humanos; </w:t>
      </w:r>
    </w:p>
    <w:p w:rsidR="00A64515" w:rsidRDefault="00F50B90">
      <w:pPr>
        <w:spacing w:before="240" w:after="240" w:line="276" w:lineRule="auto"/>
        <w:ind w:left="567" w:right="900"/>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II.Jefatura de Adquisiciones y Recursos Materiales; </w:t>
      </w:r>
    </w:p>
    <w:p w:rsidR="00A64515" w:rsidRDefault="00F50B90">
      <w:pPr>
        <w:spacing w:before="240" w:after="240" w:line="276" w:lineRule="auto"/>
        <w:ind w:left="567" w:right="900"/>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III.Jefatura de Sistemas; </w:t>
      </w:r>
    </w:p>
    <w:p w:rsidR="00A64515" w:rsidRDefault="00F50B90">
      <w:pPr>
        <w:spacing w:before="240" w:after="240" w:line="276" w:lineRule="auto"/>
        <w:ind w:left="567" w:right="900"/>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 xml:space="preserve">IV.Supervisión de Parque Vehicular; </w:t>
      </w:r>
    </w:p>
    <w:p w:rsidR="00A64515" w:rsidRDefault="00F50B90">
      <w:pPr>
        <w:spacing w:before="240" w:after="240" w:line="276" w:lineRule="auto"/>
        <w:ind w:left="567" w:right="900"/>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i/>
          <w:color w:val="222222"/>
          <w:sz w:val="22"/>
          <w:szCs w:val="22"/>
        </w:rPr>
        <w:t>V.Supervisión de Eventos y Logística;"</w:t>
      </w:r>
    </w:p>
    <w:p w:rsidR="00A64515" w:rsidRDefault="00F50B9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color w:val="222222"/>
        </w:rPr>
        <w:t xml:space="preserve">Por lo que al haber realizado la búsqueda exhaustiva y razonable en los archivos y al haberse pronunciado el Servidor Público Competente de la Unidad de Apoyo Administrativo, </w:t>
      </w:r>
      <w:r>
        <w:rPr>
          <w:rFonts w:ascii="Palatino Linotype" w:eastAsia="Palatino Linotype" w:hAnsi="Palatino Linotype" w:cs="Palatino Linotype"/>
        </w:rPr>
        <w:t xml:space="preserve">este Instituto no está facultado para manifestarse sobre la veracidad del mismo, pues no existe precepto legal alguno en la Ley de la materia que lo </w:t>
      </w:r>
      <w:r>
        <w:rPr>
          <w:rFonts w:ascii="Palatino Linotype" w:eastAsia="Palatino Linotype" w:hAnsi="Palatino Linotype" w:cs="Palatino Linotype"/>
        </w:rPr>
        <w:lastRenderedPageBreak/>
        <w:t>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rsidR="00A64515" w:rsidRDefault="00F50B90">
      <w:pPr>
        <w:tabs>
          <w:tab w:val="left" w:pos="709"/>
        </w:tabs>
        <w:spacing w:before="240" w:after="240" w:line="276" w:lineRule="auto"/>
        <w:ind w:left="567" w:right="1324"/>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Pr>
          <w:rFonts w:ascii="Palatino Linotype" w:eastAsia="Palatino Linotype" w:hAnsi="Palatino Linotype" w:cs="Palatino Linotype"/>
          <w:b/>
          <w:i/>
          <w:sz w:val="22"/>
          <w:szCs w:val="22"/>
        </w:rPr>
        <w:t>”</w:t>
      </w:r>
    </w:p>
    <w:p w:rsidR="00A64515" w:rsidRDefault="00F50B90">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todo lo expuesto con antelación, se  considera procedente ordenar la entrega de la certificación con la que cuenta al momento de la solicitud, es decir, la del Director de Obras Públicas, toda vez que las restantes aún no obran en sus archivos por encontrarse dentro del plazo legal para someterse a las evaluaciones y obtener este soporte documental.</w:t>
      </w:r>
    </w:p>
    <w:p w:rsidR="00F50B90" w:rsidRDefault="00F50B90">
      <w:pPr>
        <w:spacing w:before="240" w:after="240" w:line="360" w:lineRule="auto"/>
        <w:jc w:val="both"/>
        <w:rPr>
          <w:rFonts w:ascii="Palatino Linotype" w:eastAsia="Palatino Linotype" w:hAnsi="Palatino Linotype" w:cs="Palatino Linotype"/>
          <w:b/>
          <w:color w:val="000000"/>
        </w:rPr>
      </w:pPr>
    </w:p>
    <w:p w:rsidR="00F50B90" w:rsidRDefault="00F50B90">
      <w:pPr>
        <w:spacing w:before="240" w:after="240" w:line="360" w:lineRule="auto"/>
        <w:jc w:val="both"/>
        <w:rPr>
          <w:rFonts w:ascii="Palatino Linotype" w:eastAsia="Palatino Linotype" w:hAnsi="Palatino Linotype" w:cs="Palatino Linotype"/>
          <w:b/>
          <w:color w:val="000000"/>
        </w:rPr>
      </w:pPr>
    </w:p>
    <w:p w:rsidR="00A64515" w:rsidRDefault="00F50B90">
      <w:pPr>
        <w:spacing w:before="240"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lastRenderedPageBreak/>
        <w:t>2. De la experiencia mínima de un año para desempeñar los cargos referidos en la solicitud.</w:t>
      </w:r>
    </w:p>
    <w:p w:rsidR="00A64515" w:rsidRDefault="00F50B90">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respecto de la experiencia mínima de un año para desempeñar los cargos referidos en la solicitud, debemos recordar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por conducto de la Jefa de Recursos Humanos, manifestó que todos los funcionarios cuentan con ella. </w:t>
      </w:r>
    </w:p>
    <w:p w:rsidR="00A64515" w:rsidRDefault="00F50B90">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esa tesitura, debe apuntarse que esta información constituye una obligación de transparencia, pues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rsidR="00A64515" w:rsidRDefault="00F50B90">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A64515" w:rsidRDefault="00F50B90">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A64515" w:rsidRDefault="00F50B90">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XXI. La información curricular, desde el nivel de jefe de departamento o equivalente, hasta el titular del sujeto obligado</w:t>
      </w:r>
      <w:r>
        <w:rPr>
          <w:rFonts w:ascii="Palatino Linotype" w:eastAsia="Palatino Linotype" w:hAnsi="Palatino Linotype" w:cs="Palatino Linotype"/>
          <w:i/>
          <w:color w:val="000000"/>
          <w:sz w:val="22"/>
          <w:szCs w:val="22"/>
        </w:rPr>
        <w:t>, así como, en su caso, las sanciones administrativas de que haya sido objeto;”</w:t>
      </w:r>
    </w:p>
    <w:p w:rsidR="00A64515" w:rsidRDefault="00F50B90">
      <w:pPr>
        <w:spacing w:before="240" w:after="240" w:line="276" w:lineRule="auto"/>
        <w:ind w:left="567"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(Énfasis añadido)</w:t>
      </w:r>
    </w:p>
    <w:p w:rsidR="00A64515" w:rsidRDefault="00F50B90">
      <w:pP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Para robustecer este punto, este Instituto procedió a consultar la tabla de aplicabilidad de este Sujeto Obligado para verificar si se encuentra constreñido a su publicación, obteniendo así lo siguiente: </w:t>
      </w:r>
    </w:p>
    <w:p w:rsidR="00A64515" w:rsidRDefault="00F50B90">
      <w:pP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drawing>
          <wp:inline distT="0" distB="0" distL="0" distR="0">
            <wp:extent cx="5314950" cy="990600"/>
            <wp:effectExtent l="0" t="0" r="0" b="0"/>
            <wp:docPr id="6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314950" cy="990600"/>
                    </a:xfrm>
                    <a:prstGeom prst="rect">
                      <a:avLst/>
                    </a:prstGeom>
                    <a:ln/>
                  </pic:spPr>
                </pic:pic>
              </a:graphicData>
            </a:graphic>
          </wp:inline>
        </w:drawing>
      </w:r>
      <w:r>
        <w:rPr>
          <w:noProof/>
          <w:lang w:val="es-MX" w:eastAsia="es-MX"/>
        </w:rPr>
        <w:drawing>
          <wp:anchor distT="0" distB="0" distL="114300" distR="114300" simplePos="0" relativeHeight="251662336" behindDoc="0" locked="0" layoutInCell="1" hidden="0" allowOverlap="1">
            <wp:simplePos x="0" y="0"/>
            <wp:positionH relativeFrom="column">
              <wp:posOffset>24766</wp:posOffset>
            </wp:positionH>
            <wp:positionV relativeFrom="paragraph">
              <wp:posOffset>991235</wp:posOffset>
            </wp:positionV>
            <wp:extent cx="5286375" cy="676275"/>
            <wp:effectExtent l="0" t="0" r="0" b="0"/>
            <wp:wrapTopAndBottom distT="0" distB="0"/>
            <wp:docPr id="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286375" cy="676275"/>
                    </a:xfrm>
                    <a:prstGeom prst="rect">
                      <a:avLst/>
                    </a:prstGeom>
                    <a:ln/>
                  </pic:spPr>
                </pic:pic>
              </a:graphicData>
            </a:graphic>
          </wp:anchor>
        </w:drawing>
      </w:r>
      <w:r>
        <w:rPr>
          <w:noProof/>
          <w:lang w:val="es-MX" w:eastAsia="es-MX"/>
        </w:rPr>
        <mc:AlternateContent>
          <mc:Choice Requires="wps">
            <w:drawing>
              <wp:anchor distT="0" distB="0" distL="114300" distR="114300" simplePos="0" relativeHeight="251663360" behindDoc="0" locked="0" layoutInCell="1" hidden="0" allowOverlap="1">
                <wp:simplePos x="0" y="0"/>
                <wp:positionH relativeFrom="column">
                  <wp:posOffset>1</wp:posOffset>
                </wp:positionH>
                <wp:positionV relativeFrom="paragraph">
                  <wp:posOffset>1308100</wp:posOffset>
                </wp:positionV>
                <wp:extent cx="5343525" cy="209550"/>
                <wp:effectExtent l="0" t="0" r="0" b="0"/>
                <wp:wrapNone/>
                <wp:docPr id="52" name=""/>
                <wp:cNvGraphicFramePr/>
                <a:graphic xmlns:a="http://schemas.openxmlformats.org/drawingml/2006/main">
                  <a:graphicData uri="http://schemas.microsoft.com/office/word/2010/wordprocessingShape">
                    <wps:wsp>
                      <wps:cNvSpPr/>
                      <wps:spPr>
                        <a:xfrm>
                          <a:off x="2688525" y="3689513"/>
                          <a:ext cx="5314950" cy="180975"/>
                        </a:xfrm>
                        <a:prstGeom prst="rect">
                          <a:avLst/>
                        </a:prstGeom>
                        <a:noFill/>
                        <a:ln w="28575" cap="flat" cmpd="sng">
                          <a:solidFill>
                            <a:srgbClr val="002060"/>
                          </a:solidFill>
                          <a:prstDash val="solid"/>
                          <a:miter lim="800000"/>
                          <a:headEnd type="none" w="sm" len="sm"/>
                          <a:tailEnd type="none" w="sm" len="sm"/>
                        </a:ln>
                      </wps:spPr>
                      <wps:txbx>
                        <w:txbxContent>
                          <w:p w:rsidR="00A64515" w:rsidRDefault="00A64515">
                            <w:pPr>
                              <w:textDirection w:val="btLr"/>
                            </w:pPr>
                          </w:p>
                        </w:txbxContent>
                      </wps:txbx>
                      <wps:bodyPr spcFirstLastPara="1" wrap="square" lIns="91425" tIns="91425" rIns="91425" bIns="91425" anchor="ctr" anchorCtr="0">
                        <a:noAutofit/>
                      </wps:bodyPr>
                    </wps:wsp>
                  </a:graphicData>
                </a:graphic>
              </wp:anchor>
            </w:drawing>
          </mc:Choice>
          <mc:Fallback>
            <w:pict>
              <v:rect id="_x0000_s1026" style="position:absolute;left:0;text-align:left;margin-left:0;margin-top:103pt;width:420.75pt;height:1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HTkKAIAAEEEAAAOAAAAZHJzL2Uyb0RvYy54bWysU9uO0zAQfUfiHyy/s7l0U9Ko6QptKUJa&#10;sZUWPmDqOI0l37DdNv17xk7ZFnhAQvTBnbEnZ86cmVk+jEqSI3deGN3S4i6nhGtmOqH3Lf32dfOu&#10;psQH0B1Io3lLz9zTh9XbN8uTbXhpBiM77giCaN+cbEuHEGyTZZ4NXIG/M5ZrfOyNUxDQdfusc3BC&#10;dCWzMs/n2cm4zjrDuPd4u54e6Srh9z1n4bnvPQ9EthS5hXS6dO7ima2W0Owd2EGwCw34BxYKhMak&#10;r1BrCEAOTvwBpQRzxps+3DGjMtP3gvFUA1ZT5L9V8zKA5akWFMfbV5n8/4NlX45bR0TX0qqkRIPC&#10;HkVRTtY3+PZit+7ieTRjhWPvVPxH7mRsaTmv66qsKDm3dDavF1Uxm0TlYyAMA6pZcb+oUHuGEUWd&#10;L95XMSC7IlnnwyduFIlGSx02LWkJxycfptCfITGxNhshJd5DIzU5IYW6QkzCAOenlxDQVBYr8nqf&#10;cLyRoovfxE+82+8epSNHiBORl/k8DQHS+SUsJlyDH6a49DSVpUTAgZVCtbTO42+6Hjh0H3VHwtmi&#10;ghpnnUZqXlEiOW4GGolxACH/HodspEaNYhcm3aMVxt2IINHcme6MffOWbQQyfQIftuBwcgtMi9OM&#10;Cb8fwCEJ+VnjuCyK+9ijcOu4W2d364Bmg8ElYcFRMjmPIS3NpP+HQzC9SK25krnQxTlNzb3sVFyE&#10;Wz9FXTd/9QMAAP//AwBQSwMEFAAGAAgAAAAhAKfdkyPeAAAACAEAAA8AAABkcnMvZG93bnJldi54&#10;bWxMj0FPwzAMhe9I/IfISNxYsg1GKU2nCtgFEBLbDhy9JjSFxqmabOv+PeYEN9vv6fl7xXL0nTjY&#10;IbaBNEwnCoSlOpiWGg3bzeoqAxETksEukNVwshGW5flZgbkJR3q3h3VqBIdQzFGDS6nPpYy1sx7j&#10;JPSWWPsMg8fE69BIM+CRw30nZ0otpMeW+IPD3j44W3+v917Do3+uVnQ7/3rBj6fMvfXN6ZUqrS8v&#10;xuoeRLJj+jPDLz6jQ8lMu7AnE0WngYskDTO14IHl7Hp6A2LHl/mdAlkW8n+B8gcAAP//AwBQSwEC&#10;LQAUAAYACAAAACEAtoM4kv4AAADhAQAAEwAAAAAAAAAAAAAAAAAAAAAAW0NvbnRlbnRfVHlwZXNd&#10;LnhtbFBLAQItABQABgAIAAAAIQA4/SH/1gAAAJQBAAALAAAAAAAAAAAAAAAAAC8BAABfcmVscy8u&#10;cmVsc1BLAQItABQABgAIAAAAIQC9WHTkKAIAAEEEAAAOAAAAAAAAAAAAAAAAAC4CAABkcnMvZTJv&#10;RG9jLnhtbFBLAQItABQABgAIAAAAIQCn3ZMj3gAAAAgBAAAPAAAAAAAAAAAAAAAAAIIEAABkcnMv&#10;ZG93bnJldi54bWxQSwUGAAAAAAQABADzAAAAjQUAAAAA&#10;" filled="f" strokecolor="#002060" strokeweight="2.25pt">
                <v:stroke startarrowwidth="narrow" startarrowlength="short" endarrowwidth="narrow" endarrowlength="short"/>
                <v:textbox inset="2.53958mm,2.53958mm,2.53958mm,2.53958mm">
                  <w:txbxContent>
                    <w:p w:rsidR="00A64515" w:rsidRDefault="00A64515">
                      <w:pPr>
                        <w:textDirection w:val="btLr"/>
                      </w:pPr>
                    </w:p>
                  </w:txbxContent>
                </v:textbox>
              </v:rect>
            </w:pict>
          </mc:Fallback>
        </mc:AlternateContent>
      </w:r>
    </w:p>
    <w:p w:rsidR="00A64515" w:rsidRDefault="00A64515">
      <w:pPr>
        <w:spacing w:before="240" w:after="240" w:line="360" w:lineRule="auto"/>
        <w:ind w:right="51"/>
        <w:jc w:val="both"/>
        <w:rPr>
          <w:rFonts w:ascii="Palatino Linotype" w:eastAsia="Palatino Linotype" w:hAnsi="Palatino Linotype" w:cs="Palatino Linotype"/>
          <w:color w:val="000000"/>
        </w:rPr>
      </w:pPr>
    </w:p>
    <w:p w:rsidR="00A64515" w:rsidRDefault="00F50B90">
      <w:pP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Asimismo, debe precisarse que la publicación de esta información se realizará conforme lo establecen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mismos que se insertan a continuación: </w:t>
      </w:r>
    </w:p>
    <w:p w:rsidR="00A64515" w:rsidRDefault="00F50B90">
      <w:pPr>
        <w:spacing w:before="240" w:after="240"/>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“XVII. La información curricular desde el nivel de jefe de departamento o equivalente hasta el titular del sujeto obligado, así como, en su caso, las sanciones administrativas de que haya sido objeto. </w:t>
      </w:r>
    </w:p>
    <w:p w:rsidR="00A64515" w:rsidRDefault="00F50B90">
      <w:pPr>
        <w:spacing w:before="240" w:after="240"/>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–desde nivel de jefe de departamento o equivalente y hasta </w:t>
      </w:r>
      <w:r>
        <w:rPr>
          <w:rFonts w:ascii="Palatino Linotype" w:eastAsia="Palatino Linotype" w:hAnsi="Palatino Linotype" w:cs="Palatino Linotype"/>
          <w:b/>
          <w:i/>
          <w:color w:val="000000"/>
          <w:sz w:val="22"/>
          <w:szCs w:val="22"/>
        </w:rPr>
        <w:lastRenderedPageBreak/>
        <w:t>el titular del sujeto obligado–, que permita conocer su trayectoria en el ámbito laboral y escolar</w:t>
      </w:r>
      <w:r>
        <w:rPr>
          <w:rFonts w:ascii="Palatino Linotype" w:eastAsia="Palatino Linotype" w:hAnsi="Palatino Linotype" w:cs="Palatino Linotype"/>
          <w:i/>
          <w:color w:val="000000"/>
          <w:sz w:val="22"/>
          <w:szCs w:val="22"/>
        </w:rPr>
        <w:t xml:space="preserve">. </w:t>
      </w:r>
    </w:p>
    <w:p w:rsidR="00A64515" w:rsidRDefault="00F50B90">
      <w:pPr>
        <w:spacing w:before="240" w:after="240"/>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Por cada servidor(a) público(a) se deberá especificar si ha sido acreedor a sanciones administrativas definitivas y que hayan sido aplicadas por autoridad u organismo competente. </w:t>
      </w:r>
    </w:p>
    <w:p w:rsidR="00A64515" w:rsidRDefault="00F50B90">
      <w:pPr>
        <w:spacing w:before="240" w:after="240"/>
        <w:ind w:left="567"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Periodo de actualización: trimestral </w:t>
      </w:r>
    </w:p>
    <w:p w:rsidR="00A64515" w:rsidRDefault="00F50B90">
      <w:pPr>
        <w:spacing w:before="240" w:after="240"/>
        <w:ind w:left="567"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En su caso, 15 días hábiles después de alguna modificación a la información de los servidores públicos que integran el sujeto obligado, así como su información curricular.</w:t>
      </w:r>
    </w:p>
    <w:p w:rsidR="00A64515" w:rsidRDefault="00F50B90">
      <w:pPr>
        <w:spacing w:before="240" w:after="240"/>
        <w:ind w:left="567"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Conservar en el sitio de Internet: información vigente </w:t>
      </w:r>
    </w:p>
    <w:p w:rsidR="00A64515" w:rsidRDefault="00F50B90">
      <w:pPr>
        <w:spacing w:before="240" w:after="240"/>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Aplica a: todos los sujetos obligados</w:t>
      </w:r>
      <w:r>
        <w:rPr>
          <w:rFonts w:ascii="Palatino Linotype" w:eastAsia="Palatino Linotype" w:hAnsi="Palatino Linotype" w:cs="Palatino Linotype"/>
          <w:i/>
          <w:color w:val="000000"/>
          <w:sz w:val="22"/>
          <w:szCs w:val="22"/>
        </w:rPr>
        <w:t>”</w:t>
      </w:r>
    </w:p>
    <w:p w:rsidR="00A64515" w:rsidRDefault="00F50B90">
      <w:pPr>
        <w:spacing w:before="240" w:after="240"/>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(Énfasis añadido)</w:t>
      </w:r>
      <w:r>
        <w:rPr>
          <w:noProof/>
          <w:lang w:val="es-MX" w:eastAsia="es-MX"/>
        </w:rPr>
        <mc:AlternateContent>
          <mc:Choice Requires="wpg">
            <w:drawing>
              <wp:anchor distT="0" distB="0" distL="114300" distR="114300" simplePos="0" relativeHeight="251664384" behindDoc="0" locked="0" layoutInCell="1" hidden="0" allowOverlap="1">
                <wp:simplePos x="0" y="0"/>
                <wp:positionH relativeFrom="column">
                  <wp:posOffset>457200</wp:posOffset>
                </wp:positionH>
                <wp:positionV relativeFrom="paragraph">
                  <wp:posOffset>228600</wp:posOffset>
                </wp:positionV>
                <wp:extent cx="4733925" cy="4362450"/>
                <wp:effectExtent l="0" t="0" r="0" b="0"/>
                <wp:wrapNone/>
                <wp:docPr id="51" name=""/>
                <wp:cNvGraphicFramePr/>
                <a:graphic xmlns:a="http://schemas.openxmlformats.org/drawingml/2006/main">
                  <a:graphicData uri="http://schemas.microsoft.com/office/word/2010/wordprocessingShape">
                    <wps:wsp>
                      <wps:cNvCnPr/>
                      <wps:spPr>
                        <a:xfrm>
                          <a:off x="2983800" y="1603538"/>
                          <a:ext cx="4724400" cy="4352925"/>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457200</wp:posOffset>
                </wp:positionH>
                <wp:positionV relativeFrom="paragraph">
                  <wp:posOffset>228600</wp:posOffset>
                </wp:positionV>
                <wp:extent cx="4733925" cy="4362450"/>
                <wp:effectExtent b="0" l="0" r="0" t="0"/>
                <wp:wrapNone/>
                <wp:docPr id="51" name="image13.png"/>
                <a:graphic>
                  <a:graphicData uri="http://schemas.openxmlformats.org/drawingml/2006/picture">
                    <pic:pic>
                      <pic:nvPicPr>
                        <pic:cNvPr id="0" name="image13.png"/>
                        <pic:cNvPicPr preferRelativeResize="0"/>
                      </pic:nvPicPr>
                      <pic:blipFill>
                        <a:blip r:embed="rId21"/>
                        <a:srcRect/>
                        <a:stretch>
                          <a:fillRect/>
                        </a:stretch>
                      </pic:blipFill>
                      <pic:spPr>
                        <a:xfrm>
                          <a:off x="0" y="0"/>
                          <a:ext cx="4733925" cy="4362450"/>
                        </a:xfrm>
                        <a:prstGeom prst="rect"/>
                        <a:ln/>
                      </pic:spPr>
                    </pic:pic>
                  </a:graphicData>
                </a:graphic>
              </wp:anchor>
            </w:drawing>
          </mc:Fallback>
        </mc:AlternateContent>
      </w:r>
    </w:p>
    <w:p w:rsidR="00A64515" w:rsidRDefault="00F50B90">
      <w:pP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lastRenderedPageBreak/>
        <w:drawing>
          <wp:inline distT="0" distB="0" distL="0" distR="0">
            <wp:extent cx="5652041" cy="7280596"/>
            <wp:effectExtent l="0" t="0" r="0" b="0"/>
            <wp:docPr id="6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652041" cy="7280596"/>
                    </a:xfrm>
                    <a:prstGeom prst="rect">
                      <a:avLst/>
                    </a:prstGeom>
                    <a:ln/>
                  </pic:spPr>
                </pic:pic>
              </a:graphicData>
            </a:graphic>
          </wp:inline>
        </w:drawing>
      </w:r>
      <w:r>
        <w:rPr>
          <w:noProof/>
          <w:lang w:val="es-MX" w:eastAsia="es-MX"/>
        </w:rPr>
        <mc:AlternateContent>
          <mc:Choice Requires="wps">
            <w:drawing>
              <wp:anchor distT="0" distB="0" distL="114300" distR="114300" simplePos="0" relativeHeight="251665408" behindDoc="0" locked="0" layoutInCell="1" hidden="0" allowOverlap="1">
                <wp:simplePos x="0" y="0"/>
                <wp:positionH relativeFrom="column">
                  <wp:posOffset>-12699</wp:posOffset>
                </wp:positionH>
                <wp:positionV relativeFrom="paragraph">
                  <wp:posOffset>1587500</wp:posOffset>
                </wp:positionV>
                <wp:extent cx="5210175" cy="2295525"/>
                <wp:effectExtent l="0" t="0" r="0" b="0"/>
                <wp:wrapNone/>
                <wp:docPr id="50" name=""/>
                <wp:cNvGraphicFramePr/>
                <a:graphic xmlns:a="http://schemas.openxmlformats.org/drawingml/2006/main">
                  <a:graphicData uri="http://schemas.microsoft.com/office/word/2010/wordprocessingShape">
                    <wps:wsp>
                      <wps:cNvSpPr/>
                      <wps:spPr>
                        <a:xfrm>
                          <a:off x="2755200" y="2646525"/>
                          <a:ext cx="5181600" cy="2266950"/>
                        </a:xfrm>
                        <a:prstGeom prst="rect">
                          <a:avLst/>
                        </a:prstGeom>
                        <a:noFill/>
                        <a:ln w="28575" cap="flat" cmpd="sng">
                          <a:solidFill>
                            <a:srgbClr val="002060"/>
                          </a:solidFill>
                          <a:prstDash val="solid"/>
                          <a:miter lim="800000"/>
                          <a:headEnd type="none" w="sm" len="sm"/>
                          <a:tailEnd type="none" w="sm" len="sm"/>
                        </a:ln>
                      </wps:spPr>
                      <wps:txbx>
                        <w:txbxContent>
                          <w:p w:rsidR="00A64515" w:rsidRDefault="00A64515">
                            <w:pPr>
                              <w:textDirection w:val="btLr"/>
                            </w:pPr>
                          </w:p>
                        </w:txbxContent>
                      </wps:txbx>
                      <wps:bodyPr spcFirstLastPara="1" wrap="square" lIns="91425" tIns="91425" rIns="91425" bIns="91425" anchor="ctr" anchorCtr="0">
                        <a:noAutofit/>
                      </wps:bodyPr>
                    </wps:wsp>
                  </a:graphicData>
                </a:graphic>
              </wp:anchor>
            </w:drawing>
          </mc:Choice>
          <mc:Fallback>
            <w:pict>
              <v:rect id="_x0000_s1027" style="position:absolute;left:0;text-align:left;margin-left:-1pt;margin-top:125pt;width:410.25pt;height:180.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nUKQIAAEkEAAAOAAAAZHJzL2Uyb0RvYy54bWysVNtu2zAMfR+wfxD0vviC2k2NOMXQLMOA&#10;YivQ7gMYWY4F6DZJiZ2/HyWnTbY9DBjmB5mU6MPDQ8qr+0lJcuTOC6NbWixySrhmphN639LvL9sP&#10;S0p8AN2BNJq39MQ9vV+/f7cabcNLMxjZcUcQRPtmtC0dQrBNlnk2cAV+YSzXeNgbpyCg6/ZZ52BE&#10;dCWzMs/rbDSus84w7j3ubuZDuk74fc9Z+Nb3ngciW4rcQlpdWndxzdYraPYO7CDYmQb8AwsFQmPS&#10;N6gNBCAHJ/6AUoI5400fFsyozPS9YDzVgNUU+W/VPA9geaoFxfH2TSb//2DZ1+OTI6JraYXyaFDY&#10;oyjKaH2DZ8/2yZ09j2ascOqdim/kTqaWlrdVhY2g5IR2fVNXZTWLyqdAGAZUxbKoYwCLEWVd32Em&#10;xMwuUNb58JkbRaLRUoddS2LC8dGHOfQ1JGbWZiukxH1opCYjoi6r2woTAA5QLyGgqSyW5PU+4Xgj&#10;RRe/iZ94t989SEeOEEciL/P6lc4vYTHhBvwwx6WjuS4lAk6sFKqlyzw+8/bAofukOxJOFiXUOOw0&#10;UvOKEsnxaqCRGAcQ8u9xKI7UqFFswyx8tMK0m1KviogVd3amO2H/vGVbgYQfwYcncDjBBWbHqca8&#10;Pw7gkIv8onFs7oob7A8J1467dnbXDmg2GLwsLDhKZuchpMszt+HjIZhepA5dyJxZ47ymHp/vVrwQ&#10;136KuvwB1j8BAAD//wMAUEsDBBQABgAIAAAAIQCn0MOp4AAAAAoBAAAPAAAAZHJzL2Rvd25yZXYu&#10;eG1sTI/BTsMwEETvSPyDtUjcWidBKVHIpoqAXgBVonDg6MYmDsTrKHbb9O9ZTnCb1Yxm31Tr2Q3i&#10;aKbQe0JIlwkIQ63XPXUI72+bRQEiREVaDZ4MwtkEWNeXF5UqtT/RqznuYie4hEKpEGyMYyllaK1x&#10;Kiz9aIi9Tz85FfmcOqkndeJyN8gsSVbSqZ74g1Wjubem/d4dHMKDe2o2dHvz9aw+Hgu7HbvzCzWI&#10;11dzcwcimjn+heEXn9GhZqa9P5AOYkBYZDwlImR5woIDRVrkIPYIqzTNQdaV/D+h/gEAAP//AwBQ&#10;SwECLQAUAAYACAAAACEAtoM4kv4AAADhAQAAEwAAAAAAAAAAAAAAAAAAAAAAW0NvbnRlbnRfVHlw&#10;ZXNdLnhtbFBLAQItABQABgAIAAAAIQA4/SH/1gAAAJQBAAALAAAAAAAAAAAAAAAAAC8BAABfcmVs&#10;cy8ucmVsc1BLAQItABQABgAIAAAAIQDs3/nUKQIAAEkEAAAOAAAAAAAAAAAAAAAAAC4CAABkcnMv&#10;ZTJvRG9jLnhtbFBLAQItABQABgAIAAAAIQCn0MOp4AAAAAoBAAAPAAAAAAAAAAAAAAAAAIMEAABk&#10;cnMvZG93bnJldi54bWxQSwUGAAAAAAQABADzAAAAkAUAAAAA&#10;" filled="f" strokecolor="#002060" strokeweight="2.25pt">
                <v:stroke startarrowwidth="narrow" startarrowlength="short" endarrowwidth="narrow" endarrowlength="short"/>
                <v:textbox inset="2.53958mm,2.53958mm,2.53958mm,2.53958mm">
                  <w:txbxContent>
                    <w:p w:rsidR="00A64515" w:rsidRDefault="00A64515">
                      <w:pPr>
                        <w:textDirection w:val="btLr"/>
                      </w:pPr>
                    </w:p>
                  </w:txbxContent>
                </v:textbox>
              </v:rect>
            </w:pict>
          </mc:Fallback>
        </mc:AlternateContent>
      </w:r>
    </w:p>
    <w:p w:rsidR="00A64515" w:rsidRDefault="00F50B90">
      <w:pPr>
        <w:spacing w:before="240" w:after="240" w:line="360" w:lineRule="auto"/>
        <w:ind w:right="51"/>
        <w:jc w:val="both"/>
        <w:rPr>
          <w:rFonts w:ascii="Palatino Linotype" w:eastAsia="Palatino Linotype" w:hAnsi="Palatino Linotype" w:cs="Palatino Linotype"/>
          <w:color w:val="FF0000"/>
          <w:highlight w:val="green"/>
        </w:rPr>
      </w:pPr>
      <w:r>
        <w:rPr>
          <w:rFonts w:ascii="Palatino Linotype" w:eastAsia="Palatino Linotype" w:hAnsi="Palatino Linotype" w:cs="Palatino Linotype"/>
          <w:noProof/>
          <w:color w:val="FF0000"/>
          <w:highlight w:val="green"/>
          <w:lang w:val="es-MX" w:eastAsia="es-MX"/>
        </w:rPr>
        <w:lastRenderedPageBreak/>
        <w:drawing>
          <wp:inline distT="0" distB="0" distL="0" distR="0">
            <wp:extent cx="5610225" cy="4105275"/>
            <wp:effectExtent l="0" t="0" r="0" b="0"/>
            <wp:docPr id="6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5610225" cy="4105275"/>
                    </a:xfrm>
                    <a:prstGeom prst="rect">
                      <a:avLst/>
                    </a:prstGeom>
                    <a:ln/>
                  </pic:spPr>
                </pic:pic>
              </a:graphicData>
            </a:graphic>
          </wp:inline>
        </w:drawing>
      </w:r>
    </w:p>
    <w:p w:rsidR="00A64515" w:rsidRDefault="00F50B90">
      <w:pPr>
        <w:spacing w:before="240" w:after="240" w:line="360" w:lineRule="auto"/>
        <w:ind w:right="51"/>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Como se aprecia en el dispositivo legal citado, lo sujetos obligados deben publicar la información curricular desde el nivel del jefe de departamento o equivalente, hasta el titular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como se apreció en la cita, respecto a la escolaridad mandata que se publique información referente al nivel máximo de estudios concluido y comprobable, mientras que respecto de la experiencia laboral, se requiere que se incluya información de los últimos tres empleos, en los que se advierta el campo de experiencia que acredite sus habilidades, capacidades o pericia para desempeñar el cargo público, debe precisarse que dicha circunstancia no es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óbice para que se encuentre impedido a contar con dicha información respecto de todos los servidores públicos con los que tenga una relación laboral, por lo que se </w:t>
      </w:r>
      <w:r>
        <w:rPr>
          <w:rFonts w:ascii="Palatino Linotype" w:eastAsia="Palatino Linotype" w:hAnsi="Palatino Linotype" w:cs="Palatino Linotype"/>
          <w:color w:val="000000"/>
        </w:rPr>
        <w:lastRenderedPageBreak/>
        <w:t>estima que en el presente asunto es procedente la entrega del curriculum vitae o documento análogo que dé cuenta de la experiencia mínima que requieren los servidores públicos.</w:t>
      </w:r>
    </w:p>
    <w:p w:rsidR="00A64515" w:rsidRDefault="00F50B90">
      <w:pP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Por cuanto hace al curriculum vitae, debe precisarse en primer lugar, que el concepto “curriculum” corresponde a una locución latina cuyo significado es “carrera de vida”, por su lado, la Real Academia Española, lo define como a continuación se cita: </w:t>
      </w:r>
    </w:p>
    <w:p w:rsidR="00A64515" w:rsidRDefault="00F50B90">
      <w:pPr>
        <w:spacing w:before="240" w:after="240" w:line="276" w:lineRule="auto"/>
        <w:ind w:left="567" w:right="75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r>
        <w:rPr>
          <w:rFonts w:ascii="Palatino Linotype" w:eastAsia="Palatino Linotype" w:hAnsi="Palatino Linotype" w:cs="Palatino Linotype"/>
          <w:i/>
          <w:color w:val="000000"/>
        </w:rPr>
        <w:t>Relación de los títulos, honores, cargos, trabajos realizados, datos biográficos, etc, que califican a una persona</w:t>
      </w:r>
      <w:r>
        <w:rPr>
          <w:rFonts w:ascii="Palatino Linotype" w:eastAsia="Palatino Linotype" w:hAnsi="Palatino Linotype" w:cs="Palatino Linotype"/>
          <w:color w:val="000000"/>
        </w:rPr>
        <w:t xml:space="preserve">” </w:t>
      </w:r>
    </w:p>
    <w:p w:rsidR="00A64515" w:rsidRDefault="00F50B90">
      <w:pP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Desde esta perspectiva, a través del currículum vite el particular puede advertir los estudios realizados o bien el nivel académico, así como la experiencia laboral de los servidores públicos que se encuentran adscritos al sujeto obligado, información que es de carácter público de conformidad con el criterio 03/2009, emitido por el entonces Instituto Federal de Acceso a la Información y Protección de Datos (IFAI), ahora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w:t>
      </w:r>
    </w:p>
    <w:p w:rsidR="00A64515" w:rsidRDefault="00F50B90">
      <w:pPr>
        <w:spacing w:before="240" w:after="240" w:line="276"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Curriculum Vitae de servidores públicos. Es obligación de los sujetos obligados otorgar acceso a versiones públicas de los mismos ante una solicitud de acceso</w:t>
      </w:r>
      <w:r>
        <w:rPr>
          <w:rFonts w:ascii="Palatino Linotype" w:eastAsia="Palatino Linotype" w:hAnsi="Palatino Linotype" w:cs="Palatino Linotype"/>
          <w:i/>
          <w:color w:val="000000"/>
          <w:sz w:val="22"/>
          <w:szCs w:val="22"/>
        </w:rPr>
        <w:t xml:space="preserve">. Uno de los objetivos de la Ley Federal de Transparencia y Acceso a la Información Pública Gubernamental, de acuerdo con su artículo 4, </w:t>
      </w:r>
      <w:r>
        <w:rPr>
          <w:rFonts w:ascii="Palatino Linotype" w:eastAsia="Palatino Linotype" w:hAnsi="Palatino Linotype" w:cs="Palatino Linotype"/>
          <w:i/>
          <w:color w:val="000000"/>
          <w:sz w:val="22"/>
          <w:szCs w:val="22"/>
        </w:rPr>
        <w:lastRenderedPageBreak/>
        <w:t>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r>
        <w:rPr>
          <w:rFonts w:ascii="Palatino Linotype" w:eastAsia="Palatino Linotype" w:hAnsi="Palatino Linotype" w:cs="Palatino Linotype"/>
          <w:color w:val="000000"/>
          <w:sz w:val="22"/>
          <w:szCs w:val="22"/>
        </w:rPr>
        <w:t xml:space="preserve"> </w:t>
      </w:r>
    </w:p>
    <w:p w:rsidR="00A64515" w:rsidRDefault="00F50B90">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de acuerdo a su nivel profesional y laboral, para el desempeño de sus funciones en el cargo que ostenten, razón que resulta suficiente para que sean de conocimiento público. Y, si bien es cierto que no existe disposición legal que ordene de manera expresa que el sujeto obligado, deba contar en sus archivos con un documento denominado “currículum vitae” de sus servidores públicos, también lo es que para el desempeño de un empleo, cargo o comisión en el servició público sí es requisito, entre otros, presentar una solicitud </w:t>
      </w:r>
      <w:r>
        <w:rPr>
          <w:rFonts w:ascii="Palatino Linotype" w:eastAsia="Palatino Linotype" w:hAnsi="Palatino Linotype" w:cs="Palatino Linotype"/>
          <w:color w:val="000000"/>
        </w:rPr>
        <w:lastRenderedPageBreak/>
        <w:t xml:space="preserve">del empleo, como se desprende del artículo 47 fracción I de la Ley del Trabajo para los Servidores Públicos del Estado y Municipios, citado con antelación. </w:t>
      </w:r>
    </w:p>
    <w:p w:rsidR="00A64515" w:rsidRDefault="00F50B90">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la solicitud de empleo es el documento en el que se localiza información relativa a los datos personales, formación académica, formación extra académica, experiencia profesional, y hábitos personales; información que resulta coincidente con la que es asentada en un currículum vitae. De manera que, el sujeto obligado podría atender el requerimiento a través de la entrega del currículum vitae de los servidores que refiere el recurrente, o en su defecto a través de la solicitud de empleo, en razón de que se trata de documentos que se encuentran en su posesión derivado de su facultad para establecer relaciones de trabajo, y que resulta ser el documento idóneo para satisfacer la solicitud planteada, de acuerdo a sus características.</w:t>
      </w:r>
    </w:p>
    <w:p w:rsidR="00A64515" w:rsidRDefault="00F50B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por todo lo expuesto que se determina ordenar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entrega de la información a </w:t>
      </w:r>
      <w:r>
        <w:rPr>
          <w:rFonts w:ascii="Palatino Linotype" w:eastAsia="Palatino Linotype" w:hAnsi="Palatino Linotype" w:cs="Palatino Linotype"/>
          <w:b/>
        </w:rPr>
        <w:t>la parte Recurrente</w:t>
      </w:r>
      <w:r>
        <w:rPr>
          <w:rFonts w:ascii="Palatino Linotype" w:eastAsia="Palatino Linotype" w:hAnsi="Palatino Linotype" w:cs="Palatino Linotype"/>
        </w:rPr>
        <w:t>, de ser procedente en versión pública, tal como se detallará en el considerando siguiente.</w:t>
      </w:r>
    </w:p>
    <w:p w:rsidR="00F50B90" w:rsidRPr="00F50B90" w:rsidRDefault="00F50B90" w:rsidP="00F50B90">
      <w:pPr>
        <w:spacing w:before="240" w:after="240" w:line="360" w:lineRule="auto"/>
        <w:ind w:right="49"/>
        <w:jc w:val="both"/>
        <w:rPr>
          <w:rFonts w:ascii="Palatino Linotype" w:eastAsia="Palatino Linotype" w:hAnsi="Palatino Linotype" w:cs="Palatino Linotype"/>
        </w:rPr>
      </w:pPr>
      <w:bookmarkStart w:id="2" w:name="_heading=h.gjdgxs" w:colFirst="0" w:colLast="0"/>
      <w:bookmarkEnd w:id="2"/>
      <w:r w:rsidRPr="00F50B90">
        <w:rPr>
          <w:rFonts w:ascii="Palatino Linotype" w:eastAsia="Palatino Linotype" w:hAnsi="Palatino Linotype" w:cs="Palatino Linotype"/>
          <w:b/>
        </w:rPr>
        <w:t xml:space="preserve">Quinto. Versión Pública. </w:t>
      </w:r>
      <w:r w:rsidRPr="00F50B90">
        <w:rPr>
          <w:rFonts w:ascii="Palatino Linotype" w:eastAsia="Palatino Linotype" w:hAnsi="Palatino Linotype" w:cs="Palatino Linotype"/>
        </w:rPr>
        <w:t xml:space="preserve">Finalmente para la entrega de los soportes documentales que en todo caso deberá proporcionar el sujeto obligado para dar satisfacción de la derecho humano de acceso a la información de la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w:t>
      </w:r>
      <w:r w:rsidRPr="00F50B90">
        <w:rPr>
          <w:rFonts w:ascii="Palatino Linotype" w:eastAsia="Palatino Linotype" w:hAnsi="Palatino Linotype" w:cs="Palatino Linotype"/>
        </w:rPr>
        <w:lastRenderedPageBreak/>
        <w:t>información pública de la recurrente sin menoscabar el derecho a la protección de los datos personales de terceros.</w:t>
      </w:r>
    </w:p>
    <w:p w:rsidR="00F50B90" w:rsidRPr="00F50B90" w:rsidRDefault="00F50B90" w:rsidP="00F50B90">
      <w:pPr>
        <w:spacing w:before="240" w:after="240" w:line="360" w:lineRule="auto"/>
        <w:ind w:right="50"/>
        <w:jc w:val="both"/>
        <w:rPr>
          <w:rFonts w:ascii="Palatino Linotype" w:eastAsia="Palatino Linotype" w:hAnsi="Palatino Linotype" w:cs="Palatino Linotype"/>
        </w:rPr>
      </w:pPr>
      <w:r w:rsidRPr="00F50B90">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rsidR="00F50B90" w:rsidRPr="00F50B90" w:rsidRDefault="00F50B90" w:rsidP="00F50B90">
      <w:pPr>
        <w:spacing w:before="120" w:after="120"/>
        <w:ind w:left="851" w:right="902"/>
        <w:jc w:val="both"/>
        <w:rPr>
          <w:rFonts w:ascii="Palatino Linotype" w:eastAsia="Palatino Linotype" w:hAnsi="Palatino Linotype" w:cs="Palatino Linotype"/>
          <w:i/>
          <w:sz w:val="22"/>
          <w:szCs w:val="22"/>
        </w:rPr>
      </w:pPr>
      <w:r w:rsidRPr="00F50B90">
        <w:rPr>
          <w:rFonts w:ascii="Palatino Linotype" w:eastAsia="Palatino Linotype" w:hAnsi="Palatino Linotype" w:cs="Palatino Linotype"/>
          <w:i/>
          <w:sz w:val="22"/>
          <w:szCs w:val="22"/>
        </w:rPr>
        <w:t>“</w:t>
      </w:r>
      <w:r w:rsidRPr="00F50B90">
        <w:rPr>
          <w:rFonts w:ascii="Palatino Linotype" w:eastAsia="Palatino Linotype" w:hAnsi="Palatino Linotype" w:cs="Palatino Linotype"/>
          <w:b/>
          <w:i/>
          <w:sz w:val="22"/>
          <w:szCs w:val="22"/>
        </w:rPr>
        <w:t>Artículo 3</w:t>
      </w:r>
      <w:r w:rsidRPr="00F50B90">
        <w:rPr>
          <w:rFonts w:ascii="Palatino Linotype" w:eastAsia="Palatino Linotype" w:hAnsi="Palatino Linotype" w:cs="Palatino Linotype"/>
          <w:i/>
          <w:sz w:val="22"/>
          <w:szCs w:val="22"/>
        </w:rPr>
        <w:t>. Para los efectos de la presente Ley se entenderá por:</w:t>
      </w:r>
    </w:p>
    <w:p w:rsidR="00F50B90" w:rsidRPr="00F50B90" w:rsidRDefault="00F50B90" w:rsidP="00F50B90">
      <w:pPr>
        <w:spacing w:before="120" w:after="120"/>
        <w:ind w:left="993" w:right="902"/>
        <w:jc w:val="both"/>
        <w:rPr>
          <w:rFonts w:ascii="Palatino Linotype" w:eastAsia="Palatino Linotype" w:hAnsi="Palatino Linotype" w:cs="Palatino Linotype"/>
          <w:i/>
          <w:sz w:val="22"/>
          <w:szCs w:val="22"/>
        </w:rPr>
      </w:pPr>
      <w:r w:rsidRPr="00F50B90">
        <w:rPr>
          <w:rFonts w:ascii="Palatino Linotype" w:eastAsia="Palatino Linotype" w:hAnsi="Palatino Linotype" w:cs="Palatino Linotype"/>
          <w:i/>
          <w:sz w:val="22"/>
          <w:szCs w:val="22"/>
        </w:rPr>
        <w:t>[…]</w:t>
      </w:r>
    </w:p>
    <w:p w:rsidR="00F50B90" w:rsidRPr="00F50B90" w:rsidRDefault="00F50B90" w:rsidP="00F50B90">
      <w:pPr>
        <w:spacing w:before="120" w:after="120"/>
        <w:ind w:left="993" w:right="902"/>
        <w:jc w:val="both"/>
        <w:rPr>
          <w:rFonts w:ascii="Palatino Linotype" w:eastAsia="Palatino Linotype" w:hAnsi="Palatino Linotype" w:cs="Palatino Linotype"/>
          <w:i/>
          <w:sz w:val="22"/>
          <w:szCs w:val="22"/>
        </w:rPr>
      </w:pPr>
      <w:r w:rsidRPr="00F50B90">
        <w:rPr>
          <w:rFonts w:ascii="Palatino Linotype" w:eastAsia="Palatino Linotype" w:hAnsi="Palatino Linotype" w:cs="Palatino Linotype"/>
          <w:b/>
          <w:i/>
          <w:sz w:val="22"/>
          <w:szCs w:val="22"/>
        </w:rPr>
        <w:t>IX. Datos personales:</w:t>
      </w:r>
      <w:r w:rsidRPr="00F50B90">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F50B90" w:rsidRPr="00F50B90" w:rsidRDefault="00F50B90" w:rsidP="00F50B90">
      <w:pPr>
        <w:spacing w:before="120" w:after="120"/>
        <w:ind w:left="993" w:right="902"/>
        <w:jc w:val="both"/>
        <w:rPr>
          <w:rFonts w:ascii="Palatino Linotype" w:eastAsia="Palatino Linotype" w:hAnsi="Palatino Linotype" w:cs="Palatino Linotype"/>
          <w:i/>
          <w:sz w:val="22"/>
          <w:szCs w:val="22"/>
        </w:rPr>
      </w:pPr>
      <w:r w:rsidRPr="00F50B90">
        <w:rPr>
          <w:rFonts w:ascii="Palatino Linotype" w:eastAsia="Palatino Linotype" w:hAnsi="Palatino Linotype" w:cs="Palatino Linotype"/>
          <w:b/>
          <w:i/>
          <w:sz w:val="22"/>
          <w:szCs w:val="22"/>
        </w:rPr>
        <w:t>XX. Información clasificada</w:t>
      </w:r>
      <w:r w:rsidRPr="00F50B90">
        <w:rPr>
          <w:rFonts w:ascii="Palatino Linotype" w:eastAsia="Palatino Linotype" w:hAnsi="Palatino Linotype" w:cs="Palatino Linotype"/>
          <w:i/>
          <w:sz w:val="22"/>
          <w:szCs w:val="22"/>
        </w:rPr>
        <w:t>: Aquella considerada por la presente Ley como reservada o confidencial;</w:t>
      </w:r>
    </w:p>
    <w:p w:rsidR="00F50B90" w:rsidRPr="00F50B90" w:rsidRDefault="00F50B90" w:rsidP="00F50B90">
      <w:pPr>
        <w:spacing w:before="120" w:after="120"/>
        <w:ind w:left="993" w:right="902"/>
        <w:jc w:val="both"/>
        <w:rPr>
          <w:rFonts w:ascii="Palatino Linotype" w:eastAsia="Palatino Linotype" w:hAnsi="Palatino Linotype" w:cs="Palatino Linotype"/>
          <w:i/>
          <w:sz w:val="22"/>
          <w:szCs w:val="22"/>
        </w:rPr>
      </w:pPr>
      <w:r w:rsidRPr="00F50B90">
        <w:rPr>
          <w:rFonts w:ascii="Palatino Linotype" w:eastAsia="Palatino Linotype" w:hAnsi="Palatino Linotype" w:cs="Palatino Linotype"/>
          <w:b/>
          <w:i/>
          <w:sz w:val="22"/>
          <w:szCs w:val="22"/>
        </w:rPr>
        <w:t>XXI. Información confidencial:</w:t>
      </w:r>
      <w:r w:rsidRPr="00F50B90">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F50B90" w:rsidRPr="00F50B90" w:rsidRDefault="00F50B90" w:rsidP="00F50B90">
      <w:pPr>
        <w:spacing w:before="120" w:after="120"/>
        <w:ind w:left="993" w:right="902"/>
        <w:jc w:val="both"/>
        <w:rPr>
          <w:rFonts w:ascii="Palatino Linotype" w:eastAsia="Palatino Linotype" w:hAnsi="Palatino Linotype" w:cs="Palatino Linotype"/>
          <w:i/>
          <w:sz w:val="22"/>
          <w:szCs w:val="22"/>
        </w:rPr>
      </w:pPr>
      <w:r w:rsidRPr="00F50B90">
        <w:rPr>
          <w:rFonts w:ascii="Palatino Linotype" w:eastAsia="Palatino Linotype" w:hAnsi="Palatino Linotype" w:cs="Palatino Linotype"/>
          <w:b/>
          <w:i/>
          <w:sz w:val="22"/>
          <w:szCs w:val="22"/>
        </w:rPr>
        <w:t>XLV. Versión pública:</w:t>
      </w:r>
      <w:r w:rsidRPr="00F50B90">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F50B90" w:rsidRPr="00F50B90" w:rsidRDefault="00F50B90" w:rsidP="00F50B90">
      <w:pPr>
        <w:spacing w:before="120" w:after="120"/>
        <w:ind w:left="993" w:right="902"/>
        <w:jc w:val="both"/>
        <w:rPr>
          <w:rFonts w:ascii="Palatino Linotype" w:eastAsia="Palatino Linotype" w:hAnsi="Palatino Linotype" w:cs="Palatino Linotype"/>
          <w:i/>
          <w:sz w:val="22"/>
          <w:szCs w:val="22"/>
        </w:rPr>
      </w:pPr>
      <w:r w:rsidRPr="00F50B90">
        <w:rPr>
          <w:rFonts w:ascii="Palatino Linotype" w:eastAsia="Palatino Linotype" w:hAnsi="Palatino Linotype" w:cs="Palatino Linotype"/>
          <w:i/>
          <w:sz w:val="22"/>
          <w:szCs w:val="22"/>
        </w:rPr>
        <w:t>[…]</w:t>
      </w:r>
    </w:p>
    <w:p w:rsidR="00F50B90" w:rsidRPr="00F50B90" w:rsidRDefault="00F50B90" w:rsidP="00F50B90">
      <w:pPr>
        <w:spacing w:before="120" w:after="120"/>
        <w:ind w:left="851" w:right="902"/>
        <w:jc w:val="both"/>
        <w:rPr>
          <w:rFonts w:ascii="Palatino Linotype" w:eastAsia="Palatino Linotype" w:hAnsi="Palatino Linotype" w:cs="Palatino Linotype"/>
          <w:i/>
          <w:sz w:val="22"/>
          <w:szCs w:val="22"/>
        </w:rPr>
      </w:pPr>
      <w:r w:rsidRPr="00F50B90">
        <w:rPr>
          <w:rFonts w:ascii="Palatino Linotype" w:eastAsia="Palatino Linotype" w:hAnsi="Palatino Linotype" w:cs="Palatino Linotype"/>
          <w:b/>
          <w:i/>
          <w:sz w:val="22"/>
          <w:szCs w:val="22"/>
        </w:rPr>
        <w:t xml:space="preserve">Artículo 91. </w:t>
      </w:r>
      <w:r w:rsidRPr="00F50B90">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F50B90" w:rsidRPr="00F50B90" w:rsidRDefault="00F50B90" w:rsidP="00F50B90">
      <w:pPr>
        <w:spacing w:before="120" w:after="120"/>
        <w:ind w:left="851" w:right="902"/>
        <w:jc w:val="both"/>
        <w:rPr>
          <w:rFonts w:ascii="Palatino Linotype" w:eastAsia="Palatino Linotype" w:hAnsi="Palatino Linotype" w:cs="Palatino Linotype"/>
          <w:i/>
          <w:sz w:val="22"/>
          <w:szCs w:val="22"/>
        </w:rPr>
      </w:pPr>
      <w:r w:rsidRPr="00F50B90">
        <w:rPr>
          <w:rFonts w:ascii="Palatino Linotype" w:eastAsia="Palatino Linotype" w:hAnsi="Palatino Linotype" w:cs="Palatino Linotype"/>
          <w:b/>
          <w:i/>
          <w:sz w:val="22"/>
          <w:szCs w:val="22"/>
        </w:rPr>
        <w:t xml:space="preserve">Artículo 132. </w:t>
      </w:r>
      <w:r w:rsidRPr="00F50B90">
        <w:rPr>
          <w:rFonts w:ascii="Palatino Linotype" w:eastAsia="Palatino Linotype" w:hAnsi="Palatino Linotype" w:cs="Palatino Linotype"/>
          <w:i/>
          <w:sz w:val="22"/>
          <w:szCs w:val="22"/>
        </w:rPr>
        <w:t>La clasificación de la información se llevará a cabo en el momento en que:</w:t>
      </w:r>
    </w:p>
    <w:p w:rsidR="00F50B90" w:rsidRPr="00F50B90" w:rsidRDefault="00F50B90" w:rsidP="00F50B90">
      <w:pPr>
        <w:spacing w:before="120" w:after="120"/>
        <w:ind w:left="993" w:right="902"/>
        <w:jc w:val="both"/>
        <w:rPr>
          <w:rFonts w:ascii="Palatino Linotype" w:eastAsia="Palatino Linotype" w:hAnsi="Palatino Linotype" w:cs="Palatino Linotype"/>
          <w:i/>
          <w:sz w:val="22"/>
          <w:szCs w:val="22"/>
        </w:rPr>
      </w:pPr>
      <w:r w:rsidRPr="00F50B90">
        <w:rPr>
          <w:rFonts w:ascii="Palatino Linotype" w:eastAsia="Palatino Linotype" w:hAnsi="Palatino Linotype" w:cs="Palatino Linotype"/>
          <w:b/>
          <w:i/>
          <w:sz w:val="22"/>
          <w:szCs w:val="22"/>
        </w:rPr>
        <w:t>I</w:t>
      </w:r>
      <w:r w:rsidRPr="00F50B90">
        <w:rPr>
          <w:rFonts w:ascii="Palatino Linotype" w:eastAsia="Palatino Linotype" w:hAnsi="Palatino Linotype" w:cs="Palatino Linotype"/>
          <w:i/>
          <w:sz w:val="22"/>
          <w:szCs w:val="22"/>
        </w:rPr>
        <w:t>. Se reciba una solicitud de acceso a la información;</w:t>
      </w:r>
    </w:p>
    <w:p w:rsidR="00F50B90" w:rsidRPr="00F50B90" w:rsidRDefault="00F50B90" w:rsidP="00F50B90">
      <w:pPr>
        <w:spacing w:before="120" w:after="120"/>
        <w:ind w:left="993" w:right="902"/>
        <w:jc w:val="both"/>
        <w:rPr>
          <w:rFonts w:ascii="Palatino Linotype" w:eastAsia="Palatino Linotype" w:hAnsi="Palatino Linotype" w:cs="Palatino Linotype"/>
          <w:i/>
          <w:sz w:val="22"/>
          <w:szCs w:val="22"/>
        </w:rPr>
      </w:pPr>
      <w:r w:rsidRPr="00F50B90">
        <w:rPr>
          <w:rFonts w:ascii="Palatino Linotype" w:eastAsia="Palatino Linotype" w:hAnsi="Palatino Linotype" w:cs="Palatino Linotype"/>
          <w:b/>
          <w:i/>
          <w:sz w:val="22"/>
          <w:szCs w:val="22"/>
        </w:rPr>
        <w:t>II</w:t>
      </w:r>
      <w:r w:rsidRPr="00F50B90">
        <w:rPr>
          <w:rFonts w:ascii="Palatino Linotype" w:eastAsia="Palatino Linotype" w:hAnsi="Palatino Linotype" w:cs="Palatino Linotype"/>
          <w:i/>
          <w:sz w:val="22"/>
          <w:szCs w:val="22"/>
        </w:rPr>
        <w:t>. Se determine mediante resolución de autoridad competente; o</w:t>
      </w:r>
    </w:p>
    <w:p w:rsidR="00F50B90" w:rsidRPr="00F50B90" w:rsidRDefault="00F50B90" w:rsidP="00F50B90">
      <w:pPr>
        <w:spacing w:before="120" w:after="120"/>
        <w:ind w:left="993" w:right="902"/>
        <w:jc w:val="both"/>
        <w:rPr>
          <w:rFonts w:ascii="Palatino Linotype" w:eastAsia="Palatino Linotype" w:hAnsi="Palatino Linotype" w:cs="Palatino Linotype"/>
          <w:i/>
          <w:sz w:val="22"/>
          <w:szCs w:val="22"/>
        </w:rPr>
      </w:pPr>
      <w:r w:rsidRPr="00F50B90">
        <w:rPr>
          <w:rFonts w:ascii="Palatino Linotype" w:eastAsia="Palatino Linotype" w:hAnsi="Palatino Linotype" w:cs="Palatino Linotype"/>
          <w:b/>
          <w:i/>
          <w:sz w:val="22"/>
          <w:szCs w:val="22"/>
        </w:rPr>
        <w:t>III</w:t>
      </w:r>
      <w:r w:rsidRPr="00F50B90">
        <w:rPr>
          <w:rFonts w:ascii="Palatino Linotype" w:eastAsia="Palatino Linotype" w:hAnsi="Palatino Linotype" w:cs="Palatino Linotype"/>
          <w:i/>
          <w:sz w:val="22"/>
          <w:szCs w:val="22"/>
        </w:rPr>
        <w:t>. Se generen versiones públicas para dar cumplimiento a las obligaciones de transparencia previstas en esta Ley.</w:t>
      </w:r>
    </w:p>
    <w:p w:rsidR="00F50B90" w:rsidRPr="00F50B90" w:rsidRDefault="00F50B90" w:rsidP="00F50B90">
      <w:pPr>
        <w:spacing w:before="120" w:after="120"/>
        <w:ind w:left="851" w:right="902"/>
        <w:jc w:val="both"/>
        <w:rPr>
          <w:rFonts w:ascii="Palatino Linotype" w:eastAsia="Palatino Linotype" w:hAnsi="Palatino Linotype" w:cs="Palatino Linotype"/>
          <w:i/>
          <w:sz w:val="22"/>
          <w:szCs w:val="22"/>
        </w:rPr>
      </w:pPr>
      <w:r w:rsidRPr="00F50B90">
        <w:rPr>
          <w:rFonts w:ascii="Palatino Linotype" w:eastAsia="Palatino Linotype" w:hAnsi="Palatino Linotype" w:cs="Palatino Linotype"/>
          <w:i/>
          <w:sz w:val="22"/>
          <w:szCs w:val="22"/>
        </w:rPr>
        <w:t>[…]</w:t>
      </w:r>
    </w:p>
    <w:p w:rsidR="00F50B90" w:rsidRPr="00F50B90" w:rsidRDefault="00F50B90" w:rsidP="00F50B90">
      <w:pPr>
        <w:spacing w:before="120" w:after="120"/>
        <w:ind w:left="851" w:right="902"/>
        <w:jc w:val="both"/>
        <w:rPr>
          <w:rFonts w:ascii="Palatino Linotype" w:eastAsia="Palatino Linotype" w:hAnsi="Palatino Linotype" w:cs="Palatino Linotype"/>
          <w:i/>
          <w:sz w:val="22"/>
          <w:szCs w:val="22"/>
        </w:rPr>
      </w:pPr>
      <w:r w:rsidRPr="00F50B90">
        <w:rPr>
          <w:rFonts w:ascii="Palatino Linotype" w:eastAsia="Palatino Linotype" w:hAnsi="Palatino Linotype" w:cs="Palatino Linotype"/>
          <w:b/>
          <w:i/>
          <w:sz w:val="22"/>
          <w:szCs w:val="22"/>
        </w:rPr>
        <w:lastRenderedPageBreak/>
        <w:t>Artículo 143</w:t>
      </w:r>
      <w:r w:rsidRPr="00F50B90">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F50B90" w:rsidRPr="00F50B90" w:rsidRDefault="00F50B90" w:rsidP="00F50B90">
      <w:pPr>
        <w:spacing w:before="120" w:after="120"/>
        <w:ind w:left="993" w:right="902"/>
        <w:jc w:val="both"/>
        <w:rPr>
          <w:rFonts w:ascii="Palatino Linotype" w:eastAsia="Palatino Linotype" w:hAnsi="Palatino Linotype" w:cs="Palatino Linotype"/>
          <w:i/>
          <w:sz w:val="22"/>
          <w:szCs w:val="22"/>
        </w:rPr>
      </w:pPr>
      <w:r w:rsidRPr="00F50B90">
        <w:rPr>
          <w:rFonts w:ascii="Palatino Linotype" w:eastAsia="Palatino Linotype" w:hAnsi="Palatino Linotype" w:cs="Palatino Linotype"/>
          <w:b/>
          <w:i/>
          <w:sz w:val="22"/>
          <w:szCs w:val="22"/>
        </w:rPr>
        <w:t>I.</w:t>
      </w:r>
      <w:r w:rsidRPr="00F50B90">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rsidR="00F50B90" w:rsidRPr="00F50B90" w:rsidRDefault="00F50B90" w:rsidP="00F50B90">
      <w:pPr>
        <w:spacing w:before="120" w:after="120"/>
        <w:ind w:left="993" w:right="902"/>
        <w:jc w:val="both"/>
        <w:rPr>
          <w:rFonts w:ascii="Palatino Linotype" w:eastAsia="Palatino Linotype" w:hAnsi="Palatino Linotype" w:cs="Palatino Linotype"/>
          <w:i/>
          <w:sz w:val="22"/>
          <w:szCs w:val="22"/>
        </w:rPr>
      </w:pPr>
      <w:r w:rsidRPr="00F50B90">
        <w:rPr>
          <w:rFonts w:ascii="Palatino Linotype" w:eastAsia="Palatino Linotype" w:hAnsi="Palatino Linotype" w:cs="Palatino Linotype"/>
          <w:b/>
          <w:i/>
          <w:sz w:val="22"/>
          <w:szCs w:val="22"/>
        </w:rPr>
        <w:t>II.</w:t>
      </w:r>
      <w:r w:rsidRPr="00F50B90">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F50B90" w:rsidRPr="00F50B90" w:rsidRDefault="00F50B90" w:rsidP="00F50B90">
      <w:pPr>
        <w:spacing w:before="120" w:after="120"/>
        <w:ind w:left="993" w:right="902"/>
        <w:jc w:val="both"/>
        <w:rPr>
          <w:rFonts w:ascii="Palatino Linotype" w:eastAsia="Palatino Linotype" w:hAnsi="Palatino Linotype" w:cs="Palatino Linotype"/>
          <w:i/>
          <w:sz w:val="22"/>
          <w:szCs w:val="22"/>
        </w:rPr>
      </w:pPr>
      <w:r w:rsidRPr="00F50B90">
        <w:rPr>
          <w:rFonts w:ascii="Palatino Linotype" w:eastAsia="Palatino Linotype" w:hAnsi="Palatino Linotype" w:cs="Palatino Linotype"/>
          <w:b/>
          <w:i/>
          <w:sz w:val="22"/>
          <w:szCs w:val="22"/>
        </w:rPr>
        <w:t>III</w:t>
      </w:r>
      <w:r w:rsidRPr="00F50B90">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rsidR="00F50B90" w:rsidRPr="00F50B90" w:rsidRDefault="00F50B90" w:rsidP="00F50B90">
      <w:pPr>
        <w:spacing w:before="120" w:after="120"/>
        <w:ind w:left="851" w:right="902"/>
        <w:jc w:val="both"/>
        <w:rPr>
          <w:rFonts w:ascii="Palatino Linotype" w:eastAsia="Palatino Linotype" w:hAnsi="Palatino Linotype" w:cs="Palatino Linotype"/>
          <w:i/>
          <w:sz w:val="22"/>
          <w:szCs w:val="22"/>
        </w:rPr>
      </w:pPr>
      <w:r w:rsidRPr="00F50B90">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F50B90" w:rsidRPr="00F50B90" w:rsidRDefault="00F50B90" w:rsidP="00F50B90">
      <w:pPr>
        <w:spacing w:before="120" w:after="120"/>
        <w:ind w:left="851" w:right="902"/>
        <w:jc w:val="both"/>
        <w:rPr>
          <w:rFonts w:ascii="Palatino Linotype" w:eastAsia="Palatino Linotype" w:hAnsi="Palatino Linotype" w:cs="Palatino Linotype"/>
          <w:i/>
          <w:sz w:val="22"/>
          <w:szCs w:val="22"/>
        </w:rPr>
      </w:pPr>
      <w:r w:rsidRPr="00F50B90">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F50B90" w:rsidRPr="00F50B90" w:rsidRDefault="00F50B90" w:rsidP="00F50B90">
      <w:pPr>
        <w:spacing w:before="240" w:after="240" w:line="360" w:lineRule="auto"/>
        <w:jc w:val="both"/>
        <w:rPr>
          <w:rFonts w:ascii="Palatino Linotype" w:eastAsia="Palatino Linotype" w:hAnsi="Palatino Linotype" w:cs="Palatino Linotype"/>
        </w:rPr>
      </w:pPr>
      <w:r w:rsidRPr="00F50B90">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F50B90" w:rsidRPr="00F50B90" w:rsidRDefault="00F50B90" w:rsidP="00F50B90">
      <w:pPr>
        <w:spacing w:before="240" w:after="240" w:line="360" w:lineRule="auto"/>
        <w:jc w:val="both"/>
        <w:rPr>
          <w:rFonts w:ascii="Palatino Linotype" w:eastAsia="Palatino Linotype" w:hAnsi="Palatino Linotype" w:cs="Palatino Linotype"/>
        </w:rPr>
      </w:pPr>
      <w:r w:rsidRPr="00F50B90">
        <w:rPr>
          <w:rFonts w:ascii="Palatino Linotype" w:eastAsia="Palatino Linotype" w:hAnsi="Palatino Linotype" w:cs="Palatino Linotype"/>
        </w:rPr>
        <w:t>Entorno a lo que aquí nos interesa, los Lineamientos Quincuagésimo sexto, Quincuagésimo séptimo y Quincuagésimo octavo, establecen lo siguiente:</w:t>
      </w:r>
    </w:p>
    <w:p w:rsidR="00F50B90" w:rsidRPr="00F50B90" w:rsidRDefault="00F50B90" w:rsidP="00F50B90">
      <w:pPr>
        <w:spacing w:before="120" w:after="120"/>
        <w:ind w:left="851" w:right="902"/>
        <w:jc w:val="both"/>
        <w:rPr>
          <w:rFonts w:ascii="Palatino Linotype" w:eastAsia="Palatino Linotype" w:hAnsi="Palatino Linotype" w:cs="Palatino Linotype"/>
          <w:i/>
          <w:sz w:val="22"/>
          <w:szCs w:val="22"/>
        </w:rPr>
      </w:pPr>
      <w:r w:rsidRPr="00F50B90">
        <w:rPr>
          <w:rFonts w:ascii="Palatino Linotype" w:eastAsia="Palatino Linotype" w:hAnsi="Palatino Linotype" w:cs="Palatino Linotype"/>
          <w:i/>
          <w:sz w:val="22"/>
          <w:szCs w:val="22"/>
        </w:rPr>
        <w:lastRenderedPageBreak/>
        <w:t>“</w:t>
      </w:r>
      <w:r w:rsidRPr="00F50B90">
        <w:rPr>
          <w:rFonts w:ascii="Palatino Linotype" w:eastAsia="Palatino Linotype" w:hAnsi="Palatino Linotype" w:cs="Palatino Linotype"/>
          <w:b/>
          <w:i/>
          <w:sz w:val="22"/>
          <w:szCs w:val="22"/>
        </w:rPr>
        <w:t>Quincuagésimo sexto</w:t>
      </w:r>
      <w:r w:rsidRPr="00F50B90">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F50B90" w:rsidRPr="00F50B90" w:rsidRDefault="00F50B90" w:rsidP="00F50B90">
      <w:pPr>
        <w:spacing w:before="120" w:after="120"/>
        <w:ind w:left="851" w:right="902"/>
        <w:jc w:val="both"/>
        <w:rPr>
          <w:rFonts w:ascii="Palatino Linotype" w:eastAsia="Palatino Linotype" w:hAnsi="Palatino Linotype" w:cs="Palatino Linotype"/>
          <w:i/>
          <w:sz w:val="22"/>
          <w:szCs w:val="22"/>
        </w:rPr>
      </w:pPr>
      <w:r w:rsidRPr="00F50B90">
        <w:rPr>
          <w:rFonts w:ascii="Palatino Linotype" w:eastAsia="Palatino Linotype" w:hAnsi="Palatino Linotype" w:cs="Palatino Linotype"/>
          <w:b/>
          <w:i/>
          <w:sz w:val="22"/>
          <w:szCs w:val="22"/>
        </w:rPr>
        <w:t>Quincuagésimo séptimo</w:t>
      </w:r>
      <w:r w:rsidRPr="00F50B90">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rsidR="00F50B90" w:rsidRPr="00F50B90" w:rsidRDefault="00F50B90" w:rsidP="00F50B90">
      <w:pPr>
        <w:spacing w:before="120" w:after="120"/>
        <w:ind w:left="993" w:right="902"/>
        <w:jc w:val="both"/>
        <w:rPr>
          <w:rFonts w:ascii="Palatino Linotype" w:eastAsia="Palatino Linotype" w:hAnsi="Palatino Linotype" w:cs="Palatino Linotype"/>
          <w:i/>
          <w:sz w:val="22"/>
          <w:szCs w:val="22"/>
        </w:rPr>
      </w:pPr>
      <w:r w:rsidRPr="00F50B90">
        <w:rPr>
          <w:rFonts w:ascii="Palatino Linotype" w:eastAsia="Palatino Linotype" w:hAnsi="Palatino Linotype" w:cs="Palatino Linotype"/>
          <w:b/>
          <w:i/>
          <w:sz w:val="22"/>
          <w:szCs w:val="22"/>
        </w:rPr>
        <w:t>I</w:t>
      </w:r>
      <w:r w:rsidRPr="00F50B90">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rsidR="00F50B90" w:rsidRPr="00F50B90" w:rsidRDefault="00F50B90" w:rsidP="00F50B90">
      <w:pPr>
        <w:spacing w:before="120" w:after="120"/>
        <w:ind w:left="993" w:right="902"/>
        <w:jc w:val="both"/>
        <w:rPr>
          <w:rFonts w:ascii="Palatino Linotype" w:eastAsia="Palatino Linotype" w:hAnsi="Palatino Linotype" w:cs="Palatino Linotype"/>
          <w:i/>
          <w:sz w:val="22"/>
          <w:szCs w:val="22"/>
        </w:rPr>
      </w:pPr>
      <w:r w:rsidRPr="00F50B90">
        <w:rPr>
          <w:rFonts w:ascii="Palatino Linotype" w:eastAsia="Palatino Linotype" w:hAnsi="Palatino Linotype" w:cs="Palatino Linotype"/>
          <w:b/>
          <w:i/>
          <w:sz w:val="22"/>
          <w:szCs w:val="22"/>
        </w:rPr>
        <w:t>II.</w:t>
      </w:r>
      <w:r w:rsidRPr="00F50B90">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rsidR="00F50B90" w:rsidRPr="00F50B90" w:rsidRDefault="00F50B90" w:rsidP="00F50B90">
      <w:pPr>
        <w:spacing w:before="120" w:after="120"/>
        <w:ind w:left="993" w:right="902"/>
        <w:jc w:val="both"/>
        <w:rPr>
          <w:rFonts w:ascii="Palatino Linotype" w:eastAsia="Palatino Linotype" w:hAnsi="Palatino Linotype" w:cs="Palatino Linotype"/>
          <w:i/>
          <w:sz w:val="22"/>
          <w:szCs w:val="22"/>
        </w:rPr>
      </w:pPr>
      <w:r w:rsidRPr="00F50B90">
        <w:rPr>
          <w:rFonts w:ascii="Palatino Linotype" w:eastAsia="Palatino Linotype" w:hAnsi="Palatino Linotype" w:cs="Palatino Linotype"/>
          <w:b/>
          <w:i/>
          <w:sz w:val="22"/>
          <w:szCs w:val="22"/>
        </w:rPr>
        <w:t>III.</w:t>
      </w:r>
      <w:r w:rsidRPr="00F50B90">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F50B90" w:rsidRPr="00F50B90" w:rsidRDefault="00F50B90" w:rsidP="00F50B90">
      <w:pPr>
        <w:spacing w:before="120" w:after="120"/>
        <w:ind w:left="851" w:right="902"/>
        <w:jc w:val="both"/>
        <w:rPr>
          <w:rFonts w:ascii="Palatino Linotype" w:eastAsia="Palatino Linotype" w:hAnsi="Palatino Linotype" w:cs="Palatino Linotype"/>
          <w:i/>
          <w:sz w:val="22"/>
          <w:szCs w:val="22"/>
        </w:rPr>
      </w:pPr>
      <w:r w:rsidRPr="00F50B90">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rsidR="00F50B90" w:rsidRPr="00F50B90" w:rsidRDefault="00F50B90" w:rsidP="00F50B90">
      <w:pPr>
        <w:spacing w:before="120" w:after="120"/>
        <w:ind w:left="851" w:right="902"/>
        <w:jc w:val="both"/>
        <w:rPr>
          <w:rFonts w:ascii="Palatino Linotype" w:eastAsia="Palatino Linotype" w:hAnsi="Palatino Linotype" w:cs="Palatino Linotype"/>
          <w:i/>
          <w:sz w:val="22"/>
          <w:szCs w:val="22"/>
        </w:rPr>
      </w:pPr>
      <w:r w:rsidRPr="00F50B90">
        <w:rPr>
          <w:rFonts w:ascii="Palatino Linotype" w:eastAsia="Palatino Linotype" w:hAnsi="Palatino Linotype" w:cs="Palatino Linotype"/>
          <w:b/>
          <w:i/>
          <w:sz w:val="22"/>
          <w:szCs w:val="22"/>
        </w:rPr>
        <w:t>Quincuagésimo octavo</w:t>
      </w:r>
      <w:r w:rsidRPr="00F50B90">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rsidR="00F50B90" w:rsidRPr="00F50B90" w:rsidRDefault="00F50B90" w:rsidP="00F50B90">
      <w:pPr>
        <w:spacing w:before="240" w:after="240" w:line="360" w:lineRule="auto"/>
        <w:jc w:val="both"/>
        <w:rPr>
          <w:rFonts w:ascii="Palatino Linotype" w:eastAsia="Palatino Linotype" w:hAnsi="Palatino Linotype" w:cs="Palatino Linotype"/>
        </w:rPr>
      </w:pPr>
      <w:r w:rsidRPr="00F50B90">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w:t>
      </w:r>
      <w:r w:rsidRPr="00F50B90">
        <w:rPr>
          <w:rFonts w:ascii="Palatino Linotype" w:eastAsia="Palatino Linotype" w:hAnsi="Palatino Linotype" w:cs="Palatino Linotype"/>
        </w:rPr>
        <w:lastRenderedPageBreak/>
        <w:t>se testan o suprimen- deja al solicitante en estado de incertidumbre, al no conocer o comprender porque no aparecen en la documentación respectiva.</w:t>
      </w:r>
    </w:p>
    <w:p w:rsidR="00F50B90" w:rsidRPr="00F50B90" w:rsidRDefault="00F50B90" w:rsidP="00F50B90">
      <w:pPr>
        <w:spacing w:before="240" w:after="240" w:line="360" w:lineRule="auto"/>
        <w:jc w:val="both"/>
        <w:rPr>
          <w:rFonts w:ascii="Palatino Linotype" w:eastAsia="Palatino Linotype" w:hAnsi="Palatino Linotype" w:cs="Palatino Linotype"/>
        </w:rPr>
      </w:pPr>
      <w:r w:rsidRPr="00F50B90">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3119"/>
        <w:gridCol w:w="1129"/>
        <w:gridCol w:w="3446"/>
      </w:tblGrid>
      <w:tr w:rsidR="00F50B90" w:rsidRPr="00F50B90" w:rsidTr="00977F3C">
        <w:tc>
          <w:tcPr>
            <w:tcW w:w="4253" w:type="dxa"/>
            <w:gridSpan w:val="2"/>
            <w:tcBorders>
              <w:top w:val="nil"/>
              <w:left w:val="nil"/>
              <w:right w:val="nil"/>
            </w:tcBorders>
          </w:tcPr>
          <w:p w:rsidR="00F50B90" w:rsidRPr="00F50B90" w:rsidRDefault="00F50B90" w:rsidP="00F50B90">
            <w:pPr>
              <w:jc w:val="center"/>
              <w:rPr>
                <w:rFonts w:ascii="Palatino Linotype" w:eastAsia="Palatino Linotype" w:hAnsi="Palatino Linotype" w:cs="Palatino Linotype"/>
                <w:b/>
                <w:sz w:val="12"/>
                <w:szCs w:val="12"/>
              </w:rPr>
            </w:pPr>
            <w:r w:rsidRPr="00F50B90">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rsidR="00F50B90" w:rsidRPr="00F50B90" w:rsidRDefault="00F50B90" w:rsidP="00F50B90">
            <w:pPr>
              <w:jc w:val="center"/>
              <w:rPr>
                <w:rFonts w:ascii="Palatino Linotype" w:eastAsia="Palatino Linotype" w:hAnsi="Palatino Linotype" w:cs="Palatino Linotype"/>
                <w:b/>
                <w:sz w:val="12"/>
                <w:szCs w:val="12"/>
              </w:rPr>
            </w:pPr>
            <w:r w:rsidRPr="00F50B90">
              <w:rPr>
                <w:rFonts w:ascii="Palatino Linotype" w:eastAsia="Palatino Linotype" w:hAnsi="Palatino Linotype" w:cs="Palatino Linotype"/>
                <w:b/>
                <w:sz w:val="12"/>
                <w:szCs w:val="12"/>
              </w:rPr>
              <w:t>Total</w:t>
            </w:r>
          </w:p>
        </w:tc>
      </w:tr>
      <w:tr w:rsidR="00F50B90" w:rsidRPr="00F50B90" w:rsidTr="00977F3C">
        <w:tc>
          <w:tcPr>
            <w:tcW w:w="1134" w:type="dxa"/>
          </w:tcPr>
          <w:p w:rsidR="00F50B90" w:rsidRPr="00F50B90" w:rsidRDefault="00F50B90" w:rsidP="00F50B90">
            <w:pPr>
              <w:jc w:val="center"/>
              <w:rPr>
                <w:rFonts w:ascii="Palatino Linotype" w:eastAsia="Palatino Linotype" w:hAnsi="Palatino Linotype" w:cs="Palatino Linotype"/>
                <w:b/>
                <w:sz w:val="12"/>
                <w:szCs w:val="12"/>
              </w:rPr>
            </w:pPr>
            <w:r w:rsidRPr="00F50B90">
              <w:rPr>
                <w:rFonts w:ascii="Palatino Linotype" w:eastAsia="Palatino Linotype" w:hAnsi="Palatino Linotype" w:cs="Palatino Linotype"/>
                <w:b/>
                <w:sz w:val="12"/>
                <w:szCs w:val="12"/>
              </w:rPr>
              <w:t>Concepto</w:t>
            </w:r>
          </w:p>
        </w:tc>
        <w:tc>
          <w:tcPr>
            <w:tcW w:w="3119" w:type="dxa"/>
          </w:tcPr>
          <w:p w:rsidR="00F50B90" w:rsidRPr="00F50B90" w:rsidRDefault="00F50B90" w:rsidP="00F50B90">
            <w:pPr>
              <w:jc w:val="center"/>
              <w:rPr>
                <w:rFonts w:ascii="Palatino Linotype" w:eastAsia="Palatino Linotype" w:hAnsi="Palatino Linotype" w:cs="Palatino Linotype"/>
                <w:b/>
                <w:sz w:val="12"/>
                <w:szCs w:val="12"/>
              </w:rPr>
            </w:pPr>
            <w:r w:rsidRPr="00F50B90">
              <w:rPr>
                <w:rFonts w:ascii="Palatino Linotype" w:eastAsia="Palatino Linotype" w:hAnsi="Palatino Linotype" w:cs="Palatino Linotype"/>
                <w:b/>
                <w:sz w:val="12"/>
                <w:szCs w:val="12"/>
              </w:rPr>
              <w:t>Dónde</w:t>
            </w:r>
          </w:p>
        </w:tc>
        <w:tc>
          <w:tcPr>
            <w:tcW w:w="1129" w:type="dxa"/>
          </w:tcPr>
          <w:p w:rsidR="00F50B90" w:rsidRPr="00F50B90" w:rsidRDefault="00F50B90" w:rsidP="00F50B90">
            <w:pPr>
              <w:jc w:val="center"/>
              <w:rPr>
                <w:rFonts w:ascii="Palatino Linotype" w:eastAsia="Palatino Linotype" w:hAnsi="Palatino Linotype" w:cs="Palatino Linotype"/>
                <w:b/>
                <w:sz w:val="12"/>
                <w:szCs w:val="12"/>
              </w:rPr>
            </w:pPr>
            <w:r w:rsidRPr="00F50B90">
              <w:rPr>
                <w:rFonts w:ascii="Palatino Linotype" w:eastAsia="Palatino Linotype" w:hAnsi="Palatino Linotype" w:cs="Palatino Linotype"/>
                <w:b/>
                <w:sz w:val="12"/>
                <w:szCs w:val="12"/>
              </w:rPr>
              <w:t>Concepto</w:t>
            </w:r>
          </w:p>
        </w:tc>
        <w:tc>
          <w:tcPr>
            <w:tcW w:w="3446" w:type="dxa"/>
          </w:tcPr>
          <w:p w:rsidR="00F50B90" w:rsidRPr="00F50B90" w:rsidRDefault="00F50B90" w:rsidP="00F50B90">
            <w:pPr>
              <w:jc w:val="center"/>
              <w:rPr>
                <w:rFonts w:ascii="Palatino Linotype" w:eastAsia="Palatino Linotype" w:hAnsi="Palatino Linotype" w:cs="Palatino Linotype"/>
                <w:b/>
                <w:sz w:val="12"/>
                <w:szCs w:val="12"/>
              </w:rPr>
            </w:pPr>
            <w:r w:rsidRPr="00F50B90">
              <w:rPr>
                <w:rFonts w:ascii="Palatino Linotype" w:eastAsia="Palatino Linotype" w:hAnsi="Palatino Linotype" w:cs="Palatino Linotype"/>
                <w:b/>
                <w:sz w:val="12"/>
                <w:szCs w:val="12"/>
              </w:rPr>
              <w:t>Dónde</w:t>
            </w:r>
          </w:p>
        </w:tc>
      </w:tr>
      <w:tr w:rsidR="00F50B90" w:rsidRPr="00F50B90" w:rsidTr="00977F3C">
        <w:tc>
          <w:tcPr>
            <w:tcW w:w="8828" w:type="dxa"/>
            <w:gridSpan w:val="4"/>
          </w:tcPr>
          <w:p w:rsidR="00F50B90" w:rsidRPr="00F50B90" w:rsidRDefault="00F50B90" w:rsidP="00F50B90">
            <w:pPr>
              <w:jc w:val="center"/>
              <w:rPr>
                <w:rFonts w:ascii="Palatino Linotype" w:eastAsia="Palatino Linotype" w:hAnsi="Palatino Linotype" w:cs="Palatino Linotype"/>
                <w:b/>
                <w:sz w:val="12"/>
                <w:szCs w:val="12"/>
              </w:rPr>
            </w:pPr>
            <w:r w:rsidRPr="00F50B90">
              <w:rPr>
                <w:rFonts w:ascii="Palatino Linotype" w:eastAsia="Palatino Linotype" w:hAnsi="Palatino Linotype" w:cs="Palatino Linotype"/>
                <w:b/>
                <w:sz w:val="12"/>
                <w:szCs w:val="12"/>
              </w:rPr>
              <w:t>Sello oficial o logotipo del sujeto obligado</w:t>
            </w:r>
          </w:p>
        </w:tc>
      </w:tr>
      <w:tr w:rsidR="00F50B90" w:rsidRPr="00F50B90" w:rsidTr="00977F3C">
        <w:tc>
          <w:tcPr>
            <w:tcW w:w="1134" w:type="dxa"/>
          </w:tcPr>
          <w:p w:rsidR="00F50B90" w:rsidRPr="00F50B90" w:rsidRDefault="00F50B90" w:rsidP="00F50B90">
            <w:pPr>
              <w:jc w:val="both"/>
              <w:rPr>
                <w:rFonts w:ascii="Palatino Linotype" w:eastAsia="Palatino Linotype" w:hAnsi="Palatino Linotype" w:cs="Palatino Linotype"/>
                <w:b/>
                <w:sz w:val="12"/>
                <w:szCs w:val="12"/>
              </w:rPr>
            </w:pPr>
            <w:r w:rsidRPr="00F50B90">
              <w:rPr>
                <w:rFonts w:ascii="Palatino Linotype" w:eastAsia="Palatino Linotype" w:hAnsi="Palatino Linotype" w:cs="Palatino Linotype"/>
                <w:b/>
                <w:sz w:val="12"/>
                <w:szCs w:val="12"/>
              </w:rPr>
              <w:t>Fecha de clasificación</w:t>
            </w:r>
          </w:p>
        </w:tc>
        <w:tc>
          <w:tcPr>
            <w:tcW w:w="3119" w:type="dxa"/>
          </w:tcPr>
          <w:p w:rsidR="00F50B90" w:rsidRPr="00F50B90" w:rsidRDefault="00F50B90" w:rsidP="00F50B90">
            <w:pPr>
              <w:jc w:val="both"/>
              <w:rPr>
                <w:rFonts w:ascii="Palatino Linotype" w:eastAsia="Palatino Linotype" w:hAnsi="Palatino Linotype" w:cs="Palatino Linotype"/>
                <w:sz w:val="12"/>
                <w:szCs w:val="12"/>
              </w:rPr>
            </w:pPr>
            <w:r w:rsidRPr="00F50B90">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rsidR="00F50B90" w:rsidRPr="00F50B90" w:rsidRDefault="00F50B90" w:rsidP="00F50B90">
            <w:pPr>
              <w:jc w:val="both"/>
              <w:rPr>
                <w:rFonts w:ascii="Palatino Linotype" w:eastAsia="Palatino Linotype" w:hAnsi="Palatino Linotype" w:cs="Palatino Linotype"/>
                <w:b/>
                <w:sz w:val="12"/>
                <w:szCs w:val="12"/>
              </w:rPr>
            </w:pPr>
            <w:r w:rsidRPr="00F50B90">
              <w:rPr>
                <w:rFonts w:ascii="Palatino Linotype" w:eastAsia="Palatino Linotype" w:hAnsi="Palatino Linotype" w:cs="Palatino Linotype"/>
                <w:b/>
                <w:sz w:val="12"/>
                <w:szCs w:val="12"/>
              </w:rPr>
              <w:t>Fecha de clasificación</w:t>
            </w:r>
          </w:p>
        </w:tc>
        <w:tc>
          <w:tcPr>
            <w:tcW w:w="3446" w:type="dxa"/>
          </w:tcPr>
          <w:p w:rsidR="00F50B90" w:rsidRPr="00F50B90" w:rsidRDefault="00F50B90" w:rsidP="00F50B90">
            <w:pPr>
              <w:jc w:val="both"/>
              <w:rPr>
                <w:rFonts w:ascii="Palatino Linotype" w:eastAsia="Palatino Linotype" w:hAnsi="Palatino Linotype" w:cs="Palatino Linotype"/>
                <w:sz w:val="12"/>
                <w:szCs w:val="12"/>
              </w:rPr>
            </w:pPr>
            <w:r w:rsidRPr="00F50B90">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F50B90" w:rsidRPr="00F50B90" w:rsidTr="00977F3C">
        <w:tc>
          <w:tcPr>
            <w:tcW w:w="1134" w:type="dxa"/>
          </w:tcPr>
          <w:p w:rsidR="00F50B90" w:rsidRPr="00F50B90" w:rsidRDefault="00F50B90" w:rsidP="00F50B90">
            <w:pPr>
              <w:jc w:val="both"/>
              <w:rPr>
                <w:rFonts w:ascii="Palatino Linotype" w:eastAsia="Palatino Linotype" w:hAnsi="Palatino Linotype" w:cs="Palatino Linotype"/>
                <w:b/>
                <w:sz w:val="12"/>
                <w:szCs w:val="12"/>
              </w:rPr>
            </w:pPr>
            <w:r w:rsidRPr="00F50B90">
              <w:rPr>
                <w:rFonts w:ascii="Palatino Linotype" w:eastAsia="Palatino Linotype" w:hAnsi="Palatino Linotype" w:cs="Palatino Linotype"/>
                <w:b/>
                <w:sz w:val="12"/>
                <w:szCs w:val="12"/>
              </w:rPr>
              <w:t>Área</w:t>
            </w:r>
          </w:p>
        </w:tc>
        <w:tc>
          <w:tcPr>
            <w:tcW w:w="3119" w:type="dxa"/>
          </w:tcPr>
          <w:p w:rsidR="00F50B90" w:rsidRPr="00F50B90" w:rsidRDefault="00F50B90" w:rsidP="00F50B90">
            <w:pPr>
              <w:jc w:val="both"/>
              <w:rPr>
                <w:rFonts w:ascii="Palatino Linotype" w:eastAsia="Palatino Linotype" w:hAnsi="Palatino Linotype" w:cs="Palatino Linotype"/>
                <w:sz w:val="12"/>
                <w:szCs w:val="12"/>
              </w:rPr>
            </w:pPr>
            <w:r w:rsidRPr="00F50B90">
              <w:rPr>
                <w:rFonts w:ascii="Palatino Linotype" w:eastAsia="Palatino Linotype" w:hAnsi="Palatino Linotype" w:cs="Palatino Linotype"/>
                <w:sz w:val="12"/>
                <w:szCs w:val="12"/>
              </w:rPr>
              <w:t>Se señalará el nombre del área del cual es titular quien clasifica.</w:t>
            </w:r>
          </w:p>
        </w:tc>
        <w:tc>
          <w:tcPr>
            <w:tcW w:w="1129" w:type="dxa"/>
          </w:tcPr>
          <w:p w:rsidR="00F50B90" w:rsidRPr="00F50B90" w:rsidRDefault="00F50B90" w:rsidP="00F50B90">
            <w:pPr>
              <w:jc w:val="both"/>
              <w:rPr>
                <w:rFonts w:ascii="Palatino Linotype" w:eastAsia="Palatino Linotype" w:hAnsi="Palatino Linotype" w:cs="Palatino Linotype"/>
                <w:b/>
                <w:sz w:val="12"/>
                <w:szCs w:val="12"/>
              </w:rPr>
            </w:pPr>
            <w:r w:rsidRPr="00F50B90">
              <w:rPr>
                <w:rFonts w:ascii="Palatino Linotype" w:eastAsia="Palatino Linotype" w:hAnsi="Palatino Linotype" w:cs="Palatino Linotype"/>
                <w:b/>
                <w:sz w:val="12"/>
                <w:szCs w:val="12"/>
              </w:rPr>
              <w:t>Área</w:t>
            </w:r>
          </w:p>
        </w:tc>
        <w:tc>
          <w:tcPr>
            <w:tcW w:w="3446" w:type="dxa"/>
          </w:tcPr>
          <w:p w:rsidR="00F50B90" w:rsidRPr="00F50B90" w:rsidRDefault="00F50B90" w:rsidP="00F50B90">
            <w:pPr>
              <w:jc w:val="both"/>
              <w:rPr>
                <w:rFonts w:ascii="Palatino Linotype" w:eastAsia="Palatino Linotype" w:hAnsi="Palatino Linotype" w:cs="Palatino Linotype"/>
                <w:sz w:val="12"/>
                <w:szCs w:val="12"/>
              </w:rPr>
            </w:pPr>
            <w:r w:rsidRPr="00F50B90">
              <w:rPr>
                <w:rFonts w:ascii="Palatino Linotype" w:eastAsia="Palatino Linotype" w:hAnsi="Palatino Linotype" w:cs="Palatino Linotype"/>
                <w:sz w:val="12"/>
                <w:szCs w:val="12"/>
              </w:rPr>
              <w:t>Se señalará el nombre del área de la cual es el titular quien clasifica.</w:t>
            </w:r>
          </w:p>
        </w:tc>
      </w:tr>
      <w:tr w:rsidR="00F50B90" w:rsidRPr="00F50B90" w:rsidTr="00977F3C">
        <w:tc>
          <w:tcPr>
            <w:tcW w:w="1134" w:type="dxa"/>
          </w:tcPr>
          <w:p w:rsidR="00F50B90" w:rsidRPr="00F50B90" w:rsidRDefault="00F50B90" w:rsidP="00F50B90">
            <w:pPr>
              <w:jc w:val="both"/>
              <w:rPr>
                <w:rFonts w:ascii="Palatino Linotype" w:eastAsia="Palatino Linotype" w:hAnsi="Palatino Linotype" w:cs="Palatino Linotype"/>
                <w:b/>
                <w:sz w:val="12"/>
                <w:szCs w:val="12"/>
              </w:rPr>
            </w:pPr>
            <w:r w:rsidRPr="00F50B90">
              <w:rPr>
                <w:rFonts w:ascii="Palatino Linotype" w:eastAsia="Palatino Linotype" w:hAnsi="Palatino Linotype" w:cs="Palatino Linotype"/>
                <w:b/>
                <w:sz w:val="12"/>
                <w:szCs w:val="12"/>
              </w:rPr>
              <w:t>Información reservada</w:t>
            </w:r>
          </w:p>
        </w:tc>
        <w:tc>
          <w:tcPr>
            <w:tcW w:w="3119" w:type="dxa"/>
          </w:tcPr>
          <w:p w:rsidR="00F50B90" w:rsidRPr="00F50B90" w:rsidRDefault="00F50B90" w:rsidP="00F50B90">
            <w:pPr>
              <w:jc w:val="both"/>
              <w:rPr>
                <w:rFonts w:ascii="Palatino Linotype" w:eastAsia="Palatino Linotype" w:hAnsi="Palatino Linotype" w:cs="Palatino Linotype"/>
                <w:sz w:val="12"/>
                <w:szCs w:val="12"/>
              </w:rPr>
            </w:pPr>
            <w:r w:rsidRPr="00F50B90">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rsidR="00F50B90" w:rsidRPr="00F50B90" w:rsidRDefault="00F50B90" w:rsidP="00F50B90">
            <w:pPr>
              <w:jc w:val="both"/>
              <w:rPr>
                <w:rFonts w:ascii="Palatino Linotype" w:eastAsia="Palatino Linotype" w:hAnsi="Palatino Linotype" w:cs="Palatino Linotype"/>
                <w:b/>
                <w:sz w:val="12"/>
                <w:szCs w:val="12"/>
              </w:rPr>
            </w:pPr>
            <w:r w:rsidRPr="00F50B90">
              <w:rPr>
                <w:rFonts w:ascii="Palatino Linotype" w:eastAsia="Palatino Linotype" w:hAnsi="Palatino Linotype" w:cs="Palatino Linotype"/>
                <w:b/>
                <w:sz w:val="12"/>
                <w:szCs w:val="12"/>
              </w:rPr>
              <w:t>Reservado</w:t>
            </w:r>
          </w:p>
        </w:tc>
        <w:tc>
          <w:tcPr>
            <w:tcW w:w="3446" w:type="dxa"/>
          </w:tcPr>
          <w:p w:rsidR="00F50B90" w:rsidRPr="00F50B90" w:rsidRDefault="00F50B90" w:rsidP="00F50B90">
            <w:pPr>
              <w:jc w:val="both"/>
              <w:rPr>
                <w:rFonts w:ascii="Palatino Linotype" w:eastAsia="Palatino Linotype" w:hAnsi="Palatino Linotype" w:cs="Palatino Linotype"/>
                <w:sz w:val="12"/>
                <w:szCs w:val="12"/>
              </w:rPr>
            </w:pPr>
            <w:r w:rsidRPr="00F50B90">
              <w:rPr>
                <w:rFonts w:ascii="Palatino Linotype" w:eastAsia="Palatino Linotype" w:hAnsi="Palatino Linotype" w:cs="Palatino Linotype"/>
                <w:sz w:val="12"/>
                <w:szCs w:val="12"/>
              </w:rPr>
              <w:t>Leyenda de información RESERVADA.</w:t>
            </w:r>
          </w:p>
        </w:tc>
      </w:tr>
      <w:tr w:rsidR="00F50B90" w:rsidRPr="00F50B90" w:rsidTr="00977F3C">
        <w:tc>
          <w:tcPr>
            <w:tcW w:w="1134" w:type="dxa"/>
          </w:tcPr>
          <w:p w:rsidR="00F50B90" w:rsidRPr="00F50B90" w:rsidRDefault="00F50B90" w:rsidP="00F50B90">
            <w:pPr>
              <w:jc w:val="both"/>
              <w:rPr>
                <w:rFonts w:ascii="Palatino Linotype" w:eastAsia="Palatino Linotype" w:hAnsi="Palatino Linotype" w:cs="Palatino Linotype"/>
                <w:b/>
                <w:sz w:val="12"/>
                <w:szCs w:val="12"/>
              </w:rPr>
            </w:pPr>
            <w:r w:rsidRPr="00F50B90">
              <w:rPr>
                <w:rFonts w:ascii="Palatino Linotype" w:eastAsia="Palatino Linotype" w:hAnsi="Palatino Linotype" w:cs="Palatino Linotype"/>
                <w:b/>
                <w:sz w:val="12"/>
                <w:szCs w:val="12"/>
              </w:rPr>
              <w:t>Fundamento legal</w:t>
            </w:r>
          </w:p>
        </w:tc>
        <w:tc>
          <w:tcPr>
            <w:tcW w:w="3119" w:type="dxa"/>
          </w:tcPr>
          <w:p w:rsidR="00F50B90" w:rsidRPr="00F50B90" w:rsidRDefault="00F50B90" w:rsidP="00F50B90">
            <w:pPr>
              <w:jc w:val="both"/>
              <w:rPr>
                <w:rFonts w:ascii="Palatino Linotype" w:eastAsia="Palatino Linotype" w:hAnsi="Palatino Linotype" w:cs="Palatino Linotype"/>
                <w:sz w:val="12"/>
                <w:szCs w:val="12"/>
              </w:rPr>
            </w:pPr>
            <w:r w:rsidRPr="00F50B90">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rsidR="00F50B90" w:rsidRPr="00F50B90" w:rsidRDefault="00F50B90" w:rsidP="00F50B90">
            <w:pPr>
              <w:jc w:val="both"/>
              <w:rPr>
                <w:rFonts w:ascii="Palatino Linotype" w:eastAsia="Palatino Linotype" w:hAnsi="Palatino Linotype" w:cs="Palatino Linotype"/>
                <w:b/>
                <w:sz w:val="12"/>
                <w:szCs w:val="12"/>
              </w:rPr>
            </w:pPr>
            <w:r w:rsidRPr="00F50B90">
              <w:rPr>
                <w:rFonts w:ascii="Palatino Linotype" w:eastAsia="Palatino Linotype" w:hAnsi="Palatino Linotype" w:cs="Palatino Linotype"/>
                <w:b/>
                <w:sz w:val="12"/>
                <w:szCs w:val="12"/>
              </w:rPr>
              <w:t>Periodo de reserva</w:t>
            </w:r>
          </w:p>
        </w:tc>
        <w:tc>
          <w:tcPr>
            <w:tcW w:w="3446" w:type="dxa"/>
          </w:tcPr>
          <w:p w:rsidR="00F50B90" w:rsidRPr="00F50B90" w:rsidRDefault="00F50B90" w:rsidP="00F50B90">
            <w:pPr>
              <w:jc w:val="both"/>
              <w:rPr>
                <w:rFonts w:ascii="Palatino Linotype" w:eastAsia="Palatino Linotype" w:hAnsi="Palatino Linotype" w:cs="Palatino Linotype"/>
                <w:sz w:val="12"/>
                <w:szCs w:val="12"/>
              </w:rPr>
            </w:pPr>
            <w:r w:rsidRPr="00F50B90">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F50B90" w:rsidRPr="00F50B90" w:rsidTr="00977F3C">
        <w:tc>
          <w:tcPr>
            <w:tcW w:w="1134" w:type="dxa"/>
          </w:tcPr>
          <w:p w:rsidR="00F50B90" w:rsidRPr="00F50B90" w:rsidRDefault="00F50B90" w:rsidP="00F50B90">
            <w:pPr>
              <w:jc w:val="both"/>
              <w:rPr>
                <w:rFonts w:ascii="Palatino Linotype" w:eastAsia="Palatino Linotype" w:hAnsi="Palatino Linotype" w:cs="Palatino Linotype"/>
                <w:b/>
                <w:sz w:val="12"/>
                <w:szCs w:val="12"/>
              </w:rPr>
            </w:pPr>
            <w:r w:rsidRPr="00F50B90">
              <w:rPr>
                <w:rFonts w:ascii="Palatino Linotype" w:eastAsia="Palatino Linotype" w:hAnsi="Palatino Linotype" w:cs="Palatino Linotype"/>
                <w:b/>
                <w:sz w:val="12"/>
                <w:szCs w:val="12"/>
              </w:rPr>
              <w:t>Ampliación del periodo de reserva</w:t>
            </w:r>
          </w:p>
        </w:tc>
        <w:tc>
          <w:tcPr>
            <w:tcW w:w="3119" w:type="dxa"/>
          </w:tcPr>
          <w:p w:rsidR="00F50B90" w:rsidRPr="00F50B90" w:rsidRDefault="00F50B90" w:rsidP="00F50B90">
            <w:pPr>
              <w:jc w:val="both"/>
              <w:rPr>
                <w:rFonts w:ascii="Palatino Linotype" w:eastAsia="Palatino Linotype" w:hAnsi="Palatino Linotype" w:cs="Palatino Linotype"/>
                <w:sz w:val="12"/>
                <w:szCs w:val="12"/>
              </w:rPr>
            </w:pPr>
            <w:r w:rsidRPr="00F50B90">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rsidR="00F50B90" w:rsidRPr="00F50B90" w:rsidRDefault="00F50B90" w:rsidP="00F50B90">
            <w:pPr>
              <w:jc w:val="both"/>
              <w:rPr>
                <w:rFonts w:ascii="Palatino Linotype" w:eastAsia="Palatino Linotype" w:hAnsi="Palatino Linotype" w:cs="Palatino Linotype"/>
                <w:b/>
                <w:sz w:val="12"/>
                <w:szCs w:val="12"/>
              </w:rPr>
            </w:pPr>
            <w:r w:rsidRPr="00F50B90">
              <w:rPr>
                <w:rFonts w:ascii="Palatino Linotype" w:eastAsia="Palatino Linotype" w:hAnsi="Palatino Linotype" w:cs="Palatino Linotype"/>
                <w:b/>
                <w:sz w:val="12"/>
                <w:szCs w:val="12"/>
              </w:rPr>
              <w:t>Fundamento legal</w:t>
            </w:r>
          </w:p>
        </w:tc>
        <w:tc>
          <w:tcPr>
            <w:tcW w:w="3446" w:type="dxa"/>
          </w:tcPr>
          <w:p w:rsidR="00F50B90" w:rsidRPr="00F50B90" w:rsidRDefault="00F50B90" w:rsidP="00F50B90">
            <w:pPr>
              <w:jc w:val="both"/>
              <w:rPr>
                <w:rFonts w:ascii="Palatino Linotype" w:eastAsia="Palatino Linotype" w:hAnsi="Palatino Linotype" w:cs="Palatino Linotype"/>
                <w:sz w:val="12"/>
                <w:szCs w:val="12"/>
              </w:rPr>
            </w:pPr>
            <w:r w:rsidRPr="00F50B90">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F50B90" w:rsidRPr="00F50B90" w:rsidTr="00977F3C">
        <w:tc>
          <w:tcPr>
            <w:tcW w:w="1134" w:type="dxa"/>
          </w:tcPr>
          <w:p w:rsidR="00F50B90" w:rsidRPr="00F50B90" w:rsidRDefault="00F50B90" w:rsidP="00F50B90">
            <w:pPr>
              <w:jc w:val="both"/>
              <w:rPr>
                <w:rFonts w:ascii="Palatino Linotype" w:eastAsia="Palatino Linotype" w:hAnsi="Palatino Linotype" w:cs="Palatino Linotype"/>
                <w:b/>
                <w:sz w:val="12"/>
                <w:szCs w:val="12"/>
              </w:rPr>
            </w:pPr>
            <w:r w:rsidRPr="00F50B90">
              <w:rPr>
                <w:rFonts w:ascii="Palatino Linotype" w:eastAsia="Palatino Linotype" w:hAnsi="Palatino Linotype" w:cs="Palatino Linotype"/>
                <w:b/>
                <w:sz w:val="12"/>
                <w:szCs w:val="12"/>
              </w:rPr>
              <w:t>Confidencial</w:t>
            </w:r>
          </w:p>
        </w:tc>
        <w:tc>
          <w:tcPr>
            <w:tcW w:w="3119" w:type="dxa"/>
          </w:tcPr>
          <w:p w:rsidR="00F50B90" w:rsidRPr="00F50B90" w:rsidRDefault="00F50B90" w:rsidP="00F50B90">
            <w:pPr>
              <w:jc w:val="both"/>
              <w:rPr>
                <w:rFonts w:ascii="Palatino Linotype" w:eastAsia="Palatino Linotype" w:hAnsi="Palatino Linotype" w:cs="Palatino Linotype"/>
                <w:sz w:val="12"/>
                <w:szCs w:val="12"/>
              </w:rPr>
            </w:pPr>
            <w:r w:rsidRPr="00F50B90">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rsidR="00F50B90" w:rsidRPr="00F50B90" w:rsidRDefault="00F50B90" w:rsidP="00F50B90">
            <w:pPr>
              <w:jc w:val="both"/>
              <w:rPr>
                <w:rFonts w:ascii="Palatino Linotype" w:eastAsia="Palatino Linotype" w:hAnsi="Palatino Linotype" w:cs="Palatino Linotype"/>
                <w:b/>
                <w:sz w:val="12"/>
                <w:szCs w:val="12"/>
              </w:rPr>
            </w:pPr>
            <w:r w:rsidRPr="00F50B90">
              <w:rPr>
                <w:rFonts w:ascii="Palatino Linotype" w:eastAsia="Palatino Linotype" w:hAnsi="Palatino Linotype" w:cs="Palatino Linotype"/>
                <w:b/>
                <w:sz w:val="12"/>
                <w:szCs w:val="12"/>
              </w:rPr>
              <w:t>Ampliación del periodo de reserva</w:t>
            </w:r>
          </w:p>
        </w:tc>
        <w:tc>
          <w:tcPr>
            <w:tcW w:w="3446" w:type="dxa"/>
          </w:tcPr>
          <w:p w:rsidR="00F50B90" w:rsidRPr="00F50B90" w:rsidRDefault="00F50B90" w:rsidP="00F50B90">
            <w:pPr>
              <w:jc w:val="both"/>
              <w:rPr>
                <w:rFonts w:ascii="Palatino Linotype" w:eastAsia="Palatino Linotype" w:hAnsi="Palatino Linotype" w:cs="Palatino Linotype"/>
                <w:sz w:val="12"/>
                <w:szCs w:val="12"/>
              </w:rPr>
            </w:pPr>
            <w:r w:rsidRPr="00F50B90">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F50B90" w:rsidRPr="00F50B90" w:rsidTr="00977F3C">
        <w:tc>
          <w:tcPr>
            <w:tcW w:w="1134" w:type="dxa"/>
          </w:tcPr>
          <w:p w:rsidR="00F50B90" w:rsidRPr="00F50B90" w:rsidRDefault="00F50B90" w:rsidP="00F50B90">
            <w:pPr>
              <w:jc w:val="both"/>
              <w:rPr>
                <w:rFonts w:ascii="Palatino Linotype" w:eastAsia="Palatino Linotype" w:hAnsi="Palatino Linotype" w:cs="Palatino Linotype"/>
                <w:b/>
                <w:sz w:val="12"/>
                <w:szCs w:val="12"/>
              </w:rPr>
            </w:pPr>
            <w:r w:rsidRPr="00F50B90">
              <w:rPr>
                <w:rFonts w:ascii="Palatino Linotype" w:eastAsia="Palatino Linotype" w:hAnsi="Palatino Linotype" w:cs="Palatino Linotype"/>
                <w:b/>
                <w:sz w:val="12"/>
                <w:szCs w:val="12"/>
              </w:rPr>
              <w:t>Fundamento legal</w:t>
            </w:r>
          </w:p>
        </w:tc>
        <w:tc>
          <w:tcPr>
            <w:tcW w:w="3119" w:type="dxa"/>
          </w:tcPr>
          <w:p w:rsidR="00F50B90" w:rsidRPr="00F50B90" w:rsidRDefault="00F50B90" w:rsidP="00F50B90">
            <w:pPr>
              <w:jc w:val="both"/>
              <w:rPr>
                <w:rFonts w:ascii="Palatino Linotype" w:eastAsia="Palatino Linotype" w:hAnsi="Palatino Linotype" w:cs="Palatino Linotype"/>
                <w:sz w:val="12"/>
                <w:szCs w:val="12"/>
              </w:rPr>
            </w:pPr>
            <w:r w:rsidRPr="00F50B90">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rsidR="00F50B90" w:rsidRPr="00F50B90" w:rsidRDefault="00F50B90" w:rsidP="00F50B90">
            <w:pPr>
              <w:jc w:val="both"/>
              <w:rPr>
                <w:rFonts w:ascii="Palatino Linotype" w:eastAsia="Palatino Linotype" w:hAnsi="Palatino Linotype" w:cs="Palatino Linotype"/>
                <w:b/>
                <w:sz w:val="12"/>
                <w:szCs w:val="12"/>
              </w:rPr>
            </w:pPr>
            <w:r w:rsidRPr="00F50B90">
              <w:rPr>
                <w:rFonts w:ascii="Palatino Linotype" w:eastAsia="Palatino Linotype" w:hAnsi="Palatino Linotype" w:cs="Palatino Linotype"/>
                <w:b/>
                <w:sz w:val="12"/>
                <w:szCs w:val="12"/>
              </w:rPr>
              <w:t>Confidencial</w:t>
            </w:r>
          </w:p>
        </w:tc>
        <w:tc>
          <w:tcPr>
            <w:tcW w:w="3446" w:type="dxa"/>
          </w:tcPr>
          <w:p w:rsidR="00F50B90" w:rsidRPr="00F50B90" w:rsidRDefault="00F50B90" w:rsidP="00F50B90">
            <w:pPr>
              <w:jc w:val="both"/>
              <w:rPr>
                <w:rFonts w:ascii="Palatino Linotype" w:eastAsia="Palatino Linotype" w:hAnsi="Palatino Linotype" w:cs="Palatino Linotype"/>
                <w:sz w:val="12"/>
                <w:szCs w:val="12"/>
              </w:rPr>
            </w:pPr>
            <w:r w:rsidRPr="00F50B90">
              <w:rPr>
                <w:rFonts w:ascii="Palatino Linotype" w:eastAsia="Palatino Linotype" w:hAnsi="Palatino Linotype" w:cs="Palatino Linotype"/>
                <w:sz w:val="12"/>
                <w:szCs w:val="12"/>
              </w:rPr>
              <w:t>Leyenda de información CONFIDENCIAL.</w:t>
            </w:r>
          </w:p>
        </w:tc>
      </w:tr>
      <w:tr w:rsidR="00F50B90" w:rsidRPr="00F50B90" w:rsidTr="00977F3C">
        <w:tc>
          <w:tcPr>
            <w:tcW w:w="1134" w:type="dxa"/>
          </w:tcPr>
          <w:p w:rsidR="00F50B90" w:rsidRPr="00F50B90" w:rsidRDefault="00F50B90" w:rsidP="00F50B90">
            <w:pPr>
              <w:jc w:val="both"/>
              <w:rPr>
                <w:rFonts w:ascii="Palatino Linotype" w:eastAsia="Palatino Linotype" w:hAnsi="Palatino Linotype" w:cs="Palatino Linotype"/>
                <w:b/>
                <w:sz w:val="12"/>
                <w:szCs w:val="12"/>
              </w:rPr>
            </w:pPr>
            <w:r w:rsidRPr="00F50B90">
              <w:rPr>
                <w:rFonts w:ascii="Palatino Linotype" w:eastAsia="Palatino Linotype" w:hAnsi="Palatino Linotype" w:cs="Palatino Linotype"/>
                <w:b/>
                <w:sz w:val="12"/>
                <w:szCs w:val="12"/>
              </w:rPr>
              <w:t>Rúbrica del titular del área</w:t>
            </w:r>
          </w:p>
        </w:tc>
        <w:tc>
          <w:tcPr>
            <w:tcW w:w="3119" w:type="dxa"/>
          </w:tcPr>
          <w:p w:rsidR="00F50B90" w:rsidRPr="00F50B90" w:rsidRDefault="00F50B90" w:rsidP="00F50B90">
            <w:pPr>
              <w:jc w:val="both"/>
              <w:rPr>
                <w:rFonts w:ascii="Palatino Linotype" w:eastAsia="Palatino Linotype" w:hAnsi="Palatino Linotype" w:cs="Palatino Linotype"/>
                <w:sz w:val="12"/>
                <w:szCs w:val="12"/>
              </w:rPr>
            </w:pPr>
            <w:r w:rsidRPr="00F50B90">
              <w:rPr>
                <w:rFonts w:ascii="Palatino Linotype" w:eastAsia="Palatino Linotype" w:hAnsi="Palatino Linotype" w:cs="Palatino Linotype"/>
                <w:sz w:val="12"/>
                <w:szCs w:val="12"/>
              </w:rPr>
              <w:t>Rúbrica autógrafa de quien clasifica.</w:t>
            </w:r>
          </w:p>
        </w:tc>
        <w:tc>
          <w:tcPr>
            <w:tcW w:w="1129" w:type="dxa"/>
          </w:tcPr>
          <w:p w:rsidR="00F50B90" w:rsidRPr="00F50B90" w:rsidRDefault="00F50B90" w:rsidP="00F50B90">
            <w:pPr>
              <w:jc w:val="both"/>
              <w:rPr>
                <w:rFonts w:ascii="Palatino Linotype" w:eastAsia="Palatino Linotype" w:hAnsi="Palatino Linotype" w:cs="Palatino Linotype"/>
                <w:b/>
                <w:sz w:val="12"/>
                <w:szCs w:val="12"/>
              </w:rPr>
            </w:pPr>
            <w:r w:rsidRPr="00F50B90">
              <w:rPr>
                <w:rFonts w:ascii="Palatino Linotype" w:eastAsia="Palatino Linotype" w:hAnsi="Palatino Linotype" w:cs="Palatino Linotype"/>
                <w:b/>
                <w:sz w:val="12"/>
                <w:szCs w:val="12"/>
              </w:rPr>
              <w:t>Fundamento legal</w:t>
            </w:r>
          </w:p>
        </w:tc>
        <w:tc>
          <w:tcPr>
            <w:tcW w:w="3446" w:type="dxa"/>
          </w:tcPr>
          <w:p w:rsidR="00F50B90" w:rsidRPr="00F50B90" w:rsidRDefault="00F50B90" w:rsidP="00F50B90">
            <w:pPr>
              <w:jc w:val="both"/>
              <w:rPr>
                <w:rFonts w:ascii="Palatino Linotype" w:eastAsia="Palatino Linotype" w:hAnsi="Palatino Linotype" w:cs="Palatino Linotype"/>
                <w:sz w:val="12"/>
                <w:szCs w:val="12"/>
              </w:rPr>
            </w:pPr>
            <w:r w:rsidRPr="00F50B90">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F50B90" w:rsidRPr="00F50B90" w:rsidTr="00977F3C">
        <w:tc>
          <w:tcPr>
            <w:tcW w:w="1134" w:type="dxa"/>
          </w:tcPr>
          <w:p w:rsidR="00F50B90" w:rsidRPr="00F50B90" w:rsidRDefault="00F50B90" w:rsidP="00F50B90">
            <w:pPr>
              <w:jc w:val="both"/>
              <w:rPr>
                <w:rFonts w:ascii="Palatino Linotype" w:eastAsia="Palatino Linotype" w:hAnsi="Palatino Linotype" w:cs="Palatino Linotype"/>
                <w:b/>
                <w:sz w:val="12"/>
                <w:szCs w:val="12"/>
              </w:rPr>
            </w:pPr>
            <w:r w:rsidRPr="00F50B90">
              <w:rPr>
                <w:rFonts w:ascii="Palatino Linotype" w:eastAsia="Palatino Linotype" w:hAnsi="Palatino Linotype" w:cs="Palatino Linotype"/>
                <w:b/>
                <w:sz w:val="12"/>
                <w:szCs w:val="12"/>
              </w:rPr>
              <w:t>Fecha de desclasificación</w:t>
            </w:r>
          </w:p>
        </w:tc>
        <w:tc>
          <w:tcPr>
            <w:tcW w:w="3119" w:type="dxa"/>
          </w:tcPr>
          <w:p w:rsidR="00F50B90" w:rsidRPr="00F50B90" w:rsidRDefault="00F50B90" w:rsidP="00F50B90">
            <w:pPr>
              <w:jc w:val="both"/>
              <w:rPr>
                <w:rFonts w:ascii="Palatino Linotype" w:eastAsia="Palatino Linotype" w:hAnsi="Palatino Linotype" w:cs="Palatino Linotype"/>
                <w:sz w:val="12"/>
                <w:szCs w:val="12"/>
              </w:rPr>
            </w:pPr>
            <w:r w:rsidRPr="00F50B90">
              <w:rPr>
                <w:rFonts w:ascii="Palatino Linotype" w:eastAsia="Palatino Linotype" w:hAnsi="Palatino Linotype" w:cs="Palatino Linotype"/>
                <w:sz w:val="12"/>
                <w:szCs w:val="12"/>
              </w:rPr>
              <w:t>Se anotará la fecha en que se desclasifica el documento.</w:t>
            </w:r>
          </w:p>
        </w:tc>
        <w:tc>
          <w:tcPr>
            <w:tcW w:w="1129" w:type="dxa"/>
          </w:tcPr>
          <w:p w:rsidR="00F50B90" w:rsidRPr="00F50B90" w:rsidRDefault="00F50B90" w:rsidP="00F50B90">
            <w:pPr>
              <w:jc w:val="both"/>
              <w:rPr>
                <w:rFonts w:ascii="Palatino Linotype" w:eastAsia="Palatino Linotype" w:hAnsi="Palatino Linotype" w:cs="Palatino Linotype"/>
                <w:b/>
                <w:sz w:val="12"/>
                <w:szCs w:val="12"/>
              </w:rPr>
            </w:pPr>
            <w:r w:rsidRPr="00F50B90">
              <w:rPr>
                <w:rFonts w:ascii="Palatino Linotype" w:eastAsia="Palatino Linotype" w:hAnsi="Palatino Linotype" w:cs="Palatino Linotype"/>
                <w:b/>
                <w:sz w:val="12"/>
                <w:szCs w:val="12"/>
              </w:rPr>
              <w:t>Rúbrica del titular del área</w:t>
            </w:r>
          </w:p>
        </w:tc>
        <w:tc>
          <w:tcPr>
            <w:tcW w:w="3446" w:type="dxa"/>
          </w:tcPr>
          <w:p w:rsidR="00F50B90" w:rsidRPr="00F50B90" w:rsidRDefault="00F50B90" w:rsidP="00F50B90">
            <w:pPr>
              <w:jc w:val="both"/>
              <w:rPr>
                <w:rFonts w:ascii="Palatino Linotype" w:eastAsia="Palatino Linotype" w:hAnsi="Palatino Linotype" w:cs="Palatino Linotype"/>
                <w:sz w:val="12"/>
                <w:szCs w:val="12"/>
              </w:rPr>
            </w:pPr>
            <w:r w:rsidRPr="00F50B90">
              <w:rPr>
                <w:rFonts w:ascii="Palatino Linotype" w:eastAsia="Palatino Linotype" w:hAnsi="Palatino Linotype" w:cs="Palatino Linotype"/>
                <w:sz w:val="12"/>
                <w:szCs w:val="12"/>
              </w:rPr>
              <w:t>Rúbrica autógrafa de quien clasifica.</w:t>
            </w:r>
          </w:p>
        </w:tc>
      </w:tr>
      <w:tr w:rsidR="00F50B90" w:rsidRPr="00F50B90" w:rsidTr="00977F3C">
        <w:tc>
          <w:tcPr>
            <w:tcW w:w="1134" w:type="dxa"/>
          </w:tcPr>
          <w:p w:rsidR="00F50B90" w:rsidRPr="00F50B90" w:rsidRDefault="00F50B90" w:rsidP="00F50B90">
            <w:pPr>
              <w:jc w:val="both"/>
              <w:rPr>
                <w:rFonts w:ascii="Palatino Linotype" w:eastAsia="Palatino Linotype" w:hAnsi="Palatino Linotype" w:cs="Palatino Linotype"/>
                <w:b/>
                <w:sz w:val="12"/>
                <w:szCs w:val="12"/>
              </w:rPr>
            </w:pPr>
            <w:r w:rsidRPr="00F50B90">
              <w:rPr>
                <w:rFonts w:ascii="Palatino Linotype" w:eastAsia="Palatino Linotype" w:hAnsi="Palatino Linotype" w:cs="Palatino Linotype"/>
                <w:b/>
                <w:sz w:val="12"/>
                <w:szCs w:val="12"/>
              </w:rPr>
              <w:t>Rúbrica y cargo del servidor público</w:t>
            </w:r>
          </w:p>
        </w:tc>
        <w:tc>
          <w:tcPr>
            <w:tcW w:w="3119" w:type="dxa"/>
          </w:tcPr>
          <w:p w:rsidR="00F50B90" w:rsidRPr="00F50B90" w:rsidRDefault="00F50B90" w:rsidP="00F50B90">
            <w:pPr>
              <w:jc w:val="both"/>
              <w:rPr>
                <w:rFonts w:ascii="Palatino Linotype" w:eastAsia="Palatino Linotype" w:hAnsi="Palatino Linotype" w:cs="Palatino Linotype"/>
                <w:sz w:val="12"/>
                <w:szCs w:val="12"/>
              </w:rPr>
            </w:pPr>
            <w:r w:rsidRPr="00F50B90">
              <w:rPr>
                <w:rFonts w:ascii="Palatino Linotype" w:eastAsia="Palatino Linotype" w:hAnsi="Palatino Linotype" w:cs="Palatino Linotype"/>
                <w:sz w:val="12"/>
                <w:szCs w:val="12"/>
              </w:rPr>
              <w:t>Rúbrica autógrafa de quien desclasifica.</w:t>
            </w:r>
          </w:p>
        </w:tc>
        <w:tc>
          <w:tcPr>
            <w:tcW w:w="1129" w:type="dxa"/>
          </w:tcPr>
          <w:p w:rsidR="00F50B90" w:rsidRPr="00F50B90" w:rsidRDefault="00F50B90" w:rsidP="00F50B90">
            <w:pPr>
              <w:jc w:val="both"/>
              <w:rPr>
                <w:rFonts w:ascii="Palatino Linotype" w:eastAsia="Palatino Linotype" w:hAnsi="Palatino Linotype" w:cs="Palatino Linotype"/>
                <w:b/>
                <w:sz w:val="12"/>
                <w:szCs w:val="12"/>
              </w:rPr>
            </w:pPr>
            <w:r w:rsidRPr="00F50B90">
              <w:rPr>
                <w:rFonts w:ascii="Palatino Linotype" w:eastAsia="Palatino Linotype" w:hAnsi="Palatino Linotype" w:cs="Palatino Linotype"/>
                <w:b/>
                <w:sz w:val="12"/>
                <w:szCs w:val="12"/>
              </w:rPr>
              <w:t>Fecha de desclasificación</w:t>
            </w:r>
          </w:p>
        </w:tc>
        <w:tc>
          <w:tcPr>
            <w:tcW w:w="3446" w:type="dxa"/>
          </w:tcPr>
          <w:p w:rsidR="00F50B90" w:rsidRPr="00F50B90" w:rsidRDefault="00F50B90" w:rsidP="00F50B90">
            <w:pPr>
              <w:jc w:val="both"/>
              <w:rPr>
                <w:rFonts w:ascii="Palatino Linotype" w:eastAsia="Palatino Linotype" w:hAnsi="Palatino Linotype" w:cs="Palatino Linotype"/>
                <w:sz w:val="12"/>
                <w:szCs w:val="12"/>
              </w:rPr>
            </w:pPr>
            <w:r w:rsidRPr="00F50B90">
              <w:rPr>
                <w:rFonts w:ascii="Palatino Linotype" w:eastAsia="Palatino Linotype" w:hAnsi="Palatino Linotype" w:cs="Palatino Linotype"/>
                <w:sz w:val="12"/>
                <w:szCs w:val="12"/>
              </w:rPr>
              <w:t>Se anotará la fecha en que se desclasifica.</w:t>
            </w:r>
          </w:p>
        </w:tc>
      </w:tr>
      <w:tr w:rsidR="00F50B90" w:rsidRPr="00F50B90" w:rsidTr="00977F3C">
        <w:tc>
          <w:tcPr>
            <w:tcW w:w="1134" w:type="dxa"/>
          </w:tcPr>
          <w:p w:rsidR="00F50B90" w:rsidRPr="00F50B90" w:rsidRDefault="00F50B90" w:rsidP="00F50B90">
            <w:pPr>
              <w:jc w:val="both"/>
              <w:rPr>
                <w:rFonts w:ascii="Palatino Linotype" w:eastAsia="Palatino Linotype" w:hAnsi="Palatino Linotype" w:cs="Palatino Linotype"/>
                <w:b/>
                <w:sz w:val="12"/>
                <w:szCs w:val="12"/>
              </w:rPr>
            </w:pPr>
          </w:p>
        </w:tc>
        <w:tc>
          <w:tcPr>
            <w:tcW w:w="3119" w:type="dxa"/>
          </w:tcPr>
          <w:p w:rsidR="00F50B90" w:rsidRPr="00F50B90" w:rsidRDefault="00F50B90" w:rsidP="00F50B90">
            <w:pPr>
              <w:jc w:val="both"/>
              <w:rPr>
                <w:rFonts w:ascii="Palatino Linotype" w:eastAsia="Palatino Linotype" w:hAnsi="Palatino Linotype" w:cs="Palatino Linotype"/>
                <w:sz w:val="12"/>
                <w:szCs w:val="12"/>
              </w:rPr>
            </w:pPr>
          </w:p>
        </w:tc>
        <w:tc>
          <w:tcPr>
            <w:tcW w:w="1129" w:type="dxa"/>
          </w:tcPr>
          <w:p w:rsidR="00F50B90" w:rsidRPr="00F50B90" w:rsidRDefault="00F50B90" w:rsidP="00F50B90">
            <w:pPr>
              <w:jc w:val="both"/>
              <w:rPr>
                <w:rFonts w:ascii="Palatino Linotype" w:eastAsia="Palatino Linotype" w:hAnsi="Palatino Linotype" w:cs="Palatino Linotype"/>
                <w:b/>
                <w:sz w:val="12"/>
                <w:szCs w:val="12"/>
              </w:rPr>
            </w:pPr>
            <w:r w:rsidRPr="00F50B90">
              <w:rPr>
                <w:rFonts w:ascii="Palatino Linotype" w:eastAsia="Palatino Linotype" w:hAnsi="Palatino Linotype" w:cs="Palatino Linotype"/>
                <w:b/>
                <w:sz w:val="12"/>
                <w:szCs w:val="12"/>
              </w:rPr>
              <w:t>Partes o secciones reservadas o confidenciales</w:t>
            </w:r>
          </w:p>
        </w:tc>
        <w:tc>
          <w:tcPr>
            <w:tcW w:w="3446" w:type="dxa"/>
          </w:tcPr>
          <w:p w:rsidR="00F50B90" w:rsidRPr="00F50B90" w:rsidRDefault="00F50B90" w:rsidP="00F50B90">
            <w:pPr>
              <w:jc w:val="both"/>
              <w:rPr>
                <w:rFonts w:ascii="Palatino Linotype" w:eastAsia="Palatino Linotype" w:hAnsi="Palatino Linotype" w:cs="Palatino Linotype"/>
                <w:sz w:val="12"/>
                <w:szCs w:val="12"/>
              </w:rPr>
            </w:pPr>
            <w:r w:rsidRPr="00F50B90">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F50B90" w:rsidRPr="00F50B90" w:rsidTr="00977F3C">
        <w:tc>
          <w:tcPr>
            <w:tcW w:w="1134" w:type="dxa"/>
          </w:tcPr>
          <w:p w:rsidR="00F50B90" w:rsidRPr="00F50B90" w:rsidRDefault="00F50B90" w:rsidP="00F50B90">
            <w:pPr>
              <w:jc w:val="both"/>
              <w:rPr>
                <w:rFonts w:ascii="Palatino Linotype" w:eastAsia="Palatino Linotype" w:hAnsi="Palatino Linotype" w:cs="Palatino Linotype"/>
                <w:b/>
                <w:sz w:val="12"/>
                <w:szCs w:val="12"/>
              </w:rPr>
            </w:pPr>
          </w:p>
        </w:tc>
        <w:tc>
          <w:tcPr>
            <w:tcW w:w="3119" w:type="dxa"/>
          </w:tcPr>
          <w:p w:rsidR="00F50B90" w:rsidRPr="00F50B90" w:rsidRDefault="00F50B90" w:rsidP="00F50B90">
            <w:pPr>
              <w:jc w:val="both"/>
              <w:rPr>
                <w:rFonts w:ascii="Palatino Linotype" w:eastAsia="Palatino Linotype" w:hAnsi="Palatino Linotype" w:cs="Palatino Linotype"/>
                <w:sz w:val="12"/>
                <w:szCs w:val="12"/>
              </w:rPr>
            </w:pPr>
          </w:p>
        </w:tc>
        <w:tc>
          <w:tcPr>
            <w:tcW w:w="1129" w:type="dxa"/>
          </w:tcPr>
          <w:p w:rsidR="00F50B90" w:rsidRPr="00F50B90" w:rsidRDefault="00F50B90" w:rsidP="00F50B90">
            <w:pPr>
              <w:jc w:val="both"/>
              <w:rPr>
                <w:rFonts w:ascii="Palatino Linotype" w:eastAsia="Palatino Linotype" w:hAnsi="Palatino Linotype" w:cs="Palatino Linotype"/>
                <w:b/>
                <w:sz w:val="12"/>
                <w:szCs w:val="12"/>
              </w:rPr>
            </w:pPr>
            <w:r w:rsidRPr="00F50B90">
              <w:rPr>
                <w:rFonts w:ascii="Palatino Linotype" w:eastAsia="Palatino Linotype" w:hAnsi="Palatino Linotype" w:cs="Palatino Linotype"/>
                <w:b/>
                <w:sz w:val="12"/>
                <w:szCs w:val="12"/>
              </w:rPr>
              <w:t>Rúbrica y cargo del servidor público</w:t>
            </w:r>
          </w:p>
        </w:tc>
        <w:tc>
          <w:tcPr>
            <w:tcW w:w="3446" w:type="dxa"/>
          </w:tcPr>
          <w:p w:rsidR="00F50B90" w:rsidRPr="00F50B90" w:rsidRDefault="00F50B90" w:rsidP="00F50B90">
            <w:pPr>
              <w:jc w:val="both"/>
              <w:rPr>
                <w:rFonts w:ascii="Palatino Linotype" w:eastAsia="Palatino Linotype" w:hAnsi="Palatino Linotype" w:cs="Palatino Linotype"/>
                <w:sz w:val="12"/>
                <w:szCs w:val="12"/>
              </w:rPr>
            </w:pPr>
            <w:r w:rsidRPr="00F50B90">
              <w:rPr>
                <w:rFonts w:ascii="Palatino Linotype" w:eastAsia="Palatino Linotype" w:hAnsi="Palatino Linotype" w:cs="Palatino Linotype"/>
                <w:sz w:val="12"/>
                <w:szCs w:val="12"/>
              </w:rPr>
              <w:t>Rúbrica autógrafa de quien desclasifica.</w:t>
            </w:r>
          </w:p>
        </w:tc>
      </w:tr>
    </w:tbl>
    <w:p w:rsidR="00A64515" w:rsidRDefault="00F50B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párrafos </w:t>
      </w:r>
      <w:r>
        <w:rPr>
          <w:rFonts w:ascii="Palatino Linotype" w:eastAsia="Palatino Linotype" w:hAnsi="Palatino Linotype" w:cs="Palatino Linotype"/>
          <w:highlight w:val="white"/>
        </w:rPr>
        <w:t>trigésimo, trigésimo primero y trigésimo segundo</w:t>
      </w:r>
      <w:r>
        <w:rPr>
          <w:rFonts w:ascii="Palatino Linotype" w:eastAsia="Palatino Linotype" w:hAnsi="Palatino Linotype" w:cs="Palatino Linotype"/>
        </w:rPr>
        <w:t xml:space="preserve"> de la Constitución Política del Estado Libre y Soberano de México; 2, fracción II; 29, 36 fracciones I y II; 176, 178, 181, 185 de la Ley de </w:t>
      </w:r>
      <w:r>
        <w:rPr>
          <w:rFonts w:ascii="Palatino Linotype" w:eastAsia="Palatino Linotype" w:hAnsi="Palatino Linotype" w:cs="Palatino Linotype"/>
        </w:rPr>
        <w:lastRenderedPageBreak/>
        <w:t>Transparencia y Acceso a la Información Pública del Estado de México y Municipios, este Pleno:</w:t>
      </w:r>
    </w:p>
    <w:p w:rsidR="00A64515" w:rsidRDefault="00F50B90">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III</w:t>
      </w:r>
      <w:r>
        <w:rPr>
          <w:rFonts w:ascii="Palatino Linotype" w:eastAsia="Palatino Linotype" w:hAnsi="Palatino Linotype" w:cs="Palatino Linotype"/>
          <w:b/>
        </w:rPr>
        <w:tab/>
        <w:t>R E S U E L V E:</w:t>
      </w:r>
    </w:p>
    <w:p w:rsidR="00A64515" w:rsidRDefault="00F50B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w:t>
      </w:r>
      <w:r>
        <w:rPr>
          <w:rFonts w:ascii="Palatino Linotype" w:eastAsia="Palatino Linotype" w:hAnsi="Palatino Linotype" w:cs="Palatino Linotype"/>
          <w:b/>
        </w:rPr>
        <w:t xml:space="preserve"> fundadas</w:t>
      </w:r>
      <w:r>
        <w:rPr>
          <w:rFonts w:ascii="Palatino Linotype" w:eastAsia="Palatino Linotype" w:hAnsi="Palatino Linotype" w:cs="Palatino Linotype"/>
        </w:rPr>
        <w:t xml:space="preserve"> las razones o motivos de inconformidad hechos valer por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00314/INFOEM/IP/RR/2022</w:t>
      </w:r>
      <w:r>
        <w:rPr>
          <w:rFonts w:ascii="Palatino Linotype" w:eastAsia="Palatino Linotype" w:hAnsi="Palatino Linotype" w:cs="Palatino Linotype"/>
        </w:rPr>
        <w:t xml:space="preserve">; 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p>
    <w:p w:rsidR="00A64515" w:rsidRDefault="00F50B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ORDENA</w:t>
      </w:r>
      <w:r>
        <w:rPr>
          <w:rFonts w:ascii="Palatino Linotype" w:eastAsia="Palatino Linotype" w:hAnsi="Palatino Linotype" w:cs="Palatino Linotype"/>
        </w:rPr>
        <w:t xml:space="preserv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en términos de los </w:t>
      </w:r>
      <w:r>
        <w:rPr>
          <w:rFonts w:ascii="Palatino Linotype" w:eastAsia="Palatino Linotype" w:hAnsi="Palatino Linotype" w:cs="Palatino Linotype"/>
          <w:b/>
        </w:rPr>
        <w:t xml:space="preserve">Considerandos Cuarto y Quinto </w:t>
      </w:r>
      <w:r>
        <w:rPr>
          <w:rFonts w:ascii="Palatino Linotype" w:eastAsia="Palatino Linotype" w:hAnsi="Palatino Linotype" w:cs="Palatino Linotype"/>
        </w:rPr>
        <w:t xml:space="preserve">de esta resolución, haga entrega </w:t>
      </w:r>
      <w:r>
        <w:rPr>
          <w:rFonts w:ascii="Palatino Linotype" w:eastAsia="Palatino Linotype" w:hAnsi="Palatino Linotype" w:cs="Palatino Linotype"/>
          <w:b/>
        </w:rPr>
        <w:t>al Recurrente</w:t>
      </w:r>
      <w:r>
        <w:rPr>
          <w:rFonts w:ascii="Palatino Linotype" w:eastAsia="Palatino Linotype" w:hAnsi="Palatino Linotype" w:cs="Palatino Linotype"/>
        </w:rPr>
        <w:t xml:space="preserve"> a través del</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en </w:t>
      </w:r>
      <w:r>
        <w:rPr>
          <w:rFonts w:ascii="Palatino Linotype" w:eastAsia="Palatino Linotype" w:hAnsi="Palatino Linotype" w:cs="Palatino Linotype"/>
          <w:b/>
        </w:rPr>
        <w:t>versión pública de ser procedente</w:t>
      </w:r>
      <w:r>
        <w:rPr>
          <w:rFonts w:ascii="Palatino Linotype" w:eastAsia="Palatino Linotype" w:hAnsi="Palatino Linotype" w:cs="Palatino Linotype"/>
        </w:rPr>
        <w:t>, de lo siguiente:</w:t>
      </w:r>
    </w:p>
    <w:p w:rsidR="00A64515" w:rsidRDefault="00F50B90">
      <w:pPr>
        <w:numPr>
          <w:ilvl w:val="1"/>
          <w:numId w:val="2"/>
        </w:numPr>
        <w:spacing w:before="240" w:after="240" w:line="360" w:lineRule="auto"/>
        <w:ind w:left="567" w:right="900" w:hanging="28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Certificación de competencia laboral del Director de Obras Públicas.</w:t>
      </w:r>
    </w:p>
    <w:p w:rsidR="00A64515" w:rsidRDefault="00F50B90">
      <w:pPr>
        <w:numPr>
          <w:ilvl w:val="1"/>
          <w:numId w:val="2"/>
        </w:numPr>
        <w:spacing w:before="240" w:after="240"/>
        <w:ind w:left="567" w:right="900" w:hanging="283"/>
        <w:jc w:val="both"/>
        <w:rPr>
          <w:rFonts w:ascii="Palatino Linotype" w:eastAsia="Palatino Linotype" w:hAnsi="Palatino Linotype" w:cs="Palatino Linotype"/>
          <w:i/>
          <w:sz w:val="22"/>
          <w:szCs w:val="22"/>
        </w:rPr>
      </w:pPr>
      <w:r>
        <w:rPr>
          <w:rFonts w:ascii="Palatino Linotype" w:eastAsia="Palatino Linotype" w:hAnsi="Palatino Linotype" w:cs="Palatino Linotype"/>
          <w:i/>
          <w:color w:val="000000"/>
          <w:sz w:val="22"/>
          <w:szCs w:val="22"/>
        </w:rPr>
        <w:t xml:space="preserve">Curriculum vitae, ficha curricular o documento análogo donde conste la experiencia laboral </w:t>
      </w:r>
      <w:r>
        <w:rPr>
          <w:rFonts w:ascii="Palatino Linotype" w:eastAsia="Palatino Linotype" w:hAnsi="Palatino Linotype" w:cs="Palatino Linotype"/>
          <w:i/>
          <w:sz w:val="22"/>
          <w:szCs w:val="22"/>
        </w:rPr>
        <w:t xml:space="preserve">de los titulares de la Secretaría del Ayuntamiento, Tesorería Municipal, Dirección de Obras Públicas, Dirección de Desarrollo Económico, Jefatura de Turismo, Coordinador General Municipal de Mejora Regulatoria, Dirección de Ecología y Medio Ambiente o unidad equivalente, Dirección de Desarrollo Urbano y Dirección de Desarrollo Social. </w:t>
      </w:r>
    </w:p>
    <w:p w:rsidR="00A64515" w:rsidRDefault="00F50B90">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mismo que también hará de conocimiento del particular.</w:t>
      </w:r>
    </w:p>
    <w:p w:rsidR="00A64515" w:rsidRDefault="00F50B90">
      <w:pPr>
        <w:spacing w:before="240" w:after="240"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Tercero. Notifíquese vía SAIMEX,</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 xml:space="preserve">al Responsable de la Unidad de Transparencia del </w:t>
      </w:r>
      <w:r>
        <w:rPr>
          <w:rFonts w:ascii="Palatino Linotype" w:eastAsia="Palatino Linotype" w:hAnsi="Palatino Linotype" w:cs="Palatino Linotype"/>
          <w:b/>
          <w:highlight w:val="white"/>
        </w:rPr>
        <w:t>Sujeto Obligado</w:t>
      </w:r>
      <w:r>
        <w:rPr>
          <w:rFonts w:ascii="Palatino Linotype" w:eastAsia="Palatino Linotype" w:hAnsi="Palatino Linotype" w:cs="Palatino Linotype"/>
          <w:highlight w:val="white"/>
        </w:rPr>
        <w:t xml:space="preserve"> la presente resolución, para que conforme al artículo 186, </w:t>
      </w:r>
      <w:r>
        <w:rPr>
          <w:rFonts w:ascii="Palatino Linotype" w:eastAsia="Palatino Linotype" w:hAnsi="Palatino Linotype" w:cs="Palatino Linotype"/>
          <w:highlight w:val="white"/>
        </w:rPr>
        <w:lastRenderedPageBreak/>
        <w:t>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rsidR="00A64515" w:rsidRDefault="00F50B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 Notifíquese</w:t>
      </w:r>
      <w:r>
        <w:rPr>
          <w:rFonts w:ascii="Palatino Linotype" w:eastAsia="Palatino Linotype" w:hAnsi="Palatino Linotype" w:cs="Palatino Linotype"/>
        </w:rPr>
        <w:t xml:space="preserve">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 través del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A64515" w:rsidRDefault="00F50B9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A64515" w:rsidRDefault="00F50B90">
      <w:pPr>
        <w:spacing w:before="240" w:after="240" w:line="360" w:lineRule="auto"/>
        <w:jc w:val="both"/>
        <w:rPr>
          <w:rFonts w:ascii="Palatino Linotype" w:eastAsia="Palatino Linotype" w:hAnsi="Palatino Linotype" w:cs="Palatino Linotype"/>
        </w:rPr>
        <w:sectPr w:rsidR="00A64515">
          <w:headerReference w:type="default" r:id="rId24"/>
          <w:footerReference w:type="default" r:id="rId25"/>
          <w:headerReference w:type="first" r:id="rId26"/>
          <w:footerReference w:type="first" r:id="rId27"/>
          <w:pgSz w:w="12240" w:h="15840"/>
          <w:pgMar w:top="1417" w:right="1701" w:bottom="1417" w:left="1701" w:header="709" w:footer="709" w:gutter="0"/>
          <w:pgNumType w:start="1"/>
          <w:cols w:space="720"/>
          <w:titlePg/>
        </w:sectPr>
      </w:pPr>
      <w:r>
        <w:rPr>
          <w:rFonts w:ascii="Palatino Linotype" w:eastAsia="Palatino Linotype" w:hAnsi="Palatino Linotype" w:cs="Palatino Linotype"/>
          <w:color w:val="222222"/>
          <w:highlight w:val="whit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CELEBRADA EL DIECISÉIS DE MARZO</w:t>
      </w:r>
      <w:r>
        <w:rPr>
          <w:rFonts w:ascii="Palatino Linotype" w:eastAsia="Palatino Linotype" w:hAnsi="Palatino Linotype" w:cs="Palatino Linotype"/>
        </w:rPr>
        <w:t xml:space="preserve"> DE DOS MIL VEINTIDÓS, ANTE EL SECRETARIO TÉCNICO DEL PLENO ALEXIS TAPIA RAMÍREZ.</w:t>
      </w:r>
    </w:p>
    <w:p w:rsidR="00A64515" w:rsidRDefault="00A64515">
      <w:pPr>
        <w:spacing w:before="240" w:after="240" w:line="360" w:lineRule="auto"/>
        <w:jc w:val="both"/>
        <w:rPr>
          <w:rFonts w:ascii="Palatino Linotype" w:eastAsia="Palatino Linotype" w:hAnsi="Palatino Linotype" w:cs="Palatino Linotype"/>
        </w:rPr>
      </w:pPr>
    </w:p>
    <w:p w:rsidR="00A64515" w:rsidRDefault="00A64515">
      <w:pPr>
        <w:spacing w:before="240" w:after="240" w:line="360" w:lineRule="auto"/>
      </w:pPr>
    </w:p>
    <w:p w:rsidR="00A64515" w:rsidRDefault="00A64515">
      <w:pPr>
        <w:spacing w:before="240" w:after="240" w:line="360" w:lineRule="auto"/>
      </w:pPr>
    </w:p>
    <w:p w:rsidR="00A64515" w:rsidRDefault="00A64515">
      <w:pPr>
        <w:spacing w:before="240" w:after="240" w:line="360" w:lineRule="auto"/>
      </w:pPr>
    </w:p>
    <w:sectPr w:rsidR="00A64515">
      <w:headerReference w:type="first" r:id="rId28"/>
      <w:pgSz w:w="12240" w:h="15840"/>
      <w:pgMar w:top="1417" w:right="1701" w:bottom="1417"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1EBF" w:rsidRDefault="00F50B90">
      <w:r>
        <w:separator/>
      </w:r>
    </w:p>
  </w:endnote>
  <w:endnote w:type="continuationSeparator" w:id="0">
    <w:p w:rsidR="002C1EBF" w:rsidRDefault="00F50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515" w:rsidRDefault="00F50B90">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F452E">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F452E">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p>
  <w:p w:rsidR="00A64515" w:rsidRDefault="00A64515">
    <w:pPr>
      <w:pBdr>
        <w:top w:val="nil"/>
        <w:left w:val="nil"/>
        <w:bottom w:val="nil"/>
        <w:right w:val="nil"/>
        <w:between w:val="nil"/>
      </w:pBdr>
      <w:tabs>
        <w:tab w:val="center" w:pos="4419"/>
        <w:tab w:val="right" w:pos="8838"/>
      </w:tabs>
      <w:rPr>
        <w:color w:val="000000"/>
      </w:rPr>
    </w:pPr>
  </w:p>
  <w:p w:rsidR="00A64515" w:rsidRDefault="00A6451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515" w:rsidRDefault="00F50B90">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F452E">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F452E">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p>
  <w:p w:rsidR="00A64515" w:rsidRDefault="00A64515">
    <w:pPr>
      <w:pBdr>
        <w:top w:val="nil"/>
        <w:left w:val="nil"/>
        <w:bottom w:val="nil"/>
        <w:right w:val="nil"/>
        <w:between w:val="nil"/>
      </w:pBdr>
      <w:tabs>
        <w:tab w:val="center" w:pos="4419"/>
        <w:tab w:val="right" w:pos="8838"/>
      </w:tabs>
      <w:rPr>
        <w:color w:val="000000"/>
      </w:rPr>
    </w:pPr>
  </w:p>
  <w:p w:rsidR="00A64515" w:rsidRDefault="00A6451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1EBF" w:rsidRDefault="00F50B90">
      <w:r>
        <w:separator/>
      </w:r>
    </w:p>
  </w:footnote>
  <w:footnote w:type="continuationSeparator" w:id="0">
    <w:p w:rsidR="002C1EBF" w:rsidRDefault="00F50B90">
      <w:r>
        <w:continuationSeparator/>
      </w:r>
    </w:p>
  </w:footnote>
  <w:footnote w:id="1">
    <w:p w:rsidR="00A64515" w:rsidRDefault="00F50B9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rsidR="00A64515" w:rsidRDefault="00F50B90">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rsidR="00A64515" w:rsidRDefault="00F50B90">
      <w:pPr>
        <w:rPr>
          <w:rFonts w:ascii="Calibri" w:eastAsia="Calibri" w:hAnsi="Calibri" w:cs="Calibri"/>
          <w:sz w:val="20"/>
          <w:szCs w:val="20"/>
        </w:rPr>
      </w:pPr>
      <w:r>
        <w:rPr>
          <w:vertAlign w:val="superscript"/>
        </w:rPr>
        <w:footnoteRef/>
      </w:r>
      <w:r>
        <w:t xml:space="preserve"> </w:t>
      </w:r>
      <w:r>
        <w:rPr>
          <w:rFonts w:ascii="Palatino Linotype" w:eastAsia="Palatino Linotype" w:hAnsi="Palatino Linotype" w:cs="Palatino Linotype"/>
          <w:sz w:val="20"/>
          <w:szCs w:val="20"/>
        </w:rPr>
        <w:t>Certificación, disponible en http://ihaem.edomex.gob.mx/que_es la_certificacion.</w:t>
      </w:r>
    </w:p>
  </w:footnote>
  <w:footnote w:id="3">
    <w:p w:rsidR="00A64515" w:rsidRDefault="00F50B90">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Consultable en: https://www.facebook.com/H-Ayuntamiento-de-Atenco-2022-2024-413155339423320/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515" w:rsidRDefault="00F50B90">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8240" behindDoc="1" locked="0" layoutInCell="1" hidden="0" allowOverlap="1">
          <wp:simplePos x="0" y="0"/>
          <wp:positionH relativeFrom="column">
            <wp:posOffset>-1080133</wp:posOffset>
          </wp:positionH>
          <wp:positionV relativeFrom="paragraph">
            <wp:posOffset>-481963</wp:posOffset>
          </wp:positionV>
          <wp:extent cx="7635600" cy="9943200"/>
          <wp:effectExtent l="0" t="0" r="0" b="0"/>
          <wp:wrapNone/>
          <wp:docPr id="5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a"/>
      <w:tblW w:w="5812" w:type="dxa"/>
      <w:tblInd w:w="3119" w:type="dxa"/>
      <w:tblLayout w:type="fixed"/>
      <w:tblLook w:val="0400" w:firstRow="0" w:lastRow="0" w:firstColumn="0" w:lastColumn="0" w:noHBand="0" w:noVBand="1"/>
    </w:tblPr>
    <w:tblGrid>
      <w:gridCol w:w="2551"/>
      <w:gridCol w:w="3261"/>
    </w:tblGrid>
    <w:tr w:rsidR="00A64515">
      <w:tc>
        <w:tcPr>
          <w:tcW w:w="2551" w:type="dxa"/>
          <w:vAlign w:val="center"/>
        </w:tcPr>
        <w:p w:rsidR="00A64515" w:rsidRDefault="00F50B9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1" w:type="dxa"/>
          <w:vAlign w:val="center"/>
        </w:tcPr>
        <w:p w:rsidR="00A64515" w:rsidRDefault="00F50B9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00314/INFOEM/IP/RR/2022 </w:t>
          </w:r>
        </w:p>
      </w:tc>
    </w:tr>
    <w:tr w:rsidR="00A64515">
      <w:trPr>
        <w:trHeight w:val="228"/>
      </w:trPr>
      <w:tc>
        <w:tcPr>
          <w:tcW w:w="2551" w:type="dxa"/>
          <w:vAlign w:val="center"/>
        </w:tcPr>
        <w:p w:rsidR="00A64515" w:rsidRDefault="00F50B9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1" w:type="dxa"/>
          <w:vAlign w:val="center"/>
        </w:tcPr>
        <w:p w:rsidR="00A64515" w:rsidRDefault="00F50B9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Atenco</w:t>
          </w:r>
        </w:p>
      </w:tc>
    </w:tr>
    <w:tr w:rsidR="00A64515">
      <w:tc>
        <w:tcPr>
          <w:tcW w:w="2551" w:type="dxa"/>
          <w:vAlign w:val="center"/>
        </w:tcPr>
        <w:p w:rsidR="00A64515" w:rsidRDefault="00F50B9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1" w:type="dxa"/>
          <w:vAlign w:val="center"/>
        </w:tcPr>
        <w:p w:rsidR="00A64515" w:rsidRDefault="00F50B9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A64515" w:rsidRDefault="00A64515">
    <w:pPr>
      <w:pBdr>
        <w:top w:val="nil"/>
        <w:left w:val="nil"/>
        <w:bottom w:val="nil"/>
        <w:right w:val="nil"/>
        <w:between w:val="nil"/>
      </w:pBdr>
      <w:tabs>
        <w:tab w:val="center" w:pos="4419"/>
        <w:tab w:val="right" w:pos="8838"/>
      </w:tabs>
      <w:rPr>
        <w:color w:val="000000"/>
      </w:rPr>
    </w:pPr>
  </w:p>
  <w:p w:rsidR="00A64515" w:rsidRDefault="00A6451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515" w:rsidRDefault="00F50B90">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9264" behindDoc="1" locked="0" layoutInCell="1" hidden="0" allowOverlap="1">
          <wp:simplePos x="0" y="0"/>
          <wp:positionH relativeFrom="column">
            <wp:posOffset>-1014092</wp:posOffset>
          </wp:positionH>
          <wp:positionV relativeFrom="paragraph">
            <wp:posOffset>-396872</wp:posOffset>
          </wp:positionV>
          <wp:extent cx="7635600" cy="9943200"/>
          <wp:effectExtent l="0" t="0" r="0" b="0"/>
          <wp:wrapNone/>
          <wp:docPr id="6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9"/>
      <w:tblW w:w="6662" w:type="dxa"/>
      <w:tblInd w:w="3119" w:type="dxa"/>
      <w:tblLayout w:type="fixed"/>
      <w:tblLook w:val="0400" w:firstRow="0" w:lastRow="0" w:firstColumn="0" w:lastColumn="0" w:noHBand="0" w:noVBand="1"/>
    </w:tblPr>
    <w:tblGrid>
      <w:gridCol w:w="2551"/>
      <w:gridCol w:w="4111"/>
    </w:tblGrid>
    <w:tr w:rsidR="00A64515">
      <w:tc>
        <w:tcPr>
          <w:tcW w:w="2551" w:type="dxa"/>
          <w:vAlign w:val="center"/>
        </w:tcPr>
        <w:p w:rsidR="00A64515" w:rsidRDefault="00F50B9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1" w:type="dxa"/>
          <w:vAlign w:val="center"/>
        </w:tcPr>
        <w:p w:rsidR="00A64515" w:rsidRDefault="00F50B9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00314/INFOEM/IP/RR/2022 </w:t>
          </w:r>
        </w:p>
      </w:tc>
    </w:tr>
    <w:tr w:rsidR="00A64515">
      <w:tc>
        <w:tcPr>
          <w:tcW w:w="2551" w:type="dxa"/>
          <w:vAlign w:val="center"/>
        </w:tcPr>
        <w:p w:rsidR="00A64515" w:rsidRDefault="00F50B9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111" w:type="dxa"/>
          <w:vAlign w:val="center"/>
        </w:tcPr>
        <w:p w:rsidR="00A64515" w:rsidRDefault="00A64515">
          <w:pPr>
            <w:jc w:val="both"/>
            <w:rPr>
              <w:rFonts w:ascii="Palatino Linotype" w:eastAsia="Palatino Linotype" w:hAnsi="Palatino Linotype" w:cs="Palatino Linotype"/>
              <w:b/>
              <w:sz w:val="22"/>
              <w:szCs w:val="22"/>
            </w:rPr>
          </w:pPr>
        </w:p>
      </w:tc>
    </w:tr>
    <w:tr w:rsidR="00A64515">
      <w:trPr>
        <w:trHeight w:val="228"/>
      </w:trPr>
      <w:tc>
        <w:tcPr>
          <w:tcW w:w="2551" w:type="dxa"/>
          <w:vAlign w:val="center"/>
        </w:tcPr>
        <w:p w:rsidR="00A64515" w:rsidRDefault="00F50B9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1" w:type="dxa"/>
          <w:vAlign w:val="center"/>
        </w:tcPr>
        <w:p w:rsidR="00A64515" w:rsidRDefault="00F50B90">
          <w:pPr>
            <w:ind w:left="34" w:right="3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Atenco</w:t>
          </w:r>
        </w:p>
      </w:tc>
    </w:tr>
    <w:tr w:rsidR="00A64515">
      <w:tc>
        <w:tcPr>
          <w:tcW w:w="2551" w:type="dxa"/>
          <w:vAlign w:val="center"/>
        </w:tcPr>
        <w:p w:rsidR="00A64515" w:rsidRDefault="00F50B9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111" w:type="dxa"/>
          <w:vAlign w:val="center"/>
        </w:tcPr>
        <w:p w:rsidR="00A64515" w:rsidRDefault="00F50B9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A64515" w:rsidRDefault="00A64515">
    <w:pPr>
      <w:pBdr>
        <w:top w:val="nil"/>
        <w:left w:val="nil"/>
        <w:bottom w:val="nil"/>
        <w:right w:val="nil"/>
        <w:between w:val="nil"/>
      </w:pBdr>
      <w:tabs>
        <w:tab w:val="center" w:pos="4419"/>
        <w:tab w:val="right" w:pos="8838"/>
      </w:tabs>
      <w:rPr>
        <w:color w:val="000000"/>
      </w:rPr>
    </w:pPr>
  </w:p>
  <w:p w:rsidR="00A64515" w:rsidRDefault="00A6451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515" w:rsidRDefault="00A64515">
    <w:pPr>
      <w:pBdr>
        <w:top w:val="nil"/>
        <w:left w:val="nil"/>
        <w:bottom w:val="nil"/>
        <w:right w:val="nil"/>
        <w:between w:val="nil"/>
      </w:pBdr>
      <w:tabs>
        <w:tab w:val="center" w:pos="4419"/>
        <w:tab w:val="right" w:pos="8838"/>
      </w:tabs>
      <w:jc w:val="both"/>
      <w:rPr>
        <w:color w:val="000000"/>
      </w:rPr>
    </w:pPr>
  </w:p>
  <w:p w:rsidR="00A64515" w:rsidRDefault="00A64515">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42418E"/>
    <w:multiLevelType w:val="multilevel"/>
    <w:tmpl w:val="566A942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0B02DF6"/>
    <w:multiLevelType w:val="multilevel"/>
    <w:tmpl w:val="D9368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EAD5A33"/>
    <w:multiLevelType w:val="multilevel"/>
    <w:tmpl w:val="5AA019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rPr>
        <w:rFonts w:ascii="Palatino Linotype" w:eastAsia="Palatino Linotype" w:hAnsi="Palatino Linotype" w:cs="Palatino Linotype"/>
        <w:sz w:val="24"/>
        <w:szCs w:val="24"/>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76B1480A"/>
    <w:multiLevelType w:val="multilevel"/>
    <w:tmpl w:val="F5BE078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515"/>
    <w:rsid w:val="002C1EBF"/>
    <w:rsid w:val="002F452E"/>
    <w:rsid w:val="00A64515"/>
    <w:rsid w:val="00F50B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34686F-12F4-49BB-A09B-93A8E6FDF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7FC5"/>
    <w:rPr>
      <w:lang w:eastAsia="es-ES"/>
    </w:rPr>
  </w:style>
  <w:style w:type="paragraph" w:styleId="Ttulo1">
    <w:name w:val="heading 1"/>
    <w:basedOn w:val="Normal"/>
    <w:next w:val="Normal"/>
    <w:link w:val="Ttulo1Car"/>
    <w:uiPriority w:val="9"/>
    <w:qFormat/>
    <w:rsid w:val="008E403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97FC5"/>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97FC5"/>
    <w:pPr>
      <w:ind w:left="708"/>
    </w:pPr>
    <w:rPr>
      <w:sz w:val="22"/>
      <w:szCs w:val="22"/>
      <w:lang w:eastAsia="en-US"/>
    </w:rPr>
  </w:style>
  <w:style w:type="paragraph" w:customStyle="1" w:styleId="paragraph">
    <w:name w:val="paragraph"/>
    <w:basedOn w:val="Normal"/>
    <w:rsid w:val="00A97FC5"/>
    <w:pPr>
      <w:spacing w:before="100" w:beforeAutospacing="1" w:after="100" w:afterAutospacing="1"/>
    </w:pPr>
    <w:rPr>
      <w:lang w:val="es-MX" w:eastAsia="es-MX"/>
    </w:rPr>
  </w:style>
  <w:style w:type="character" w:customStyle="1" w:styleId="normaltextrun">
    <w:name w:val="normaltextrun"/>
    <w:basedOn w:val="Fuentedeprrafopredeter"/>
    <w:rsid w:val="00A97FC5"/>
  </w:style>
  <w:style w:type="character" w:customStyle="1" w:styleId="apple-converted-space">
    <w:name w:val="apple-converted-space"/>
    <w:basedOn w:val="Fuentedeprrafopredeter"/>
    <w:rsid w:val="00A97FC5"/>
  </w:style>
  <w:style w:type="character" w:customStyle="1" w:styleId="eop">
    <w:name w:val="eop"/>
    <w:basedOn w:val="Fuentedeprrafopredeter"/>
    <w:rsid w:val="00A97FC5"/>
  </w:style>
  <w:style w:type="table" w:styleId="Tablaconcuadrcula">
    <w:name w:val="Table Grid"/>
    <w:basedOn w:val="Tablanormal"/>
    <w:uiPriority w:val="39"/>
    <w:rsid w:val="00A97FC5"/>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A97FC5"/>
    <w:pPr>
      <w:tabs>
        <w:tab w:val="center" w:pos="4419"/>
        <w:tab w:val="right" w:pos="8838"/>
      </w:tabs>
    </w:pPr>
  </w:style>
  <w:style w:type="character" w:customStyle="1" w:styleId="EncabezadoCar">
    <w:name w:val="Encabezado Car"/>
    <w:basedOn w:val="Fuentedeprrafopredeter"/>
    <w:link w:val="Encabezado"/>
    <w:uiPriority w:val="99"/>
    <w:rsid w:val="00A97FC5"/>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A97FC5"/>
    <w:pPr>
      <w:tabs>
        <w:tab w:val="center" w:pos="4419"/>
        <w:tab w:val="right" w:pos="8838"/>
      </w:tabs>
    </w:pPr>
  </w:style>
  <w:style w:type="character" w:customStyle="1" w:styleId="PiedepginaCar">
    <w:name w:val="Pie de página Car"/>
    <w:basedOn w:val="Fuentedeprrafopredeter"/>
    <w:link w:val="Piedepgina"/>
    <w:uiPriority w:val="99"/>
    <w:rsid w:val="00A97FC5"/>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761C85"/>
  </w:style>
  <w:style w:type="character" w:customStyle="1" w:styleId="SinespaciadoCar">
    <w:name w:val="Sin espaciado Car"/>
    <w:aliases w:val="Francesa Car,INAI Car"/>
    <w:link w:val="Sinespaciado"/>
    <w:uiPriority w:val="1"/>
    <w:locked/>
    <w:rsid w:val="00761C85"/>
  </w:style>
  <w:style w:type="paragraph" w:styleId="NormalWeb">
    <w:name w:val="Normal (Web)"/>
    <w:basedOn w:val="Normal"/>
    <w:uiPriority w:val="99"/>
    <w:unhideWhenUsed/>
    <w:rsid w:val="00F74D7C"/>
    <w:pPr>
      <w:spacing w:before="100" w:beforeAutospacing="1" w:after="100" w:afterAutospacing="1"/>
    </w:pPr>
    <w:rPr>
      <w:lang w:val="es-MX" w:eastAsia="es-MX"/>
    </w:rPr>
  </w:style>
  <w:style w:type="character" w:styleId="Hipervnculo">
    <w:name w:val="Hyperlink"/>
    <w:basedOn w:val="Fuentedeprrafopredeter"/>
    <w:uiPriority w:val="99"/>
    <w:semiHidden/>
    <w:unhideWhenUsed/>
    <w:rsid w:val="00F74D7C"/>
    <w:rPr>
      <w:color w:val="0000FF"/>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2F1F55"/>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F1F55"/>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F1F55"/>
    <w:rPr>
      <w:sz w:val="20"/>
      <w:szCs w:val="20"/>
    </w:rPr>
  </w:style>
  <w:style w:type="character" w:customStyle="1" w:styleId="Ttulo1Car">
    <w:name w:val="Título 1 Car"/>
    <w:basedOn w:val="Fuentedeprrafopredeter"/>
    <w:link w:val="Ttulo1"/>
    <w:uiPriority w:val="9"/>
    <w:rsid w:val="008E4034"/>
    <w:rPr>
      <w:rFonts w:asciiTheme="majorHAnsi" w:eastAsiaTheme="majorEastAsia" w:hAnsiTheme="majorHAnsi" w:cstheme="majorBidi"/>
      <w:color w:val="2F5496" w:themeColor="accent1" w:themeShade="BF"/>
      <w:sz w:val="32"/>
      <w:szCs w:val="32"/>
      <w:lang w:val="es-ES" w:eastAsia="es-ES"/>
    </w:rPr>
  </w:style>
  <w:style w:type="table" w:customStyle="1" w:styleId="Tabladelista1clara-nfasis12">
    <w:name w:val="Tabla de lista 1 clara - Énfasis 12"/>
    <w:basedOn w:val="Tablanormal"/>
    <w:next w:val="Tabladelista1clara-nfasis1"/>
    <w:uiPriority w:val="46"/>
    <w:rsid w:val="00F67043"/>
    <w:rPr>
      <w:rFonts w:eastAsia="MS Mincho"/>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F6704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08" w:type="dxa"/>
        <w:bottom w:w="0" w:type="dxa"/>
        <w:right w:w="108"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1"/>
    <w:tblPr>
      <w:tblStyleRowBandSize w:val="1"/>
      <w:tblStyleColBandSize w:val="1"/>
      <w:tblCellMar>
        <w:top w:w="0" w:type="dxa"/>
        <w:left w:w="115" w:type="dxa"/>
        <w:bottom w:w="0" w:type="dxa"/>
        <w:right w:w="115" w:type="dxa"/>
      </w:tblCellMar>
    </w:tblPr>
  </w:style>
  <w:style w:type="table" w:customStyle="1" w:styleId="a6">
    <w:basedOn w:val="TableNormal1"/>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DSM0FotzNkVxJk2npuTw3dsKSw==">AMUW2mWbJkGk/tv1OLPlEZ1hLmyUKxyUUDbrVHLgRqPHtRLO7G4mEQj95H53HaNHAQvErixhU2++uYRumZRF66XkIXbhrQ9WX3zgiabPgbxu1130eo498nlvb7VVbxHL8XZvK0mp5eX0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10012</Words>
  <Characters>55071</Characters>
  <Application>Microsoft Office Word</Application>
  <DocSecurity>0</DocSecurity>
  <Lines>458</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misael hernandez</dc:creator>
  <cp:lastModifiedBy>USUARIO</cp:lastModifiedBy>
  <cp:revision>2</cp:revision>
  <dcterms:created xsi:type="dcterms:W3CDTF">2022-04-04T22:36:00Z</dcterms:created>
  <dcterms:modified xsi:type="dcterms:W3CDTF">2022-04-04T22:36:00Z</dcterms:modified>
</cp:coreProperties>
</file>