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9C2" w:rsidRDefault="00C0436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mayo de dos mil veintidós.</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02284/INFOEM/IP/RR/2022</w:t>
      </w:r>
      <w:r>
        <w:rPr>
          <w:rFonts w:ascii="Palatino Linotype" w:eastAsia="Palatino Linotype" w:hAnsi="Palatino Linotype" w:cs="Palatino Linotype"/>
          <w:sz w:val="24"/>
          <w:szCs w:val="24"/>
        </w:rPr>
        <w:t xml:space="preserve">, interpuesto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00275/METEPEC/IP/2022,</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Ayuntamiento de Metepec</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0C29C2" w:rsidRDefault="00C04366">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0C29C2" w:rsidRDefault="00C0436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diez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color w:val="FF0000"/>
        </w:rPr>
        <w:t> </w:t>
      </w:r>
      <w:r>
        <w:rPr>
          <w:rFonts w:ascii="Palatino Linotype" w:eastAsia="Palatino Linotype" w:hAnsi="Palatino Linotype" w:cs="Palatino Linotype"/>
          <w:b/>
          <w:sz w:val="24"/>
          <w:szCs w:val="24"/>
        </w:rPr>
        <w:t xml:space="preserve">00275/METEPEC/IP/2022, </w:t>
      </w:r>
      <w:r>
        <w:rPr>
          <w:rFonts w:ascii="Palatino Linotype" w:eastAsia="Palatino Linotype" w:hAnsi="Palatino Linotype" w:cs="Palatino Linotype"/>
          <w:sz w:val="24"/>
          <w:szCs w:val="24"/>
        </w:rPr>
        <w:t>mediante la cual solicitó información en el tenor siguiente:</w:t>
      </w:r>
    </w:p>
    <w:p w:rsidR="000C29C2" w:rsidRDefault="00C04366">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el nombre del nuevo presidente municipal, síndico, regidores, directores, titulares de dependencias, subdirectores y jefes de departamento. “(Sic)</w:t>
      </w:r>
    </w:p>
    <w:p w:rsidR="000C29C2" w:rsidRDefault="00C04366">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rsidR="000C29C2" w:rsidRDefault="00C0436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2. </w:t>
      </w:r>
      <w:r>
        <w:rPr>
          <w:rFonts w:ascii="Palatino Linotype" w:eastAsia="Palatino Linotype" w:hAnsi="Palatino Linotype" w:cs="Palatino Linotype"/>
          <w:b/>
        </w:rPr>
        <w:t xml:space="preserve">PRÓRROGA.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veintinueve de enero de dos mil veintidós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notificó al particular la prórroga para atender su solicitud de información, medularmente en los siguientes términos: </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Lic. Gerardo Arturo Ozuna Martínez</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Responsable de la Unidad de Transparencia”</w:t>
      </w:r>
    </w:p>
    <w:p w:rsidR="000C29C2" w:rsidRDefault="00C04366">
      <w:pPr>
        <w:spacing w:before="240" w:after="240" w:line="276" w:lineRule="auto"/>
        <w:ind w:left="567" w:right="851"/>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0C29C2" w:rsidRDefault="00C04366">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“acta primera sesion extraordinaria.pdf”: </w:t>
      </w:r>
      <w:r>
        <w:rPr>
          <w:rFonts w:ascii="Palatino Linotype" w:eastAsia="Palatino Linotype" w:hAnsi="Palatino Linotype" w:cs="Palatino Linotype"/>
        </w:rPr>
        <w:t xml:space="preserve">Consistente en el acta de la Primera Sesión Extraordinaria del Comité de Transparencia del Ayuntamiento de Metepec, Estado de México, celebrada el 21 de enero de 2022, mediante la cual se aprobó la ampliación de un plazo de 7 días para la </w:t>
      </w:r>
      <w:r>
        <w:rPr>
          <w:rFonts w:ascii="Palatino Linotype" w:eastAsia="Palatino Linotype" w:hAnsi="Palatino Linotype" w:cs="Palatino Linotype"/>
        </w:rPr>
        <w:lastRenderedPageBreak/>
        <w:t xml:space="preserve">atención de la solicitud de información a la que recayó el presente recurso de revisión: </w:t>
      </w:r>
    </w:p>
    <w:p w:rsidR="000C29C2" w:rsidRDefault="00C04366">
      <w:pPr>
        <w:spacing w:before="240" w:after="240" w:line="360" w:lineRule="auto"/>
        <w:ind w:right="49"/>
        <w:jc w:val="both"/>
        <w:rPr>
          <w:rFonts w:ascii="Palatino Linotype" w:eastAsia="Palatino Linotype" w:hAnsi="Palatino Linotype" w:cs="Palatino Linotype"/>
          <w:b/>
        </w:rPr>
      </w:pPr>
      <w:r>
        <w:object w:dxaOrig="8400" w:dyaOrig="7845" w14:anchorId="6FDF1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1pt;height:391.95pt" o:ole="">
            <v:imagedata r:id="rId8" o:title=""/>
          </v:shape>
          <o:OLEObject Type="Embed" ProgID="PBrush" ShapeID="_x0000_i1025" DrawAspect="Content" ObjectID="_1715066425" r:id="rId9"/>
        </w:object>
      </w:r>
    </w:p>
    <w:p w:rsidR="000C29C2" w:rsidRDefault="00C04366">
      <w:pPr>
        <w:spacing w:before="240" w:after="240" w:line="360" w:lineRule="auto"/>
        <w:ind w:right="49"/>
        <w:jc w:val="both"/>
      </w:pPr>
      <w:r>
        <w:object w:dxaOrig="8280" w:dyaOrig="11220" w14:anchorId="64607B68">
          <v:shape id="_x0000_i1026" type="#_x0000_t75" style="width:414.45pt;height:560.95pt" o:ole="">
            <v:imagedata r:id="rId10" o:title=""/>
          </v:shape>
          <o:OLEObject Type="Embed" ProgID="PBrush" ShapeID="_x0000_i1026" DrawAspect="Content" ObjectID="_1715066426" r:id="rId11"/>
        </w:object>
      </w:r>
    </w:p>
    <w:p w:rsidR="000C29C2" w:rsidRDefault="00C04366">
      <w:pPr>
        <w:spacing w:before="240" w:after="240" w:line="360" w:lineRule="auto"/>
        <w:ind w:right="49"/>
        <w:jc w:val="both"/>
        <w:rPr>
          <w:rFonts w:ascii="Palatino Linotype" w:eastAsia="Palatino Linotype" w:hAnsi="Palatino Linotype" w:cs="Palatino Linotype"/>
          <w:b/>
        </w:rPr>
      </w:pPr>
      <w:r>
        <w:object w:dxaOrig="8310" w:dyaOrig="10305" w14:anchorId="0E35CE67">
          <v:shape id="_x0000_i1027" type="#_x0000_t75" style="width:415.1pt;height:515.25pt" o:ole="">
            <v:imagedata r:id="rId12" o:title=""/>
          </v:shape>
          <o:OLEObject Type="Embed" ProgID="PBrush" ShapeID="_x0000_i1027" DrawAspect="Content" ObjectID="_1715066427" r:id="rId13"/>
        </w:object>
      </w:r>
    </w:p>
    <w:p w:rsidR="000C29C2" w:rsidRDefault="000C29C2">
      <w:pPr>
        <w:spacing w:before="240" w:after="240" w:line="360" w:lineRule="auto"/>
        <w:ind w:right="49"/>
        <w:jc w:val="both"/>
      </w:pPr>
    </w:p>
    <w:p w:rsidR="000C29C2" w:rsidRDefault="00C04366">
      <w:pPr>
        <w:spacing w:before="240" w:after="240" w:line="360" w:lineRule="auto"/>
        <w:ind w:right="49"/>
        <w:jc w:val="both"/>
        <w:rPr>
          <w:rFonts w:ascii="Palatino Linotype" w:eastAsia="Palatino Linotype" w:hAnsi="Palatino Linotype" w:cs="Palatino Linotype"/>
          <w:b/>
        </w:rPr>
      </w:pPr>
      <w:r>
        <w:rPr>
          <w:noProof/>
          <w:lang w:val="en-US" w:eastAsia="en-US"/>
        </w:rPr>
        <w:lastRenderedPageBreak/>
        <w:drawing>
          <wp:inline distT="0" distB="0" distL="0" distR="0">
            <wp:extent cx="5530565" cy="4080447"/>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5401" t="19352" r="20159"/>
                    <a:stretch>
                      <a:fillRect/>
                    </a:stretch>
                  </pic:blipFill>
                  <pic:spPr>
                    <a:xfrm>
                      <a:off x="0" y="0"/>
                      <a:ext cx="5530565" cy="4080447"/>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2819400</wp:posOffset>
                </wp:positionH>
                <wp:positionV relativeFrom="paragraph">
                  <wp:posOffset>1930400</wp:posOffset>
                </wp:positionV>
                <wp:extent cx="1351940" cy="159563"/>
                <wp:effectExtent l="0" t="0" r="0" b="0"/>
                <wp:wrapNone/>
                <wp:docPr id="59" name="Rectángulo 59"/>
                <wp:cNvGraphicFramePr/>
                <a:graphic xmlns:a="http://schemas.openxmlformats.org/drawingml/2006/main">
                  <a:graphicData uri="http://schemas.microsoft.com/office/word/2010/wordprocessingShape">
                    <wps:wsp>
                      <wps:cNvSpPr/>
                      <wps:spPr>
                        <a:xfrm>
                          <a:off x="4698605" y="3728794"/>
                          <a:ext cx="1294790" cy="102413"/>
                        </a:xfrm>
                        <a:prstGeom prst="rect">
                          <a:avLst/>
                        </a:prstGeom>
                        <a:noFill/>
                        <a:ln w="28575" cap="flat" cmpd="sng">
                          <a:solidFill>
                            <a:srgbClr val="002060"/>
                          </a:solidFill>
                          <a:prstDash val="solid"/>
                          <a:round/>
                          <a:headEnd type="none" w="sm" len="sm"/>
                          <a:tailEnd type="none" w="sm" len="sm"/>
                        </a:ln>
                      </wps:spPr>
                      <wps:txbx>
                        <w:txbxContent>
                          <w:p w:rsidR="000C29C2" w:rsidRDefault="000C29C2">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2819400</wp:posOffset>
                </wp:positionH>
                <wp:positionV relativeFrom="paragraph">
                  <wp:posOffset>1930400</wp:posOffset>
                </wp:positionV>
                <wp:extent cx="1351940" cy="159563"/>
                <wp:effectExtent b="0" l="0" r="0" t="0"/>
                <wp:wrapNone/>
                <wp:docPr id="59"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351940" cy="159563"/>
                        </a:xfrm>
                        <a:prstGeom prst="rect"/>
                        <a:ln/>
                      </pic:spPr>
                    </pic:pic>
                  </a:graphicData>
                </a:graphic>
              </wp:anchor>
            </w:drawing>
          </mc:Fallback>
        </mc:AlternateContent>
      </w:r>
    </w:p>
    <w:p w:rsidR="000C29C2" w:rsidRDefault="00C04366">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3. </w:t>
      </w:r>
      <w:r>
        <w:rPr>
          <w:rFonts w:ascii="Palatino Linotype" w:eastAsia="Palatino Linotype" w:hAnsi="Palatino Linotype" w:cs="Palatino Linotype"/>
          <w:b/>
          <w:sz w:val="24"/>
          <w:szCs w:val="24"/>
        </w:rPr>
        <w:t xml:space="preserve">DE LA RESPUESTA DEL SUJETO OBLIGADO. </w:t>
      </w:r>
      <w:r>
        <w:rPr>
          <w:rFonts w:ascii="Palatino Linotype" w:eastAsia="Palatino Linotype" w:hAnsi="Palatino Linotype" w:cs="Palatino Linotype"/>
          <w:sz w:val="24"/>
          <w:szCs w:val="24"/>
        </w:rPr>
        <w:t xml:space="preserve">Con fecha catorce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0C29C2" w:rsidRDefault="00C04366">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C29C2" w:rsidRDefault="00C04366">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C. SOLICITANTE P R E S E N T E. En respuesta a la solicitud número 00275/METEPEC/IP/2022, recibida por medio del Sistema de Acceso a la Información Mexiquense (SAIMEX). Al respecto, le informo que esta Unidad de Transparencia turnó la solicitud antes mencionada a los Servidores Públicos </w:t>
      </w:r>
      <w:r>
        <w:rPr>
          <w:rFonts w:ascii="Palatino Linotype" w:eastAsia="Palatino Linotype" w:hAnsi="Palatino Linotype" w:cs="Palatino Linotype"/>
          <w:i/>
        </w:rPr>
        <w:lastRenderedPageBreak/>
        <w:t>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0C29C2" w:rsidRDefault="00C04366">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0C29C2" w:rsidRDefault="00C04366">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Gerardo Arturo Ozuna Martínez.</w:t>
      </w:r>
    </w:p>
    <w:p w:rsidR="000C29C2" w:rsidRDefault="000C29C2">
      <w:pPr>
        <w:spacing w:before="160" w:after="0" w:line="360" w:lineRule="auto"/>
        <w:jc w:val="both"/>
        <w:rPr>
          <w:rFonts w:ascii="Palatino Linotype" w:eastAsia="Palatino Linotype" w:hAnsi="Palatino Linotype" w:cs="Palatino Linotype"/>
          <w:color w:val="000000"/>
          <w:sz w:val="24"/>
          <w:szCs w:val="24"/>
        </w:rPr>
      </w:pPr>
    </w:p>
    <w:p w:rsidR="000C29C2" w:rsidRDefault="00C04366">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el archivo electrónico denominado:</w:t>
      </w:r>
    </w:p>
    <w:p w:rsidR="000C29C2" w:rsidRDefault="00C04366">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w:t>
      </w:r>
      <w:hyperlink r:id="rId16">
        <w:r>
          <w:rPr>
            <w:rFonts w:ascii="Palatino Linotype" w:eastAsia="Palatino Linotype" w:hAnsi="Palatino Linotype" w:cs="Palatino Linotype"/>
            <w:color w:val="000000"/>
            <w:sz w:val="24"/>
            <w:szCs w:val="24"/>
          </w:rPr>
          <w:t>Folio 0275 2022.pdf</w:t>
        </w:r>
      </w:hyperlink>
      <w:r>
        <w:rPr>
          <w:rFonts w:ascii="Palatino Linotype" w:eastAsia="Palatino Linotype" w:hAnsi="Palatino Linotype" w:cs="Palatino Linotype"/>
          <w:color w:val="000000"/>
          <w:sz w:val="24"/>
          <w:szCs w:val="24"/>
        </w:rPr>
        <w:t>”, el cual contiene el Oficio DA/0481/2022, signado por el Director de Administración, mediante el cual proporciona la información solicitada, como se observa a continuación:</w:t>
      </w:r>
    </w:p>
    <w:p w:rsidR="000C29C2" w:rsidRDefault="00C04366">
      <w:pPr>
        <w:spacing w:after="0" w:line="360" w:lineRule="auto"/>
        <w:jc w:val="both"/>
      </w:pP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114300</wp:posOffset>
                </wp:positionV>
                <wp:extent cx="5432298" cy="2535478"/>
                <wp:effectExtent l="0" t="0" r="0" b="0"/>
                <wp:wrapNone/>
                <wp:docPr id="58" name="Conector recto de flecha 58"/>
                <wp:cNvGraphicFramePr/>
                <a:graphic xmlns:a="http://schemas.openxmlformats.org/drawingml/2006/main">
                  <a:graphicData uri="http://schemas.microsoft.com/office/word/2010/wordprocessingShape">
                    <wps:wsp>
                      <wps:cNvCnPr/>
                      <wps:spPr>
                        <a:xfrm>
                          <a:off x="2639376" y="2521786"/>
                          <a:ext cx="5413248" cy="251642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5432298" cy="2535478"/>
                <wp:effectExtent b="0" l="0" r="0" t="0"/>
                <wp:wrapNone/>
                <wp:docPr id="58"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432298" cy="2535478"/>
                        </a:xfrm>
                        <a:prstGeom prst="rect"/>
                        <a:ln/>
                      </pic:spPr>
                    </pic:pic>
                  </a:graphicData>
                </a:graphic>
              </wp:anchor>
            </w:drawing>
          </mc:Fallback>
        </mc:AlternateContent>
      </w:r>
    </w:p>
    <w:p w:rsidR="000C29C2" w:rsidRDefault="000C29C2">
      <w:pPr>
        <w:spacing w:after="0" w:line="360" w:lineRule="auto"/>
        <w:jc w:val="both"/>
      </w:pPr>
    </w:p>
    <w:p w:rsidR="000C29C2" w:rsidRDefault="00C04366">
      <w:pPr>
        <w:spacing w:after="0" w:line="360" w:lineRule="auto"/>
        <w:jc w:val="both"/>
        <w:rPr>
          <w:rFonts w:ascii="Palatino Linotype" w:eastAsia="Palatino Linotype" w:hAnsi="Palatino Linotype" w:cs="Palatino Linotype"/>
          <w:color w:val="000000"/>
          <w:sz w:val="24"/>
          <w:szCs w:val="24"/>
        </w:rPr>
      </w:pPr>
      <w:r>
        <w:rPr>
          <w:noProof/>
          <w:lang w:val="en-US" w:eastAsia="en-US"/>
        </w:rPr>
        <w:lastRenderedPageBreak/>
        <w:drawing>
          <wp:inline distT="0" distB="0" distL="0" distR="0">
            <wp:extent cx="5545798" cy="2635843"/>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7097" t="16087" r="17685"/>
                    <a:stretch>
                      <a:fillRect/>
                    </a:stretch>
                  </pic:blipFill>
                  <pic:spPr>
                    <a:xfrm>
                      <a:off x="0" y="0"/>
                      <a:ext cx="5545798" cy="2635843"/>
                    </a:xfrm>
                    <a:prstGeom prst="rect">
                      <a:avLst/>
                    </a:prstGeom>
                    <a:ln/>
                  </pic:spPr>
                </pic:pic>
              </a:graphicData>
            </a:graphic>
          </wp:inline>
        </w:drawing>
      </w:r>
      <w:r>
        <w:rPr>
          <w:rFonts w:ascii="Palatino Linotype" w:eastAsia="Palatino Linotype" w:hAnsi="Palatino Linotype" w:cs="Palatino Linotype"/>
          <w:color w:val="000000"/>
          <w:sz w:val="24"/>
          <w:szCs w:val="24"/>
        </w:rPr>
        <w:t xml:space="preserve"> </w:t>
      </w:r>
    </w:p>
    <w:p w:rsidR="000C29C2" w:rsidRDefault="00C04366">
      <w:pPr>
        <w:spacing w:after="0" w:line="360" w:lineRule="auto"/>
        <w:jc w:val="both"/>
        <w:rPr>
          <w:rFonts w:ascii="Palatino Linotype" w:eastAsia="Palatino Linotype" w:hAnsi="Palatino Linotype" w:cs="Palatino Linotype"/>
          <w:color w:val="000000"/>
          <w:sz w:val="24"/>
          <w:szCs w:val="24"/>
        </w:rPr>
      </w:pPr>
      <w:r>
        <w:rPr>
          <w:noProof/>
          <w:lang w:val="en-US" w:eastAsia="en-US"/>
        </w:rPr>
        <w:drawing>
          <wp:anchor distT="0" distB="0" distL="0" distR="0" simplePos="0" relativeHeight="251660288" behindDoc="1" locked="0" layoutInCell="1" hidden="0" allowOverlap="1">
            <wp:simplePos x="0" y="0"/>
            <wp:positionH relativeFrom="column">
              <wp:posOffset>3037713</wp:posOffset>
            </wp:positionH>
            <wp:positionV relativeFrom="paragraph">
              <wp:posOffset>46076</wp:posOffset>
            </wp:positionV>
            <wp:extent cx="2413635" cy="3621024"/>
            <wp:effectExtent l="0" t="0" r="0" b="0"/>
            <wp:wrapNone/>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41684" t="21450" r="43241" b="5300"/>
                    <a:stretch>
                      <a:fillRect/>
                    </a:stretch>
                  </pic:blipFill>
                  <pic:spPr>
                    <a:xfrm>
                      <a:off x="0" y="0"/>
                      <a:ext cx="2413635" cy="3621024"/>
                    </a:xfrm>
                    <a:prstGeom prst="rect">
                      <a:avLst/>
                    </a:prstGeom>
                    <a:ln/>
                  </pic:spPr>
                </pic:pic>
              </a:graphicData>
            </a:graphic>
          </wp:anchor>
        </w:drawing>
      </w:r>
      <w:r>
        <w:rPr>
          <w:noProof/>
          <w:lang w:val="en-US" w:eastAsia="en-US"/>
        </w:rPr>
        <w:drawing>
          <wp:anchor distT="0" distB="0" distL="0" distR="0" simplePos="0" relativeHeight="251661312" behindDoc="1" locked="0" layoutInCell="1" hidden="0" allowOverlap="1">
            <wp:simplePos x="0" y="0"/>
            <wp:positionH relativeFrom="column">
              <wp:posOffset>2515</wp:posOffset>
            </wp:positionH>
            <wp:positionV relativeFrom="paragraph">
              <wp:posOffset>1930</wp:posOffset>
            </wp:positionV>
            <wp:extent cx="2325917" cy="3942893"/>
            <wp:effectExtent l="0" t="0" r="0" b="0"/>
            <wp:wrapNone/>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42081" t="16787" r="43237"/>
                    <a:stretch>
                      <a:fillRect/>
                    </a:stretch>
                  </pic:blipFill>
                  <pic:spPr>
                    <a:xfrm>
                      <a:off x="0" y="0"/>
                      <a:ext cx="2325917" cy="3942893"/>
                    </a:xfrm>
                    <a:prstGeom prst="rect">
                      <a:avLst/>
                    </a:prstGeom>
                    <a:ln/>
                  </pic:spPr>
                </pic:pic>
              </a:graphicData>
            </a:graphic>
          </wp:anchor>
        </w:drawing>
      </w:r>
    </w:p>
    <w:p w:rsidR="000C29C2" w:rsidRDefault="000C29C2">
      <w:pPr>
        <w:tabs>
          <w:tab w:val="left" w:pos="6946"/>
        </w:tabs>
        <w:spacing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C04366">
      <w:pPr>
        <w:tabs>
          <w:tab w:val="left" w:pos="694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lastRenderedPageBreak/>
        <w:t xml:space="preserve">4. RECURSO DE REVISIÓN. </w:t>
      </w:r>
      <w:r>
        <w:rPr>
          <w:rFonts w:ascii="Palatino Linotype" w:eastAsia="Palatino Linotype" w:hAnsi="Palatino Linotype" w:cs="Palatino Linotype"/>
          <w:sz w:val="24"/>
          <w:szCs w:val="24"/>
        </w:rPr>
        <w:t xml:space="preserve">Inconforme con la respuesta,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interpuso el recurso de revisión materia del presente estudio el día </w:t>
      </w:r>
      <w:r>
        <w:rPr>
          <w:rFonts w:ascii="Palatino Linotype" w:eastAsia="Palatino Linotype" w:hAnsi="Palatino Linotype" w:cs="Palatino Linotype"/>
          <w:b/>
          <w:sz w:val="24"/>
          <w:szCs w:val="24"/>
        </w:rPr>
        <w:t>veintiocho de febrero de dos mil veintidós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el que expresó lo siguiente:</w:t>
      </w:r>
      <w:r>
        <w:rPr>
          <w:rFonts w:ascii="Palatino Linotype" w:eastAsia="Palatino Linotype" w:hAnsi="Palatino Linotype" w:cs="Palatino Linotype"/>
        </w:rPr>
        <w:t xml:space="preserve"> </w:t>
      </w:r>
    </w:p>
    <w:p w:rsidR="000C29C2" w:rsidRDefault="00C04366">
      <w:pPr>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0C29C2" w:rsidRDefault="000C29C2">
      <w:pPr>
        <w:ind w:right="567"/>
        <w:jc w:val="both"/>
        <w:rPr>
          <w:rFonts w:ascii="Palatino Linotype" w:eastAsia="Palatino Linotype" w:hAnsi="Palatino Linotype" w:cs="Palatino Linotype"/>
          <w:i/>
        </w:rPr>
      </w:pPr>
    </w:p>
    <w:p w:rsidR="000C29C2" w:rsidRDefault="00C04366">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respuesta proporcionada por el Sujeto Obligado.” (Sic)</w:t>
      </w:r>
    </w:p>
    <w:p w:rsidR="000C29C2" w:rsidRDefault="00C04366">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0C29C2" w:rsidRDefault="00C04366">
      <w:pPr>
        <w:spacing w:before="240" w:after="240"/>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u w:val="single"/>
        </w:rPr>
        <w:t>La respuesta proporcionada por el sujeto obligado está repleta de deficiencias al incumplir con diversas disposiciones explícitamente señaladas por la Ley de Transparencia y Acceso a la Información Pública</w:t>
      </w:r>
      <w:r>
        <w:rPr>
          <w:rFonts w:ascii="Palatino Linotype" w:eastAsia="Palatino Linotype" w:hAnsi="Palatino Linotype" w:cs="Palatino Linotype"/>
          <w:i/>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w:t>
      </w:r>
      <w:r>
        <w:rPr>
          <w:rFonts w:ascii="Palatino Linotype" w:eastAsia="Palatino Linotype" w:hAnsi="Palatino Linotype" w:cs="Palatino Linotype"/>
          <w:i/>
        </w:rPr>
        <w:lastRenderedPageBreak/>
        <w:t xml:space="preserve">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b/>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w:t>
      </w:r>
      <w:r>
        <w:rPr>
          <w:rFonts w:ascii="Palatino Linotype" w:eastAsia="Palatino Linotype" w:hAnsi="Palatino Linotype" w:cs="Palatino Linotype"/>
          <w:i/>
        </w:rPr>
        <w:t>,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rsidR="000C29C2" w:rsidRDefault="00C04366">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cuatro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Pr>
          <w:rFonts w:ascii="Palatino Linotype" w:eastAsia="Palatino Linotype" w:hAnsi="Palatino Linotype" w:cs="Palatino Linotype"/>
          <w:sz w:val="24"/>
          <w:szCs w:val="24"/>
        </w:rPr>
        <w:lastRenderedPageBreak/>
        <w:t xml:space="preserve">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0C29C2" w:rsidRDefault="00C04366">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7.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dieciséis de abril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0C29C2" w:rsidRDefault="00C04366">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w:t>
      </w:r>
      <w:hyperlink r:id="rId21">
        <w:r>
          <w:rPr>
            <w:rFonts w:ascii="Palatino Linotype" w:eastAsia="Palatino Linotype" w:hAnsi="Palatino Linotype" w:cs="Palatino Linotype"/>
            <w:sz w:val="24"/>
            <w:szCs w:val="24"/>
          </w:rPr>
          <w:t>RR-2284-SOL.275.docx</w:t>
        </w:r>
      </w:hyperlink>
      <w:r>
        <w:rPr>
          <w:rFonts w:ascii="Palatino Linotype" w:eastAsia="Palatino Linotype" w:hAnsi="Palatino Linotype" w:cs="Palatino Linotype"/>
          <w:sz w:val="24"/>
          <w:szCs w:val="24"/>
        </w:rPr>
        <w:t>”:</w:t>
      </w:r>
      <w:r>
        <w:rPr>
          <w:rFonts w:ascii="Palatino Linotype" w:eastAsia="Palatino Linotype" w:hAnsi="Palatino Linotype" w:cs="Palatino Linotype"/>
          <w:color w:val="000000"/>
          <w:sz w:val="24"/>
          <w:szCs w:val="24"/>
        </w:rPr>
        <w:t xml:space="preserve"> por medio del cual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confirmó su respuesta inicial, archivo electrónico que se puso a la vista de la RECURRENTE, en términos de la fracción III del artículo 185 de la Ley de Transparencia y Acceso a la Información Pública del Estado de México y Municipios; para que en el término de tres días manifestara lo que a su derecho convenga; sin que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hiciera manifestación alguna.</w:t>
      </w:r>
    </w:p>
    <w:p w:rsidR="000C29C2" w:rsidRDefault="00C04366">
      <w:pPr>
        <w:widowControl w:val="0"/>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PLAZO PARA EMITIR RESOLUCIÓN.</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dieciséis de mayo de dos mil veintidós</w:t>
      </w:r>
      <w:r>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rsidR="000C29C2" w:rsidRDefault="00C04366">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veintitrés de mayo de dos mil veintidós, al no existir diligencias pendientes por desahogar, se emitió el acuerdo por medio del cual </w:t>
      </w:r>
      <w:r>
        <w:rPr>
          <w:rFonts w:ascii="Palatino Linotype" w:eastAsia="Palatino Linotype" w:hAnsi="Palatino Linotype" w:cs="Palatino Linotype"/>
          <w:color w:val="000000"/>
          <w:sz w:val="24"/>
          <w:szCs w:val="24"/>
        </w:rPr>
        <w:lastRenderedPageBreak/>
        <w:t xml:space="preserve">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0C29C2" w:rsidRDefault="00C04366">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0C29C2" w:rsidRDefault="00C04366">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catorce de febrero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veintiocho de febrero de dos mil veintidós</w:t>
      </w:r>
      <w:r>
        <w:rPr>
          <w:rFonts w:ascii="Palatino Linotype" w:eastAsia="Palatino Linotype" w:hAnsi="Palatino Linotype" w:cs="Palatino Linotype"/>
          <w:sz w:val="24"/>
          <w:szCs w:val="24"/>
        </w:rPr>
        <w:t>; esto es, al décimo día hábil en que tuvo conocimiento de la respuesta impugnada.</w:t>
      </w:r>
    </w:p>
    <w:p w:rsidR="000C29C2" w:rsidRDefault="00C04366">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Pr>
          <w:rFonts w:ascii="Palatino Linotype" w:eastAsia="Palatino Linotype" w:hAnsi="Palatino Linotype" w:cs="Palatino Linotype"/>
          <w:sz w:val="24"/>
          <w:szCs w:val="24"/>
        </w:rPr>
        <w:t xml:space="preserve">Luego entonces,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señaló nombre o seudónimo con el cual desee ser identificado, como se advierte en el detalle de seguimiento del SAIMEX, no obstante lo anterior, no proporcionar el nombre no es motivo para archivar la </w:t>
      </w:r>
      <w:r>
        <w:rPr>
          <w:rFonts w:ascii="Palatino Linotype" w:eastAsia="Palatino Linotype" w:hAnsi="Palatino Linotype" w:cs="Palatino Linotype"/>
          <w:sz w:val="24"/>
          <w:szCs w:val="24"/>
        </w:rPr>
        <w:lastRenderedPageBreak/>
        <w:t>solicitud de acceso a la información pública como concluida, conforme a lo previsto en el artículo 155, penúltimo párrafo de la Ley de Transparencia y Acceso a la Información Pública del Estado de México y Municipios que establece lo siguiente:</w:t>
      </w:r>
    </w:p>
    <w:p w:rsidR="000C29C2" w:rsidRDefault="00C04366">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0C29C2" w:rsidRDefault="00C04366">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0C29C2" w:rsidRDefault="00C0436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0C29C2" w:rsidRDefault="00C0436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 (Sic)</w:t>
      </w:r>
    </w:p>
    <w:p w:rsidR="000C29C2" w:rsidRDefault="00C04366">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Pr>
          <w:rFonts w:ascii="Palatino Linotype" w:eastAsia="Palatino Linotype" w:hAnsi="Palatino Linotype" w:cs="Palatino Linotype"/>
          <w:sz w:val="24"/>
          <w:szCs w:val="24"/>
        </w:rPr>
        <w:lastRenderedPageBreak/>
        <w:t xml:space="preserve">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0C29C2" w:rsidRDefault="00C0436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color w:val="000000"/>
          <w:sz w:val="24"/>
          <w:szCs w:val="24"/>
        </w:rPr>
        <w:t xml:space="preserve">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los nombres del nuevo presidente municipal, síndico, regidores, directores, titulares de dependencias, subdirectores y jefes de departamento.</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a través de su Dirección de Administración, se concretó a entregar los siguientes nombres:</w:t>
      </w:r>
    </w:p>
    <w:p w:rsidR="000C29C2" w:rsidRDefault="00C04366">
      <w:pPr>
        <w:spacing w:after="0" w:line="360" w:lineRule="auto"/>
        <w:jc w:val="both"/>
        <w:rPr>
          <w:rFonts w:ascii="Palatino Linotype" w:eastAsia="Palatino Linotype" w:hAnsi="Palatino Linotype" w:cs="Palatino Linotype"/>
          <w:color w:val="000000"/>
          <w:sz w:val="24"/>
          <w:szCs w:val="24"/>
        </w:rPr>
      </w:pPr>
      <w:r>
        <w:rPr>
          <w:noProof/>
          <w:lang w:val="en-US" w:eastAsia="en-US"/>
        </w:rPr>
        <w:drawing>
          <wp:anchor distT="0" distB="0" distL="0" distR="0" simplePos="0" relativeHeight="251662336" behindDoc="1" locked="0" layoutInCell="1" hidden="0" allowOverlap="1">
            <wp:simplePos x="0" y="0"/>
            <wp:positionH relativeFrom="column">
              <wp:posOffset>3038323</wp:posOffset>
            </wp:positionH>
            <wp:positionV relativeFrom="paragraph">
              <wp:posOffset>45466</wp:posOffset>
            </wp:positionV>
            <wp:extent cx="2418598" cy="2910309"/>
            <wp:effectExtent l="0" t="0" r="0" b="0"/>
            <wp:wrapNone/>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41684" t="21450" r="43241" b="5300"/>
                    <a:stretch>
                      <a:fillRect/>
                    </a:stretch>
                  </pic:blipFill>
                  <pic:spPr>
                    <a:xfrm>
                      <a:off x="0" y="0"/>
                      <a:ext cx="2418598" cy="2910309"/>
                    </a:xfrm>
                    <a:prstGeom prst="rect">
                      <a:avLst/>
                    </a:prstGeom>
                    <a:ln/>
                  </pic:spPr>
                </pic:pic>
              </a:graphicData>
            </a:graphic>
          </wp:anchor>
        </w:drawing>
      </w:r>
      <w:r>
        <w:rPr>
          <w:noProof/>
          <w:lang w:val="en-US" w:eastAsia="en-US"/>
        </w:rPr>
        <w:drawing>
          <wp:anchor distT="0" distB="0" distL="0" distR="0" simplePos="0" relativeHeight="251663360" behindDoc="1" locked="0" layoutInCell="1" hidden="0" allowOverlap="1">
            <wp:simplePos x="0" y="0"/>
            <wp:positionH relativeFrom="column">
              <wp:posOffset>0</wp:posOffset>
            </wp:positionH>
            <wp:positionV relativeFrom="paragraph">
              <wp:posOffset>1575</wp:posOffset>
            </wp:positionV>
            <wp:extent cx="2325370" cy="3035808"/>
            <wp:effectExtent l="0" t="0" r="0" b="0"/>
            <wp:wrapNone/>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42081" t="16787" r="43237"/>
                    <a:stretch>
                      <a:fillRect/>
                    </a:stretch>
                  </pic:blipFill>
                  <pic:spPr>
                    <a:xfrm>
                      <a:off x="0" y="0"/>
                      <a:ext cx="2325370" cy="3035808"/>
                    </a:xfrm>
                    <a:prstGeom prst="rect">
                      <a:avLst/>
                    </a:prstGeom>
                    <a:ln/>
                  </pic:spPr>
                </pic:pic>
              </a:graphicData>
            </a:graphic>
          </wp:anchor>
        </w:drawing>
      </w:r>
    </w:p>
    <w:p w:rsidR="000C29C2" w:rsidRDefault="000C29C2">
      <w:pPr>
        <w:tabs>
          <w:tab w:val="left" w:pos="6946"/>
        </w:tabs>
        <w:spacing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0C29C2">
      <w:pPr>
        <w:tabs>
          <w:tab w:val="left" w:pos="6946"/>
        </w:tabs>
        <w:spacing w:before="240" w:after="240" w:line="360" w:lineRule="auto"/>
        <w:jc w:val="both"/>
        <w:rPr>
          <w:rFonts w:ascii="Palatino Linotype" w:eastAsia="Palatino Linotype" w:hAnsi="Palatino Linotype" w:cs="Palatino Linotype"/>
          <w:b/>
          <w:sz w:val="24"/>
          <w:szCs w:val="24"/>
        </w:rPr>
      </w:pP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Ante la respuesta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inconformó en lo medular porque la respuesta está llena de deficiencias. </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Una vez notificado el Recurso de Revisión,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rindió su informe justificado en donde señaló en lo medular que la respuesta se entregó en tiempo y forma, solicitando que se sobresea el recurso de revisión. </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contexto, del análisis de las constancias que integra el expediente en que se actúa, así como de la materia sobre la que versa la solicitud de acceso a la información pública, se advierten que los motivos de inconformidad acontecen parcialmente fundados para modificar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razón de las consideraciones de derecho que a continuación se exponen:</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C29C2" w:rsidRDefault="00C04366">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C29C2" w:rsidRDefault="00C04366">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C29C2" w:rsidRDefault="00C04366">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C29C2" w:rsidRDefault="00C04366">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0C29C2" w:rsidRDefault="00C04366">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w:t>
      </w:r>
      <w:r>
        <w:rPr>
          <w:rFonts w:ascii="Palatino Linotype" w:eastAsia="Palatino Linotype" w:hAnsi="Palatino Linotype" w:cs="Palatino Linotype"/>
          <w:sz w:val="24"/>
          <w:szCs w:val="24"/>
        </w:rPr>
        <w:lastRenderedPageBreak/>
        <w:t xml:space="preserve">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C29C2" w:rsidRDefault="00C043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0C29C2" w:rsidRDefault="00C04366">
      <w:pPr>
        <w:ind w:left="1276"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0C29C2" w:rsidRDefault="00C04366">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0C29C2" w:rsidRDefault="00C04366">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 (Sic)</w:t>
      </w:r>
    </w:p>
    <w:p w:rsidR="000C29C2" w:rsidRDefault="00C04366">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C29C2" w:rsidRDefault="00C04366">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0C29C2" w:rsidRDefault="00C04366">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C29C2" w:rsidRDefault="00C04366">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0C29C2" w:rsidRDefault="00C04366">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1) Que se trate de información registrada en cualquier soporte documental, que en ejercicio de las atribuciones conferidas, sea generada por los Sujetos Obligados;</w:t>
      </w:r>
    </w:p>
    <w:p w:rsidR="000C29C2" w:rsidRDefault="00C04366">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0C29C2" w:rsidRDefault="00C04366">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Obligados.”(Sic)</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Antes del estudio de fondo, se debe resaltar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niega contar con la información solicitada por el recurrente, sino por el contrario, se presume que dicha información la posee o administra al proporcionar parte de la información solicitada, por lo que el estudio de la naturaleza jurídica de la información solicitada, en el caso concreto, se obvia.</w:t>
      </w:r>
    </w:p>
    <w:p w:rsidR="000C29C2" w:rsidRDefault="00C04366">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es así, ya que el estudio enunciado tiene por objeto determinar si el Sujeto Obligado genera, posee o administra la información solicitada</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sz w:val="24"/>
          <w:szCs w:val="24"/>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sz w:val="24"/>
          <w:szCs w:val="24"/>
        </w:rPr>
        <w:t>SUJETO OBLIGADO.</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de una comparación con la solicitud con la respuesta, se advierte que el requerimiento del particular es muy claro a requerir el nombre del nuevo presidente municipal, síndico, regidores, directores, titulares de dependencias, subdirectores y jefes de departamento, y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sólo se concretó a entregar un listado de nombres, sin especificar quién de esos es el presidente </w:t>
      </w:r>
      <w:r>
        <w:rPr>
          <w:rFonts w:ascii="Palatino Linotype" w:eastAsia="Palatino Linotype" w:hAnsi="Palatino Linotype" w:cs="Palatino Linotype"/>
          <w:sz w:val="24"/>
          <w:szCs w:val="24"/>
        </w:rPr>
        <w:lastRenderedPageBreak/>
        <w:t>municipal, síndico, regidores, directores, titulares de dependencias, subdirectores y jefes de departamento, de ahí que su respuesta carece</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de congruencia y exhaustividad, sirve como refuerzo de lo anterior, traer a colación el Criterio 02/17, emitido por el Pleno del Instituto Nacional de Transparencia y Acceso a la Información y Protección de Datos Personales, de título y texto siguientes:</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Congruencia y exhaustividad</w:t>
      </w:r>
      <w:r>
        <w:rPr>
          <w:rFonts w:ascii="Palatino Linotype" w:eastAsia="Palatino Linotype" w:hAnsi="Palatino Linotype" w:cs="Palatino Linotype"/>
          <w:i/>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se advierte que el particular únicamente requiere conocer el nombre de cada uno de los servidores públicos que ocupan los cargos referidos en la solicitud, por lo que si bien, los sujetos obligados no están constreñidos a generar documentos ad hoc para atender las solicitudes de información, en el presente caso se estima que en caso de contar con el listado remitido en respuesta vinculado al cargo que ocupa cada uno de los servidores públicos, se pudiera dar por satisfecho el derecho de acceso a la información del recurrente. </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No obstante en caso de no contar con el documento antes referido, se advierte que el soporte documental en donde pudiera constar la información de los nombres del presidente municipal, síndico y regidores de manera enunciativa mas no limitada sería el acta solemne de toma de protesta de estos, que señala el artículo 18 de la Ley Orgánica Municipal del Estado de México, que señala:</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18.- Una vez rendidos los informes de los ayuntamientos en funciones, </w:t>
      </w:r>
      <w:r>
        <w:rPr>
          <w:rFonts w:ascii="Palatino Linotype" w:eastAsia="Palatino Linotype" w:hAnsi="Palatino Linotype" w:cs="Palatino Linotype"/>
          <w:b/>
          <w:i/>
        </w:rPr>
        <w:t>previa convocatoria a sesión solemne, deberán presentarse los ciudadanos que en términos de ley resultaron electos para rendir protesta y ocupar los cargos de presidente municipal, síndico o síndicos y regidores</w:t>
      </w:r>
      <w:r>
        <w:rPr>
          <w:rFonts w:ascii="Palatino Linotype" w:eastAsia="Palatino Linotype" w:hAnsi="Palatino Linotype" w:cs="Palatino Linotype"/>
          <w:i/>
        </w:rPr>
        <w:t xml:space="preserve">, sin que dicho plazo exceda el mes de diciembre del último año de la gestión del ayuntamiento saliente. </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b/>
          <w:i/>
        </w:rPr>
        <w:t>La reunión tendrá por objeto</w:t>
      </w:r>
      <w:r>
        <w:rPr>
          <w:rFonts w:ascii="Palatino Linotype" w:eastAsia="Palatino Linotype" w:hAnsi="Palatino Linotype" w:cs="Palatino Linotype"/>
          <w:i/>
        </w:rPr>
        <w:t xml:space="preserve">: </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I</w:t>
      </w:r>
      <w:r>
        <w:rPr>
          <w:rFonts w:ascii="Palatino Linotype" w:eastAsia="Palatino Linotype" w:hAnsi="Palatino Linotype" w:cs="Palatino Linotype"/>
          <w:b/>
          <w:i/>
        </w:rPr>
        <w:t>. Que los miembros del ayuntamiento entrante rindan la protesta en términos de lo dispuesto por el artículo 144 de la Constitución Política del Estado Libre y Soberano de México</w:t>
      </w:r>
      <w:r>
        <w:rPr>
          <w:rFonts w:ascii="Palatino Linotype" w:eastAsia="Palatino Linotype" w:hAnsi="Palatino Linotype" w:cs="Palatino Linotype"/>
          <w:i/>
        </w:rPr>
        <w:t xml:space="preserve">. El presidente municipal electo para el período siguiente lo hará ante el representante designado por el Ejecutivo del Estado y a su vez, hará de inmediato lo propio con los demás miembros del ayuntamiento electo; </w:t>
      </w:r>
    </w:p>
    <w:p w:rsidR="000C29C2" w:rsidRDefault="00C04366">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II. Que los habitantes del municipio conozcan los lineamientos generales del plan y programas de trabajo del ayuntamiento entrante, que será presentado por el presidente municipal. </w:t>
      </w:r>
    </w:p>
    <w:p w:rsidR="000C29C2" w:rsidRDefault="00C04366">
      <w:pPr>
        <w:spacing w:before="240" w:after="240" w:line="276" w:lineRule="auto"/>
        <w:ind w:left="567" w:right="851"/>
        <w:jc w:val="both"/>
        <w:rPr>
          <w:rFonts w:ascii="Palatino Linotype" w:eastAsia="Palatino Linotype" w:hAnsi="Palatino Linotype" w:cs="Palatino Linotype"/>
          <w:b/>
          <w:i/>
        </w:rPr>
      </w:pPr>
      <w:r>
        <w:rPr>
          <w:rFonts w:ascii="Palatino Linotype" w:eastAsia="Palatino Linotype" w:hAnsi="Palatino Linotype" w:cs="Palatino Linotype"/>
          <w:b/>
          <w:i/>
        </w:rPr>
        <w:t>El Ayuntamiento brindará las facilidades necesarias a fin de que se lleve a cabo la toma de protesta.” (Sic)</w:t>
      </w:r>
    </w:p>
    <w:p w:rsidR="000C29C2" w:rsidRDefault="00C04366">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se refiere a los directores, titulares de dependencias, subdirectores y jefes de departamento, de manera enunciativa mas no limitada sería el nombramiento, </w:t>
      </w:r>
      <w:r>
        <w:rPr>
          <w:rFonts w:ascii="Palatino Linotype" w:eastAsia="Palatino Linotype" w:hAnsi="Palatino Linotype" w:cs="Palatino Linotype"/>
          <w:sz w:val="24"/>
          <w:szCs w:val="24"/>
        </w:rPr>
        <w:lastRenderedPageBreak/>
        <w:t>formato único de movimiento o contrato; por ello, es necesario puntualizar que en alusión a la Ley del Trabajo de los Servidores Públicos del Estado de México</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que tiene por objeto regular las relaciones de trabajo comprendidas entre los poderes públicos del Estado y los Municipios, y sus respectivos servidores públicos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las que se entienden establecidas mediante nombramiento, formato único de movimiento de personal, contrato o por cualquier otro acto que tenga como consecuencia la prestación personal subordinada del servicio y la percepción de un sueldo, como así lo determina en su artículo 5 que señala:</w:t>
      </w:r>
    </w:p>
    <w:p w:rsidR="000C29C2" w:rsidRDefault="00C04366">
      <w:pPr>
        <w:spacing w:after="120"/>
        <w:ind w:left="851" w:right="902"/>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“ARTÍCULO 5.- La relación de trabajo entre las instituciones públicas y sus servidores públicos se entiende establecida </w:t>
      </w:r>
      <w:r>
        <w:rPr>
          <w:rFonts w:ascii="Palatino Linotype" w:eastAsia="Palatino Linotype" w:hAnsi="Palatino Linotype" w:cs="Palatino Linotype"/>
          <w:i/>
          <w:u w:val="single"/>
        </w:rPr>
        <w:t xml:space="preserve">mediante nombramiento, formato único de movimiento de personal, contrato o por cualquier otro acto que tenga como consecuencia la prestación personal subordinada del servicio y la percepción de un sueldo. </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Para los efectos de esta ley, las instituciones públicas estarán representadas por sus titulares.” (Sic)</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Razones por las cuales lo procedente es ordenar el documento o documentos en donde conste el nombre del nuevo presidente municipal, síndico, regidores, directores, titulares de dependencias, subdirectores y jefes de departamento, vigente al diez de enero del año dos mil veintidós y de ser procedente en versión pública de acuerdo a lo señalado por el considerando quinto del presente fallo.</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no escapa de la óptica de este Organismo Garante que el particular, a través de su recurso de revisión, solicitó a este Instituto, se le diera vista a la </w:t>
      </w:r>
      <w:r>
        <w:rPr>
          <w:rFonts w:ascii="Palatino Linotype" w:eastAsia="Palatino Linotype" w:hAnsi="Palatino Linotype" w:cs="Palatino Linotype"/>
          <w:sz w:val="24"/>
          <w:szCs w:val="24"/>
        </w:rPr>
        <w:lastRenderedPageBreak/>
        <w:t>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0C29C2" w:rsidRDefault="00C04366">
      <w:pPr>
        <w:pBdr>
          <w:top w:val="nil"/>
          <w:left w:val="nil"/>
          <w:bottom w:val="nil"/>
          <w:right w:val="nil"/>
          <w:between w:val="nil"/>
        </w:pBdr>
        <w:spacing w:before="240" w:after="240" w:line="360" w:lineRule="auto"/>
        <w:ind w:right="139"/>
        <w:jc w:val="both"/>
        <w:rPr>
          <w:rFonts w:ascii="Palatino Linotype" w:eastAsia="Palatino Linotype" w:hAnsi="Palatino Linotype" w:cs="Palatino Linotype"/>
          <w:b/>
          <w:color w:val="000000"/>
          <w:sz w:val="24"/>
          <w:szCs w:val="24"/>
        </w:rPr>
      </w:pPr>
      <w:bookmarkStart w:id="1" w:name="_heading=h.gjdgxs" w:colFirst="0" w:colLast="0"/>
      <w:bookmarkEnd w:id="1"/>
      <w:r>
        <w:rPr>
          <w:rFonts w:ascii="Palatino Linotype" w:eastAsia="Palatino Linotype" w:hAnsi="Palatino Linotype" w:cs="Palatino Linotype"/>
          <w:b/>
          <w:color w:val="000000"/>
          <w:sz w:val="24"/>
          <w:szCs w:val="24"/>
        </w:rPr>
        <w:t xml:space="preserve">QUINTO. VERSIÓN PÚBLICA. </w:t>
      </w:r>
      <w:r>
        <w:rPr>
          <w:rFonts w:ascii="Palatino Linotype" w:eastAsia="Palatino Linotype" w:hAnsi="Palatino Linotype" w:cs="Palatino Linotype"/>
          <w:color w:val="000000"/>
          <w:sz w:val="24"/>
          <w:szCs w:val="24"/>
        </w:rPr>
        <w:t>Como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fue debidamente apuntado, el</w:t>
      </w:r>
      <w:r>
        <w:rPr>
          <w:rFonts w:ascii="Palatino Linotype" w:eastAsia="Palatino Linotype" w:hAnsi="Palatino Linotype" w:cs="Palatino Linotype"/>
          <w:b/>
          <w:color w:val="000000"/>
          <w:sz w:val="24"/>
          <w:szCs w:val="24"/>
        </w:rPr>
        <w:t> SUJETO OBLIGADO</w:t>
      </w:r>
      <w:r>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0C29C2" w:rsidRDefault="00C04366">
      <w:pPr>
        <w:shd w:val="clear" w:color="auto" w:fill="FFFFFF"/>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C29C2" w:rsidRDefault="00C04366">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C29C2" w:rsidRDefault="00C04366">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C29C2" w:rsidRDefault="00C04366">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3. Para los efectos de la presente Ley se entenderá por:</w:t>
      </w:r>
    </w:p>
    <w:p w:rsidR="000C29C2" w:rsidRDefault="00C04366">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p>
    <w:p w:rsidR="000C29C2" w:rsidRDefault="00C04366">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9C2" w:rsidRDefault="00C04366">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0C29C2" w:rsidRDefault="00C04366">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9C2" w:rsidRDefault="00C04366">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137</w:t>
      </w:r>
      <w:r>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C29C2" w:rsidRDefault="000C29C2">
      <w:pPr>
        <w:shd w:val="clear" w:color="auto" w:fill="FFFFFF"/>
        <w:ind w:left="851" w:right="851"/>
        <w:jc w:val="both"/>
        <w:rPr>
          <w:rFonts w:ascii="Palatino Linotype" w:eastAsia="Palatino Linotype" w:hAnsi="Palatino Linotype" w:cs="Palatino Linotype"/>
          <w:b/>
          <w:i/>
        </w:rPr>
      </w:pPr>
    </w:p>
    <w:p w:rsidR="000C29C2" w:rsidRDefault="00C04366">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0C29C2" w:rsidRDefault="00C04366">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rsidR="000C29C2" w:rsidRDefault="00C04366">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satisfacer el derecho de acceso a la información pública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0C29C2" w:rsidRDefault="00C04366">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C29C2" w:rsidRDefault="00C04366">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rsidR="000C29C2" w:rsidRDefault="000C29C2">
      <w:pPr>
        <w:spacing w:after="0"/>
        <w:ind w:left="851" w:right="851"/>
        <w:jc w:val="both"/>
        <w:rPr>
          <w:rFonts w:ascii="Palatino Linotype" w:eastAsia="Palatino Linotype" w:hAnsi="Palatino Linotype" w:cs="Palatino Linotype"/>
          <w:i/>
        </w:rPr>
      </w:pPr>
    </w:p>
    <w:p w:rsidR="000C29C2" w:rsidRDefault="00C04366">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0C29C2" w:rsidRDefault="000C29C2">
      <w:pPr>
        <w:spacing w:after="0"/>
        <w:ind w:left="851" w:right="851"/>
        <w:jc w:val="both"/>
        <w:rPr>
          <w:rFonts w:ascii="Palatino Linotype" w:eastAsia="Palatino Linotype" w:hAnsi="Palatino Linotype" w:cs="Palatino Linotype"/>
          <w:b/>
          <w:i/>
        </w:rPr>
      </w:pPr>
    </w:p>
    <w:p w:rsidR="000C29C2" w:rsidRDefault="00C04366">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0C29C2" w:rsidRDefault="000C29C2">
      <w:pPr>
        <w:spacing w:after="0"/>
        <w:ind w:left="851" w:right="851"/>
        <w:jc w:val="both"/>
        <w:rPr>
          <w:rFonts w:ascii="Palatino Linotype" w:eastAsia="Palatino Linotype" w:hAnsi="Palatino Linotype" w:cs="Palatino Linotype"/>
          <w:i/>
        </w:rPr>
      </w:pPr>
    </w:p>
    <w:p w:rsidR="000C29C2" w:rsidRDefault="00C04366">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0C29C2" w:rsidRDefault="000C29C2">
      <w:pPr>
        <w:spacing w:after="0"/>
        <w:ind w:left="851" w:right="851"/>
        <w:jc w:val="both"/>
        <w:rPr>
          <w:rFonts w:ascii="Palatino Linotype" w:eastAsia="Palatino Linotype" w:hAnsi="Palatino Linotype" w:cs="Palatino Linotype"/>
          <w:i/>
        </w:rPr>
      </w:pPr>
    </w:p>
    <w:p w:rsidR="000C29C2" w:rsidRDefault="00C04366">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0C29C2" w:rsidRDefault="000C29C2">
      <w:pPr>
        <w:spacing w:after="0"/>
        <w:ind w:left="851" w:right="851"/>
        <w:jc w:val="both"/>
        <w:rPr>
          <w:rFonts w:ascii="Palatino Linotype" w:eastAsia="Palatino Linotype" w:hAnsi="Palatino Linotype" w:cs="Palatino Linotype"/>
          <w:b/>
          <w:i/>
        </w:rPr>
      </w:pPr>
    </w:p>
    <w:p w:rsidR="000C29C2" w:rsidRDefault="00C04366">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propuesta…”(Sic)</w:t>
      </w:r>
    </w:p>
    <w:p w:rsidR="000C29C2" w:rsidRDefault="000C29C2">
      <w:pPr>
        <w:spacing w:after="80"/>
        <w:ind w:left="851" w:right="851"/>
        <w:jc w:val="both"/>
        <w:rPr>
          <w:rFonts w:ascii="Palatino Linotype" w:eastAsia="Palatino Linotype" w:hAnsi="Palatino Linotype" w:cs="Palatino Linotype"/>
          <w:i/>
        </w:rPr>
      </w:pPr>
    </w:p>
    <w:p w:rsidR="000C29C2" w:rsidRDefault="00C04366">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rsidR="000C29C2" w:rsidRDefault="00C04366">
      <w:pPr>
        <w:spacing w:before="240"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w:t>
      </w:r>
      <w:r>
        <w:rPr>
          <w:rFonts w:ascii="Palatino Linotype" w:eastAsia="Palatino Linotype" w:hAnsi="Palatino Linotype" w:cs="Palatino Linotype"/>
          <w:i/>
        </w:rPr>
        <w:lastRenderedPageBreak/>
        <w:t>que la información se encuentra en alguna o algunas de las hipótesis previstas en la presente Ley.”(Sic)</w:t>
      </w:r>
    </w:p>
    <w:p w:rsidR="000C29C2" w:rsidRDefault="00C0436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0C29C2" w:rsidRDefault="00C0436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color w:val="000000"/>
          <w:sz w:val="24"/>
          <w:szCs w:val="24"/>
          <w:u w:val="single"/>
        </w:rPr>
        <w:t>razones, motivos o circunstancias especiales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u w:val="single"/>
        </w:rPr>
        <w:t>que lo llevaron a concluir que el caso concreto, se ajustó a los supuestos previstos en la normatividad legal invocada como fundamento, para dichos efectos, debe proceder a su vez a realizar una prueba de daño</w:t>
      </w:r>
      <w:r>
        <w:rPr>
          <w:rFonts w:ascii="Palatino Linotype" w:eastAsia="Palatino Linotype" w:hAnsi="Palatino Linotype" w:cs="Palatino Linotype"/>
          <w:color w:val="000000"/>
          <w:sz w:val="24"/>
          <w:szCs w:val="24"/>
        </w:rPr>
        <w:t xml:space="preserve">, en la que se justificaran las </w:t>
      </w:r>
      <w:r>
        <w:rPr>
          <w:rFonts w:ascii="Palatino Linotype" w:eastAsia="Palatino Linotype" w:hAnsi="Palatino Linotype" w:cs="Palatino Linotype"/>
          <w:color w:val="000000"/>
          <w:sz w:val="24"/>
          <w:szCs w:val="24"/>
        </w:rPr>
        <w:lastRenderedPageBreak/>
        <w:t>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C29C2" w:rsidRDefault="00C04366">
      <w:pPr>
        <w:spacing w:before="240" w:after="240" w:line="360" w:lineRule="auto"/>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sz w:val="24"/>
          <w:szCs w:val="24"/>
          <w:highlight w:val="white"/>
        </w:rPr>
        <w:t>.</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0C29C2" w:rsidRDefault="00C04366">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sz w:val="24"/>
          <w:szCs w:val="24"/>
        </w:rPr>
        <w:t xml:space="preserve">SUJETO </w:t>
      </w:r>
      <w:r>
        <w:rPr>
          <w:rFonts w:ascii="Palatino Linotype" w:eastAsia="Palatino Linotype" w:hAnsi="Palatino Linotype" w:cs="Palatino Linotype"/>
          <w:b/>
          <w:sz w:val="24"/>
          <w:szCs w:val="24"/>
        </w:rPr>
        <w:lastRenderedPageBreak/>
        <w:t>OBLIGADO</w:t>
      </w:r>
      <w:r>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sz w:val="24"/>
          <w:szCs w:val="24"/>
        </w:rPr>
        <w:t>RECURRENTE.</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Pr>
          <w:rFonts w:ascii="Palatino Linotype" w:eastAsia="Palatino Linotype" w:hAnsi="Palatino Linotype" w:cs="Palatino Linotype"/>
          <w:sz w:val="24"/>
          <w:szCs w:val="24"/>
        </w:rPr>
        <w:lastRenderedPageBreak/>
        <w:t>generarán, en su caso, versiones públicas de expedientes o documentos que contengan partes o secciones clasificadas.</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sexto</w:t>
      </w:r>
      <w:r>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0C29C2" w:rsidRDefault="00C0436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w:t>
      </w:r>
      <w:r>
        <w:rPr>
          <w:rFonts w:ascii="Palatino Linotype" w:eastAsia="Palatino Linotype" w:hAnsi="Palatino Linotype" w:cs="Palatino Linotype"/>
          <w:b/>
          <w:sz w:val="24"/>
          <w:szCs w:val="24"/>
        </w:rPr>
        <w:t xml:space="preserve">la entrega de documentos en su versión pública debe acompañarse necesariamente del Acuerdo del Comité de Transparencia que la sustente el cual </w:t>
      </w:r>
      <w:r>
        <w:rPr>
          <w:rFonts w:ascii="Palatino Linotype" w:eastAsia="Palatino Linotype" w:hAnsi="Palatino Linotype" w:cs="Palatino Linotype"/>
          <w:b/>
          <w:sz w:val="24"/>
          <w:szCs w:val="24"/>
        </w:rPr>
        <w:lastRenderedPageBreak/>
        <w:t>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0C29C2" w:rsidTr="000C2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0C29C2" w:rsidRDefault="00C04366">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414" w:type="dxa"/>
            <w:gridSpan w:val="2"/>
          </w:tcPr>
          <w:p w:rsidR="000C29C2" w:rsidRDefault="00C04366">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0C29C2" w:rsidTr="000C2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568" w:type="dxa"/>
          </w:tcPr>
          <w:p w:rsidR="000C29C2" w:rsidRDefault="00C0436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0C29C2" w:rsidRDefault="00C0436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0C29C2" w:rsidRDefault="00C0436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0C29C2" w:rsidTr="000C29C2">
        <w:tc>
          <w:tcPr>
            <w:cnfStyle w:val="001000000000" w:firstRow="0" w:lastRow="0" w:firstColumn="1" w:lastColumn="0" w:oddVBand="0" w:evenVBand="0" w:oddHBand="0" w:evenHBand="0" w:firstRowFirstColumn="0" w:firstRowLastColumn="0" w:lastRowFirstColumn="0" w:lastRowLastColumn="0"/>
            <w:tcW w:w="8828" w:type="dxa"/>
            <w:gridSpan w:val="4"/>
          </w:tcPr>
          <w:p w:rsidR="000C29C2" w:rsidRDefault="00C04366">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0C29C2" w:rsidTr="000C2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5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C29C2" w:rsidTr="000C29C2">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5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0C29C2" w:rsidTr="000C2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5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0C29C2" w:rsidTr="000C29C2">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C29C2" w:rsidTr="000C2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5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C29C2" w:rsidTr="000C29C2">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5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C29C2" w:rsidTr="000C2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0C29C2" w:rsidTr="000C29C2">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5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C29C2" w:rsidTr="000C2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5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0C29C2" w:rsidTr="000C29C2">
        <w:tc>
          <w:tcPr>
            <w:cnfStyle w:val="001000000000" w:firstRow="0" w:lastRow="0" w:firstColumn="1" w:lastColumn="0" w:oddVBand="0" w:evenVBand="0" w:oddHBand="0" w:evenHBand="0" w:firstRowFirstColumn="0" w:firstRowLastColumn="0" w:lastRowFirstColumn="0" w:lastRowLastColumn="0"/>
            <w:tcW w:w="846" w:type="dxa"/>
          </w:tcPr>
          <w:p w:rsidR="000C29C2" w:rsidRDefault="00C0436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lastRenderedPageBreak/>
              <w:t>Rúbrica y cargo del servidor público</w:t>
            </w:r>
          </w:p>
        </w:tc>
        <w:tc>
          <w:tcPr>
            <w:tcW w:w="35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0C29C2" w:rsidTr="000C2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9C2" w:rsidRDefault="000C29C2">
            <w:pPr>
              <w:jc w:val="both"/>
              <w:rPr>
                <w:rFonts w:ascii="Palatino Linotype" w:eastAsia="Palatino Linotype" w:hAnsi="Palatino Linotype" w:cs="Palatino Linotype"/>
                <w:sz w:val="12"/>
                <w:szCs w:val="12"/>
              </w:rPr>
            </w:pPr>
          </w:p>
        </w:tc>
        <w:tc>
          <w:tcPr>
            <w:tcW w:w="3568" w:type="dxa"/>
          </w:tcPr>
          <w:p w:rsidR="000C29C2" w:rsidRDefault="000C29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0C29C2" w:rsidRDefault="00C0436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0C29C2" w:rsidTr="000C29C2">
        <w:tc>
          <w:tcPr>
            <w:cnfStyle w:val="001000000000" w:firstRow="0" w:lastRow="0" w:firstColumn="1" w:lastColumn="0" w:oddVBand="0" w:evenVBand="0" w:oddHBand="0" w:evenHBand="0" w:firstRowFirstColumn="0" w:firstRowLastColumn="0" w:lastRowFirstColumn="0" w:lastRowLastColumn="0"/>
            <w:tcW w:w="846" w:type="dxa"/>
          </w:tcPr>
          <w:p w:rsidR="000C29C2" w:rsidRDefault="000C29C2">
            <w:pPr>
              <w:jc w:val="both"/>
              <w:rPr>
                <w:rFonts w:ascii="Palatino Linotype" w:eastAsia="Palatino Linotype" w:hAnsi="Palatino Linotype" w:cs="Palatino Linotype"/>
                <w:sz w:val="12"/>
                <w:szCs w:val="12"/>
              </w:rPr>
            </w:pPr>
          </w:p>
        </w:tc>
        <w:tc>
          <w:tcPr>
            <w:tcW w:w="3568" w:type="dxa"/>
          </w:tcPr>
          <w:p w:rsidR="000C29C2" w:rsidRDefault="000C29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0C29C2" w:rsidRDefault="00C0436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0C29C2" w:rsidRDefault="000C29C2">
      <w:pPr>
        <w:spacing w:before="240" w:after="0" w:line="360" w:lineRule="auto"/>
        <w:jc w:val="both"/>
        <w:rPr>
          <w:rFonts w:ascii="Palatino Linotype" w:eastAsia="Palatino Linotype" w:hAnsi="Palatino Linotype" w:cs="Palatino Linotype"/>
          <w:sz w:val="24"/>
          <w:szCs w:val="24"/>
        </w:rPr>
      </w:pPr>
    </w:p>
    <w:p w:rsidR="000C29C2" w:rsidRDefault="00C04366">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C29C2" w:rsidRDefault="00C04366">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rsidR="000C29C2" w:rsidRDefault="00C0436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02284/INFOEM/IP/RR/2022,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Quinto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MODIFICA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0C29C2" w:rsidRDefault="00C0436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que,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términos de los Considerandos Cuarto y Quinto de la presente resolución, haga entrega vía SAIMEX, en versión pública de ser procedente, del documento o documentos en donde conste lo siguiente:</w:t>
      </w:r>
    </w:p>
    <w:p w:rsidR="000C29C2" w:rsidRDefault="00C04366">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bookmarkStart w:id="2" w:name="_heading=h.30j0zll" w:colFirst="0" w:colLast="0"/>
      <w:bookmarkEnd w:id="2"/>
      <w:r>
        <w:rPr>
          <w:rFonts w:ascii="Palatino Linotype" w:eastAsia="Palatino Linotype" w:hAnsi="Palatino Linotype" w:cs="Palatino Linotype"/>
          <w:sz w:val="24"/>
          <w:szCs w:val="24"/>
        </w:rPr>
        <w:lastRenderedPageBreak/>
        <w:t xml:space="preserve">El </w:t>
      </w:r>
      <w:r w:rsidRPr="00AB7419">
        <w:rPr>
          <w:rFonts w:ascii="Palatino Linotype" w:eastAsia="Palatino Linotype" w:hAnsi="Palatino Linotype" w:cs="Palatino Linotype"/>
          <w:sz w:val="24"/>
          <w:szCs w:val="24"/>
        </w:rPr>
        <w:t>nombre</w:t>
      </w:r>
      <w:r w:rsidR="00607D2B" w:rsidRPr="00AB7419">
        <w:rPr>
          <w:rFonts w:ascii="Palatino Linotype" w:eastAsia="Palatino Linotype" w:hAnsi="Palatino Linotype" w:cs="Palatino Linotype"/>
          <w:sz w:val="24"/>
          <w:szCs w:val="24"/>
        </w:rPr>
        <w:t xml:space="preserve"> y cargo</w:t>
      </w:r>
      <w:r w:rsidRPr="00AB7419">
        <w:rPr>
          <w:rFonts w:ascii="Palatino Linotype" w:eastAsia="Palatino Linotype" w:hAnsi="Palatino Linotype" w:cs="Palatino Linotype"/>
          <w:sz w:val="24"/>
          <w:szCs w:val="24"/>
        </w:rPr>
        <w:t xml:space="preserve"> del presidente</w:t>
      </w:r>
      <w:r>
        <w:rPr>
          <w:rFonts w:ascii="Palatino Linotype" w:eastAsia="Palatino Linotype" w:hAnsi="Palatino Linotype" w:cs="Palatino Linotype"/>
          <w:sz w:val="24"/>
          <w:szCs w:val="24"/>
        </w:rPr>
        <w:t xml:space="preserve"> municipal, síndico, regidores, directores, titulares de dependencias, subdirectores y jefes de departamento, de la actual Administración Pública Municipal nombrados al diez de enero de dos mil veintidós. </w:t>
      </w:r>
    </w:p>
    <w:p w:rsidR="000C29C2" w:rsidRDefault="00C04366">
      <w:pPr>
        <w:pBdr>
          <w:top w:val="nil"/>
          <w:left w:val="nil"/>
          <w:bottom w:val="nil"/>
          <w:right w:val="nil"/>
          <w:between w:val="nil"/>
        </w:pBdr>
        <w:spacing w:before="240" w:after="240" w:line="360" w:lineRule="auto"/>
        <w:ind w:left="720" w:right="49"/>
        <w:jc w:val="both"/>
        <w:rPr>
          <w:rFonts w:ascii="Palatino Linotype" w:eastAsia="Palatino Linotype" w:hAnsi="Palatino Linotype" w:cs="Palatino Linotype"/>
          <w:sz w:val="24"/>
          <w:szCs w:val="24"/>
        </w:rPr>
      </w:pPr>
      <w:bookmarkStart w:id="3" w:name="_heading=h.e2b0a37g5wjy" w:colFirst="0" w:colLast="0"/>
      <w:bookmarkEnd w:id="3"/>
      <w:r>
        <w:rPr>
          <w:rFonts w:ascii="Palatino Linotype" w:eastAsia="Palatino Linotype" w:hAnsi="Palatino Linotype" w:cs="Palatino Linotype"/>
          <w:sz w:val="24"/>
          <w:szCs w:val="24"/>
        </w:rPr>
        <w:t>De ser procedente,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0C29C2" w:rsidRDefault="00C0436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b/>
          <w:color w:val="000000"/>
          <w:sz w:val="24"/>
          <w:szCs w:val="24"/>
        </w:rPr>
        <w:t>Tercero.</w:t>
      </w:r>
      <w:r>
        <w:rPr>
          <w:rFonts w:ascii="Palatino Linotype" w:eastAsia="Palatino Linotype" w:hAnsi="Palatino Linotype" w:cs="Palatino Linotype"/>
          <w:b/>
          <w:color w:val="000000"/>
          <w:sz w:val="24"/>
          <w:szCs w:val="24"/>
          <w:highlight w:val="white"/>
        </w:rPr>
        <w:t xml:space="preserve"> Notifíquese vía SAIMEX, </w:t>
      </w:r>
      <w:r>
        <w:rPr>
          <w:rFonts w:ascii="Palatino Linotype" w:eastAsia="Palatino Linotype" w:hAnsi="Palatino Linotype" w:cs="Palatino Linotype"/>
          <w:color w:val="000000"/>
          <w:sz w:val="24"/>
          <w:szCs w:val="24"/>
          <w:highlight w:val="white"/>
        </w:rPr>
        <w:t xml:space="preserve">al Responsable de la Unidad de Transparencia del </w:t>
      </w:r>
      <w:r>
        <w:rPr>
          <w:rFonts w:ascii="Palatino Linotype" w:eastAsia="Palatino Linotype" w:hAnsi="Palatino Linotype" w:cs="Palatino Linotype"/>
          <w:b/>
          <w:color w:val="000000"/>
          <w:sz w:val="24"/>
          <w:szCs w:val="24"/>
          <w:highlight w:val="white"/>
        </w:rPr>
        <w:t>SUJETO OBLIGADO</w:t>
      </w:r>
      <w:r>
        <w:rPr>
          <w:rFonts w:ascii="Palatino Linotype" w:eastAsia="Palatino Linotype" w:hAnsi="Palatino Linotype" w:cs="Palatino Linotype"/>
          <w:color w:val="000000"/>
          <w:sz w:val="24"/>
          <w:szCs w:val="24"/>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C29C2" w:rsidRDefault="00C04366">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 Notifíquese,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C29C2" w:rsidRDefault="00C04366">
      <w:pPr>
        <w:spacing w:after="240" w:line="360" w:lineRule="auto"/>
        <w:jc w:val="both"/>
        <w:rPr>
          <w:rFonts w:ascii="Palatino Linotype" w:eastAsia="Palatino Linotype" w:hAnsi="Palatino Linotype" w:cs="Palatino Linotype"/>
          <w:sz w:val="24"/>
          <w:szCs w:val="24"/>
        </w:rPr>
      </w:pPr>
      <w:bookmarkStart w:id="4" w:name="_heading=h.2et92p0" w:colFirst="0" w:colLast="0"/>
      <w:bookmarkEnd w:id="4"/>
      <w:r>
        <w:rPr>
          <w:rFonts w:ascii="Palatino Linotype" w:eastAsia="Palatino Linotype" w:hAnsi="Palatino Linotype" w:cs="Palatino Linotype"/>
          <w:b/>
          <w:sz w:val="24"/>
          <w:szCs w:val="24"/>
        </w:rPr>
        <w:lastRenderedPageBreak/>
        <w:t>Quinto.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AB7419" w:rsidRDefault="00AB7419">
      <w:pPr>
        <w:spacing w:before="240" w:after="240" w:line="360" w:lineRule="auto"/>
        <w:jc w:val="both"/>
        <w:rPr>
          <w:rFonts w:ascii="Palatino Linotype" w:eastAsia="Palatino Linotype" w:hAnsi="Palatino Linotype" w:cs="Palatino Linotype"/>
          <w:sz w:val="24"/>
          <w:szCs w:val="24"/>
        </w:rPr>
        <w:sectPr w:rsidR="00AB7419">
          <w:headerReference w:type="default" r:id="rId22"/>
          <w:footerReference w:type="default" r:id="rId23"/>
          <w:footerReference w:type="first" r:id="rId24"/>
          <w:pgSz w:w="12240" w:h="15840"/>
          <w:pgMar w:top="2041" w:right="1750" w:bottom="1701" w:left="1701" w:header="709" w:footer="709" w:gutter="0"/>
          <w:pgNumType w:start="1"/>
          <w:cols w:space="720"/>
          <w:titlePg/>
        </w:sectPr>
      </w:pPr>
      <w:bookmarkStart w:id="5" w:name="_heading=h.1fob9te" w:colFirst="0" w:colLast="0"/>
      <w:bookmarkEnd w:id="5"/>
      <w:r>
        <w:rPr>
          <w:rFonts w:ascii="Palatino Linotype" w:eastAsia="Palatino Linotype" w:hAnsi="Palatino Linotype" w:cs="Palatino Linotype"/>
          <w:noProof/>
          <w:color w:val="222222"/>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64853</wp:posOffset>
                </wp:positionH>
                <wp:positionV relativeFrom="paragraph">
                  <wp:posOffset>3162963</wp:posOffset>
                </wp:positionV>
                <wp:extent cx="5327374" cy="2576222"/>
                <wp:effectExtent l="0" t="0" r="26035" b="33655"/>
                <wp:wrapNone/>
                <wp:docPr id="1" name="Conector recto 1"/>
                <wp:cNvGraphicFramePr/>
                <a:graphic xmlns:a="http://schemas.openxmlformats.org/drawingml/2006/main">
                  <a:graphicData uri="http://schemas.microsoft.com/office/word/2010/wordprocessingShape">
                    <wps:wsp>
                      <wps:cNvCnPr/>
                      <wps:spPr>
                        <a:xfrm>
                          <a:off x="0" y="0"/>
                          <a:ext cx="5327374" cy="2576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E3DC9"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1pt,249.05pt" to="424.6pt,4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" strokecolor="black [3200]" strokeweight=".5pt">
                <v:stroke joinstyle="miter"/>
              </v:line>
            </w:pict>
          </mc:Fallback>
        </mc:AlternateContent>
      </w:r>
      <w:r w:rsidR="00C04366">
        <w:rPr>
          <w:rFonts w:ascii="Palatino Linotype" w:eastAsia="Palatino Linotype" w:hAnsi="Palatino Linotype" w:cs="Palatino Linotype"/>
          <w:color w:val="222222"/>
          <w:sz w:val="24"/>
          <w:szCs w:val="24"/>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PARTICULAR, SHARON CRISTINA MORALES MARTÍNEZ, LUIS GUSTAVO PARRA NORIEGA Y GUADALUPE RAMÍREZ PEÑA; EN LA DÉCIMA NOVENA SESIÓN O</w:t>
      </w:r>
      <w:r>
        <w:rPr>
          <w:rFonts w:ascii="Palatino Linotype" w:eastAsia="Palatino Linotype" w:hAnsi="Palatino Linotype" w:cs="Palatino Linotype"/>
          <w:color w:val="222222"/>
          <w:sz w:val="24"/>
          <w:szCs w:val="24"/>
          <w:highlight w:val="white"/>
        </w:rPr>
        <w:t>RDINARIA CELEBRADA EL VEINTICINCO</w:t>
      </w:r>
      <w:bookmarkStart w:id="6" w:name="_GoBack"/>
      <w:bookmarkEnd w:id="6"/>
      <w:r w:rsidR="00C04366">
        <w:rPr>
          <w:rFonts w:ascii="Palatino Linotype" w:eastAsia="Palatino Linotype" w:hAnsi="Palatino Linotype" w:cs="Palatino Linotype"/>
          <w:sz w:val="24"/>
          <w:szCs w:val="24"/>
        </w:rPr>
        <w:t xml:space="preserve"> DE MAYO DEL DOS MIL VEINTIDÓS, ANTE EL SECRETARIO TÉCNICO DEL PLENO ALEXIS TAPIA RAMÍREZ. </w:t>
      </w:r>
    </w:p>
    <w:p w:rsidR="000C29C2" w:rsidRDefault="000C29C2"/>
    <w:sectPr w:rsidR="000C29C2">
      <w:headerReference w:type="default" r:id="rId25"/>
      <w:footerReference w:type="default" r:id="rId26"/>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366" w:rsidRDefault="00C04366">
      <w:pPr>
        <w:spacing w:after="0" w:line="240" w:lineRule="auto"/>
      </w:pPr>
      <w:r>
        <w:separator/>
      </w:r>
    </w:p>
  </w:endnote>
  <w:endnote w:type="continuationSeparator" w:id="0">
    <w:p w:rsidR="00C04366" w:rsidRDefault="00C04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9C2" w:rsidRDefault="00C0436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B7419">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B7419">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rsidR="000C29C2" w:rsidRDefault="000C29C2">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rsidR="000C29C2" w:rsidRDefault="000C29C2">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9C2" w:rsidRDefault="00C0436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B741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B7419">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rsidR="000C29C2" w:rsidRDefault="000C29C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9C2" w:rsidRDefault="00C0436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B7419">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B7419">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rsidR="000C29C2" w:rsidRDefault="000C29C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366" w:rsidRDefault="00C04366">
      <w:pPr>
        <w:spacing w:after="0" w:line="240" w:lineRule="auto"/>
      </w:pPr>
      <w:r>
        <w:separator/>
      </w:r>
    </w:p>
  </w:footnote>
  <w:footnote w:type="continuationSeparator" w:id="0">
    <w:p w:rsidR="00C04366" w:rsidRDefault="00C04366">
      <w:pPr>
        <w:spacing w:after="0" w:line="240" w:lineRule="auto"/>
      </w:pPr>
      <w:r>
        <w:continuationSeparator/>
      </w:r>
    </w:p>
  </w:footnote>
  <w:footnote w:id="1">
    <w:p w:rsidR="000C29C2" w:rsidRDefault="00C04366">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0C29C2" w:rsidRDefault="00C0436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0C29C2" w:rsidRDefault="00C0436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0C29C2" w:rsidRDefault="00C0436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del Trabajo de los Servidores Públicos del Estado de México, Artículo 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9C2" w:rsidRDefault="000C29C2">
    <w:pPr>
      <w:widowControl w:val="0"/>
      <w:pBdr>
        <w:top w:val="nil"/>
        <w:left w:val="nil"/>
        <w:bottom w:val="nil"/>
        <w:right w:val="nil"/>
        <w:between w:val="nil"/>
      </w:pBdr>
      <w:spacing w:after="0" w:line="276" w:lineRule="auto"/>
      <w:rPr>
        <w:color w:val="000000"/>
      </w:rPr>
    </w:pPr>
  </w:p>
  <w:tbl>
    <w:tblPr>
      <w:tblStyle w:val="ad"/>
      <w:tblW w:w="10479" w:type="dxa"/>
      <w:tblInd w:w="-1281" w:type="dxa"/>
      <w:tblLayout w:type="fixed"/>
      <w:tblLook w:val="0400" w:firstRow="0" w:lastRow="0" w:firstColumn="0" w:lastColumn="0" w:noHBand="0" w:noVBand="1"/>
    </w:tblPr>
    <w:tblGrid>
      <w:gridCol w:w="5576"/>
      <w:gridCol w:w="4903"/>
    </w:tblGrid>
    <w:tr w:rsidR="000C29C2">
      <w:trPr>
        <w:trHeight w:val="245"/>
      </w:trPr>
      <w:tc>
        <w:tcPr>
          <w:tcW w:w="5576" w:type="dxa"/>
        </w:tcPr>
        <w:p w:rsidR="000C29C2" w:rsidRDefault="00C04366">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0C29C2" w:rsidRDefault="00C04366">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02284/INFOEM/IP/RR/2022</w:t>
          </w:r>
        </w:p>
      </w:tc>
    </w:tr>
    <w:tr w:rsidR="000C29C2">
      <w:trPr>
        <w:trHeight w:val="211"/>
      </w:trPr>
      <w:tc>
        <w:tcPr>
          <w:tcW w:w="5576" w:type="dxa"/>
        </w:tcPr>
        <w:p w:rsidR="000C29C2" w:rsidRDefault="00C04366">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rsidR="000C29C2" w:rsidRDefault="000C29C2">
          <w:pPr>
            <w:spacing w:after="120"/>
            <w:ind w:left="-486" w:right="214" w:firstLine="567"/>
            <w:jc w:val="right"/>
            <w:rPr>
              <w:rFonts w:ascii="Palatino Linotype" w:eastAsia="Palatino Linotype" w:hAnsi="Palatino Linotype" w:cs="Palatino Linotype"/>
            </w:rPr>
          </w:pPr>
        </w:p>
      </w:tc>
    </w:tr>
    <w:tr w:rsidR="000C29C2">
      <w:trPr>
        <w:trHeight w:val="262"/>
      </w:trPr>
      <w:tc>
        <w:tcPr>
          <w:tcW w:w="5576" w:type="dxa"/>
        </w:tcPr>
        <w:p w:rsidR="000C29C2" w:rsidRDefault="00C04366">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0C29C2" w:rsidRDefault="00C04366">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0C29C2">
      <w:trPr>
        <w:trHeight w:val="371"/>
      </w:trPr>
      <w:tc>
        <w:tcPr>
          <w:tcW w:w="5576" w:type="dxa"/>
        </w:tcPr>
        <w:p w:rsidR="000C29C2" w:rsidRDefault="00C04366">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0C29C2" w:rsidRDefault="00C04366">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0C29C2" w:rsidRDefault="00C04366">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r>
      <w:rPr>
        <w:noProof/>
        <w:lang w:val="en-US" w:eastAsia="en-US"/>
      </w:rPr>
      <w:drawing>
        <wp:anchor distT="0" distB="0" distL="0" distR="0" simplePos="0" relativeHeight="251658240" behindDoc="1" locked="0" layoutInCell="1" hidden="0" allowOverlap="1">
          <wp:simplePos x="0" y="0"/>
          <wp:positionH relativeFrom="column">
            <wp:posOffset>-1057906</wp:posOffset>
          </wp:positionH>
          <wp:positionV relativeFrom="paragraph">
            <wp:posOffset>-1544951</wp:posOffset>
          </wp:positionV>
          <wp:extent cx="7809865" cy="10165715"/>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9C2" w:rsidRDefault="000C29C2">
    <w:pPr>
      <w:widowControl w:val="0"/>
      <w:pBdr>
        <w:top w:val="nil"/>
        <w:left w:val="nil"/>
        <w:bottom w:val="nil"/>
        <w:right w:val="nil"/>
        <w:between w:val="nil"/>
      </w:pBdr>
      <w:spacing w:after="0" w:line="276" w:lineRule="auto"/>
      <w:rPr>
        <w:color w:val="000000"/>
      </w:rPr>
    </w:pPr>
  </w:p>
  <w:p w:rsidR="000C29C2" w:rsidRDefault="000C29C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8579E"/>
    <w:multiLevelType w:val="multilevel"/>
    <w:tmpl w:val="148A5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C2"/>
    <w:rsid w:val="000C29C2"/>
    <w:rsid w:val="00607D2B"/>
    <w:rsid w:val="00AB7419"/>
    <w:rsid w:val="00C043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82B0A9"/>
  <w15:docId w15:val="{7BA764AD-3057-4E16-99EF-DBA0F018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5">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6">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7">
    <w:basedOn w:val="TableNormal1"/>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9">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a">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b">
    <w:basedOn w:val="TableNormal0"/>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c">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d">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e">
    <w:basedOn w:val="TableNormal0"/>
    <w:pPr>
      <w:spacing w:after="0" w:line="240" w:lineRule="auto"/>
    </w:pPr>
    <w:rPr>
      <w:sz w:val="24"/>
      <w:szCs w:val="24"/>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saimex.org.mx/saimex/solicitud/downloadAttach/1402846.pag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1331621.pag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224r00oQEx4dFtuuQHDlSBaw5w==">AMUW2mXGWmaaHYffIfxbel7wUKgrYwGAVyqOAqr3sE4RQD47aiB7h8KAoxWdE1bT/VIG936NbfW+/e7T45qT1whEByZ3R3QQEQ8YUyVuU/caXstsyqZ8YWXQET8BpF5HY6dlX3/7ReFA905kO7paOx+f7FpLfzFR3XRSuhexNjCoUZ2YxDKE/ROauorW76DUrf2OZcDJH9+e5qdrPP8b7owWAn1bZpUuWQ==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7652</Words>
  <Characters>43619</Characters>
  <Application>Microsoft Office Word</Application>
  <DocSecurity>0</DocSecurity>
  <Lines>363</Lines>
  <Paragraphs>102</Paragraphs>
  <ScaleCrop>false</ScaleCrop>
  <Company/>
  <LinksUpToDate>false</LinksUpToDate>
  <CharactersWithSpaces>51169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NAJERA </cp:lastModifiedBy>
  <cp:revision>3</cp:revision>
  <dcterms:created xsi:type="dcterms:W3CDTF">2022-05-19T03:16:00Z</dcterms:created>
  <dcterms:modified xsi:type="dcterms:W3CDTF">2022-05-26T15:34:00Z</dcterms:modified>
</cp:coreProperties>
</file>