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1BB3D18D"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D5985">
        <w:rPr>
          <w:rFonts w:ascii="Palatino Linotype" w:eastAsia="Times New Roman" w:hAnsi="Palatino Linotype" w:cs="Arial"/>
          <w:color w:val="000000"/>
          <w:sz w:val="24"/>
          <w:szCs w:val="24"/>
          <w:lang w:eastAsia="es-MX"/>
        </w:rPr>
        <w:t>quince</w:t>
      </w:r>
      <w:r w:rsidR="005D3E85">
        <w:rPr>
          <w:rFonts w:ascii="Palatino Linotype" w:eastAsia="Times New Roman" w:hAnsi="Palatino Linotype" w:cs="Arial"/>
          <w:color w:val="000000"/>
          <w:sz w:val="24"/>
          <w:szCs w:val="24"/>
          <w:lang w:eastAsia="es-MX"/>
        </w:rPr>
        <w:t xml:space="preserve"> de junio de dos mil veintidós. </w:t>
      </w:r>
      <w:r w:rsidR="00C01E1C">
        <w:rPr>
          <w:rFonts w:ascii="Palatino Linotype" w:eastAsia="Times New Roman" w:hAnsi="Palatino Linotype" w:cs="Arial"/>
          <w:color w:val="000000"/>
          <w:sz w:val="24"/>
          <w:szCs w:val="24"/>
          <w:lang w:eastAsia="es-MX"/>
        </w:rPr>
        <w:t xml:space="preserve"> </w:t>
      </w:r>
      <w:r w:rsidR="00467C17">
        <w:rPr>
          <w:rFonts w:ascii="Palatino Linotype" w:eastAsia="Times New Roman" w:hAnsi="Palatino Linotype" w:cs="Arial"/>
          <w:color w:val="000000"/>
          <w:sz w:val="24"/>
          <w:szCs w:val="24"/>
          <w:lang w:eastAsia="es-MX"/>
        </w:rPr>
        <w:t xml:space="preserve"> </w:t>
      </w:r>
      <w:r w:rsidR="00C4530E">
        <w:rPr>
          <w:rFonts w:ascii="Palatino Linotype" w:eastAsia="Times New Roman" w:hAnsi="Palatino Linotype" w:cs="Arial"/>
          <w:color w:val="000000"/>
          <w:sz w:val="24"/>
          <w:szCs w:val="24"/>
          <w:lang w:eastAsia="es-MX"/>
        </w:rPr>
        <w:t xml:space="preserve"> </w:t>
      </w:r>
      <w:r w:rsidR="003838B4">
        <w:rPr>
          <w:rFonts w:ascii="Palatino Linotype" w:eastAsia="Times New Roman" w:hAnsi="Palatino Linotype" w:cs="Arial"/>
          <w:color w:val="000000"/>
          <w:sz w:val="24"/>
          <w:szCs w:val="24"/>
          <w:lang w:eastAsia="es-MX"/>
        </w:rPr>
        <w:t xml:space="preserve"> </w:t>
      </w:r>
      <w:r w:rsidR="005F2C76">
        <w:rPr>
          <w:rFonts w:ascii="Palatino Linotype" w:eastAsia="Times New Roman" w:hAnsi="Palatino Linotype" w:cs="Arial"/>
          <w:color w:val="000000"/>
          <w:sz w:val="24"/>
          <w:szCs w:val="24"/>
          <w:lang w:eastAsia="es-MX"/>
        </w:rPr>
        <w:t xml:space="preserve"> </w:t>
      </w:r>
    </w:p>
    <w:p w14:paraId="1A583747" w14:textId="2860F3CC" w:rsidR="005D3E85" w:rsidRPr="005D3E85"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5D3E85">
        <w:rPr>
          <w:rFonts w:ascii="Palatino Linotype" w:hAnsi="Palatino Linotype" w:cs="Arial"/>
          <w:b/>
          <w:bCs/>
          <w:sz w:val="24"/>
        </w:rPr>
        <w:t>6530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 xml:space="preserve">interpuesto por </w:t>
      </w:r>
      <w:r w:rsidR="00ED5985">
        <w:rPr>
          <w:rFonts w:ascii="Palatino Linotype" w:hAnsi="Palatino Linotype" w:cs="Arial"/>
          <w:sz w:val="24"/>
        </w:rPr>
        <w:t xml:space="preserve">el </w:t>
      </w:r>
      <w:r w:rsidR="00337AFB">
        <w:rPr>
          <w:rFonts w:ascii="Palatino Linotype" w:hAnsi="Palatino Linotype" w:cs="Arial"/>
          <w:b/>
          <w:sz w:val="24"/>
        </w:rPr>
        <w:t xml:space="preserve">x </w:t>
      </w:r>
      <w:proofErr w:type="spellStart"/>
      <w:r w:rsidR="00337AFB">
        <w:rPr>
          <w:rFonts w:ascii="Palatino Linotype" w:hAnsi="Palatino Linotype" w:cs="Arial"/>
          <w:b/>
          <w:sz w:val="24"/>
        </w:rPr>
        <w:t>xxxxxxx</w:t>
      </w:r>
      <w:proofErr w:type="spellEnd"/>
      <w:r w:rsidR="00337AFB">
        <w:rPr>
          <w:rFonts w:ascii="Palatino Linotype" w:hAnsi="Palatino Linotype" w:cs="Arial"/>
          <w:b/>
          <w:sz w:val="24"/>
        </w:rPr>
        <w:t xml:space="preserve"> </w:t>
      </w:r>
      <w:proofErr w:type="spellStart"/>
      <w:r w:rsidR="00337AFB">
        <w:rPr>
          <w:rFonts w:ascii="Palatino Linotype" w:hAnsi="Palatino Linotype" w:cs="Arial"/>
          <w:b/>
          <w:sz w:val="24"/>
        </w:rPr>
        <w:t>xxxxxx</w:t>
      </w:r>
      <w:proofErr w:type="spellEnd"/>
      <w:r w:rsidR="00C01E1C">
        <w:rPr>
          <w:rFonts w:ascii="Palatino Linotype" w:hAnsi="Palatino Linotype" w:cs="Arial"/>
          <w:sz w:val="24"/>
        </w:rPr>
        <w:t xml:space="preserve">, en lo sucesivo </w:t>
      </w:r>
      <w:r w:rsidR="00C01E1C">
        <w:rPr>
          <w:rFonts w:ascii="Palatino Linotype" w:hAnsi="Palatino Linotype" w:cs="Arial"/>
          <w:b/>
          <w:sz w:val="24"/>
        </w:rPr>
        <w:t xml:space="preserve">El Recurrente, </w:t>
      </w:r>
      <w:r w:rsidR="00C01E1C">
        <w:rPr>
          <w:rFonts w:ascii="Palatino Linotype" w:hAnsi="Palatino Linotype" w:cs="Arial"/>
          <w:sz w:val="24"/>
        </w:rPr>
        <w:t xml:space="preserve">en contra de la respuesta del </w:t>
      </w:r>
      <w:r w:rsidR="005D3E85">
        <w:rPr>
          <w:rFonts w:ascii="Palatino Linotype" w:hAnsi="Palatino Linotype" w:cs="Arial"/>
          <w:b/>
          <w:sz w:val="24"/>
        </w:rPr>
        <w:t xml:space="preserve">Sistema Municipal para el Desarrollo Integral de la Familia de Naucalpan de Juárez, </w:t>
      </w:r>
      <w:r w:rsidR="005D3E85">
        <w:rPr>
          <w:rFonts w:ascii="Palatino Linotype" w:hAnsi="Palatino Linotype" w:cs="Arial"/>
          <w:sz w:val="24"/>
        </w:rPr>
        <w:t xml:space="preserve">en lo subsecuente </w:t>
      </w:r>
      <w:r w:rsidR="005D3E85">
        <w:rPr>
          <w:rFonts w:ascii="Palatino Linotype" w:hAnsi="Palatino Linotype" w:cs="Arial"/>
          <w:b/>
          <w:sz w:val="24"/>
        </w:rPr>
        <w:t xml:space="preserve">El Sujeto Obligado, </w:t>
      </w:r>
      <w:r w:rsidR="005D3E85">
        <w:rPr>
          <w:rFonts w:ascii="Palatino Linotype" w:hAnsi="Palatino Linotype" w:cs="Arial"/>
          <w:sz w:val="24"/>
        </w:rPr>
        <w:t xml:space="preserve">se procede a dictar la presente resolución. </w:t>
      </w:r>
    </w:p>
    <w:p w14:paraId="2453361E" w14:textId="77777777" w:rsidR="005D3E85" w:rsidRDefault="005D3E85" w:rsidP="00B433C9">
      <w:pPr>
        <w:spacing w:before="240" w:after="240" w:line="360" w:lineRule="auto"/>
        <w:jc w:val="center"/>
        <w:rPr>
          <w:rFonts w:ascii="Palatino Linotype" w:hAnsi="Palatino Linotype"/>
          <w:b/>
          <w:sz w:val="28"/>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74FF52A" w14:textId="1BFBC9F7" w:rsidR="005D3E85" w:rsidRPr="005D3E85"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D3E85">
        <w:rPr>
          <w:rFonts w:ascii="Palatino Linotype" w:hAnsi="Palatino Linotype" w:cs="Arial"/>
          <w:sz w:val="24"/>
        </w:rPr>
        <w:t xml:space="preserve">veinticinco de marzo de dos mil veintidós, </w:t>
      </w:r>
      <w:r w:rsidR="005D3E85">
        <w:rPr>
          <w:rFonts w:ascii="Palatino Linotype" w:hAnsi="Palatino Linotype" w:cs="Arial"/>
          <w:b/>
          <w:sz w:val="24"/>
        </w:rPr>
        <w:t xml:space="preserve">El Recurrente, </w:t>
      </w:r>
      <w:r w:rsidR="005D3E85">
        <w:rPr>
          <w:rFonts w:ascii="Palatino Linotype" w:hAnsi="Palatino Linotype" w:cs="Arial"/>
          <w:sz w:val="24"/>
        </w:rPr>
        <w:t xml:space="preserve">presentó a través del Sistema de Acceso a la Información Mexiquense </w:t>
      </w:r>
      <w:r w:rsidR="005D3E85">
        <w:rPr>
          <w:rFonts w:ascii="Palatino Linotype" w:hAnsi="Palatino Linotype" w:cs="Arial"/>
          <w:b/>
          <w:sz w:val="24"/>
        </w:rPr>
        <w:t xml:space="preserve">(SAIMEX) </w:t>
      </w:r>
      <w:r w:rsidR="005D3E85">
        <w:rPr>
          <w:rFonts w:ascii="Palatino Linotype" w:hAnsi="Palatino Linotype" w:cs="Arial"/>
          <w:sz w:val="24"/>
        </w:rPr>
        <w:t xml:space="preserve">ante </w:t>
      </w:r>
      <w:r w:rsidR="005D3E85">
        <w:rPr>
          <w:rFonts w:ascii="Palatino Linotype" w:hAnsi="Palatino Linotype" w:cs="Arial"/>
          <w:b/>
          <w:sz w:val="24"/>
        </w:rPr>
        <w:t>El Sujeto Obligado</w:t>
      </w:r>
      <w:r w:rsidR="005D3E85">
        <w:rPr>
          <w:rFonts w:ascii="Palatino Linotype" w:hAnsi="Palatino Linotype" w:cs="Arial"/>
          <w:sz w:val="24"/>
        </w:rPr>
        <w:t xml:space="preserve">, solicitud de acceso a la información pública, registrada bajo el número de expediente </w:t>
      </w:r>
      <w:r w:rsidR="005D3E85">
        <w:rPr>
          <w:rFonts w:ascii="Palatino Linotype" w:hAnsi="Palatino Linotype" w:cs="Arial"/>
          <w:b/>
          <w:sz w:val="24"/>
        </w:rPr>
        <w:t xml:space="preserve">00032/DIFNAUCAL/IP/2022, </w:t>
      </w:r>
      <w:r w:rsidR="005D3E85">
        <w:rPr>
          <w:rFonts w:ascii="Palatino Linotype" w:hAnsi="Palatino Linotype" w:cs="Arial"/>
          <w:sz w:val="24"/>
        </w:rPr>
        <w:t xml:space="preserve">mediante la cual solicitó información en el tenor siguiente: </w:t>
      </w:r>
    </w:p>
    <w:p w14:paraId="79032090" w14:textId="00E3399F" w:rsidR="005D3E85" w:rsidRPr="005D3E85" w:rsidRDefault="005D3E85" w:rsidP="005D3E85">
      <w:pPr>
        <w:pStyle w:val="Citas"/>
        <w:rPr>
          <w:b/>
          <w:sz w:val="24"/>
        </w:rPr>
      </w:pPr>
      <w:r>
        <w:t xml:space="preserve">“solicito el acuerdo donde se aprueba el fundamento del porque solicita ampliación del recurso de revisión recaído de la solicitud 03 fundada y motivada y que cumpla </w:t>
      </w:r>
      <w:r>
        <w:lastRenderedPageBreak/>
        <w:t xml:space="preserve">con lo que marca la ley, ya que si no cuenta con los requisitos incumple en un procedimiento” </w:t>
      </w:r>
      <w:r>
        <w:rPr>
          <w:b/>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02C1D976" w14:textId="77777777" w:rsidR="00CE0E72" w:rsidRPr="008B1AD9" w:rsidRDefault="00CE0E72" w:rsidP="00B433C9">
      <w:pPr>
        <w:spacing w:before="240" w:line="360" w:lineRule="auto"/>
        <w:jc w:val="both"/>
        <w:rPr>
          <w:rFonts w:ascii="Palatino Linotype" w:hAnsi="Palatino Linotype" w:cs="Arial"/>
          <w:sz w:val="24"/>
        </w:rPr>
      </w:pPr>
    </w:p>
    <w:p w14:paraId="2745D23E" w14:textId="75BD5CF5"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CA41C62" w14:textId="1C62698F" w:rsidR="005D3E85"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E725D5">
        <w:rPr>
          <w:rFonts w:ascii="Palatino Linotype" w:hAnsi="Palatino Linotype" w:cs="Arial"/>
          <w:sz w:val="24"/>
          <w:szCs w:val="24"/>
        </w:rPr>
        <w:t xml:space="preserve"> </w:t>
      </w:r>
      <w:r w:rsidR="005D3E85">
        <w:rPr>
          <w:rFonts w:ascii="Palatino Linotype" w:hAnsi="Palatino Linotype" w:cs="Arial"/>
          <w:sz w:val="24"/>
          <w:szCs w:val="24"/>
        </w:rPr>
        <w:t xml:space="preserve">veintiuno de abril de los corrientes, </w:t>
      </w:r>
      <w:r w:rsidR="005D3E85">
        <w:rPr>
          <w:rFonts w:ascii="Palatino Linotype" w:hAnsi="Palatino Linotype" w:cs="Arial"/>
          <w:b/>
          <w:sz w:val="24"/>
          <w:szCs w:val="24"/>
        </w:rPr>
        <w:t xml:space="preserve">El Sujeto Obligado </w:t>
      </w:r>
      <w:r w:rsidR="005D3E85">
        <w:rPr>
          <w:rFonts w:ascii="Palatino Linotype" w:hAnsi="Palatino Linotype" w:cs="Arial"/>
          <w:sz w:val="24"/>
          <w:szCs w:val="24"/>
        </w:rPr>
        <w:t xml:space="preserve">dio respuesta a la solicitud de información en los siguientes términos: </w:t>
      </w:r>
    </w:p>
    <w:p w14:paraId="2AAE9797" w14:textId="6D370FF5" w:rsidR="005D3E85" w:rsidRDefault="005D3E85" w:rsidP="005D3E85">
      <w:pPr>
        <w:pStyle w:val="Citas"/>
        <w:rPr>
          <w:lang w:eastAsia="es-MX"/>
        </w:rPr>
      </w:pPr>
      <w:r>
        <w:rPr>
          <w:lang w:eastAsia="es-MX"/>
        </w:rPr>
        <w:t xml:space="preserve">“En </w:t>
      </w:r>
      <w:r w:rsidRPr="005D3E85">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r>
        <w:rPr>
          <w:lang w:eastAsia="es-MX"/>
        </w:rPr>
        <w:t>:</w:t>
      </w:r>
    </w:p>
    <w:p w14:paraId="587A2394" w14:textId="40C29313" w:rsidR="005D3E85" w:rsidRPr="005D3E85" w:rsidRDefault="005D3E85" w:rsidP="005D3E85">
      <w:pPr>
        <w:pStyle w:val="Citas"/>
        <w:rPr>
          <w:b/>
          <w:sz w:val="24"/>
          <w:szCs w:val="24"/>
        </w:rPr>
      </w:pPr>
      <w:r>
        <w:rPr>
          <w:lang w:eastAsia="es-MX"/>
        </w:rPr>
        <w:t>C</w:t>
      </w:r>
      <w:r w:rsidRPr="005D3E85">
        <w:rPr>
          <w:lang w:eastAsia="es-MX"/>
        </w:rPr>
        <w:t xml:space="preserve">. SOLICITANTE DE INFORMACIÓN PRESENTE Sea este el medio para enviarle un cordial saludo y al mismo tiempo remitirle la información solicitada bajo el folio: 00032/DIFNAUCAL/IP/2022 donde solicita literalmente lo siguiente: “solicito el acuerdo donde se aprueba el fundamento del porque solicita ampliación del recurso de revisión recaído de la solicitud 03 fundada y motivada y que cumpla con lo que marca la ley, ya que si no cuenta con los requisitos incumple en un procedimiento.” …(SIC) </w:t>
      </w:r>
      <w:r w:rsidRPr="00FA19D2">
        <w:rPr>
          <w:b/>
          <w:u w:val="single"/>
          <w:lang w:eastAsia="es-MX"/>
        </w:rPr>
        <w:t xml:space="preserve">Por lo anterior tengo a bien informarle que dentro de los archivos que obran en esta Unidad de Transparencia del Sistema Municipal DIF, Naucalpan no obran archivos que contengan la información </w:t>
      </w:r>
      <w:r w:rsidRPr="00FA19D2">
        <w:rPr>
          <w:b/>
          <w:u w:val="single"/>
          <w:lang w:eastAsia="es-MX"/>
        </w:rPr>
        <w:lastRenderedPageBreak/>
        <w:t>referente a la solicitud realizada ya que esta unidad no promovió dicha ampliación,</w:t>
      </w:r>
      <w:r w:rsidRPr="005D3E85">
        <w:rPr>
          <w:lang w:eastAsia="es-MX"/>
        </w:rPr>
        <w:t xml:space="preserve"> por lo que con fundamento en el artículo 12 de la Ley de Transparencia y Acceso a la Información Pública del Estado de México y Municipios en su párrafo dos el cual establece que solo se proporcionara la información pública que se les requiera y que obre en sus archivos, por lo que de conformidad con el ya citado al no existir dicha información esta unidad no puede realizar un pronunciamiento al respecto. Por lo anterior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remite la información</w:t>
      </w:r>
      <w:r>
        <w:rPr>
          <w:lang w:eastAsia="es-MX"/>
        </w:rPr>
        <w:t xml:space="preserve"> solicitada” </w:t>
      </w:r>
      <w:r>
        <w:rPr>
          <w:b/>
          <w:lang w:eastAsia="es-MX"/>
        </w:rPr>
        <w:t>(Sic)</w:t>
      </w:r>
    </w:p>
    <w:p w14:paraId="72C29E18" w14:textId="52D559C5" w:rsidR="005D3E85" w:rsidRPr="005D3E85" w:rsidRDefault="005D3E85" w:rsidP="00D81029">
      <w:pPr>
        <w:pStyle w:val="Citas"/>
        <w:ind w:left="0" w:right="0"/>
        <w:rPr>
          <w:i w:val="0"/>
          <w:sz w:val="24"/>
          <w:szCs w:val="24"/>
        </w:rPr>
      </w:pPr>
      <w:r>
        <w:rPr>
          <w:i w:val="0"/>
          <w:sz w:val="24"/>
          <w:szCs w:val="24"/>
        </w:rPr>
        <w:t xml:space="preserve">A mayor abundamiento, se advierte que </w:t>
      </w:r>
      <w:r>
        <w:rPr>
          <w:b/>
          <w:i w:val="0"/>
          <w:sz w:val="24"/>
          <w:szCs w:val="24"/>
        </w:rPr>
        <w:t xml:space="preserve">El Sujeto Obligado </w:t>
      </w:r>
      <w:r>
        <w:rPr>
          <w:i w:val="0"/>
          <w:sz w:val="24"/>
          <w:szCs w:val="24"/>
        </w:rPr>
        <w:t xml:space="preserve">adjuntó el documento electrónico </w:t>
      </w:r>
      <w:r>
        <w:rPr>
          <w:b/>
          <w:i w:val="0"/>
          <w:sz w:val="24"/>
          <w:szCs w:val="24"/>
        </w:rPr>
        <w:t xml:space="preserve">“Respuesta Solicitud 32.pdf”, </w:t>
      </w:r>
      <w:r>
        <w:rPr>
          <w:i w:val="0"/>
          <w:sz w:val="24"/>
          <w:szCs w:val="24"/>
        </w:rPr>
        <w:t xml:space="preserve">mismo que se tiene por reproducido en virtud de que será materia de análisis en el considerando respectivo. </w:t>
      </w:r>
    </w:p>
    <w:p w14:paraId="2F37E512" w14:textId="77777777" w:rsidR="005D3E85" w:rsidRDefault="005D3E85" w:rsidP="00D81029">
      <w:pPr>
        <w:pStyle w:val="Citas"/>
        <w:ind w:left="0" w:right="0"/>
        <w:rPr>
          <w:i w:val="0"/>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C014B59" w14:textId="38A391EC" w:rsidR="005D3E85" w:rsidRPr="005D3E85"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5D3E85">
        <w:rPr>
          <w:rFonts w:ascii="Palatino Linotype" w:hAnsi="Palatino Linotype" w:cs="Arial"/>
          <w:sz w:val="24"/>
          <w:szCs w:val="24"/>
        </w:rPr>
        <w:t xml:space="preserve">veintidós de abril del presente, el cual fue registrado en el sistema electrónico con el expediente número </w:t>
      </w:r>
      <w:r w:rsidR="005D3E85">
        <w:rPr>
          <w:rFonts w:ascii="Palatino Linotype" w:hAnsi="Palatino Linotype" w:cs="Arial"/>
          <w:b/>
          <w:sz w:val="24"/>
          <w:szCs w:val="24"/>
        </w:rPr>
        <w:t xml:space="preserve">06530/INFOEM/IP/RR/2022, </w:t>
      </w:r>
      <w:r w:rsidR="005D3E85">
        <w:rPr>
          <w:rFonts w:ascii="Palatino Linotype" w:hAnsi="Palatino Linotype" w:cs="Arial"/>
          <w:sz w:val="24"/>
          <w:szCs w:val="24"/>
        </w:rPr>
        <w:t xml:space="preserve">en el cual arguye las siguientes manifestaciones: </w:t>
      </w:r>
    </w:p>
    <w:p w14:paraId="4A1D1F0E" w14:textId="77777777" w:rsidR="005D3E85" w:rsidRDefault="005D3E85" w:rsidP="00B433C9">
      <w:pPr>
        <w:spacing w:before="240" w:line="360" w:lineRule="auto"/>
        <w:jc w:val="both"/>
        <w:rPr>
          <w:rFonts w:ascii="Palatino Linotype" w:hAnsi="Palatino Linotype" w:cs="Arial"/>
          <w:sz w:val="24"/>
          <w:szCs w:val="24"/>
        </w:rPr>
      </w:pP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5C0448BD" w14:textId="7E4C1A7E" w:rsidR="00B433C9" w:rsidRPr="00712E3A" w:rsidRDefault="00B433C9" w:rsidP="005C57BA">
      <w:pPr>
        <w:pStyle w:val="Citas"/>
        <w:tabs>
          <w:tab w:val="left" w:pos="3750"/>
        </w:tabs>
        <w:rPr>
          <w:b/>
        </w:rPr>
      </w:pPr>
      <w:r w:rsidRPr="005D3E85">
        <w:t>“</w:t>
      </w:r>
      <w:r w:rsidR="005D3E85" w:rsidRPr="005D3E85">
        <w:t xml:space="preserve">Mi estimado Titular de Transparencia te informo que la ampliación al recurso </w:t>
      </w:r>
      <w:proofErr w:type="spellStart"/>
      <w:r w:rsidR="005D3E85" w:rsidRPr="005D3E85">
        <w:t>tu</w:t>
      </w:r>
      <w:proofErr w:type="spellEnd"/>
      <w:r w:rsidR="005D3E85" w:rsidRPr="005D3E85">
        <w:t xml:space="preserve"> la promoviste para que el Instituto de Transparencia te la aprobara así que las razones o causas </w:t>
      </w:r>
      <w:proofErr w:type="spellStart"/>
      <w:r w:rsidR="005D3E85" w:rsidRPr="005D3E85">
        <w:t>tu</w:t>
      </w:r>
      <w:proofErr w:type="spellEnd"/>
      <w:r w:rsidR="005D3E85" w:rsidRPr="005D3E85">
        <w:t xml:space="preserve"> las debes de saber con todo el respeto que me mereces te pido leas y te capacites en los procedimientos que </w:t>
      </w:r>
      <w:proofErr w:type="spellStart"/>
      <w:r w:rsidR="005D3E85" w:rsidRPr="005D3E85">
        <w:t>estas</w:t>
      </w:r>
      <w:proofErr w:type="spellEnd"/>
      <w:r w:rsidR="005D3E85" w:rsidRPr="005D3E85">
        <w:t xml:space="preserve"> obligado en atender de forma correcta ya que al nombrarte titular de transparencia es porque cuentas con dichos conocimientos ya que tu fundamentación al </w:t>
      </w:r>
      <w:proofErr w:type="spellStart"/>
      <w:r w:rsidR="005D3E85" w:rsidRPr="005D3E85">
        <w:t>articulo</w:t>
      </w:r>
      <w:proofErr w:type="spellEnd"/>
      <w:r w:rsidR="005D3E85" w:rsidRPr="005D3E85">
        <w:t xml:space="preserve"> 12 no es aplicable Titular de Transparencia.</w:t>
      </w:r>
      <w:r w:rsidRPr="005D3E85">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4F405CA0" w:rsidR="00B433C9" w:rsidRPr="00712E3A" w:rsidRDefault="00B433C9" w:rsidP="00E725D5">
      <w:pPr>
        <w:pStyle w:val="Citas"/>
      </w:pPr>
      <w:r w:rsidRPr="005D3E85">
        <w:t>“</w:t>
      </w:r>
      <w:r w:rsidR="005D3E85" w:rsidRPr="005D3E85">
        <w:t xml:space="preserve">Mi estimado Titular de Transparencia te informo que la ampliación al recurso </w:t>
      </w:r>
      <w:proofErr w:type="spellStart"/>
      <w:r w:rsidR="005D3E85" w:rsidRPr="005D3E85">
        <w:t>tu</w:t>
      </w:r>
      <w:proofErr w:type="spellEnd"/>
      <w:r w:rsidR="005D3E85" w:rsidRPr="005D3E85">
        <w:t xml:space="preserve"> la promoviste para que el Instituto de Transparencia te la aprobara así que las razones o causas </w:t>
      </w:r>
      <w:proofErr w:type="spellStart"/>
      <w:r w:rsidR="005D3E85" w:rsidRPr="005D3E85">
        <w:t>tu</w:t>
      </w:r>
      <w:proofErr w:type="spellEnd"/>
      <w:r w:rsidR="005D3E85" w:rsidRPr="005D3E85">
        <w:t xml:space="preserve"> las debes de saber con todo el respeto que me mereces te pido leas y te capacites en los procedimientos que </w:t>
      </w:r>
      <w:proofErr w:type="spellStart"/>
      <w:r w:rsidR="005D3E85" w:rsidRPr="005D3E85">
        <w:t>estas</w:t>
      </w:r>
      <w:proofErr w:type="spellEnd"/>
      <w:r w:rsidR="005D3E85" w:rsidRPr="005D3E85">
        <w:t xml:space="preserve"> obligado en atender de forma correcta ya que al nombrarte titular de transparencia es porque cuentas con dichos conocimientos ya que tu fundamentación al </w:t>
      </w:r>
      <w:proofErr w:type="spellStart"/>
      <w:r w:rsidR="005D3E85" w:rsidRPr="005D3E85">
        <w:t>articulo</w:t>
      </w:r>
      <w:proofErr w:type="spellEnd"/>
      <w:r w:rsidR="005D3E85" w:rsidRPr="005D3E85">
        <w:t xml:space="preserve"> 12 no es aplicable Titular de Transparencia.</w:t>
      </w:r>
      <w:r w:rsidRPr="005D3E85">
        <w:t>”</w:t>
      </w:r>
      <w:r w:rsidRPr="00712E3A">
        <w:t xml:space="preserve"> </w:t>
      </w:r>
      <w:r w:rsidRPr="00576D51">
        <w:rPr>
          <w:b/>
        </w:rPr>
        <w:t>[Sic]</w:t>
      </w:r>
    </w:p>
    <w:p w14:paraId="23DC207B" w14:textId="77777777" w:rsidR="00D81029" w:rsidRDefault="00D81029" w:rsidP="00B433C9">
      <w:pPr>
        <w:spacing w:before="240" w:line="360" w:lineRule="auto"/>
        <w:jc w:val="both"/>
        <w:rPr>
          <w:rFonts w:ascii="Palatino Linotype" w:hAnsi="Palatino Linotype" w:cs="Arial"/>
          <w:b/>
          <w:sz w:val="28"/>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7184DAFD"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Municipios, del cual recayó acuerdo de admisión en fecha</w:t>
      </w:r>
      <w:r w:rsidR="00D81029">
        <w:rPr>
          <w:rFonts w:ascii="Palatino Linotype" w:hAnsi="Palatino Linotype" w:cs="Arial"/>
          <w:sz w:val="24"/>
          <w:szCs w:val="24"/>
        </w:rPr>
        <w:t xml:space="preserve"> </w:t>
      </w:r>
      <w:r w:rsidR="005D3E85">
        <w:rPr>
          <w:rFonts w:ascii="Palatino Linotype" w:hAnsi="Palatino Linotype" w:cs="Arial"/>
          <w:sz w:val="24"/>
          <w:szCs w:val="24"/>
        </w:rPr>
        <w:t xml:space="preserve">veintiséis de abril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DFF276F" w14:textId="77777777" w:rsidR="00D81029" w:rsidRDefault="00D81029" w:rsidP="00D8102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098D9E4" w14:textId="2EE46816" w:rsidR="00D81029" w:rsidRDefault="00D81029" w:rsidP="00D81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3F38EB">
        <w:rPr>
          <w:rFonts w:ascii="Palatino Linotype" w:hAnsi="Palatino Linotype" w:cs="Arial"/>
          <w:b/>
          <w:sz w:val="24"/>
          <w:szCs w:val="24"/>
        </w:rPr>
        <w:t>veinticuatro de mayo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2EBD060" w14:textId="2D9BA3C3" w:rsidR="00D81029" w:rsidRDefault="00D81029" w:rsidP="00D81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3F38EB">
        <w:rPr>
          <w:rFonts w:ascii="Palatino Linotype" w:hAnsi="Palatino Linotype" w:cs="Arial"/>
          <w:b/>
          <w:bCs/>
          <w:sz w:val="24"/>
          <w:szCs w:val="24"/>
        </w:rPr>
        <w:t>ocho de junio</w:t>
      </w:r>
      <w:r>
        <w:rPr>
          <w:rFonts w:ascii="Palatino Linotype" w:hAnsi="Palatino Linotype" w:cs="Arial"/>
          <w:b/>
          <w:bCs/>
          <w:sz w:val="24"/>
          <w:szCs w:val="24"/>
        </w:rPr>
        <w:t xml:space="preserve">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de la Ley de Transparencia y Acceso a la Información del Estado de México y Municipios. </w:t>
      </w:r>
    </w:p>
    <w:p w14:paraId="046F5E6C" w14:textId="77777777" w:rsidR="00D81029" w:rsidRDefault="00D81029" w:rsidP="007E4FA1">
      <w:pPr>
        <w:spacing w:before="240" w:line="360" w:lineRule="auto"/>
        <w:jc w:val="center"/>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15A1C97" w14:textId="77777777" w:rsidR="003F38EB" w:rsidRDefault="003F38EB" w:rsidP="003F38E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9076B20" w14:textId="77777777" w:rsidR="003F38EB" w:rsidRPr="00514E66" w:rsidRDefault="003F38EB" w:rsidP="003F38EB">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w:t>
      </w:r>
      <w:proofErr w:type="spellStart"/>
      <w:r w:rsidRPr="00514E66">
        <w:rPr>
          <w:rFonts w:ascii="Palatino Linotype" w:hAnsi="Palatino Linotype" w:cs="Arial"/>
        </w:rPr>
        <w:t>procedibilidad</w:t>
      </w:r>
      <w:proofErr w:type="spellEnd"/>
      <w:r w:rsidRPr="00514E6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17FACC" w14:textId="2CA59327" w:rsidR="00D81029" w:rsidRDefault="003F38EB" w:rsidP="003F38EB">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6E6409D" w14:textId="77777777" w:rsidR="003F38EB" w:rsidRDefault="003F38EB"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BDF360D" w14:textId="77777777" w:rsidR="00411E6F" w:rsidRDefault="00411E6F" w:rsidP="00D870AC">
      <w:pPr>
        <w:spacing w:before="240" w:line="360" w:lineRule="auto"/>
        <w:jc w:val="both"/>
        <w:rPr>
          <w:rFonts w:ascii="Palatino Linotype" w:hAnsi="Palatino Linotype"/>
          <w:sz w:val="24"/>
          <w:szCs w:val="24"/>
        </w:rPr>
      </w:pPr>
    </w:p>
    <w:p w14:paraId="473BF863" w14:textId="496541D0" w:rsidR="003F38EB"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3F38EB">
        <w:rPr>
          <w:rFonts w:ascii="Palatino Linotype" w:hAnsi="Palatino Linotype"/>
          <w:b/>
          <w:sz w:val="24"/>
          <w:szCs w:val="24"/>
        </w:rPr>
        <w:t xml:space="preserve">00032/DIFNAUCAL/IP/2022 </w:t>
      </w:r>
      <w:r w:rsidR="003F38EB">
        <w:rPr>
          <w:rFonts w:ascii="Palatino Linotype" w:hAnsi="Palatino Linotype"/>
          <w:sz w:val="24"/>
          <w:szCs w:val="24"/>
        </w:rPr>
        <w:t xml:space="preserve">fue formulado </w:t>
      </w:r>
      <w:r w:rsidR="003F38EB">
        <w:rPr>
          <w:rFonts w:ascii="Palatino Linotype" w:hAnsi="Palatino Linotype"/>
          <w:b/>
          <w:sz w:val="24"/>
          <w:szCs w:val="24"/>
        </w:rPr>
        <w:t xml:space="preserve">1 –un- </w:t>
      </w:r>
      <w:r w:rsidR="003F38EB">
        <w:rPr>
          <w:rFonts w:ascii="Palatino Linotype" w:hAnsi="Palatino Linotype"/>
          <w:sz w:val="24"/>
          <w:szCs w:val="24"/>
        </w:rPr>
        <w:t xml:space="preserve">requerimiento, respecto del cual se desprenden las siguientes consideraciones: </w:t>
      </w:r>
    </w:p>
    <w:p w14:paraId="1211A14A" w14:textId="6E5722FE" w:rsidR="003F38EB" w:rsidRDefault="003F38EB" w:rsidP="003F38EB">
      <w:pPr>
        <w:pStyle w:val="Prrafodelista"/>
        <w:numPr>
          <w:ilvl w:val="0"/>
          <w:numId w:val="41"/>
        </w:numPr>
        <w:spacing w:before="240" w:line="360" w:lineRule="auto"/>
        <w:jc w:val="both"/>
        <w:rPr>
          <w:rFonts w:ascii="Palatino Linotype" w:hAnsi="Palatino Linotype"/>
        </w:rPr>
      </w:pPr>
      <w:r>
        <w:rPr>
          <w:rFonts w:ascii="Palatino Linotype" w:hAnsi="Palatino Linotype"/>
        </w:rPr>
        <w:t xml:space="preserve">Que con relación al requerimiento en cita no fue señalado elemento temporal, debiendo de ser delimitado a la fecha en que se ejerció el derecho de acceso a la información pública, es decir, al veinticinco de marzo de dos mil veintidós. </w:t>
      </w:r>
    </w:p>
    <w:p w14:paraId="5CA49650" w14:textId="498F00F6" w:rsidR="003F38EB" w:rsidRDefault="003F38EB" w:rsidP="003F38EB">
      <w:pPr>
        <w:pStyle w:val="Prrafodelista"/>
        <w:numPr>
          <w:ilvl w:val="0"/>
          <w:numId w:val="41"/>
        </w:numPr>
        <w:spacing w:before="240" w:line="360" w:lineRule="auto"/>
        <w:jc w:val="both"/>
        <w:rPr>
          <w:rFonts w:ascii="Palatino Linotype" w:hAnsi="Palatino Linotype"/>
        </w:rPr>
      </w:pPr>
      <w:r>
        <w:rPr>
          <w:rFonts w:ascii="Palatino Linotype" w:hAnsi="Palatino Linotype"/>
        </w:rPr>
        <w:t xml:space="preserve">Que mediante la solicitud de información </w:t>
      </w:r>
      <w:r>
        <w:rPr>
          <w:rFonts w:ascii="Palatino Linotype" w:hAnsi="Palatino Linotype"/>
          <w:b/>
        </w:rPr>
        <w:t xml:space="preserve">00032/DIFNAUCAL/IP/2022, </w:t>
      </w:r>
      <w:r>
        <w:rPr>
          <w:rFonts w:ascii="Palatino Linotype" w:hAnsi="Palatino Linotype"/>
        </w:rPr>
        <w:t xml:space="preserve">el particular señaló </w:t>
      </w:r>
      <w:r>
        <w:rPr>
          <w:rFonts w:ascii="Palatino Linotype" w:hAnsi="Palatino Linotype"/>
          <w:i/>
        </w:rPr>
        <w:t xml:space="preserve">“el fundamento del porque solicita ampliación del recurso de revisión” </w:t>
      </w:r>
      <w:r>
        <w:rPr>
          <w:rFonts w:ascii="Palatino Linotype" w:hAnsi="Palatino Linotype"/>
        </w:rPr>
        <w:t>es decir, alude al acuerdo de ampliaci</w:t>
      </w:r>
      <w:r w:rsidR="00FA19D2">
        <w:rPr>
          <w:rFonts w:ascii="Palatino Linotype" w:hAnsi="Palatino Linotype"/>
        </w:rPr>
        <w:t xml:space="preserve">ón para efectos de cumplimiento, así como a la fundamentación y motivación. </w:t>
      </w:r>
      <w:r>
        <w:rPr>
          <w:rFonts w:ascii="Palatino Linotype" w:hAnsi="Palatino Linotype"/>
        </w:rPr>
        <w:t xml:space="preserve">  </w:t>
      </w:r>
    </w:p>
    <w:p w14:paraId="2B26D234" w14:textId="3CA65194" w:rsidR="003F38EB" w:rsidRPr="003F38EB" w:rsidRDefault="003F38EB" w:rsidP="003F38EB">
      <w:pPr>
        <w:pStyle w:val="Prrafodelista"/>
        <w:numPr>
          <w:ilvl w:val="0"/>
          <w:numId w:val="41"/>
        </w:numPr>
        <w:spacing w:before="240" w:line="360" w:lineRule="auto"/>
        <w:jc w:val="both"/>
        <w:rPr>
          <w:rFonts w:ascii="Palatino Linotype" w:hAnsi="Palatino Linotype"/>
        </w:rPr>
      </w:pPr>
      <w:r>
        <w:rPr>
          <w:rFonts w:ascii="Palatino Linotype" w:hAnsi="Palatino Linotype"/>
        </w:rPr>
        <w:t xml:space="preserve">Que en referencia a </w:t>
      </w:r>
      <w:r>
        <w:rPr>
          <w:rFonts w:ascii="Palatino Linotype" w:hAnsi="Palatino Linotype"/>
          <w:i/>
        </w:rPr>
        <w:t xml:space="preserve">“recaído de la solicitud 03” </w:t>
      </w:r>
      <w:r>
        <w:rPr>
          <w:rFonts w:ascii="Palatino Linotype" w:hAnsi="Palatino Linotype"/>
        </w:rPr>
        <w:t xml:space="preserve">se desprende que alude a la solicitud </w:t>
      </w:r>
      <w:r>
        <w:rPr>
          <w:rFonts w:ascii="Palatino Linotype" w:hAnsi="Palatino Linotype"/>
          <w:b/>
        </w:rPr>
        <w:t>00003/DIFNAUCAL/IP/</w:t>
      </w:r>
      <w:r w:rsidR="002609D8">
        <w:rPr>
          <w:rFonts w:ascii="Palatino Linotype" w:hAnsi="Palatino Linotype"/>
          <w:b/>
        </w:rPr>
        <w:t xml:space="preserve">2022 </w:t>
      </w:r>
      <w:r w:rsidR="002609D8">
        <w:rPr>
          <w:rFonts w:ascii="Palatino Linotype" w:hAnsi="Palatino Linotype"/>
        </w:rPr>
        <w:t xml:space="preserve">(recurso de revisión </w:t>
      </w:r>
      <w:r w:rsidR="002609D8" w:rsidRPr="002609D8">
        <w:rPr>
          <w:rFonts w:ascii="Palatino Linotype" w:hAnsi="Palatino Linotype"/>
          <w:b/>
        </w:rPr>
        <w:t>00472/INFOEM/IP/RR/2022)</w:t>
      </w:r>
    </w:p>
    <w:p w14:paraId="1D15548E" w14:textId="77777777" w:rsidR="003F38EB" w:rsidRPr="003F38EB" w:rsidRDefault="003F38EB" w:rsidP="003F38EB">
      <w:pPr>
        <w:pStyle w:val="Prrafodelista"/>
        <w:spacing w:before="240" w:line="360" w:lineRule="auto"/>
        <w:ind w:left="720"/>
        <w:jc w:val="both"/>
        <w:rPr>
          <w:rFonts w:ascii="Palatino Linotype" w:hAnsi="Palatino Linotype"/>
        </w:rPr>
      </w:pPr>
    </w:p>
    <w:p w14:paraId="259322C1" w14:textId="7278D460" w:rsidR="00B953BD" w:rsidRPr="0051062B" w:rsidRDefault="00B953BD" w:rsidP="00B953B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Dichas precisiones, </w:t>
      </w:r>
      <w:r w:rsidRPr="0051062B">
        <w:rPr>
          <w:rFonts w:ascii="Palatino Linotype" w:hAnsi="Palatino Linotype"/>
          <w:sz w:val="24"/>
          <w:szCs w:val="24"/>
        </w:rPr>
        <w:t xml:space="preserve">con fundamento en los artículos 13 y 181 cuarto párrafo de la Ley en materia, los cuales a la letra rezan: </w:t>
      </w:r>
    </w:p>
    <w:p w14:paraId="18A91BAF" w14:textId="77777777" w:rsidR="00B953BD" w:rsidRPr="0051062B" w:rsidRDefault="00B953BD" w:rsidP="00B953BD">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2A97CCB0" w14:textId="77777777" w:rsidR="00B953BD" w:rsidRPr="0051062B" w:rsidRDefault="00B953BD" w:rsidP="00B953BD">
      <w:pPr>
        <w:pStyle w:val="Citas"/>
        <w:rPr>
          <w:b/>
        </w:rPr>
      </w:pPr>
      <w:r w:rsidRPr="0051062B">
        <w:rPr>
          <w:b/>
        </w:rPr>
        <w:t xml:space="preserve">Artículo 181. … </w:t>
      </w:r>
    </w:p>
    <w:p w14:paraId="1C9433B0" w14:textId="77777777" w:rsidR="00B953BD" w:rsidRDefault="00B953BD" w:rsidP="00B953B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93F7A1B" w14:textId="77777777" w:rsidR="00B953BD" w:rsidRDefault="00B953BD" w:rsidP="00D870AC">
      <w:pPr>
        <w:spacing w:before="240" w:line="360" w:lineRule="auto"/>
        <w:jc w:val="both"/>
        <w:rPr>
          <w:rFonts w:ascii="Palatino Linotype" w:hAnsi="Palatino Linotype"/>
          <w:sz w:val="24"/>
          <w:szCs w:val="24"/>
        </w:rPr>
      </w:pPr>
    </w:p>
    <w:p w14:paraId="7EEAC4D6" w14:textId="6520F28C" w:rsidR="00C57028" w:rsidRDefault="00C57028" w:rsidP="00D870AC">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w:t>
      </w:r>
      <w:r w:rsidR="00B953BD">
        <w:rPr>
          <w:rFonts w:ascii="Palatino Linotype" w:hAnsi="Palatino Linotype"/>
          <w:sz w:val="24"/>
          <w:szCs w:val="24"/>
        </w:rPr>
        <w:t>el requerimiento formulado</w:t>
      </w:r>
      <w:r>
        <w:rPr>
          <w:rFonts w:ascii="Palatino Linotype" w:hAnsi="Palatino Linotype"/>
          <w:sz w:val="24"/>
          <w:szCs w:val="24"/>
        </w:rPr>
        <w:t xml:space="preserve">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50A90215" w14:textId="56840C13" w:rsidR="000363A2" w:rsidRDefault="003F38EB"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 xml:space="preserve">El o los documentos donde conste </w:t>
      </w:r>
      <w:r w:rsidR="00FA19D2">
        <w:rPr>
          <w:rFonts w:ascii="Palatino Linotype" w:hAnsi="Palatino Linotype"/>
          <w:bCs/>
        </w:rPr>
        <w:t>la fundamentación y motivación</w:t>
      </w:r>
      <w:r>
        <w:rPr>
          <w:rFonts w:ascii="Palatino Linotype" w:hAnsi="Palatino Linotype"/>
          <w:bCs/>
        </w:rPr>
        <w:t xml:space="preserve"> para solicitar ampliación de plazo para cumplimiento  </w:t>
      </w:r>
      <w:r w:rsidR="002609D8">
        <w:rPr>
          <w:rFonts w:ascii="Palatino Linotype" w:hAnsi="Palatino Linotype"/>
          <w:bCs/>
        </w:rPr>
        <w:t xml:space="preserve">a la resolución del recurso de revisión </w:t>
      </w:r>
      <w:r w:rsidR="002609D8" w:rsidRPr="002609D8">
        <w:rPr>
          <w:rFonts w:ascii="Palatino Linotype" w:hAnsi="Palatino Linotype"/>
          <w:b/>
        </w:rPr>
        <w:t>00472/INFOEM/IP/RR/2022</w:t>
      </w:r>
      <w:r w:rsidR="002609D8">
        <w:rPr>
          <w:rFonts w:ascii="Palatino Linotype" w:hAnsi="Palatino Linotype"/>
          <w:b/>
        </w:rPr>
        <w:t xml:space="preserve"> </w:t>
      </w:r>
      <w:r w:rsidR="002609D8">
        <w:rPr>
          <w:rFonts w:ascii="Palatino Linotype" w:hAnsi="Palatino Linotype"/>
        </w:rPr>
        <w:t xml:space="preserve">(solicitud </w:t>
      </w:r>
      <w:r w:rsidR="002609D8">
        <w:rPr>
          <w:rFonts w:ascii="Palatino Linotype" w:hAnsi="Palatino Linotype"/>
          <w:b/>
        </w:rPr>
        <w:t xml:space="preserve">00003/DIFNAUCAL/IP/2022), </w:t>
      </w:r>
      <w:r w:rsidR="002609D8">
        <w:rPr>
          <w:rFonts w:ascii="Palatino Linotype" w:hAnsi="Palatino Linotype"/>
        </w:rPr>
        <w:t xml:space="preserve">al veinticinco de marzo de dos mil veintidós. </w:t>
      </w:r>
    </w:p>
    <w:p w14:paraId="005E7C6E" w14:textId="77777777" w:rsidR="00BB3132" w:rsidRDefault="00BB3132" w:rsidP="00BB3132">
      <w:pPr>
        <w:spacing w:line="360" w:lineRule="auto"/>
        <w:jc w:val="both"/>
        <w:rPr>
          <w:rFonts w:ascii="Palatino Linotype" w:hAnsi="Palatino Linotype"/>
          <w:bCs/>
        </w:rPr>
      </w:pPr>
    </w:p>
    <w:p w14:paraId="5788EE8D" w14:textId="77777777" w:rsidR="002609D8" w:rsidRPr="008D038F" w:rsidRDefault="002609D8" w:rsidP="002609D8">
      <w:pPr>
        <w:autoSpaceDE w:val="0"/>
        <w:autoSpaceDN w:val="0"/>
        <w:adjustRightInd w:val="0"/>
        <w:spacing w:before="240" w:line="360" w:lineRule="auto"/>
        <w:jc w:val="both"/>
        <w:rPr>
          <w:rFonts w:ascii="Palatino Linotype" w:hAnsi="Palatino Linotype" w:cs="Arial"/>
          <w:sz w:val="24"/>
          <w:szCs w:val="24"/>
        </w:rPr>
      </w:pPr>
      <w:r w:rsidRPr="008D038F">
        <w:rPr>
          <w:rFonts w:ascii="Palatino Linotype" w:hAnsi="Palatino Linotype" w:cs="Arial"/>
          <w:sz w:val="24"/>
          <w:szCs w:val="24"/>
        </w:rPr>
        <w:t xml:space="preserve">En este tenor, en alusión al requerimiento formulado por el particular, resulta oportuno traer a colación los artículos 24, fracción XII y 92, fracción II de la Ley de Transparencia y Acceso a la Información Pública del Estado de México y Municipios, dispositivos jurídicos que disponen a la literalidad lo siguiente: </w:t>
      </w:r>
    </w:p>
    <w:p w14:paraId="3B3486F1" w14:textId="77777777" w:rsidR="002609D8" w:rsidRPr="008B4658" w:rsidRDefault="002609D8" w:rsidP="002609D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24. Para el cumplimiento de los objetivos de esta Ley, los sujetos obligados deberán cumplir con las siguientes obligaciones, según corresponda, de acuerdo a su naturaleza:</w:t>
      </w:r>
    </w:p>
    <w:p w14:paraId="69299EB8" w14:textId="77777777" w:rsidR="002609D8" w:rsidRPr="008B4658" w:rsidRDefault="002609D8" w:rsidP="002609D8">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7CBAEA82" w14:textId="77777777" w:rsidR="002609D8" w:rsidRPr="008B4658" w:rsidRDefault="002609D8" w:rsidP="002609D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C36C1F" w14:textId="77777777" w:rsidR="002609D8" w:rsidRPr="008B4658" w:rsidRDefault="002609D8" w:rsidP="002609D8">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917B482" w14:textId="77777777" w:rsidR="002609D8" w:rsidRPr="00BB541E" w:rsidRDefault="002609D8" w:rsidP="002609D8">
      <w:pPr>
        <w:autoSpaceDE w:val="0"/>
        <w:autoSpaceDN w:val="0"/>
        <w:adjustRightInd w:val="0"/>
        <w:spacing w:before="240" w:line="360" w:lineRule="auto"/>
        <w:ind w:left="851" w:right="851"/>
        <w:jc w:val="both"/>
        <w:rPr>
          <w:rFonts w:ascii="Palatino Linotype" w:hAnsi="Palatino Linotype"/>
          <w:b/>
          <w:i/>
          <w:iCs/>
        </w:rPr>
      </w:pPr>
      <w:r w:rsidRPr="008B4658">
        <w:rPr>
          <w:rFonts w:ascii="Palatino Linotype" w:hAnsi="Palatino Linotype"/>
          <w:i/>
          <w:iCs/>
        </w:rPr>
        <w:t xml:space="preserve">(…)” </w:t>
      </w:r>
      <w:r>
        <w:rPr>
          <w:rFonts w:ascii="Palatino Linotype" w:hAnsi="Palatino Linotype"/>
          <w:b/>
          <w:i/>
          <w:iCs/>
        </w:rPr>
        <w:t>(Sic)</w:t>
      </w:r>
    </w:p>
    <w:p w14:paraId="65D3B10D" w14:textId="77777777" w:rsidR="00B953BD" w:rsidRDefault="00B953BD" w:rsidP="002609D8">
      <w:pPr>
        <w:spacing w:line="360" w:lineRule="auto"/>
        <w:jc w:val="both"/>
        <w:rPr>
          <w:rFonts w:ascii="Palatino Linotype" w:hAnsi="Palatino Linotype" w:cs="Arial"/>
          <w:sz w:val="24"/>
          <w:szCs w:val="24"/>
        </w:rPr>
      </w:pPr>
    </w:p>
    <w:p w14:paraId="1CA629DF" w14:textId="441146BE" w:rsidR="002609D8" w:rsidRDefault="00B953BD" w:rsidP="002609D8">
      <w:pPr>
        <w:spacing w:line="360" w:lineRule="auto"/>
        <w:jc w:val="both"/>
        <w:rPr>
          <w:rFonts w:ascii="Palatino Linotype" w:hAnsi="Palatino Linotype" w:cs="Arial"/>
          <w:b/>
          <w:bCs/>
          <w:sz w:val="24"/>
          <w:szCs w:val="24"/>
        </w:rPr>
      </w:pPr>
      <w:r w:rsidRPr="00B953BD">
        <w:rPr>
          <w:rFonts w:ascii="Palatino Linotype" w:hAnsi="Palatino Linotype" w:cs="Arial"/>
          <w:sz w:val="24"/>
          <w:szCs w:val="24"/>
        </w:rPr>
        <w:t>A</w:t>
      </w:r>
      <w:r w:rsidR="002609D8" w:rsidRPr="00B953BD">
        <w:rPr>
          <w:rFonts w:ascii="Palatino Linotype" w:hAnsi="Palatino Linotype" w:cs="Arial"/>
          <w:sz w:val="24"/>
          <w:szCs w:val="24"/>
        </w:rPr>
        <w:t xml:space="preserve"> mayor abundamiento, en alusión a la normatividad previamente plasmada, sirven de sustento las siguientes imágenes ilustrativas, correspondientes al organigrama del </w:t>
      </w:r>
      <w:r w:rsidR="002609D8" w:rsidRPr="00B953BD">
        <w:rPr>
          <w:rFonts w:ascii="Palatino Linotype" w:hAnsi="Palatino Linotype" w:cs="Arial"/>
          <w:b/>
          <w:bCs/>
          <w:sz w:val="24"/>
          <w:szCs w:val="24"/>
        </w:rPr>
        <w:t>Sujeto Obligado:</w:t>
      </w:r>
    </w:p>
    <w:p w14:paraId="053C2B40" w14:textId="52C53D21" w:rsidR="00B953BD" w:rsidRDefault="00B953BD" w:rsidP="002609D8">
      <w:pPr>
        <w:spacing w:line="360" w:lineRule="auto"/>
        <w:jc w:val="both"/>
        <w:rPr>
          <w:rFonts w:ascii="Palatino Linotype" w:hAnsi="Palatino Linotype" w:cs="Arial"/>
          <w:b/>
          <w:bCs/>
          <w:sz w:val="24"/>
          <w:szCs w:val="24"/>
        </w:rPr>
      </w:pPr>
      <w:r w:rsidRPr="00B953BD">
        <w:rPr>
          <w:rFonts w:ascii="Palatino Linotype" w:hAnsi="Palatino Linotype" w:cs="Arial"/>
          <w:b/>
          <w:bCs/>
          <w:noProof/>
          <w:sz w:val="24"/>
          <w:szCs w:val="24"/>
          <w:lang w:eastAsia="es-MX"/>
        </w:rPr>
        <w:lastRenderedPageBreak/>
        <w:drawing>
          <wp:anchor distT="0" distB="0" distL="114300" distR="114300" simplePos="0" relativeHeight="251663360" behindDoc="0" locked="0" layoutInCell="1" allowOverlap="1" wp14:anchorId="7F8832EB" wp14:editId="73C6FD97">
            <wp:simplePos x="0" y="0"/>
            <wp:positionH relativeFrom="column">
              <wp:posOffset>0</wp:posOffset>
            </wp:positionH>
            <wp:positionV relativeFrom="paragraph">
              <wp:posOffset>19074</wp:posOffset>
            </wp:positionV>
            <wp:extent cx="5756910" cy="3457575"/>
            <wp:effectExtent l="19050" t="19050" r="15240" b="28575"/>
            <wp:wrapThrough wrapText="bothSides">
              <wp:wrapPolygon edited="0">
                <wp:start x="-71" y="-119"/>
                <wp:lineTo x="-71" y="21660"/>
                <wp:lineTo x="21586" y="21660"/>
                <wp:lineTo x="21586" y="-119"/>
                <wp:lineTo x="-71" y="-11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05C2B57" w14:textId="60698E11" w:rsidR="00B953BD" w:rsidRDefault="00B953BD" w:rsidP="002609D8">
      <w:pPr>
        <w:spacing w:line="360" w:lineRule="auto"/>
        <w:jc w:val="both"/>
        <w:rPr>
          <w:rFonts w:ascii="Palatino Linotype" w:hAnsi="Palatino Linotype" w:cs="Arial"/>
          <w:b/>
          <w:bCs/>
          <w:sz w:val="24"/>
          <w:szCs w:val="24"/>
        </w:rPr>
      </w:pPr>
      <w:r>
        <w:rPr>
          <w:rFonts w:ascii="Palatino Linotype" w:hAnsi="Palatino Linotype" w:cs="Arial"/>
          <w:b/>
          <w:bCs/>
          <w:noProof/>
          <w:lang w:eastAsia="es-MX"/>
        </w:rPr>
        <w:drawing>
          <wp:anchor distT="0" distB="0" distL="114300" distR="114300" simplePos="0" relativeHeight="251661312" behindDoc="0" locked="0" layoutInCell="1" allowOverlap="1" wp14:anchorId="4EC2C569" wp14:editId="276DDA7B">
            <wp:simplePos x="0" y="0"/>
            <wp:positionH relativeFrom="column">
              <wp:posOffset>1277908</wp:posOffset>
            </wp:positionH>
            <wp:positionV relativeFrom="paragraph">
              <wp:posOffset>19098</wp:posOffset>
            </wp:positionV>
            <wp:extent cx="3474720" cy="1188720"/>
            <wp:effectExtent l="19050" t="19050" r="11430" b="11430"/>
            <wp:wrapThrough wrapText="bothSides">
              <wp:wrapPolygon edited="0">
                <wp:start x="-118" y="-346"/>
                <wp:lineTo x="-118" y="21462"/>
                <wp:lineTo x="21553" y="21462"/>
                <wp:lineTo x="21553" y="-346"/>
                <wp:lineTo x="-118" y="-346"/>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4720" cy="1188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F78837" w14:textId="4B1E31CE" w:rsidR="00B953BD" w:rsidRDefault="00B953BD" w:rsidP="002609D8">
      <w:pPr>
        <w:spacing w:line="360" w:lineRule="auto"/>
        <w:jc w:val="both"/>
        <w:rPr>
          <w:rFonts w:ascii="Palatino Linotype" w:hAnsi="Palatino Linotype" w:cs="Arial"/>
          <w:b/>
          <w:bCs/>
          <w:sz w:val="24"/>
          <w:szCs w:val="24"/>
        </w:rPr>
      </w:pPr>
    </w:p>
    <w:p w14:paraId="75317720" w14:textId="0DB4BDF0" w:rsidR="00B953BD" w:rsidRDefault="00B953BD" w:rsidP="002609D8">
      <w:pPr>
        <w:spacing w:line="360" w:lineRule="auto"/>
        <w:jc w:val="both"/>
        <w:rPr>
          <w:rFonts w:ascii="Palatino Linotype" w:hAnsi="Palatino Linotype" w:cs="Arial"/>
          <w:b/>
          <w:bCs/>
          <w:sz w:val="24"/>
          <w:szCs w:val="24"/>
        </w:rPr>
      </w:pPr>
    </w:p>
    <w:p w14:paraId="05B3FBF7" w14:textId="7B497120" w:rsidR="00B953BD" w:rsidRPr="00B953BD" w:rsidRDefault="00B953BD" w:rsidP="002609D8">
      <w:pPr>
        <w:spacing w:line="360" w:lineRule="auto"/>
        <w:jc w:val="both"/>
        <w:rPr>
          <w:rFonts w:ascii="Palatino Linotype" w:hAnsi="Palatino Linotype" w:cs="Arial"/>
          <w:b/>
          <w:bCs/>
          <w:sz w:val="24"/>
          <w:szCs w:val="24"/>
        </w:rPr>
      </w:pPr>
    </w:p>
    <w:p w14:paraId="3C637B6C" w14:textId="77777777" w:rsidR="00B953BD" w:rsidRDefault="00B953BD" w:rsidP="006831E4">
      <w:pPr>
        <w:pStyle w:val="Sinespaciado"/>
        <w:spacing w:line="360" w:lineRule="auto"/>
        <w:jc w:val="both"/>
        <w:rPr>
          <w:rFonts w:ascii="Palatino Linotype" w:hAnsi="Palatino Linotype" w:cs="Arial"/>
        </w:rPr>
      </w:pPr>
    </w:p>
    <w:p w14:paraId="043F8A05" w14:textId="01993D40" w:rsidR="006831E4" w:rsidRDefault="006831E4" w:rsidP="006831E4">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Unidad de Transparencia. </w:t>
      </w:r>
    </w:p>
    <w:p w14:paraId="086ABB1F" w14:textId="59635ACD" w:rsidR="006831E4" w:rsidRDefault="006831E4" w:rsidP="006831E4">
      <w:pPr>
        <w:pStyle w:val="Sinespaciado"/>
        <w:spacing w:line="360" w:lineRule="auto"/>
        <w:jc w:val="both"/>
        <w:rPr>
          <w:rFonts w:ascii="Palatino Linotype" w:hAnsi="Palatino Linotype" w:cs="Arial"/>
        </w:rPr>
      </w:pPr>
      <w:r>
        <w:rPr>
          <w:rFonts w:ascii="Palatino Linotype" w:hAnsi="Palatino Linotype" w:cs="Arial"/>
        </w:rPr>
        <w:lastRenderedPageBreak/>
        <w:t xml:space="preserve">En virtud de lo anterior, para delimitar las fronteras conceptuales de la unidad administrativa en cita, resulta oportuno traer a colación </w:t>
      </w:r>
      <w:r w:rsidR="005918F3">
        <w:rPr>
          <w:rFonts w:ascii="Palatino Linotype" w:hAnsi="Palatino Linotype" w:cs="Arial"/>
        </w:rPr>
        <w:t xml:space="preserve">el artículo 6, fracción VIII, séptimo párrafo de la Constitución Política de los Estados Unidos Mexicanos; así como los numerales 50, 198, 199 y 200 de la Ley de Transparencia y Acceso a la Información Pública del Estado de México y Municipios, porciones normativas que disponen a la literalidad lo siguiente:  </w:t>
      </w:r>
    </w:p>
    <w:p w14:paraId="15B9EB56" w14:textId="2857B45F" w:rsidR="005918F3" w:rsidRPr="005918F3" w:rsidRDefault="005918F3" w:rsidP="005918F3">
      <w:pPr>
        <w:pStyle w:val="Citas"/>
        <w:jc w:val="center"/>
        <w:rPr>
          <w:b/>
        </w:rPr>
      </w:pPr>
      <w:r>
        <w:rPr>
          <w:b/>
        </w:rPr>
        <w:t>Constitución Política de los Estados Unidos Mexicanos</w:t>
      </w:r>
    </w:p>
    <w:p w14:paraId="2424B32A" w14:textId="645B1C4C" w:rsidR="005918F3" w:rsidRPr="005918F3" w:rsidRDefault="005918F3" w:rsidP="005918F3">
      <w:pPr>
        <w:pStyle w:val="Citas"/>
      </w:pPr>
      <w:r w:rsidRPr="005918F3">
        <w:t>Artículo 6o.</w:t>
      </w:r>
    </w:p>
    <w:p w14:paraId="16598BEB" w14:textId="2E7D416F" w:rsidR="005918F3" w:rsidRPr="005918F3" w:rsidRDefault="005918F3" w:rsidP="005918F3">
      <w:pPr>
        <w:pStyle w:val="Citas"/>
      </w:pPr>
      <w:r w:rsidRPr="005918F3">
        <w:t>(…)</w:t>
      </w:r>
    </w:p>
    <w:p w14:paraId="16440BAE" w14:textId="39449DB1" w:rsidR="005918F3" w:rsidRPr="005918F3" w:rsidRDefault="005918F3" w:rsidP="005918F3">
      <w:pPr>
        <w:pStyle w:val="Citas"/>
      </w:pPr>
      <w:r w:rsidRPr="005918F3">
        <w:t>VIII.</w:t>
      </w:r>
    </w:p>
    <w:p w14:paraId="1862743B" w14:textId="2B446990" w:rsidR="005918F3" w:rsidRPr="005918F3" w:rsidRDefault="005918F3" w:rsidP="005918F3">
      <w:pPr>
        <w:pStyle w:val="Citas"/>
      </w:pPr>
      <w:r w:rsidRPr="005918F3">
        <w:t>(…)</w:t>
      </w:r>
    </w:p>
    <w:p w14:paraId="7A92837D" w14:textId="76795E94" w:rsidR="005918F3" w:rsidRDefault="005918F3" w:rsidP="005918F3">
      <w:pPr>
        <w:pStyle w:val="Citas"/>
        <w:rPr>
          <w:b/>
          <w:u w:val="single"/>
        </w:rPr>
      </w:pPr>
      <w:r w:rsidRPr="005918F3">
        <w:rPr>
          <w:b/>
          <w:u w:val="single"/>
        </w:rPr>
        <w:t>Las resoluciones del organismo garante son vinculatorias, definitivas e inatacables para los sujetos obligados. El Consejero Jurídico del Gobierno podrá interponer recurso de revisión ante la Suprema Corte de Justicia de la Nación en los términos que establezca la ley, sólo en el caso que dichas resoluciones puedan poner en peligro la seguridad nacional conforme a la ley de la materia</w:t>
      </w:r>
    </w:p>
    <w:p w14:paraId="539F4D3A" w14:textId="58AFE83B" w:rsidR="005918F3" w:rsidRPr="005918F3" w:rsidRDefault="005918F3" w:rsidP="005918F3">
      <w:pPr>
        <w:pStyle w:val="Citas"/>
        <w:rPr>
          <w:b/>
        </w:rPr>
      </w:pPr>
      <w:r>
        <w:t xml:space="preserve">(…)” </w:t>
      </w:r>
      <w:r>
        <w:rPr>
          <w:b/>
        </w:rPr>
        <w:t>(Sic)</w:t>
      </w:r>
    </w:p>
    <w:p w14:paraId="2EFA1219" w14:textId="77777777" w:rsidR="005918F3" w:rsidRPr="005918F3" w:rsidRDefault="005918F3" w:rsidP="005918F3">
      <w:pPr>
        <w:pStyle w:val="Citas"/>
        <w:jc w:val="center"/>
        <w:rPr>
          <w:b/>
        </w:rPr>
      </w:pPr>
    </w:p>
    <w:p w14:paraId="4A9519A1" w14:textId="54F2D26B" w:rsidR="005918F3" w:rsidRPr="005918F3" w:rsidRDefault="005918F3" w:rsidP="005918F3">
      <w:pPr>
        <w:pStyle w:val="Citas"/>
        <w:jc w:val="center"/>
        <w:rPr>
          <w:b/>
        </w:rPr>
      </w:pPr>
      <w:r w:rsidRPr="005918F3">
        <w:rPr>
          <w:b/>
        </w:rPr>
        <w:lastRenderedPageBreak/>
        <w:t>Ley de Transparencia y Acceso a la Información Pública del Estado de México y Municipios</w:t>
      </w:r>
    </w:p>
    <w:p w14:paraId="27818E78" w14:textId="006DD418" w:rsidR="006831E4" w:rsidRDefault="005918F3" w:rsidP="005918F3">
      <w:pPr>
        <w:pStyle w:val="Citas"/>
      </w:pPr>
      <w:r>
        <w:t>“</w:t>
      </w:r>
      <w:r w:rsidR="006831E4">
        <w:t>Artículo 50. Los sujetos obligados contarán con un área responsable para la atención de las solicitudes de información, a la que se le denominará Unidad de Transparencia.</w:t>
      </w:r>
    </w:p>
    <w:p w14:paraId="783D9620" w14:textId="77777777" w:rsidR="006831E4" w:rsidRDefault="006831E4" w:rsidP="005918F3">
      <w:pPr>
        <w:pStyle w:val="Citas"/>
      </w:pPr>
      <w:r>
        <w:t xml:space="preserve">Artículo 198. Los sujetos obligados, a través de la Unidad de Transparencia, darán estricto cumplimiento a las resoluciones del Instituto y deberán rendir Informe a éste sobre su cumplimiento. </w:t>
      </w:r>
    </w:p>
    <w:p w14:paraId="5D151040" w14:textId="77777777" w:rsidR="006831E4" w:rsidRDefault="006831E4" w:rsidP="005918F3">
      <w:pPr>
        <w:pStyle w:val="Citas"/>
      </w:pPr>
      <w:r>
        <w:t xml:space="preserve">Excepcionalmente, considerando las circunstancias especiales del caso, los sujetos obligados podrán solicitar al Instituto, de manera fundada y motivada, una ampliación del plazo para el cumplimiento de la resolución. </w:t>
      </w:r>
    </w:p>
    <w:p w14:paraId="1053440D" w14:textId="0C1D43CA" w:rsidR="006831E4" w:rsidRDefault="006831E4" w:rsidP="005918F3">
      <w:pPr>
        <w:pStyle w:val="Citas"/>
      </w:pPr>
      <w:r>
        <w:t>Dicha solicitud deberá presentarse, a más tardar, dentro de los primeros tres días hábiles del plazo otorgado para el cumplimiento, a efecto de que el Instituto resuelva sobre la procedencia de la misma dentro de los cinco días hábiles siguientes</w:t>
      </w:r>
    </w:p>
    <w:p w14:paraId="129EF01A" w14:textId="77777777" w:rsidR="006831E4" w:rsidRDefault="006831E4" w:rsidP="005918F3">
      <w:pPr>
        <w:pStyle w:val="Citas"/>
      </w:pPr>
      <w:r>
        <w:t xml:space="preserve">Artículo 199. Transcurrido el plazo señalado en el artículo anterior, el sujeto obligado deberá rendir informe al Instituto sobre el cumplimento de la resolución. </w:t>
      </w:r>
    </w:p>
    <w:p w14:paraId="6B23EA07" w14:textId="77777777" w:rsidR="006831E4" w:rsidRDefault="006831E4" w:rsidP="005918F3">
      <w:pPr>
        <w:pStyle w:val="Citas"/>
      </w:pPr>
      <w:r>
        <w:t xml:space="preserve">El Instituto verificará de oficio la calidad de la información y, a más tardar al día siguiente de recibir el informe, dará vista al recurrente para que, dentro de los cinco días hábiles siguientes, manifieste lo que a su derecho convenga. </w:t>
      </w:r>
    </w:p>
    <w:p w14:paraId="3AE72AD4" w14:textId="77777777" w:rsidR="006831E4" w:rsidRDefault="006831E4" w:rsidP="005918F3">
      <w:pPr>
        <w:pStyle w:val="Citas"/>
      </w:pPr>
      <w:r>
        <w:lastRenderedPageBreak/>
        <w:t xml:space="preserve">Si dentro del plazo señalado el recurrente manifiesta que el cumplimiento no corresponde a lo ordenado por el Instituto, deberá expresar las causas específicas por las cuales así lo considera. </w:t>
      </w:r>
    </w:p>
    <w:p w14:paraId="584DAF42" w14:textId="77777777" w:rsidR="006831E4" w:rsidRDefault="006831E4" w:rsidP="005918F3">
      <w:pPr>
        <w:pStyle w:val="Citas"/>
      </w:pPr>
      <w:r>
        <w:t xml:space="preserve">Artículo 200. El Instituto deberá pronunciarse, en un plazo no mayor a cinco días hábiles, sobre todas las causas que el recurrente manifieste así como del resultado de la verificación realizada. Si el Instituto considera que se dio cumplimiento a la resolución, emitirá un acuerdo de cumplimiento y se ordenará el archivo del expediente. En caso contrario, el Instituto: </w:t>
      </w:r>
    </w:p>
    <w:p w14:paraId="128E9506" w14:textId="77777777" w:rsidR="006831E4" w:rsidRDefault="006831E4" w:rsidP="005918F3">
      <w:pPr>
        <w:pStyle w:val="Citas"/>
      </w:pPr>
      <w:r>
        <w:t>I. Emitirá un acuerdo de incumplimiento;</w:t>
      </w:r>
    </w:p>
    <w:p w14:paraId="63304B50" w14:textId="77777777" w:rsidR="005918F3" w:rsidRDefault="006831E4" w:rsidP="005918F3">
      <w:pPr>
        <w:pStyle w:val="Citas"/>
      </w:pPr>
      <w:r>
        <w:t xml:space="preserve"> II. 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 y</w:t>
      </w:r>
    </w:p>
    <w:p w14:paraId="221A7B62" w14:textId="77777777" w:rsidR="005918F3" w:rsidRDefault="006831E4" w:rsidP="005918F3">
      <w:pPr>
        <w:pStyle w:val="Citas"/>
      </w:pPr>
      <w:r>
        <w:t xml:space="preserve"> III. Determinará las medidas de apremio o sanciones, según corresponda, que deberán imponerse o las acciones procedentes que deberán aplicarse, de conformidad con lo señalado en el siguiente Título. </w:t>
      </w:r>
    </w:p>
    <w:p w14:paraId="2E58BC85" w14:textId="77777777" w:rsidR="005918F3" w:rsidRDefault="006831E4" w:rsidP="005918F3">
      <w:pPr>
        <w:pStyle w:val="Citas"/>
      </w:pPr>
      <w:r>
        <w:t xml:space="preserve">El servidor público requerido como superior jerárquico incurre en responsabilidad por falta de cumplimiento de la resolución, en los mismos términos en que incurrió el servidor público originalmente obligado. </w:t>
      </w:r>
    </w:p>
    <w:p w14:paraId="1E49C05A" w14:textId="64FC0E64" w:rsidR="006831E4" w:rsidRPr="005918F3" w:rsidRDefault="006831E4" w:rsidP="005918F3">
      <w:pPr>
        <w:pStyle w:val="Citas"/>
        <w:rPr>
          <w:b/>
          <w:bCs/>
          <w:sz w:val="24"/>
          <w:szCs w:val="24"/>
        </w:rPr>
      </w:pPr>
      <w:r>
        <w:lastRenderedPageBreak/>
        <w:t>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r w:rsidR="005918F3">
        <w:t xml:space="preserve">” </w:t>
      </w:r>
      <w:r w:rsidR="005918F3">
        <w:rPr>
          <w:b/>
        </w:rPr>
        <w:t>(Sic)</w:t>
      </w:r>
    </w:p>
    <w:p w14:paraId="7DAB477A" w14:textId="3655A053" w:rsidR="006831E4" w:rsidRDefault="006831E4" w:rsidP="00BB3132">
      <w:pPr>
        <w:spacing w:line="360" w:lineRule="auto"/>
        <w:jc w:val="both"/>
        <w:rPr>
          <w:rFonts w:ascii="Palatino Linotype" w:hAnsi="Palatino Linotype"/>
          <w:bCs/>
          <w:sz w:val="24"/>
          <w:szCs w:val="24"/>
        </w:rPr>
      </w:pPr>
    </w:p>
    <w:p w14:paraId="6116E481" w14:textId="232558E6" w:rsidR="00990E3D" w:rsidRDefault="005918F3" w:rsidP="00BB3132">
      <w:pPr>
        <w:spacing w:line="360" w:lineRule="auto"/>
        <w:jc w:val="both"/>
        <w:rPr>
          <w:rFonts w:ascii="Palatino Linotype" w:hAnsi="Palatino Linotype"/>
          <w:bCs/>
          <w:sz w:val="24"/>
          <w:szCs w:val="24"/>
        </w:rPr>
      </w:pPr>
      <w:r>
        <w:rPr>
          <w:rFonts w:ascii="Palatino Linotype" w:hAnsi="Palatino Linotype"/>
          <w:bCs/>
          <w:sz w:val="24"/>
          <w:szCs w:val="24"/>
        </w:rPr>
        <w:t xml:space="preserve">En efecto, de la normatividad previamente plasmada se desprende que las resoluciones del Órgano Garante local </w:t>
      </w:r>
      <w:r w:rsidR="00990E3D">
        <w:rPr>
          <w:rFonts w:ascii="Palatino Linotype" w:hAnsi="Palatino Linotype"/>
          <w:bCs/>
          <w:sz w:val="24"/>
          <w:szCs w:val="24"/>
        </w:rPr>
        <w:t xml:space="preserve">gozan de los siguientes atributos frente a los Sujetos Obligados: </w:t>
      </w:r>
    </w:p>
    <w:p w14:paraId="21CD6A1D" w14:textId="75C59871" w:rsidR="00990E3D" w:rsidRDefault="00990E3D" w:rsidP="00990E3D">
      <w:pPr>
        <w:pStyle w:val="Prrafodelista"/>
        <w:numPr>
          <w:ilvl w:val="0"/>
          <w:numId w:val="43"/>
        </w:numPr>
        <w:spacing w:line="360" w:lineRule="auto"/>
        <w:jc w:val="both"/>
        <w:rPr>
          <w:rFonts w:ascii="Palatino Linotype" w:hAnsi="Palatino Linotype"/>
          <w:bCs/>
        </w:rPr>
      </w:pPr>
      <w:r w:rsidRPr="00A409B6">
        <w:rPr>
          <w:rFonts w:ascii="Palatino Linotype" w:hAnsi="Palatino Linotype"/>
          <w:b/>
          <w:bCs/>
        </w:rPr>
        <w:t>Vinculatorias:</w:t>
      </w:r>
      <w:r>
        <w:rPr>
          <w:rFonts w:ascii="Palatino Linotype" w:hAnsi="Palatino Linotype"/>
          <w:bCs/>
        </w:rPr>
        <w:t xml:space="preserve"> Une, obliga o vincula. </w:t>
      </w:r>
    </w:p>
    <w:p w14:paraId="30827616" w14:textId="6C7AAB86" w:rsidR="00990E3D" w:rsidRDefault="00990E3D" w:rsidP="00990E3D">
      <w:pPr>
        <w:pStyle w:val="Prrafodelista"/>
        <w:numPr>
          <w:ilvl w:val="0"/>
          <w:numId w:val="43"/>
        </w:numPr>
        <w:spacing w:line="360" w:lineRule="auto"/>
        <w:jc w:val="both"/>
        <w:rPr>
          <w:rFonts w:ascii="Palatino Linotype" w:hAnsi="Palatino Linotype"/>
          <w:bCs/>
        </w:rPr>
      </w:pPr>
      <w:r w:rsidRPr="00A409B6">
        <w:rPr>
          <w:rFonts w:ascii="Palatino Linotype" w:hAnsi="Palatino Linotype"/>
          <w:b/>
          <w:bCs/>
        </w:rPr>
        <w:t>Definitivas:</w:t>
      </w:r>
      <w:r>
        <w:rPr>
          <w:rFonts w:ascii="Palatino Linotype" w:hAnsi="Palatino Linotype"/>
          <w:bCs/>
        </w:rPr>
        <w:t xml:space="preserve"> No admite cambios o es determinante. </w:t>
      </w:r>
    </w:p>
    <w:p w14:paraId="40F9A34C" w14:textId="0402933F" w:rsidR="00990E3D" w:rsidRPr="00990E3D" w:rsidRDefault="00990E3D" w:rsidP="00990E3D">
      <w:pPr>
        <w:pStyle w:val="Prrafodelista"/>
        <w:numPr>
          <w:ilvl w:val="0"/>
          <w:numId w:val="43"/>
        </w:numPr>
        <w:spacing w:line="360" w:lineRule="auto"/>
        <w:jc w:val="both"/>
        <w:rPr>
          <w:rFonts w:ascii="Palatino Linotype" w:hAnsi="Palatino Linotype"/>
          <w:bCs/>
        </w:rPr>
      </w:pPr>
      <w:r w:rsidRPr="00A409B6">
        <w:rPr>
          <w:rFonts w:ascii="Palatino Linotype" w:hAnsi="Palatino Linotype"/>
          <w:b/>
          <w:bCs/>
        </w:rPr>
        <w:t>Inatacables:</w:t>
      </w:r>
      <w:r>
        <w:rPr>
          <w:rFonts w:ascii="Palatino Linotype" w:hAnsi="Palatino Linotype"/>
          <w:bCs/>
        </w:rPr>
        <w:t xml:space="preserve"> Proscripción de promover medio de impugnación contra tal determinación. </w:t>
      </w:r>
    </w:p>
    <w:p w14:paraId="7B5B1527" w14:textId="77777777" w:rsidR="00990E3D" w:rsidRDefault="00990E3D" w:rsidP="00BB3132">
      <w:pPr>
        <w:spacing w:line="360" w:lineRule="auto"/>
        <w:jc w:val="both"/>
        <w:rPr>
          <w:rFonts w:ascii="Palatino Linotype" w:hAnsi="Palatino Linotype"/>
          <w:bCs/>
          <w:sz w:val="24"/>
          <w:szCs w:val="24"/>
        </w:rPr>
      </w:pPr>
    </w:p>
    <w:p w14:paraId="2EE21612" w14:textId="744D720E" w:rsidR="006831E4" w:rsidRDefault="00DF5C75" w:rsidP="00BB3132">
      <w:pPr>
        <w:spacing w:line="360" w:lineRule="auto"/>
        <w:jc w:val="both"/>
        <w:rPr>
          <w:rFonts w:ascii="Palatino Linotype" w:hAnsi="Palatino Linotype"/>
          <w:bCs/>
          <w:sz w:val="24"/>
          <w:szCs w:val="24"/>
        </w:rPr>
      </w:pPr>
      <w:r>
        <w:rPr>
          <w:rFonts w:ascii="Palatino Linotype" w:hAnsi="Palatino Linotype"/>
          <w:bCs/>
          <w:sz w:val="24"/>
          <w:szCs w:val="24"/>
        </w:rPr>
        <w:t xml:space="preserve">Luego entonces, es posible advertir una restricción constitucional que </w:t>
      </w:r>
      <w:r w:rsidR="00A409B6">
        <w:rPr>
          <w:rFonts w:ascii="Palatino Linotype" w:hAnsi="Palatino Linotype"/>
          <w:bCs/>
          <w:sz w:val="24"/>
          <w:szCs w:val="24"/>
        </w:rPr>
        <w:t>limita</w:t>
      </w:r>
      <w:r>
        <w:rPr>
          <w:rFonts w:ascii="Palatino Linotype" w:hAnsi="Palatino Linotype"/>
          <w:bCs/>
          <w:sz w:val="24"/>
          <w:szCs w:val="24"/>
        </w:rPr>
        <w:t xml:space="preserve"> a los </w:t>
      </w:r>
      <w:r>
        <w:rPr>
          <w:rFonts w:ascii="Palatino Linotype" w:hAnsi="Palatino Linotype"/>
          <w:b/>
          <w:bCs/>
          <w:sz w:val="24"/>
          <w:szCs w:val="24"/>
        </w:rPr>
        <w:t xml:space="preserve">Sujetos Obligados </w:t>
      </w:r>
      <w:r>
        <w:rPr>
          <w:rFonts w:ascii="Palatino Linotype" w:hAnsi="Palatino Linotype"/>
          <w:bCs/>
          <w:sz w:val="24"/>
          <w:szCs w:val="24"/>
        </w:rPr>
        <w:t>a efecto de</w:t>
      </w:r>
      <w:r>
        <w:rPr>
          <w:rFonts w:ascii="Palatino Linotype" w:hAnsi="Palatino Linotype"/>
          <w:b/>
          <w:bCs/>
          <w:sz w:val="24"/>
          <w:szCs w:val="24"/>
        </w:rPr>
        <w:t xml:space="preserve"> </w:t>
      </w:r>
      <w:r>
        <w:rPr>
          <w:rFonts w:ascii="Palatino Linotype" w:hAnsi="Palatino Linotype"/>
          <w:bCs/>
          <w:sz w:val="24"/>
          <w:szCs w:val="24"/>
        </w:rPr>
        <w:t xml:space="preserve">impugnar las resoluciones del Órgano Garante local, en contraste, dicho cumplimiento es susceptible de ser prorrogado, previa fundamentación y motivación conforme al procedimiento previsto en la normatividad aplicable. </w:t>
      </w:r>
    </w:p>
    <w:p w14:paraId="57F0CD30" w14:textId="5EFACEE6" w:rsidR="00DF5C75" w:rsidRPr="00DF5C75" w:rsidRDefault="00DF5C75" w:rsidP="00BB3132">
      <w:pPr>
        <w:spacing w:line="360" w:lineRule="auto"/>
        <w:jc w:val="both"/>
        <w:rPr>
          <w:rFonts w:ascii="Palatino Linotype" w:hAnsi="Palatino Linotype"/>
          <w:b/>
          <w:bCs/>
          <w:sz w:val="24"/>
          <w:szCs w:val="24"/>
        </w:rPr>
      </w:pPr>
      <w:r>
        <w:rPr>
          <w:rFonts w:ascii="Palatino Linotype" w:hAnsi="Palatino Linotype"/>
          <w:bCs/>
          <w:sz w:val="24"/>
          <w:szCs w:val="24"/>
        </w:rPr>
        <w:t xml:space="preserve">En razón de lo anterior, la información requerida es susceptible de ser generada, poseída o administrada por </w:t>
      </w:r>
      <w:r>
        <w:rPr>
          <w:rFonts w:ascii="Palatino Linotype" w:hAnsi="Palatino Linotype"/>
          <w:b/>
          <w:bCs/>
          <w:sz w:val="24"/>
          <w:szCs w:val="24"/>
        </w:rPr>
        <w:t xml:space="preserve">El Sujeto Obligado. </w:t>
      </w:r>
    </w:p>
    <w:p w14:paraId="34C11155" w14:textId="415A8FCF" w:rsidR="005918F3" w:rsidRDefault="00DF5C75" w:rsidP="00BB3132">
      <w:pPr>
        <w:spacing w:line="360" w:lineRule="auto"/>
        <w:jc w:val="both"/>
        <w:rPr>
          <w:rFonts w:ascii="Palatino Linotype" w:hAnsi="Palatino Linotype"/>
          <w:bCs/>
          <w:sz w:val="24"/>
          <w:szCs w:val="24"/>
        </w:rPr>
      </w:pPr>
      <w:r>
        <w:rPr>
          <w:rFonts w:ascii="Palatino Linotype" w:hAnsi="Palatino Linotype"/>
          <w:bCs/>
          <w:sz w:val="24"/>
          <w:szCs w:val="24"/>
        </w:rPr>
        <w:lastRenderedPageBreak/>
        <w:t xml:space="preserve">Una vez sentado lo anterior, como se mencionó en el antecedente segundo, </w:t>
      </w:r>
      <w:r>
        <w:rPr>
          <w:rFonts w:ascii="Palatino Linotype" w:hAnsi="Palatino Linotype"/>
          <w:b/>
          <w:bCs/>
          <w:sz w:val="24"/>
          <w:szCs w:val="24"/>
        </w:rPr>
        <w:t xml:space="preserve">El Sujeto Obligado, </w:t>
      </w:r>
      <w:r>
        <w:rPr>
          <w:rFonts w:ascii="Palatino Linotype" w:hAnsi="Palatino Linotype"/>
          <w:bCs/>
          <w:sz w:val="24"/>
          <w:szCs w:val="24"/>
        </w:rPr>
        <w:t xml:space="preserve">en fecha veintiuno de abril de dos mil veintidós, dio respuesta a la solicitud de información </w:t>
      </w:r>
      <w:r>
        <w:rPr>
          <w:rFonts w:ascii="Palatino Linotype" w:hAnsi="Palatino Linotype"/>
          <w:b/>
          <w:bCs/>
          <w:sz w:val="24"/>
          <w:szCs w:val="24"/>
        </w:rPr>
        <w:t xml:space="preserve">00032/DIFNAUCAL/IP/2022 </w:t>
      </w:r>
      <w:r>
        <w:rPr>
          <w:rFonts w:ascii="Palatino Linotype" w:hAnsi="Palatino Linotype"/>
          <w:bCs/>
          <w:sz w:val="24"/>
          <w:szCs w:val="24"/>
        </w:rPr>
        <w:t xml:space="preserve">en los siguientes términos: </w:t>
      </w:r>
    </w:p>
    <w:p w14:paraId="19ADF346" w14:textId="2890429A" w:rsidR="00DF5C75" w:rsidRPr="00DF5C75" w:rsidRDefault="00DF5C75" w:rsidP="00DF5C75">
      <w:pPr>
        <w:pStyle w:val="Prrafodelista"/>
        <w:numPr>
          <w:ilvl w:val="0"/>
          <w:numId w:val="44"/>
        </w:numPr>
        <w:spacing w:line="360" w:lineRule="auto"/>
        <w:jc w:val="both"/>
        <w:rPr>
          <w:rFonts w:ascii="Palatino Linotype" w:hAnsi="Palatino Linotype"/>
          <w:b/>
          <w:bCs/>
        </w:rPr>
      </w:pPr>
      <w:r>
        <w:rPr>
          <w:rFonts w:ascii="Palatino Linotype" w:hAnsi="Palatino Linotype"/>
          <w:b/>
          <w:bCs/>
        </w:rPr>
        <w:t xml:space="preserve">“Respuesta Solicitud 32.pdf”: </w:t>
      </w:r>
      <w:r>
        <w:rPr>
          <w:rFonts w:ascii="Palatino Linotype" w:hAnsi="Palatino Linotype"/>
          <w:bCs/>
        </w:rPr>
        <w:t xml:space="preserve">Oficio sin número signado por el Titular de la Unidad de Transparencia y dirigido al particular, en lo medular resulta de nuestro interés el siguiente extracto: </w:t>
      </w:r>
    </w:p>
    <w:p w14:paraId="218FE6A6" w14:textId="32A9EEA8" w:rsidR="00DF5C75" w:rsidRDefault="00DF5C75" w:rsidP="00DF5C75">
      <w:pPr>
        <w:pStyle w:val="Prrafodelista"/>
        <w:spacing w:line="360" w:lineRule="auto"/>
        <w:ind w:left="720"/>
        <w:jc w:val="both"/>
        <w:rPr>
          <w:rFonts w:ascii="Palatino Linotype" w:hAnsi="Palatino Linotype"/>
          <w:bCs/>
          <w:i/>
        </w:rPr>
      </w:pPr>
      <w:r w:rsidRPr="00DF5C75">
        <w:rPr>
          <w:rFonts w:ascii="Palatino Linotype" w:hAnsi="Palatino Linotype"/>
          <w:bCs/>
          <w:i/>
        </w:rPr>
        <w:t>“(…)</w:t>
      </w:r>
    </w:p>
    <w:p w14:paraId="3C356B90" w14:textId="285B8CA0" w:rsidR="00DF5C75" w:rsidRDefault="00DF5C75" w:rsidP="00DF5C75">
      <w:pPr>
        <w:pStyle w:val="Citas"/>
      </w:pPr>
      <w:r>
        <w:t xml:space="preserve">Por lo anterior tengo a bien informarle que dentro de los archivos que obran en esta Unidad de Transparencia del Sistema Municipal DIF, Naucalpan </w:t>
      </w:r>
      <w:r w:rsidRPr="00A409B6">
        <w:rPr>
          <w:b/>
          <w:u w:val="single"/>
        </w:rPr>
        <w:t xml:space="preserve">no obran archivos que contengan la información referente a la solicitud realizada ya que esta unidad no promovió dicha ampliación, </w:t>
      </w:r>
      <w:r>
        <w:t>por lo que con fundamento en el artículo 12 de la Ley de Transparencia y Acceso a la Información Pública del Estado de México y Municipios en su párrafo dos el cual establece que solo se proporcionara la información pública que se les requiera y que obre en sus archivos, por lo que de conformidad con el ya citado al no existir dicha información esta unidad no puede realizar un pronunciamiento al respecto.</w:t>
      </w:r>
    </w:p>
    <w:p w14:paraId="5B2EA938" w14:textId="61103811" w:rsidR="00DF5C75" w:rsidRPr="00DF5C75" w:rsidRDefault="00DF5C75" w:rsidP="00DF5C75">
      <w:pPr>
        <w:pStyle w:val="Citas"/>
        <w:rPr>
          <w:b/>
          <w:bCs/>
          <w:sz w:val="24"/>
          <w:szCs w:val="24"/>
        </w:rPr>
      </w:pPr>
      <w:r>
        <w:t xml:space="preserve">(…)” </w:t>
      </w:r>
      <w:r>
        <w:rPr>
          <w:b/>
        </w:rPr>
        <w:t>(Sic)</w:t>
      </w:r>
    </w:p>
    <w:p w14:paraId="56E02C6A" w14:textId="77777777" w:rsidR="00DF5C75" w:rsidRDefault="00DF5C75" w:rsidP="00BB3132">
      <w:pPr>
        <w:spacing w:line="360" w:lineRule="auto"/>
        <w:jc w:val="both"/>
        <w:rPr>
          <w:rFonts w:ascii="Palatino Linotype" w:hAnsi="Palatino Linotype"/>
          <w:bCs/>
          <w:sz w:val="24"/>
          <w:szCs w:val="24"/>
        </w:rPr>
      </w:pPr>
    </w:p>
    <w:p w14:paraId="47AAD613" w14:textId="77777777" w:rsidR="00EE0648" w:rsidRPr="00D12F4B" w:rsidRDefault="00EE0648" w:rsidP="00EE0648">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xml:space="preserve">, a fin de dar respuesta a la solicitud planteada, este Instituto no está facultado para manifestarse sobre la veracidad de la información proporcionada, pues </w:t>
      </w:r>
      <w:r w:rsidRPr="00D12F4B">
        <w:rPr>
          <w:rFonts w:ascii="Palatino Linotype" w:hAnsi="Palatino Linotype"/>
          <w:sz w:val="24"/>
          <w:szCs w:val="24"/>
        </w:rPr>
        <w:lastRenderedPageBreak/>
        <w:t>este Órgano Garante, conforme al artículo 36 de la Ley de la Materia, no se encuentra facultado para pronunciarse acerca de la autenticidad de dicho pronunciamiento.</w:t>
      </w:r>
    </w:p>
    <w:p w14:paraId="7FE3789B" w14:textId="77777777" w:rsidR="00EE0648" w:rsidRPr="00D12F4B" w:rsidRDefault="00EE0648" w:rsidP="00EE0648">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5496CD1D" w14:textId="77777777" w:rsidR="00EE0648" w:rsidRPr="003A41AE" w:rsidRDefault="00EE0648" w:rsidP="00EE0648">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847C6A6" w14:textId="77777777" w:rsidR="00EE0648" w:rsidRDefault="00EE0648" w:rsidP="00EE0648">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349CA479" w14:textId="77777777" w:rsidR="00EE0648" w:rsidRDefault="00EE0648" w:rsidP="00EE0648">
      <w:pPr>
        <w:pStyle w:val="Citas"/>
      </w:pPr>
      <w:r w:rsidRPr="00D02076">
        <w:t xml:space="preserve">Expedientes: </w:t>
      </w:r>
    </w:p>
    <w:p w14:paraId="785E8B72" w14:textId="77777777" w:rsidR="00EE0648" w:rsidRDefault="00EE0648" w:rsidP="00EE0648">
      <w:pPr>
        <w:pStyle w:val="Citas"/>
        <w:numPr>
          <w:ilvl w:val="0"/>
          <w:numId w:val="30"/>
        </w:numPr>
      </w:pPr>
      <w:r w:rsidRPr="00D02076">
        <w:lastRenderedPageBreak/>
        <w:t xml:space="preserve">2440/07 Comisión Federal de Electricidad - Alonso Lujambio Irazábal </w:t>
      </w:r>
    </w:p>
    <w:p w14:paraId="5E189E48" w14:textId="77777777" w:rsidR="00EE0648" w:rsidRDefault="00EE0648" w:rsidP="00EE0648">
      <w:pPr>
        <w:pStyle w:val="Citas"/>
        <w:numPr>
          <w:ilvl w:val="0"/>
          <w:numId w:val="30"/>
        </w:numPr>
      </w:pPr>
      <w:r w:rsidRPr="00D02076">
        <w:t xml:space="preserve">0113/09 Instituto de Seguridad y Servicios Sociales de los Trabajadores del Estado – Alonso Lujambio Irazábal </w:t>
      </w:r>
    </w:p>
    <w:p w14:paraId="717D1262" w14:textId="77777777" w:rsidR="00EE0648" w:rsidRDefault="00EE0648" w:rsidP="00EE0648">
      <w:pPr>
        <w:pStyle w:val="Citas"/>
        <w:numPr>
          <w:ilvl w:val="0"/>
          <w:numId w:val="3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66373ED2" w14:textId="77777777" w:rsidR="00EE0648" w:rsidRDefault="00EE0648" w:rsidP="00EE0648">
      <w:pPr>
        <w:pStyle w:val="Citas"/>
        <w:numPr>
          <w:ilvl w:val="0"/>
          <w:numId w:val="30"/>
        </w:numPr>
      </w:pPr>
      <w:r w:rsidRPr="00D02076">
        <w:t xml:space="preserve">2395/09 Secretaría de Economía - María </w:t>
      </w:r>
      <w:proofErr w:type="spellStart"/>
      <w:r w:rsidRPr="00D02076">
        <w:t>Marván</w:t>
      </w:r>
      <w:proofErr w:type="spellEnd"/>
      <w:r w:rsidRPr="00D02076">
        <w:t xml:space="preserve"> Laborde </w:t>
      </w:r>
    </w:p>
    <w:p w14:paraId="7071FCFD" w14:textId="77777777" w:rsidR="00EE0648" w:rsidRPr="00D02076" w:rsidRDefault="00EE0648" w:rsidP="00EE0648">
      <w:pPr>
        <w:pStyle w:val="Citas"/>
        <w:numPr>
          <w:ilvl w:val="0"/>
          <w:numId w:val="30"/>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0037C08" w14:textId="77777777" w:rsidR="00EE0648" w:rsidRPr="00E93CE8" w:rsidRDefault="00EE0648" w:rsidP="00EE0648">
      <w:pPr>
        <w:pStyle w:val="Sinespaciado"/>
        <w:spacing w:line="360" w:lineRule="auto"/>
        <w:jc w:val="both"/>
        <w:rPr>
          <w:rFonts w:ascii="Palatino Linotype" w:hAnsi="Palatino Linotype" w:cs="Arial"/>
          <w:color w:val="000000"/>
          <w:lang w:val="es-ES_tradnl"/>
        </w:rPr>
      </w:pPr>
    </w:p>
    <w:p w14:paraId="00BA1E25" w14:textId="77777777" w:rsidR="00EE0648" w:rsidRPr="00D43CF1" w:rsidRDefault="00EE0648" w:rsidP="00EE0648">
      <w:pPr>
        <w:tabs>
          <w:tab w:val="left" w:pos="709"/>
        </w:tabs>
        <w:spacing w:before="240" w:line="360" w:lineRule="auto"/>
        <w:ind w:right="51"/>
        <w:jc w:val="both"/>
        <w:rPr>
          <w:rFonts w:ascii="Arial" w:hAnsi="Arial" w:cs="Arial"/>
          <w:color w:val="222222"/>
          <w:sz w:val="24"/>
          <w:szCs w:val="24"/>
          <w:lang w:eastAsia="es-MX"/>
        </w:rPr>
      </w:pPr>
      <w:r w:rsidRPr="00466A1D">
        <w:rPr>
          <w:rFonts w:ascii="Palatino Linotype" w:hAnsi="Palatino Linotype" w:cs="Arial"/>
          <w:color w:val="000000"/>
          <w:sz w:val="24"/>
          <w:szCs w:val="24"/>
          <w:lang w:val="es-ES_tradnl"/>
        </w:rPr>
        <w:t xml:space="preserve">De forma complementaria, se destaca que </w:t>
      </w:r>
      <w:r w:rsidRPr="00466A1D">
        <w:rPr>
          <w:rFonts w:ascii="Palatino Linotype" w:hAnsi="Palatino Linotype" w:cs="Arial"/>
          <w:sz w:val="24"/>
          <w:szCs w:val="24"/>
        </w:rPr>
        <w:t>el Pleno de este Organismo Garante, ha</w:t>
      </w:r>
      <w:r w:rsidRPr="00D43CF1">
        <w:rPr>
          <w:rFonts w:ascii="Palatino Linotype" w:hAnsi="Palatino Linotype" w:cs="Arial"/>
          <w:sz w:val="24"/>
          <w:szCs w:val="24"/>
        </w:rPr>
        <w:t xml:space="preserve">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43CF1">
        <w:rPr>
          <w:rFonts w:ascii="Palatino Linotype" w:hAnsi="Palatino Linotype" w:cs="Arial"/>
          <w:color w:val="222222"/>
          <w:sz w:val="24"/>
          <w:szCs w:val="24"/>
        </w:rPr>
        <w:t>:</w:t>
      </w:r>
    </w:p>
    <w:p w14:paraId="7F231FBE" w14:textId="77777777" w:rsidR="00EE0648" w:rsidRPr="00664B44" w:rsidRDefault="00EE0648" w:rsidP="00EE0648">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0185C5F9" w14:textId="77777777" w:rsidR="00EE0648" w:rsidRDefault="00EE0648" w:rsidP="00EE0648">
      <w:pPr>
        <w:spacing w:before="240" w:line="360" w:lineRule="auto"/>
        <w:ind w:left="851" w:right="851"/>
        <w:jc w:val="both"/>
        <w:rPr>
          <w:rFonts w:ascii="Palatino Linotype" w:hAnsi="Palatino Linotype" w:cs="Arial"/>
          <w:i/>
          <w:iCs/>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78A897E7" w14:textId="77777777" w:rsidR="00A84417" w:rsidRDefault="00A84417" w:rsidP="00A84417">
      <w:pPr>
        <w:spacing w:before="240" w:line="360" w:lineRule="auto"/>
        <w:jc w:val="both"/>
        <w:rPr>
          <w:rFonts w:ascii="Palatino Linotype" w:hAnsi="Palatino Linotype"/>
        </w:rPr>
      </w:pPr>
    </w:p>
    <w:p w14:paraId="646E3114" w14:textId="0030A08E" w:rsidR="00690791" w:rsidRDefault="00690791" w:rsidP="00A8441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interpuso recurso de revisión en fecha veintidós de abril, admitiéndose el veintiséis de abril, ambos de dos mil veintidós. Señalando como razones o motivos de inconformidad:</w:t>
      </w:r>
    </w:p>
    <w:p w14:paraId="648C25D9" w14:textId="30C3F818" w:rsidR="00690791" w:rsidRPr="00690791" w:rsidRDefault="00690791" w:rsidP="00690791">
      <w:pPr>
        <w:pStyle w:val="Citas"/>
        <w:rPr>
          <w:b/>
          <w:sz w:val="24"/>
          <w:szCs w:val="24"/>
        </w:rPr>
      </w:pPr>
      <w:r>
        <w:t xml:space="preserve">“Mi estimado Titular de Transparencia te informo que la ampliación al recurso </w:t>
      </w:r>
      <w:proofErr w:type="spellStart"/>
      <w:r>
        <w:t>tu</w:t>
      </w:r>
      <w:proofErr w:type="spellEnd"/>
      <w:r>
        <w:t xml:space="preserve"> la promoviste para que el Instituto de Transparencia te la aprobara así que las razones o causas </w:t>
      </w:r>
      <w:proofErr w:type="spellStart"/>
      <w:r>
        <w:t>tu</w:t>
      </w:r>
      <w:proofErr w:type="spellEnd"/>
      <w:r>
        <w:t xml:space="preserve"> las debes de saber con todo el respeto que me mereces te pido leas y te capacites en los procedimientos que </w:t>
      </w:r>
      <w:proofErr w:type="spellStart"/>
      <w:r>
        <w:t>estas</w:t>
      </w:r>
      <w:proofErr w:type="spellEnd"/>
      <w:r>
        <w:t xml:space="preserve"> obligado en atender de forma correcta ya que al nombrarte titular de transparencia es porque cuentas con dichos conocimientos ya que tu fundamentación al </w:t>
      </w:r>
      <w:proofErr w:type="spellStart"/>
      <w:r>
        <w:t>articulo</w:t>
      </w:r>
      <w:proofErr w:type="spellEnd"/>
      <w:r>
        <w:t xml:space="preserve"> 12 no es aplicable Titular de Transparencia.” </w:t>
      </w:r>
      <w:r>
        <w:rPr>
          <w:b/>
        </w:rPr>
        <w:t>(Sic)</w:t>
      </w:r>
    </w:p>
    <w:p w14:paraId="64ABA4C5" w14:textId="77777777" w:rsidR="00B953BD" w:rsidRDefault="00B953BD" w:rsidP="005A4EBE">
      <w:pPr>
        <w:pStyle w:val="Citas"/>
        <w:ind w:left="0" w:right="0"/>
        <w:rPr>
          <w:i w:val="0"/>
          <w:sz w:val="24"/>
          <w:szCs w:val="24"/>
        </w:rPr>
      </w:pPr>
    </w:p>
    <w:p w14:paraId="42EF47B4" w14:textId="70C2C167" w:rsidR="005A4EBE" w:rsidRDefault="005A4EBE" w:rsidP="005A4EBE">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las causales de procedencia previstas en el artículo 179, fracción I de la Ley de Transparencia y Acceso a la Información Pública del Estado de México y Municipios, normatividad que dispone a la literalidad lo siguiente: </w:t>
      </w:r>
    </w:p>
    <w:p w14:paraId="709EAE90" w14:textId="77777777" w:rsidR="005A4EBE" w:rsidRDefault="005A4EBE" w:rsidP="005A4EBE">
      <w:pPr>
        <w:pStyle w:val="Citas"/>
      </w:pPr>
      <w:r>
        <w:t xml:space="preserve"> “</w:t>
      </w:r>
      <w:r w:rsidRPr="00615A99">
        <w:t>Artículo 179. El recurso de revisión es un medio de protección que la Ley otorga a los particulares, para hacer valer su derecho de acceso a la información pública, y procederá en contra de las siguientes causas:</w:t>
      </w:r>
    </w:p>
    <w:p w14:paraId="129BB2EA" w14:textId="77777777" w:rsidR="005A4EBE" w:rsidRDefault="005A4EBE" w:rsidP="005A4EBE">
      <w:pPr>
        <w:pStyle w:val="Citas"/>
      </w:pPr>
      <w:r>
        <w:t xml:space="preserve">I. La negativa a la información solicitada; </w:t>
      </w:r>
    </w:p>
    <w:p w14:paraId="7A8288A5" w14:textId="48B0A886" w:rsidR="005A4EBE" w:rsidRPr="005A4EBE" w:rsidRDefault="005A4EBE" w:rsidP="005A4EBE">
      <w:pPr>
        <w:pStyle w:val="Citas"/>
        <w:rPr>
          <w:b/>
        </w:rPr>
      </w:pPr>
      <w:r>
        <w:t xml:space="preserve">(…)” </w:t>
      </w:r>
      <w:r>
        <w:rPr>
          <w:b/>
        </w:rPr>
        <w:t>(Sic)</w:t>
      </w:r>
    </w:p>
    <w:p w14:paraId="3C3DE86F" w14:textId="2A93E221" w:rsidR="005A4EBE" w:rsidRDefault="005A4EBE" w:rsidP="00A8441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como fue mencionado en el antecedente </w:t>
      </w:r>
      <w:r w:rsidR="008053CE">
        <w:rPr>
          <w:rFonts w:ascii="Palatino Linotype" w:hAnsi="Palatino Linotype"/>
          <w:sz w:val="24"/>
          <w:szCs w:val="24"/>
        </w:rPr>
        <w:t>quinto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fue omiso en rendir su informe justificado. De ahí que deba arribarse a las siguientes conclusiones:</w:t>
      </w:r>
    </w:p>
    <w:p w14:paraId="731C325D" w14:textId="167142BB" w:rsidR="00060FB3" w:rsidRDefault="008053CE"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En el esquema de cumplimiento de las resoluciones derivadas de recursos de revisión convergen diversas autoridades tales como el Sujeto Obligado, así como el Órgano Interno de Control y la Dirección de Cumplimientos del Órgano garante local. </w:t>
      </w:r>
    </w:p>
    <w:p w14:paraId="1219C40C" w14:textId="1466CD0C" w:rsidR="008053CE" w:rsidRDefault="008053CE"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Los Sujetos Obligados, a través de los Titulares de las Unidades de Transparencia </w:t>
      </w:r>
      <w:r w:rsidRPr="008053CE">
        <w:rPr>
          <w:rFonts w:ascii="Palatino Linotype" w:hAnsi="Palatino Linotype"/>
          <w:b/>
        </w:rPr>
        <w:t>podrán</w:t>
      </w:r>
      <w:r>
        <w:rPr>
          <w:rFonts w:ascii="Palatino Linotype" w:hAnsi="Palatino Linotype"/>
        </w:rPr>
        <w:t xml:space="preserve"> solicitar ampliación de plazo de cumplimiento, con fundamento en el numeral 198 de la Ley de Transparencia local. </w:t>
      </w:r>
    </w:p>
    <w:p w14:paraId="5E10F742" w14:textId="77523345" w:rsidR="008053CE" w:rsidRDefault="008053CE"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El vocablo </w:t>
      </w:r>
      <w:r>
        <w:rPr>
          <w:rFonts w:ascii="Palatino Linotype" w:hAnsi="Palatino Linotype"/>
          <w:b/>
          <w:i/>
        </w:rPr>
        <w:t xml:space="preserve">“podrán” </w:t>
      </w:r>
      <w:r>
        <w:rPr>
          <w:rFonts w:ascii="Palatino Linotype" w:hAnsi="Palatino Linotype"/>
        </w:rPr>
        <w:t>denota la potestad que el legislador otorgó a los sujetos obligados para que, de acuerdo a su libertad de apreciación y de surtirse los requisitos que la propia norma prevé, actúen o se abstengan de obrar en el sentido mencionado, de ahí que, deba arribarse a la premisa de que la norma en examen se encuentra sujeta a la decisión de ejercer o no tal prerrogativa, es decir, al arbitrio del Sujeto Obligado mediante el Titular de la Unidad de Transparencia.</w:t>
      </w:r>
    </w:p>
    <w:p w14:paraId="11132722" w14:textId="09A25A22" w:rsidR="008053CE" w:rsidRDefault="008053CE"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Que la corriente doctrinal sustentada por el Órgano Garante local ha sustentado que los hechos negativos no son susceptibles de demostración. Asimismo, esta Ponencia </w:t>
      </w:r>
      <w:proofErr w:type="spellStart"/>
      <w:r>
        <w:rPr>
          <w:rFonts w:ascii="Palatino Linotype" w:hAnsi="Palatino Linotype"/>
        </w:rPr>
        <w:t>Resolutora</w:t>
      </w:r>
      <w:proofErr w:type="spellEnd"/>
      <w:r>
        <w:rPr>
          <w:rFonts w:ascii="Palatino Linotype" w:hAnsi="Palatino Linotype"/>
        </w:rPr>
        <w:t xml:space="preserve"> no está facultada para dudar de la veracidad, pues la respuesta de los Sujetos Obligados goza de una presunción de buena fe. </w:t>
      </w:r>
    </w:p>
    <w:p w14:paraId="5A1D890E" w14:textId="1386266D" w:rsidR="00A409B6" w:rsidRDefault="00A409B6"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lastRenderedPageBreak/>
        <w:t xml:space="preserve">Finalmente, resulta oportuno referir que de una lectura al proyecto de resolución del recurso de revisión </w:t>
      </w:r>
      <w:r w:rsidRPr="00A409B6">
        <w:rPr>
          <w:rFonts w:ascii="Palatino Linotype" w:hAnsi="Palatino Linotype"/>
          <w:b/>
        </w:rPr>
        <w:t>00472/INFOEM/IP/RR/2022</w:t>
      </w:r>
      <w:r>
        <w:rPr>
          <w:rFonts w:ascii="Palatino Linotype" w:hAnsi="Palatino Linotype"/>
          <w:b/>
        </w:rPr>
        <w:t xml:space="preserve"> </w:t>
      </w:r>
      <w:r>
        <w:rPr>
          <w:rFonts w:ascii="Palatino Linotype" w:hAnsi="Palatino Linotype"/>
        </w:rPr>
        <w:t xml:space="preserve">se desprende que se confirmó la respuesta del </w:t>
      </w:r>
      <w:r>
        <w:rPr>
          <w:rFonts w:ascii="Palatino Linotype" w:hAnsi="Palatino Linotype"/>
          <w:b/>
        </w:rPr>
        <w:t xml:space="preserve">Sujeto Obligado, </w:t>
      </w:r>
      <w:r>
        <w:rPr>
          <w:rFonts w:ascii="Palatino Linotype" w:hAnsi="Palatino Linotype"/>
        </w:rPr>
        <w:t xml:space="preserve">es decir, </w:t>
      </w:r>
      <w:r w:rsidR="00BB5448">
        <w:rPr>
          <w:rFonts w:ascii="Palatino Linotype" w:hAnsi="Palatino Linotype"/>
        </w:rPr>
        <w:t xml:space="preserve">en dicho expediente electrónico se obvió la etapa de cumplimiento, </w:t>
      </w:r>
      <w:r>
        <w:rPr>
          <w:rFonts w:ascii="Palatino Linotype" w:hAnsi="Palatino Linotype"/>
        </w:rPr>
        <w:t>al haber garantizado el derecho de acceso a la información</w:t>
      </w:r>
      <w:r w:rsidR="00BB5448">
        <w:rPr>
          <w:rFonts w:ascii="Palatino Linotype" w:hAnsi="Palatino Linotype"/>
        </w:rPr>
        <w:t xml:space="preserve"> mediante respuesta primigenia. </w:t>
      </w:r>
      <w:r>
        <w:rPr>
          <w:rFonts w:ascii="Palatino Linotype" w:hAnsi="Palatino Linotype"/>
        </w:rPr>
        <w:t xml:space="preserve"> </w:t>
      </w:r>
      <w:r w:rsidR="00B6166B">
        <w:rPr>
          <w:rFonts w:ascii="Palatino Linotype" w:hAnsi="Palatino Linotype"/>
        </w:rPr>
        <w:t>Robustece lo anterior la siguiente imagen ilustrativa:</w:t>
      </w:r>
    </w:p>
    <w:p w14:paraId="5344BBA8" w14:textId="55FE4158" w:rsidR="00A409B6" w:rsidRPr="00DB5366" w:rsidRDefault="00DB5366" w:rsidP="00DB5366">
      <w:pPr>
        <w:spacing w:before="240" w:line="360" w:lineRule="auto"/>
        <w:jc w:val="both"/>
        <w:rPr>
          <w:rFonts w:ascii="Palatino Linotype" w:hAnsi="Palatino Linotype"/>
        </w:rPr>
      </w:pPr>
      <w:r w:rsidRPr="00DB5366">
        <w:rPr>
          <w:noProof/>
          <w:lang w:eastAsia="es-MX"/>
        </w:rPr>
        <w:drawing>
          <wp:inline distT="0" distB="0" distL="0" distR="0" wp14:anchorId="0996DA87" wp14:editId="1A4EA435">
            <wp:extent cx="5810250" cy="3397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0250" cy="3397250"/>
                    </a:xfrm>
                    <a:prstGeom prst="rect">
                      <a:avLst/>
                    </a:prstGeom>
                  </pic:spPr>
                </pic:pic>
              </a:graphicData>
            </a:graphic>
          </wp:inline>
        </w:drawing>
      </w:r>
    </w:p>
    <w:p w14:paraId="55C2E93A" w14:textId="2A7E8965" w:rsidR="00B6166B" w:rsidRDefault="00B6166B" w:rsidP="00A409B6">
      <w:pPr>
        <w:spacing w:before="240" w:line="360" w:lineRule="auto"/>
        <w:jc w:val="both"/>
        <w:rPr>
          <w:rFonts w:ascii="Palatino Linotype" w:hAnsi="Palatino Linotype"/>
        </w:rPr>
      </w:pPr>
    </w:p>
    <w:p w14:paraId="12205A10" w14:textId="601DAD4E" w:rsidR="00B46B42" w:rsidRDefault="00B46B42" w:rsidP="00B46B42">
      <w:pPr>
        <w:spacing w:line="360" w:lineRule="auto"/>
        <w:contextualSpacing/>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este Órgano Garante arriba a la conclusión de que la respuesta primigenia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 xml:space="preserve">se encuentra dotada de los principios de </w:t>
      </w:r>
      <w:r w:rsidRPr="001C0BAD">
        <w:rPr>
          <w:rFonts w:ascii="Palatino Linotype" w:hAnsi="Palatino Linotype" w:cs="Arial"/>
          <w:sz w:val="24"/>
          <w:szCs w:val="24"/>
        </w:rPr>
        <w:t xml:space="preserve">congruencia y exhaustividad, los cuales a toda luz garantizan el derecho de acceso a la información </w:t>
      </w:r>
      <w:r w:rsidRPr="001C0BAD">
        <w:rPr>
          <w:rFonts w:ascii="Palatino Linotype" w:hAnsi="Palatino Linotype" w:cs="Arial"/>
          <w:sz w:val="24"/>
          <w:szCs w:val="24"/>
        </w:rPr>
        <w:lastRenderedPageBreak/>
        <w:t xml:space="preserve">pública. Robustece lo anterior el criterio </w:t>
      </w:r>
      <w:r w:rsidRPr="001C0BAD">
        <w:rPr>
          <w:rFonts w:ascii="Palatino Linotype" w:hAnsi="Palatino Linotype" w:cs="Arial"/>
          <w:b/>
          <w:sz w:val="24"/>
          <w:szCs w:val="24"/>
        </w:rPr>
        <w:t xml:space="preserve">02/17 </w:t>
      </w:r>
      <w:r w:rsidRPr="001C0BAD">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205D307F" w14:textId="77777777" w:rsidR="00ED5985" w:rsidRDefault="00ED5985" w:rsidP="00B46B42">
      <w:pPr>
        <w:spacing w:line="360" w:lineRule="auto"/>
        <w:contextualSpacing/>
        <w:jc w:val="both"/>
        <w:rPr>
          <w:rFonts w:ascii="Palatino Linotype" w:hAnsi="Palatino Linotype" w:cs="Arial"/>
          <w:sz w:val="24"/>
          <w:szCs w:val="24"/>
        </w:rPr>
      </w:pPr>
    </w:p>
    <w:p w14:paraId="72BAD530" w14:textId="77777777" w:rsidR="00B46B42" w:rsidRDefault="00B46B42" w:rsidP="00B46B42">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04918874" w14:textId="77777777" w:rsidR="00B46B42" w:rsidRDefault="00B46B42" w:rsidP="00B46B42">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240A15D" w14:textId="77777777" w:rsidR="00ED5985" w:rsidRDefault="00B46B42" w:rsidP="00ED5985">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w:t>
      </w:r>
    </w:p>
    <w:p w14:paraId="5E2C80E9" w14:textId="447B43DA" w:rsidR="00B46B42" w:rsidRPr="00ED5985" w:rsidRDefault="00B46B42" w:rsidP="00ED5985">
      <w:pPr>
        <w:pStyle w:val="Prrafodelista"/>
        <w:numPr>
          <w:ilvl w:val="0"/>
          <w:numId w:val="45"/>
        </w:numPr>
        <w:spacing w:before="240" w:line="360" w:lineRule="auto"/>
        <w:ind w:right="851"/>
        <w:jc w:val="both"/>
        <w:rPr>
          <w:rFonts w:ascii="Palatino Linotype" w:hAnsi="Palatino Linotype" w:cs="Arial"/>
          <w:i/>
        </w:rPr>
      </w:pPr>
      <w:r w:rsidRPr="00ED5985">
        <w:rPr>
          <w:rFonts w:ascii="Palatino Linotype" w:hAnsi="Palatino Linotype" w:cs="Arial"/>
          <w:i/>
        </w:rPr>
        <w:t xml:space="preserve">RRA 0003/16 Comisión Nacional de las Zonas Áridas. 29 de junio de 2016. Por unanimidad. Comisionado Ponente Oscar Mauricio Guerra Ford. </w:t>
      </w:r>
    </w:p>
    <w:p w14:paraId="6C5A6261" w14:textId="77777777" w:rsidR="00B46B42" w:rsidRPr="00D0731B" w:rsidRDefault="00B46B42" w:rsidP="00D0731B">
      <w:pPr>
        <w:pStyle w:val="Prrafodelista"/>
        <w:numPr>
          <w:ilvl w:val="0"/>
          <w:numId w:val="27"/>
        </w:numPr>
        <w:spacing w:before="240" w:line="360" w:lineRule="auto"/>
        <w:ind w:right="851"/>
        <w:jc w:val="both"/>
        <w:rPr>
          <w:rFonts w:ascii="Palatino Linotype" w:hAnsi="Palatino Linotype" w:cs="Arial"/>
          <w:i/>
        </w:rPr>
      </w:pPr>
      <w:r w:rsidRPr="00D0731B">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627D071E" w14:textId="77777777" w:rsidR="00B46B42" w:rsidRPr="00D0731B" w:rsidRDefault="00B46B42" w:rsidP="00D0731B">
      <w:pPr>
        <w:pStyle w:val="Prrafodelista"/>
        <w:numPr>
          <w:ilvl w:val="0"/>
          <w:numId w:val="27"/>
        </w:numPr>
        <w:spacing w:before="240" w:line="360" w:lineRule="auto"/>
        <w:ind w:right="851"/>
        <w:jc w:val="both"/>
        <w:rPr>
          <w:rFonts w:ascii="Palatino Linotype" w:hAnsi="Palatino Linotype"/>
          <w:b/>
          <w:lang w:val="es-ES_tradnl"/>
        </w:rPr>
      </w:pPr>
      <w:r w:rsidRPr="00D0731B">
        <w:rPr>
          <w:rFonts w:ascii="Palatino Linotype" w:hAnsi="Palatino Linotype" w:cs="Arial"/>
          <w:i/>
        </w:rPr>
        <w:t xml:space="preserve">RRA 1419/16 Secretaría de Educación Pública. 14 de septiembre de 2016. Por unanimidad. Comisionado Ponente </w:t>
      </w:r>
      <w:proofErr w:type="spellStart"/>
      <w:r w:rsidRPr="00D0731B">
        <w:rPr>
          <w:rFonts w:ascii="Palatino Linotype" w:hAnsi="Palatino Linotype" w:cs="Arial"/>
          <w:i/>
        </w:rPr>
        <w:t>Rosendoevgueni</w:t>
      </w:r>
      <w:proofErr w:type="spellEnd"/>
      <w:r w:rsidRPr="00D0731B">
        <w:rPr>
          <w:rFonts w:ascii="Palatino Linotype" w:hAnsi="Palatino Linotype" w:cs="Arial"/>
          <w:i/>
        </w:rPr>
        <w:t xml:space="preserve"> Monterrey </w:t>
      </w:r>
      <w:proofErr w:type="spellStart"/>
      <w:r w:rsidRPr="00D0731B">
        <w:rPr>
          <w:rFonts w:ascii="Palatino Linotype" w:hAnsi="Palatino Linotype" w:cs="Arial"/>
          <w:i/>
        </w:rPr>
        <w:t>Chepov</w:t>
      </w:r>
      <w:proofErr w:type="spellEnd"/>
      <w:r w:rsidRPr="00D0731B">
        <w:rPr>
          <w:rFonts w:ascii="Palatino Linotype" w:hAnsi="Palatino Linotype" w:cs="Arial"/>
          <w:i/>
        </w:rPr>
        <w:t xml:space="preserve">.” </w:t>
      </w:r>
      <w:r w:rsidRPr="00D0731B">
        <w:rPr>
          <w:rFonts w:ascii="Palatino Linotype" w:hAnsi="Palatino Linotype"/>
          <w:b/>
          <w:i/>
          <w:lang w:val="es-ES_tradnl"/>
        </w:rPr>
        <w:t>[Sic]</w:t>
      </w:r>
    </w:p>
    <w:p w14:paraId="7186E8AE" w14:textId="77777777" w:rsidR="00B46B42" w:rsidRDefault="00B46B42" w:rsidP="00B46B42">
      <w:pPr>
        <w:spacing w:after="0" w:line="360" w:lineRule="auto"/>
        <w:jc w:val="both"/>
        <w:rPr>
          <w:rFonts w:ascii="Palatino Linotype" w:hAnsi="Palatino Linotype" w:cs="Arial"/>
          <w:noProof/>
          <w:color w:val="000000"/>
          <w:sz w:val="24"/>
          <w:lang w:eastAsia="es-MX"/>
        </w:rPr>
      </w:pPr>
    </w:p>
    <w:p w14:paraId="34687031" w14:textId="77777777" w:rsidR="008053CE" w:rsidRDefault="008053CE" w:rsidP="00B46B42">
      <w:pPr>
        <w:spacing w:after="0" w:line="360" w:lineRule="auto"/>
        <w:jc w:val="both"/>
        <w:rPr>
          <w:rFonts w:ascii="Palatino Linotype" w:hAnsi="Palatino Linotype" w:cs="Arial"/>
          <w:noProof/>
          <w:color w:val="000000"/>
          <w:sz w:val="24"/>
          <w:lang w:eastAsia="es-MX"/>
        </w:rPr>
      </w:pPr>
    </w:p>
    <w:p w14:paraId="3043C963" w14:textId="6D4BF8DB" w:rsidR="00B46B42" w:rsidRDefault="00B46B42" w:rsidP="00B46B42">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Con base en lo anteriormente expuesto, se arriba a la conclusión de que la respuesta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colmó el derecho de acceso a la información ejercido por el particular</w:t>
      </w:r>
      <w:r w:rsidR="00FE6BC1">
        <w:rPr>
          <w:rFonts w:ascii="Palatino Linotype" w:hAnsi="Palatino Linotype" w:cs="Arial"/>
          <w:noProof/>
          <w:color w:val="000000"/>
          <w:sz w:val="24"/>
          <w:lang w:eastAsia="es-MX"/>
        </w:rPr>
        <w:t xml:space="preserve">. </w:t>
      </w:r>
    </w:p>
    <w:p w14:paraId="302A9A17" w14:textId="77777777" w:rsidR="0060676C" w:rsidRDefault="0060676C" w:rsidP="00B46B42">
      <w:pPr>
        <w:spacing w:after="0" w:line="360" w:lineRule="auto"/>
        <w:jc w:val="both"/>
        <w:rPr>
          <w:rFonts w:ascii="Palatino Linotype" w:hAnsi="Palatino Linotype" w:cs="Arial"/>
          <w:noProof/>
          <w:color w:val="000000"/>
          <w:sz w:val="24"/>
          <w:lang w:eastAsia="es-MX"/>
        </w:rPr>
      </w:pPr>
    </w:p>
    <w:p w14:paraId="1A8E1570" w14:textId="5FE095C4" w:rsidR="005128DD" w:rsidRPr="00EE6EC2" w:rsidRDefault="005128DD" w:rsidP="00B46B42">
      <w:pPr>
        <w:spacing w:after="0" w:line="360" w:lineRule="auto"/>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sidR="00B00628">
        <w:rPr>
          <w:rFonts w:ascii="Palatino Linotype" w:hAnsi="Palatino Linotype"/>
          <w:b/>
          <w:sz w:val="24"/>
          <w:szCs w:val="24"/>
        </w:rPr>
        <w:t>El</w:t>
      </w:r>
      <w:r>
        <w:rPr>
          <w:rFonts w:ascii="Palatino Linotype" w:hAnsi="Palatino Linotype"/>
          <w:b/>
          <w:sz w:val="24"/>
          <w:szCs w:val="24"/>
        </w:rPr>
        <w:t xml:space="preserve">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8053CE">
        <w:rPr>
          <w:rFonts w:ascii="Palatino Linotype" w:hAnsi="Palatino Linotype"/>
          <w:b/>
          <w:sz w:val="24"/>
          <w:szCs w:val="24"/>
        </w:rPr>
        <w:t>00032/DIFNAUCAL/IP/2022</w:t>
      </w:r>
      <w:r w:rsidR="00973AFB">
        <w:rPr>
          <w:rFonts w:ascii="Palatino Linotype" w:hAnsi="Palatino Linotype"/>
          <w:b/>
          <w:sz w:val="24"/>
          <w:szCs w:val="24"/>
        </w:rPr>
        <w:t xml:space="preserve"> </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57D926E7" w14:textId="77777777" w:rsidR="005128DD" w:rsidRDefault="005128DD" w:rsidP="005128D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7757A972" w14:textId="77777777" w:rsidR="00060FB3" w:rsidRDefault="00060FB3" w:rsidP="005128DD">
      <w:pPr>
        <w:tabs>
          <w:tab w:val="left" w:pos="709"/>
        </w:tabs>
        <w:spacing w:before="240" w:line="360" w:lineRule="auto"/>
        <w:ind w:right="51"/>
        <w:jc w:val="both"/>
        <w:rPr>
          <w:rFonts w:ascii="Palatino Linotype" w:hAnsi="Palatino Linotype"/>
          <w:sz w:val="24"/>
          <w:szCs w:val="24"/>
        </w:rPr>
      </w:pPr>
    </w:p>
    <w:p w14:paraId="5369AC2D" w14:textId="77777777" w:rsidR="008A0693" w:rsidRDefault="008A0693" w:rsidP="005128DD">
      <w:pPr>
        <w:tabs>
          <w:tab w:val="left" w:pos="709"/>
        </w:tabs>
        <w:spacing w:before="240" w:line="360" w:lineRule="auto"/>
        <w:ind w:right="51"/>
        <w:jc w:val="both"/>
        <w:rPr>
          <w:rFonts w:ascii="Palatino Linotype" w:hAnsi="Palatino Linotype"/>
          <w:sz w:val="24"/>
          <w:szCs w:val="24"/>
        </w:rPr>
      </w:pPr>
    </w:p>
    <w:p w14:paraId="5A9257C7" w14:textId="3EB3FBCA" w:rsidR="005128DD" w:rsidRDefault="005128DD" w:rsidP="005128D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3B3E61F5" w14:textId="1A74DFB8" w:rsidR="005128DD" w:rsidRDefault="005128DD" w:rsidP="005128D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7274EC">
        <w:rPr>
          <w:rFonts w:ascii="Palatino Linotype" w:hAnsi="Palatino Linotype"/>
          <w:b/>
          <w:sz w:val="24"/>
          <w:szCs w:val="24"/>
        </w:rPr>
        <w:t>00032/DIFNAUCAL/IP/2022</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B00628">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340C6B9" w14:textId="77777777" w:rsidR="005128DD" w:rsidRDefault="005128DD" w:rsidP="005128DD">
      <w:pPr>
        <w:spacing w:before="240" w:line="360" w:lineRule="auto"/>
        <w:jc w:val="both"/>
        <w:rPr>
          <w:rFonts w:ascii="Palatino Linotype" w:hAnsi="Palatino Linotype" w:cs="Arial"/>
          <w:sz w:val="24"/>
          <w:szCs w:val="24"/>
        </w:rPr>
      </w:pPr>
    </w:p>
    <w:p w14:paraId="4714956D" w14:textId="5E2DED40"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10B767BE" w14:textId="77777777" w:rsidR="007274EC" w:rsidRDefault="007274EC" w:rsidP="005128DD">
      <w:pPr>
        <w:autoSpaceDE w:val="0"/>
        <w:autoSpaceDN w:val="0"/>
        <w:adjustRightInd w:val="0"/>
        <w:spacing w:before="240" w:line="360" w:lineRule="auto"/>
        <w:jc w:val="both"/>
        <w:rPr>
          <w:rFonts w:ascii="Palatino Linotype" w:hAnsi="Palatino Linotype" w:cs="Arial"/>
          <w:b/>
          <w:sz w:val="24"/>
          <w:szCs w:val="24"/>
        </w:rPr>
      </w:pPr>
    </w:p>
    <w:p w14:paraId="76F83D8E" w14:textId="1F27B8C8"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w:t>
      </w:r>
      <w:r w:rsidR="00B00628">
        <w:rPr>
          <w:rFonts w:ascii="Palatino Linotype" w:hAnsi="Palatino Linotype" w:cs="Arial"/>
          <w:sz w:val="24"/>
          <w:szCs w:val="24"/>
        </w:rPr>
        <w:t>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17FF14F0" w14:textId="77777777" w:rsidR="008A0693" w:rsidRDefault="008A0693" w:rsidP="005128DD">
      <w:pPr>
        <w:autoSpaceDE w:val="0"/>
        <w:autoSpaceDN w:val="0"/>
        <w:adjustRightInd w:val="0"/>
        <w:spacing w:before="240" w:line="360" w:lineRule="auto"/>
        <w:jc w:val="both"/>
        <w:rPr>
          <w:rFonts w:ascii="Palatino Linotype" w:hAnsi="Palatino Linotype" w:cs="Arial"/>
          <w:b/>
          <w:sz w:val="24"/>
          <w:szCs w:val="24"/>
        </w:rPr>
      </w:pPr>
    </w:p>
    <w:p w14:paraId="3A6531CF" w14:textId="21EFDFBF" w:rsidR="005128DD" w:rsidRDefault="005128DD" w:rsidP="005128D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w:t>
      </w:r>
      <w:r w:rsidR="00B00628">
        <w:rPr>
          <w:rFonts w:ascii="Palatino Linotype" w:hAnsi="Palatino Linotype" w:cs="Arial"/>
          <w:sz w:val="24"/>
          <w:szCs w:val="24"/>
        </w:rPr>
        <w:t>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16C2484" w14:textId="13035F3F" w:rsidR="00060FB3" w:rsidRPr="00627D99" w:rsidRDefault="002428BA" w:rsidP="00060FB3">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w:t>
      </w:r>
      <w:r w:rsidR="007274EC" w:rsidRPr="00C91103">
        <w:rPr>
          <w:rFonts w:ascii="Palatino Linotype" w:eastAsia="Arial Unicode MS" w:hAnsi="Palatino Linotype" w:cs="Arial"/>
        </w:rPr>
        <w:t xml:space="preserve">DEL </w:t>
      </w:r>
      <w:r w:rsidR="007274EC" w:rsidRPr="00272CE0">
        <w:rPr>
          <w:rFonts w:ascii="Palatino Linotype" w:eastAsia="Arial Unicode MS" w:hAnsi="Palatino Linotype" w:cs="Arial"/>
        </w:rPr>
        <w:t>ESTADO DE M</w:t>
      </w:r>
      <w:bookmarkStart w:id="0" w:name="_GoBack"/>
      <w:bookmarkEnd w:id="0"/>
      <w:r w:rsidR="007274EC" w:rsidRPr="00272CE0">
        <w:rPr>
          <w:rFonts w:ascii="Palatino Linotype" w:eastAsia="Arial Unicode MS" w:hAnsi="Palatino Linotype" w:cs="Arial"/>
        </w:rPr>
        <w:t>ÉXICO Y MUNICIPIOS</w:t>
      </w:r>
      <w:r w:rsidR="007274EC" w:rsidRPr="00272CE0">
        <w:rPr>
          <w:rFonts w:ascii="Palatino Linotype" w:hAnsi="Palatino Linotype" w:cs="Arial"/>
        </w:rPr>
        <w:t>, CONFORMADO POR LOS COMISIONADOS</w:t>
      </w:r>
      <w:r w:rsidR="007274EC">
        <w:rPr>
          <w:rFonts w:ascii="Palatino Linotype" w:hAnsi="Palatino Linotype" w:cs="Arial"/>
        </w:rPr>
        <w:t xml:space="preserve"> JOSÉ MARTÍNEZ VILCHIS, MARÍA DEL ROSARIO </w:t>
      </w:r>
      <w:r w:rsidR="007274EC" w:rsidRPr="00266B85">
        <w:rPr>
          <w:rFonts w:ascii="Palatino Linotype" w:hAnsi="Palatino Linotype" w:cs="Arial"/>
        </w:rPr>
        <w:t>MEJÍA AYALA, S</w:t>
      </w:r>
      <w:r w:rsidR="007274EC">
        <w:rPr>
          <w:rFonts w:ascii="Palatino Linotype" w:hAnsi="Palatino Linotype" w:cs="Arial"/>
        </w:rPr>
        <w:t xml:space="preserve">HARON CRISTINA MORALES MARTÍNEZ, </w:t>
      </w:r>
      <w:r w:rsidR="007274EC" w:rsidRPr="00266B85">
        <w:rPr>
          <w:rFonts w:ascii="Palatino Linotype" w:hAnsi="Palatino Linotype" w:cs="Arial"/>
        </w:rPr>
        <w:t>LUIS GUSTAVO PARRA NORIEGA</w:t>
      </w:r>
      <w:r w:rsidR="007274EC">
        <w:rPr>
          <w:rFonts w:ascii="Palatino Linotype" w:hAnsi="Palatino Linotype" w:cs="Arial"/>
        </w:rPr>
        <w:t xml:space="preserve"> </w:t>
      </w:r>
      <w:r w:rsidR="007274EC" w:rsidRPr="00266B85">
        <w:rPr>
          <w:rFonts w:ascii="Palatino Linotype" w:hAnsi="Palatino Linotype" w:cs="Arial"/>
        </w:rPr>
        <w:t xml:space="preserve">Y GUADALUPE RAMÍREZ PEÑA; EN LA </w:t>
      </w:r>
      <w:r w:rsidR="007274EC">
        <w:rPr>
          <w:rFonts w:ascii="Palatino Linotype" w:hAnsi="Palatino Linotype" w:cs="Arial"/>
        </w:rPr>
        <w:t xml:space="preserve">VIGÉSIMA </w:t>
      </w:r>
      <w:r w:rsidR="00ED5985">
        <w:rPr>
          <w:rFonts w:ascii="Palatino Linotype" w:hAnsi="Palatino Linotype" w:cs="Arial"/>
        </w:rPr>
        <w:t xml:space="preserve">SEGUNDA </w:t>
      </w:r>
      <w:r w:rsidR="007274EC">
        <w:rPr>
          <w:rFonts w:ascii="Palatino Linotype" w:hAnsi="Palatino Linotype" w:cs="Arial"/>
        </w:rPr>
        <w:t xml:space="preserve">SESIÓN ORDINARIA CELEBRADA EL </w:t>
      </w:r>
      <w:r w:rsidR="00ED5985">
        <w:rPr>
          <w:rFonts w:ascii="Palatino Linotype" w:hAnsi="Palatino Linotype" w:cs="Arial"/>
        </w:rPr>
        <w:t>QUINCE</w:t>
      </w:r>
      <w:r w:rsidR="007274EC">
        <w:rPr>
          <w:rFonts w:ascii="Palatino Linotype" w:hAnsi="Palatino Linotype" w:cs="Arial"/>
        </w:rPr>
        <w:t xml:space="preserve"> DE JUNIO DE DOS MIL VEINTIDÓS, ANTE EL </w:t>
      </w:r>
      <w:r w:rsidR="007274EC" w:rsidRPr="00627D99">
        <w:rPr>
          <w:rFonts w:ascii="Palatino Linotype" w:hAnsi="Palatino Linotype" w:cs="Arial"/>
          <w:sz w:val="23"/>
          <w:szCs w:val="23"/>
        </w:rPr>
        <w:t xml:space="preserve">  SECRETARIO TÉCNICO DEL PLENO, ALEXIS TAPIA RAMÍREZ. </w:t>
      </w:r>
    </w:p>
    <w:p w14:paraId="33F76E1A" w14:textId="4DC102DC" w:rsidR="002428BA" w:rsidRDefault="007274EC" w:rsidP="002428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1B95041" w14:textId="00978BD7" w:rsidR="005128DD" w:rsidRDefault="00A409B6" w:rsidP="005128DD">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64384" behindDoc="0" locked="0" layoutInCell="1" allowOverlap="1" wp14:anchorId="054DEDF1" wp14:editId="5206E6B5">
                <wp:simplePos x="0" y="0"/>
                <wp:positionH relativeFrom="column">
                  <wp:posOffset>-157784</wp:posOffset>
                </wp:positionH>
                <wp:positionV relativeFrom="paragraph">
                  <wp:posOffset>101793</wp:posOffset>
                </wp:positionV>
                <wp:extent cx="6162261" cy="3768919"/>
                <wp:effectExtent l="0" t="0" r="29210" b="22225"/>
                <wp:wrapNone/>
                <wp:docPr id="11" name="Conector recto 11"/>
                <wp:cNvGraphicFramePr/>
                <a:graphic xmlns:a="http://schemas.openxmlformats.org/drawingml/2006/main">
                  <a:graphicData uri="http://schemas.microsoft.com/office/word/2010/wordprocessingShape">
                    <wps:wsp>
                      <wps:cNvCnPr/>
                      <wps:spPr>
                        <a:xfrm>
                          <a:off x="0" y="0"/>
                          <a:ext cx="6162261" cy="3768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9781288" id="Conector recto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8pt" to="472.8pt,3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" strokecolor="#5b9bd5 [3204]" strokeweight=".5pt">
                <v:stroke joinstyle="miter"/>
              </v:line>
            </w:pict>
          </mc:Fallback>
        </mc:AlternateContent>
      </w:r>
    </w:p>
    <w:p w14:paraId="6D48BBE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A5D9B82"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423972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6FF641D"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2F7FC357"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5375B307" w14:textId="77777777" w:rsidR="005128DD" w:rsidRPr="00C854CB"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6561E5E3" w14:textId="77777777" w:rsidR="005128DD" w:rsidRDefault="005128DD" w:rsidP="005128DD">
      <w:pPr>
        <w:spacing w:before="240" w:line="360" w:lineRule="auto"/>
        <w:jc w:val="both"/>
        <w:rPr>
          <w:rFonts w:ascii="Palatino Linotype" w:hAnsi="Palatino Linotype" w:cs="Arial"/>
          <w:sz w:val="24"/>
          <w:szCs w:val="24"/>
        </w:rPr>
      </w:pPr>
    </w:p>
    <w:p w14:paraId="423848AD" w14:textId="77777777" w:rsidR="005128DD" w:rsidRDefault="005128DD" w:rsidP="005128DD">
      <w:pPr>
        <w:spacing w:before="240" w:line="360" w:lineRule="auto"/>
        <w:jc w:val="both"/>
        <w:rPr>
          <w:rFonts w:ascii="Palatino Linotype" w:hAnsi="Palatino Linotype" w:cs="Arial"/>
          <w:sz w:val="24"/>
          <w:szCs w:val="24"/>
        </w:rPr>
      </w:pPr>
    </w:p>
    <w:p w14:paraId="0448F7FB" w14:textId="77777777" w:rsidR="005128DD" w:rsidRDefault="005128DD" w:rsidP="005128DD">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E2A180F" w14:textId="77777777" w:rsidR="005128DD" w:rsidRPr="005128DD" w:rsidRDefault="005128DD" w:rsidP="005128DD">
      <w:pPr>
        <w:spacing w:line="360" w:lineRule="auto"/>
        <w:contextualSpacing/>
        <w:jc w:val="both"/>
        <w:rPr>
          <w:rFonts w:ascii="Palatino Linotype" w:eastAsia="MS Mincho" w:hAnsi="Palatino Linotype"/>
        </w:rPr>
      </w:pPr>
    </w:p>
    <w:p w14:paraId="12C62F3F" w14:textId="315DB38B" w:rsidR="001A0906" w:rsidRDefault="001A0906" w:rsidP="00C274BE">
      <w:pPr>
        <w:pStyle w:val="Sinespaciado"/>
        <w:spacing w:line="360" w:lineRule="auto"/>
        <w:jc w:val="both"/>
        <w:rPr>
          <w:rFonts w:ascii="Palatino Linotype" w:hAnsi="Palatino Linotype" w:cs="Arial"/>
        </w:rPr>
      </w:pPr>
    </w:p>
    <w:sectPr w:rsidR="001A0906"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CDCF9" w14:textId="77777777" w:rsidR="00DA1371" w:rsidRDefault="00DA1371" w:rsidP="006168E4">
      <w:pPr>
        <w:spacing w:after="0" w:line="240" w:lineRule="auto"/>
      </w:pPr>
      <w:r>
        <w:separator/>
      </w:r>
    </w:p>
  </w:endnote>
  <w:endnote w:type="continuationSeparator" w:id="0">
    <w:p w14:paraId="2F22E5A6" w14:textId="77777777" w:rsidR="00DA1371" w:rsidRDefault="00DA137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0D2E06AF" w:rsidR="008053CE" w:rsidRPr="000B69FA" w:rsidRDefault="008053C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536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536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01AE01DF" w:rsidR="008053CE" w:rsidRPr="000B69FA" w:rsidRDefault="008053C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53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5366">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CC40C" w14:textId="77777777" w:rsidR="00DA1371" w:rsidRDefault="00DA1371" w:rsidP="006168E4">
      <w:pPr>
        <w:spacing w:after="0" w:line="240" w:lineRule="auto"/>
      </w:pPr>
      <w:r>
        <w:separator/>
      </w:r>
    </w:p>
  </w:footnote>
  <w:footnote w:type="continuationSeparator" w:id="0">
    <w:p w14:paraId="4A5E215C" w14:textId="77777777" w:rsidR="00DA1371" w:rsidRDefault="00DA1371" w:rsidP="006168E4">
      <w:pPr>
        <w:spacing w:after="0" w:line="240" w:lineRule="auto"/>
      </w:pPr>
      <w:r>
        <w:continuationSeparator/>
      </w:r>
    </w:p>
  </w:footnote>
  <w:footnote w:id="1">
    <w:p w14:paraId="670B0D2B" w14:textId="77777777" w:rsidR="008053CE" w:rsidRPr="005552A8" w:rsidRDefault="008053CE" w:rsidP="003F38E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0507D5" w14:textId="77777777" w:rsidR="008053CE" w:rsidRPr="005552A8" w:rsidRDefault="008053CE" w:rsidP="003F38E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8053CE" w:rsidRDefault="008053C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053CE" w14:paraId="1EC9A00A" w14:textId="77777777" w:rsidTr="009B28E9">
      <w:trPr>
        <w:trHeight w:val="227"/>
      </w:trPr>
      <w:tc>
        <w:tcPr>
          <w:tcW w:w="5529" w:type="dxa"/>
          <w:hideMark/>
        </w:tcPr>
        <w:p w14:paraId="54E20D87" w14:textId="77777777" w:rsidR="008053CE" w:rsidRDefault="008053C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B3B5B99" w:rsidR="008053CE" w:rsidRPr="00B4142F" w:rsidRDefault="008053C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06530/INFOEM/IP/RR/2022 </w:t>
          </w:r>
        </w:p>
      </w:tc>
    </w:tr>
    <w:tr w:rsidR="008053CE" w14:paraId="55FEBD54" w14:textId="77777777" w:rsidTr="009B28E9">
      <w:trPr>
        <w:trHeight w:val="242"/>
      </w:trPr>
      <w:tc>
        <w:tcPr>
          <w:tcW w:w="5529" w:type="dxa"/>
          <w:hideMark/>
        </w:tcPr>
        <w:p w14:paraId="380D58F4" w14:textId="77777777" w:rsidR="008053CE" w:rsidRDefault="008053C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ED5ACFE" w:rsidR="008053CE" w:rsidRPr="00F06FED" w:rsidRDefault="008053CE" w:rsidP="00C01E1C">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Naucalpan de Juárez</w:t>
          </w:r>
        </w:p>
      </w:tc>
    </w:tr>
    <w:tr w:rsidR="008053CE" w14:paraId="21314286" w14:textId="77777777" w:rsidTr="009B28E9">
      <w:trPr>
        <w:trHeight w:val="342"/>
      </w:trPr>
      <w:tc>
        <w:tcPr>
          <w:tcW w:w="5529" w:type="dxa"/>
          <w:hideMark/>
        </w:tcPr>
        <w:p w14:paraId="28B22B0A" w14:textId="77777777" w:rsidR="008053CE" w:rsidRDefault="008053C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8053CE" w:rsidRDefault="008053C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8053CE" w:rsidRDefault="008053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053CE" w14:paraId="42D97161" w14:textId="77777777" w:rsidTr="009B28E9">
      <w:trPr>
        <w:trHeight w:val="227"/>
      </w:trPr>
      <w:tc>
        <w:tcPr>
          <w:tcW w:w="5529" w:type="dxa"/>
          <w:hideMark/>
        </w:tcPr>
        <w:p w14:paraId="079C0A7D" w14:textId="77777777" w:rsidR="008053CE" w:rsidRDefault="008053C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778453AE" w:rsidR="008053CE" w:rsidRPr="00B4142F" w:rsidRDefault="008053C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06530/INFOEM/IP/RR/2022 </w:t>
          </w:r>
        </w:p>
      </w:tc>
    </w:tr>
    <w:tr w:rsidR="008053CE" w14:paraId="36CDA2D2" w14:textId="77777777" w:rsidTr="009B28E9">
      <w:trPr>
        <w:trHeight w:val="196"/>
      </w:trPr>
      <w:tc>
        <w:tcPr>
          <w:tcW w:w="5529" w:type="dxa"/>
          <w:hideMark/>
        </w:tcPr>
        <w:p w14:paraId="2ADF7609" w14:textId="77777777" w:rsidR="008053CE" w:rsidRDefault="008053C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561A6EDF" w:rsidR="008053CE" w:rsidRPr="00F06FED" w:rsidRDefault="00337AFB" w:rsidP="00CC0C5F">
          <w:pPr>
            <w:spacing w:after="120" w:line="256" w:lineRule="auto"/>
            <w:ind w:left="639" w:right="214"/>
            <w:jc w:val="both"/>
            <w:rPr>
              <w:rFonts w:ascii="Palatino Linotype" w:hAnsi="Palatino Linotype" w:cs="Arial"/>
            </w:rPr>
          </w:pPr>
          <w:r>
            <w:rPr>
              <w:rFonts w:ascii="Palatino Linotype" w:hAnsi="Palatino Linotype" w:cs="Arial"/>
            </w:rPr>
            <w:t>XXXXXXXXXX</w:t>
          </w:r>
        </w:p>
      </w:tc>
    </w:tr>
    <w:tr w:rsidR="008053CE" w14:paraId="652F9A44" w14:textId="77777777" w:rsidTr="009B28E9">
      <w:trPr>
        <w:trHeight w:val="242"/>
      </w:trPr>
      <w:tc>
        <w:tcPr>
          <w:tcW w:w="5529" w:type="dxa"/>
          <w:hideMark/>
        </w:tcPr>
        <w:p w14:paraId="09EC290F" w14:textId="77777777" w:rsidR="008053CE" w:rsidRDefault="008053C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F95EBD2" w:rsidR="008053CE" w:rsidRDefault="008053CE"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Naucalpan de Juárez</w:t>
          </w:r>
        </w:p>
      </w:tc>
    </w:tr>
    <w:tr w:rsidR="008053CE" w14:paraId="4476548B" w14:textId="77777777" w:rsidTr="009B28E9">
      <w:trPr>
        <w:trHeight w:val="342"/>
      </w:trPr>
      <w:tc>
        <w:tcPr>
          <w:tcW w:w="5529" w:type="dxa"/>
          <w:hideMark/>
        </w:tcPr>
        <w:p w14:paraId="6E3E07EE" w14:textId="77777777" w:rsidR="008053CE" w:rsidRDefault="008053C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8053CE" w:rsidRDefault="008053C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8053CE" w:rsidRDefault="008053C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354"/>
    <w:multiLevelType w:val="hybridMultilevel"/>
    <w:tmpl w:val="2C447CAE"/>
    <w:lvl w:ilvl="0" w:tplc="0504B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34032"/>
    <w:multiLevelType w:val="hybridMultilevel"/>
    <w:tmpl w:val="DED2E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E36602"/>
    <w:multiLevelType w:val="hybridMultilevel"/>
    <w:tmpl w:val="BA6E9FAE"/>
    <w:lvl w:ilvl="0" w:tplc="B5A89E8A">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02A52"/>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9910DD"/>
    <w:multiLevelType w:val="hybridMultilevel"/>
    <w:tmpl w:val="65EED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A42BE"/>
    <w:multiLevelType w:val="hybridMultilevel"/>
    <w:tmpl w:val="7B4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CA4A77"/>
    <w:multiLevelType w:val="hybridMultilevel"/>
    <w:tmpl w:val="2ED28E12"/>
    <w:lvl w:ilvl="0" w:tplc="47B8C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75026F9"/>
    <w:multiLevelType w:val="hybridMultilevel"/>
    <w:tmpl w:val="783624FA"/>
    <w:lvl w:ilvl="0" w:tplc="2A2084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F3923F1"/>
    <w:multiLevelType w:val="hybridMultilevel"/>
    <w:tmpl w:val="36082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86750"/>
    <w:multiLevelType w:val="hybridMultilevel"/>
    <w:tmpl w:val="4852F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3F153A"/>
    <w:multiLevelType w:val="hybridMultilevel"/>
    <w:tmpl w:val="1C7647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26488"/>
    <w:multiLevelType w:val="hybridMultilevel"/>
    <w:tmpl w:val="199268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81744C9"/>
    <w:multiLevelType w:val="hybridMultilevel"/>
    <w:tmpl w:val="2E0A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A5464E4"/>
    <w:multiLevelType w:val="hybridMultilevel"/>
    <w:tmpl w:val="E93E8312"/>
    <w:lvl w:ilvl="0" w:tplc="F76C71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71978"/>
    <w:multiLevelType w:val="hybridMultilevel"/>
    <w:tmpl w:val="74AEDA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5"/>
  </w:num>
  <w:num w:numId="3">
    <w:abstractNumId w:val="41"/>
  </w:num>
  <w:num w:numId="4">
    <w:abstractNumId w:val="34"/>
  </w:num>
  <w:num w:numId="5">
    <w:abstractNumId w:val="3"/>
  </w:num>
  <w:num w:numId="6">
    <w:abstractNumId w:val="3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4"/>
  </w:num>
  <w:num w:numId="10">
    <w:abstractNumId w:val="8"/>
  </w:num>
  <w:num w:numId="11">
    <w:abstractNumId w:val="44"/>
  </w:num>
  <w:num w:numId="12">
    <w:abstractNumId w:val="28"/>
  </w:num>
  <w:num w:numId="13">
    <w:abstractNumId w:val="5"/>
  </w:num>
  <w:num w:numId="14">
    <w:abstractNumId w:val="33"/>
  </w:num>
  <w:num w:numId="15">
    <w:abstractNumId w:val="23"/>
  </w:num>
  <w:num w:numId="16">
    <w:abstractNumId w:val="42"/>
  </w:num>
  <w:num w:numId="17">
    <w:abstractNumId w:val="9"/>
  </w:num>
  <w:num w:numId="18">
    <w:abstractNumId w:val="36"/>
  </w:num>
  <w:num w:numId="19">
    <w:abstractNumId w:val="15"/>
  </w:num>
  <w:num w:numId="20">
    <w:abstractNumId w:val="43"/>
  </w:num>
  <w:num w:numId="21">
    <w:abstractNumId w:val="31"/>
  </w:num>
  <w:num w:numId="22">
    <w:abstractNumId w:val="22"/>
  </w:num>
  <w:num w:numId="23">
    <w:abstractNumId w:val="20"/>
  </w:num>
  <w:num w:numId="24">
    <w:abstractNumId w:val="18"/>
  </w:num>
  <w:num w:numId="25">
    <w:abstractNumId w:val="32"/>
  </w:num>
  <w:num w:numId="26">
    <w:abstractNumId w:val="11"/>
  </w:num>
  <w:num w:numId="27">
    <w:abstractNumId w:val="29"/>
  </w:num>
  <w:num w:numId="28">
    <w:abstractNumId w:val="7"/>
  </w:num>
  <w:num w:numId="29">
    <w:abstractNumId w:val="0"/>
  </w:num>
  <w:num w:numId="30">
    <w:abstractNumId w:val="38"/>
  </w:num>
  <w:num w:numId="31">
    <w:abstractNumId w:val="39"/>
  </w:num>
  <w:num w:numId="32">
    <w:abstractNumId w:val="2"/>
  </w:num>
  <w:num w:numId="33">
    <w:abstractNumId w:val="27"/>
  </w:num>
  <w:num w:numId="34">
    <w:abstractNumId w:val="13"/>
  </w:num>
  <w:num w:numId="35">
    <w:abstractNumId w:val="17"/>
  </w:num>
  <w:num w:numId="36">
    <w:abstractNumId w:val="19"/>
  </w:num>
  <w:num w:numId="37">
    <w:abstractNumId w:val="4"/>
  </w:num>
  <w:num w:numId="38">
    <w:abstractNumId w:val="24"/>
  </w:num>
  <w:num w:numId="39">
    <w:abstractNumId w:val="37"/>
  </w:num>
  <w:num w:numId="40">
    <w:abstractNumId w:val="12"/>
  </w:num>
  <w:num w:numId="41">
    <w:abstractNumId w:val="21"/>
  </w:num>
  <w:num w:numId="42">
    <w:abstractNumId w:val="6"/>
  </w:num>
  <w:num w:numId="43">
    <w:abstractNumId w:val="1"/>
  </w:num>
  <w:num w:numId="44">
    <w:abstractNumId w:val="40"/>
  </w:num>
  <w:num w:numId="4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61F8"/>
    <w:rsid w:val="00010F2B"/>
    <w:rsid w:val="0001225E"/>
    <w:rsid w:val="000170DF"/>
    <w:rsid w:val="00020A70"/>
    <w:rsid w:val="00022604"/>
    <w:rsid w:val="000236FA"/>
    <w:rsid w:val="0002450B"/>
    <w:rsid w:val="0002766F"/>
    <w:rsid w:val="000306A7"/>
    <w:rsid w:val="00031C92"/>
    <w:rsid w:val="000363A2"/>
    <w:rsid w:val="0004199A"/>
    <w:rsid w:val="00045379"/>
    <w:rsid w:val="000461DF"/>
    <w:rsid w:val="00046AD8"/>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DD1"/>
    <w:rsid w:val="000A70F8"/>
    <w:rsid w:val="000A71F4"/>
    <w:rsid w:val="000A733E"/>
    <w:rsid w:val="000A79DA"/>
    <w:rsid w:val="000B1702"/>
    <w:rsid w:val="000B4B51"/>
    <w:rsid w:val="000B7158"/>
    <w:rsid w:val="000C5B8B"/>
    <w:rsid w:val="000D0BC5"/>
    <w:rsid w:val="000D1B55"/>
    <w:rsid w:val="000D3C75"/>
    <w:rsid w:val="000D6116"/>
    <w:rsid w:val="000D7A3D"/>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336D3"/>
    <w:rsid w:val="001364AA"/>
    <w:rsid w:val="00136FAD"/>
    <w:rsid w:val="00144B4A"/>
    <w:rsid w:val="00146F0A"/>
    <w:rsid w:val="00147B36"/>
    <w:rsid w:val="00152124"/>
    <w:rsid w:val="00152C2B"/>
    <w:rsid w:val="001542FC"/>
    <w:rsid w:val="001646D0"/>
    <w:rsid w:val="001657E6"/>
    <w:rsid w:val="00172661"/>
    <w:rsid w:val="001742A5"/>
    <w:rsid w:val="00174495"/>
    <w:rsid w:val="00174EE4"/>
    <w:rsid w:val="00175279"/>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7086"/>
    <w:rsid w:val="00211D60"/>
    <w:rsid w:val="0021501E"/>
    <w:rsid w:val="0021572A"/>
    <w:rsid w:val="002205C0"/>
    <w:rsid w:val="0022494A"/>
    <w:rsid w:val="00225507"/>
    <w:rsid w:val="0023373D"/>
    <w:rsid w:val="0023423C"/>
    <w:rsid w:val="00237F4F"/>
    <w:rsid w:val="0024112D"/>
    <w:rsid w:val="002428BA"/>
    <w:rsid w:val="00244177"/>
    <w:rsid w:val="00254477"/>
    <w:rsid w:val="00257337"/>
    <w:rsid w:val="002577FE"/>
    <w:rsid w:val="0025780C"/>
    <w:rsid w:val="002609D8"/>
    <w:rsid w:val="00262CBE"/>
    <w:rsid w:val="002646EF"/>
    <w:rsid w:val="00266AE6"/>
    <w:rsid w:val="00267C18"/>
    <w:rsid w:val="00273D0E"/>
    <w:rsid w:val="00280B8B"/>
    <w:rsid w:val="00282235"/>
    <w:rsid w:val="00292350"/>
    <w:rsid w:val="00292DC0"/>
    <w:rsid w:val="00297EF9"/>
    <w:rsid w:val="002A2034"/>
    <w:rsid w:val="002A24F4"/>
    <w:rsid w:val="002A38BF"/>
    <w:rsid w:val="002A597E"/>
    <w:rsid w:val="002B0FB9"/>
    <w:rsid w:val="002B4382"/>
    <w:rsid w:val="002B5DBD"/>
    <w:rsid w:val="002B72F9"/>
    <w:rsid w:val="002B7D92"/>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645D"/>
    <w:rsid w:val="00320A67"/>
    <w:rsid w:val="00324AC9"/>
    <w:rsid w:val="003272FB"/>
    <w:rsid w:val="00330857"/>
    <w:rsid w:val="00331499"/>
    <w:rsid w:val="0033580E"/>
    <w:rsid w:val="00337AFB"/>
    <w:rsid w:val="00343D1E"/>
    <w:rsid w:val="0035054D"/>
    <w:rsid w:val="00354258"/>
    <w:rsid w:val="00355593"/>
    <w:rsid w:val="00357E0E"/>
    <w:rsid w:val="00361B9C"/>
    <w:rsid w:val="00361D89"/>
    <w:rsid w:val="003672FB"/>
    <w:rsid w:val="00370588"/>
    <w:rsid w:val="00370797"/>
    <w:rsid w:val="003746C6"/>
    <w:rsid w:val="00375763"/>
    <w:rsid w:val="00375BEA"/>
    <w:rsid w:val="00376CEC"/>
    <w:rsid w:val="00380758"/>
    <w:rsid w:val="003810B1"/>
    <w:rsid w:val="003815E5"/>
    <w:rsid w:val="00381E2B"/>
    <w:rsid w:val="003838B4"/>
    <w:rsid w:val="00387929"/>
    <w:rsid w:val="00390988"/>
    <w:rsid w:val="00393D5B"/>
    <w:rsid w:val="0039460D"/>
    <w:rsid w:val="00394A1E"/>
    <w:rsid w:val="003968C7"/>
    <w:rsid w:val="003A2246"/>
    <w:rsid w:val="003A2658"/>
    <w:rsid w:val="003A61F9"/>
    <w:rsid w:val="003A6975"/>
    <w:rsid w:val="003B1E88"/>
    <w:rsid w:val="003B5E96"/>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59BB"/>
    <w:rsid w:val="004B5CCC"/>
    <w:rsid w:val="004C2845"/>
    <w:rsid w:val="004C7961"/>
    <w:rsid w:val="004D0658"/>
    <w:rsid w:val="004D08EB"/>
    <w:rsid w:val="004D39FE"/>
    <w:rsid w:val="004D3B15"/>
    <w:rsid w:val="004D54E3"/>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7065"/>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CE8"/>
    <w:rsid w:val="005662E2"/>
    <w:rsid w:val="005733EB"/>
    <w:rsid w:val="005734C5"/>
    <w:rsid w:val="0057453A"/>
    <w:rsid w:val="00576D51"/>
    <w:rsid w:val="0057792B"/>
    <w:rsid w:val="00580802"/>
    <w:rsid w:val="00581A22"/>
    <w:rsid w:val="005860CB"/>
    <w:rsid w:val="005918F3"/>
    <w:rsid w:val="00593E91"/>
    <w:rsid w:val="0059442D"/>
    <w:rsid w:val="00594D38"/>
    <w:rsid w:val="0059753D"/>
    <w:rsid w:val="005A0B49"/>
    <w:rsid w:val="005A1108"/>
    <w:rsid w:val="005A353A"/>
    <w:rsid w:val="005A4EBE"/>
    <w:rsid w:val="005A5C79"/>
    <w:rsid w:val="005A6D57"/>
    <w:rsid w:val="005A71FD"/>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E265D"/>
    <w:rsid w:val="005E3D7D"/>
    <w:rsid w:val="005E4D7C"/>
    <w:rsid w:val="005E5F6A"/>
    <w:rsid w:val="005F048E"/>
    <w:rsid w:val="005F2C76"/>
    <w:rsid w:val="005F57F0"/>
    <w:rsid w:val="00601010"/>
    <w:rsid w:val="006028C9"/>
    <w:rsid w:val="0060676C"/>
    <w:rsid w:val="0060721D"/>
    <w:rsid w:val="0061042F"/>
    <w:rsid w:val="006168E4"/>
    <w:rsid w:val="00621F47"/>
    <w:rsid w:val="0062497C"/>
    <w:rsid w:val="00625200"/>
    <w:rsid w:val="006255AA"/>
    <w:rsid w:val="00631806"/>
    <w:rsid w:val="00637512"/>
    <w:rsid w:val="00640EE4"/>
    <w:rsid w:val="006466F5"/>
    <w:rsid w:val="00646C24"/>
    <w:rsid w:val="00652BC5"/>
    <w:rsid w:val="00661753"/>
    <w:rsid w:val="0066216F"/>
    <w:rsid w:val="006654F6"/>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17FD"/>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2A03"/>
    <w:rsid w:val="00704EFD"/>
    <w:rsid w:val="007051A0"/>
    <w:rsid w:val="007078C8"/>
    <w:rsid w:val="00712E3A"/>
    <w:rsid w:val="00721506"/>
    <w:rsid w:val="007216DB"/>
    <w:rsid w:val="007246D3"/>
    <w:rsid w:val="00725F5A"/>
    <w:rsid w:val="007274EC"/>
    <w:rsid w:val="007404D5"/>
    <w:rsid w:val="00740BDD"/>
    <w:rsid w:val="00744287"/>
    <w:rsid w:val="00744EEF"/>
    <w:rsid w:val="00745D76"/>
    <w:rsid w:val="00747109"/>
    <w:rsid w:val="00747487"/>
    <w:rsid w:val="007505EB"/>
    <w:rsid w:val="00751B4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6EE9"/>
    <w:rsid w:val="00807750"/>
    <w:rsid w:val="00807E35"/>
    <w:rsid w:val="00811205"/>
    <w:rsid w:val="00812C48"/>
    <w:rsid w:val="008146F9"/>
    <w:rsid w:val="008218CD"/>
    <w:rsid w:val="00821AEB"/>
    <w:rsid w:val="00824DCD"/>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706B5"/>
    <w:rsid w:val="00972BDF"/>
    <w:rsid w:val="00973AFB"/>
    <w:rsid w:val="00973F49"/>
    <w:rsid w:val="0098182D"/>
    <w:rsid w:val="00982A98"/>
    <w:rsid w:val="009855E2"/>
    <w:rsid w:val="00987C03"/>
    <w:rsid w:val="00990E3D"/>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52F2"/>
    <w:rsid w:val="009F1118"/>
    <w:rsid w:val="009F25EB"/>
    <w:rsid w:val="009F3C1F"/>
    <w:rsid w:val="009F614E"/>
    <w:rsid w:val="009F762B"/>
    <w:rsid w:val="009F76BA"/>
    <w:rsid w:val="009F7E09"/>
    <w:rsid w:val="00A02047"/>
    <w:rsid w:val="00A035C0"/>
    <w:rsid w:val="00A036BE"/>
    <w:rsid w:val="00A0575E"/>
    <w:rsid w:val="00A068CE"/>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906"/>
    <w:rsid w:val="00AD1291"/>
    <w:rsid w:val="00AD134F"/>
    <w:rsid w:val="00AD1F40"/>
    <w:rsid w:val="00AD3428"/>
    <w:rsid w:val="00AD3AA2"/>
    <w:rsid w:val="00AD43B8"/>
    <w:rsid w:val="00AD4B1A"/>
    <w:rsid w:val="00AE008F"/>
    <w:rsid w:val="00AF0161"/>
    <w:rsid w:val="00AF2A1F"/>
    <w:rsid w:val="00AF2D9B"/>
    <w:rsid w:val="00B00628"/>
    <w:rsid w:val="00B0749B"/>
    <w:rsid w:val="00B10050"/>
    <w:rsid w:val="00B10A1E"/>
    <w:rsid w:val="00B11E08"/>
    <w:rsid w:val="00B12FF9"/>
    <w:rsid w:val="00B14039"/>
    <w:rsid w:val="00B149FA"/>
    <w:rsid w:val="00B22242"/>
    <w:rsid w:val="00B2330D"/>
    <w:rsid w:val="00B32CD3"/>
    <w:rsid w:val="00B34CED"/>
    <w:rsid w:val="00B35A93"/>
    <w:rsid w:val="00B3672D"/>
    <w:rsid w:val="00B433C9"/>
    <w:rsid w:val="00B437D8"/>
    <w:rsid w:val="00B46B42"/>
    <w:rsid w:val="00B4745C"/>
    <w:rsid w:val="00B52D3E"/>
    <w:rsid w:val="00B52E55"/>
    <w:rsid w:val="00B534F0"/>
    <w:rsid w:val="00B57980"/>
    <w:rsid w:val="00B601D4"/>
    <w:rsid w:val="00B60DA2"/>
    <w:rsid w:val="00B6166B"/>
    <w:rsid w:val="00B61955"/>
    <w:rsid w:val="00B63BC9"/>
    <w:rsid w:val="00B653BB"/>
    <w:rsid w:val="00B66E86"/>
    <w:rsid w:val="00B67A20"/>
    <w:rsid w:val="00B710FE"/>
    <w:rsid w:val="00B724E8"/>
    <w:rsid w:val="00B87D50"/>
    <w:rsid w:val="00B9223B"/>
    <w:rsid w:val="00B9509A"/>
    <w:rsid w:val="00B953BD"/>
    <w:rsid w:val="00B97421"/>
    <w:rsid w:val="00BA2A94"/>
    <w:rsid w:val="00BA4D1F"/>
    <w:rsid w:val="00BA5339"/>
    <w:rsid w:val="00BA7AD1"/>
    <w:rsid w:val="00BB2250"/>
    <w:rsid w:val="00BB3132"/>
    <w:rsid w:val="00BB5448"/>
    <w:rsid w:val="00BB721B"/>
    <w:rsid w:val="00BC0FDD"/>
    <w:rsid w:val="00BC22E0"/>
    <w:rsid w:val="00BC2A46"/>
    <w:rsid w:val="00BC3FA4"/>
    <w:rsid w:val="00BD004A"/>
    <w:rsid w:val="00BD352C"/>
    <w:rsid w:val="00BD5023"/>
    <w:rsid w:val="00BD5133"/>
    <w:rsid w:val="00BD58AB"/>
    <w:rsid w:val="00BE28ED"/>
    <w:rsid w:val="00C008B2"/>
    <w:rsid w:val="00C01ABC"/>
    <w:rsid w:val="00C01E1C"/>
    <w:rsid w:val="00C01F6B"/>
    <w:rsid w:val="00C12209"/>
    <w:rsid w:val="00C16927"/>
    <w:rsid w:val="00C2082E"/>
    <w:rsid w:val="00C24A09"/>
    <w:rsid w:val="00C25084"/>
    <w:rsid w:val="00C274BE"/>
    <w:rsid w:val="00C274C6"/>
    <w:rsid w:val="00C310B6"/>
    <w:rsid w:val="00C3330D"/>
    <w:rsid w:val="00C347FE"/>
    <w:rsid w:val="00C357BE"/>
    <w:rsid w:val="00C4006D"/>
    <w:rsid w:val="00C4530E"/>
    <w:rsid w:val="00C56C44"/>
    <w:rsid w:val="00C57028"/>
    <w:rsid w:val="00C572BB"/>
    <w:rsid w:val="00C604B3"/>
    <w:rsid w:val="00C6332C"/>
    <w:rsid w:val="00C6721D"/>
    <w:rsid w:val="00C677A9"/>
    <w:rsid w:val="00C71CD1"/>
    <w:rsid w:val="00C73143"/>
    <w:rsid w:val="00C77685"/>
    <w:rsid w:val="00C77815"/>
    <w:rsid w:val="00C77977"/>
    <w:rsid w:val="00C77ABA"/>
    <w:rsid w:val="00C8085F"/>
    <w:rsid w:val="00C821B6"/>
    <w:rsid w:val="00C85378"/>
    <w:rsid w:val="00C90BE5"/>
    <w:rsid w:val="00C91B10"/>
    <w:rsid w:val="00C925E0"/>
    <w:rsid w:val="00C9297C"/>
    <w:rsid w:val="00CA5334"/>
    <w:rsid w:val="00CA6FDA"/>
    <w:rsid w:val="00CB0886"/>
    <w:rsid w:val="00CB3B6F"/>
    <w:rsid w:val="00CC0C5F"/>
    <w:rsid w:val="00CC2F3D"/>
    <w:rsid w:val="00CC4CF6"/>
    <w:rsid w:val="00CC51A7"/>
    <w:rsid w:val="00CC5FF3"/>
    <w:rsid w:val="00CC6072"/>
    <w:rsid w:val="00CD1612"/>
    <w:rsid w:val="00CD365B"/>
    <w:rsid w:val="00CD4BFA"/>
    <w:rsid w:val="00CE0E72"/>
    <w:rsid w:val="00CE2ADF"/>
    <w:rsid w:val="00CE367D"/>
    <w:rsid w:val="00CF1C84"/>
    <w:rsid w:val="00CF1D7D"/>
    <w:rsid w:val="00CF45D3"/>
    <w:rsid w:val="00CF51F9"/>
    <w:rsid w:val="00CF6B6C"/>
    <w:rsid w:val="00CF7EA2"/>
    <w:rsid w:val="00D042BB"/>
    <w:rsid w:val="00D05FAE"/>
    <w:rsid w:val="00D06CA0"/>
    <w:rsid w:val="00D0731B"/>
    <w:rsid w:val="00D115BB"/>
    <w:rsid w:val="00D11797"/>
    <w:rsid w:val="00D12C68"/>
    <w:rsid w:val="00D134FB"/>
    <w:rsid w:val="00D14FEC"/>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6CC"/>
    <w:rsid w:val="00D81029"/>
    <w:rsid w:val="00D8195B"/>
    <w:rsid w:val="00D821F8"/>
    <w:rsid w:val="00D848F9"/>
    <w:rsid w:val="00D84DDC"/>
    <w:rsid w:val="00D85695"/>
    <w:rsid w:val="00D8619F"/>
    <w:rsid w:val="00D86764"/>
    <w:rsid w:val="00D870AC"/>
    <w:rsid w:val="00D90B92"/>
    <w:rsid w:val="00D95611"/>
    <w:rsid w:val="00DA0DF2"/>
    <w:rsid w:val="00DA1152"/>
    <w:rsid w:val="00DA1371"/>
    <w:rsid w:val="00DA41D7"/>
    <w:rsid w:val="00DA494B"/>
    <w:rsid w:val="00DA5B72"/>
    <w:rsid w:val="00DB5366"/>
    <w:rsid w:val="00DB5C0A"/>
    <w:rsid w:val="00DC0220"/>
    <w:rsid w:val="00DC6FF8"/>
    <w:rsid w:val="00DD13E2"/>
    <w:rsid w:val="00DE47A1"/>
    <w:rsid w:val="00DE7DCC"/>
    <w:rsid w:val="00DF003C"/>
    <w:rsid w:val="00DF137F"/>
    <w:rsid w:val="00DF4501"/>
    <w:rsid w:val="00DF5C75"/>
    <w:rsid w:val="00DF6971"/>
    <w:rsid w:val="00DF78AE"/>
    <w:rsid w:val="00E00E78"/>
    <w:rsid w:val="00E076C1"/>
    <w:rsid w:val="00E11E2E"/>
    <w:rsid w:val="00E13C83"/>
    <w:rsid w:val="00E15555"/>
    <w:rsid w:val="00E15B7D"/>
    <w:rsid w:val="00E2408E"/>
    <w:rsid w:val="00E27CDB"/>
    <w:rsid w:val="00E371EC"/>
    <w:rsid w:val="00E43116"/>
    <w:rsid w:val="00E444DA"/>
    <w:rsid w:val="00E51A48"/>
    <w:rsid w:val="00E550AA"/>
    <w:rsid w:val="00E571F8"/>
    <w:rsid w:val="00E64F0A"/>
    <w:rsid w:val="00E67668"/>
    <w:rsid w:val="00E70AEE"/>
    <w:rsid w:val="00E7107E"/>
    <w:rsid w:val="00E71C93"/>
    <w:rsid w:val="00E725D5"/>
    <w:rsid w:val="00E72AE3"/>
    <w:rsid w:val="00E73B51"/>
    <w:rsid w:val="00E8151C"/>
    <w:rsid w:val="00E81A88"/>
    <w:rsid w:val="00E81E9C"/>
    <w:rsid w:val="00E82E15"/>
    <w:rsid w:val="00E86FA6"/>
    <w:rsid w:val="00E936FF"/>
    <w:rsid w:val="00E939C8"/>
    <w:rsid w:val="00E93A33"/>
    <w:rsid w:val="00E93B6B"/>
    <w:rsid w:val="00EA1F89"/>
    <w:rsid w:val="00EA5177"/>
    <w:rsid w:val="00EB117B"/>
    <w:rsid w:val="00EB2BEB"/>
    <w:rsid w:val="00EB40D6"/>
    <w:rsid w:val="00EB4222"/>
    <w:rsid w:val="00EB5F75"/>
    <w:rsid w:val="00EB79CD"/>
    <w:rsid w:val="00ED5985"/>
    <w:rsid w:val="00EE0648"/>
    <w:rsid w:val="00EE0F2E"/>
    <w:rsid w:val="00EE1868"/>
    <w:rsid w:val="00EE2610"/>
    <w:rsid w:val="00EE2A41"/>
    <w:rsid w:val="00EE354B"/>
    <w:rsid w:val="00EE3C1D"/>
    <w:rsid w:val="00EE6EC2"/>
    <w:rsid w:val="00EF09FB"/>
    <w:rsid w:val="00EF102E"/>
    <w:rsid w:val="00EF1925"/>
    <w:rsid w:val="00EF2489"/>
    <w:rsid w:val="00EF697A"/>
    <w:rsid w:val="00F02923"/>
    <w:rsid w:val="00F0351B"/>
    <w:rsid w:val="00F06472"/>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6BC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
    <w:name w:val="Unresolved Mention"/>
    <w:basedOn w:val="Fuentedeprrafopredeter"/>
    <w:uiPriority w:val="99"/>
    <w:semiHidden/>
    <w:unhideWhenUsed/>
    <w:rsid w:val="00DA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5EC4-1F31-44E0-A41E-FD23AE7F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29</Pages>
  <Words>5175</Words>
  <Characters>28468</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70</cp:revision>
  <cp:lastPrinted>2019-11-07T00:56:00Z</cp:lastPrinted>
  <dcterms:created xsi:type="dcterms:W3CDTF">2021-11-21T15:50:00Z</dcterms:created>
  <dcterms:modified xsi:type="dcterms:W3CDTF">2022-06-28T21:28:00Z</dcterms:modified>
</cp:coreProperties>
</file>