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73F7F940" w14:textId="4364931A" w:rsidR="00662C69" w:rsidRPr="003A787D" w:rsidRDefault="009B11D6" w:rsidP="00B31E90">
      <w:pPr>
        <w:tabs>
          <w:tab w:val="left" w:pos="3465"/>
        </w:tabs>
        <w:spacing w:line="360" w:lineRule="auto"/>
        <w:jc w:val="both"/>
        <w:rPr>
          <w:rFonts w:ascii="Palatino Linotype" w:hAnsi="Palatino Linotype"/>
          <w:color w:val="000000" w:themeColor="text1"/>
        </w:rPr>
      </w:pPr>
      <w:bookmarkStart w:id="0" w:name="_GoBack"/>
      <w:bookmarkEnd w:id="0"/>
      <w:r w:rsidRPr="003A787D">
        <w:rPr>
          <w:rFonts w:ascii="Palatino Linotype" w:hAnsi="Palatino Linotype"/>
          <w:color w:val="000000" w:themeColor="text1"/>
        </w:rPr>
        <w:t>R</w:t>
      </w:r>
      <w:r w:rsidR="00662C69" w:rsidRPr="003A787D">
        <w:rPr>
          <w:rFonts w:ascii="Palatino Linotype" w:hAnsi="Palatino Linotype"/>
          <w:color w:val="000000" w:themeColor="text1"/>
        </w:rPr>
        <w:t>esolución del Pleno del Instituto de Transparencia, Acceso a la Información Pública y Protección de Datos Personales del Estado de México y Mun</w:t>
      </w:r>
      <w:r w:rsidR="000D5A1D" w:rsidRPr="003A787D">
        <w:rPr>
          <w:rFonts w:ascii="Palatino Linotype" w:hAnsi="Palatino Linotype"/>
          <w:color w:val="000000" w:themeColor="text1"/>
        </w:rPr>
        <w:t>icipios, con</w:t>
      </w:r>
      <w:r w:rsidR="00662C69" w:rsidRPr="003A787D">
        <w:rPr>
          <w:rFonts w:ascii="Palatino Linotype" w:hAnsi="Palatino Linotype"/>
          <w:color w:val="000000" w:themeColor="text1"/>
        </w:rPr>
        <w:t xml:space="preserve"> </w:t>
      </w:r>
      <w:r w:rsidR="00485DB6" w:rsidRPr="003A787D">
        <w:rPr>
          <w:rFonts w:ascii="Palatino Linotype" w:hAnsi="Palatino Linotype"/>
          <w:color w:val="000000" w:themeColor="text1"/>
        </w:rPr>
        <w:t xml:space="preserve">domicilio </w:t>
      </w:r>
      <w:r w:rsidR="00662C69" w:rsidRPr="003A787D">
        <w:rPr>
          <w:rFonts w:ascii="Palatino Linotype" w:hAnsi="Palatino Linotype"/>
          <w:color w:val="000000" w:themeColor="text1"/>
        </w:rPr>
        <w:t xml:space="preserve">en Metepec, Estado de México; de </w:t>
      </w:r>
      <w:r w:rsidR="005A179D" w:rsidRPr="003A787D">
        <w:rPr>
          <w:rFonts w:ascii="Palatino Linotype" w:hAnsi="Palatino Linotype"/>
          <w:color w:val="000000" w:themeColor="text1"/>
        </w:rPr>
        <w:t>once (11) de mayo</w:t>
      </w:r>
      <w:r w:rsidR="00270A67" w:rsidRPr="003A787D">
        <w:rPr>
          <w:rFonts w:ascii="Palatino Linotype" w:hAnsi="Palatino Linotype"/>
          <w:color w:val="000000" w:themeColor="text1"/>
        </w:rPr>
        <w:t xml:space="preserve"> de dos mil veintidós</w:t>
      </w:r>
      <w:r w:rsidR="00662C69" w:rsidRPr="003A787D">
        <w:rPr>
          <w:rFonts w:ascii="Palatino Linotype" w:hAnsi="Palatino Linotype"/>
          <w:color w:val="000000" w:themeColor="text1"/>
        </w:rPr>
        <w:t>.</w:t>
      </w:r>
    </w:p>
    <w:p w14:paraId="1181C59D" w14:textId="77777777" w:rsidR="00B31E90" w:rsidRPr="003A787D" w:rsidRDefault="00B31E90" w:rsidP="00B31E90">
      <w:pPr>
        <w:tabs>
          <w:tab w:val="left" w:pos="3465"/>
        </w:tabs>
        <w:spacing w:line="360" w:lineRule="auto"/>
        <w:jc w:val="both"/>
        <w:rPr>
          <w:rFonts w:ascii="Palatino Linotype" w:hAnsi="Palatino Linotype"/>
          <w:color w:val="000000" w:themeColor="text1"/>
        </w:rPr>
      </w:pPr>
    </w:p>
    <w:p w14:paraId="04F87235" w14:textId="4AEB2929" w:rsidR="005F0007" w:rsidRPr="003A787D" w:rsidRDefault="00662C69" w:rsidP="00B31E90">
      <w:pPr>
        <w:spacing w:line="360" w:lineRule="auto"/>
        <w:jc w:val="both"/>
        <w:rPr>
          <w:rFonts w:ascii="Palatino Linotype" w:eastAsia="Times New Roman" w:hAnsi="Palatino Linotype" w:cs="Times New Roman"/>
          <w:color w:val="000000" w:themeColor="text1"/>
        </w:rPr>
      </w:pPr>
      <w:r w:rsidRPr="003A787D">
        <w:rPr>
          <w:rFonts w:ascii="Palatino Linotype" w:hAnsi="Palatino Linotype"/>
          <w:b/>
          <w:color w:val="000000" w:themeColor="text1"/>
        </w:rPr>
        <w:t>VISTO</w:t>
      </w:r>
      <w:r w:rsidRPr="003A787D">
        <w:rPr>
          <w:rFonts w:ascii="Palatino Linotype" w:hAnsi="Palatino Linotype"/>
          <w:color w:val="000000" w:themeColor="text1"/>
        </w:rPr>
        <w:t xml:space="preserve"> el expediente electrónico for</w:t>
      </w:r>
      <w:r w:rsidR="00D37494" w:rsidRPr="003A787D">
        <w:rPr>
          <w:rFonts w:ascii="Palatino Linotype" w:hAnsi="Palatino Linotype"/>
          <w:color w:val="000000" w:themeColor="text1"/>
        </w:rPr>
        <w:t>mado con motivo del</w:t>
      </w:r>
      <w:r w:rsidRPr="003A787D">
        <w:rPr>
          <w:rFonts w:ascii="Palatino Linotype" w:hAnsi="Palatino Linotype"/>
          <w:color w:val="000000" w:themeColor="text1"/>
        </w:rPr>
        <w:t xml:space="preserve"> recurso de revisión </w:t>
      </w:r>
      <w:r w:rsidR="005A179D" w:rsidRPr="003A787D">
        <w:rPr>
          <w:rFonts w:ascii="Palatino Linotype" w:hAnsi="Palatino Linotype"/>
          <w:b/>
          <w:bCs/>
          <w:color w:val="000000" w:themeColor="text1"/>
        </w:rPr>
        <w:t>00978/INFOEM/IP/RR/2022</w:t>
      </w:r>
      <w:r w:rsidR="005F1362" w:rsidRPr="003A787D">
        <w:rPr>
          <w:rFonts w:ascii="Palatino Linotype" w:eastAsia="Times New Roman" w:hAnsi="Palatino Linotype" w:cs="Arial"/>
          <w:bCs/>
          <w:color w:val="000000" w:themeColor="text1"/>
        </w:rPr>
        <w:t xml:space="preserve">, </w:t>
      </w:r>
      <w:r w:rsidR="006B31E7" w:rsidRPr="003A787D">
        <w:rPr>
          <w:rFonts w:ascii="Palatino Linotype" w:eastAsia="Times New Roman" w:hAnsi="Palatino Linotype" w:cs="Times New Roman"/>
          <w:color w:val="000000" w:themeColor="text1"/>
        </w:rPr>
        <w:t>interpuesto por</w:t>
      </w:r>
      <w:r w:rsidR="0078249C" w:rsidRPr="003A787D">
        <w:rPr>
          <w:rFonts w:ascii="Palatino Linotype" w:eastAsia="Times New Roman" w:hAnsi="Palatino Linotype" w:cs="Times New Roman"/>
          <w:color w:val="000000" w:themeColor="text1"/>
        </w:rPr>
        <w:t xml:space="preserve"> </w:t>
      </w:r>
      <w:r w:rsidR="00F34AAE">
        <w:rPr>
          <w:rFonts w:ascii="Palatino Linotype" w:eastAsia="Times New Roman" w:hAnsi="Palatino Linotype" w:cs="Times New Roman"/>
          <w:b/>
          <w:bCs/>
          <w:iCs/>
          <w:color w:val="000000" w:themeColor="text1"/>
        </w:rPr>
        <w:t>XXXXX XXXX XXXXX</w:t>
      </w:r>
      <w:r w:rsidR="00E647FF" w:rsidRPr="003A787D">
        <w:rPr>
          <w:rFonts w:ascii="Palatino Linotype" w:eastAsia="Times New Roman" w:hAnsi="Palatino Linotype" w:cs="Times New Roman"/>
          <w:color w:val="000000" w:themeColor="text1"/>
        </w:rPr>
        <w:t>,</w:t>
      </w:r>
      <w:r w:rsidR="0078249C" w:rsidRPr="003A787D">
        <w:rPr>
          <w:rFonts w:ascii="Palatino Linotype" w:eastAsia="Times New Roman" w:hAnsi="Palatino Linotype" w:cs="Times New Roman"/>
          <w:color w:val="000000" w:themeColor="text1"/>
        </w:rPr>
        <w:t xml:space="preserve"> </w:t>
      </w:r>
      <w:r w:rsidR="002B4277" w:rsidRPr="003A787D">
        <w:rPr>
          <w:rFonts w:ascii="Palatino Linotype" w:eastAsia="Times New Roman" w:hAnsi="Palatino Linotype" w:cs="Times New Roman"/>
          <w:color w:val="000000" w:themeColor="text1"/>
        </w:rPr>
        <w:t>en</w:t>
      </w:r>
      <w:r w:rsidR="0078249C" w:rsidRPr="003A787D">
        <w:rPr>
          <w:rFonts w:ascii="Palatino Linotype" w:eastAsia="Times New Roman" w:hAnsi="Palatino Linotype" w:cs="Times New Roman"/>
          <w:color w:val="000000" w:themeColor="text1"/>
        </w:rPr>
        <w:t xml:space="preserve"> </w:t>
      </w:r>
      <w:r w:rsidR="00E647FF" w:rsidRPr="003A787D">
        <w:rPr>
          <w:rFonts w:ascii="Palatino Linotype" w:eastAsia="Times New Roman" w:hAnsi="Palatino Linotype" w:cs="Times New Roman"/>
          <w:color w:val="000000" w:themeColor="text1"/>
        </w:rPr>
        <w:t>lo</w:t>
      </w:r>
      <w:r w:rsidR="0078249C" w:rsidRPr="003A787D">
        <w:rPr>
          <w:rFonts w:ascii="Palatino Linotype" w:eastAsia="Times New Roman" w:hAnsi="Palatino Linotype" w:cs="Times New Roman"/>
          <w:color w:val="000000" w:themeColor="text1"/>
        </w:rPr>
        <w:t xml:space="preserve"> </w:t>
      </w:r>
      <w:r w:rsidR="00E647FF" w:rsidRPr="003A787D">
        <w:rPr>
          <w:rFonts w:ascii="Palatino Linotype" w:eastAsia="Times New Roman" w:hAnsi="Palatino Linotype" w:cs="Times New Roman"/>
          <w:color w:val="000000" w:themeColor="text1"/>
        </w:rPr>
        <w:t>sucesivo</w:t>
      </w:r>
      <w:r w:rsidR="002B4277" w:rsidRPr="003A787D">
        <w:rPr>
          <w:rFonts w:ascii="Palatino Linotype" w:eastAsia="Times New Roman" w:hAnsi="Palatino Linotype" w:cs="Times New Roman"/>
          <w:color w:val="000000" w:themeColor="text1"/>
        </w:rPr>
        <w:t>,</w:t>
      </w:r>
      <w:r w:rsidR="00396F5D" w:rsidRPr="003A787D">
        <w:rPr>
          <w:rFonts w:ascii="Palatino Linotype" w:eastAsia="Times New Roman" w:hAnsi="Palatino Linotype" w:cs="Times New Roman"/>
          <w:color w:val="000000" w:themeColor="text1"/>
        </w:rPr>
        <w:t xml:space="preserve"> </w:t>
      </w:r>
      <w:r w:rsidR="00AF31FE" w:rsidRPr="003A787D">
        <w:rPr>
          <w:rFonts w:ascii="Palatino Linotype" w:eastAsia="Times New Roman" w:hAnsi="Palatino Linotype" w:cs="Times New Roman"/>
          <w:color w:val="000000" w:themeColor="text1"/>
        </w:rPr>
        <w:t>el</w:t>
      </w:r>
      <w:r w:rsidR="002B4277" w:rsidRPr="003A787D">
        <w:rPr>
          <w:rFonts w:ascii="Palatino Linotype" w:eastAsia="Times New Roman" w:hAnsi="Palatino Linotype" w:cs="Times New Roman"/>
          <w:color w:val="000000" w:themeColor="text1"/>
        </w:rPr>
        <w:t xml:space="preserve"> </w:t>
      </w:r>
      <w:r w:rsidR="006B31E7" w:rsidRPr="003A787D">
        <w:rPr>
          <w:rFonts w:ascii="Palatino Linotype" w:eastAsia="Times New Roman" w:hAnsi="Palatino Linotype" w:cs="Times New Roman"/>
          <w:b/>
          <w:bCs/>
          <w:color w:val="000000" w:themeColor="text1"/>
        </w:rPr>
        <w:t>RECURRENTE</w:t>
      </w:r>
      <w:r w:rsidR="00E647FF" w:rsidRPr="003A787D">
        <w:rPr>
          <w:rFonts w:ascii="Palatino Linotype" w:eastAsia="Times New Roman" w:hAnsi="Palatino Linotype" w:cs="Arial"/>
          <w:color w:val="000000" w:themeColor="text1"/>
        </w:rPr>
        <w:t>;</w:t>
      </w:r>
      <w:r w:rsidR="005F1362" w:rsidRPr="003A787D">
        <w:rPr>
          <w:rFonts w:ascii="Palatino Linotype" w:eastAsia="Times New Roman" w:hAnsi="Palatino Linotype" w:cs="Arial"/>
          <w:color w:val="000000" w:themeColor="text1"/>
        </w:rPr>
        <w:t xml:space="preserve"> en contra de la respuesta del</w:t>
      </w:r>
      <w:r w:rsidR="002C1007" w:rsidRPr="003A787D">
        <w:rPr>
          <w:rFonts w:ascii="Palatino Linotype" w:eastAsia="Times New Roman" w:hAnsi="Palatino Linotype" w:cs="Arial"/>
          <w:color w:val="000000" w:themeColor="text1"/>
        </w:rPr>
        <w:t xml:space="preserve"> </w:t>
      </w:r>
      <w:r w:rsidR="005A179D" w:rsidRPr="003A787D">
        <w:rPr>
          <w:rFonts w:ascii="Palatino Linotype" w:eastAsia="Times New Roman" w:hAnsi="Palatino Linotype" w:cs="Arial"/>
          <w:b/>
          <w:color w:val="000000" w:themeColor="text1"/>
        </w:rPr>
        <w:t>Sistema Municipal para el Desarrollo Integral de la Familia de Tenancingo</w:t>
      </w:r>
      <w:r w:rsidR="009572EE" w:rsidRPr="003A787D">
        <w:rPr>
          <w:rFonts w:ascii="Palatino Linotype" w:eastAsia="Calibri" w:hAnsi="Palatino Linotype" w:cs="Arial"/>
          <w:color w:val="000000" w:themeColor="text1"/>
          <w:lang w:val="es-ES"/>
        </w:rPr>
        <w:t>,</w:t>
      </w:r>
      <w:r w:rsidR="005F1362" w:rsidRPr="003A787D">
        <w:rPr>
          <w:rFonts w:ascii="Palatino Linotype" w:eastAsia="Calibri" w:hAnsi="Palatino Linotype" w:cs="Arial"/>
          <w:color w:val="000000" w:themeColor="text1"/>
          <w:lang w:val="es-ES"/>
        </w:rPr>
        <w:t xml:space="preserve"> </w:t>
      </w:r>
      <w:r w:rsidR="005F1362" w:rsidRPr="003A787D">
        <w:rPr>
          <w:rFonts w:ascii="Palatino Linotype" w:eastAsia="Times New Roman" w:hAnsi="Palatino Linotype" w:cs="Times New Roman"/>
          <w:color w:val="000000" w:themeColor="text1"/>
        </w:rPr>
        <w:t xml:space="preserve">en </w:t>
      </w:r>
      <w:r w:rsidR="00C31E8F" w:rsidRPr="003A787D">
        <w:rPr>
          <w:rFonts w:ascii="Palatino Linotype" w:eastAsia="Times New Roman" w:hAnsi="Palatino Linotype" w:cs="Times New Roman"/>
          <w:color w:val="000000" w:themeColor="text1"/>
        </w:rPr>
        <w:t>adelante</w:t>
      </w:r>
      <w:r w:rsidR="005A179D" w:rsidRPr="003A787D">
        <w:rPr>
          <w:rFonts w:ascii="Palatino Linotype" w:eastAsia="Times New Roman" w:hAnsi="Palatino Linotype" w:cs="Times New Roman"/>
          <w:color w:val="000000" w:themeColor="text1"/>
        </w:rPr>
        <w:t>,</w:t>
      </w:r>
      <w:r w:rsidR="005F1362" w:rsidRPr="003A787D">
        <w:rPr>
          <w:rFonts w:ascii="Palatino Linotype" w:eastAsia="Times New Roman" w:hAnsi="Palatino Linotype" w:cs="Times New Roman"/>
          <w:color w:val="000000" w:themeColor="text1"/>
        </w:rPr>
        <w:t xml:space="preserve"> el</w:t>
      </w:r>
      <w:r w:rsidR="005F1362" w:rsidRPr="003A787D">
        <w:rPr>
          <w:rFonts w:ascii="Palatino Linotype" w:eastAsia="Times New Roman" w:hAnsi="Palatino Linotype" w:cs="Times New Roman"/>
          <w:b/>
          <w:color w:val="000000" w:themeColor="text1"/>
        </w:rPr>
        <w:t xml:space="preserve"> SUJETO OBLIGADO</w:t>
      </w:r>
      <w:r w:rsidR="005F1362" w:rsidRPr="003A787D">
        <w:rPr>
          <w:rFonts w:ascii="Palatino Linotype" w:eastAsia="Times New Roman" w:hAnsi="Palatino Linotype" w:cs="Times New Roman"/>
          <w:bCs/>
          <w:color w:val="000000" w:themeColor="text1"/>
        </w:rPr>
        <w:t>,</w:t>
      </w:r>
      <w:r w:rsidR="005F1362" w:rsidRPr="003A787D">
        <w:rPr>
          <w:rFonts w:ascii="Palatino Linotype" w:eastAsia="Times New Roman" w:hAnsi="Palatino Linotype" w:cs="Times New Roman"/>
          <w:b/>
          <w:color w:val="000000" w:themeColor="text1"/>
        </w:rPr>
        <w:t xml:space="preserve"> </w:t>
      </w:r>
      <w:r w:rsidR="005F1362" w:rsidRPr="003A787D">
        <w:rPr>
          <w:rFonts w:ascii="Palatino Linotype" w:eastAsia="Times New Roman" w:hAnsi="Palatino Linotype" w:cs="Times New Roman"/>
          <w:color w:val="000000" w:themeColor="text1"/>
        </w:rPr>
        <w:t>se procede a dictar la presente resolución, con base en los siguientes:</w:t>
      </w:r>
    </w:p>
    <w:p w14:paraId="11EE5310" w14:textId="77777777" w:rsidR="009A593A" w:rsidRPr="003A787D" w:rsidRDefault="009A593A" w:rsidP="00B31E90">
      <w:pPr>
        <w:spacing w:line="360" w:lineRule="auto"/>
        <w:jc w:val="both"/>
        <w:rPr>
          <w:rFonts w:ascii="Palatino Linotype" w:hAnsi="Palatino Linotype"/>
          <w:b/>
          <w:color w:val="000000" w:themeColor="text1"/>
        </w:rPr>
      </w:pPr>
    </w:p>
    <w:p w14:paraId="769E1410" w14:textId="5740327F" w:rsidR="00587366" w:rsidRPr="003A787D" w:rsidRDefault="00662C69" w:rsidP="00B31E90">
      <w:pPr>
        <w:pStyle w:val="Ttulo1"/>
        <w:spacing w:before="0" w:line="360" w:lineRule="auto"/>
        <w:jc w:val="center"/>
        <w:rPr>
          <w:b/>
          <w:color w:val="000000" w:themeColor="text1"/>
        </w:rPr>
      </w:pPr>
      <w:bookmarkStart w:id="1" w:name="_Toc461555884"/>
      <w:bookmarkStart w:id="2" w:name="_Toc466371847"/>
      <w:bookmarkStart w:id="3" w:name="_Toc96002399"/>
      <w:r w:rsidRPr="003A787D">
        <w:rPr>
          <w:b/>
          <w:color w:val="000000" w:themeColor="text1"/>
        </w:rPr>
        <w:t>ANTECEDENTES</w:t>
      </w:r>
      <w:bookmarkEnd w:id="1"/>
      <w:bookmarkEnd w:id="2"/>
      <w:bookmarkEnd w:id="3"/>
    </w:p>
    <w:p w14:paraId="5672105D" w14:textId="77777777" w:rsidR="00B31E90" w:rsidRPr="003A787D" w:rsidRDefault="00B31E90" w:rsidP="00B31E90">
      <w:pPr>
        <w:pStyle w:val="Prrafodelista"/>
        <w:tabs>
          <w:tab w:val="left" w:pos="426"/>
        </w:tabs>
        <w:spacing w:line="360" w:lineRule="auto"/>
        <w:ind w:left="0"/>
        <w:jc w:val="both"/>
        <w:rPr>
          <w:rFonts w:ascii="Palatino Linotype" w:eastAsia="Calibri" w:hAnsi="Palatino Linotype" w:cs="Arial"/>
          <w:color w:val="000000" w:themeColor="text1"/>
          <w:lang w:val="es-ES"/>
        </w:rPr>
      </w:pPr>
    </w:p>
    <w:p w14:paraId="402A4C0A" w14:textId="39DAB5E4" w:rsidR="00D9392E" w:rsidRPr="003A787D" w:rsidRDefault="005F0007" w:rsidP="00DA22D8">
      <w:pPr>
        <w:pStyle w:val="Prrafodelista"/>
        <w:numPr>
          <w:ilvl w:val="0"/>
          <w:numId w:val="1"/>
        </w:numPr>
        <w:tabs>
          <w:tab w:val="left" w:pos="426"/>
        </w:tabs>
        <w:spacing w:line="360" w:lineRule="auto"/>
        <w:jc w:val="both"/>
        <w:rPr>
          <w:rFonts w:ascii="Palatino Linotype" w:eastAsia="Calibri" w:hAnsi="Palatino Linotype" w:cs="Arial"/>
          <w:color w:val="000000" w:themeColor="text1"/>
          <w:lang w:val="es-ES"/>
        </w:rPr>
      </w:pPr>
      <w:r w:rsidRPr="003A787D">
        <w:rPr>
          <w:rFonts w:ascii="Palatino Linotype" w:eastAsia="Calibri" w:hAnsi="Palatino Linotype" w:cs="Arial"/>
          <w:color w:val="000000" w:themeColor="text1"/>
          <w:lang w:val="es-ES"/>
        </w:rPr>
        <w:t>El</w:t>
      </w:r>
      <w:r w:rsidR="00D9392E" w:rsidRPr="003A787D">
        <w:rPr>
          <w:rFonts w:ascii="Palatino Linotype" w:eastAsia="Calibri" w:hAnsi="Palatino Linotype" w:cs="Arial"/>
          <w:color w:val="000000" w:themeColor="text1"/>
          <w:lang w:val="es-ES"/>
        </w:rPr>
        <w:t xml:space="preserve"> </w:t>
      </w:r>
      <w:r w:rsidR="00597651" w:rsidRPr="003A787D">
        <w:rPr>
          <w:rFonts w:ascii="Palatino Linotype" w:eastAsia="Calibri" w:hAnsi="Palatino Linotype" w:cs="Arial"/>
          <w:color w:val="000000" w:themeColor="text1"/>
          <w:lang w:val="es-ES"/>
        </w:rPr>
        <w:t>treinta y uno (31</w:t>
      </w:r>
      <w:r w:rsidR="00AF31FE" w:rsidRPr="003A787D">
        <w:rPr>
          <w:rFonts w:ascii="Palatino Linotype" w:eastAsia="Calibri" w:hAnsi="Palatino Linotype" w:cs="Arial"/>
          <w:color w:val="000000" w:themeColor="text1"/>
          <w:lang w:val="es-ES"/>
        </w:rPr>
        <w:t>) de enero de dos mil veintidós</w:t>
      </w:r>
      <w:r w:rsidR="005F1362" w:rsidRPr="003A787D">
        <w:rPr>
          <w:rFonts w:ascii="Palatino Linotype" w:eastAsia="Calibri" w:hAnsi="Palatino Linotype" w:cs="Arial"/>
          <w:color w:val="000000" w:themeColor="text1"/>
          <w:lang w:val="es-ES"/>
        </w:rPr>
        <w:t xml:space="preserve">, </w:t>
      </w:r>
      <w:r w:rsidR="00396F5D" w:rsidRPr="003A787D">
        <w:rPr>
          <w:rFonts w:ascii="Palatino Linotype" w:hAnsi="Palatino Linotype"/>
          <w:color w:val="000000" w:themeColor="text1"/>
        </w:rPr>
        <w:t>se</w:t>
      </w:r>
      <w:r w:rsidR="005F1362" w:rsidRPr="003A787D">
        <w:rPr>
          <w:rFonts w:ascii="Palatino Linotype" w:hAnsi="Palatino Linotype"/>
          <w:color w:val="000000" w:themeColor="text1"/>
        </w:rPr>
        <w:t xml:space="preserve"> presentó</w:t>
      </w:r>
      <w:r w:rsidR="002B4277" w:rsidRPr="003A787D">
        <w:rPr>
          <w:rFonts w:ascii="Palatino Linotype" w:hAnsi="Palatino Linotype"/>
          <w:color w:val="000000" w:themeColor="text1"/>
        </w:rPr>
        <w:t xml:space="preserve"> a través de</w:t>
      </w:r>
      <w:r w:rsidR="00AF31FE" w:rsidRPr="003A787D">
        <w:rPr>
          <w:rFonts w:ascii="Palatino Linotype" w:hAnsi="Palatino Linotype"/>
          <w:color w:val="000000" w:themeColor="text1"/>
        </w:rPr>
        <w:t xml:space="preserve"> </w:t>
      </w:r>
      <w:r w:rsidR="002B4277" w:rsidRPr="003A787D">
        <w:rPr>
          <w:rFonts w:ascii="Palatino Linotype" w:hAnsi="Palatino Linotype"/>
          <w:color w:val="000000" w:themeColor="text1"/>
        </w:rPr>
        <w:t>l</w:t>
      </w:r>
      <w:r w:rsidR="00AF31FE" w:rsidRPr="003A787D">
        <w:rPr>
          <w:rFonts w:ascii="Palatino Linotype" w:hAnsi="Palatino Linotype"/>
          <w:color w:val="000000" w:themeColor="text1"/>
        </w:rPr>
        <w:t>a Plataforma Nacional de Transparencia (PNT), vinculada al</w:t>
      </w:r>
      <w:r w:rsidR="002B4277" w:rsidRPr="003A787D">
        <w:rPr>
          <w:rFonts w:ascii="Palatino Linotype" w:hAnsi="Palatino Linotype"/>
          <w:color w:val="000000" w:themeColor="text1"/>
        </w:rPr>
        <w:t xml:space="preserve"> Sistema de Acceso a la Información Mexiquense</w:t>
      </w:r>
      <w:r w:rsidR="005F1362" w:rsidRPr="003A787D">
        <w:rPr>
          <w:rFonts w:ascii="Palatino Linotype" w:hAnsi="Palatino Linotype"/>
          <w:color w:val="000000" w:themeColor="text1"/>
        </w:rPr>
        <w:t xml:space="preserve"> </w:t>
      </w:r>
      <w:r w:rsidR="002B4277" w:rsidRPr="003A787D">
        <w:rPr>
          <w:rFonts w:ascii="Palatino Linotype" w:hAnsi="Palatino Linotype"/>
          <w:color w:val="000000" w:themeColor="text1"/>
        </w:rPr>
        <w:t>(</w:t>
      </w:r>
      <w:r w:rsidR="00396F5D" w:rsidRPr="003A787D">
        <w:rPr>
          <w:rFonts w:ascii="Palatino Linotype" w:hAnsi="Palatino Linotype"/>
          <w:bCs/>
          <w:color w:val="000000" w:themeColor="text1"/>
        </w:rPr>
        <w:t>SAIMEX</w:t>
      </w:r>
      <w:r w:rsidR="002B4277" w:rsidRPr="003A787D">
        <w:rPr>
          <w:rFonts w:ascii="Palatino Linotype" w:hAnsi="Palatino Linotype"/>
          <w:bCs/>
          <w:color w:val="000000" w:themeColor="text1"/>
        </w:rPr>
        <w:t>)</w:t>
      </w:r>
      <w:r w:rsidR="00AF31FE" w:rsidRPr="003A787D">
        <w:rPr>
          <w:rFonts w:ascii="Palatino Linotype" w:hAnsi="Palatino Linotype"/>
          <w:bCs/>
          <w:color w:val="000000" w:themeColor="text1"/>
        </w:rPr>
        <w:t>,</w:t>
      </w:r>
      <w:r w:rsidR="005F1362" w:rsidRPr="003A787D">
        <w:rPr>
          <w:rFonts w:ascii="Palatino Linotype" w:eastAsia="Calibri" w:hAnsi="Palatino Linotype" w:cs="Arial"/>
          <w:color w:val="000000" w:themeColor="text1"/>
          <w:lang w:val="es-ES"/>
        </w:rPr>
        <w:t xml:space="preserve"> la solicitud de información pública registrada con el número</w:t>
      </w:r>
      <w:r w:rsidR="005F1362" w:rsidRPr="003A787D">
        <w:rPr>
          <w:rFonts w:ascii="Palatino Linotype" w:hAnsi="Palatino Linotype"/>
          <w:b/>
          <w:bCs/>
          <w:color w:val="000000" w:themeColor="text1"/>
        </w:rPr>
        <w:t xml:space="preserve"> </w:t>
      </w:r>
      <w:r w:rsidR="005A179D" w:rsidRPr="003A787D">
        <w:rPr>
          <w:rFonts w:ascii="Palatino Linotype" w:hAnsi="Palatino Linotype"/>
          <w:b/>
          <w:bCs/>
          <w:color w:val="000000" w:themeColor="text1"/>
        </w:rPr>
        <w:t>00002/DIFTENANCI/IP/2022</w:t>
      </w:r>
      <w:r w:rsidR="005F1362" w:rsidRPr="003A787D">
        <w:rPr>
          <w:rFonts w:ascii="Palatino Linotype" w:hAnsi="Palatino Linotype"/>
          <w:b/>
          <w:bCs/>
          <w:color w:val="000000" w:themeColor="text1"/>
        </w:rPr>
        <w:t>,</w:t>
      </w:r>
      <w:r w:rsidR="005F1362" w:rsidRPr="003A787D">
        <w:rPr>
          <w:rFonts w:ascii="Palatino Linotype" w:eastAsia="Calibri" w:hAnsi="Palatino Linotype" w:cs="Arial"/>
          <w:color w:val="000000" w:themeColor="text1"/>
          <w:lang w:val="es-ES"/>
        </w:rPr>
        <w:t xml:space="preserve"> mediante la cual </w:t>
      </w:r>
      <w:r w:rsidR="00396F5D" w:rsidRPr="003A787D">
        <w:rPr>
          <w:rFonts w:ascii="Palatino Linotype" w:eastAsia="Calibri" w:hAnsi="Palatino Linotype" w:cs="Arial"/>
          <w:color w:val="000000" w:themeColor="text1"/>
          <w:lang w:val="es-ES"/>
        </w:rPr>
        <w:t xml:space="preserve">se </w:t>
      </w:r>
      <w:r w:rsidR="005F1362" w:rsidRPr="003A787D">
        <w:rPr>
          <w:rFonts w:ascii="Palatino Linotype" w:eastAsia="Calibri" w:hAnsi="Palatino Linotype" w:cs="Arial"/>
          <w:color w:val="000000" w:themeColor="text1"/>
          <w:lang w:val="es-ES"/>
        </w:rPr>
        <w:t>requirió</w:t>
      </w:r>
      <w:r w:rsidR="00022D89" w:rsidRPr="003A787D">
        <w:rPr>
          <w:rFonts w:ascii="Palatino Linotype" w:eastAsia="Calibri" w:hAnsi="Palatino Linotype" w:cs="Arial"/>
          <w:color w:val="000000" w:themeColor="text1"/>
          <w:lang w:val="es-ES"/>
        </w:rPr>
        <w:t xml:space="preserve"> lo siguiente</w:t>
      </w:r>
      <w:r w:rsidR="005F1362" w:rsidRPr="003A787D">
        <w:rPr>
          <w:rFonts w:ascii="Palatino Linotype" w:eastAsia="Calibri" w:hAnsi="Palatino Linotype" w:cs="Arial"/>
          <w:color w:val="000000" w:themeColor="text1"/>
          <w:lang w:val="es-ES"/>
        </w:rPr>
        <w:t>:</w:t>
      </w:r>
    </w:p>
    <w:p w14:paraId="76EB7490" w14:textId="77777777" w:rsidR="00B31E90" w:rsidRPr="003A787D" w:rsidRDefault="00B31E90" w:rsidP="00B31E90">
      <w:pPr>
        <w:pStyle w:val="Prrafodelista"/>
        <w:spacing w:line="276" w:lineRule="auto"/>
        <w:ind w:left="567" w:right="567"/>
        <w:jc w:val="both"/>
        <w:rPr>
          <w:rFonts w:ascii="Palatino Linotype" w:hAnsi="Palatino Linotype"/>
          <w:i/>
          <w:color w:val="000000" w:themeColor="text1"/>
          <w:sz w:val="22"/>
          <w:szCs w:val="22"/>
        </w:rPr>
      </w:pPr>
    </w:p>
    <w:p w14:paraId="2A565C82" w14:textId="77777777" w:rsidR="005A179D" w:rsidRPr="003A787D" w:rsidRDefault="005F1362" w:rsidP="005A179D">
      <w:pPr>
        <w:pStyle w:val="Prrafodelista"/>
        <w:spacing w:line="276" w:lineRule="auto"/>
        <w:ind w:left="567" w:right="567"/>
        <w:jc w:val="both"/>
        <w:rPr>
          <w:rFonts w:ascii="Palatino Linotype" w:hAnsi="Palatino Linotype"/>
          <w:i/>
          <w:color w:val="000000" w:themeColor="text1"/>
          <w:sz w:val="22"/>
          <w:szCs w:val="22"/>
        </w:rPr>
      </w:pPr>
      <w:r w:rsidRPr="003A787D">
        <w:rPr>
          <w:rFonts w:ascii="Palatino Linotype" w:hAnsi="Palatino Linotype"/>
          <w:i/>
          <w:color w:val="000000" w:themeColor="text1"/>
          <w:sz w:val="22"/>
          <w:szCs w:val="22"/>
        </w:rPr>
        <w:t>“</w:t>
      </w:r>
      <w:r w:rsidR="005A179D" w:rsidRPr="003A787D">
        <w:rPr>
          <w:rFonts w:ascii="Palatino Linotype" w:hAnsi="Palatino Linotype"/>
          <w:i/>
          <w:color w:val="000000" w:themeColor="text1"/>
          <w:sz w:val="22"/>
          <w:szCs w:val="22"/>
        </w:rPr>
        <w:t xml:space="preserve">Solicito Obtener la opinión de cumplimiento proporcionada directamente por el ente fiscalizador hacia los ayuntamientos y sus descentralizadas (DIF, Sistema de agua, Instituto de la mujer, casa de la cultura, </w:t>
      </w:r>
      <w:proofErr w:type="spellStart"/>
      <w:r w:rsidR="005A179D" w:rsidRPr="003A787D">
        <w:rPr>
          <w:rFonts w:ascii="Palatino Linotype" w:hAnsi="Palatino Linotype"/>
          <w:i/>
          <w:color w:val="000000" w:themeColor="text1"/>
          <w:sz w:val="22"/>
          <w:szCs w:val="22"/>
        </w:rPr>
        <w:t>etc</w:t>
      </w:r>
      <w:proofErr w:type="spellEnd"/>
      <w:r w:rsidR="005A179D" w:rsidRPr="003A787D">
        <w:rPr>
          <w:rFonts w:ascii="Palatino Linotype" w:hAnsi="Palatino Linotype"/>
          <w:i/>
          <w:color w:val="000000" w:themeColor="text1"/>
          <w:sz w:val="22"/>
          <w:szCs w:val="22"/>
        </w:rPr>
        <w:t xml:space="preserve">): SAT, IMSS, INFONAVIT y SATEM, cada uno en sus respectivos ámbitos y generada x el mismo ente obligado; ya que los reportes fiscales los baja la persona autorizada por el ente obligado con la clave CIEC tratándose del ISR salarios y asimilados y/o asalariados. Se solicita lo siguiente: </w:t>
      </w:r>
    </w:p>
    <w:p w14:paraId="624C8734" w14:textId="77777777" w:rsidR="005A179D" w:rsidRPr="003A787D" w:rsidRDefault="005A179D" w:rsidP="005A179D">
      <w:pPr>
        <w:pStyle w:val="Prrafodelista"/>
        <w:spacing w:line="276" w:lineRule="auto"/>
        <w:ind w:left="567" w:right="567"/>
        <w:jc w:val="both"/>
        <w:rPr>
          <w:rFonts w:ascii="Palatino Linotype" w:hAnsi="Palatino Linotype"/>
          <w:i/>
          <w:color w:val="000000" w:themeColor="text1"/>
          <w:sz w:val="22"/>
          <w:szCs w:val="22"/>
        </w:rPr>
      </w:pPr>
      <w:r w:rsidRPr="003A787D">
        <w:rPr>
          <w:rFonts w:ascii="Palatino Linotype" w:hAnsi="Palatino Linotype"/>
          <w:i/>
          <w:color w:val="000000" w:themeColor="text1"/>
          <w:sz w:val="22"/>
          <w:szCs w:val="22"/>
        </w:rPr>
        <w:t xml:space="preserve">I. Reportes del aplicativo “Visor de nómina del SAT” por los años 2018, 2019, 2020, y 2021 en sus tres presentaciones: </w:t>
      </w:r>
    </w:p>
    <w:p w14:paraId="6D8CD361" w14:textId="77777777" w:rsidR="005A179D" w:rsidRPr="003A787D" w:rsidRDefault="005A179D" w:rsidP="005A179D">
      <w:pPr>
        <w:pStyle w:val="Prrafodelista"/>
        <w:spacing w:line="276" w:lineRule="auto"/>
        <w:ind w:left="567" w:right="567"/>
        <w:jc w:val="both"/>
        <w:rPr>
          <w:rFonts w:ascii="Palatino Linotype" w:hAnsi="Palatino Linotype"/>
          <w:i/>
          <w:color w:val="000000" w:themeColor="text1"/>
          <w:sz w:val="22"/>
          <w:szCs w:val="22"/>
        </w:rPr>
      </w:pPr>
      <w:r w:rsidRPr="003A787D">
        <w:rPr>
          <w:rFonts w:ascii="Palatino Linotype" w:hAnsi="Palatino Linotype"/>
          <w:i/>
          <w:color w:val="000000" w:themeColor="text1"/>
          <w:sz w:val="22"/>
          <w:szCs w:val="22"/>
        </w:rPr>
        <w:t xml:space="preserve">a) Vista anual acumulada. </w:t>
      </w:r>
    </w:p>
    <w:p w14:paraId="737C88D5" w14:textId="77777777" w:rsidR="005A179D" w:rsidRPr="003A787D" w:rsidRDefault="005A179D" w:rsidP="005A179D">
      <w:pPr>
        <w:pStyle w:val="Prrafodelista"/>
        <w:spacing w:line="276" w:lineRule="auto"/>
        <w:ind w:left="567" w:right="567"/>
        <w:jc w:val="both"/>
        <w:rPr>
          <w:rFonts w:ascii="Palatino Linotype" w:hAnsi="Palatino Linotype"/>
          <w:i/>
          <w:color w:val="000000" w:themeColor="text1"/>
          <w:sz w:val="22"/>
          <w:szCs w:val="22"/>
        </w:rPr>
      </w:pPr>
      <w:r w:rsidRPr="003A787D">
        <w:rPr>
          <w:rFonts w:ascii="Palatino Linotype" w:hAnsi="Palatino Linotype"/>
          <w:i/>
          <w:color w:val="000000" w:themeColor="text1"/>
          <w:sz w:val="22"/>
          <w:szCs w:val="22"/>
        </w:rPr>
        <w:t xml:space="preserve">b) Detalle mensual. </w:t>
      </w:r>
    </w:p>
    <w:p w14:paraId="37469254" w14:textId="77777777" w:rsidR="005A179D" w:rsidRPr="003A787D" w:rsidRDefault="005A179D" w:rsidP="005A179D">
      <w:pPr>
        <w:pStyle w:val="Prrafodelista"/>
        <w:spacing w:line="276" w:lineRule="auto"/>
        <w:ind w:left="567" w:right="567"/>
        <w:jc w:val="both"/>
        <w:rPr>
          <w:rFonts w:ascii="Palatino Linotype" w:hAnsi="Palatino Linotype"/>
          <w:i/>
          <w:color w:val="000000" w:themeColor="text1"/>
          <w:sz w:val="22"/>
          <w:szCs w:val="22"/>
        </w:rPr>
      </w:pPr>
      <w:r w:rsidRPr="003A787D">
        <w:rPr>
          <w:rFonts w:ascii="Palatino Linotype" w:hAnsi="Palatino Linotype"/>
          <w:i/>
          <w:color w:val="000000" w:themeColor="text1"/>
          <w:sz w:val="22"/>
          <w:szCs w:val="22"/>
        </w:rPr>
        <w:lastRenderedPageBreak/>
        <w:t xml:space="preserve">c) Detalle diferencias sueldos y salarios. </w:t>
      </w:r>
    </w:p>
    <w:p w14:paraId="24B28EB2" w14:textId="77777777" w:rsidR="005A179D" w:rsidRPr="003A787D" w:rsidRDefault="005A179D" w:rsidP="005A179D">
      <w:pPr>
        <w:pStyle w:val="Prrafodelista"/>
        <w:spacing w:line="276" w:lineRule="auto"/>
        <w:ind w:left="567" w:right="567"/>
        <w:jc w:val="both"/>
        <w:rPr>
          <w:rFonts w:ascii="Palatino Linotype" w:hAnsi="Palatino Linotype"/>
          <w:i/>
          <w:color w:val="000000" w:themeColor="text1"/>
          <w:sz w:val="22"/>
          <w:szCs w:val="22"/>
        </w:rPr>
      </w:pPr>
      <w:r w:rsidRPr="003A787D">
        <w:rPr>
          <w:rFonts w:ascii="Palatino Linotype" w:hAnsi="Palatino Linotype"/>
          <w:i/>
          <w:color w:val="000000" w:themeColor="text1"/>
          <w:sz w:val="22"/>
          <w:szCs w:val="22"/>
        </w:rPr>
        <w:t xml:space="preserve">II. La constancia de situación fiscal de no adeudo emitida por el INFONAVIT, generada desde el portal empresarial de esa Institución, a través de internet. </w:t>
      </w:r>
    </w:p>
    <w:p w14:paraId="66B2E8B8" w14:textId="77777777" w:rsidR="005A179D" w:rsidRPr="003A787D" w:rsidRDefault="005A179D" w:rsidP="005A179D">
      <w:pPr>
        <w:pStyle w:val="Prrafodelista"/>
        <w:spacing w:line="276" w:lineRule="auto"/>
        <w:ind w:left="567" w:right="567"/>
        <w:jc w:val="both"/>
        <w:rPr>
          <w:rFonts w:ascii="Palatino Linotype" w:hAnsi="Palatino Linotype"/>
          <w:i/>
          <w:color w:val="000000" w:themeColor="text1"/>
          <w:sz w:val="22"/>
          <w:szCs w:val="22"/>
        </w:rPr>
      </w:pPr>
      <w:r w:rsidRPr="003A787D">
        <w:rPr>
          <w:rFonts w:ascii="Palatino Linotype" w:hAnsi="Palatino Linotype"/>
          <w:i/>
          <w:color w:val="000000" w:themeColor="text1"/>
          <w:sz w:val="22"/>
          <w:szCs w:val="22"/>
        </w:rPr>
        <w:t xml:space="preserve">III. La opinión de no adeudo en el cumplimiento de obligaciones fiscales en materia de seguridad social emitida x el IMSS, generada desde el portal de esa Institución, a través de internet. </w:t>
      </w:r>
    </w:p>
    <w:p w14:paraId="4E5E2D08" w14:textId="77777777" w:rsidR="005A179D" w:rsidRPr="003A787D" w:rsidRDefault="005A179D" w:rsidP="005A179D">
      <w:pPr>
        <w:pStyle w:val="Prrafodelista"/>
        <w:spacing w:line="276" w:lineRule="auto"/>
        <w:ind w:left="567" w:right="567"/>
        <w:jc w:val="both"/>
        <w:rPr>
          <w:rFonts w:ascii="Palatino Linotype" w:hAnsi="Palatino Linotype"/>
          <w:i/>
          <w:color w:val="000000" w:themeColor="text1"/>
          <w:sz w:val="22"/>
          <w:szCs w:val="22"/>
        </w:rPr>
      </w:pPr>
      <w:r w:rsidRPr="003A787D">
        <w:rPr>
          <w:rFonts w:ascii="Palatino Linotype" w:hAnsi="Palatino Linotype"/>
          <w:i/>
          <w:color w:val="000000" w:themeColor="text1"/>
          <w:sz w:val="22"/>
          <w:szCs w:val="22"/>
        </w:rPr>
        <w:t xml:space="preserve">IV. La opinión de no adeudo en el cumplimiento de obligaciones fiscales estatales emitida por el SATEM, generada desde el portal de esa Institución, a través de internet. </w:t>
      </w:r>
    </w:p>
    <w:p w14:paraId="272AA294" w14:textId="77777777" w:rsidR="005A179D" w:rsidRPr="003A787D" w:rsidRDefault="005A179D" w:rsidP="005A179D">
      <w:pPr>
        <w:pStyle w:val="Prrafodelista"/>
        <w:spacing w:line="276" w:lineRule="auto"/>
        <w:ind w:left="567" w:right="567"/>
        <w:jc w:val="both"/>
        <w:rPr>
          <w:rFonts w:ascii="Palatino Linotype" w:hAnsi="Palatino Linotype"/>
          <w:i/>
          <w:color w:val="000000" w:themeColor="text1"/>
          <w:sz w:val="22"/>
          <w:szCs w:val="22"/>
        </w:rPr>
      </w:pPr>
      <w:r w:rsidRPr="003A787D">
        <w:rPr>
          <w:rFonts w:ascii="Palatino Linotype" w:hAnsi="Palatino Linotype"/>
          <w:i/>
          <w:color w:val="000000" w:themeColor="text1"/>
          <w:sz w:val="22"/>
          <w:szCs w:val="22"/>
        </w:rPr>
        <w:t xml:space="preserve">V. Un papel de trabajo por el municipio, y otro por cada una de sus descentralizadas que contenga los datos para identificar el ISR participable recuperado por cada mes desde Enero de 2019 hasta Octubre de 2021. Propongo un papel de trabajo con los siguientes encabezados: </w:t>
      </w:r>
    </w:p>
    <w:p w14:paraId="3EA22F85" w14:textId="77777777" w:rsidR="005A179D" w:rsidRPr="003A787D" w:rsidRDefault="005A179D" w:rsidP="005A179D">
      <w:pPr>
        <w:pStyle w:val="Prrafodelista"/>
        <w:spacing w:line="276" w:lineRule="auto"/>
        <w:ind w:left="567" w:right="567"/>
        <w:jc w:val="both"/>
        <w:rPr>
          <w:rFonts w:ascii="Palatino Linotype" w:hAnsi="Palatino Linotype"/>
          <w:i/>
          <w:color w:val="000000" w:themeColor="text1"/>
          <w:sz w:val="22"/>
          <w:szCs w:val="22"/>
        </w:rPr>
      </w:pPr>
      <w:r w:rsidRPr="003A787D">
        <w:rPr>
          <w:rFonts w:ascii="Palatino Linotype" w:hAnsi="Palatino Linotype"/>
          <w:i/>
          <w:color w:val="000000" w:themeColor="text1"/>
          <w:sz w:val="22"/>
          <w:szCs w:val="22"/>
        </w:rPr>
        <w:t xml:space="preserve">A) En la columna A “Mes”. </w:t>
      </w:r>
    </w:p>
    <w:p w14:paraId="4EB55F34" w14:textId="77777777" w:rsidR="005A179D" w:rsidRPr="003A787D" w:rsidRDefault="005A179D" w:rsidP="005A179D">
      <w:pPr>
        <w:pStyle w:val="Prrafodelista"/>
        <w:spacing w:line="276" w:lineRule="auto"/>
        <w:ind w:left="567" w:right="567"/>
        <w:jc w:val="both"/>
        <w:rPr>
          <w:rFonts w:ascii="Palatino Linotype" w:hAnsi="Palatino Linotype"/>
          <w:i/>
          <w:color w:val="000000" w:themeColor="text1"/>
          <w:sz w:val="22"/>
          <w:szCs w:val="22"/>
        </w:rPr>
      </w:pPr>
      <w:r w:rsidRPr="003A787D">
        <w:rPr>
          <w:rFonts w:ascii="Palatino Linotype" w:hAnsi="Palatino Linotype"/>
          <w:i/>
          <w:color w:val="000000" w:themeColor="text1"/>
          <w:sz w:val="22"/>
          <w:szCs w:val="22"/>
        </w:rPr>
        <w:t xml:space="preserve">B) En la columna B “Año”. </w:t>
      </w:r>
    </w:p>
    <w:p w14:paraId="3B9B5709" w14:textId="77777777" w:rsidR="005A179D" w:rsidRPr="003A787D" w:rsidRDefault="005A179D" w:rsidP="005A179D">
      <w:pPr>
        <w:pStyle w:val="Prrafodelista"/>
        <w:spacing w:line="276" w:lineRule="auto"/>
        <w:ind w:left="567" w:right="567"/>
        <w:jc w:val="both"/>
        <w:rPr>
          <w:rFonts w:ascii="Palatino Linotype" w:hAnsi="Palatino Linotype"/>
          <w:i/>
          <w:color w:val="000000" w:themeColor="text1"/>
          <w:sz w:val="22"/>
          <w:szCs w:val="22"/>
        </w:rPr>
      </w:pPr>
      <w:r w:rsidRPr="003A787D">
        <w:rPr>
          <w:rFonts w:ascii="Palatino Linotype" w:hAnsi="Palatino Linotype"/>
          <w:i/>
          <w:color w:val="000000" w:themeColor="text1"/>
          <w:sz w:val="22"/>
          <w:szCs w:val="22"/>
        </w:rPr>
        <w:t xml:space="preserve">C) En la columna C “ISR salarios retenido”. </w:t>
      </w:r>
    </w:p>
    <w:p w14:paraId="6E0C9037" w14:textId="77777777" w:rsidR="005A179D" w:rsidRPr="003A787D" w:rsidRDefault="005A179D" w:rsidP="005A179D">
      <w:pPr>
        <w:pStyle w:val="Prrafodelista"/>
        <w:spacing w:line="276" w:lineRule="auto"/>
        <w:ind w:left="567" w:right="567"/>
        <w:jc w:val="both"/>
        <w:rPr>
          <w:rFonts w:ascii="Palatino Linotype" w:hAnsi="Palatino Linotype"/>
          <w:i/>
          <w:color w:val="000000" w:themeColor="text1"/>
          <w:sz w:val="22"/>
          <w:szCs w:val="22"/>
        </w:rPr>
      </w:pPr>
      <w:r w:rsidRPr="003A787D">
        <w:rPr>
          <w:rFonts w:ascii="Palatino Linotype" w:hAnsi="Palatino Linotype"/>
          <w:i/>
          <w:color w:val="000000" w:themeColor="text1"/>
          <w:sz w:val="22"/>
          <w:szCs w:val="22"/>
        </w:rPr>
        <w:t xml:space="preserve">D) En la columna D “ISR salarios enterado”. </w:t>
      </w:r>
    </w:p>
    <w:p w14:paraId="34B6EF12" w14:textId="77777777" w:rsidR="005A179D" w:rsidRPr="003A787D" w:rsidRDefault="005A179D" w:rsidP="005A179D">
      <w:pPr>
        <w:pStyle w:val="Prrafodelista"/>
        <w:spacing w:line="276" w:lineRule="auto"/>
        <w:ind w:left="567" w:right="567"/>
        <w:jc w:val="both"/>
        <w:rPr>
          <w:rFonts w:ascii="Palatino Linotype" w:hAnsi="Palatino Linotype"/>
          <w:i/>
          <w:color w:val="000000" w:themeColor="text1"/>
          <w:sz w:val="22"/>
          <w:szCs w:val="22"/>
        </w:rPr>
      </w:pPr>
      <w:r w:rsidRPr="003A787D">
        <w:rPr>
          <w:rFonts w:ascii="Palatino Linotype" w:hAnsi="Palatino Linotype"/>
          <w:i/>
          <w:color w:val="000000" w:themeColor="text1"/>
          <w:sz w:val="22"/>
          <w:szCs w:val="22"/>
        </w:rPr>
        <w:t xml:space="preserve">E) En la columna E “ISR asimilados retenido”. </w:t>
      </w:r>
    </w:p>
    <w:p w14:paraId="7ED4FDFB" w14:textId="77777777" w:rsidR="005A179D" w:rsidRPr="003A787D" w:rsidRDefault="005A179D" w:rsidP="005A179D">
      <w:pPr>
        <w:pStyle w:val="Prrafodelista"/>
        <w:spacing w:line="276" w:lineRule="auto"/>
        <w:ind w:left="567" w:right="567"/>
        <w:jc w:val="both"/>
        <w:rPr>
          <w:rFonts w:ascii="Palatino Linotype" w:hAnsi="Palatino Linotype"/>
          <w:i/>
          <w:color w:val="000000" w:themeColor="text1"/>
          <w:sz w:val="22"/>
          <w:szCs w:val="22"/>
        </w:rPr>
      </w:pPr>
      <w:r w:rsidRPr="003A787D">
        <w:rPr>
          <w:rFonts w:ascii="Palatino Linotype" w:hAnsi="Palatino Linotype"/>
          <w:i/>
          <w:color w:val="000000" w:themeColor="text1"/>
          <w:sz w:val="22"/>
          <w:szCs w:val="22"/>
        </w:rPr>
        <w:t xml:space="preserve">F) En la columna F “ISR asimilados enterado”. </w:t>
      </w:r>
    </w:p>
    <w:p w14:paraId="14AE2E49" w14:textId="77777777" w:rsidR="005A179D" w:rsidRPr="003A787D" w:rsidRDefault="005A179D" w:rsidP="005A179D">
      <w:pPr>
        <w:pStyle w:val="Prrafodelista"/>
        <w:spacing w:line="276" w:lineRule="auto"/>
        <w:ind w:left="567" w:right="567"/>
        <w:jc w:val="both"/>
        <w:rPr>
          <w:rFonts w:ascii="Palatino Linotype" w:hAnsi="Palatino Linotype"/>
          <w:i/>
          <w:color w:val="000000" w:themeColor="text1"/>
          <w:sz w:val="22"/>
          <w:szCs w:val="22"/>
        </w:rPr>
      </w:pPr>
      <w:r w:rsidRPr="003A787D">
        <w:rPr>
          <w:rFonts w:ascii="Palatino Linotype" w:hAnsi="Palatino Linotype"/>
          <w:i/>
          <w:color w:val="000000" w:themeColor="text1"/>
          <w:sz w:val="22"/>
          <w:szCs w:val="22"/>
        </w:rPr>
        <w:t xml:space="preserve">G) En la columna G “ISR honorarios y arrendamiento retenido”. </w:t>
      </w:r>
    </w:p>
    <w:p w14:paraId="1F0916E7" w14:textId="77777777" w:rsidR="005A179D" w:rsidRPr="003A787D" w:rsidRDefault="005A179D" w:rsidP="005A179D">
      <w:pPr>
        <w:pStyle w:val="Prrafodelista"/>
        <w:spacing w:line="276" w:lineRule="auto"/>
        <w:ind w:left="567" w:right="567"/>
        <w:jc w:val="both"/>
        <w:rPr>
          <w:rFonts w:ascii="Palatino Linotype" w:hAnsi="Palatino Linotype"/>
          <w:i/>
          <w:color w:val="000000" w:themeColor="text1"/>
          <w:sz w:val="22"/>
          <w:szCs w:val="22"/>
        </w:rPr>
      </w:pPr>
      <w:r w:rsidRPr="003A787D">
        <w:rPr>
          <w:rFonts w:ascii="Palatino Linotype" w:hAnsi="Palatino Linotype"/>
          <w:i/>
          <w:color w:val="000000" w:themeColor="text1"/>
          <w:sz w:val="22"/>
          <w:szCs w:val="22"/>
        </w:rPr>
        <w:t xml:space="preserve">H) En la columna H “ISR honorarios y arrendamiento enterado”. </w:t>
      </w:r>
    </w:p>
    <w:p w14:paraId="7F3121AB" w14:textId="77777777" w:rsidR="005A179D" w:rsidRPr="003A787D" w:rsidRDefault="005A179D" w:rsidP="005A179D">
      <w:pPr>
        <w:pStyle w:val="Prrafodelista"/>
        <w:spacing w:line="276" w:lineRule="auto"/>
        <w:ind w:left="567" w:right="567"/>
        <w:jc w:val="both"/>
        <w:rPr>
          <w:rFonts w:ascii="Palatino Linotype" w:hAnsi="Palatino Linotype"/>
          <w:i/>
          <w:color w:val="000000" w:themeColor="text1"/>
          <w:sz w:val="22"/>
          <w:szCs w:val="22"/>
        </w:rPr>
      </w:pPr>
      <w:r w:rsidRPr="003A787D">
        <w:rPr>
          <w:rFonts w:ascii="Palatino Linotype" w:hAnsi="Palatino Linotype"/>
          <w:i/>
          <w:color w:val="000000" w:themeColor="text1"/>
          <w:sz w:val="22"/>
          <w:szCs w:val="22"/>
        </w:rPr>
        <w:t xml:space="preserve">I) En la columna I “ISR participable recuperado a valor histórico”. </w:t>
      </w:r>
    </w:p>
    <w:p w14:paraId="77527991" w14:textId="77777777" w:rsidR="005A179D" w:rsidRPr="003A787D" w:rsidRDefault="005A179D" w:rsidP="005A179D">
      <w:pPr>
        <w:pStyle w:val="Prrafodelista"/>
        <w:spacing w:line="276" w:lineRule="auto"/>
        <w:ind w:left="567" w:right="567"/>
        <w:jc w:val="both"/>
        <w:rPr>
          <w:rFonts w:ascii="Palatino Linotype" w:hAnsi="Palatino Linotype"/>
          <w:i/>
          <w:color w:val="000000" w:themeColor="text1"/>
          <w:sz w:val="22"/>
          <w:szCs w:val="22"/>
        </w:rPr>
      </w:pPr>
      <w:r w:rsidRPr="003A787D">
        <w:rPr>
          <w:rFonts w:ascii="Palatino Linotype" w:hAnsi="Palatino Linotype"/>
          <w:i/>
          <w:color w:val="000000" w:themeColor="text1"/>
          <w:sz w:val="22"/>
          <w:szCs w:val="22"/>
        </w:rPr>
        <w:t xml:space="preserve">J) En la columna J “Subsidio para el empleo entregado en el mes al trabajador”. </w:t>
      </w:r>
    </w:p>
    <w:p w14:paraId="77338B48" w14:textId="77777777" w:rsidR="005A179D" w:rsidRPr="003A787D" w:rsidRDefault="005A179D" w:rsidP="005A179D">
      <w:pPr>
        <w:pStyle w:val="Prrafodelista"/>
        <w:spacing w:line="276" w:lineRule="auto"/>
        <w:ind w:left="567" w:right="567"/>
        <w:jc w:val="both"/>
        <w:rPr>
          <w:rFonts w:ascii="Palatino Linotype" w:hAnsi="Palatino Linotype"/>
          <w:i/>
          <w:color w:val="000000" w:themeColor="text1"/>
          <w:sz w:val="22"/>
          <w:szCs w:val="22"/>
        </w:rPr>
      </w:pPr>
      <w:r w:rsidRPr="003A787D">
        <w:rPr>
          <w:rFonts w:ascii="Palatino Linotype" w:hAnsi="Palatino Linotype"/>
          <w:i/>
          <w:color w:val="000000" w:themeColor="text1"/>
          <w:sz w:val="22"/>
          <w:szCs w:val="22"/>
        </w:rPr>
        <w:t xml:space="preserve">K) En la columna K “Subsidio para el empleo acreditado en el mes contra las contribuciones que proceda”. </w:t>
      </w:r>
    </w:p>
    <w:p w14:paraId="51096BD3" w14:textId="77777777" w:rsidR="005A179D" w:rsidRPr="003A787D" w:rsidRDefault="005A179D" w:rsidP="005A179D">
      <w:pPr>
        <w:pStyle w:val="Prrafodelista"/>
        <w:spacing w:line="276" w:lineRule="auto"/>
        <w:ind w:left="567" w:right="567"/>
        <w:jc w:val="both"/>
        <w:rPr>
          <w:rFonts w:ascii="Palatino Linotype" w:hAnsi="Palatino Linotype"/>
          <w:i/>
          <w:color w:val="000000" w:themeColor="text1"/>
          <w:sz w:val="22"/>
          <w:szCs w:val="22"/>
        </w:rPr>
      </w:pPr>
      <w:r w:rsidRPr="003A787D">
        <w:rPr>
          <w:rFonts w:ascii="Palatino Linotype" w:hAnsi="Palatino Linotype"/>
          <w:i/>
          <w:color w:val="000000" w:themeColor="text1"/>
          <w:sz w:val="22"/>
          <w:szCs w:val="22"/>
        </w:rPr>
        <w:t xml:space="preserve">En las filas correspondientes a cada mes, capturar la información de ese periodo. Al calce del papel de trabajo, el monto del ISR participable que no se ha podido recuperar, separando el monto que está pendiente de solicitar, del monto que se solicitó y no se recuperó. </w:t>
      </w:r>
    </w:p>
    <w:p w14:paraId="00A8C9DA" w14:textId="77777777" w:rsidR="005A179D" w:rsidRPr="003A787D" w:rsidRDefault="005A179D" w:rsidP="005A179D">
      <w:pPr>
        <w:pStyle w:val="Prrafodelista"/>
        <w:spacing w:line="276" w:lineRule="auto"/>
        <w:ind w:left="567" w:right="567"/>
        <w:jc w:val="both"/>
        <w:rPr>
          <w:rFonts w:ascii="Palatino Linotype" w:hAnsi="Palatino Linotype"/>
          <w:i/>
          <w:color w:val="000000" w:themeColor="text1"/>
          <w:sz w:val="22"/>
          <w:szCs w:val="22"/>
        </w:rPr>
      </w:pPr>
      <w:r w:rsidRPr="003A787D">
        <w:rPr>
          <w:rFonts w:ascii="Palatino Linotype" w:hAnsi="Palatino Linotype"/>
          <w:i/>
          <w:color w:val="000000" w:themeColor="text1"/>
          <w:sz w:val="22"/>
          <w:szCs w:val="22"/>
        </w:rPr>
        <w:t xml:space="preserve">VI. Para comprobar que los trabajadores no están siendo afectados x errores en el cálculo de sus impuestos (No tienen diferencias a cargo, ni diferencias a favor en su declaración anual precargada), propongo q seleccionen al azar 5 muestras del ayuntamiento y tres muestras de cada descentralizada. A cada uno de los trabajadores seleccionados el personal responsable del municipio y/o de las descentralizadas, les calcularán el impuesto anual por los años 2017, 2018, 2019, y 2020, con base en los datos precargados en el </w:t>
      </w:r>
      <w:r w:rsidRPr="003A787D">
        <w:rPr>
          <w:rFonts w:ascii="Palatino Linotype" w:hAnsi="Palatino Linotype"/>
          <w:i/>
          <w:color w:val="000000" w:themeColor="text1"/>
          <w:sz w:val="22"/>
          <w:szCs w:val="22"/>
        </w:rPr>
        <w:lastRenderedPageBreak/>
        <w:t xml:space="preserve">expediente fiscal del trabajador. Para guardar la confidencialidad, a </w:t>
      </w:r>
      <w:proofErr w:type="spellStart"/>
      <w:r w:rsidRPr="003A787D">
        <w:rPr>
          <w:rFonts w:ascii="Palatino Linotype" w:hAnsi="Palatino Linotype"/>
          <w:i/>
          <w:color w:val="000000" w:themeColor="text1"/>
          <w:sz w:val="22"/>
          <w:szCs w:val="22"/>
        </w:rPr>
        <w:t>mi</w:t>
      </w:r>
      <w:proofErr w:type="spellEnd"/>
      <w:r w:rsidRPr="003A787D">
        <w:rPr>
          <w:rFonts w:ascii="Palatino Linotype" w:hAnsi="Palatino Linotype"/>
          <w:i/>
          <w:color w:val="000000" w:themeColor="text1"/>
          <w:sz w:val="22"/>
          <w:szCs w:val="22"/>
        </w:rPr>
        <w:t xml:space="preserve"> solo me entregarán un papel de trabajo con los siguientes encabezados: </w:t>
      </w:r>
    </w:p>
    <w:p w14:paraId="4C24EA51" w14:textId="77777777" w:rsidR="005A179D" w:rsidRPr="003A787D" w:rsidRDefault="005A179D" w:rsidP="005A179D">
      <w:pPr>
        <w:pStyle w:val="Prrafodelista"/>
        <w:spacing w:line="276" w:lineRule="auto"/>
        <w:ind w:left="567" w:right="567"/>
        <w:jc w:val="both"/>
        <w:rPr>
          <w:rFonts w:ascii="Palatino Linotype" w:hAnsi="Palatino Linotype"/>
          <w:i/>
          <w:color w:val="000000" w:themeColor="text1"/>
          <w:sz w:val="22"/>
          <w:szCs w:val="22"/>
        </w:rPr>
      </w:pPr>
      <w:r w:rsidRPr="003A787D">
        <w:rPr>
          <w:rFonts w:ascii="Palatino Linotype" w:hAnsi="Palatino Linotype"/>
          <w:i/>
          <w:color w:val="000000" w:themeColor="text1"/>
          <w:sz w:val="22"/>
          <w:szCs w:val="22"/>
        </w:rPr>
        <w:t xml:space="preserve">A) En la columna A “Nombre del trabajador”, pudiendo identificarlos como: trabajador 1, trabajador 2, trabajador 3 </w:t>
      </w:r>
    </w:p>
    <w:p w14:paraId="47938F97" w14:textId="77777777" w:rsidR="005A179D" w:rsidRPr="003A787D" w:rsidRDefault="005A179D" w:rsidP="005A179D">
      <w:pPr>
        <w:pStyle w:val="Prrafodelista"/>
        <w:spacing w:line="276" w:lineRule="auto"/>
        <w:ind w:left="567" w:right="567"/>
        <w:jc w:val="both"/>
        <w:rPr>
          <w:rFonts w:ascii="Palatino Linotype" w:hAnsi="Palatino Linotype"/>
          <w:i/>
          <w:color w:val="000000" w:themeColor="text1"/>
          <w:sz w:val="22"/>
          <w:szCs w:val="22"/>
        </w:rPr>
      </w:pPr>
      <w:r w:rsidRPr="003A787D">
        <w:rPr>
          <w:rFonts w:ascii="Palatino Linotype" w:hAnsi="Palatino Linotype"/>
          <w:i/>
          <w:color w:val="000000" w:themeColor="text1"/>
          <w:sz w:val="22"/>
          <w:szCs w:val="22"/>
        </w:rPr>
        <w:t xml:space="preserve">B) En la columna B “Año”. </w:t>
      </w:r>
    </w:p>
    <w:p w14:paraId="124F97EA" w14:textId="77777777" w:rsidR="005A179D" w:rsidRPr="003A787D" w:rsidRDefault="005A179D" w:rsidP="005A179D">
      <w:pPr>
        <w:pStyle w:val="Prrafodelista"/>
        <w:spacing w:line="276" w:lineRule="auto"/>
        <w:ind w:left="567" w:right="567"/>
        <w:jc w:val="both"/>
        <w:rPr>
          <w:rFonts w:ascii="Palatino Linotype" w:hAnsi="Palatino Linotype"/>
          <w:i/>
          <w:color w:val="000000" w:themeColor="text1"/>
          <w:sz w:val="22"/>
          <w:szCs w:val="22"/>
        </w:rPr>
      </w:pPr>
      <w:r w:rsidRPr="003A787D">
        <w:rPr>
          <w:rFonts w:ascii="Palatino Linotype" w:hAnsi="Palatino Linotype"/>
          <w:i/>
          <w:color w:val="000000" w:themeColor="text1"/>
          <w:sz w:val="22"/>
          <w:szCs w:val="22"/>
        </w:rPr>
        <w:t xml:space="preserve">C) En la columna C “Saldo a favor de ISR”. </w:t>
      </w:r>
    </w:p>
    <w:p w14:paraId="5DE0A85A" w14:textId="77777777" w:rsidR="005A179D" w:rsidRPr="003A787D" w:rsidRDefault="005A179D" w:rsidP="005A179D">
      <w:pPr>
        <w:pStyle w:val="Prrafodelista"/>
        <w:spacing w:line="276" w:lineRule="auto"/>
        <w:ind w:left="567" w:right="567"/>
        <w:jc w:val="both"/>
        <w:rPr>
          <w:rFonts w:ascii="Palatino Linotype" w:hAnsi="Palatino Linotype"/>
          <w:i/>
          <w:color w:val="000000" w:themeColor="text1"/>
          <w:sz w:val="22"/>
          <w:szCs w:val="22"/>
        </w:rPr>
      </w:pPr>
      <w:r w:rsidRPr="003A787D">
        <w:rPr>
          <w:rFonts w:ascii="Palatino Linotype" w:hAnsi="Palatino Linotype"/>
          <w:i/>
          <w:color w:val="000000" w:themeColor="text1"/>
          <w:sz w:val="22"/>
          <w:szCs w:val="22"/>
        </w:rPr>
        <w:t xml:space="preserve">D) En la columna D “Saldo a cargo en el ISR”. </w:t>
      </w:r>
    </w:p>
    <w:p w14:paraId="605C5067" w14:textId="6DE6F269" w:rsidR="0097210F" w:rsidRPr="003A787D" w:rsidRDefault="005A179D" w:rsidP="005A179D">
      <w:pPr>
        <w:pStyle w:val="Prrafodelista"/>
        <w:spacing w:line="276" w:lineRule="auto"/>
        <w:ind w:left="567" w:right="567"/>
        <w:jc w:val="both"/>
        <w:rPr>
          <w:rFonts w:ascii="Palatino Linotype" w:hAnsi="Palatino Linotype"/>
          <w:color w:val="000000" w:themeColor="text1"/>
          <w:sz w:val="22"/>
          <w:szCs w:val="22"/>
        </w:rPr>
      </w:pPr>
      <w:r w:rsidRPr="003A787D">
        <w:rPr>
          <w:rFonts w:ascii="Palatino Linotype" w:hAnsi="Palatino Linotype"/>
          <w:i/>
          <w:color w:val="000000" w:themeColor="text1"/>
          <w:sz w:val="22"/>
          <w:szCs w:val="22"/>
        </w:rPr>
        <w:t>E) En la columna E “Diferencia 0 en el ISR”. En las filas se captura la información que corresponda a los resultados de cada trabajador. Si fuera el caso que los trabajadores de la muestra no laboraron para el ayuntamiento o para las descentralizada durante los 4 años, solamente se captura la información de los años que si hayan trabajado.</w:t>
      </w:r>
      <w:r w:rsidR="005F1362" w:rsidRPr="003A787D">
        <w:rPr>
          <w:rFonts w:ascii="Palatino Linotype" w:hAnsi="Palatino Linotype"/>
          <w:i/>
          <w:color w:val="000000" w:themeColor="text1"/>
          <w:sz w:val="22"/>
          <w:szCs w:val="22"/>
        </w:rPr>
        <w:t xml:space="preserve">” </w:t>
      </w:r>
      <w:r w:rsidR="005F1362" w:rsidRPr="003A787D">
        <w:rPr>
          <w:rFonts w:ascii="Palatino Linotype" w:hAnsi="Palatino Linotype"/>
          <w:color w:val="000000" w:themeColor="text1"/>
          <w:sz w:val="22"/>
          <w:szCs w:val="22"/>
        </w:rPr>
        <w:t>(Sic).</w:t>
      </w:r>
    </w:p>
    <w:p w14:paraId="274D9F5E" w14:textId="363206FE" w:rsidR="00921DA5" w:rsidRPr="003A787D" w:rsidRDefault="00921DA5" w:rsidP="00597651">
      <w:pPr>
        <w:pStyle w:val="Prrafodelista"/>
        <w:spacing w:line="276" w:lineRule="auto"/>
        <w:ind w:left="567" w:right="567"/>
        <w:jc w:val="both"/>
        <w:rPr>
          <w:rFonts w:ascii="Palatino Linotype" w:hAnsi="Palatino Linotype"/>
          <w:i/>
          <w:color w:val="000000" w:themeColor="text1"/>
          <w:szCs w:val="22"/>
        </w:rPr>
      </w:pPr>
      <w:r w:rsidRPr="003A787D">
        <w:rPr>
          <w:rFonts w:ascii="Palatino Linotype" w:hAnsi="Palatino Linotype"/>
          <w:color w:val="000000" w:themeColor="text1"/>
          <w:sz w:val="22"/>
          <w:szCs w:val="22"/>
        </w:rPr>
        <w:t>(Énfasis añadido)</w:t>
      </w:r>
    </w:p>
    <w:p w14:paraId="65A03C8D" w14:textId="77777777" w:rsidR="005F1362" w:rsidRPr="003A787D" w:rsidRDefault="005F1362" w:rsidP="00B31E90">
      <w:pPr>
        <w:spacing w:line="360" w:lineRule="auto"/>
        <w:ind w:right="333"/>
        <w:jc w:val="both"/>
        <w:rPr>
          <w:rFonts w:ascii="Palatino Linotype" w:hAnsi="Palatino Linotype"/>
          <w:color w:val="000000" w:themeColor="text1"/>
        </w:rPr>
      </w:pPr>
    </w:p>
    <w:p w14:paraId="0C884EAC" w14:textId="751B480D" w:rsidR="005A179D" w:rsidRPr="003A787D" w:rsidRDefault="005A179D" w:rsidP="00DA22D8">
      <w:pPr>
        <w:pStyle w:val="Prrafodelista"/>
        <w:numPr>
          <w:ilvl w:val="0"/>
          <w:numId w:val="1"/>
        </w:numPr>
        <w:tabs>
          <w:tab w:val="left" w:pos="426"/>
        </w:tabs>
        <w:spacing w:line="360" w:lineRule="auto"/>
        <w:jc w:val="both"/>
        <w:rPr>
          <w:rFonts w:ascii="Palatino Linotype" w:eastAsia="MS Mincho" w:hAnsi="Palatino Linotype" w:cs="Times New Roman"/>
          <w:color w:val="000000" w:themeColor="text1"/>
        </w:rPr>
      </w:pPr>
      <w:r w:rsidRPr="003A787D">
        <w:rPr>
          <w:rFonts w:ascii="Palatino Linotype" w:hAnsi="Palatino Linotype" w:cs="Arial"/>
          <w:color w:val="000000" w:themeColor="text1"/>
        </w:rPr>
        <w:t xml:space="preserve">Por su parte, dentro del apartado denominado </w:t>
      </w:r>
      <w:r w:rsidR="001E6495" w:rsidRPr="003A787D">
        <w:rPr>
          <w:rFonts w:ascii="Palatino Linotype" w:hAnsi="Palatino Linotype" w:cs="Arial"/>
          <w:i/>
          <w:iCs/>
          <w:color w:val="000000" w:themeColor="text1"/>
        </w:rPr>
        <w:t>“</w:t>
      </w:r>
      <w:r w:rsidR="001E6495" w:rsidRPr="003A787D">
        <w:rPr>
          <w:rFonts w:ascii="Palatino Linotype" w:hAnsi="Palatino Linotype" w:cs="Arial"/>
          <w:b/>
          <w:bCs/>
          <w:i/>
          <w:iCs/>
          <w:color w:val="000000" w:themeColor="text1"/>
        </w:rPr>
        <w:t>Cualquier otro detalle que facilite la búsqueda de la información”</w:t>
      </w:r>
      <w:r w:rsidR="001E6495" w:rsidRPr="003A787D">
        <w:rPr>
          <w:rFonts w:ascii="Palatino Linotype" w:hAnsi="Palatino Linotype" w:cs="Arial"/>
          <w:color w:val="000000" w:themeColor="text1"/>
        </w:rPr>
        <w:t>, el particular refirió lo siguiente:</w:t>
      </w:r>
    </w:p>
    <w:p w14:paraId="25C68ECE" w14:textId="32A80858" w:rsidR="005A179D" w:rsidRPr="003A787D" w:rsidRDefault="005A179D" w:rsidP="005A179D">
      <w:pPr>
        <w:pStyle w:val="Prrafodelista"/>
        <w:tabs>
          <w:tab w:val="left" w:pos="426"/>
        </w:tabs>
        <w:spacing w:line="360" w:lineRule="auto"/>
        <w:ind w:left="0"/>
        <w:jc w:val="both"/>
        <w:rPr>
          <w:rFonts w:ascii="Palatino Linotype" w:eastAsia="MS Mincho" w:hAnsi="Palatino Linotype" w:cs="Times New Roman"/>
          <w:color w:val="000000" w:themeColor="text1"/>
        </w:rPr>
      </w:pPr>
    </w:p>
    <w:p w14:paraId="7354E7EA" w14:textId="1F317639" w:rsidR="001E6495" w:rsidRPr="003A787D" w:rsidRDefault="001E6495" w:rsidP="001E6495">
      <w:pPr>
        <w:pStyle w:val="Prrafodelista"/>
        <w:tabs>
          <w:tab w:val="left" w:pos="426"/>
        </w:tabs>
        <w:spacing w:line="276" w:lineRule="auto"/>
        <w:ind w:left="567" w:right="567"/>
        <w:jc w:val="both"/>
        <w:rPr>
          <w:rFonts w:ascii="Palatino Linotype" w:eastAsia="MS Mincho" w:hAnsi="Palatino Linotype" w:cs="Times New Roman"/>
          <w:color w:val="000000" w:themeColor="text1"/>
          <w:sz w:val="22"/>
          <w:szCs w:val="22"/>
        </w:rPr>
      </w:pPr>
      <w:r w:rsidRPr="003A787D">
        <w:rPr>
          <w:rFonts w:ascii="Palatino Linotype" w:eastAsia="MS Mincho" w:hAnsi="Palatino Linotype" w:cs="Times New Roman"/>
          <w:i/>
          <w:iCs/>
          <w:color w:val="000000" w:themeColor="text1"/>
          <w:sz w:val="22"/>
          <w:szCs w:val="22"/>
        </w:rPr>
        <w:t xml:space="preserve">“Con su tesorero(a) del ayuntamiento, con sus asesores financieros, con sus contadores de las descentralizadas del ayuntamiento, con su titular de recursos humanos y con su </w:t>
      </w:r>
      <w:proofErr w:type="spellStart"/>
      <w:r w:rsidRPr="003A787D">
        <w:rPr>
          <w:rFonts w:ascii="Palatino Linotype" w:eastAsia="MS Mincho" w:hAnsi="Palatino Linotype" w:cs="Times New Roman"/>
          <w:i/>
          <w:iCs/>
          <w:color w:val="000000" w:themeColor="text1"/>
          <w:sz w:val="22"/>
          <w:szCs w:val="22"/>
        </w:rPr>
        <w:t>nominista</w:t>
      </w:r>
      <w:proofErr w:type="spellEnd"/>
      <w:r w:rsidRPr="003A787D">
        <w:rPr>
          <w:rFonts w:ascii="Palatino Linotype" w:eastAsia="MS Mincho" w:hAnsi="Palatino Linotype" w:cs="Times New Roman"/>
          <w:i/>
          <w:iCs/>
          <w:color w:val="000000" w:themeColor="text1"/>
          <w:sz w:val="22"/>
          <w:szCs w:val="22"/>
        </w:rPr>
        <w:t xml:space="preserve"> del ayuntamiento y/o descentralizadas.”</w:t>
      </w:r>
      <w:r w:rsidRPr="003A787D">
        <w:rPr>
          <w:rFonts w:ascii="Palatino Linotype" w:eastAsia="MS Mincho" w:hAnsi="Palatino Linotype" w:cs="Times New Roman"/>
          <w:color w:val="000000" w:themeColor="text1"/>
          <w:sz w:val="22"/>
          <w:szCs w:val="22"/>
        </w:rPr>
        <w:t xml:space="preserve"> (Sic)</w:t>
      </w:r>
    </w:p>
    <w:p w14:paraId="322EA1FC" w14:textId="77777777" w:rsidR="001E6495" w:rsidRPr="003A787D" w:rsidRDefault="001E6495" w:rsidP="005A179D">
      <w:pPr>
        <w:pStyle w:val="Prrafodelista"/>
        <w:tabs>
          <w:tab w:val="left" w:pos="426"/>
        </w:tabs>
        <w:spacing w:line="360" w:lineRule="auto"/>
        <w:ind w:left="0"/>
        <w:jc w:val="both"/>
        <w:rPr>
          <w:rFonts w:ascii="Palatino Linotype" w:eastAsia="MS Mincho" w:hAnsi="Palatino Linotype" w:cs="Times New Roman"/>
          <w:color w:val="000000" w:themeColor="text1"/>
        </w:rPr>
      </w:pPr>
    </w:p>
    <w:p w14:paraId="49C21E77" w14:textId="77B057E9" w:rsidR="0039142B" w:rsidRPr="003A787D" w:rsidRDefault="005A179D" w:rsidP="00DA22D8">
      <w:pPr>
        <w:pStyle w:val="Prrafodelista"/>
        <w:numPr>
          <w:ilvl w:val="0"/>
          <w:numId w:val="1"/>
        </w:numPr>
        <w:tabs>
          <w:tab w:val="left" w:pos="426"/>
        </w:tabs>
        <w:spacing w:line="360" w:lineRule="auto"/>
        <w:jc w:val="both"/>
        <w:rPr>
          <w:rFonts w:ascii="Palatino Linotype" w:eastAsia="MS Mincho" w:hAnsi="Palatino Linotype" w:cs="Times New Roman"/>
          <w:color w:val="000000" w:themeColor="text1"/>
        </w:rPr>
      </w:pPr>
      <w:r w:rsidRPr="003A787D">
        <w:rPr>
          <w:rFonts w:ascii="Palatino Linotype" w:hAnsi="Palatino Linotype" w:cs="Arial"/>
          <w:color w:val="000000" w:themeColor="text1"/>
        </w:rPr>
        <w:t>Asimismo, se</w:t>
      </w:r>
      <w:r w:rsidR="005F1362" w:rsidRPr="003A787D">
        <w:rPr>
          <w:rFonts w:ascii="Palatino Linotype" w:hAnsi="Palatino Linotype" w:cs="Arial"/>
          <w:color w:val="000000" w:themeColor="text1"/>
        </w:rPr>
        <w:t xml:space="preserve"> hace constar que </w:t>
      </w:r>
      <w:r w:rsidR="00AF31FE" w:rsidRPr="003A787D">
        <w:rPr>
          <w:rFonts w:ascii="Palatino Linotype" w:eastAsia="Times New Roman" w:hAnsi="Palatino Linotype" w:cs="Arial"/>
          <w:color w:val="000000" w:themeColor="text1"/>
          <w:lang w:val="es-ES"/>
        </w:rPr>
        <w:t>el</w:t>
      </w:r>
      <w:r w:rsidR="00025127" w:rsidRPr="003A787D">
        <w:rPr>
          <w:rFonts w:ascii="Palatino Linotype" w:eastAsia="Times New Roman" w:hAnsi="Palatino Linotype" w:cs="Arial"/>
          <w:color w:val="000000" w:themeColor="text1"/>
          <w:lang w:val="es-ES"/>
        </w:rPr>
        <w:t xml:space="preserve"> entonces</w:t>
      </w:r>
      <w:r w:rsidR="00FD7996" w:rsidRPr="003A787D">
        <w:rPr>
          <w:rFonts w:ascii="Palatino Linotype" w:eastAsia="Times New Roman" w:hAnsi="Palatino Linotype" w:cs="Arial"/>
          <w:color w:val="000000" w:themeColor="text1"/>
          <w:lang w:val="es-ES"/>
        </w:rPr>
        <w:t xml:space="preserve"> </w:t>
      </w:r>
      <w:r w:rsidR="00FD7996" w:rsidRPr="003A787D">
        <w:rPr>
          <w:rFonts w:ascii="Palatino Linotype" w:eastAsia="Times New Roman" w:hAnsi="Palatino Linotype" w:cs="Arial"/>
          <w:b/>
          <w:color w:val="000000" w:themeColor="text1"/>
          <w:lang w:val="es-ES"/>
        </w:rPr>
        <w:t>SOLICITANTE</w:t>
      </w:r>
      <w:r w:rsidR="005F1362" w:rsidRPr="003A787D">
        <w:rPr>
          <w:rFonts w:ascii="Palatino Linotype" w:eastAsia="Times New Roman" w:hAnsi="Palatino Linotype" w:cs="Arial"/>
          <w:color w:val="000000" w:themeColor="text1"/>
          <w:lang w:val="es-ES"/>
        </w:rPr>
        <w:t xml:space="preserve"> señaló como modalidad de entrega de la información</w:t>
      </w:r>
      <w:r w:rsidR="005F1362" w:rsidRPr="003A787D">
        <w:rPr>
          <w:rFonts w:ascii="Palatino Linotype" w:eastAsia="Times New Roman" w:hAnsi="Palatino Linotype" w:cs="Arial"/>
          <w:b/>
          <w:color w:val="000000" w:themeColor="text1"/>
          <w:lang w:val="es-ES"/>
        </w:rPr>
        <w:t>:</w:t>
      </w:r>
      <w:r w:rsidR="001E4152" w:rsidRPr="003A787D">
        <w:rPr>
          <w:rFonts w:ascii="Palatino Linotype" w:eastAsia="Times New Roman" w:hAnsi="Palatino Linotype" w:cs="Arial"/>
          <w:b/>
          <w:color w:val="000000" w:themeColor="text1"/>
          <w:lang w:val="es-ES"/>
        </w:rPr>
        <w:t xml:space="preserve"> </w:t>
      </w:r>
      <w:r w:rsidR="001E4152" w:rsidRPr="003A787D">
        <w:rPr>
          <w:rFonts w:ascii="Palatino Linotype" w:eastAsia="Times New Roman" w:hAnsi="Palatino Linotype" w:cs="Arial"/>
          <w:b/>
          <w:i/>
          <w:iCs/>
          <w:color w:val="000000" w:themeColor="text1"/>
          <w:lang w:val="es-ES"/>
        </w:rPr>
        <w:t>A través del SAIMEX</w:t>
      </w:r>
      <w:r w:rsidR="00921DA5" w:rsidRPr="003A787D">
        <w:rPr>
          <w:rFonts w:ascii="Palatino Linotype" w:eastAsia="Times New Roman" w:hAnsi="Palatino Linotype" w:cs="Arial"/>
          <w:bCs/>
          <w:color w:val="000000" w:themeColor="text1"/>
          <w:lang w:val="es-ES"/>
        </w:rPr>
        <w:t xml:space="preserve"> y,</w:t>
      </w:r>
      <w:r w:rsidR="00AF31FE" w:rsidRPr="003A787D">
        <w:rPr>
          <w:rFonts w:ascii="Palatino Linotype" w:eastAsia="Calibri" w:hAnsi="Palatino Linotype" w:cs="Arial"/>
          <w:color w:val="000000" w:themeColor="text1"/>
          <w:lang w:val="es-AR"/>
        </w:rPr>
        <w:t xml:space="preserve"> </w:t>
      </w:r>
      <w:r w:rsidR="00AF31FE" w:rsidRPr="003A787D">
        <w:rPr>
          <w:rFonts w:ascii="Palatino Linotype" w:eastAsia="Calibri" w:hAnsi="Palatino Linotype" w:cs="Arial"/>
          <w:b/>
          <w:i/>
          <w:color w:val="000000" w:themeColor="text1"/>
          <w:lang w:val="es-AR"/>
        </w:rPr>
        <w:t>correo electrónico</w:t>
      </w:r>
      <w:r w:rsidR="002E1E5D" w:rsidRPr="003A787D">
        <w:rPr>
          <w:rFonts w:ascii="Palatino Linotype" w:eastAsia="Calibri" w:hAnsi="Palatino Linotype" w:cs="Arial"/>
          <w:color w:val="000000" w:themeColor="text1"/>
          <w:lang w:val="es-AR"/>
        </w:rPr>
        <w:t xml:space="preserve"> </w:t>
      </w:r>
      <w:r w:rsidR="00921DA5" w:rsidRPr="003A787D">
        <w:rPr>
          <w:rFonts w:ascii="Palatino Linotype" w:eastAsia="Calibri" w:hAnsi="Palatino Linotype" w:cs="Arial"/>
          <w:color w:val="000000" w:themeColor="text1"/>
          <w:lang w:val="es-AR"/>
        </w:rPr>
        <w:t>o</w:t>
      </w:r>
      <w:r w:rsidR="002E1E5D" w:rsidRPr="003A787D">
        <w:rPr>
          <w:rFonts w:ascii="Palatino Linotype" w:eastAsia="Calibri" w:hAnsi="Palatino Linotype" w:cs="Arial"/>
          <w:color w:val="000000" w:themeColor="text1"/>
          <w:lang w:val="es-AR"/>
        </w:rPr>
        <w:t xml:space="preserve"> </w:t>
      </w:r>
      <w:r w:rsidR="002E1E5D" w:rsidRPr="003A787D">
        <w:rPr>
          <w:rFonts w:ascii="Palatino Linotype" w:eastAsia="Calibri" w:hAnsi="Palatino Linotype" w:cs="Arial"/>
          <w:b/>
          <w:i/>
          <w:color w:val="000000" w:themeColor="text1"/>
          <w:lang w:val="es-AR"/>
        </w:rPr>
        <w:t>cualquier otro medio incluido los electrónicos.</w:t>
      </w:r>
    </w:p>
    <w:p w14:paraId="35BA18A9" w14:textId="77777777" w:rsidR="0039142B" w:rsidRPr="003A787D" w:rsidRDefault="0039142B" w:rsidP="002E1E5D">
      <w:pPr>
        <w:spacing w:line="360" w:lineRule="auto"/>
        <w:jc w:val="both"/>
        <w:rPr>
          <w:rFonts w:ascii="Palatino Linotype" w:eastAsia="MS Mincho" w:hAnsi="Palatino Linotype" w:cs="Times New Roman"/>
          <w:color w:val="000000" w:themeColor="text1"/>
        </w:rPr>
      </w:pPr>
    </w:p>
    <w:p w14:paraId="60DCDA4B" w14:textId="0B453606" w:rsidR="0022448D" w:rsidRPr="003A787D" w:rsidRDefault="00970461" w:rsidP="00DA22D8">
      <w:pPr>
        <w:pStyle w:val="Prrafodelista"/>
        <w:numPr>
          <w:ilvl w:val="0"/>
          <w:numId w:val="1"/>
        </w:numPr>
        <w:tabs>
          <w:tab w:val="left" w:pos="426"/>
        </w:tabs>
        <w:spacing w:line="360" w:lineRule="auto"/>
        <w:jc w:val="both"/>
        <w:rPr>
          <w:rFonts w:ascii="Palatino Linotype" w:eastAsia="MS Mincho" w:hAnsi="Palatino Linotype" w:cs="Times New Roman"/>
          <w:color w:val="000000" w:themeColor="text1"/>
        </w:rPr>
      </w:pPr>
      <w:r w:rsidRPr="003A787D">
        <w:rPr>
          <w:rFonts w:ascii="Palatino Linotype" w:eastAsia="MS Mincho" w:hAnsi="Palatino Linotype" w:cs="Times New Roman"/>
          <w:color w:val="000000" w:themeColor="text1"/>
        </w:rPr>
        <w:t>E</w:t>
      </w:r>
      <w:r w:rsidR="00B31E90" w:rsidRPr="003A787D">
        <w:rPr>
          <w:rFonts w:ascii="Palatino Linotype" w:eastAsia="MS Mincho" w:hAnsi="Palatino Linotype" w:cs="Times New Roman"/>
          <w:color w:val="000000" w:themeColor="text1"/>
        </w:rPr>
        <w:t xml:space="preserve">l </w:t>
      </w:r>
      <w:r w:rsidR="001E6495" w:rsidRPr="003A787D">
        <w:rPr>
          <w:rFonts w:ascii="Palatino Linotype" w:eastAsia="MS Mincho" w:hAnsi="Palatino Linotype" w:cs="Times New Roman"/>
          <w:color w:val="000000" w:themeColor="text1"/>
        </w:rPr>
        <w:t>diecisiete (17</w:t>
      </w:r>
      <w:r w:rsidR="00921DA5" w:rsidRPr="003A787D">
        <w:rPr>
          <w:rFonts w:ascii="Palatino Linotype" w:eastAsia="MS Mincho" w:hAnsi="Palatino Linotype" w:cs="Times New Roman"/>
          <w:color w:val="000000" w:themeColor="text1"/>
        </w:rPr>
        <w:t>) de febrero</w:t>
      </w:r>
      <w:r w:rsidR="00AF31FE" w:rsidRPr="003A787D">
        <w:rPr>
          <w:rFonts w:ascii="Palatino Linotype" w:eastAsia="MS Mincho" w:hAnsi="Palatino Linotype" w:cs="Times New Roman"/>
          <w:color w:val="000000" w:themeColor="text1"/>
        </w:rPr>
        <w:t xml:space="preserve"> de dos mil veintidós</w:t>
      </w:r>
      <w:r w:rsidR="00762697" w:rsidRPr="003A787D">
        <w:rPr>
          <w:rFonts w:ascii="Palatino Linotype" w:eastAsia="MS Mincho" w:hAnsi="Palatino Linotype" w:cs="Times New Roman"/>
          <w:color w:val="000000" w:themeColor="text1"/>
        </w:rPr>
        <w:t xml:space="preserve">, </w:t>
      </w:r>
      <w:r w:rsidR="005F1362" w:rsidRPr="003A787D">
        <w:rPr>
          <w:rFonts w:ascii="Palatino Linotype" w:hAnsi="Palatino Linotype"/>
          <w:color w:val="000000" w:themeColor="text1"/>
          <w:szCs w:val="14"/>
        </w:rPr>
        <w:t xml:space="preserve">el </w:t>
      </w:r>
      <w:r w:rsidR="005F1362" w:rsidRPr="003A787D">
        <w:rPr>
          <w:rFonts w:ascii="Palatino Linotype" w:hAnsi="Palatino Linotype"/>
          <w:b/>
          <w:color w:val="000000" w:themeColor="text1"/>
          <w:szCs w:val="14"/>
        </w:rPr>
        <w:t>SUJETO OBLIGADO</w:t>
      </w:r>
      <w:r w:rsidR="005F1362" w:rsidRPr="003A787D">
        <w:rPr>
          <w:rFonts w:ascii="Palatino Linotype" w:hAnsi="Palatino Linotype"/>
          <w:color w:val="000000" w:themeColor="text1"/>
          <w:szCs w:val="14"/>
        </w:rPr>
        <w:t xml:space="preserve"> dio respuesta a la solicitud de información en los siguientes términos:</w:t>
      </w:r>
    </w:p>
    <w:p w14:paraId="0E759FD5" w14:textId="77777777" w:rsidR="009A593A" w:rsidRPr="003A787D" w:rsidRDefault="009A593A" w:rsidP="00B31E90">
      <w:pPr>
        <w:pStyle w:val="Sinespaciado"/>
        <w:ind w:left="567" w:right="567"/>
        <w:jc w:val="right"/>
        <w:rPr>
          <w:rFonts w:ascii="Palatino Linotype" w:hAnsi="Palatino Linotype"/>
          <w:i/>
          <w:noProof/>
          <w:color w:val="000000" w:themeColor="text1"/>
          <w:lang w:eastAsia="es-MX"/>
        </w:rPr>
      </w:pPr>
    </w:p>
    <w:p w14:paraId="308BB9C5" w14:textId="77777777" w:rsidR="001E6495" w:rsidRPr="003A787D" w:rsidRDefault="005F1362" w:rsidP="001E6495">
      <w:pPr>
        <w:pStyle w:val="Sinespaciado"/>
        <w:spacing w:line="276" w:lineRule="auto"/>
        <w:ind w:left="567" w:right="567"/>
        <w:jc w:val="both"/>
        <w:rPr>
          <w:rFonts w:ascii="Palatino Linotype" w:hAnsi="Palatino Linotype"/>
          <w:i/>
          <w:noProof/>
          <w:color w:val="000000" w:themeColor="text1"/>
          <w:sz w:val="22"/>
          <w:szCs w:val="22"/>
          <w:lang w:val="es-MX" w:eastAsia="es-MX"/>
        </w:rPr>
      </w:pPr>
      <w:r w:rsidRPr="003A787D">
        <w:rPr>
          <w:rFonts w:ascii="Palatino Linotype" w:hAnsi="Palatino Linotype"/>
          <w:i/>
          <w:noProof/>
          <w:color w:val="000000" w:themeColor="text1"/>
          <w:sz w:val="22"/>
          <w:szCs w:val="22"/>
          <w:lang w:val="es-MX" w:eastAsia="es-MX"/>
        </w:rPr>
        <w:t>“</w:t>
      </w:r>
      <w:r w:rsidR="001E6495" w:rsidRPr="003A787D">
        <w:rPr>
          <w:rFonts w:ascii="Palatino Linotype" w:hAnsi="Palatino Linotype"/>
          <w:i/>
          <w:noProof/>
          <w:color w:val="000000" w:themeColor="text1"/>
          <w:sz w:val="22"/>
          <w:szCs w:val="22"/>
          <w:lang w:val="es-MX" w:eastAsia="es-MX"/>
        </w:rPr>
        <w:t>Se remite oficio de respuesta por el área de tesorería del Sistema Municipal para el Desarrollo Integral de la Familia de Tenancingo, Estado de México</w:t>
      </w:r>
    </w:p>
    <w:p w14:paraId="68D290A2" w14:textId="77777777" w:rsidR="001E6495" w:rsidRPr="003A787D" w:rsidRDefault="001E6495" w:rsidP="001E6495">
      <w:pPr>
        <w:pStyle w:val="Sinespaciado"/>
        <w:spacing w:line="276" w:lineRule="auto"/>
        <w:ind w:left="567" w:right="567"/>
        <w:jc w:val="both"/>
        <w:rPr>
          <w:rFonts w:ascii="Palatino Linotype" w:hAnsi="Palatino Linotype"/>
          <w:i/>
          <w:noProof/>
          <w:color w:val="000000" w:themeColor="text1"/>
          <w:sz w:val="22"/>
          <w:szCs w:val="22"/>
          <w:lang w:val="es-MX" w:eastAsia="es-MX"/>
        </w:rPr>
      </w:pPr>
    </w:p>
    <w:p w14:paraId="7B6299F2" w14:textId="1FBE7671" w:rsidR="001E6495" w:rsidRPr="003A787D" w:rsidRDefault="001E6495" w:rsidP="001E6495">
      <w:pPr>
        <w:pStyle w:val="Sinespaciado"/>
        <w:spacing w:line="276" w:lineRule="auto"/>
        <w:ind w:left="567" w:right="567"/>
        <w:jc w:val="both"/>
        <w:rPr>
          <w:rFonts w:ascii="Palatino Linotype" w:hAnsi="Palatino Linotype"/>
          <w:i/>
          <w:noProof/>
          <w:color w:val="000000" w:themeColor="text1"/>
          <w:sz w:val="22"/>
          <w:szCs w:val="22"/>
          <w:lang w:val="es-MX" w:eastAsia="es-MX"/>
        </w:rPr>
      </w:pPr>
      <w:r w:rsidRPr="003A787D">
        <w:rPr>
          <w:rFonts w:ascii="Palatino Linotype" w:hAnsi="Palatino Linotype"/>
          <w:i/>
          <w:noProof/>
          <w:color w:val="000000" w:themeColor="text1"/>
          <w:sz w:val="22"/>
          <w:szCs w:val="22"/>
          <w:lang w:val="es-MX" w:eastAsia="es-MX"/>
        </w:rPr>
        <w:lastRenderedPageBreak/>
        <w:t>ATENTAMENTE</w:t>
      </w:r>
    </w:p>
    <w:p w14:paraId="35A36DE0" w14:textId="10B8E1E3" w:rsidR="0039142B" w:rsidRPr="003A787D" w:rsidRDefault="001E6495" w:rsidP="001E6495">
      <w:pPr>
        <w:pStyle w:val="Sinespaciado"/>
        <w:spacing w:line="276" w:lineRule="auto"/>
        <w:ind w:left="567" w:right="567"/>
        <w:jc w:val="both"/>
        <w:rPr>
          <w:rFonts w:ascii="Palatino Linotype" w:hAnsi="Palatino Linotype"/>
          <w:noProof/>
          <w:color w:val="000000" w:themeColor="text1"/>
          <w:sz w:val="22"/>
          <w:szCs w:val="22"/>
          <w:lang w:val="es-MX" w:eastAsia="es-MX"/>
        </w:rPr>
      </w:pPr>
      <w:r w:rsidRPr="003A787D">
        <w:rPr>
          <w:rFonts w:ascii="Palatino Linotype" w:hAnsi="Palatino Linotype"/>
          <w:i/>
          <w:noProof/>
          <w:color w:val="000000" w:themeColor="text1"/>
          <w:sz w:val="22"/>
          <w:szCs w:val="22"/>
          <w:lang w:val="es-MX" w:eastAsia="es-MX"/>
        </w:rPr>
        <w:t>L.D. JOSE FRANCISCO BARROSO SALAZAR</w:t>
      </w:r>
      <w:r w:rsidR="005F1362" w:rsidRPr="003A787D">
        <w:rPr>
          <w:rFonts w:ascii="Palatino Linotype" w:hAnsi="Palatino Linotype"/>
          <w:i/>
          <w:noProof/>
          <w:color w:val="000000" w:themeColor="text1"/>
          <w:sz w:val="22"/>
          <w:szCs w:val="22"/>
          <w:lang w:val="es-MX" w:eastAsia="es-MX"/>
        </w:rPr>
        <w:t>”</w:t>
      </w:r>
      <w:r w:rsidR="00EB3DF7" w:rsidRPr="003A787D">
        <w:rPr>
          <w:rFonts w:ascii="Palatino Linotype" w:hAnsi="Palatino Linotype"/>
          <w:noProof/>
          <w:color w:val="000000" w:themeColor="text1"/>
          <w:sz w:val="22"/>
          <w:szCs w:val="22"/>
          <w:lang w:val="es-MX" w:eastAsia="es-MX"/>
        </w:rPr>
        <w:t xml:space="preserve"> (Sic.)</w:t>
      </w:r>
    </w:p>
    <w:p w14:paraId="2D68519B" w14:textId="77777777" w:rsidR="0097210F" w:rsidRPr="003A787D" w:rsidRDefault="0097210F" w:rsidP="009A593A">
      <w:pPr>
        <w:pStyle w:val="Sinespaciado"/>
        <w:ind w:right="567"/>
        <w:jc w:val="both"/>
        <w:rPr>
          <w:rFonts w:ascii="Palatino Linotype" w:hAnsi="Palatino Linotype"/>
          <w:noProof/>
          <w:color w:val="000000" w:themeColor="text1"/>
          <w:lang w:val="es-MX" w:eastAsia="es-MX"/>
        </w:rPr>
      </w:pPr>
    </w:p>
    <w:p w14:paraId="170BD45E" w14:textId="06647BE7" w:rsidR="00022D89" w:rsidRPr="003A787D" w:rsidRDefault="00022D89" w:rsidP="00DA22D8">
      <w:pPr>
        <w:pStyle w:val="Prrafodelista"/>
        <w:numPr>
          <w:ilvl w:val="0"/>
          <w:numId w:val="1"/>
        </w:numPr>
        <w:tabs>
          <w:tab w:val="left" w:pos="284"/>
          <w:tab w:val="left" w:pos="426"/>
        </w:tabs>
        <w:spacing w:line="360" w:lineRule="auto"/>
        <w:jc w:val="both"/>
        <w:rPr>
          <w:rFonts w:ascii="Palatino Linotype" w:hAnsi="Palatino Linotype"/>
          <w:color w:val="000000" w:themeColor="text1"/>
          <w:szCs w:val="22"/>
        </w:rPr>
      </w:pPr>
      <w:r w:rsidRPr="003A787D">
        <w:rPr>
          <w:rFonts w:ascii="Palatino Linotype" w:hAnsi="Palatino Linotype"/>
          <w:color w:val="000000" w:themeColor="text1"/>
          <w:szCs w:val="22"/>
        </w:rPr>
        <w:t xml:space="preserve">Adjunto al acuse de respuesta, el </w:t>
      </w:r>
      <w:r w:rsidRPr="003A787D">
        <w:rPr>
          <w:rFonts w:ascii="Palatino Linotype" w:hAnsi="Palatino Linotype"/>
          <w:b/>
          <w:bCs/>
          <w:color w:val="000000" w:themeColor="text1"/>
          <w:szCs w:val="22"/>
        </w:rPr>
        <w:t>SUJETO OBLIGADO</w:t>
      </w:r>
      <w:r w:rsidRPr="003A787D">
        <w:rPr>
          <w:rFonts w:ascii="Palatino Linotype" w:hAnsi="Palatino Linotype"/>
          <w:color w:val="000000" w:themeColor="text1"/>
          <w:szCs w:val="22"/>
        </w:rPr>
        <w:t xml:space="preserve"> entregó al particular </w:t>
      </w:r>
      <w:r w:rsidR="00921DA5" w:rsidRPr="003A787D">
        <w:rPr>
          <w:rFonts w:ascii="Palatino Linotype" w:hAnsi="Palatino Linotype"/>
          <w:color w:val="000000" w:themeColor="text1"/>
          <w:szCs w:val="22"/>
        </w:rPr>
        <w:t>el</w:t>
      </w:r>
      <w:r w:rsidRPr="003A787D">
        <w:rPr>
          <w:rFonts w:ascii="Palatino Linotype" w:hAnsi="Palatino Linotype"/>
          <w:color w:val="000000" w:themeColor="text1"/>
          <w:szCs w:val="22"/>
        </w:rPr>
        <w:t xml:space="preserve"> documento </w:t>
      </w:r>
      <w:r w:rsidR="00396F5D" w:rsidRPr="003A787D">
        <w:rPr>
          <w:rFonts w:ascii="Palatino Linotype" w:hAnsi="Palatino Linotype"/>
          <w:color w:val="000000" w:themeColor="text1"/>
          <w:szCs w:val="22"/>
        </w:rPr>
        <w:t>cuyo contenido</w:t>
      </w:r>
      <w:r w:rsidRPr="003A787D">
        <w:rPr>
          <w:rFonts w:ascii="Palatino Linotype" w:hAnsi="Palatino Linotype"/>
          <w:color w:val="000000" w:themeColor="text1"/>
          <w:szCs w:val="22"/>
        </w:rPr>
        <w:t xml:space="preserve"> se describe a continuación:</w:t>
      </w:r>
    </w:p>
    <w:p w14:paraId="58FF91AC" w14:textId="254C6947" w:rsidR="00D07816" w:rsidRPr="003A787D" w:rsidRDefault="00C31E8F" w:rsidP="001E6495">
      <w:pPr>
        <w:pStyle w:val="Prrafodelista"/>
        <w:numPr>
          <w:ilvl w:val="0"/>
          <w:numId w:val="40"/>
        </w:numPr>
        <w:spacing w:line="360" w:lineRule="auto"/>
        <w:ind w:left="1134"/>
        <w:contextualSpacing w:val="0"/>
        <w:jc w:val="both"/>
        <w:rPr>
          <w:rFonts w:ascii="Palatino Linotype" w:hAnsi="Palatino Linotype" w:cs="Arial"/>
        </w:rPr>
      </w:pPr>
      <w:r w:rsidRPr="003A787D">
        <w:rPr>
          <w:rFonts w:ascii="Palatino Linotype" w:hAnsi="Palatino Linotype" w:cs="Arial"/>
          <w:b/>
          <w:i/>
        </w:rPr>
        <w:t xml:space="preserve"> </w:t>
      </w:r>
      <w:r w:rsidR="00D07816" w:rsidRPr="003A787D">
        <w:rPr>
          <w:rFonts w:ascii="Palatino Linotype" w:hAnsi="Palatino Linotype" w:cs="Arial"/>
          <w:b/>
          <w:i/>
        </w:rPr>
        <w:t>“</w:t>
      </w:r>
      <w:r w:rsidR="001E6495" w:rsidRPr="003A787D">
        <w:rPr>
          <w:rFonts w:ascii="Palatino Linotype" w:hAnsi="Palatino Linotype" w:cs="Arial"/>
          <w:b/>
          <w:i/>
        </w:rPr>
        <w:t>Contestación 00002</w:t>
      </w:r>
      <w:r w:rsidR="00D07816" w:rsidRPr="003A787D">
        <w:rPr>
          <w:rFonts w:ascii="Palatino Linotype" w:hAnsi="Palatino Linotype" w:cs="Arial"/>
          <w:b/>
          <w:i/>
        </w:rPr>
        <w:t>.pdf”</w:t>
      </w:r>
      <w:r w:rsidR="00D07816" w:rsidRPr="003A787D">
        <w:rPr>
          <w:rFonts w:ascii="Palatino Linotype" w:hAnsi="Palatino Linotype" w:cs="Arial"/>
        </w:rPr>
        <w:t xml:space="preserve">: </w:t>
      </w:r>
      <w:r w:rsidR="00AF31FE" w:rsidRPr="003A787D">
        <w:rPr>
          <w:rFonts w:ascii="Palatino Linotype" w:hAnsi="Palatino Linotype" w:cs="Arial"/>
        </w:rPr>
        <w:t>Documento de</w:t>
      </w:r>
      <w:r w:rsidR="00921DA5" w:rsidRPr="003A787D">
        <w:rPr>
          <w:rFonts w:ascii="Palatino Linotype" w:hAnsi="Palatino Linotype" w:cs="Arial"/>
        </w:rPr>
        <w:t xml:space="preserve"> </w:t>
      </w:r>
      <w:r w:rsidR="001E6495" w:rsidRPr="003A787D">
        <w:rPr>
          <w:rFonts w:ascii="Palatino Linotype" w:hAnsi="Palatino Linotype" w:cs="Arial"/>
        </w:rPr>
        <w:t>27 fojas consistente en los siguientes instrumentos:</w:t>
      </w:r>
    </w:p>
    <w:p w14:paraId="7F6F8901" w14:textId="38B13BD6" w:rsidR="001E6495" w:rsidRPr="003A787D" w:rsidRDefault="001E6495" w:rsidP="001E6495">
      <w:pPr>
        <w:pStyle w:val="Prrafodelista"/>
        <w:numPr>
          <w:ilvl w:val="1"/>
          <w:numId w:val="41"/>
        </w:numPr>
        <w:spacing w:line="360" w:lineRule="auto"/>
        <w:ind w:left="1701"/>
        <w:contextualSpacing w:val="0"/>
        <w:jc w:val="both"/>
        <w:rPr>
          <w:rFonts w:ascii="Palatino Linotype" w:hAnsi="Palatino Linotype" w:cs="Arial"/>
        </w:rPr>
      </w:pPr>
      <w:r w:rsidRPr="003A787D">
        <w:rPr>
          <w:rFonts w:ascii="Palatino Linotype" w:hAnsi="Palatino Linotype" w:cs="Arial"/>
        </w:rPr>
        <w:t xml:space="preserve">Oficio número SMDIF3058/C00306/024/02/2022, de quince (15) de febrero de dos mil veintidós, emitido por el Tesorero del </w:t>
      </w:r>
      <w:r w:rsidRPr="003A787D">
        <w:rPr>
          <w:rFonts w:ascii="Palatino Linotype" w:hAnsi="Palatino Linotype" w:cs="Arial"/>
          <w:b/>
          <w:bCs/>
        </w:rPr>
        <w:t>SUJETO OBLIGADO</w:t>
      </w:r>
      <w:r w:rsidRPr="003A787D">
        <w:rPr>
          <w:rFonts w:ascii="Palatino Linotype" w:hAnsi="Palatino Linotype" w:cs="Arial"/>
        </w:rPr>
        <w:t>, por medio del cual, informa adjuntar los visores de nómina solicitados</w:t>
      </w:r>
      <w:r w:rsidR="004C5FCF" w:rsidRPr="003A787D">
        <w:rPr>
          <w:rFonts w:ascii="Palatino Linotype" w:hAnsi="Palatino Linotype" w:cs="Arial"/>
        </w:rPr>
        <w:t>, así como la opinión de cumplimiento del SAT; por otro lado, refiere no generar información relacionada con el INFONAVIT o el IMSS, y orienta al particular a solicitar la información relacionada con el ISR devuelto por el SAT al Ayuntamiento de Tenancingo.</w:t>
      </w:r>
    </w:p>
    <w:p w14:paraId="02515AE3" w14:textId="37B050CF" w:rsidR="004C5FCF" w:rsidRPr="003A787D" w:rsidRDefault="004C5FCF" w:rsidP="001E6495">
      <w:pPr>
        <w:pStyle w:val="Prrafodelista"/>
        <w:numPr>
          <w:ilvl w:val="1"/>
          <w:numId w:val="41"/>
        </w:numPr>
        <w:spacing w:line="360" w:lineRule="auto"/>
        <w:ind w:left="1701"/>
        <w:contextualSpacing w:val="0"/>
        <w:jc w:val="both"/>
        <w:rPr>
          <w:rFonts w:ascii="Palatino Linotype" w:hAnsi="Palatino Linotype" w:cs="Arial"/>
        </w:rPr>
      </w:pPr>
      <w:r w:rsidRPr="003A787D">
        <w:rPr>
          <w:rFonts w:ascii="Palatino Linotype" w:hAnsi="Palatino Linotype" w:cs="Arial"/>
        </w:rPr>
        <w:t>Vista anual acumulada del ejercicio dos mil dieciocho, reportado por el Servicio de Administración Tributaria, respecto a la información de pagos y retenciones por sueldos y salarios.</w:t>
      </w:r>
    </w:p>
    <w:p w14:paraId="0218F869" w14:textId="33AA7A77" w:rsidR="004C5FCF" w:rsidRPr="003A787D" w:rsidRDefault="004C5FCF" w:rsidP="001E6495">
      <w:pPr>
        <w:pStyle w:val="Prrafodelista"/>
        <w:numPr>
          <w:ilvl w:val="1"/>
          <w:numId w:val="41"/>
        </w:numPr>
        <w:spacing w:line="360" w:lineRule="auto"/>
        <w:ind w:left="1701"/>
        <w:contextualSpacing w:val="0"/>
        <w:jc w:val="both"/>
        <w:rPr>
          <w:rFonts w:ascii="Palatino Linotype" w:hAnsi="Palatino Linotype" w:cs="Arial"/>
        </w:rPr>
      </w:pPr>
      <w:r w:rsidRPr="003A787D">
        <w:rPr>
          <w:rFonts w:ascii="Palatino Linotype" w:hAnsi="Palatino Linotype" w:cs="Arial"/>
        </w:rPr>
        <w:t>Detalle mensual del ejercicio dos mil dieciocho, reportado por el Servicio de Administración Tributaria, respecto a la información de pagos y retenciones por sueldos y salarios.</w:t>
      </w:r>
    </w:p>
    <w:p w14:paraId="2E2905F1" w14:textId="5E16B56B" w:rsidR="004C5FCF" w:rsidRPr="003A787D" w:rsidRDefault="004C5FCF" w:rsidP="001E6495">
      <w:pPr>
        <w:pStyle w:val="Prrafodelista"/>
        <w:numPr>
          <w:ilvl w:val="1"/>
          <w:numId w:val="41"/>
        </w:numPr>
        <w:spacing w:line="360" w:lineRule="auto"/>
        <w:ind w:left="1701"/>
        <w:contextualSpacing w:val="0"/>
        <w:jc w:val="both"/>
        <w:rPr>
          <w:rFonts w:ascii="Palatino Linotype" w:hAnsi="Palatino Linotype" w:cs="Arial"/>
        </w:rPr>
      </w:pPr>
      <w:r w:rsidRPr="003A787D">
        <w:rPr>
          <w:rFonts w:ascii="Palatino Linotype" w:hAnsi="Palatino Linotype" w:cs="Arial"/>
        </w:rPr>
        <w:t>Vista anual acumulada del ejercicio dos mil diecinueve, reportado por el Servicio de Administración Tributaria, respecto a la información de pagos y retenciones por sueldos y salarios.</w:t>
      </w:r>
    </w:p>
    <w:p w14:paraId="283AA7FC" w14:textId="0D6ECB25" w:rsidR="004C5FCF" w:rsidRPr="003A787D" w:rsidRDefault="004C5FCF" w:rsidP="001E6495">
      <w:pPr>
        <w:pStyle w:val="Prrafodelista"/>
        <w:numPr>
          <w:ilvl w:val="1"/>
          <w:numId w:val="41"/>
        </w:numPr>
        <w:spacing w:line="360" w:lineRule="auto"/>
        <w:ind w:left="1701"/>
        <w:contextualSpacing w:val="0"/>
        <w:jc w:val="both"/>
        <w:rPr>
          <w:rFonts w:ascii="Palatino Linotype" w:hAnsi="Palatino Linotype" w:cs="Arial"/>
        </w:rPr>
      </w:pPr>
      <w:r w:rsidRPr="003A787D">
        <w:rPr>
          <w:rFonts w:ascii="Palatino Linotype" w:hAnsi="Palatino Linotype" w:cs="Arial"/>
        </w:rPr>
        <w:lastRenderedPageBreak/>
        <w:t>Detalle mensual del ejercicio dos mil diecinueve, reportado por el Servicio de Administración Tributaria, respecto a la información de pagos y retenciones por sueldos y salarios.</w:t>
      </w:r>
    </w:p>
    <w:p w14:paraId="70E8BA1C" w14:textId="7A80E200" w:rsidR="004C5FCF" w:rsidRPr="003A787D" w:rsidRDefault="004C5FCF" w:rsidP="004C5FCF">
      <w:pPr>
        <w:pStyle w:val="Prrafodelista"/>
        <w:numPr>
          <w:ilvl w:val="1"/>
          <w:numId w:val="41"/>
        </w:numPr>
        <w:spacing w:line="360" w:lineRule="auto"/>
        <w:ind w:left="1701"/>
        <w:contextualSpacing w:val="0"/>
        <w:jc w:val="both"/>
        <w:rPr>
          <w:rFonts w:ascii="Palatino Linotype" w:hAnsi="Palatino Linotype" w:cs="Arial"/>
        </w:rPr>
      </w:pPr>
      <w:r w:rsidRPr="003A787D">
        <w:rPr>
          <w:rFonts w:ascii="Palatino Linotype" w:hAnsi="Palatino Linotype" w:cs="Arial"/>
        </w:rPr>
        <w:t>Vista anual acumulada del ejercicio dos mil veinte, reportado por el Servicio de Administración Tributaria, respecto a la información de pagos y retenciones por sueldos y salarios.</w:t>
      </w:r>
    </w:p>
    <w:p w14:paraId="4ECA29AC" w14:textId="32FE7C33" w:rsidR="005E0AAF" w:rsidRPr="003A787D" w:rsidRDefault="005E0AAF" w:rsidP="005E0AAF">
      <w:pPr>
        <w:pStyle w:val="Prrafodelista"/>
        <w:numPr>
          <w:ilvl w:val="1"/>
          <w:numId w:val="41"/>
        </w:numPr>
        <w:spacing w:line="360" w:lineRule="auto"/>
        <w:ind w:left="1701"/>
        <w:contextualSpacing w:val="0"/>
        <w:jc w:val="both"/>
        <w:rPr>
          <w:rFonts w:ascii="Palatino Linotype" w:hAnsi="Palatino Linotype" w:cs="Arial"/>
        </w:rPr>
      </w:pPr>
      <w:r w:rsidRPr="003A787D">
        <w:rPr>
          <w:rFonts w:ascii="Palatino Linotype" w:hAnsi="Palatino Linotype" w:cs="Arial"/>
        </w:rPr>
        <w:t>Detalle mensual del ejercicio dos mil veinte, reportado por el Servicio de Administración Tributaria, respecto a la información de pagos y retenciones por sueldos y salarios.</w:t>
      </w:r>
    </w:p>
    <w:p w14:paraId="6C820DDC" w14:textId="0E73AC09" w:rsidR="005E0AAF" w:rsidRPr="003A787D" w:rsidRDefault="005E0AAF" w:rsidP="005E0AAF">
      <w:pPr>
        <w:pStyle w:val="Prrafodelista"/>
        <w:numPr>
          <w:ilvl w:val="1"/>
          <w:numId w:val="41"/>
        </w:numPr>
        <w:spacing w:line="360" w:lineRule="auto"/>
        <w:ind w:left="1701"/>
        <w:contextualSpacing w:val="0"/>
        <w:jc w:val="both"/>
        <w:rPr>
          <w:rFonts w:ascii="Palatino Linotype" w:hAnsi="Palatino Linotype" w:cs="Arial"/>
        </w:rPr>
      </w:pPr>
      <w:r w:rsidRPr="003A787D">
        <w:rPr>
          <w:rFonts w:ascii="Palatino Linotype" w:hAnsi="Palatino Linotype" w:cs="Arial"/>
        </w:rPr>
        <w:t>Vista anual acumulada del ejercicio dos mil veintiuno, reportado por el Servicio de Administración Tributaria, respecto a la información de pagos y retenciones por sueldos y salarios.</w:t>
      </w:r>
    </w:p>
    <w:p w14:paraId="1A9459A3" w14:textId="1BAEC40E" w:rsidR="005E0AAF" w:rsidRPr="003A787D" w:rsidRDefault="005E0AAF" w:rsidP="005E0AAF">
      <w:pPr>
        <w:pStyle w:val="Prrafodelista"/>
        <w:numPr>
          <w:ilvl w:val="1"/>
          <w:numId w:val="41"/>
        </w:numPr>
        <w:spacing w:line="360" w:lineRule="auto"/>
        <w:ind w:left="1701"/>
        <w:contextualSpacing w:val="0"/>
        <w:jc w:val="both"/>
        <w:rPr>
          <w:rFonts w:ascii="Palatino Linotype" w:hAnsi="Palatino Linotype" w:cs="Arial"/>
        </w:rPr>
      </w:pPr>
      <w:r w:rsidRPr="003A787D">
        <w:rPr>
          <w:rFonts w:ascii="Palatino Linotype" w:hAnsi="Palatino Linotype" w:cs="Arial"/>
        </w:rPr>
        <w:t>Detalle mensual del ejercicio dos mil veintiuno, reportado por el Servicio de Administración Tributaria, respecto a la información de pagos y retenciones por sueldos y salarios.</w:t>
      </w:r>
    </w:p>
    <w:p w14:paraId="6E73F273" w14:textId="7248F3B5" w:rsidR="004C5FCF" w:rsidRPr="003A787D" w:rsidRDefault="005E0AAF" w:rsidP="001E6495">
      <w:pPr>
        <w:pStyle w:val="Prrafodelista"/>
        <w:numPr>
          <w:ilvl w:val="1"/>
          <w:numId w:val="41"/>
        </w:numPr>
        <w:spacing w:line="360" w:lineRule="auto"/>
        <w:ind w:left="1701"/>
        <w:contextualSpacing w:val="0"/>
        <w:jc w:val="both"/>
        <w:rPr>
          <w:rFonts w:ascii="Palatino Linotype" w:hAnsi="Palatino Linotype" w:cs="Arial"/>
        </w:rPr>
      </w:pPr>
      <w:r w:rsidRPr="003A787D">
        <w:rPr>
          <w:rFonts w:ascii="Palatino Linotype" w:hAnsi="Palatino Linotype" w:cs="Arial"/>
        </w:rPr>
        <w:t xml:space="preserve">Opinión </w:t>
      </w:r>
      <w:r w:rsidRPr="003A787D">
        <w:rPr>
          <w:rFonts w:ascii="Palatino Linotype" w:hAnsi="Palatino Linotype"/>
          <w:color w:val="000000" w:themeColor="text1"/>
          <w:szCs w:val="22"/>
        </w:rPr>
        <w:t>del cumplimiento de obligaciones fiscales, de quince (15) de febrero de dos mil veintidós, emitido por el Servicio de Administración Tributaria, respecto del Sistema Municipal para el Desarrollo Integral de la Familia de Tenancingo, emitida en sentido negativo.</w:t>
      </w:r>
    </w:p>
    <w:p w14:paraId="775BBCA3" w14:textId="77777777" w:rsidR="006A19EF" w:rsidRPr="003A787D" w:rsidRDefault="006A19EF" w:rsidP="006A19EF">
      <w:pPr>
        <w:spacing w:line="360" w:lineRule="auto"/>
        <w:jc w:val="both"/>
        <w:rPr>
          <w:rFonts w:ascii="Palatino Linotype" w:hAnsi="Palatino Linotype"/>
          <w:color w:val="000000" w:themeColor="text1"/>
          <w:szCs w:val="22"/>
        </w:rPr>
      </w:pPr>
    </w:p>
    <w:p w14:paraId="272B63B3" w14:textId="38919171" w:rsidR="000D5A1D" w:rsidRPr="003A787D" w:rsidRDefault="00FD7996" w:rsidP="00DA22D8">
      <w:pPr>
        <w:pStyle w:val="Prrafodelista"/>
        <w:numPr>
          <w:ilvl w:val="0"/>
          <w:numId w:val="1"/>
        </w:numPr>
        <w:tabs>
          <w:tab w:val="left" w:pos="284"/>
          <w:tab w:val="left" w:pos="426"/>
        </w:tabs>
        <w:spacing w:line="360" w:lineRule="auto"/>
        <w:jc w:val="both"/>
        <w:rPr>
          <w:rFonts w:ascii="Palatino Linotype" w:hAnsi="Palatino Linotype"/>
          <w:color w:val="000000" w:themeColor="text1"/>
          <w:szCs w:val="22"/>
        </w:rPr>
      </w:pPr>
      <w:r w:rsidRPr="003A787D">
        <w:rPr>
          <w:rFonts w:ascii="Palatino Linotype" w:eastAsia="Times New Roman" w:hAnsi="Palatino Linotype" w:cs="Arial"/>
          <w:color w:val="000000" w:themeColor="text1"/>
          <w:lang w:val="es-ES"/>
        </w:rPr>
        <w:t>D</w:t>
      </w:r>
      <w:r w:rsidR="00561ED1" w:rsidRPr="003A787D">
        <w:rPr>
          <w:rFonts w:ascii="Palatino Linotype" w:eastAsia="Times New Roman" w:hAnsi="Palatino Linotype" w:cs="Arial"/>
          <w:color w:val="000000" w:themeColor="text1"/>
          <w:lang w:val="es-ES"/>
        </w:rPr>
        <w:t xml:space="preserve">erivado de la respuesta emitida por el </w:t>
      </w:r>
      <w:r w:rsidR="00561ED1" w:rsidRPr="003A787D">
        <w:rPr>
          <w:rFonts w:ascii="Palatino Linotype" w:eastAsia="Times New Roman" w:hAnsi="Palatino Linotype" w:cs="Arial"/>
          <w:b/>
          <w:color w:val="000000" w:themeColor="text1"/>
          <w:lang w:val="es-ES"/>
        </w:rPr>
        <w:t>SUJETO OBLIGADO</w:t>
      </w:r>
      <w:r w:rsidR="00561ED1" w:rsidRPr="003A787D">
        <w:rPr>
          <w:rFonts w:ascii="Palatino Linotype" w:eastAsia="Times New Roman" w:hAnsi="Palatino Linotype" w:cs="Arial"/>
          <w:color w:val="000000" w:themeColor="text1"/>
          <w:lang w:val="es-ES"/>
        </w:rPr>
        <w:t>, e</w:t>
      </w:r>
      <w:r w:rsidR="00DB4BEF" w:rsidRPr="003A787D">
        <w:rPr>
          <w:rFonts w:ascii="Palatino Linotype" w:eastAsia="Times New Roman" w:hAnsi="Palatino Linotype" w:cs="Arial"/>
          <w:color w:val="000000" w:themeColor="text1"/>
          <w:lang w:val="es-ES"/>
        </w:rPr>
        <w:t xml:space="preserve">l </w:t>
      </w:r>
      <w:r w:rsidR="005E0AAF" w:rsidRPr="003A787D">
        <w:rPr>
          <w:rFonts w:ascii="Palatino Linotype" w:eastAsia="Times New Roman" w:hAnsi="Palatino Linotype" w:cs="Arial"/>
          <w:color w:val="000000" w:themeColor="text1"/>
          <w:lang w:val="es-ES"/>
        </w:rPr>
        <w:t>dieciocho (18</w:t>
      </w:r>
      <w:r w:rsidR="0016161C" w:rsidRPr="003A787D">
        <w:rPr>
          <w:rFonts w:ascii="Palatino Linotype" w:eastAsia="Times New Roman" w:hAnsi="Palatino Linotype" w:cs="Arial"/>
          <w:color w:val="000000" w:themeColor="text1"/>
          <w:lang w:val="es-ES"/>
        </w:rPr>
        <w:t>) de febrero de dos mil veintidós</w:t>
      </w:r>
      <w:r w:rsidR="00FE49E3" w:rsidRPr="003A787D">
        <w:rPr>
          <w:rFonts w:ascii="Palatino Linotype" w:eastAsia="Times New Roman" w:hAnsi="Palatino Linotype" w:cs="Arial"/>
          <w:color w:val="000000" w:themeColor="text1"/>
          <w:lang w:val="es-ES"/>
        </w:rPr>
        <w:t xml:space="preserve">, </w:t>
      </w:r>
      <w:r w:rsidR="0016161C" w:rsidRPr="003A787D">
        <w:rPr>
          <w:rFonts w:ascii="Palatino Linotype" w:eastAsia="Times New Roman" w:hAnsi="Palatino Linotype" w:cs="Arial"/>
          <w:color w:val="000000" w:themeColor="text1"/>
          <w:lang w:val="es-ES"/>
        </w:rPr>
        <w:t>el</w:t>
      </w:r>
      <w:r w:rsidR="005F1362" w:rsidRPr="003A787D">
        <w:rPr>
          <w:rFonts w:ascii="Palatino Linotype" w:eastAsia="Times New Roman" w:hAnsi="Palatino Linotype" w:cs="Arial"/>
          <w:color w:val="000000" w:themeColor="text1"/>
          <w:lang w:val="es-ES"/>
        </w:rPr>
        <w:t xml:space="preserve"> particular</w:t>
      </w:r>
      <w:r w:rsidR="00DB4BEF" w:rsidRPr="003A787D">
        <w:rPr>
          <w:rFonts w:ascii="Palatino Linotype" w:eastAsia="Times New Roman" w:hAnsi="Palatino Linotype" w:cs="Arial"/>
          <w:color w:val="000000" w:themeColor="text1"/>
          <w:lang w:val="es-ES"/>
        </w:rPr>
        <w:t xml:space="preserve"> interpuso</w:t>
      </w:r>
      <w:r w:rsidR="009316E9" w:rsidRPr="003A787D">
        <w:rPr>
          <w:rFonts w:ascii="Palatino Linotype" w:eastAsia="Times New Roman" w:hAnsi="Palatino Linotype" w:cs="Arial"/>
          <w:color w:val="000000" w:themeColor="text1"/>
          <w:lang w:val="es-ES"/>
        </w:rPr>
        <w:t xml:space="preserve"> </w:t>
      </w:r>
      <w:r w:rsidR="00102D65" w:rsidRPr="003A787D">
        <w:rPr>
          <w:rFonts w:ascii="Palatino Linotype" w:eastAsia="Times New Roman" w:hAnsi="Palatino Linotype" w:cs="Arial"/>
          <w:color w:val="000000" w:themeColor="text1"/>
          <w:lang w:val="es-ES"/>
        </w:rPr>
        <w:t>el</w:t>
      </w:r>
      <w:r w:rsidR="004D68F8" w:rsidRPr="003A787D">
        <w:rPr>
          <w:rFonts w:ascii="Palatino Linotype" w:eastAsia="Times New Roman" w:hAnsi="Palatino Linotype" w:cs="Arial"/>
          <w:color w:val="000000" w:themeColor="text1"/>
          <w:lang w:val="es-ES"/>
        </w:rPr>
        <w:t xml:space="preserve"> recurso de revisión </w:t>
      </w:r>
      <w:r w:rsidR="005A179D" w:rsidRPr="003A787D">
        <w:rPr>
          <w:rFonts w:ascii="Palatino Linotype" w:eastAsia="Calibri" w:hAnsi="Palatino Linotype" w:cs="Arial"/>
          <w:b/>
          <w:color w:val="000000" w:themeColor="text1"/>
          <w:lang w:val="es-ES"/>
        </w:rPr>
        <w:t>00978/INFOEM/IP/RR/2022</w:t>
      </w:r>
      <w:r w:rsidR="009A0461" w:rsidRPr="003A787D">
        <w:rPr>
          <w:rFonts w:ascii="Palatino Linotype" w:eastAsia="Calibri" w:hAnsi="Palatino Linotype" w:cs="Arial"/>
          <w:b/>
          <w:color w:val="000000" w:themeColor="text1"/>
          <w:lang w:val="es-ES"/>
        </w:rPr>
        <w:t>;</w:t>
      </w:r>
      <w:r w:rsidR="00102D65" w:rsidRPr="003A787D">
        <w:rPr>
          <w:rFonts w:ascii="Palatino Linotype" w:eastAsia="Times New Roman" w:hAnsi="Palatino Linotype" w:cs="Arial"/>
          <w:color w:val="000000" w:themeColor="text1"/>
          <w:lang w:val="es-ES"/>
        </w:rPr>
        <w:t xml:space="preserve"> impugnación</w:t>
      </w:r>
      <w:r w:rsidR="004D68F8" w:rsidRPr="003A787D">
        <w:rPr>
          <w:rFonts w:ascii="Palatino Linotype" w:eastAsia="Times New Roman" w:hAnsi="Palatino Linotype" w:cs="Arial"/>
          <w:color w:val="000000" w:themeColor="text1"/>
          <w:lang w:val="es-ES"/>
        </w:rPr>
        <w:t xml:space="preserve"> </w:t>
      </w:r>
      <w:r w:rsidR="00A45546" w:rsidRPr="003A787D">
        <w:rPr>
          <w:rFonts w:ascii="Palatino Linotype" w:eastAsia="Times New Roman" w:hAnsi="Palatino Linotype" w:cs="Arial"/>
          <w:color w:val="000000" w:themeColor="text1"/>
          <w:lang w:val="es-ES"/>
        </w:rPr>
        <w:t xml:space="preserve">en </w:t>
      </w:r>
      <w:r w:rsidR="00977D37" w:rsidRPr="003A787D">
        <w:rPr>
          <w:rFonts w:ascii="Palatino Linotype" w:eastAsia="Times New Roman" w:hAnsi="Palatino Linotype" w:cs="Arial"/>
          <w:color w:val="000000" w:themeColor="text1"/>
          <w:lang w:val="es-ES"/>
        </w:rPr>
        <w:t>la</w:t>
      </w:r>
      <w:r w:rsidR="00A45546" w:rsidRPr="003A787D">
        <w:rPr>
          <w:rFonts w:ascii="Palatino Linotype" w:eastAsia="Times New Roman" w:hAnsi="Palatino Linotype" w:cs="Arial"/>
          <w:color w:val="000000" w:themeColor="text1"/>
          <w:lang w:val="es-ES"/>
        </w:rPr>
        <w:t xml:space="preserve"> que refirió </w:t>
      </w:r>
      <w:r w:rsidR="004D68F8" w:rsidRPr="003A787D">
        <w:rPr>
          <w:rFonts w:ascii="Palatino Linotype" w:eastAsia="Times New Roman" w:hAnsi="Palatino Linotype" w:cs="Arial"/>
          <w:color w:val="000000" w:themeColor="text1"/>
          <w:lang w:val="es-ES"/>
        </w:rPr>
        <w:t>lo siguiente:</w:t>
      </w:r>
    </w:p>
    <w:p w14:paraId="054906C6" w14:textId="77777777" w:rsidR="00E34622" w:rsidRPr="003A787D" w:rsidRDefault="00E34622" w:rsidP="00B31E90">
      <w:pPr>
        <w:pStyle w:val="Prrafodelista"/>
        <w:tabs>
          <w:tab w:val="left" w:pos="426"/>
        </w:tabs>
        <w:spacing w:line="360" w:lineRule="auto"/>
        <w:ind w:left="284"/>
        <w:jc w:val="both"/>
        <w:rPr>
          <w:rFonts w:ascii="Palatino Linotype" w:eastAsia="Times New Roman" w:hAnsi="Palatino Linotype" w:cs="Arial"/>
          <w:color w:val="000000" w:themeColor="text1"/>
        </w:rPr>
      </w:pPr>
    </w:p>
    <w:p w14:paraId="5D958B88" w14:textId="19BD8366" w:rsidR="00E34622" w:rsidRPr="003A787D" w:rsidRDefault="00E34622" w:rsidP="00DA22D8">
      <w:pPr>
        <w:pStyle w:val="Prrafodelista"/>
        <w:numPr>
          <w:ilvl w:val="0"/>
          <w:numId w:val="2"/>
        </w:numPr>
        <w:tabs>
          <w:tab w:val="left" w:pos="426"/>
        </w:tabs>
        <w:spacing w:line="360" w:lineRule="auto"/>
        <w:jc w:val="both"/>
        <w:rPr>
          <w:rFonts w:ascii="Palatino Linotype" w:eastAsia="Times New Roman" w:hAnsi="Palatino Linotype" w:cs="Arial"/>
          <w:color w:val="000000" w:themeColor="text1"/>
          <w:lang w:val="es-ES"/>
        </w:rPr>
      </w:pPr>
      <w:r w:rsidRPr="003A787D">
        <w:rPr>
          <w:rFonts w:ascii="Palatino Linotype" w:eastAsia="Times New Roman" w:hAnsi="Palatino Linotype" w:cs="Arial"/>
          <w:b/>
          <w:color w:val="000000" w:themeColor="text1"/>
          <w:lang w:val="es-ES"/>
        </w:rPr>
        <w:lastRenderedPageBreak/>
        <w:t>Acto impugnado:</w:t>
      </w:r>
      <w:r w:rsidRPr="003A787D">
        <w:rPr>
          <w:rFonts w:ascii="Palatino Linotype" w:eastAsia="Times New Roman" w:hAnsi="Palatino Linotype" w:cs="Arial"/>
          <w:color w:val="000000" w:themeColor="text1"/>
          <w:lang w:val="es-ES"/>
        </w:rPr>
        <w:t xml:space="preserve"> “</w:t>
      </w:r>
      <w:r w:rsidR="005E0AAF" w:rsidRPr="003A787D">
        <w:rPr>
          <w:rFonts w:ascii="Palatino Linotype" w:hAnsi="Palatino Linotype"/>
          <w:i/>
          <w:iCs/>
          <w:color w:val="000000"/>
        </w:rPr>
        <w:t>su respuesta archivo 00002 en la plataforma a mi solicitud</w:t>
      </w:r>
      <w:r w:rsidRPr="003A787D">
        <w:rPr>
          <w:rFonts w:ascii="Palatino Linotype" w:eastAsia="Times New Roman" w:hAnsi="Palatino Linotype" w:cs="Arial"/>
          <w:i/>
          <w:color w:val="000000" w:themeColor="text1"/>
          <w:lang w:val="es-ES"/>
        </w:rPr>
        <w:t>”</w:t>
      </w:r>
      <w:r w:rsidRPr="003A787D">
        <w:rPr>
          <w:rFonts w:ascii="Palatino Linotype" w:eastAsia="Times New Roman" w:hAnsi="Palatino Linotype" w:cs="Arial"/>
          <w:color w:val="000000" w:themeColor="text1"/>
          <w:lang w:val="es-ES"/>
        </w:rPr>
        <w:t xml:space="preserve"> (Sic).</w:t>
      </w:r>
    </w:p>
    <w:p w14:paraId="38724B8B" w14:textId="77777777" w:rsidR="001468E9" w:rsidRPr="003A787D" w:rsidRDefault="001468E9" w:rsidP="00B31E90">
      <w:pPr>
        <w:pStyle w:val="Prrafodelista"/>
        <w:tabs>
          <w:tab w:val="left" w:pos="426"/>
        </w:tabs>
        <w:spacing w:line="360" w:lineRule="auto"/>
        <w:ind w:left="1004"/>
        <w:jc w:val="both"/>
        <w:rPr>
          <w:rFonts w:ascii="Palatino Linotype" w:eastAsia="Times New Roman" w:hAnsi="Palatino Linotype" w:cs="Arial"/>
          <w:color w:val="000000" w:themeColor="text1"/>
          <w:lang w:val="es-ES"/>
        </w:rPr>
      </w:pPr>
    </w:p>
    <w:p w14:paraId="4E73B63B" w14:textId="415279DA" w:rsidR="00E34622" w:rsidRPr="003A787D" w:rsidRDefault="00E34622" w:rsidP="0086416C">
      <w:pPr>
        <w:pStyle w:val="Prrafodelista"/>
        <w:numPr>
          <w:ilvl w:val="0"/>
          <w:numId w:val="2"/>
        </w:numPr>
        <w:tabs>
          <w:tab w:val="left" w:pos="426"/>
        </w:tabs>
        <w:spacing w:line="360" w:lineRule="auto"/>
        <w:jc w:val="both"/>
        <w:rPr>
          <w:rFonts w:ascii="Palatino Linotype" w:eastAsia="Times New Roman" w:hAnsi="Palatino Linotype" w:cs="Arial"/>
          <w:color w:val="000000" w:themeColor="text1"/>
          <w:lang w:val="es-ES"/>
        </w:rPr>
      </w:pPr>
      <w:r w:rsidRPr="003A787D">
        <w:rPr>
          <w:rFonts w:ascii="Palatino Linotype" w:eastAsia="Times New Roman" w:hAnsi="Palatino Linotype" w:cs="Arial"/>
          <w:b/>
          <w:color w:val="000000" w:themeColor="text1"/>
          <w:lang w:val="es-ES"/>
        </w:rPr>
        <w:t>Razones o motivos de inconformidad:</w:t>
      </w:r>
      <w:r w:rsidRPr="003A787D">
        <w:rPr>
          <w:rFonts w:ascii="Palatino Linotype" w:eastAsia="Times New Roman" w:hAnsi="Palatino Linotype" w:cs="Arial"/>
          <w:color w:val="000000" w:themeColor="text1"/>
          <w:lang w:val="es-ES"/>
        </w:rPr>
        <w:t xml:space="preserve"> </w:t>
      </w:r>
      <w:r w:rsidR="007909AE" w:rsidRPr="003A787D">
        <w:rPr>
          <w:rFonts w:ascii="Palatino Linotype" w:eastAsia="Times New Roman" w:hAnsi="Palatino Linotype" w:cs="Arial"/>
          <w:i/>
          <w:iCs/>
          <w:color w:val="000000" w:themeColor="text1"/>
          <w:lang w:val="es-ES"/>
        </w:rPr>
        <w:t>“</w:t>
      </w:r>
      <w:r w:rsidR="005E0AAF" w:rsidRPr="003A787D">
        <w:rPr>
          <w:rFonts w:ascii="Palatino Linotype" w:eastAsia="Times New Roman" w:hAnsi="Palatino Linotype" w:cs="Arial"/>
          <w:i/>
          <w:iCs/>
          <w:color w:val="000000" w:themeColor="text1"/>
        </w:rPr>
        <w:t xml:space="preserve">Por medio de la presente hoy 18 de febrero de 2022 interpongo ante El Instituto de Transparencia, Acceso a la Información Pública y Protección de Datos Personales del Estado de México y Municipios; mi Derecho argumentado en los artículo 176, 177 y 178 de la Ley de Transparencia y Acceso a la Información Pública del Estado de México y Municipios, que es el Recurso de Revisión (queja) en contra del Ente Público Obligado Sistema Municipal Para el Desarrollo Integral de la Familia de Tenancingo, ya que su respuesta; oficio: archivo 00002 en la plataforma, a mi petición de información recae en los supuestos establecidos por las fracción V del artículo 179 de la misma Ley de Transparencia y Acceso a la Información Pública del Estado de México y Municipios por lo cual procede en contra. Con el fin de que quede más claro al Ente Obligado Público, para ello me adhiero a lo estipulado en el artículo cuadragésimo quinto del ACUERDO del Consejo Nacional del Sistema Nacional de Transparencia, Acceso a la Información Pública y Protección de Datos Personales, por el que se aprueban los Lineamientos Generales en materia de clasificación y desclasificación de la información, así como para la elaboración de versiones públicas. Publicado en el Diario Oficial de la Federación y por ser un ENTE PÚBLICO OBLIGADO no un contribuyente privado. Y con el afán de cordialidad y apoyar al Ente Público Obligado y cumpla con su Obligación de entregarme todo lo solicitado, porque pareciera no entendió lo requerido y que si obra en su poder, ya que los reportes visores de nómina solo puede tenerlos el Ente Público Obligado desde su portal del SAT; se reitera es información fácil que ya </w:t>
      </w:r>
      <w:r w:rsidR="005E0AAF" w:rsidRPr="003A787D">
        <w:rPr>
          <w:rFonts w:ascii="Palatino Linotype" w:eastAsia="Times New Roman" w:hAnsi="Palatino Linotype" w:cs="Arial"/>
          <w:i/>
          <w:iCs/>
          <w:color w:val="000000" w:themeColor="text1"/>
        </w:rPr>
        <w:lastRenderedPageBreak/>
        <w:t xml:space="preserve">tiene el Ente Obligado en su portal del SAT, repito directamente en su portal del SAT ya que son simples REPORTES reitero REPORTES que ya hizo y entregó el Sistema Municipal Para el Desarrollo Integral de la Familia de Tenancingo, al ente fiscalizador SAT, y en ningún momento distraen de sus actividades al Ente Público Obligado y mucho menos son SECRETO DE ESTADO, ya que se tienen en máximo 10 minutos. Respecto a la presentación “Detalle Diferencias de Sueldos y Salarios” por cada año (2018, 2019, 2020 Y 2021) cuando el sistema del SAT te los despliega en tablas resúmenes se hacen capturas de pantalla de las tablas que arroja el visor de nóminas del SAT, luego se pegan esas capturas de pantalla en un documento y se convierte a un </w:t>
      </w:r>
      <w:proofErr w:type="spellStart"/>
      <w:r w:rsidR="005E0AAF" w:rsidRPr="003A787D">
        <w:rPr>
          <w:rFonts w:ascii="Palatino Linotype" w:eastAsia="Times New Roman" w:hAnsi="Palatino Linotype" w:cs="Arial"/>
          <w:i/>
          <w:iCs/>
          <w:color w:val="000000" w:themeColor="text1"/>
        </w:rPr>
        <w:t>pdf</w:t>
      </w:r>
      <w:proofErr w:type="spellEnd"/>
      <w:r w:rsidR="005E0AAF" w:rsidRPr="003A787D">
        <w:rPr>
          <w:rFonts w:ascii="Palatino Linotype" w:eastAsia="Times New Roman" w:hAnsi="Palatino Linotype" w:cs="Arial"/>
          <w:i/>
          <w:iCs/>
          <w:color w:val="000000" w:themeColor="text1"/>
        </w:rPr>
        <w:t xml:space="preserve">, se envían y listo. Respecto a las otras dos presentaciones del visor de nóminas del SAT (Vista anual acumulada y detalle mensual) solo tiene que descargar los </w:t>
      </w:r>
      <w:proofErr w:type="spellStart"/>
      <w:r w:rsidR="005E0AAF" w:rsidRPr="003A787D">
        <w:rPr>
          <w:rFonts w:ascii="Palatino Linotype" w:eastAsia="Times New Roman" w:hAnsi="Palatino Linotype" w:cs="Arial"/>
          <w:i/>
          <w:iCs/>
          <w:color w:val="000000" w:themeColor="text1"/>
        </w:rPr>
        <w:t>pdf</w:t>
      </w:r>
      <w:proofErr w:type="spellEnd"/>
      <w:r w:rsidR="005E0AAF" w:rsidRPr="003A787D">
        <w:rPr>
          <w:rFonts w:ascii="Palatino Linotype" w:eastAsia="Times New Roman" w:hAnsi="Palatino Linotype" w:cs="Arial"/>
          <w:i/>
          <w:iCs/>
          <w:color w:val="000000" w:themeColor="text1"/>
        </w:rPr>
        <w:t xml:space="preserve">. de su portal del SAT. Dando solo dos </w:t>
      </w:r>
      <w:proofErr w:type="spellStart"/>
      <w:r w:rsidR="005E0AAF" w:rsidRPr="003A787D">
        <w:rPr>
          <w:rFonts w:ascii="Palatino Linotype" w:eastAsia="Times New Roman" w:hAnsi="Palatino Linotype" w:cs="Arial"/>
          <w:i/>
          <w:iCs/>
          <w:color w:val="000000" w:themeColor="text1"/>
        </w:rPr>
        <w:t>clicks</w:t>
      </w:r>
      <w:proofErr w:type="spellEnd"/>
      <w:r w:rsidR="005E0AAF" w:rsidRPr="003A787D">
        <w:rPr>
          <w:rFonts w:ascii="Palatino Linotype" w:eastAsia="Times New Roman" w:hAnsi="Palatino Linotype" w:cs="Arial"/>
          <w:i/>
          <w:iCs/>
          <w:color w:val="000000" w:themeColor="text1"/>
        </w:rPr>
        <w:t xml:space="preserve"> y descargando los archivos. Ahora para enviar la información se puede enviar en carpetas comprimidas o por medio de un link de la nube drive es sencillo. Como ya me han hecho favor de entregar otros entes públicos Obligados del Estado de México de las mismas características y sin ningún contratiempo para hacerlo ya que están en sus bases de datos y ya fueron hechos ante el SAT. Respecto a los puntos solicitados II, III y IV si no se tiene convenios de colaboración con esos entes fiscalizadores está bien que diga en una respuesta que no aplica si esto es así, sino de favor generar las constancias y opiniones de cumplimiento de los entes fiscalizadores hacia el Sistema Municipal Para el Desarrollo Integral de la Familia de Tenancingo, que también se generan en dos minutos sin ningún problema pero respecto al punto I espero ahora si lo haya entendido que es una herramienta de ayuda del SAT para ellos y son reportes ya entregados. De igual forma adjunto ejemplos de otros entes municipales para que vea que es y no se tenga ningún </w:t>
      </w:r>
      <w:r w:rsidR="005E0AAF" w:rsidRPr="003A787D">
        <w:rPr>
          <w:rFonts w:ascii="Palatino Linotype" w:eastAsia="Times New Roman" w:hAnsi="Palatino Linotype" w:cs="Arial"/>
          <w:i/>
          <w:iCs/>
          <w:color w:val="000000" w:themeColor="text1"/>
        </w:rPr>
        <w:lastRenderedPageBreak/>
        <w:t xml:space="preserve">problema ni pretexto en entregar la información pública requerida. Esperando por fin le haya quedado claro lo requerido al Ente Público Obligado, pido de favor se atienda lo solicitado a la brevedad y no mandarme evasivas sin sustentos legal jurídico que aplique. Ocupo los visores de nómina en sus tres presentaciones; a) vista anual acumulada (vista Horizontal y vertical), detalle mensual y detalle diferencias sueldos y salarios por los años 2018, 2019, 2020 y 2021 Además de los otros puntos II, III y IV si es que aplican. Y el V y VI es una sugerencia para </w:t>
      </w:r>
      <w:proofErr w:type="spellStart"/>
      <w:r w:rsidR="005E0AAF" w:rsidRPr="003A787D">
        <w:rPr>
          <w:rFonts w:ascii="Palatino Linotype" w:eastAsia="Times New Roman" w:hAnsi="Palatino Linotype" w:cs="Arial"/>
          <w:i/>
          <w:iCs/>
          <w:color w:val="000000" w:themeColor="text1"/>
        </w:rPr>
        <w:t>eficientar</w:t>
      </w:r>
      <w:proofErr w:type="spellEnd"/>
      <w:r w:rsidR="005E0AAF" w:rsidRPr="003A787D">
        <w:rPr>
          <w:rFonts w:ascii="Palatino Linotype" w:eastAsia="Times New Roman" w:hAnsi="Palatino Linotype" w:cs="Arial"/>
          <w:i/>
          <w:iCs/>
          <w:color w:val="000000" w:themeColor="text1"/>
        </w:rPr>
        <w:t xml:space="preserve"> y mejor su actividades y organizar mejor su información y </w:t>
      </w:r>
      <w:proofErr w:type="spellStart"/>
      <w:r w:rsidR="005E0AAF" w:rsidRPr="003A787D">
        <w:rPr>
          <w:rFonts w:ascii="Palatino Linotype" w:eastAsia="Times New Roman" w:hAnsi="Palatino Linotype" w:cs="Arial"/>
          <w:i/>
          <w:iCs/>
          <w:color w:val="000000" w:themeColor="text1"/>
        </w:rPr>
        <w:t>eficientar</w:t>
      </w:r>
      <w:proofErr w:type="spellEnd"/>
      <w:r w:rsidR="005E0AAF" w:rsidRPr="003A787D">
        <w:rPr>
          <w:rFonts w:ascii="Palatino Linotype" w:eastAsia="Times New Roman" w:hAnsi="Palatino Linotype" w:cs="Arial"/>
          <w:i/>
          <w:iCs/>
          <w:color w:val="000000" w:themeColor="text1"/>
        </w:rPr>
        <w:t xml:space="preserve"> sus actividades día a día. El acceso a la información y la transparencia no solo es un derecho humano, es democracia básica, no un privilegio. Que ya se entiendan de una vez esto. Esperando se pueda dar una resolución lo antes posible con la Información solicitada de manera completa y legible por parte del Ente Público Obligado, confiando de que este Órgano (Instituto de Transparencia, Acceso a la Información Pública y Protección de Datos Personales del Estado de México y Municipios) actué eficiente y eficazmente con el tema. Saludos cordiales. Gracias. Atte. </w:t>
      </w:r>
      <w:r w:rsidR="00F34AAE">
        <w:rPr>
          <w:rFonts w:ascii="Palatino Linotype" w:eastAsia="Times New Roman" w:hAnsi="Palatino Linotype" w:cs="Arial"/>
          <w:i/>
          <w:iCs/>
          <w:color w:val="000000" w:themeColor="text1"/>
        </w:rPr>
        <w:t xml:space="preserve">XXX XXXX </w:t>
      </w:r>
      <w:proofErr w:type="spellStart"/>
      <w:r w:rsidR="00F34AAE">
        <w:rPr>
          <w:rFonts w:ascii="Palatino Linotype" w:eastAsia="Times New Roman" w:hAnsi="Palatino Linotype" w:cs="Arial"/>
          <w:i/>
          <w:iCs/>
          <w:color w:val="000000" w:themeColor="text1"/>
        </w:rPr>
        <w:t>XXXX</w:t>
      </w:r>
      <w:proofErr w:type="spellEnd"/>
      <w:r w:rsidR="007909AE" w:rsidRPr="003A787D">
        <w:rPr>
          <w:rFonts w:ascii="Palatino Linotype" w:eastAsia="Times New Roman" w:hAnsi="Palatino Linotype" w:cs="Arial"/>
          <w:i/>
          <w:iCs/>
          <w:color w:val="000000" w:themeColor="text1"/>
        </w:rPr>
        <w:t xml:space="preserve">” </w:t>
      </w:r>
      <w:r w:rsidR="007909AE" w:rsidRPr="003A787D">
        <w:rPr>
          <w:rFonts w:ascii="Palatino Linotype" w:hAnsi="Palatino Linotype"/>
        </w:rPr>
        <w:t>(Sic)</w:t>
      </w:r>
    </w:p>
    <w:p w14:paraId="4D16C3B0" w14:textId="77777777" w:rsidR="00E34622" w:rsidRPr="003A787D" w:rsidRDefault="00E34622" w:rsidP="00B31E90">
      <w:pPr>
        <w:pStyle w:val="Prrafodelista"/>
        <w:tabs>
          <w:tab w:val="left" w:pos="426"/>
        </w:tabs>
        <w:spacing w:line="360" w:lineRule="auto"/>
        <w:ind w:left="284"/>
        <w:jc w:val="both"/>
        <w:rPr>
          <w:rFonts w:ascii="Palatino Linotype" w:hAnsi="Palatino Linotype"/>
          <w:color w:val="000000" w:themeColor="text1"/>
          <w:szCs w:val="22"/>
        </w:rPr>
      </w:pPr>
    </w:p>
    <w:p w14:paraId="576FB28C" w14:textId="0E8632D1" w:rsidR="0016161C" w:rsidRPr="003A787D" w:rsidRDefault="007909AE" w:rsidP="00DA22D8">
      <w:pPr>
        <w:pStyle w:val="Prrafodelista"/>
        <w:numPr>
          <w:ilvl w:val="0"/>
          <w:numId w:val="1"/>
        </w:numPr>
        <w:tabs>
          <w:tab w:val="left" w:pos="426"/>
        </w:tabs>
        <w:spacing w:line="360" w:lineRule="auto"/>
        <w:jc w:val="both"/>
        <w:rPr>
          <w:rFonts w:ascii="Palatino Linotype" w:eastAsia="Calibri" w:hAnsi="Palatino Linotype" w:cs="Arial"/>
          <w:color w:val="000000" w:themeColor="text1"/>
          <w:lang w:val="es-ES"/>
        </w:rPr>
      </w:pPr>
      <w:r w:rsidRPr="003A787D">
        <w:rPr>
          <w:rFonts w:ascii="Palatino Linotype" w:eastAsia="Times New Roman" w:hAnsi="Palatino Linotype" w:cs="Arial"/>
          <w:color w:val="000000" w:themeColor="text1"/>
          <w:lang w:val="es-ES"/>
        </w:rPr>
        <w:t xml:space="preserve">Se hace constar que, adjunto a su escrito recursal, el ahora </w:t>
      </w:r>
      <w:r w:rsidRPr="003A787D">
        <w:rPr>
          <w:rFonts w:ascii="Palatino Linotype" w:eastAsia="Times New Roman" w:hAnsi="Palatino Linotype" w:cs="Arial"/>
          <w:b/>
          <w:bCs/>
          <w:color w:val="000000" w:themeColor="text1"/>
          <w:lang w:val="es-ES"/>
        </w:rPr>
        <w:t>RECURRENTE</w:t>
      </w:r>
      <w:r w:rsidRPr="003A787D">
        <w:rPr>
          <w:rFonts w:ascii="Palatino Linotype" w:eastAsia="Times New Roman" w:hAnsi="Palatino Linotype" w:cs="Arial"/>
          <w:color w:val="000000" w:themeColor="text1"/>
          <w:lang w:val="es-ES"/>
        </w:rPr>
        <w:t xml:space="preserve"> presentó </w:t>
      </w:r>
      <w:r w:rsidR="005E0AAF" w:rsidRPr="003A787D">
        <w:rPr>
          <w:rFonts w:ascii="Palatino Linotype" w:eastAsia="Times New Roman" w:hAnsi="Palatino Linotype" w:cs="Arial"/>
          <w:color w:val="000000" w:themeColor="text1"/>
          <w:lang w:val="es-ES"/>
        </w:rPr>
        <w:t>los siguientes documentos:</w:t>
      </w:r>
    </w:p>
    <w:p w14:paraId="0F3C84BD" w14:textId="4CF98689" w:rsidR="005E0AAF" w:rsidRPr="003A787D" w:rsidRDefault="005E0AAF" w:rsidP="00E47363">
      <w:pPr>
        <w:pStyle w:val="Prrafodelista"/>
        <w:numPr>
          <w:ilvl w:val="1"/>
          <w:numId w:val="42"/>
        </w:numPr>
        <w:spacing w:line="360" w:lineRule="auto"/>
        <w:ind w:left="1134"/>
        <w:rPr>
          <w:rFonts w:ascii="Palatino Linotype" w:eastAsia="Times New Roman" w:hAnsi="Palatino Linotype" w:cs="Arial"/>
          <w:b/>
          <w:bCs/>
          <w:i/>
          <w:iCs/>
          <w:color w:val="000000" w:themeColor="text1"/>
          <w:lang w:val="es-ES"/>
        </w:rPr>
      </w:pPr>
      <w:r w:rsidRPr="003A787D">
        <w:rPr>
          <w:rFonts w:ascii="Palatino Linotype" w:eastAsia="Times New Roman" w:hAnsi="Palatino Linotype" w:cs="Arial"/>
          <w:b/>
          <w:bCs/>
          <w:i/>
          <w:iCs/>
          <w:color w:val="000000" w:themeColor="text1"/>
          <w:lang w:val="es-ES"/>
        </w:rPr>
        <w:t>“G-35-03-03-2018-01 ejemplo presentación detalle mensual.pdf</w:t>
      </w:r>
      <w:r w:rsidR="00E47363" w:rsidRPr="003A787D">
        <w:rPr>
          <w:rFonts w:ascii="Palatino Linotype" w:eastAsia="Times New Roman" w:hAnsi="Palatino Linotype" w:cs="Arial"/>
          <w:b/>
          <w:bCs/>
          <w:i/>
          <w:iCs/>
          <w:color w:val="000000" w:themeColor="text1"/>
          <w:lang w:val="es-ES"/>
        </w:rPr>
        <w:t>”</w:t>
      </w:r>
      <w:r w:rsidR="00E47363" w:rsidRPr="003A787D">
        <w:rPr>
          <w:rFonts w:ascii="Palatino Linotype" w:eastAsia="Times New Roman" w:hAnsi="Palatino Linotype" w:cs="Arial"/>
          <w:color w:val="000000" w:themeColor="text1"/>
          <w:lang w:val="es-ES"/>
        </w:rPr>
        <w:t>: Documento de una foja consistente en un fragmento del Detalle mensual</w:t>
      </w:r>
      <w:r w:rsidR="00E47363" w:rsidRPr="003A787D">
        <w:rPr>
          <w:rFonts w:ascii="Palatino Linotype" w:hAnsi="Palatino Linotype" w:cs="Arial"/>
        </w:rPr>
        <w:t xml:space="preserve"> del ejercicio dos mil dieciocho, reportado por el Servicio de Administración Tributaria, respecto a la información de pagos y retenciones por sueldos y salarios del Sistema para el Desarrollo Integral </w:t>
      </w:r>
      <w:r w:rsidR="00E47363" w:rsidRPr="003A787D">
        <w:rPr>
          <w:rFonts w:ascii="Palatino Linotype" w:hAnsi="Palatino Linotype" w:cs="Arial"/>
        </w:rPr>
        <w:lastRenderedPageBreak/>
        <w:t>de la Familia del Municipio de Santa Cruz de Juventino Rosas, Guanajuato.</w:t>
      </w:r>
    </w:p>
    <w:p w14:paraId="02E83A11" w14:textId="73459701" w:rsidR="005E0AAF" w:rsidRPr="003A787D" w:rsidRDefault="005E0AAF" w:rsidP="00E47363">
      <w:pPr>
        <w:pStyle w:val="Prrafodelista"/>
        <w:numPr>
          <w:ilvl w:val="1"/>
          <w:numId w:val="42"/>
        </w:numPr>
        <w:spacing w:line="360" w:lineRule="auto"/>
        <w:ind w:left="1134"/>
        <w:rPr>
          <w:rFonts w:ascii="Palatino Linotype" w:eastAsia="Times New Roman" w:hAnsi="Palatino Linotype" w:cs="Arial"/>
          <w:b/>
          <w:bCs/>
          <w:i/>
          <w:iCs/>
          <w:color w:val="000000" w:themeColor="text1"/>
          <w:lang w:val="es-ES"/>
        </w:rPr>
      </w:pPr>
      <w:r w:rsidRPr="003A787D">
        <w:rPr>
          <w:rFonts w:ascii="Palatino Linotype" w:eastAsia="Times New Roman" w:hAnsi="Palatino Linotype" w:cs="Arial"/>
          <w:b/>
          <w:bCs/>
          <w:i/>
          <w:iCs/>
          <w:color w:val="000000" w:themeColor="text1"/>
          <w:lang w:val="es-ES"/>
        </w:rPr>
        <w:t>“G-13-03-01-2019-01 ejemplo vista anual acumulado o global.pdf</w:t>
      </w:r>
      <w:r w:rsidR="00E47363" w:rsidRPr="003A787D">
        <w:rPr>
          <w:rFonts w:ascii="Palatino Linotype" w:eastAsia="Times New Roman" w:hAnsi="Palatino Linotype" w:cs="Arial"/>
          <w:b/>
          <w:bCs/>
          <w:i/>
          <w:iCs/>
          <w:color w:val="000000" w:themeColor="text1"/>
          <w:lang w:val="es-ES"/>
        </w:rPr>
        <w:t>”</w:t>
      </w:r>
      <w:r w:rsidR="00E47363" w:rsidRPr="003A787D">
        <w:rPr>
          <w:rFonts w:ascii="Palatino Linotype" w:eastAsia="Times New Roman" w:hAnsi="Palatino Linotype" w:cs="Arial"/>
          <w:color w:val="000000" w:themeColor="text1"/>
          <w:lang w:val="es-ES"/>
        </w:rPr>
        <w:t>: Documento de una foja consistente en la Vista anual acumulada</w:t>
      </w:r>
      <w:r w:rsidR="00E47363" w:rsidRPr="003A787D">
        <w:rPr>
          <w:rFonts w:ascii="Palatino Linotype" w:hAnsi="Palatino Linotype" w:cs="Arial"/>
        </w:rPr>
        <w:t xml:space="preserve"> del ejercicio dos mil diecinueve, reportado por el Servicio de Administración Tributaria, respecto a la información de pagos y retenciones por sueldos y salarios del Sistema para el Desarrollo Integral de la Familia del Municipio de Guanajuato, Guanajuato.</w:t>
      </w:r>
    </w:p>
    <w:p w14:paraId="738CA2CD" w14:textId="0C7678D6" w:rsidR="005E0AAF" w:rsidRPr="003A787D" w:rsidRDefault="005E0AAF" w:rsidP="00E47363">
      <w:pPr>
        <w:pStyle w:val="Prrafodelista"/>
        <w:numPr>
          <w:ilvl w:val="1"/>
          <w:numId w:val="42"/>
        </w:numPr>
        <w:spacing w:line="360" w:lineRule="auto"/>
        <w:ind w:left="1134"/>
        <w:rPr>
          <w:rFonts w:ascii="Palatino Linotype" w:eastAsia="Times New Roman" w:hAnsi="Palatino Linotype" w:cs="Arial"/>
          <w:b/>
          <w:bCs/>
          <w:i/>
          <w:iCs/>
          <w:color w:val="000000" w:themeColor="text1"/>
          <w:lang w:val="es-ES"/>
        </w:rPr>
      </w:pPr>
      <w:r w:rsidRPr="003A787D">
        <w:rPr>
          <w:rFonts w:ascii="Palatino Linotype" w:eastAsia="Times New Roman" w:hAnsi="Palatino Linotype" w:cs="Arial"/>
          <w:b/>
          <w:bCs/>
          <w:i/>
          <w:iCs/>
          <w:color w:val="000000" w:themeColor="text1"/>
          <w:lang w:val="es-ES"/>
        </w:rPr>
        <w:t>“G-13-01-02-2019-01 ejemplo detalle diferencias sueldos y salarios, diferencias mensuales.pdf</w:t>
      </w:r>
      <w:r w:rsidR="00E47363" w:rsidRPr="003A787D">
        <w:rPr>
          <w:rFonts w:ascii="Palatino Linotype" w:eastAsia="Times New Roman" w:hAnsi="Palatino Linotype" w:cs="Arial"/>
          <w:b/>
          <w:bCs/>
          <w:i/>
          <w:iCs/>
          <w:color w:val="000000" w:themeColor="text1"/>
          <w:lang w:val="es-ES"/>
        </w:rPr>
        <w:t>”</w:t>
      </w:r>
      <w:r w:rsidR="00E47363" w:rsidRPr="003A787D">
        <w:rPr>
          <w:rFonts w:ascii="Palatino Linotype" w:eastAsia="Times New Roman" w:hAnsi="Palatino Linotype" w:cs="Arial"/>
          <w:color w:val="000000" w:themeColor="text1"/>
          <w:lang w:val="es-ES"/>
        </w:rPr>
        <w:t xml:space="preserve">: Documento de dos fojas consistente en </w:t>
      </w:r>
      <w:r w:rsidR="00FA3FA6" w:rsidRPr="003A787D">
        <w:rPr>
          <w:rFonts w:ascii="Palatino Linotype" w:eastAsia="Times New Roman" w:hAnsi="Palatino Linotype" w:cs="Arial"/>
          <w:color w:val="000000" w:themeColor="text1"/>
          <w:lang w:val="es-ES"/>
        </w:rPr>
        <w:t>el Total de nómina por sueldos y salarios, y el Total de nómina por asimilados a salarios</w:t>
      </w:r>
      <w:r w:rsidR="00E47363" w:rsidRPr="003A787D">
        <w:rPr>
          <w:rFonts w:ascii="Palatino Linotype" w:hAnsi="Palatino Linotype" w:cs="Arial"/>
        </w:rPr>
        <w:t xml:space="preserve">, reportado por el Servicio de Administración Tributaria, respecto a la información de pagos y retenciones por sueldos y salarios </w:t>
      </w:r>
      <w:r w:rsidR="00FA3FA6" w:rsidRPr="003A787D">
        <w:rPr>
          <w:rFonts w:ascii="Palatino Linotype" w:hAnsi="Palatino Linotype" w:cs="Arial"/>
        </w:rPr>
        <w:t>de una dependencia y ejercicio desconocidos</w:t>
      </w:r>
      <w:r w:rsidR="00E47363" w:rsidRPr="003A787D">
        <w:rPr>
          <w:rFonts w:ascii="Palatino Linotype" w:hAnsi="Palatino Linotype" w:cs="Arial"/>
        </w:rPr>
        <w:t>.</w:t>
      </w:r>
    </w:p>
    <w:p w14:paraId="433B8FF3" w14:textId="754E86C2" w:rsidR="005E0AAF" w:rsidRPr="003A787D" w:rsidRDefault="005E0AAF" w:rsidP="005E0AAF">
      <w:pPr>
        <w:tabs>
          <w:tab w:val="left" w:pos="426"/>
        </w:tabs>
        <w:spacing w:line="360" w:lineRule="auto"/>
        <w:jc w:val="both"/>
        <w:rPr>
          <w:rFonts w:ascii="Palatino Linotype" w:eastAsia="Calibri" w:hAnsi="Palatino Linotype" w:cs="Arial"/>
          <w:color w:val="000000" w:themeColor="text1"/>
          <w:lang w:val="es-ES"/>
        </w:rPr>
      </w:pPr>
    </w:p>
    <w:p w14:paraId="65CB77BE" w14:textId="3D77F2F5" w:rsidR="005F1362" w:rsidRPr="003A787D" w:rsidRDefault="0016161C" w:rsidP="00DA22D8">
      <w:pPr>
        <w:pStyle w:val="Prrafodelista"/>
        <w:numPr>
          <w:ilvl w:val="0"/>
          <w:numId w:val="1"/>
        </w:numPr>
        <w:tabs>
          <w:tab w:val="left" w:pos="426"/>
        </w:tabs>
        <w:spacing w:line="360" w:lineRule="auto"/>
        <w:jc w:val="both"/>
        <w:rPr>
          <w:rFonts w:ascii="Palatino Linotype" w:eastAsia="Calibri" w:hAnsi="Palatino Linotype" w:cs="Arial"/>
          <w:color w:val="000000" w:themeColor="text1"/>
          <w:lang w:val="es-ES"/>
        </w:rPr>
      </w:pPr>
      <w:r w:rsidRPr="003A787D">
        <w:rPr>
          <w:rFonts w:ascii="Palatino Linotype" w:eastAsia="Times New Roman" w:hAnsi="Palatino Linotype" w:cs="Arial"/>
          <w:color w:val="000000" w:themeColor="text1"/>
          <w:lang w:val="es-ES"/>
        </w:rPr>
        <w:t>S</w:t>
      </w:r>
      <w:r w:rsidR="005F1362" w:rsidRPr="003A787D">
        <w:rPr>
          <w:rFonts w:ascii="Palatino Linotype" w:eastAsia="Times New Roman" w:hAnsi="Palatino Linotype" w:cs="Arial"/>
          <w:color w:val="000000" w:themeColor="text1"/>
          <w:lang w:val="es-ES"/>
        </w:rPr>
        <w:t xml:space="preserve">e registró el recurso de revisión bajo el número de expediente </w:t>
      </w:r>
      <w:r w:rsidR="004F785F" w:rsidRPr="003A787D">
        <w:rPr>
          <w:rFonts w:ascii="Palatino Linotype" w:hAnsi="Palatino Linotype" w:cs="Arial"/>
          <w:bCs/>
          <w:color w:val="000000" w:themeColor="text1"/>
        </w:rPr>
        <w:t>al rubro indicado, asi</w:t>
      </w:r>
      <w:r w:rsidR="005F1362" w:rsidRPr="003A787D">
        <w:rPr>
          <w:rFonts w:ascii="Palatino Linotype" w:hAnsi="Palatino Linotype" w:cs="Arial"/>
          <w:bCs/>
          <w:color w:val="000000" w:themeColor="text1"/>
        </w:rPr>
        <w:t xml:space="preserve">mismo, con fundamento en lo dispuesto por el </w:t>
      </w:r>
      <w:r w:rsidR="005F1362" w:rsidRPr="003A787D">
        <w:rPr>
          <w:rFonts w:ascii="Palatino Linotype" w:eastAsia="Calibri" w:hAnsi="Palatino Linotype" w:cs="Arial"/>
          <w:bCs/>
          <w:color w:val="000000" w:themeColor="text1"/>
          <w:lang w:val="es-ES"/>
        </w:rPr>
        <w:t>artículo 185</w:t>
      </w:r>
      <w:r w:rsidR="000125A8" w:rsidRPr="003A787D">
        <w:rPr>
          <w:rFonts w:ascii="Palatino Linotype" w:eastAsia="Calibri" w:hAnsi="Palatino Linotype" w:cs="Arial"/>
          <w:bCs/>
          <w:color w:val="000000" w:themeColor="text1"/>
          <w:lang w:val="es-ES"/>
        </w:rPr>
        <w:t>,</w:t>
      </w:r>
      <w:r w:rsidR="005F1362" w:rsidRPr="003A787D">
        <w:rPr>
          <w:rFonts w:ascii="Palatino Linotype" w:eastAsia="Calibri" w:hAnsi="Palatino Linotype" w:cs="Arial"/>
          <w:bCs/>
          <w:color w:val="000000" w:themeColor="text1"/>
          <w:lang w:val="es-ES"/>
        </w:rPr>
        <w:t xml:space="preserve"> fracción I</w:t>
      </w:r>
      <w:r w:rsidR="000125A8" w:rsidRPr="003A787D">
        <w:rPr>
          <w:rFonts w:ascii="Palatino Linotype" w:eastAsia="Calibri" w:hAnsi="Palatino Linotype" w:cs="Arial"/>
          <w:bCs/>
          <w:color w:val="000000" w:themeColor="text1"/>
          <w:lang w:val="es-ES"/>
        </w:rPr>
        <w:t>,</w:t>
      </w:r>
      <w:r w:rsidR="005F1362" w:rsidRPr="003A787D">
        <w:rPr>
          <w:rFonts w:ascii="Palatino Linotype" w:eastAsia="Calibri" w:hAnsi="Palatino Linotype" w:cs="Arial"/>
          <w:bCs/>
          <w:color w:val="000000" w:themeColor="text1"/>
          <w:lang w:val="es-ES"/>
        </w:rPr>
        <w:t xml:space="preserve"> de la Ley de Transparencia y Acceso a la Información Pública del Estado de México y Municipios </w:t>
      </w:r>
      <w:r w:rsidR="005F1362" w:rsidRPr="003A787D">
        <w:rPr>
          <w:rFonts w:ascii="Palatino Linotype" w:eastAsia="Times New Roman" w:hAnsi="Palatino Linotype" w:cs="Arial"/>
          <w:bCs/>
          <w:color w:val="000000" w:themeColor="text1"/>
          <w:lang w:val="es-ES"/>
        </w:rPr>
        <w:t xml:space="preserve">se turnó </w:t>
      </w:r>
      <w:r w:rsidR="0096234B" w:rsidRPr="003A787D">
        <w:rPr>
          <w:rFonts w:ascii="Palatino Linotype" w:eastAsia="Times New Roman" w:hAnsi="Palatino Linotype" w:cs="Arial"/>
          <w:bCs/>
          <w:color w:val="000000" w:themeColor="text1"/>
          <w:lang w:val="es-ES"/>
        </w:rPr>
        <w:t xml:space="preserve">a la </w:t>
      </w:r>
      <w:r w:rsidR="0096234B" w:rsidRPr="003A787D">
        <w:rPr>
          <w:rFonts w:ascii="Palatino Linotype" w:eastAsia="Times New Roman" w:hAnsi="Palatino Linotype" w:cs="Arial"/>
          <w:b/>
          <w:bCs/>
          <w:color w:val="000000" w:themeColor="text1"/>
          <w:lang w:val="es-ES"/>
        </w:rPr>
        <w:t xml:space="preserve">Comisionada </w:t>
      </w:r>
      <w:r w:rsidR="00C44847" w:rsidRPr="003A787D">
        <w:rPr>
          <w:rFonts w:ascii="Palatino Linotype" w:eastAsia="Times New Roman" w:hAnsi="Palatino Linotype" w:cs="Arial"/>
          <w:b/>
          <w:bCs/>
          <w:color w:val="000000" w:themeColor="text1"/>
          <w:lang w:val="es-ES"/>
        </w:rPr>
        <w:t>María del Rosario Mejía Ayala</w:t>
      </w:r>
      <w:r w:rsidR="005F1362" w:rsidRPr="003A787D">
        <w:rPr>
          <w:rFonts w:ascii="Palatino Linotype" w:eastAsia="Times New Roman" w:hAnsi="Palatino Linotype" w:cs="Arial"/>
          <w:bCs/>
          <w:color w:val="000000" w:themeColor="text1"/>
          <w:lang w:val="es-ES"/>
        </w:rPr>
        <w:t xml:space="preserve">, con el objeto de </w:t>
      </w:r>
      <w:r w:rsidR="005F1362" w:rsidRPr="003A787D">
        <w:rPr>
          <w:rFonts w:ascii="Palatino Linotype" w:eastAsia="Times New Roman" w:hAnsi="Palatino Linotype" w:cs="Arial"/>
          <w:bCs/>
          <w:color w:val="000000" w:themeColor="text1"/>
        </w:rPr>
        <w:t>su análisis.</w:t>
      </w:r>
    </w:p>
    <w:p w14:paraId="2BDE682E" w14:textId="77777777" w:rsidR="005F1362" w:rsidRPr="003A787D" w:rsidRDefault="005F1362" w:rsidP="00B31E90">
      <w:pPr>
        <w:pStyle w:val="Prrafodelista"/>
        <w:tabs>
          <w:tab w:val="left" w:pos="426"/>
        </w:tabs>
        <w:spacing w:line="360" w:lineRule="auto"/>
        <w:ind w:left="0"/>
        <w:jc w:val="both"/>
        <w:rPr>
          <w:rFonts w:ascii="Palatino Linotype" w:eastAsia="Calibri" w:hAnsi="Palatino Linotype" w:cs="Arial"/>
          <w:color w:val="000000" w:themeColor="text1"/>
          <w:lang w:val="es-ES"/>
        </w:rPr>
      </w:pPr>
    </w:p>
    <w:p w14:paraId="7DD2621B" w14:textId="5EE77E86" w:rsidR="007446C2" w:rsidRPr="003A787D" w:rsidRDefault="0096234B" w:rsidP="00DA22D8">
      <w:pPr>
        <w:pStyle w:val="Prrafodelista"/>
        <w:numPr>
          <w:ilvl w:val="0"/>
          <w:numId w:val="1"/>
        </w:numPr>
        <w:tabs>
          <w:tab w:val="left" w:pos="426"/>
        </w:tabs>
        <w:spacing w:line="360" w:lineRule="auto"/>
        <w:jc w:val="both"/>
        <w:rPr>
          <w:rFonts w:ascii="Palatino Linotype" w:eastAsia="Calibri" w:hAnsi="Palatino Linotype" w:cs="Arial"/>
          <w:color w:val="000000" w:themeColor="text1"/>
          <w:lang w:val="es-ES"/>
        </w:rPr>
      </w:pPr>
      <w:r w:rsidRPr="003A787D">
        <w:rPr>
          <w:rFonts w:ascii="Palatino Linotype" w:eastAsia="Times New Roman" w:hAnsi="Palatino Linotype" w:cs="Arial"/>
          <w:color w:val="000000" w:themeColor="text1"/>
          <w:lang w:val="es-ES"/>
        </w:rPr>
        <w:t>La</w:t>
      </w:r>
      <w:r w:rsidR="00E647FF" w:rsidRPr="003A787D">
        <w:rPr>
          <w:rFonts w:ascii="Palatino Linotype" w:eastAsia="Times New Roman" w:hAnsi="Palatino Linotype" w:cs="Arial"/>
          <w:color w:val="000000" w:themeColor="text1"/>
          <w:lang w:val="es-ES"/>
        </w:rPr>
        <w:t xml:space="preserve"> </w:t>
      </w:r>
      <w:r w:rsidR="0004686A" w:rsidRPr="003A787D">
        <w:rPr>
          <w:rFonts w:ascii="Palatino Linotype" w:eastAsia="Calibri" w:hAnsi="Palatino Linotype" w:cs="Arial"/>
          <w:color w:val="000000" w:themeColor="text1"/>
          <w:lang w:val="es-ES"/>
        </w:rPr>
        <w:t>Comisionad</w:t>
      </w:r>
      <w:r w:rsidRPr="003A787D">
        <w:rPr>
          <w:rFonts w:ascii="Palatino Linotype" w:eastAsia="Calibri" w:hAnsi="Palatino Linotype" w:cs="Arial"/>
          <w:color w:val="000000" w:themeColor="text1"/>
          <w:lang w:val="es-ES"/>
        </w:rPr>
        <w:t>a</w:t>
      </w:r>
      <w:r w:rsidR="0004686A" w:rsidRPr="003A787D">
        <w:rPr>
          <w:rFonts w:ascii="Palatino Linotype" w:eastAsia="Calibri" w:hAnsi="Palatino Linotype" w:cs="Arial"/>
          <w:color w:val="000000" w:themeColor="text1"/>
          <w:lang w:val="es-ES"/>
        </w:rPr>
        <w:t xml:space="preserve"> Ponente</w:t>
      </w:r>
      <w:r w:rsidR="006B31E7" w:rsidRPr="003A787D">
        <w:rPr>
          <w:rFonts w:ascii="Palatino Linotype" w:eastAsia="Calibri" w:hAnsi="Palatino Linotype" w:cs="Arial"/>
          <w:color w:val="000000" w:themeColor="text1"/>
          <w:lang w:val="es-ES"/>
        </w:rPr>
        <w:t>,</w:t>
      </w:r>
      <w:r w:rsidR="0004686A" w:rsidRPr="003A787D">
        <w:rPr>
          <w:rFonts w:ascii="Palatino Linotype" w:eastAsia="Calibri" w:hAnsi="Palatino Linotype" w:cs="Arial"/>
          <w:color w:val="000000" w:themeColor="text1"/>
          <w:lang w:val="es-ES"/>
        </w:rPr>
        <w:t xml:space="preserve"> con fundamento en lo dispuesto por el artículo 185</w:t>
      </w:r>
      <w:r w:rsidR="0079427C" w:rsidRPr="003A787D">
        <w:rPr>
          <w:rFonts w:ascii="Palatino Linotype" w:eastAsia="Calibri" w:hAnsi="Palatino Linotype" w:cs="Arial"/>
          <w:color w:val="000000" w:themeColor="text1"/>
          <w:lang w:val="es-ES"/>
        </w:rPr>
        <w:t>,</w:t>
      </w:r>
      <w:r w:rsidR="0004686A" w:rsidRPr="003A787D">
        <w:rPr>
          <w:rFonts w:ascii="Palatino Linotype" w:eastAsia="Calibri" w:hAnsi="Palatino Linotype" w:cs="Arial"/>
          <w:color w:val="000000" w:themeColor="text1"/>
          <w:lang w:val="es-ES"/>
        </w:rPr>
        <w:t xml:space="preserve"> fracción II</w:t>
      </w:r>
      <w:r w:rsidR="0079427C" w:rsidRPr="003A787D">
        <w:rPr>
          <w:rFonts w:ascii="Palatino Linotype" w:eastAsia="Calibri" w:hAnsi="Palatino Linotype" w:cs="Arial"/>
          <w:color w:val="000000" w:themeColor="text1"/>
          <w:lang w:val="es-ES"/>
        </w:rPr>
        <w:t>,</w:t>
      </w:r>
      <w:r w:rsidR="0004686A" w:rsidRPr="003A787D">
        <w:rPr>
          <w:rFonts w:ascii="Palatino Linotype" w:eastAsia="Calibri" w:hAnsi="Palatino Linotype" w:cs="Arial"/>
          <w:color w:val="000000" w:themeColor="text1"/>
          <w:lang w:val="es-ES"/>
        </w:rPr>
        <w:t xml:space="preserve"> de la </w:t>
      </w:r>
      <w:r w:rsidR="00613655" w:rsidRPr="003A787D">
        <w:rPr>
          <w:rFonts w:ascii="Palatino Linotype" w:eastAsia="Calibri" w:hAnsi="Palatino Linotype" w:cs="Arial"/>
          <w:color w:val="000000" w:themeColor="text1"/>
          <w:lang w:val="es-ES"/>
        </w:rPr>
        <w:t>Ley de Transparencia y Acceso a la Información Pública del Estado de México y Municipios</w:t>
      </w:r>
      <w:r w:rsidR="0004686A" w:rsidRPr="003A787D">
        <w:rPr>
          <w:rFonts w:ascii="Palatino Linotype" w:eastAsia="Calibri" w:hAnsi="Palatino Linotype" w:cs="Arial"/>
          <w:color w:val="000000" w:themeColor="text1"/>
          <w:lang w:val="es-ES"/>
        </w:rPr>
        <w:t xml:space="preserve">, a través </w:t>
      </w:r>
      <w:r w:rsidR="006E4E2A" w:rsidRPr="003A787D">
        <w:rPr>
          <w:rFonts w:ascii="Palatino Linotype" w:eastAsia="Calibri" w:hAnsi="Palatino Linotype" w:cs="Arial"/>
          <w:color w:val="000000" w:themeColor="text1"/>
          <w:lang w:val="es-ES"/>
        </w:rPr>
        <w:t>del</w:t>
      </w:r>
      <w:r w:rsidR="0004686A" w:rsidRPr="003A787D">
        <w:rPr>
          <w:rFonts w:ascii="Palatino Linotype" w:eastAsia="Calibri" w:hAnsi="Palatino Linotype" w:cs="Arial"/>
          <w:color w:val="000000" w:themeColor="text1"/>
          <w:lang w:val="es-ES"/>
        </w:rPr>
        <w:t xml:space="preserve"> </w:t>
      </w:r>
      <w:r w:rsidR="00B81371" w:rsidRPr="003A787D">
        <w:rPr>
          <w:rFonts w:ascii="Palatino Linotype" w:eastAsia="Calibri" w:hAnsi="Palatino Linotype" w:cs="Arial"/>
          <w:color w:val="000000" w:themeColor="text1"/>
          <w:lang w:val="es-ES"/>
        </w:rPr>
        <w:t xml:space="preserve">acuerdo </w:t>
      </w:r>
      <w:r w:rsidR="00F147C6" w:rsidRPr="003A787D">
        <w:rPr>
          <w:rFonts w:ascii="Palatino Linotype" w:eastAsia="Calibri" w:hAnsi="Palatino Linotype" w:cs="Arial"/>
          <w:color w:val="000000" w:themeColor="text1"/>
          <w:lang w:val="es-ES"/>
        </w:rPr>
        <w:t xml:space="preserve">de admisión </w:t>
      </w:r>
      <w:r w:rsidR="00B81371" w:rsidRPr="003A787D">
        <w:rPr>
          <w:rFonts w:ascii="Palatino Linotype" w:eastAsia="Calibri" w:hAnsi="Palatino Linotype" w:cs="Arial"/>
          <w:color w:val="000000" w:themeColor="text1"/>
          <w:lang w:val="es-ES"/>
        </w:rPr>
        <w:t xml:space="preserve">de </w:t>
      </w:r>
      <w:r w:rsidR="00FA3FA6" w:rsidRPr="003A787D">
        <w:rPr>
          <w:rFonts w:ascii="Palatino Linotype" w:eastAsia="Calibri" w:hAnsi="Palatino Linotype" w:cs="Arial"/>
          <w:color w:val="000000" w:themeColor="text1"/>
          <w:lang w:val="es-ES"/>
        </w:rPr>
        <w:t>veinticuatro (24</w:t>
      </w:r>
      <w:r w:rsidR="0079427C" w:rsidRPr="003A787D">
        <w:rPr>
          <w:rFonts w:ascii="Palatino Linotype" w:eastAsia="Calibri" w:hAnsi="Palatino Linotype" w:cs="Arial"/>
          <w:color w:val="000000" w:themeColor="text1"/>
          <w:lang w:val="es-ES"/>
        </w:rPr>
        <w:t>)</w:t>
      </w:r>
      <w:r w:rsidR="000125A8" w:rsidRPr="003A787D">
        <w:rPr>
          <w:rFonts w:ascii="Palatino Linotype" w:eastAsia="Calibri" w:hAnsi="Palatino Linotype" w:cs="Arial"/>
          <w:color w:val="000000" w:themeColor="text1"/>
          <w:lang w:val="es-ES"/>
        </w:rPr>
        <w:t xml:space="preserve"> de febrero de dos mil veintidós</w:t>
      </w:r>
      <w:r w:rsidR="006A1047" w:rsidRPr="003A787D">
        <w:rPr>
          <w:rFonts w:ascii="Palatino Linotype" w:eastAsia="Calibri" w:hAnsi="Palatino Linotype" w:cs="Arial"/>
          <w:color w:val="000000" w:themeColor="text1"/>
          <w:lang w:val="es-ES"/>
        </w:rPr>
        <w:t xml:space="preserve">, </w:t>
      </w:r>
      <w:r w:rsidR="00B81371" w:rsidRPr="003A787D">
        <w:rPr>
          <w:rFonts w:ascii="Palatino Linotype" w:eastAsia="Calibri" w:hAnsi="Palatino Linotype" w:cs="Arial"/>
          <w:color w:val="000000" w:themeColor="text1"/>
          <w:lang w:val="es-ES"/>
        </w:rPr>
        <w:t xml:space="preserve">puso a </w:t>
      </w:r>
      <w:r w:rsidR="00875167" w:rsidRPr="003A787D">
        <w:rPr>
          <w:rFonts w:ascii="Palatino Linotype" w:eastAsia="Calibri" w:hAnsi="Palatino Linotype" w:cs="Arial"/>
          <w:color w:val="000000" w:themeColor="text1"/>
          <w:lang w:val="es-ES"/>
        </w:rPr>
        <w:t>disposición</w:t>
      </w:r>
      <w:r w:rsidR="00B81371" w:rsidRPr="003A787D">
        <w:rPr>
          <w:rFonts w:ascii="Palatino Linotype" w:eastAsia="Calibri" w:hAnsi="Palatino Linotype" w:cs="Arial"/>
          <w:color w:val="000000" w:themeColor="text1"/>
          <w:lang w:val="es-ES"/>
        </w:rPr>
        <w:t xml:space="preserve"> de las partes el expediente </w:t>
      </w:r>
      <w:r w:rsidR="00B81371" w:rsidRPr="003A787D">
        <w:rPr>
          <w:rFonts w:ascii="Palatino Linotype" w:eastAsia="Calibri" w:hAnsi="Palatino Linotype" w:cs="Arial"/>
          <w:color w:val="000000" w:themeColor="text1"/>
          <w:lang w:val="es-ES"/>
        </w:rPr>
        <w:lastRenderedPageBreak/>
        <w:t xml:space="preserve">electrónico </w:t>
      </w:r>
      <w:r w:rsidR="00B81371" w:rsidRPr="003A787D">
        <w:rPr>
          <w:rFonts w:ascii="Palatino Linotype" w:eastAsia="Calibri" w:hAnsi="Palatino Linotype" w:cs="Arial"/>
          <w:color w:val="000000" w:themeColor="text1"/>
        </w:rPr>
        <w:t>vía</w:t>
      </w:r>
      <w:r w:rsidR="00C44847" w:rsidRPr="003A787D">
        <w:rPr>
          <w:rFonts w:ascii="Palatino Linotype" w:eastAsia="Calibri" w:hAnsi="Palatino Linotype" w:cs="Arial"/>
          <w:color w:val="000000" w:themeColor="text1"/>
        </w:rPr>
        <w:t xml:space="preserve"> SAIMEX</w:t>
      </w:r>
      <w:r w:rsidR="00B81371" w:rsidRPr="003A787D">
        <w:rPr>
          <w:rFonts w:ascii="Palatino Linotype" w:eastAsia="Calibri" w:hAnsi="Palatino Linotype" w:cs="Arial"/>
          <w:b/>
          <w:color w:val="000000" w:themeColor="text1"/>
          <w:lang w:val="es-ES"/>
        </w:rPr>
        <w:t xml:space="preserve"> </w:t>
      </w:r>
      <w:r w:rsidR="00B81371" w:rsidRPr="003A787D">
        <w:rPr>
          <w:rFonts w:ascii="Palatino Linotype" w:eastAsia="Calibri" w:hAnsi="Palatino Linotype" w:cs="Arial"/>
          <w:color w:val="000000" w:themeColor="text1"/>
          <w:lang w:val="es-ES"/>
        </w:rPr>
        <w:t xml:space="preserve">a efecto de que en un plazo máximo de siete días </w:t>
      </w:r>
      <w:r w:rsidR="00875167" w:rsidRPr="003A787D">
        <w:rPr>
          <w:rFonts w:ascii="Palatino Linotype" w:eastAsia="Calibri" w:hAnsi="Palatino Linotype" w:cs="Arial"/>
          <w:color w:val="000000" w:themeColor="text1"/>
          <w:lang w:val="es-ES"/>
        </w:rPr>
        <w:t>manifestaran</w:t>
      </w:r>
      <w:r w:rsidR="00B81371" w:rsidRPr="003A787D">
        <w:rPr>
          <w:rFonts w:ascii="Palatino Linotype" w:eastAsia="Calibri" w:hAnsi="Palatino Linotype" w:cs="Arial"/>
          <w:color w:val="000000" w:themeColor="text1"/>
          <w:lang w:val="es-ES"/>
        </w:rPr>
        <w:t xml:space="preserve"> lo que a</w:t>
      </w:r>
      <w:r w:rsidR="003A2029" w:rsidRPr="003A787D">
        <w:rPr>
          <w:rFonts w:ascii="Palatino Linotype" w:eastAsia="Calibri" w:hAnsi="Palatino Linotype" w:cs="Arial"/>
          <w:color w:val="000000" w:themeColor="text1"/>
          <w:lang w:val="es-ES"/>
        </w:rPr>
        <w:t xml:space="preserve"> su</w:t>
      </w:r>
      <w:r w:rsidR="00B81371" w:rsidRPr="003A787D">
        <w:rPr>
          <w:rFonts w:ascii="Palatino Linotype" w:eastAsia="Calibri" w:hAnsi="Palatino Linotype" w:cs="Arial"/>
          <w:color w:val="000000" w:themeColor="text1"/>
          <w:lang w:val="es-ES"/>
        </w:rPr>
        <w:t xml:space="preserve"> derecho conviniera</w:t>
      </w:r>
      <w:r w:rsidR="00875167" w:rsidRPr="003A787D">
        <w:rPr>
          <w:rFonts w:ascii="Palatino Linotype" w:eastAsia="Calibri" w:hAnsi="Palatino Linotype" w:cs="Arial"/>
          <w:color w:val="000000" w:themeColor="text1"/>
          <w:lang w:val="es-ES"/>
        </w:rPr>
        <w:t>n</w:t>
      </w:r>
      <w:r w:rsidR="00032493" w:rsidRPr="003A787D">
        <w:rPr>
          <w:rFonts w:ascii="Palatino Linotype" w:eastAsia="Calibri" w:hAnsi="Palatino Linotype" w:cs="Arial"/>
          <w:color w:val="000000" w:themeColor="text1"/>
          <w:lang w:val="es-ES"/>
        </w:rPr>
        <w:t>,</w:t>
      </w:r>
      <w:r w:rsidR="00B81371" w:rsidRPr="003A787D">
        <w:rPr>
          <w:rFonts w:ascii="Palatino Linotype" w:eastAsia="Calibri" w:hAnsi="Palatino Linotype" w:cs="Arial"/>
          <w:color w:val="000000" w:themeColor="text1"/>
          <w:lang w:val="es-ES"/>
        </w:rPr>
        <w:t xml:space="preserve"> </w:t>
      </w:r>
      <w:r w:rsidR="00875167" w:rsidRPr="003A787D">
        <w:rPr>
          <w:rFonts w:ascii="Palatino Linotype" w:eastAsia="Calibri" w:hAnsi="Palatino Linotype" w:cs="Arial"/>
          <w:color w:val="000000" w:themeColor="text1"/>
          <w:lang w:val="es-ES"/>
        </w:rPr>
        <w:t>ofrecieran pruebas y</w:t>
      </w:r>
      <w:r w:rsidR="00132C06" w:rsidRPr="003A787D">
        <w:rPr>
          <w:rFonts w:ascii="Palatino Linotype" w:eastAsia="Calibri" w:hAnsi="Palatino Linotype" w:cs="Arial"/>
          <w:color w:val="000000" w:themeColor="text1"/>
          <w:lang w:val="es-ES"/>
        </w:rPr>
        <w:t xml:space="preserve"> </w:t>
      </w:r>
      <w:r w:rsidR="00875167" w:rsidRPr="003A787D">
        <w:rPr>
          <w:rFonts w:ascii="Palatino Linotype" w:eastAsia="Calibri" w:hAnsi="Palatino Linotype" w:cs="Arial"/>
          <w:color w:val="000000" w:themeColor="text1"/>
          <w:lang w:val="es-ES"/>
        </w:rPr>
        <w:t>alegatos según corresponda a</w:t>
      </w:r>
      <w:r w:rsidR="004C20F2" w:rsidRPr="003A787D">
        <w:rPr>
          <w:rFonts w:ascii="Palatino Linotype" w:eastAsia="Calibri" w:hAnsi="Palatino Linotype" w:cs="Arial"/>
          <w:color w:val="000000" w:themeColor="text1"/>
          <w:lang w:val="es-ES"/>
        </w:rPr>
        <w:t xml:space="preserve"> </w:t>
      </w:r>
      <w:r w:rsidR="00875167" w:rsidRPr="003A787D">
        <w:rPr>
          <w:rFonts w:ascii="Palatino Linotype" w:eastAsia="Calibri" w:hAnsi="Palatino Linotype" w:cs="Arial"/>
          <w:color w:val="000000" w:themeColor="text1"/>
          <w:lang w:val="es-ES"/>
        </w:rPr>
        <w:t>l</w:t>
      </w:r>
      <w:r w:rsidR="004C20F2" w:rsidRPr="003A787D">
        <w:rPr>
          <w:rFonts w:ascii="Palatino Linotype" w:eastAsia="Calibri" w:hAnsi="Palatino Linotype" w:cs="Arial"/>
          <w:color w:val="000000" w:themeColor="text1"/>
          <w:lang w:val="es-ES"/>
        </w:rPr>
        <w:t>os</w:t>
      </w:r>
      <w:r w:rsidR="00875167" w:rsidRPr="003A787D">
        <w:rPr>
          <w:rFonts w:ascii="Palatino Linotype" w:eastAsia="Calibri" w:hAnsi="Palatino Linotype" w:cs="Arial"/>
          <w:color w:val="000000" w:themeColor="text1"/>
          <w:lang w:val="es-ES"/>
        </w:rPr>
        <w:t xml:space="preserve"> caso</w:t>
      </w:r>
      <w:r w:rsidR="004C20F2" w:rsidRPr="003A787D">
        <w:rPr>
          <w:rFonts w:ascii="Palatino Linotype" w:eastAsia="Calibri" w:hAnsi="Palatino Linotype" w:cs="Arial"/>
          <w:color w:val="000000" w:themeColor="text1"/>
          <w:lang w:val="es-ES"/>
        </w:rPr>
        <w:t>s</w:t>
      </w:r>
      <w:r w:rsidR="00875167" w:rsidRPr="003A787D">
        <w:rPr>
          <w:rFonts w:ascii="Palatino Linotype" w:eastAsia="Calibri" w:hAnsi="Palatino Linotype" w:cs="Arial"/>
          <w:color w:val="000000" w:themeColor="text1"/>
          <w:lang w:val="es-ES"/>
        </w:rPr>
        <w:t xml:space="preserve"> concreto</w:t>
      </w:r>
      <w:r w:rsidR="004C20F2" w:rsidRPr="003A787D">
        <w:rPr>
          <w:rFonts w:ascii="Palatino Linotype" w:eastAsia="Calibri" w:hAnsi="Palatino Linotype" w:cs="Arial"/>
          <w:color w:val="000000" w:themeColor="text1"/>
          <w:lang w:val="es-ES"/>
        </w:rPr>
        <w:t>s</w:t>
      </w:r>
      <w:r w:rsidR="00875167" w:rsidRPr="003A787D">
        <w:rPr>
          <w:rFonts w:ascii="Palatino Linotype" w:eastAsia="Calibri" w:hAnsi="Palatino Linotype" w:cs="Arial"/>
          <w:color w:val="000000" w:themeColor="text1"/>
          <w:lang w:val="es-ES"/>
        </w:rPr>
        <w:t xml:space="preserve">, </w:t>
      </w:r>
      <w:r w:rsidR="00F147C6" w:rsidRPr="003A787D">
        <w:rPr>
          <w:rFonts w:ascii="Palatino Linotype" w:eastAsia="Calibri" w:hAnsi="Palatino Linotype" w:cs="Arial"/>
          <w:color w:val="000000" w:themeColor="text1"/>
          <w:lang w:val="es-ES"/>
        </w:rPr>
        <w:t>de esta forma</w:t>
      </w:r>
      <w:r w:rsidR="00875167" w:rsidRPr="003A787D">
        <w:rPr>
          <w:rFonts w:ascii="Palatino Linotype" w:eastAsia="Calibri" w:hAnsi="Palatino Linotype" w:cs="Arial"/>
          <w:color w:val="000000" w:themeColor="text1"/>
          <w:lang w:val="es-ES"/>
        </w:rPr>
        <w:t xml:space="preserve"> para que el </w:t>
      </w:r>
      <w:r w:rsidR="00875167" w:rsidRPr="003A787D">
        <w:rPr>
          <w:rFonts w:ascii="Palatino Linotype" w:eastAsia="Calibri" w:hAnsi="Palatino Linotype" w:cs="Arial"/>
          <w:b/>
          <w:color w:val="000000" w:themeColor="text1"/>
          <w:lang w:val="es-ES"/>
        </w:rPr>
        <w:t>SUJETO OBLIGADO</w:t>
      </w:r>
      <w:r w:rsidR="00875167" w:rsidRPr="003A787D">
        <w:rPr>
          <w:rFonts w:ascii="Palatino Linotype" w:eastAsia="Calibri" w:hAnsi="Palatino Linotype" w:cs="Arial"/>
          <w:color w:val="000000" w:themeColor="text1"/>
          <w:lang w:val="es-ES"/>
        </w:rPr>
        <w:t xml:space="preserve"> </w:t>
      </w:r>
      <w:r w:rsidR="00B81371" w:rsidRPr="003A787D">
        <w:rPr>
          <w:rFonts w:ascii="Palatino Linotype" w:eastAsia="Calibri" w:hAnsi="Palatino Linotype" w:cs="Arial"/>
          <w:color w:val="000000" w:themeColor="text1"/>
          <w:lang w:val="es-ES"/>
        </w:rPr>
        <w:t>presentar</w:t>
      </w:r>
      <w:r w:rsidR="003A03D0" w:rsidRPr="003A787D">
        <w:rPr>
          <w:rFonts w:ascii="Palatino Linotype" w:eastAsia="Calibri" w:hAnsi="Palatino Linotype" w:cs="Arial"/>
          <w:color w:val="000000" w:themeColor="text1"/>
          <w:lang w:val="es-ES"/>
        </w:rPr>
        <w:t>a</w:t>
      </w:r>
      <w:r w:rsidR="00B81371" w:rsidRPr="003A787D">
        <w:rPr>
          <w:rFonts w:ascii="Palatino Linotype" w:eastAsia="Calibri" w:hAnsi="Palatino Linotype" w:cs="Arial"/>
          <w:color w:val="000000" w:themeColor="text1"/>
          <w:lang w:val="es-ES"/>
        </w:rPr>
        <w:t xml:space="preserve"> el </w:t>
      </w:r>
      <w:r w:rsidR="00556F72" w:rsidRPr="003A787D">
        <w:rPr>
          <w:rFonts w:ascii="Palatino Linotype" w:eastAsia="Calibri" w:hAnsi="Palatino Linotype" w:cs="Arial"/>
          <w:color w:val="000000" w:themeColor="text1"/>
          <w:lang w:val="es-ES"/>
        </w:rPr>
        <w:t xml:space="preserve">informe justificado </w:t>
      </w:r>
      <w:r w:rsidR="00875167" w:rsidRPr="003A787D">
        <w:rPr>
          <w:rFonts w:ascii="Palatino Linotype" w:eastAsia="Calibri" w:hAnsi="Palatino Linotype" w:cs="Arial"/>
          <w:color w:val="000000" w:themeColor="text1"/>
          <w:lang w:val="es-ES"/>
        </w:rPr>
        <w:t>procedente</w:t>
      </w:r>
      <w:r w:rsidR="00787184" w:rsidRPr="003A787D">
        <w:rPr>
          <w:rFonts w:ascii="Palatino Linotype" w:eastAsia="Calibri" w:hAnsi="Palatino Linotype" w:cs="Arial"/>
          <w:color w:val="000000" w:themeColor="text1"/>
          <w:lang w:val="es-ES"/>
        </w:rPr>
        <w:t>.</w:t>
      </w:r>
    </w:p>
    <w:p w14:paraId="455C196B" w14:textId="77777777" w:rsidR="003F0DDA" w:rsidRPr="003A787D" w:rsidRDefault="003F0DDA" w:rsidP="003F0DDA">
      <w:pPr>
        <w:pStyle w:val="Prrafodelista"/>
        <w:tabs>
          <w:tab w:val="left" w:pos="426"/>
        </w:tabs>
        <w:spacing w:line="360" w:lineRule="auto"/>
        <w:ind w:left="0"/>
        <w:jc w:val="both"/>
        <w:rPr>
          <w:rFonts w:ascii="Palatino Linotype" w:eastAsia="Calibri" w:hAnsi="Palatino Linotype" w:cs="Arial"/>
          <w:color w:val="000000" w:themeColor="text1"/>
          <w:lang w:val="es-ES"/>
        </w:rPr>
      </w:pPr>
    </w:p>
    <w:p w14:paraId="105448E4" w14:textId="6D783844" w:rsidR="00C44847" w:rsidRPr="003A787D" w:rsidRDefault="00C44847" w:rsidP="00D641DC">
      <w:pPr>
        <w:pStyle w:val="Prrafodelista"/>
        <w:numPr>
          <w:ilvl w:val="0"/>
          <w:numId w:val="1"/>
        </w:numPr>
        <w:tabs>
          <w:tab w:val="left" w:pos="426"/>
        </w:tabs>
        <w:spacing w:line="360" w:lineRule="auto"/>
        <w:jc w:val="both"/>
        <w:rPr>
          <w:rFonts w:ascii="Palatino Linotype" w:hAnsi="Palatino Linotype"/>
          <w:color w:val="000000" w:themeColor="text1"/>
        </w:rPr>
      </w:pPr>
      <w:r w:rsidRPr="003A787D">
        <w:rPr>
          <w:rFonts w:ascii="Palatino Linotype" w:eastAsia="Calibri" w:hAnsi="Palatino Linotype" w:cs="Arial"/>
          <w:color w:val="000000" w:themeColor="text1"/>
          <w:lang w:val="es-ES"/>
        </w:rPr>
        <w:t xml:space="preserve">El </w:t>
      </w:r>
      <w:r w:rsidR="00FA3FA6" w:rsidRPr="003A787D">
        <w:rPr>
          <w:rFonts w:ascii="Palatino Linotype" w:eastAsia="Calibri" w:hAnsi="Palatino Linotype" w:cs="Arial"/>
          <w:color w:val="000000" w:themeColor="text1"/>
          <w:lang w:val="es-ES"/>
        </w:rPr>
        <w:t>siete (07</w:t>
      </w:r>
      <w:r w:rsidR="000125A8" w:rsidRPr="003A787D">
        <w:rPr>
          <w:rFonts w:ascii="Palatino Linotype" w:eastAsia="Calibri" w:hAnsi="Palatino Linotype" w:cs="Arial"/>
          <w:color w:val="000000" w:themeColor="text1"/>
          <w:lang w:val="es-ES"/>
        </w:rPr>
        <w:t xml:space="preserve">) de </w:t>
      </w:r>
      <w:r w:rsidR="00FA3FA6" w:rsidRPr="003A787D">
        <w:rPr>
          <w:rFonts w:ascii="Palatino Linotype" w:eastAsia="Calibri" w:hAnsi="Palatino Linotype" w:cs="Arial"/>
          <w:color w:val="000000" w:themeColor="text1"/>
          <w:lang w:val="es-ES"/>
        </w:rPr>
        <w:t>marzo</w:t>
      </w:r>
      <w:r w:rsidR="000125A8" w:rsidRPr="003A787D">
        <w:rPr>
          <w:rFonts w:ascii="Palatino Linotype" w:eastAsia="Calibri" w:hAnsi="Palatino Linotype" w:cs="Arial"/>
          <w:color w:val="000000" w:themeColor="text1"/>
          <w:lang w:val="es-ES"/>
        </w:rPr>
        <w:t xml:space="preserve"> de dos mil veintidós</w:t>
      </w:r>
      <w:r w:rsidRPr="003A787D">
        <w:rPr>
          <w:rFonts w:ascii="Palatino Linotype" w:eastAsia="Calibri" w:hAnsi="Palatino Linotype" w:cs="Arial"/>
          <w:color w:val="000000" w:themeColor="text1"/>
          <w:lang w:val="es-ES"/>
        </w:rPr>
        <w:t xml:space="preserve">, el </w:t>
      </w:r>
      <w:r w:rsidRPr="003A787D">
        <w:rPr>
          <w:rFonts w:ascii="Palatino Linotype" w:eastAsia="Calibri" w:hAnsi="Palatino Linotype" w:cs="Arial"/>
          <w:b/>
          <w:color w:val="000000" w:themeColor="text1"/>
          <w:lang w:val="es-ES"/>
        </w:rPr>
        <w:t>SUJETO OBLIGADO</w:t>
      </w:r>
      <w:r w:rsidRPr="003A787D">
        <w:rPr>
          <w:rFonts w:ascii="Palatino Linotype" w:eastAsia="Calibri" w:hAnsi="Palatino Linotype" w:cs="Arial"/>
          <w:color w:val="000000" w:themeColor="text1"/>
          <w:lang w:val="es-ES"/>
        </w:rPr>
        <w:t xml:space="preserve"> presentó su informe justificado a través de</w:t>
      </w:r>
      <w:r w:rsidR="00FA3FA6" w:rsidRPr="003A787D">
        <w:rPr>
          <w:rFonts w:ascii="Palatino Linotype" w:eastAsia="Calibri" w:hAnsi="Palatino Linotype" w:cs="Arial"/>
          <w:color w:val="000000" w:themeColor="text1"/>
          <w:lang w:val="es-ES"/>
        </w:rPr>
        <w:t xml:space="preserve"> </w:t>
      </w:r>
      <w:r w:rsidRPr="003A787D">
        <w:rPr>
          <w:rFonts w:ascii="Palatino Linotype" w:eastAsia="Calibri" w:hAnsi="Palatino Linotype" w:cs="Arial"/>
          <w:color w:val="000000" w:themeColor="text1"/>
          <w:lang w:val="es-ES"/>
        </w:rPr>
        <w:t>l</w:t>
      </w:r>
      <w:r w:rsidR="00FA3FA6" w:rsidRPr="003A787D">
        <w:rPr>
          <w:rFonts w:ascii="Palatino Linotype" w:eastAsia="Calibri" w:hAnsi="Palatino Linotype" w:cs="Arial"/>
          <w:color w:val="000000" w:themeColor="text1"/>
          <w:lang w:val="es-ES"/>
        </w:rPr>
        <w:t>os</w:t>
      </w:r>
      <w:r w:rsidRPr="003A787D">
        <w:rPr>
          <w:rFonts w:ascii="Palatino Linotype" w:eastAsia="Calibri" w:hAnsi="Palatino Linotype" w:cs="Arial"/>
          <w:color w:val="000000" w:themeColor="text1"/>
          <w:lang w:val="es-ES"/>
        </w:rPr>
        <w:t xml:space="preserve"> archivo</w:t>
      </w:r>
      <w:r w:rsidR="00FA3FA6" w:rsidRPr="003A787D">
        <w:rPr>
          <w:rFonts w:ascii="Palatino Linotype" w:eastAsia="Calibri" w:hAnsi="Palatino Linotype" w:cs="Arial"/>
          <w:color w:val="000000" w:themeColor="text1"/>
          <w:lang w:val="es-ES"/>
        </w:rPr>
        <w:t>s</w:t>
      </w:r>
      <w:r w:rsidRPr="003A787D">
        <w:rPr>
          <w:rFonts w:ascii="Palatino Linotype" w:eastAsia="Calibri" w:hAnsi="Palatino Linotype" w:cs="Arial"/>
          <w:color w:val="000000" w:themeColor="text1"/>
          <w:lang w:val="es-ES"/>
        </w:rPr>
        <w:t xml:space="preserve"> electrónico</w:t>
      </w:r>
      <w:r w:rsidR="00FA3FA6" w:rsidRPr="003A787D">
        <w:rPr>
          <w:rFonts w:ascii="Palatino Linotype" w:eastAsia="Calibri" w:hAnsi="Palatino Linotype" w:cs="Arial"/>
          <w:color w:val="000000" w:themeColor="text1"/>
          <w:lang w:val="es-ES"/>
        </w:rPr>
        <w:t>s</w:t>
      </w:r>
      <w:r w:rsidRPr="003A787D">
        <w:rPr>
          <w:rFonts w:ascii="Palatino Linotype" w:eastAsia="Calibri" w:hAnsi="Palatino Linotype" w:cs="Arial"/>
          <w:color w:val="000000" w:themeColor="text1"/>
          <w:lang w:val="es-ES"/>
        </w:rPr>
        <w:t xml:space="preserve"> cuyo contenido se describe a continuación:</w:t>
      </w:r>
    </w:p>
    <w:p w14:paraId="6C794D42" w14:textId="0E07A565" w:rsidR="00D641DC" w:rsidRPr="003A787D" w:rsidRDefault="00C44847" w:rsidP="000125A8">
      <w:pPr>
        <w:pStyle w:val="Prrafodelista"/>
        <w:numPr>
          <w:ilvl w:val="1"/>
          <w:numId w:val="11"/>
        </w:numPr>
        <w:tabs>
          <w:tab w:val="left" w:pos="426"/>
        </w:tabs>
        <w:spacing w:line="360" w:lineRule="auto"/>
        <w:ind w:left="1134"/>
        <w:jc w:val="both"/>
        <w:rPr>
          <w:rFonts w:ascii="Palatino Linotype" w:hAnsi="Palatino Linotype"/>
          <w:color w:val="000000" w:themeColor="text1"/>
        </w:rPr>
      </w:pPr>
      <w:r w:rsidRPr="003A787D">
        <w:rPr>
          <w:rFonts w:ascii="Palatino Linotype" w:eastAsia="Calibri" w:hAnsi="Palatino Linotype" w:cs="Arial"/>
          <w:b/>
          <w:i/>
          <w:color w:val="000000" w:themeColor="text1"/>
          <w:lang w:val="es-ES"/>
        </w:rPr>
        <w:t>“</w:t>
      </w:r>
      <w:proofErr w:type="spellStart"/>
      <w:r w:rsidR="00FA3FA6" w:rsidRPr="003A787D">
        <w:rPr>
          <w:rFonts w:ascii="Palatino Linotype" w:eastAsia="Calibri" w:hAnsi="Palatino Linotype" w:cs="Arial"/>
          <w:b/>
          <w:i/>
          <w:color w:val="000000" w:themeColor="text1"/>
          <w:lang w:val="es-ES"/>
        </w:rPr>
        <w:t>infoem</w:t>
      </w:r>
      <w:proofErr w:type="spellEnd"/>
      <w:r w:rsidR="00FA3FA6" w:rsidRPr="003A787D">
        <w:rPr>
          <w:rFonts w:ascii="Palatino Linotype" w:eastAsia="Calibri" w:hAnsi="Palatino Linotype" w:cs="Arial"/>
          <w:b/>
          <w:i/>
          <w:color w:val="000000" w:themeColor="text1"/>
          <w:lang w:val="es-ES"/>
        </w:rPr>
        <w:t xml:space="preserve"> 2022.docx”</w:t>
      </w:r>
      <w:r w:rsidR="00FA3FA6" w:rsidRPr="003A787D">
        <w:rPr>
          <w:rFonts w:ascii="Palatino Linotype" w:eastAsia="Calibri" w:hAnsi="Palatino Linotype" w:cs="Arial"/>
          <w:bCs/>
          <w:iCs/>
          <w:color w:val="000000" w:themeColor="text1"/>
          <w:lang w:val="es-ES"/>
        </w:rPr>
        <w:t xml:space="preserve">: Documento </w:t>
      </w:r>
      <w:r w:rsidR="00E0618C" w:rsidRPr="003A787D">
        <w:rPr>
          <w:rFonts w:ascii="Palatino Linotype" w:eastAsia="Calibri" w:hAnsi="Palatino Linotype" w:cs="Arial"/>
          <w:bCs/>
          <w:iCs/>
          <w:color w:val="000000" w:themeColor="text1"/>
          <w:lang w:val="es-ES"/>
        </w:rPr>
        <w:t xml:space="preserve">de seis fojas, consistente en </w:t>
      </w:r>
      <w:r w:rsidR="00756175" w:rsidRPr="003A787D">
        <w:rPr>
          <w:rFonts w:ascii="Palatino Linotype" w:eastAsia="Calibri" w:hAnsi="Palatino Linotype" w:cs="Arial"/>
          <w:bCs/>
          <w:iCs/>
          <w:color w:val="000000" w:themeColor="text1"/>
          <w:lang w:val="es-ES"/>
        </w:rPr>
        <w:t xml:space="preserve">los formatos ‘Total de nómina por sueldos y salarios’ y ‘Total de nómina por asimilados a salarios’, </w:t>
      </w:r>
      <w:r w:rsidR="00756175" w:rsidRPr="003A787D">
        <w:rPr>
          <w:rFonts w:ascii="Palatino Linotype" w:hAnsi="Palatino Linotype" w:cs="Arial"/>
        </w:rPr>
        <w:t xml:space="preserve">reportado por el Servicio de Administración Tributaria, respecto a la información de pagos y retenciones por sueldos y salarios del </w:t>
      </w:r>
      <w:r w:rsidR="00756175" w:rsidRPr="003A787D">
        <w:rPr>
          <w:rFonts w:ascii="Palatino Linotype" w:hAnsi="Palatino Linotype" w:cs="Arial"/>
          <w:b/>
          <w:bCs/>
        </w:rPr>
        <w:t>SUJETO OBLIGADO</w:t>
      </w:r>
      <w:r w:rsidR="00756175" w:rsidRPr="003A787D">
        <w:rPr>
          <w:rFonts w:ascii="Palatino Linotype" w:hAnsi="Palatino Linotype" w:cs="Arial"/>
        </w:rPr>
        <w:t>, de los ejercicios dos mil diecinueve, dos mil veinte y dos mil veintiuno.</w:t>
      </w:r>
    </w:p>
    <w:p w14:paraId="169748A9" w14:textId="55AE45B4" w:rsidR="00FA3FA6" w:rsidRPr="003A787D" w:rsidRDefault="00FA3FA6" w:rsidP="000125A8">
      <w:pPr>
        <w:pStyle w:val="Prrafodelista"/>
        <w:numPr>
          <w:ilvl w:val="1"/>
          <w:numId w:val="11"/>
        </w:numPr>
        <w:tabs>
          <w:tab w:val="left" w:pos="426"/>
        </w:tabs>
        <w:spacing w:line="360" w:lineRule="auto"/>
        <w:ind w:left="1134"/>
        <w:jc w:val="both"/>
        <w:rPr>
          <w:rFonts w:ascii="Palatino Linotype" w:hAnsi="Palatino Linotype"/>
          <w:color w:val="000000" w:themeColor="text1"/>
        </w:rPr>
      </w:pPr>
      <w:r w:rsidRPr="003A787D">
        <w:rPr>
          <w:rFonts w:ascii="Palatino Linotype" w:eastAsia="Calibri" w:hAnsi="Palatino Linotype" w:cs="Arial"/>
          <w:b/>
          <w:i/>
          <w:color w:val="000000" w:themeColor="text1"/>
          <w:lang w:val="es-ES"/>
        </w:rPr>
        <w:t>“Recurso de revisión 01.pdf”</w:t>
      </w:r>
      <w:r w:rsidRPr="003A787D">
        <w:rPr>
          <w:rFonts w:ascii="Palatino Linotype" w:eastAsia="Calibri" w:hAnsi="Palatino Linotype" w:cs="Arial"/>
          <w:bCs/>
          <w:iCs/>
          <w:color w:val="000000" w:themeColor="text1"/>
          <w:lang w:val="es-ES"/>
        </w:rPr>
        <w:t xml:space="preserve">: Documento </w:t>
      </w:r>
      <w:r w:rsidR="00756175" w:rsidRPr="003A787D">
        <w:rPr>
          <w:rFonts w:ascii="Palatino Linotype" w:eastAsia="Calibri" w:hAnsi="Palatino Linotype" w:cs="Arial"/>
          <w:bCs/>
          <w:iCs/>
          <w:color w:val="000000" w:themeColor="text1"/>
          <w:lang w:val="es-ES"/>
        </w:rPr>
        <w:t xml:space="preserve">de una foja consistente en el oficio número SMDIF3058/A00305/024/2022, de siete (07) de marzo de dos mil veintidós, emitido por el Titular de la Unidad de Transparencia, por medio del cual, pone para consideración del asunto nueva información presentada a través de los archivos </w:t>
      </w:r>
      <w:r w:rsidR="002763BA" w:rsidRPr="003A787D">
        <w:rPr>
          <w:rFonts w:ascii="Palatino Linotype" w:eastAsia="Calibri" w:hAnsi="Palatino Linotype" w:cs="Arial"/>
          <w:bCs/>
          <w:iCs/>
          <w:color w:val="000000" w:themeColor="text1"/>
          <w:lang w:val="es-ES"/>
        </w:rPr>
        <w:t xml:space="preserve">subidos al apartado de </w:t>
      </w:r>
      <w:r w:rsidR="002763BA" w:rsidRPr="003A787D">
        <w:rPr>
          <w:rFonts w:ascii="Palatino Linotype" w:eastAsia="Calibri" w:hAnsi="Palatino Linotype" w:cs="Arial"/>
          <w:bCs/>
          <w:i/>
          <w:color w:val="000000" w:themeColor="text1"/>
          <w:lang w:val="es-ES"/>
        </w:rPr>
        <w:t>Manifestaciones</w:t>
      </w:r>
      <w:r w:rsidR="002763BA" w:rsidRPr="003A787D">
        <w:rPr>
          <w:rFonts w:ascii="Palatino Linotype" w:eastAsia="Calibri" w:hAnsi="Palatino Linotype" w:cs="Arial"/>
          <w:bCs/>
          <w:iCs/>
          <w:color w:val="000000" w:themeColor="text1"/>
          <w:lang w:val="es-ES"/>
        </w:rPr>
        <w:t xml:space="preserve"> del SAIMEX.</w:t>
      </w:r>
    </w:p>
    <w:p w14:paraId="67969EA0" w14:textId="2C5042FE" w:rsidR="002763BA" w:rsidRPr="003A787D" w:rsidRDefault="002763BA" w:rsidP="002763BA">
      <w:pPr>
        <w:pStyle w:val="Prrafodelista"/>
        <w:numPr>
          <w:ilvl w:val="1"/>
          <w:numId w:val="11"/>
        </w:numPr>
        <w:tabs>
          <w:tab w:val="left" w:pos="426"/>
        </w:tabs>
        <w:spacing w:line="360" w:lineRule="auto"/>
        <w:ind w:left="1134"/>
        <w:jc w:val="both"/>
        <w:rPr>
          <w:rFonts w:ascii="Palatino Linotype" w:hAnsi="Palatino Linotype"/>
          <w:color w:val="000000" w:themeColor="text1"/>
        </w:rPr>
      </w:pPr>
      <w:r w:rsidRPr="003A787D">
        <w:rPr>
          <w:rFonts w:ascii="Palatino Linotype" w:eastAsia="Calibri" w:hAnsi="Palatino Linotype" w:cs="Arial"/>
          <w:b/>
          <w:i/>
          <w:color w:val="000000" w:themeColor="text1"/>
          <w:lang w:val="es-ES"/>
        </w:rPr>
        <w:t>“DetalleAnual.SDI910101QX8.2018.pdf”</w:t>
      </w:r>
      <w:r w:rsidRPr="003A787D">
        <w:rPr>
          <w:rFonts w:ascii="Palatino Linotype" w:eastAsia="Calibri" w:hAnsi="Palatino Linotype" w:cs="Arial"/>
          <w:bCs/>
          <w:iCs/>
          <w:color w:val="000000" w:themeColor="text1"/>
          <w:lang w:val="es-ES"/>
        </w:rPr>
        <w:t xml:space="preserve">: Documento de dos fojas consistente en el </w:t>
      </w:r>
      <w:r w:rsidRPr="003A787D">
        <w:rPr>
          <w:rFonts w:ascii="Palatino Linotype" w:hAnsi="Palatino Linotype" w:cs="Arial"/>
        </w:rPr>
        <w:t>formato ‘Vista anual acumulada’ del ejercicio dos mil dieciocho, reportado por el Servicio de Administración Tributaria, respecto a la información de pagos y retenciones por sueldos y salarios.</w:t>
      </w:r>
    </w:p>
    <w:p w14:paraId="0FE9B0B3" w14:textId="78FE31A4" w:rsidR="002763BA" w:rsidRPr="003A787D" w:rsidRDefault="002763BA" w:rsidP="002763BA">
      <w:pPr>
        <w:pStyle w:val="Prrafodelista"/>
        <w:numPr>
          <w:ilvl w:val="1"/>
          <w:numId w:val="11"/>
        </w:numPr>
        <w:tabs>
          <w:tab w:val="left" w:pos="426"/>
        </w:tabs>
        <w:spacing w:line="360" w:lineRule="auto"/>
        <w:ind w:left="1134"/>
        <w:jc w:val="both"/>
        <w:rPr>
          <w:rFonts w:ascii="Palatino Linotype" w:hAnsi="Palatino Linotype"/>
          <w:color w:val="000000" w:themeColor="text1"/>
        </w:rPr>
      </w:pPr>
      <w:r w:rsidRPr="003A787D">
        <w:rPr>
          <w:rFonts w:ascii="Palatino Linotype" w:eastAsia="Calibri" w:hAnsi="Palatino Linotype" w:cs="Arial"/>
          <w:b/>
          <w:i/>
          <w:color w:val="000000" w:themeColor="text1"/>
          <w:lang w:val="es-ES"/>
        </w:rPr>
        <w:lastRenderedPageBreak/>
        <w:t>“DetalleAnual.SDI910101QX8.2019.pdf”</w:t>
      </w:r>
      <w:r w:rsidRPr="003A787D">
        <w:rPr>
          <w:rFonts w:ascii="Palatino Linotype" w:eastAsia="Calibri" w:hAnsi="Palatino Linotype" w:cs="Arial"/>
          <w:bCs/>
          <w:iCs/>
          <w:color w:val="000000" w:themeColor="text1"/>
          <w:lang w:val="es-ES"/>
        </w:rPr>
        <w:t xml:space="preserve">: Documento de una foja consistente en el </w:t>
      </w:r>
      <w:r w:rsidRPr="003A787D">
        <w:rPr>
          <w:rFonts w:ascii="Palatino Linotype" w:hAnsi="Palatino Linotype" w:cs="Arial"/>
        </w:rPr>
        <w:t>formato ‘Vista anual acumulada’ del ejercicio dos mil diecinueve, reportado por el Servicio de Administración Tributaria, respecto a la información de pagos y retenciones por sueldos y salarios.</w:t>
      </w:r>
    </w:p>
    <w:p w14:paraId="79EFA052" w14:textId="2C6167C8" w:rsidR="002763BA" w:rsidRPr="003A787D" w:rsidRDefault="002763BA" w:rsidP="002763BA">
      <w:pPr>
        <w:pStyle w:val="Prrafodelista"/>
        <w:numPr>
          <w:ilvl w:val="1"/>
          <w:numId w:val="11"/>
        </w:numPr>
        <w:tabs>
          <w:tab w:val="left" w:pos="426"/>
        </w:tabs>
        <w:spacing w:line="360" w:lineRule="auto"/>
        <w:ind w:left="1134"/>
        <w:jc w:val="both"/>
        <w:rPr>
          <w:rFonts w:ascii="Palatino Linotype" w:hAnsi="Palatino Linotype"/>
          <w:color w:val="000000" w:themeColor="text1"/>
        </w:rPr>
      </w:pPr>
      <w:r w:rsidRPr="003A787D">
        <w:rPr>
          <w:rFonts w:ascii="Palatino Linotype" w:eastAsia="Calibri" w:hAnsi="Palatino Linotype" w:cs="Arial"/>
          <w:b/>
          <w:i/>
          <w:color w:val="000000" w:themeColor="text1"/>
          <w:lang w:val="es-ES"/>
        </w:rPr>
        <w:t>“DetalleAnual.SDI910101QX8.2020.pdf”</w:t>
      </w:r>
      <w:r w:rsidRPr="003A787D">
        <w:rPr>
          <w:rFonts w:ascii="Palatino Linotype" w:eastAsia="Calibri" w:hAnsi="Palatino Linotype" w:cs="Arial"/>
          <w:bCs/>
          <w:iCs/>
          <w:color w:val="000000" w:themeColor="text1"/>
          <w:lang w:val="es-ES"/>
        </w:rPr>
        <w:t xml:space="preserve">: Documento </w:t>
      </w:r>
      <w:r w:rsidR="0031578C" w:rsidRPr="003A787D">
        <w:rPr>
          <w:rFonts w:ascii="Palatino Linotype" w:eastAsia="Calibri" w:hAnsi="Palatino Linotype" w:cs="Arial"/>
          <w:bCs/>
          <w:iCs/>
          <w:color w:val="000000" w:themeColor="text1"/>
          <w:lang w:val="es-ES"/>
        </w:rPr>
        <w:t xml:space="preserve">de una foja consistente en el </w:t>
      </w:r>
      <w:r w:rsidR="0031578C" w:rsidRPr="003A787D">
        <w:rPr>
          <w:rFonts w:ascii="Palatino Linotype" w:hAnsi="Palatino Linotype" w:cs="Arial"/>
        </w:rPr>
        <w:t>formato ‘Vista anual acumulada’ del ejercicio dos mil veinte, reportado por el Servicio de Administración Tributaria, respecto a la información de pagos y retenciones por sueldos y salarios.</w:t>
      </w:r>
    </w:p>
    <w:p w14:paraId="195B7C1F" w14:textId="287BD82C" w:rsidR="00FA3FA6" w:rsidRPr="003A787D" w:rsidRDefault="00FA3FA6" w:rsidP="000125A8">
      <w:pPr>
        <w:pStyle w:val="Prrafodelista"/>
        <w:numPr>
          <w:ilvl w:val="1"/>
          <w:numId w:val="11"/>
        </w:numPr>
        <w:tabs>
          <w:tab w:val="left" w:pos="426"/>
        </w:tabs>
        <w:spacing w:line="360" w:lineRule="auto"/>
        <w:ind w:left="1134"/>
        <w:jc w:val="both"/>
        <w:rPr>
          <w:rFonts w:ascii="Palatino Linotype" w:hAnsi="Palatino Linotype"/>
          <w:color w:val="000000" w:themeColor="text1"/>
        </w:rPr>
      </w:pPr>
      <w:r w:rsidRPr="003A787D">
        <w:rPr>
          <w:rFonts w:ascii="Palatino Linotype" w:eastAsia="Calibri" w:hAnsi="Palatino Linotype" w:cs="Arial"/>
          <w:b/>
          <w:i/>
          <w:color w:val="000000" w:themeColor="text1"/>
          <w:lang w:val="es-ES"/>
        </w:rPr>
        <w:t>“DetalleAnual.SDI910101QX8.2021.pdf”</w:t>
      </w:r>
      <w:r w:rsidRPr="003A787D">
        <w:rPr>
          <w:rFonts w:ascii="Palatino Linotype" w:eastAsia="Calibri" w:hAnsi="Palatino Linotype" w:cs="Arial"/>
          <w:bCs/>
          <w:iCs/>
          <w:color w:val="000000" w:themeColor="text1"/>
          <w:lang w:val="es-ES"/>
        </w:rPr>
        <w:t xml:space="preserve">: Documento </w:t>
      </w:r>
      <w:r w:rsidR="0031578C" w:rsidRPr="003A787D">
        <w:rPr>
          <w:rFonts w:ascii="Palatino Linotype" w:eastAsia="Calibri" w:hAnsi="Palatino Linotype" w:cs="Arial"/>
          <w:bCs/>
          <w:iCs/>
          <w:color w:val="000000" w:themeColor="text1"/>
          <w:lang w:val="es-ES"/>
        </w:rPr>
        <w:t xml:space="preserve">de una foja consistente en el </w:t>
      </w:r>
      <w:r w:rsidR="0031578C" w:rsidRPr="003A787D">
        <w:rPr>
          <w:rFonts w:ascii="Palatino Linotype" w:hAnsi="Palatino Linotype" w:cs="Arial"/>
        </w:rPr>
        <w:t>formato ‘Vista anual acumulada’ del ejercicio dos mil veintiuno, reportado por el Servicio de Administración Tributaria, respecto a la información de pagos y retenciones por sueldos y salarios.</w:t>
      </w:r>
    </w:p>
    <w:p w14:paraId="1B1EDDA4" w14:textId="6CD94113" w:rsidR="00FA3FA6" w:rsidRPr="003A787D" w:rsidRDefault="00FA3FA6" w:rsidP="000125A8">
      <w:pPr>
        <w:pStyle w:val="Prrafodelista"/>
        <w:numPr>
          <w:ilvl w:val="1"/>
          <w:numId w:val="11"/>
        </w:numPr>
        <w:tabs>
          <w:tab w:val="left" w:pos="426"/>
        </w:tabs>
        <w:spacing w:line="360" w:lineRule="auto"/>
        <w:ind w:left="1134"/>
        <w:jc w:val="both"/>
        <w:rPr>
          <w:rFonts w:ascii="Palatino Linotype" w:hAnsi="Palatino Linotype"/>
          <w:color w:val="000000" w:themeColor="text1"/>
        </w:rPr>
      </w:pPr>
      <w:r w:rsidRPr="003A787D">
        <w:rPr>
          <w:rFonts w:ascii="Palatino Linotype" w:eastAsia="Calibri" w:hAnsi="Palatino Linotype" w:cs="Arial"/>
          <w:b/>
          <w:i/>
          <w:color w:val="000000" w:themeColor="text1"/>
          <w:lang w:val="es-ES"/>
        </w:rPr>
        <w:t>“DetalleMensual.SDI910101QX8</w:t>
      </w:r>
      <w:proofErr w:type="gramStart"/>
      <w:r w:rsidRPr="003A787D">
        <w:rPr>
          <w:rFonts w:ascii="Palatino Linotype" w:eastAsia="Calibri" w:hAnsi="Palatino Linotype" w:cs="Arial"/>
          <w:b/>
          <w:i/>
          <w:color w:val="000000" w:themeColor="text1"/>
          <w:lang w:val="es-ES"/>
        </w:rPr>
        <w:t>..</w:t>
      </w:r>
      <w:proofErr w:type="gramEnd"/>
      <w:r w:rsidRPr="003A787D">
        <w:rPr>
          <w:rFonts w:ascii="Palatino Linotype" w:eastAsia="Calibri" w:hAnsi="Palatino Linotype" w:cs="Arial"/>
          <w:b/>
          <w:i/>
          <w:color w:val="000000" w:themeColor="text1"/>
          <w:lang w:val="es-ES"/>
        </w:rPr>
        <w:t>2018(2).</w:t>
      </w:r>
      <w:proofErr w:type="spellStart"/>
      <w:r w:rsidRPr="003A787D">
        <w:rPr>
          <w:rFonts w:ascii="Palatino Linotype" w:eastAsia="Calibri" w:hAnsi="Palatino Linotype" w:cs="Arial"/>
          <w:b/>
          <w:i/>
          <w:color w:val="000000" w:themeColor="text1"/>
          <w:lang w:val="es-ES"/>
        </w:rPr>
        <w:t>pdf</w:t>
      </w:r>
      <w:proofErr w:type="spellEnd"/>
      <w:r w:rsidRPr="003A787D">
        <w:rPr>
          <w:rFonts w:ascii="Palatino Linotype" w:eastAsia="Calibri" w:hAnsi="Palatino Linotype" w:cs="Arial"/>
          <w:b/>
          <w:i/>
          <w:color w:val="000000" w:themeColor="text1"/>
          <w:lang w:val="es-ES"/>
        </w:rPr>
        <w:t>”</w:t>
      </w:r>
      <w:r w:rsidRPr="003A787D">
        <w:rPr>
          <w:rFonts w:ascii="Palatino Linotype" w:eastAsia="Calibri" w:hAnsi="Palatino Linotype" w:cs="Arial"/>
          <w:bCs/>
          <w:iCs/>
          <w:color w:val="000000" w:themeColor="text1"/>
          <w:lang w:val="es-ES"/>
        </w:rPr>
        <w:t>: Documento</w:t>
      </w:r>
      <w:r w:rsidR="0031578C" w:rsidRPr="003A787D">
        <w:rPr>
          <w:rFonts w:ascii="Palatino Linotype" w:eastAsia="Calibri" w:hAnsi="Palatino Linotype" w:cs="Arial"/>
          <w:bCs/>
          <w:iCs/>
          <w:color w:val="000000" w:themeColor="text1"/>
          <w:lang w:val="es-ES"/>
        </w:rPr>
        <w:t xml:space="preserve"> de tres fojas consistente en el formato ‘Detalle mensual’ del ejercicio dos mil dieciocho, </w:t>
      </w:r>
      <w:r w:rsidR="0031578C" w:rsidRPr="003A787D">
        <w:rPr>
          <w:rFonts w:ascii="Palatino Linotype" w:hAnsi="Palatino Linotype" w:cs="Arial"/>
        </w:rPr>
        <w:t>reportado por el Servicio de Administración Tributaria, respecto a la información de pagos y retenciones por sueldos y salarios.</w:t>
      </w:r>
    </w:p>
    <w:p w14:paraId="08D20698" w14:textId="3E085A98" w:rsidR="00FA3FA6" w:rsidRPr="003A787D" w:rsidRDefault="00FA3FA6" w:rsidP="000125A8">
      <w:pPr>
        <w:pStyle w:val="Prrafodelista"/>
        <w:numPr>
          <w:ilvl w:val="1"/>
          <w:numId w:val="11"/>
        </w:numPr>
        <w:tabs>
          <w:tab w:val="left" w:pos="426"/>
        </w:tabs>
        <w:spacing w:line="360" w:lineRule="auto"/>
        <w:ind w:left="1134"/>
        <w:jc w:val="both"/>
        <w:rPr>
          <w:rFonts w:ascii="Palatino Linotype" w:hAnsi="Palatino Linotype"/>
          <w:color w:val="000000" w:themeColor="text1"/>
        </w:rPr>
      </w:pPr>
      <w:r w:rsidRPr="003A787D">
        <w:rPr>
          <w:rFonts w:ascii="Palatino Linotype" w:eastAsia="Calibri" w:hAnsi="Palatino Linotype" w:cs="Arial"/>
          <w:b/>
          <w:i/>
          <w:color w:val="000000" w:themeColor="text1"/>
          <w:lang w:val="es-ES"/>
        </w:rPr>
        <w:t>“DetalleMensual.SDI910101QX8.SDI910101QX8.2019.pdf”</w:t>
      </w:r>
      <w:r w:rsidRPr="003A787D">
        <w:rPr>
          <w:rFonts w:ascii="Palatino Linotype" w:eastAsia="Calibri" w:hAnsi="Palatino Linotype" w:cs="Arial"/>
          <w:bCs/>
          <w:iCs/>
          <w:color w:val="000000" w:themeColor="text1"/>
          <w:lang w:val="es-ES"/>
        </w:rPr>
        <w:t xml:space="preserve">: Documento </w:t>
      </w:r>
      <w:r w:rsidR="0031578C" w:rsidRPr="003A787D">
        <w:rPr>
          <w:rFonts w:ascii="Palatino Linotype" w:eastAsia="Calibri" w:hAnsi="Palatino Linotype" w:cs="Arial"/>
          <w:bCs/>
          <w:iCs/>
          <w:color w:val="000000" w:themeColor="text1"/>
          <w:lang w:val="es-ES"/>
        </w:rPr>
        <w:t xml:space="preserve">de cinco fojas consistente en el formato ‘Detalle mensual’ del ejercicio dos mil diecinueve, </w:t>
      </w:r>
      <w:r w:rsidR="0031578C" w:rsidRPr="003A787D">
        <w:rPr>
          <w:rFonts w:ascii="Palatino Linotype" w:hAnsi="Palatino Linotype" w:cs="Arial"/>
        </w:rPr>
        <w:t>reportado por el Servicio de Administración Tributaria, respecto a la información de pagos y retenciones por sueldos y salarios.</w:t>
      </w:r>
    </w:p>
    <w:p w14:paraId="684A3FFC" w14:textId="2A16AC8B" w:rsidR="002763BA" w:rsidRPr="003A787D" w:rsidRDefault="002763BA" w:rsidP="002763BA">
      <w:pPr>
        <w:pStyle w:val="Prrafodelista"/>
        <w:numPr>
          <w:ilvl w:val="1"/>
          <w:numId w:val="11"/>
        </w:numPr>
        <w:tabs>
          <w:tab w:val="left" w:pos="426"/>
        </w:tabs>
        <w:spacing w:line="360" w:lineRule="auto"/>
        <w:ind w:left="1134"/>
        <w:jc w:val="both"/>
        <w:rPr>
          <w:rFonts w:ascii="Palatino Linotype" w:hAnsi="Palatino Linotype"/>
          <w:color w:val="000000" w:themeColor="text1"/>
        </w:rPr>
      </w:pPr>
      <w:r w:rsidRPr="003A787D">
        <w:rPr>
          <w:rFonts w:ascii="Palatino Linotype" w:eastAsia="Calibri" w:hAnsi="Palatino Linotype" w:cs="Arial"/>
          <w:b/>
          <w:i/>
          <w:color w:val="000000" w:themeColor="text1"/>
          <w:lang w:val="es-ES"/>
        </w:rPr>
        <w:t>“DetalleMensual.SDI910101QX8</w:t>
      </w:r>
      <w:proofErr w:type="gramStart"/>
      <w:r w:rsidRPr="003A787D">
        <w:rPr>
          <w:rFonts w:ascii="Palatino Linotype" w:eastAsia="Calibri" w:hAnsi="Palatino Linotype" w:cs="Arial"/>
          <w:b/>
          <w:i/>
          <w:color w:val="000000" w:themeColor="text1"/>
          <w:lang w:val="es-ES"/>
        </w:rPr>
        <w:t>..</w:t>
      </w:r>
      <w:proofErr w:type="gramEnd"/>
      <w:r w:rsidRPr="003A787D">
        <w:rPr>
          <w:rFonts w:ascii="Palatino Linotype" w:eastAsia="Calibri" w:hAnsi="Palatino Linotype" w:cs="Arial"/>
          <w:b/>
          <w:i/>
          <w:color w:val="000000" w:themeColor="text1"/>
          <w:lang w:val="es-ES"/>
        </w:rPr>
        <w:t>2020.pdf</w:t>
      </w:r>
      <w:r w:rsidRPr="003A787D">
        <w:rPr>
          <w:rFonts w:ascii="Palatino Linotype" w:eastAsia="Calibri" w:hAnsi="Palatino Linotype" w:cs="Arial"/>
          <w:b/>
          <w:i/>
          <w:color w:val="000000" w:themeColor="text1"/>
          <w:lang w:val="es-ES"/>
        </w:rPr>
        <w:tab/>
        <w:t>“</w:t>
      </w:r>
      <w:r w:rsidRPr="003A787D">
        <w:rPr>
          <w:rFonts w:ascii="Palatino Linotype" w:eastAsia="Calibri" w:hAnsi="Palatino Linotype" w:cs="Arial"/>
          <w:bCs/>
          <w:iCs/>
          <w:color w:val="000000" w:themeColor="text1"/>
          <w:lang w:val="es-ES"/>
        </w:rPr>
        <w:t xml:space="preserve">: Documento </w:t>
      </w:r>
      <w:r w:rsidR="0031578C" w:rsidRPr="003A787D">
        <w:rPr>
          <w:rFonts w:ascii="Palatino Linotype" w:eastAsia="Calibri" w:hAnsi="Palatino Linotype" w:cs="Arial"/>
          <w:bCs/>
          <w:iCs/>
          <w:color w:val="000000" w:themeColor="text1"/>
          <w:lang w:val="es-ES"/>
        </w:rPr>
        <w:t xml:space="preserve">de cuatro fojas consistente en el formato ‘Detalle mensual’ del ejercicio dos mil veinte, </w:t>
      </w:r>
      <w:r w:rsidR="0031578C" w:rsidRPr="003A787D">
        <w:rPr>
          <w:rFonts w:ascii="Palatino Linotype" w:hAnsi="Palatino Linotype" w:cs="Arial"/>
        </w:rPr>
        <w:t>reportado por el Servicio de Administración Tributaria, respecto a la información de pagos y retenciones por sueldos y salarios.</w:t>
      </w:r>
    </w:p>
    <w:p w14:paraId="28DBF6E8" w14:textId="285CE37D" w:rsidR="00FA3FA6" w:rsidRPr="003A787D" w:rsidRDefault="00FA3FA6" w:rsidP="000125A8">
      <w:pPr>
        <w:pStyle w:val="Prrafodelista"/>
        <w:numPr>
          <w:ilvl w:val="1"/>
          <w:numId w:val="11"/>
        </w:numPr>
        <w:tabs>
          <w:tab w:val="left" w:pos="426"/>
        </w:tabs>
        <w:spacing w:line="360" w:lineRule="auto"/>
        <w:ind w:left="1134"/>
        <w:jc w:val="both"/>
        <w:rPr>
          <w:rFonts w:ascii="Palatino Linotype" w:hAnsi="Palatino Linotype"/>
          <w:color w:val="000000" w:themeColor="text1"/>
        </w:rPr>
      </w:pPr>
      <w:r w:rsidRPr="003A787D">
        <w:rPr>
          <w:rFonts w:ascii="Palatino Linotype" w:eastAsia="Calibri" w:hAnsi="Palatino Linotype" w:cs="Arial"/>
          <w:b/>
          <w:i/>
          <w:color w:val="000000" w:themeColor="text1"/>
          <w:lang w:val="es-ES"/>
        </w:rPr>
        <w:lastRenderedPageBreak/>
        <w:t>“DetalleMensual.SDI910101QX8</w:t>
      </w:r>
      <w:proofErr w:type="gramStart"/>
      <w:r w:rsidRPr="003A787D">
        <w:rPr>
          <w:rFonts w:ascii="Palatino Linotype" w:eastAsia="Calibri" w:hAnsi="Palatino Linotype" w:cs="Arial"/>
          <w:b/>
          <w:i/>
          <w:color w:val="000000" w:themeColor="text1"/>
          <w:lang w:val="es-ES"/>
        </w:rPr>
        <w:t>..</w:t>
      </w:r>
      <w:proofErr w:type="gramEnd"/>
      <w:r w:rsidRPr="003A787D">
        <w:rPr>
          <w:rFonts w:ascii="Palatino Linotype" w:eastAsia="Calibri" w:hAnsi="Palatino Linotype" w:cs="Arial"/>
          <w:b/>
          <w:i/>
          <w:color w:val="000000" w:themeColor="text1"/>
          <w:lang w:val="es-ES"/>
        </w:rPr>
        <w:t>2021(1).</w:t>
      </w:r>
      <w:proofErr w:type="spellStart"/>
      <w:r w:rsidRPr="003A787D">
        <w:rPr>
          <w:rFonts w:ascii="Palatino Linotype" w:eastAsia="Calibri" w:hAnsi="Palatino Linotype" w:cs="Arial"/>
          <w:b/>
          <w:i/>
          <w:color w:val="000000" w:themeColor="text1"/>
          <w:lang w:val="es-ES"/>
        </w:rPr>
        <w:t>pdf</w:t>
      </w:r>
      <w:proofErr w:type="spellEnd"/>
      <w:r w:rsidRPr="003A787D">
        <w:rPr>
          <w:rFonts w:ascii="Palatino Linotype" w:eastAsia="Calibri" w:hAnsi="Palatino Linotype" w:cs="Arial"/>
          <w:b/>
          <w:i/>
          <w:color w:val="000000" w:themeColor="text1"/>
          <w:lang w:val="es-ES"/>
        </w:rPr>
        <w:t>”</w:t>
      </w:r>
      <w:r w:rsidRPr="003A787D">
        <w:rPr>
          <w:rFonts w:ascii="Palatino Linotype" w:eastAsia="Calibri" w:hAnsi="Palatino Linotype" w:cs="Arial"/>
          <w:bCs/>
          <w:iCs/>
          <w:color w:val="000000" w:themeColor="text1"/>
          <w:lang w:val="es-ES"/>
        </w:rPr>
        <w:t xml:space="preserve">: Documento </w:t>
      </w:r>
      <w:r w:rsidR="0031578C" w:rsidRPr="003A787D">
        <w:rPr>
          <w:rFonts w:ascii="Palatino Linotype" w:eastAsia="Calibri" w:hAnsi="Palatino Linotype" w:cs="Arial"/>
          <w:bCs/>
          <w:iCs/>
          <w:color w:val="000000" w:themeColor="text1"/>
          <w:lang w:val="es-ES"/>
        </w:rPr>
        <w:t xml:space="preserve">de cuatro fojas consistente en el formato ‘Detalle mensual’ del ejercicio dos mil veintiuno, </w:t>
      </w:r>
      <w:r w:rsidR="0031578C" w:rsidRPr="003A787D">
        <w:rPr>
          <w:rFonts w:ascii="Palatino Linotype" w:hAnsi="Palatino Linotype" w:cs="Arial"/>
        </w:rPr>
        <w:t>reportado por el Servicio de Administración Tributaria, respecto a la información de pagos y retenciones por sueldos y salarios.</w:t>
      </w:r>
    </w:p>
    <w:p w14:paraId="327F7785" w14:textId="77777777" w:rsidR="000125A8" w:rsidRPr="003A787D" w:rsidRDefault="000125A8" w:rsidP="000125A8">
      <w:pPr>
        <w:tabs>
          <w:tab w:val="left" w:pos="426"/>
        </w:tabs>
        <w:spacing w:line="360" w:lineRule="auto"/>
        <w:jc w:val="both"/>
        <w:rPr>
          <w:rFonts w:ascii="Palatino Linotype" w:hAnsi="Palatino Linotype"/>
          <w:color w:val="000000" w:themeColor="text1"/>
        </w:rPr>
      </w:pPr>
    </w:p>
    <w:p w14:paraId="0CAB5010" w14:textId="561362D6" w:rsidR="00FB0AD7" w:rsidRPr="003A787D" w:rsidRDefault="006A19EF" w:rsidP="00FB0AD7">
      <w:pPr>
        <w:pStyle w:val="Prrafodelista"/>
        <w:numPr>
          <w:ilvl w:val="0"/>
          <w:numId w:val="1"/>
        </w:numPr>
        <w:tabs>
          <w:tab w:val="left" w:pos="426"/>
        </w:tabs>
        <w:spacing w:line="360" w:lineRule="auto"/>
        <w:jc w:val="both"/>
        <w:rPr>
          <w:rFonts w:ascii="Palatino Linotype" w:hAnsi="Palatino Linotype"/>
          <w:color w:val="000000" w:themeColor="text1"/>
        </w:rPr>
      </w:pPr>
      <w:r w:rsidRPr="003A787D">
        <w:rPr>
          <w:rFonts w:ascii="Palatino Linotype" w:eastAsia="Calibri" w:hAnsi="Palatino Linotype" w:cs="Arial"/>
          <w:color w:val="000000" w:themeColor="text1"/>
          <w:lang w:val="es-ES"/>
        </w:rPr>
        <w:t xml:space="preserve">Del análisis </w:t>
      </w:r>
      <w:r w:rsidRPr="003A787D">
        <w:rPr>
          <w:rFonts w:ascii="Palatino Linotype" w:eastAsia="Calibri" w:hAnsi="Palatino Linotype" w:cs="Arial"/>
          <w:color w:val="000000" w:themeColor="text1"/>
        </w:rPr>
        <w:t>realizado al contenido de</w:t>
      </w:r>
      <w:r w:rsidR="00BA6573" w:rsidRPr="003A787D">
        <w:rPr>
          <w:rFonts w:ascii="Palatino Linotype" w:eastAsia="Calibri" w:hAnsi="Palatino Linotype" w:cs="Arial"/>
          <w:color w:val="000000" w:themeColor="text1"/>
        </w:rPr>
        <w:t xml:space="preserve"> </w:t>
      </w:r>
      <w:r w:rsidRPr="003A787D">
        <w:rPr>
          <w:rFonts w:ascii="Palatino Linotype" w:eastAsia="Calibri" w:hAnsi="Palatino Linotype" w:cs="Arial"/>
          <w:color w:val="000000" w:themeColor="text1"/>
        </w:rPr>
        <w:t>l</w:t>
      </w:r>
      <w:r w:rsidR="00BA6573" w:rsidRPr="003A787D">
        <w:rPr>
          <w:rFonts w:ascii="Palatino Linotype" w:eastAsia="Calibri" w:hAnsi="Palatino Linotype" w:cs="Arial"/>
          <w:color w:val="000000" w:themeColor="text1"/>
        </w:rPr>
        <w:t>os</w:t>
      </w:r>
      <w:r w:rsidRPr="003A787D">
        <w:rPr>
          <w:rFonts w:ascii="Palatino Linotype" w:eastAsia="Calibri" w:hAnsi="Palatino Linotype" w:cs="Arial"/>
          <w:color w:val="000000" w:themeColor="text1"/>
        </w:rPr>
        <w:t xml:space="preserve"> archivo</w:t>
      </w:r>
      <w:r w:rsidR="00BA6573" w:rsidRPr="003A787D">
        <w:rPr>
          <w:rFonts w:ascii="Palatino Linotype" w:eastAsia="Calibri" w:hAnsi="Palatino Linotype" w:cs="Arial"/>
          <w:color w:val="000000" w:themeColor="text1"/>
        </w:rPr>
        <w:t>s</w:t>
      </w:r>
      <w:r w:rsidRPr="003A787D">
        <w:rPr>
          <w:rFonts w:ascii="Palatino Linotype" w:eastAsia="Calibri" w:hAnsi="Palatino Linotype" w:cs="Arial"/>
          <w:color w:val="000000" w:themeColor="text1"/>
        </w:rPr>
        <w:t xml:space="preserve"> presentado</w:t>
      </w:r>
      <w:r w:rsidR="00BA6573" w:rsidRPr="003A787D">
        <w:rPr>
          <w:rFonts w:ascii="Palatino Linotype" w:eastAsia="Calibri" w:hAnsi="Palatino Linotype" w:cs="Arial"/>
          <w:color w:val="000000" w:themeColor="text1"/>
        </w:rPr>
        <w:t>s</w:t>
      </w:r>
      <w:r w:rsidRPr="003A787D">
        <w:rPr>
          <w:rFonts w:ascii="Palatino Linotype" w:eastAsia="Calibri" w:hAnsi="Palatino Linotype" w:cs="Arial"/>
          <w:color w:val="000000" w:themeColor="text1"/>
        </w:rPr>
        <w:t xml:space="preserve"> por el </w:t>
      </w:r>
      <w:r w:rsidRPr="003A787D">
        <w:rPr>
          <w:rFonts w:ascii="Palatino Linotype" w:eastAsia="Calibri" w:hAnsi="Palatino Linotype" w:cs="Arial"/>
          <w:b/>
          <w:bCs/>
          <w:color w:val="000000" w:themeColor="text1"/>
        </w:rPr>
        <w:t>SUJETO OBLIGADO</w:t>
      </w:r>
      <w:r w:rsidRPr="003A787D">
        <w:rPr>
          <w:rFonts w:ascii="Palatino Linotype" w:eastAsia="Calibri" w:hAnsi="Palatino Linotype" w:cs="Arial"/>
          <w:color w:val="000000" w:themeColor="text1"/>
        </w:rPr>
        <w:t xml:space="preserve"> en el apartado de </w:t>
      </w:r>
      <w:r w:rsidRPr="003A787D">
        <w:rPr>
          <w:rFonts w:ascii="Palatino Linotype" w:eastAsia="Calibri" w:hAnsi="Palatino Linotype" w:cs="Arial"/>
          <w:i/>
          <w:iCs/>
          <w:color w:val="000000" w:themeColor="text1"/>
        </w:rPr>
        <w:t>Manifestaciones</w:t>
      </w:r>
      <w:r w:rsidRPr="003A787D">
        <w:rPr>
          <w:rFonts w:ascii="Palatino Linotype" w:eastAsia="Calibri" w:hAnsi="Palatino Linotype" w:cs="Arial"/>
          <w:color w:val="000000" w:themeColor="text1"/>
        </w:rPr>
        <w:t xml:space="preserve"> del </w:t>
      </w:r>
      <w:r w:rsidRPr="003A787D">
        <w:rPr>
          <w:rFonts w:ascii="Palatino Linotype" w:eastAsia="Calibri" w:hAnsi="Palatino Linotype" w:cs="Arial"/>
          <w:bCs/>
          <w:color w:val="000000" w:themeColor="text1"/>
        </w:rPr>
        <w:t>SAIMEX</w:t>
      </w:r>
      <w:r w:rsidRPr="003A787D">
        <w:rPr>
          <w:rFonts w:ascii="Palatino Linotype" w:eastAsia="Calibri" w:hAnsi="Palatino Linotype" w:cs="Arial"/>
          <w:color w:val="000000" w:themeColor="text1"/>
        </w:rPr>
        <w:t xml:space="preserve">, se concluyó que </w:t>
      </w:r>
      <w:r w:rsidR="00BA6573" w:rsidRPr="003A787D">
        <w:rPr>
          <w:rFonts w:ascii="Palatino Linotype" w:eastAsia="Calibri" w:hAnsi="Palatino Linotype" w:cs="Arial"/>
          <w:color w:val="000000" w:themeColor="text1"/>
        </w:rPr>
        <w:t>éstos</w:t>
      </w:r>
      <w:r w:rsidRPr="003A787D">
        <w:rPr>
          <w:rFonts w:ascii="Palatino Linotype" w:eastAsia="Calibri" w:hAnsi="Palatino Linotype" w:cs="Arial"/>
          <w:color w:val="000000" w:themeColor="text1"/>
        </w:rPr>
        <w:t xml:space="preserve"> contenía</w:t>
      </w:r>
      <w:r w:rsidR="00BA6573" w:rsidRPr="003A787D">
        <w:rPr>
          <w:rFonts w:ascii="Palatino Linotype" w:eastAsia="Calibri" w:hAnsi="Palatino Linotype" w:cs="Arial"/>
          <w:color w:val="000000" w:themeColor="text1"/>
        </w:rPr>
        <w:t>n</w:t>
      </w:r>
      <w:r w:rsidRPr="003A787D">
        <w:rPr>
          <w:rFonts w:ascii="Palatino Linotype" w:eastAsia="Calibri" w:hAnsi="Palatino Linotype" w:cs="Arial"/>
          <w:color w:val="000000" w:themeColor="text1"/>
        </w:rPr>
        <w:t xml:space="preserve"> información novedosa y de probable interés para </w:t>
      </w:r>
      <w:r w:rsidR="000125A8" w:rsidRPr="003A787D">
        <w:rPr>
          <w:rFonts w:ascii="Palatino Linotype" w:eastAsia="Calibri" w:hAnsi="Palatino Linotype" w:cs="Arial"/>
          <w:color w:val="000000" w:themeColor="text1"/>
        </w:rPr>
        <w:t>el</w:t>
      </w:r>
      <w:r w:rsidRPr="003A787D">
        <w:rPr>
          <w:rFonts w:ascii="Palatino Linotype" w:eastAsia="Calibri" w:hAnsi="Palatino Linotype" w:cs="Arial"/>
          <w:color w:val="000000" w:themeColor="text1"/>
        </w:rPr>
        <w:t xml:space="preserve"> </w:t>
      </w:r>
      <w:r w:rsidRPr="003A787D">
        <w:rPr>
          <w:rFonts w:ascii="Palatino Linotype" w:eastAsia="Calibri" w:hAnsi="Palatino Linotype" w:cs="Arial"/>
          <w:b/>
          <w:bCs/>
          <w:color w:val="000000" w:themeColor="text1"/>
        </w:rPr>
        <w:t>RECURRENTE</w:t>
      </w:r>
      <w:r w:rsidRPr="003A787D">
        <w:rPr>
          <w:rFonts w:ascii="Palatino Linotype" w:eastAsia="Calibri" w:hAnsi="Palatino Linotype" w:cs="Arial"/>
          <w:color w:val="000000" w:themeColor="text1"/>
        </w:rPr>
        <w:t xml:space="preserve">, por lo que </w:t>
      </w:r>
      <w:r w:rsidR="00BA6573" w:rsidRPr="003A787D">
        <w:rPr>
          <w:rFonts w:ascii="Palatino Linotype" w:eastAsia="Calibri" w:hAnsi="Palatino Linotype" w:cs="Arial"/>
          <w:color w:val="000000" w:themeColor="text1"/>
        </w:rPr>
        <w:t>se pusieron</w:t>
      </w:r>
      <w:r w:rsidRPr="003A787D">
        <w:rPr>
          <w:rFonts w:ascii="Palatino Linotype" w:eastAsia="Calibri" w:hAnsi="Palatino Linotype" w:cs="Arial"/>
          <w:color w:val="000000" w:themeColor="text1"/>
        </w:rPr>
        <w:t xml:space="preserve"> a la vista de la particular el </w:t>
      </w:r>
      <w:r w:rsidR="00BA6573" w:rsidRPr="003A787D">
        <w:rPr>
          <w:rFonts w:ascii="Palatino Linotype" w:eastAsia="Calibri" w:hAnsi="Palatino Linotype" w:cs="Arial"/>
          <w:color w:val="000000" w:themeColor="text1"/>
          <w:lang w:val="es-ES"/>
        </w:rPr>
        <w:t>veintidós (22) de abril</w:t>
      </w:r>
      <w:r w:rsidRPr="003A787D">
        <w:rPr>
          <w:rFonts w:ascii="Palatino Linotype" w:eastAsia="Calibri" w:hAnsi="Palatino Linotype" w:cs="Arial"/>
          <w:color w:val="000000" w:themeColor="text1"/>
          <w:lang w:val="es-ES"/>
        </w:rPr>
        <w:t xml:space="preserve"> de dos mil veintidós</w:t>
      </w:r>
      <w:r w:rsidRPr="003A787D">
        <w:rPr>
          <w:rFonts w:ascii="Palatino Linotype" w:eastAsia="Calibri" w:hAnsi="Palatino Linotype" w:cs="Arial"/>
          <w:color w:val="000000" w:themeColor="text1"/>
        </w:rPr>
        <w:t xml:space="preserve">, concediéndole un plazo de tres (03) días para que manifestara lo que a su derecho conviniera, de conformidad con el artículo 185, fracción III, de la Ley de Transparencia y Acceso a la Información Pública del Estado de México y Municipios. </w:t>
      </w:r>
      <w:r w:rsidR="00BA6573" w:rsidRPr="003A787D">
        <w:rPr>
          <w:rFonts w:ascii="Palatino Linotype" w:eastAsia="Calibri" w:hAnsi="Palatino Linotype" w:cs="Arial"/>
          <w:color w:val="000000" w:themeColor="text1"/>
        </w:rPr>
        <w:t>Sin embargo, se hace constar que el particular no ejerció su derecho de réplica sobre los nuevos contenidos.</w:t>
      </w:r>
    </w:p>
    <w:p w14:paraId="310CDF25" w14:textId="77777777" w:rsidR="00FB0AD7" w:rsidRPr="003A787D" w:rsidRDefault="00FB0AD7" w:rsidP="00FB0AD7">
      <w:pPr>
        <w:pStyle w:val="Prrafodelista"/>
        <w:tabs>
          <w:tab w:val="left" w:pos="426"/>
        </w:tabs>
        <w:spacing w:line="360" w:lineRule="auto"/>
        <w:ind w:left="0"/>
        <w:jc w:val="both"/>
        <w:rPr>
          <w:rFonts w:ascii="Palatino Linotype" w:hAnsi="Palatino Linotype"/>
          <w:color w:val="000000" w:themeColor="text1"/>
        </w:rPr>
      </w:pPr>
    </w:p>
    <w:p w14:paraId="3001AA57" w14:textId="71777CCD" w:rsidR="008965EF" w:rsidRPr="003A787D" w:rsidRDefault="00861622" w:rsidP="0086236D">
      <w:pPr>
        <w:pStyle w:val="Prrafodelista"/>
        <w:numPr>
          <w:ilvl w:val="0"/>
          <w:numId w:val="1"/>
        </w:numPr>
        <w:tabs>
          <w:tab w:val="left" w:pos="426"/>
        </w:tabs>
        <w:spacing w:line="360" w:lineRule="auto"/>
        <w:jc w:val="both"/>
        <w:rPr>
          <w:rFonts w:ascii="Palatino Linotype" w:hAnsi="Palatino Linotype"/>
          <w:color w:val="000000" w:themeColor="text1"/>
        </w:rPr>
      </w:pPr>
      <w:r w:rsidRPr="003A787D">
        <w:rPr>
          <w:rFonts w:ascii="Palatino Linotype" w:eastAsia="Calibri" w:hAnsi="Palatino Linotype" w:cs="Arial"/>
          <w:color w:val="000000" w:themeColor="text1"/>
          <w:lang w:val="es-ES"/>
        </w:rPr>
        <w:t>El</w:t>
      </w:r>
      <w:bookmarkStart w:id="4" w:name="_Toc461555889"/>
      <w:bookmarkStart w:id="5" w:name="_Toc466371858"/>
      <w:r w:rsidR="00B855AA" w:rsidRPr="003A787D">
        <w:rPr>
          <w:rFonts w:ascii="Palatino Linotype" w:eastAsia="Calibri" w:hAnsi="Palatino Linotype" w:cs="Arial"/>
          <w:color w:val="000000" w:themeColor="text1"/>
          <w:lang w:val="es-ES"/>
        </w:rPr>
        <w:t xml:space="preserve"> </w:t>
      </w:r>
      <w:r w:rsidR="00BA6573" w:rsidRPr="003A787D">
        <w:rPr>
          <w:rFonts w:ascii="Palatino Linotype" w:eastAsia="Calibri" w:hAnsi="Palatino Linotype" w:cs="Arial"/>
          <w:color w:val="000000" w:themeColor="text1"/>
          <w:lang w:val="es-ES"/>
        </w:rPr>
        <w:t>seis (06) de mayo</w:t>
      </w:r>
      <w:r w:rsidR="009A2A08" w:rsidRPr="003A787D">
        <w:rPr>
          <w:rFonts w:ascii="Palatino Linotype" w:eastAsia="Calibri" w:hAnsi="Palatino Linotype" w:cs="Arial"/>
          <w:color w:val="000000" w:themeColor="text1"/>
          <w:lang w:val="es-ES"/>
        </w:rPr>
        <w:t xml:space="preserve"> de dos mil veintidós</w:t>
      </w:r>
      <w:r w:rsidR="00AD6AC5" w:rsidRPr="003A787D">
        <w:rPr>
          <w:rFonts w:ascii="Palatino Linotype" w:hAnsi="Palatino Linotype" w:cs="Arial"/>
          <w:color w:val="000000" w:themeColor="text1"/>
        </w:rPr>
        <w:t xml:space="preserve">, </w:t>
      </w:r>
      <w:r w:rsidR="0096234B" w:rsidRPr="003A787D">
        <w:rPr>
          <w:rFonts w:ascii="Palatino Linotype" w:hAnsi="Palatino Linotype" w:cs="Arial"/>
          <w:color w:val="000000" w:themeColor="text1"/>
        </w:rPr>
        <w:t xml:space="preserve">la </w:t>
      </w:r>
      <w:r w:rsidR="00AD6AC5" w:rsidRPr="003A787D">
        <w:rPr>
          <w:rFonts w:ascii="Palatino Linotype" w:hAnsi="Palatino Linotype" w:cs="Arial"/>
          <w:color w:val="000000" w:themeColor="text1"/>
        </w:rPr>
        <w:t>Comisionad</w:t>
      </w:r>
      <w:r w:rsidR="0096234B" w:rsidRPr="003A787D">
        <w:rPr>
          <w:rFonts w:ascii="Palatino Linotype" w:hAnsi="Palatino Linotype" w:cs="Arial"/>
          <w:color w:val="000000" w:themeColor="text1"/>
        </w:rPr>
        <w:t>a</w:t>
      </w:r>
      <w:r w:rsidR="00AD6AC5" w:rsidRPr="003A787D">
        <w:rPr>
          <w:rFonts w:ascii="Palatino Linotype" w:hAnsi="Palatino Linotype" w:cs="Arial"/>
          <w:color w:val="000000" w:themeColor="text1"/>
        </w:rPr>
        <w:t xml:space="preserve"> Ponente decretó el cierre del periodo de instrucción, por lo que ordenó turnar el expediente para su resolución, misma que ahora se pronuncia</w:t>
      </w:r>
      <w:r w:rsidR="00BA6573" w:rsidRPr="003A787D">
        <w:rPr>
          <w:rFonts w:ascii="Palatino Linotype" w:hAnsi="Palatino Linotype" w:cs="Arial"/>
          <w:color w:val="000000" w:themeColor="text1"/>
        </w:rPr>
        <w:t xml:space="preserve">; y, en misma fecha, </w:t>
      </w:r>
      <w:r w:rsidR="003522BF" w:rsidRPr="003A787D">
        <w:rPr>
          <w:rFonts w:ascii="Palatino Linotype" w:hAnsi="Palatino Linotype" w:cs="Arial"/>
          <w:color w:val="000000" w:themeColor="text1"/>
          <w:lang w:val="es-ES"/>
        </w:rPr>
        <w:t>con fundamento en el artículo 181</w:t>
      </w:r>
      <w:r w:rsidR="00B23EFA" w:rsidRPr="003A787D">
        <w:rPr>
          <w:rFonts w:ascii="Palatino Linotype" w:hAnsi="Palatino Linotype" w:cs="Arial"/>
          <w:color w:val="000000" w:themeColor="text1"/>
          <w:lang w:val="es-ES"/>
        </w:rPr>
        <w:t>,</w:t>
      </w:r>
      <w:r w:rsidR="003522BF" w:rsidRPr="003A787D">
        <w:rPr>
          <w:rFonts w:ascii="Palatino Linotype" w:hAnsi="Palatino Linotype" w:cs="Arial"/>
          <w:color w:val="000000" w:themeColor="text1"/>
          <w:lang w:val="es-ES"/>
        </w:rPr>
        <w:t xml:space="preserve"> tercer párrafo</w:t>
      </w:r>
      <w:r w:rsidR="00B23EFA" w:rsidRPr="003A787D">
        <w:rPr>
          <w:rFonts w:ascii="Palatino Linotype" w:hAnsi="Palatino Linotype" w:cs="Arial"/>
          <w:color w:val="000000" w:themeColor="text1"/>
          <w:lang w:val="es-ES"/>
        </w:rPr>
        <w:t>,</w:t>
      </w:r>
      <w:r w:rsidR="003522BF" w:rsidRPr="003A787D">
        <w:rPr>
          <w:rFonts w:ascii="Palatino Linotype" w:hAnsi="Palatino Linotype" w:cs="Arial"/>
          <w:color w:val="000000" w:themeColor="text1"/>
          <w:lang w:val="es-ES"/>
        </w:rPr>
        <w:t xml:space="preserve"> de la Ley de Transparencia y Acceso a la Información Pública del Estado de México y Municipios</w:t>
      </w:r>
      <w:r w:rsidR="003522BF" w:rsidRPr="003A787D">
        <w:rPr>
          <w:rFonts w:ascii="Palatino Linotype" w:hAnsi="Palatino Linotype" w:cs="Arial"/>
          <w:bCs/>
          <w:color w:val="000000" w:themeColor="text1"/>
          <w:lang w:val="es-ES"/>
        </w:rPr>
        <w:t xml:space="preserve"> </w:t>
      </w:r>
      <w:r w:rsidR="003522BF" w:rsidRPr="003A787D">
        <w:rPr>
          <w:rFonts w:ascii="Palatino Linotype" w:hAnsi="Palatino Linotype" w:cs="Arial"/>
          <w:color w:val="000000" w:themeColor="text1"/>
          <w:lang w:val="es-ES"/>
        </w:rPr>
        <w:t>se notificó que el plazo de treinta (30) días para resolver el recurso de revisión sería ampliado por un periodo de quince (15) días hábiles adicionales; y ---------------------------------------------------------------------</w:t>
      </w:r>
    </w:p>
    <w:p w14:paraId="76723CF0" w14:textId="1E451BB4" w:rsidR="009917E9" w:rsidRPr="003A787D" w:rsidRDefault="009917E9" w:rsidP="00B31E90">
      <w:pPr>
        <w:pStyle w:val="Prrafodelista"/>
        <w:tabs>
          <w:tab w:val="left" w:pos="426"/>
        </w:tabs>
        <w:spacing w:line="360" w:lineRule="auto"/>
        <w:ind w:left="0"/>
        <w:jc w:val="both"/>
        <w:rPr>
          <w:rFonts w:ascii="Palatino Linotype" w:hAnsi="Palatino Linotype"/>
          <w:color w:val="000000" w:themeColor="text1"/>
        </w:rPr>
      </w:pPr>
    </w:p>
    <w:p w14:paraId="5C447C51" w14:textId="77777777" w:rsidR="0096234B" w:rsidRPr="003A787D" w:rsidRDefault="0096234B" w:rsidP="00B31E90">
      <w:pPr>
        <w:pStyle w:val="Prrafodelista"/>
        <w:tabs>
          <w:tab w:val="left" w:pos="426"/>
        </w:tabs>
        <w:spacing w:line="360" w:lineRule="auto"/>
        <w:ind w:left="0"/>
        <w:jc w:val="both"/>
        <w:rPr>
          <w:rFonts w:ascii="Palatino Linotype" w:hAnsi="Palatino Linotype"/>
          <w:color w:val="000000" w:themeColor="text1"/>
        </w:rPr>
      </w:pPr>
    </w:p>
    <w:p w14:paraId="5CB47E4D" w14:textId="272D7EDF" w:rsidR="00C33279" w:rsidRPr="003A787D" w:rsidRDefault="007C0013" w:rsidP="00B31E90">
      <w:pPr>
        <w:pStyle w:val="Ttulo1"/>
        <w:spacing w:before="0"/>
        <w:jc w:val="center"/>
        <w:rPr>
          <w:b/>
          <w:color w:val="000000" w:themeColor="text1"/>
        </w:rPr>
      </w:pPr>
      <w:bookmarkStart w:id="6" w:name="_Toc96002400"/>
      <w:r w:rsidRPr="003A787D">
        <w:rPr>
          <w:b/>
          <w:color w:val="000000" w:themeColor="text1"/>
        </w:rPr>
        <w:lastRenderedPageBreak/>
        <w:t>CONSIDERANDO</w:t>
      </w:r>
      <w:bookmarkEnd w:id="4"/>
      <w:bookmarkEnd w:id="5"/>
      <w:bookmarkEnd w:id="6"/>
    </w:p>
    <w:p w14:paraId="435CF9A4" w14:textId="77777777" w:rsidR="00FC1DA7" w:rsidRPr="003A787D" w:rsidRDefault="00FC1DA7" w:rsidP="00B31E90">
      <w:pPr>
        <w:rPr>
          <w:color w:val="000000" w:themeColor="text1"/>
          <w:lang w:eastAsia="en-US"/>
        </w:rPr>
      </w:pPr>
    </w:p>
    <w:p w14:paraId="629A5BE2" w14:textId="56C3E7D5" w:rsidR="007C0013" w:rsidRPr="003A787D" w:rsidRDefault="007C0013" w:rsidP="00B31E90">
      <w:pPr>
        <w:pStyle w:val="Ttulo2"/>
        <w:spacing w:before="0"/>
        <w:rPr>
          <w:rFonts w:ascii="Palatino Linotype" w:hAnsi="Palatino Linotype"/>
          <w:b/>
          <w:color w:val="000000" w:themeColor="text1"/>
          <w:sz w:val="24"/>
        </w:rPr>
      </w:pPr>
      <w:bookmarkStart w:id="7" w:name="_Toc461555890"/>
      <w:bookmarkStart w:id="8" w:name="_Toc466371859"/>
      <w:bookmarkStart w:id="9" w:name="_Toc96002401"/>
      <w:r w:rsidRPr="003A787D">
        <w:rPr>
          <w:rFonts w:ascii="Palatino Linotype" w:hAnsi="Palatino Linotype"/>
          <w:b/>
          <w:color w:val="000000" w:themeColor="text1"/>
          <w:sz w:val="24"/>
        </w:rPr>
        <w:t>PRIMERO. De la competencia</w:t>
      </w:r>
      <w:bookmarkEnd w:id="7"/>
      <w:bookmarkEnd w:id="8"/>
      <w:bookmarkEnd w:id="9"/>
    </w:p>
    <w:p w14:paraId="60FBD8C7" w14:textId="77777777" w:rsidR="00FC1DA7" w:rsidRPr="003A787D" w:rsidRDefault="00FC1DA7" w:rsidP="00B31E90">
      <w:pPr>
        <w:rPr>
          <w:rFonts w:ascii="Palatino Linotype" w:hAnsi="Palatino Linotype"/>
          <w:color w:val="000000" w:themeColor="text1"/>
          <w:lang w:eastAsia="en-US"/>
        </w:rPr>
      </w:pPr>
    </w:p>
    <w:p w14:paraId="0BF52B18" w14:textId="515C3AEB" w:rsidR="005A228F" w:rsidRPr="003A787D" w:rsidRDefault="00A45546" w:rsidP="00DA22D8">
      <w:pPr>
        <w:pStyle w:val="Prrafodelista"/>
        <w:numPr>
          <w:ilvl w:val="0"/>
          <w:numId w:val="1"/>
        </w:numPr>
        <w:tabs>
          <w:tab w:val="left" w:pos="426"/>
        </w:tabs>
        <w:spacing w:line="360" w:lineRule="auto"/>
        <w:jc w:val="both"/>
        <w:rPr>
          <w:rFonts w:ascii="Palatino Linotype" w:eastAsia="Calibri" w:hAnsi="Palatino Linotype" w:cs="Times New Roman"/>
          <w:b/>
          <w:color w:val="000000" w:themeColor="text1"/>
          <w:lang w:val="es-ES"/>
        </w:rPr>
      </w:pPr>
      <w:r w:rsidRPr="003A787D">
        <w:rPr>
          <w:rFonts w:ascii="Palatino Linotype" w:eastAsia="Calibri" w:hAnsi="Palatino Linotype" w:cs="Times New Roman"/>
          <w:color w:val="000000" w:themeColor="text1"/>
          <w:lang w:val="es-ES"/>
        </w:rPr>
        <w:t>Este Instituto de Transparencia, Acceso a la Información Pública y Protección de Datos Personales del Estado de México y Municipios, es comp</w:t>
      </w:r>
      <w:r w:rsidR="00D10AB0" w:rsidRPr="003A787D">
        <w:rPr>
          <w:rFonts w:ascii="Palatino Linotype" w:eastAsia="Calibri" w:hAnsi="Palatino Linotype" w:cs="Times New Roman"/>
          <w:color w:val="000000" w:themeColor="text1"/>
          <w:lang w:val="es-ES"/>
        </w:rPr>
        <w:t xml:space="preserve">etente para conocer y resolver </w:t>
      </w:r>
      <w:r w:rsidRPr="003A787D">
        <w:rPr>
          <w:rFonts w:ascii="Palatino Linotype" w:eastAsia="Calibri" w:hAnsi="Palatino Linotype" w:cs="Times New Roman"/>
          <w:color w:val="000000" w:themeColor="text1"/>
          <w:lang w:val="es-ES"/>
        </w:rPr>
        <w:t xml:space="preserve">el presente recurso de conformidad con el artículo: 6, apartado A, fracción IV de la </w:t>
      </w:r>
      <w:r w:rsidRPr="003A787D">
        <w:rPr>
          <w:rFonts w:ascii="Palatino Linotype" w:eastAsia="Calibri" w:hAnsi="Palatino Linotype" w:cs="Times New Roman"/>
          <w:b/>
          <w:color w:val="000000" w:themeColor="text1"/>
          <w:lang w:val="es-ES"/>
        </w:rPr>
        <w:t>Constitución Política de los Estados Unidos Mexicanos</w:t>
      </w:r>
      <w:r w:rsidRPr="003A787D">
        <w:rPr>
          <w:rFonts w:ascii="Palatino Linotype" w:eastAsia="Calibri" w:hAnsi="Palatino Linotype" w:cs="Times New Roman"/>
          <w:color w:val="000000" w:themeColor="text1"/>
          <w:lang w:val="es-ES"/>
        </w:rPr>
        <w:t xml:space="preserve">; 5, párrafos </w:t>
      </w:r>
      <w:r w:rsidR="000B7C4F" w:rsidRPr="003A787D">
        <w:rPr>
          <w:rFonts w:ascii="Palatino Linotype" w:eastAsia="Calibri" w:hAnsi="Palatino Linotype" w:cs="Times New Roman"/>
          <w:color w:val="000000" w:themeColor="text1"/>
          <w:lang w:val="es-ES"/>
        </w:rPr>
        <w:t>trigésimo, trigésimo primero y trigésimo segundo</w:t>
      </w:r>
      <w:r w:rsidR="004F785F" w:rsidRPr="003A787D">
        <w:rPr>
          <w:rFonts w:ascii="Palatino Linotype" w:eastAsia="Calibri" w:hAnsi="Palatino Linotype" w:cs="Times New Roman"/>
          <w:color w:val="000000" w:themeColor="text1"/>
          <w:lang w:val="es-ES"/>
        </w:rPr>
        <w:t>,</w:t>
      </w:r>
      <w:r w:rsidRPr="003A787D">
        <w:rPr>
          <w:rFonts w:ascii="Palatino Linotype" w:eastAsia="Calibri" w:hAnsi="Palatino Linotype" w:cs="Times New Roman"/>
          <w:color w:val="000000" w:themeColor="text1"/>
          <w:lang w:val="es-ES"/>
        </w:rPr>
        <w:t xml:space="preserve"> fracciones IV y V</w:t>
      </w:r>
      <w:r w:rsidR="004F785F" w:rsidRPr="003A787D">
        <w:rPr>
          <w:rFonts w:ascii="Palatino Linotype" w:eastAsia="Calibri" w:hAnsi="Palatino Linotype" w:cs="Times New Roman"/>
          <w:color w:val="000000" w:themeColor="text1"/>
          <w:lang w:val="es-ES"/>
        </w:rPr>
        <w:t>,</w:t>
      </w:r>
      <w:r w:rsidRPr="003A787D">
        <w:rPr>
          <w:rFonts w:ascii="Palatino Linotype" w:eastAsia="Calibri" w:hAnsi="Palatino Linotype" w:cs="Times New Roman"/>
          <w:color w:val="000000" w:themeColor="text1"/>
          <w:lang w:val="es-ES"/>
        </w:rPr>
        <w:t xml:space="preserve"> de la </w:t>
      </w:r>
      <w:r w:rsidRPr="003A787D">
        <w:rPr>
          <w:rFonts w:ascii="Palatino Linotype" w:eastAsia="Calibri" w:hAnsi="Palatino Linotype" w:cs="Times New Roman"/>
          <w:b/>
          <w:color w:val="000000" w:themeColor="text1"/>
          <w:lang w:val="es-ES"/>
        </w:rPr>
        <w:t>Constitución Política del Estado Libre y Soberano de México</w:t>
      </w:r>
      <w:r w:rsidRPr="003A787D">
        <w:rPr>
          <w:rFonts w:ascii="Palatino Linotype" w:eastAsia="Calibri" w:hAnsi="Palatino Linotype" w:cs="Times New Roman"/>
          <w:color w:val="000000" w:themeColor="text1"/>
          <w:lang w:val="es-ES"/>
        </w:rPr>
        <w:t xml:space="preserve">; artículos 1, 2 fracción II, 13, 29, 36 fracciones I y II, 176, 178, 179, 181 párrafo tercero y 185 </w:t>
      </w:r>
      <w:r w:rsidRPr="003A787D">
        <w:rPr>
          <w:rFonts w:ascii="Palatino Linotype" w:eastAsia="Calibri" w:hAnsi="Palatino Linotype" w:cs="Arial"/>
          <w:color w:val="000000" w:themeColor="text1"/>
          <w:lang w:val="es-ES"/>
        </w:rPr>
        <w:t xml:space="preserve">de la </w:t>
      </w:r>
      <w:r w:rsidRPr="003A787D">
        <w:rPr>
          <w:rFonts w:ascii="Palatino Linotype" w:eastAsia="Calibri" w:hAnsi="Palatino Linotype" w:cs="Arial"/>
          <w:b/>
          <w:color w:val="000000" w:themeColor="text1"/>
          <w:lang w:val="es-ES"/>
        </w:rPr>
        <w:t>Ley de Transparencia y Acceso a la Información Pública del Estado de México y Municipios</w:t>
      </w:r>
      <w:r w:rsidRPr="003A787D">
        <w:rPr>
          <w:rFonts w:ascii="Palatino Linotype" w:eastAsia="Calibri" w:hAnsi="Palatino Linotype" w:cs="Arial"/>
          <w:color w:val="000000" w:themeColor="text1"/>
          <w:lang w:val="es-ES"/>
        </w:rPr>
        <w:t xml:space="preserve">; y 10, 7, 9 fracciones I y XXIV, y 11 del </w:t>
      </w:r>
      <w:r w:rsidRPr="003A787D">
        <w:rPr>
          <w:rFonts w:ascii="Palatino Linotype" w:eastAsia="Calibri" w:hAnsi="Palatino Linotype" w:cs="Arial"/>
          <w:b/>
          <w:color w:val="000000" w:themeColor="text1"/>
          <w:lang w:val="es-ES"/>
        </w:rPr>
        <w:t>Reglamento Interior del Instituto de Transparencia, Acceso a la Información Pública y Protección de Datos Personales del Estado de México y Municipios.</w:t>
      </w:r>
    </w:p>
    <w:p w14:paraId="6F56872D" w14:textId="77777777" w:rsidR="00751061" w:rsidRPr="003A787D" w:rsidRDefault="00751061" w:rsidP="00751061">
      <w:pPr>
        <w:pStyle w:val="Prrafodelista"/>
        <w:tabs>
          <w:tab w:val="left" w:pos="426"/>
        </w:tabs>
        <w:spacing w:line="360" w:lineRule="auto"/>
        <w:ind w:left="0"/>
        <w:jc w:val="both"/>
        <w:rPr>
          <w:rFonts w:ascii="Palatino Linotype" w:eastAsia="Calibri" w:hAnsi="Palatino Linotype" w:cs="Times New Roman"/>
          <w:b/>
          <w:color w:val="000000" w:themeColor="text1"/>
          <w:lang w:val="es-ES"/>
        </w:rPr>
      </w:pPr>
    </w:p>
    <w:p w14:paraId="753DC7A1" w14:textId="5E205177" w:rsidR="00C6440A" w:rsidRPr="003A787D" w:rsidRDefault="007C0013" w:rsidP="00B31E90">
      <w:pPr>
        <w:pStyle w:val="Ttulo2"/>
        <w:tabs>
          <w:tab w:val="left" w:pos="426"/>
        </w:tabs>
        <w:spacing w:before="0"/>
        <w:rPr>
          <w:rFonts w:ascii="Palatino Linotype" w:hAnsi="Palatino Linotype"/>
          <w:b/>
          <w:color w:val="000000" w:themeColor="text1"/>
          <w:sz w:val="24"/>
        </w:rPr>
      </w:pPr>
      <w:bookmarkStart w:id="10" w:name="_Toc461555891"/>
      <w:bookmarkStart w:id="11" w:name="_Toc466371860"/>
      <w:bookmarkStart w:id="12" w:name="_Toc96002402"/>
      <w:r w:rsidRPr="003A787D">
        <w:rPr>
          <w:rFonts w:ascii="Palatino Linotype" w:hAnsi="Palatino Linotype"/>
          <w:b/>
          <w:color w:val="000000" w:themeColor="text1"/>
          <w:sz w:val="24"/>
        </w:rPr>
        <w:t>SEGUNDO. De la oportunidad y proced</w:t>
      </w:r>
      <w:r w:rsidR="00F35C44" w:rsidRPr="003A787D">
        <w:rPr>
          <w:rFonts w:ascii="Palatino Linotype" w:hAnsi="Palatino Linotype"/>
          <w:b/>
          <w:color w:val="000000" w:themeColor="text1"/>
          <w:sz w:val="24"/>
        </w:rPr>
        <w:t>encia</w:t>
      </w:r>
      <w:r w:rsidRPr="003A787D">
        <w:rPr>
          <w:rFonts w:ascii="Palatino Linotype" w:hAnsi="Palatino Linotype"/>
          <w:b/>
          <w:color w:val="000000" w:themeColor="text1"/>
          <w:sz w:val="24"/>
        </w:rPr>
        <w:t>.</w:t>
      </w:r>
      <w:bookmarkEnd w:id="10"/>
      <w:bookmarkEnd w:id="11"/>
      <w:bookmarkEnd w:id="12"/>
    </w:p>
    <w:p w14:paraId="18E22450" w14:textId="77777777" w:rsidR="00C6440A" w:rsidRPr="003A787D" w:rsidRDefault="00C6440A" w:rsidP="00B31E90">
      <w:pPr>
        <w:rPr>
          <w:color w:val="000000" w:themeColor="text1"/>
          <w:lang w:eastAsia="en-US"/>
        </w:rPr>
      </w:pPr>
    </w:p>
    <w:p w14:paraId="63E5A495" w14:textId="1B0E9C9D" w:rsidR="009E360A" w:rsidRPr="003A787D" w:rsidRDefault="003E6D0F" w:rsidP="00DA22D8">
      <w:pPr>
        <w:pStyle w:val="Prrafodelista"/>
        <w:numPr>
          <w:ilvl w:val="0"/>
          <w:numId w:val="1"/>
        </w:numPr>
        <w:tabs>
          <w:tab w:val="left" w:pos="426"/>
        </w:tabs>
        <w:spacing w:line="360" w:lineRule="auto"/>
        <w:ind w:right="49"/>
        <w:jc w:val="both"/>
        <w:rPr>
          <w:rFonts w:ascii="Palatino Linotype" w:eastAsia="Times New Roman" w:hAnsi="Palatino Linotype" w:cs="Arial"/>
          <w:bCs/>
          <w:color w:val="000000" w:themeColor="text1"/>
          <w:lang w:eastAsia="es-MX"/>
        </w:rPr>
      </w:pPr>
      <w:r w:rsidRPr="003A787D">
        <w:rPr>
          <w:rFonts w:ascii="Palatino Linotype" w:eastAsia="Calibri" w:hAnsi="Palatino Linotype" w:cs="Arial"/>
          <w:color w:val="000000" w:themeColor="text1"/>
        </w:rPr>
        <w:t xml:space="preserve">El </w:t>
      </w:r>
      <w:r w:rsidR="00740BA4" w:rsidRPr="003A787D">
        <w:rPr>
          <w:rFonts w:ascii="Palatino Linotype" w:eastAsia="Calibri" w:hAnsi="Palatino Linotype" w:cs="Arial"/>
          <w:color w:val="000000" w:themeColor="text1"/>
        </w:rPr>
        <w:t xml:space="preserve">medio de impugnación fue presentado a través del </w:t>
      </w:r>
      <w:r w:rsidR="00740BA4" w:rsidRPr="003A787D">
        <w:rPr>
          <w:rFonts w:ascii="Palatino Linotype" w:eastAsia="Calibri" w:hAnsi="Palatino Linotype" w:cs="Arial"/>
          <w:bCs/>
          <w:iCs/>
          <w:color w:val="000000" w:themeColor="text1"/>
        </w:rPr>
        <w:t>SAIMEX</w:t>
      </w:r>
      <w:r w:rsidR="00740BA4" w:rsidRPr="003A787D">
        <w:rPr>
          <w:rFonts w:ascii="Palatino Linotype" w:eastAsia="Calibri" w:hAnsi="Palatino Linotype" w:cs="Arial"/>
          <w:color w:val="000000" w:themeColor="text1"/>
        </w:rPr>
        <w:t xml:space="preserve"> en el formato previamente aprobado para tal efecto y dentro del plazo legal de quince días hábiles otorgados; siendo así que el </w:t>
      </w:r>
      <w:r w:rsidR="00740BA4" w:rsidRPr="003A787D">
        <w:rPr>
          <w:rFonts w:ascii="Palatino Linotype" w:eastAsia="Calibri" w:hAnsi="Palatino Linotype" w:cs="Arial"/>
          <w:b/>
          <w:color w:val="000000" w:themeColor="text1"/>
        </w:rPr>
        <w:t>SUJETO OBLIGADO</w:t>
      </w:r>
      <w:r w:rsidR="00740BA4" w:rsidRPr="003A787D">
        <w:rPr>
          <w:rFonts w:ascii="Palatino Linotype" w:eastAsia="Calibri" w:hAnsi="Palatino Linotype" w:cs="Arial"/>
          <w:color w:val="000000" w:themeColor="text1"/>
        </w:rPr>
        <w:t xml:space="preserve"> entregó respuesta el </w:t>
      </w:r>
      <w:r w:rsidR="0031578C" w:rsidRPr="003A787D">
        <w:rPr>
          <w:rFonts w:ascii="Palatino Linotype" w:eastAsia="Calibri" w:hAnsi="Palatino Linotype" w:cs="Arial"/>
          <w:color w:val="000000" w:themeColor="text1"/>
        </w:rPr>
        <w:t>diecisiete (17</w:t>
      </w:r>
      <w:r w:rsidR="00B92605" w:rsidRPr="003A787D">
        <w:rPr>
          <w:rFonts w:ascii="Palatino Linotype" w:eastAsia="Calibri" w:hAnsi="Palatino Linotype" w:cs="Arial"/>
          <w:color w:val="000000" w:themeColor="text1"/>
        </w:rPr>
        <w:t>) de febrero</w:t>
      </w:r>
      <w:r w:rsidR="00C85A48" w:rsidRPr="003A787D">
        <w:rPr>
          <w:rFonts w:ascii="Palatino Linotype" w:eastAsia="Calibri" w:hAnsi="Palatino Linotype" w:cs="Arial"/>
          <w:color w:val="000000" w:themeColor="text1"/>
        </w:rPr>
        <w:t xml:space="preserve"> de dos mil veintidós</w:t>
      </w:r>
      <w:r w:rsidR="00740BA4" w:rsidRPr="003A787D">
        <w:rPr>
          <w:rFonts w:ascii="Palatino Linotype" w:eastAsia="Calibri" w:hAnsi="Palatino Linotype" w:cs="Arial"/>
          <w:color w:val="000000" w:themeColor="text1"/>
        </w:rPr>
        <w:t xml:space="preserve">, de tal forma que el plazo para interponer el recurso de revisión transcurrió del </w:t>
      </w:r>
      <w:r w:rsidR="0031578C" w:rsidRPr="003A787D">
        <w:rPr>
          <w:rFonts w:ascii="Palatino Linotype" w:eastAsia="Calibri" w:hAnsi="Palatino Linotype" w:cs="Arial"/>
          <w:color w:val="000000" w:themeColor="text1"/>
        </w:rPr>
        <w:t>dieciocho (18) de febrero al once (11) de marzo</w:t>
      </w:r>
      <w:r w:rsidR="00740BA4" w:rsidRPr="003A787D">
        <w:rPr>
          <w:rFonts w:ascii="Palatino Linotype" w:eastAsia="Calibri" w:hAnsi="Palatino Linotype" w:cs="Arial"/>
          <w:color w:val="000000" w:themeColor="text1"/>
        </w:rPr>
        <w:t xml:space="preserve"> de dos mil </w:t>
      </w:r>
      <w:r w:rsidR="00C85A48" w:rsidRPr="003A787D">
        <w:rPr>
          <w:rFonts w:ascii="Palatino Linotype" w:eastAsia="Calibri" w:hAnsi="Palatino Linotype" w:cs="Arial"/>
          <w:color w:val="000000" w:themeColor="text1"/>
        </w:rPr>
        <w:t>veintidós</w:t>
      </w:r>
      <w:r w:rsidR="00740BA4" w:rsidRPr="003A787D">
        <w:rPr>
          <w:rFonts w:ascii="Palatino Linotype" w:eastAsia="Calibri" w:hAnsi="Palatino Linotype" w:cs="Arial"/>
          <w:color w:val="000000" w:themeColor="text1"/>
        </w:rPr>
        <w:t>, sin contemplar en el cómputo los días</w:t>
      </w:r>
      <w:r w:rsidR="00525348" w:rsidRPr="003A787D">
        <w:rPr>
          <w:rFonts w:ascii="Palatino Linotype" w:eastAsia="Calibri" w:hAnsi="Palatino Linotype" w:cs="Arial"/>
          <w:color w:val="000000" w:themeColor="text1"/>
        </w:rPr>
        <w:t xml:space="preserve"> </w:t>
      </w:r>
      <w:r w:rsidR="00C85A48" w:rsidRPr="003A787D">
        <w:rPr>
          <w:rFonts w:ascii="Palatino Linotype" w:eastAsia="Calibri" w:hAnsi="Palatino Linotype" w:cs="Arial"/>
          <w:color w:val="000000" w:themeColor="text1"/>
        </w:rPr>
        <w:t>diecinueve (19)</w:t>
      </w:r>
      <w:r w:rsidR="0031578C" w:rsidRPr="003A787D">
        <w:rPr>
          <w:rFonts w:ascii="Palatino Linotype" w:eastAsia="Calibri" w:hAnsi="Palatino Linotype" w:cs="Arial"/>
          <w:color w:val="000000" w:themeColor="text1"/>
        </w:rPr>
        <w:t>,</w:t>
      </w:r>
      <w:r w:rsidR="00C85A48" w:rsidRPr="003A787D">
        <w:rPr>
          <w:rFonts w:ascii="Palatino Linotype" w:eastAsia="Calibri" w:hAnsi="Palatino Linotype" w:cs="Arial"/>
          <w:color w:val="000000" w:themeColor="text1"/>
        </w:rPr>
        <w:t xml:space="preserve"> veinte (20)</w:t>
      </w:r>
      <w:r w:rsidR="00265376" w:rsidRPr="003A787D">
        <w:rPr>
          <w:rFonts w:ascii="Palatino Linotype" w:eastAsia="Calibri" w:hAnsi="Palatino Linotype" w:cs="Arial"/>
          <w:color w:val="000000" w:themeColor="text1"/>
        </w:rPr>
        <w:t>,</w:t>
      </w:r>
      <w:r w:rsidR="0031578C" w:rsidRPr="003A787D">
        <w:rPr>
          <w:rFonts w:ascii="Palatino Linotype" w:eastAsia="Calibri" w:hAnsi="Palatino Linotype" w:cs="Arial"/>
          <w:color w:val="000000" w:themeColor="text1"/>
        </w:rPr>
        <w:t xml:space="preserve"> veintiséis (26) y veintisiete (27) de febrero, así como el dos (02), cinco (05) y seis (06) de marzo</w:t>
      </w:r>
      <w:r w:rsidR="00740BA4" w:rsidRPr="003A787D">
        <w:rPr>
          <w:rFonts w:ascii="Palatino Linotype" w:eastAsia="Calibri" w:hAnsi="Palatino Linotype" w:cs="Arial"/>
          <w:color w:val="000000" w:themeColor="text1"/>
        </w:rPr>
        <w:t xml:space="preserve"> por corresponder a sábados</w:t>
      </w:r>
      <w:r w:rsidR="00C85A48" w:rsidRPr="003A787D">
        <w:rPr>
          <w:rFonts w:ascii="Palatino Linotype" w:eastAsia="Calibri" w:hAnsi="Palatino Linotype" w:cs="Arial"/>
          <w:color w:val="000000" w:themeColor="text1"/>
        </w:rPr>
        <w:t xml:space="preserve">, </w:t>
      </w:r>
      <w:r w:rsidR="00740BA4" w:rsidRPr="003A787D">
        <w:rPr>
          <w:rFonts w:ascii="Palatino Linotype" w:eastAsia="Calibri" w:hAnsi="Palatino Linotype" w:cs="Arial"/>
          <w:color w:val="000000" w:themeColor="text1"/>
        </w:rPr>
        <w:t>domingos</w:t>
      </w:r>
      <w:r w:rsidR="00C85A48" w:rsidRPr="003A787D">
        <w:rPr>
          <w:rFonts w:ascii="Palatino Linotype" w:eastAsia="Calibri" w:hAnsi="Palatino Linotype" w:cs="Arial"/>
          <w:color w:val="000000" w:themeColor="text1"/>
        </w:rPr>
        <w:t xml:space="preserve"> e inhábiles, </w:t>
      </w:r>
      <w:r w:rsidR="00740BA4" w:rsidRPr="003A787D">
        <w:rPr>
          <w:rFonts w:ascii="Palatino Linotype" w:eastAsia="Calibri" w:hAnsi="Palatino Linotype" w:cs="Arial"/>
          <w:color w:val="000000" w:themeColor="text1"/>
        </w:rPr>
        <w:t xml:space="preserve">en términos del </w:t>
      </w:r>
      <w:r w:rsidR="00740BA4" w:rsidRPr="003A787D">
        <w:rPr>
          <w:rFonts w:ascii="Palatino Linotype" w:eastAsia="Calibri" w:hAnsi="Palatino Linotype" w:cs="Arial"/>
          <w:color w:val="000000" w:themeColor="text1"/>
        </w:rPr>
        <w:lastRenderedPageBreak/>
        <w:t>artículo 3</w:t>
      </w:r>
      <w:r w:rsidR="00D641DC" w:rsidRPr="003A787D">
        <w:rPr>
          <w:rFonts w:ascii="Palatino Linotype" w:eastAsia="Calibri" w:hAnsi="Palatino Linotype" w:cs="Arial"/>
          <w:color w:val="000000" w:themeColor="text1"/>
        </w:rPr>
        <w:t>,</w:t>
      </w:r>
      <w:r w:rsidR="00740BA4" w:rsidRPr="003A787D">
        <w:rPr>
          <w:rFonts w:ascii="Palatino Linotype" w:eastAsia="Calibri" w:hAnsi="Palatino Linotype" w:cs="Arial"/>
          <w:color w:val="000000" w:themeColor="text1"/>
        </w:rPr>
        <w:t xml:space="preserve"> fracción X</w:t>
      </w:r>
      <w:r w:rsidR="00D641DC" w:rsidRPr="003A787D">
        <w:rPr>
          <w:rFonts w:ascii="Palatino Linotype" w:eastAsia="Calibri" w:hAnsi="Palatino Linotype" w:cs="Arial"/>
          <w:color w:val="000000" w:themeColor="text1"/>
        </w:rPr>
        <w:t>,</w:t>
      </w:r>
      <w:r w:rsidR="00740BA4" w:rsidRPr="003A787D">
        <w:rPr>
          <w:rFonts w:ascii="Palatino Linotype" w:eastAsia="Calibri" w:hAnsi="Palatino Linotype" w:cs="Arial"/>
          <w:color w:val="000000" w:themeColor="text1"/>
        </w:rPr>
        <w:t xml:space="preserve"> de la Ley de Transparencia y Acceso a la Información Pública del Estado de México y Municipios.</w:t>
      </w:r>
    </w:p>
    <w:p w14:paraId="1632A3E6" w14:textId="77777777" w:rsidR="00B92605" w:rsidRPr="003A787D" w:rsidRDefault="00B92605" w:rsidP="00B92605">
      <w:pPr>
        <w:pStyle w:val="Prrafodelista"/>
        <w:tabs>
          <w:tab w:val="left" w:pos="426"/>
        </w:tabs>
        <w:spacing w:line="360" w:lineRule="auto"/>
        <w:ind w:left="0" w:right="49"/>
        <w:jc w:val="both"/>
        <w:rPr>
          <w:rFonts w:ascii="Palatino Linotype" w:eastAsia="Times New Roman" w:hAnsi="Palatino Linotype" w:cs="Arial"/>
          <w:bCs/>
          <w:color w:val="000000" w:themeColor="text1"/>
          <w:lang w:eastAsia="es-MX"/>
        </w:rPr>
      </w:pPr>
    </w:p>
    <w:p w14:paraId="4FB3C84C" w14:textId="2E0E26D6" w:rsidR="00B92605" w:rsidRPr="003A787D" w:rsidRDefault="0031578C" w:rsidP="00B92605">
      <w:pPr>
        <w:pStyle w:val="Prrafodelista"/>
        <w:numPr>
          <w:ilvl w:val="0"/>
          <w:numId w:val="1"/>
        </w:numPr>
        <w:tabs>
          <w:tab w:val="left" w:pos="426"/>
        </w:tabs>
        <w:spacing w:line="360" w:lineRule="auto"/>
        <w:ind w:right="49"/>
        <w:jc w:val="both"/>
        <w:rPr>
          <w:rFonts w:ascii="Palatino Linotype" w:eastAsia="Times New Roman" w:hAnsi="Palatino Linotype" w:cs="Arial"/>
          <w:bCs/>
          <w:color w:val="000000" w:themeColor="text1"/>
          <w:lang w:eastAsia="es-MX"/>
        </w:rPr>
      </w:pPr>
      <w:r w:rsidRPr="003A787D">
        <w:rPr>
          <w:rFonts w:ascii="Palatino Linotype" w:eastAsia="Calibri" w:hAnsi="Palatino Linotype" w:cs="Arial"/>
          <w:color w:val="000000" w:themeColor="text1"/>
        </w:rPr>
        <w:t xml:space="preserve">Luego entonces, </w:t>
      </w:r>
      <w:r w:rsidR="00EE35EA" w:rsidRPr="003A787D">
        <w:rPr>
          <w:rFonts w:ascii="Palatino Linotype" w:hAnsi="Palatino Linotype"/>
          <w:color w:val="000000" w:themeColor="text1"/>
        </w:rPr>
        <w:t>si el presente recurso de revisión fue interpuesto el dieciocho (18) de febrero de dos mil veintidós, éste</w:t>
      </w:r>
      <w:r w:rsidR="00EE35EA" w:rsidRPr="003A787D">
        <w:rPr>
          <w:rFonts w:ascii="Palatino Linotype" w:hAnsi="Palatino Linotype" w:cs="Arial"/>
          <w:color w:val="000000" w:themeColor="text1"/>
        </w:rPr>
        <w:t xml:space="preserve"> se encuentra dentro de los márgenes temporales previstos en el artículo 178 de la Ley de Transparencia y Acceso a la Información Pública del Estado de México y Municipios</w:t>
      </w:r>
      <w:r w:rsidR="00EE35EA" w:rsidRPr="003A787D">
        <w:rPr>
          <w:rFonts w:ascii="Palatino Linotype" w:hAnsi="Palatino Linotype" w:cs="Arial"/>
          <w:b/>
          <w:color w:val="000000" w:themeColor="text1"/>
        </w:rPr>
        <w:t xml:space="preserve"> </w:t>
      </w:r>
      <w:r w:rsidR="00EE35EA" w:rsidRPr="003A787D">
        <w:rPr>
          <w:rFonts w:ascii="Palatino Linotype" w:hAnsi="Palatino Linotype" w:cs="Arial"/>
          <w:color w:val="000000" w:themeColor="text1"/>
        </w:rPr>
        <w:t>vigente.</w:t>
      </w:r>
    </w:p>
    <w:p w14:paraId="21903286" w14:textId="77777777" w:rsidR="00740BA4" w:rsidRPr="003A787D" w:rsidRDefault="00740BA4" w:rsidP="00740BA4">
      <w:pPr>
        <w:pStyle w:val="Prrafodelista"/>
        <w:tabs>
          <w:tab w:val="left" w:pos="426"/>
        </w:tabs>
        <w:spacing w:line="360" w:lineRule="auto"/>
        <w:ind w:left="0" w:right="49"/>
        <w:jc w:val="both"/>
        <w:rPr>
          <w:rFonts w:ascii="Palatino Linotype" w:eastAsia="Times New Roman" w:hAnsi="Palatino Linotype" w:cs="Arial"/>
          <w:bCs/>
          <w:color w:val="000000" w:themeColor="text1"/>
          <w:lang w:eastAsia="es-MX"/>
        </w:rPr>
      </w:pPr>
    </w:p>
    <w:p w14:paraId="52DD5993" w14:textId="186F7299" w:rsidR="005F1362" w:rsidRPr="003A787D" w:rsidRDefault="00C6440A" w:rsidP="00DA22D8">
      <w:pPr>
        <w:pStyle w:val="Prrafodelista"/>
        <w:numPr>
          <w:ilvl w:val="0"/>
          <w:numId w:val="1"/>
        </w:numPr>
        <w:tabs>
          <w:tab w:val="left" w:pos="426"/>
        </w:tabs>
        <w:spacing w:line="360" w:lineRule="auto"/>
        <w:jc w:val="both"/>
        <w:rPr>
          <w:rFonts w:ascii="Palatino Linotype" w:hAnsi="Palatino Linotype"/>
          <w:color w:val="000000" w:themeColor="text1"/>
        </w:rPr>
      </w:pPr>
      <w:r w:rsidRPr="003A787D">
        <w:rPr>
          <w:rFonts w:ascii="Palatino Linotype" w:eastAsia="Calibri" w:hAnsi="Palatino Linotype" w:cs="Arial"/>
          <w:color w:val="000000" w:themeColor="text1"/>
        </w:rPr>
        <w:t xml:space="preserve">Consecuencia de lo anterior, esta Ponencia Resolutora advierte que </w:t>
      </w:r>
      <w:r w:rsidR="00540208" w:rsidRPr="003A787D">
        <w:rPr>
          <w:rFonts w:ascii="Palatino Linotype" w:eastAsia="Calibri" w:hAnsi="Palatino Linotype" w:cs="Arial"/>
          <w:color w:val="000000" w:themeColor="text1"/>
        </w:rPr>
        <w:t>el escrito contiene las formalidades previstas por el artículo 180</w:t>
      </w:r>
      <w:r w:rsidR="00EE35EA" w:rsidRPr="003A787D">
        <w:rPr>
          <w:rFonts w:ascii="Palatino Linotype" w:eastAsia="Calibri" w:hAnsi="Palatino Linotype" w:cs="Arial"/>
          <w:color w:val="000000" w:themeColor="text1"/>
        </w:rPr>
        <w:t>,</w:t>
      </w:r>
      <w:r w:rsidR="00540208" w:rsidRPr="003A787D">
        <w:rPr>
          <w:rFonts w:ascii="Palatino Linotype" w:eastAsia="Calibri" w:hAnsi="Palatino Linotype" w:cs="Arial"/>
          <w:color w:val="000000" w:themeColor="text1"/>
        </w:rPr>
        <w:t xml:space="preserve"> último párrafo</w:t>
      </w:r>
      <w:r w:rsidR="00EE35EA" w:rsidRPr="003A787D">
        <w:rPr>
          <w:rFonts w:ascii="Palatino Linotype" w:eastAsia="Calibri" w:hAnsi="Palatino Linotype" w:cs="Arial"/>
          <w:color w:val="000000" w:themeColor="text1"/>
        </w:rPr>
        <w:t>,</w:t>
      </w:r>
      <w:r w:rsidR="00540208" w:rsidRPr="003A787D">
        <w:rPr>
          <w:rFonts w:ascii="Palatino Linotype" w:eastAsia="Calibri" w:hAnsi="Palatino Linotype" w:cs="Arial"/>
          <w:color w:val="000000" w:themeColor="text1"/>
        </w:rPr>
        <w:t xml:space="preserve"> de la Ley </w:t>
      </w:r>
      <w:r w:rsidR="004911B6" w:rsidRPr="003A787D">
        <w:rPr>
          <w:rFonts w:ascii="Palatino Linotype" w:eastAsia="Calibri" w:hAnsi="Palatino Linotype" w:cs="Arial"/>
          <w:color w:val="000000" w:themeColor="text1"/>
        </w:rPr>
        <w:t>de Transparencia y Acceso a la Información Pública del Estado de México y Municipios</w:t>
      </w:r>
      <w:r w:rsidR="00540208" w:rsidRPr="003A787D">
        <w:rPr>
          <w:rFonts w:ascii="Palatino Linotype" w:eastAsia="Calibri" w:hAnsi="Palatino Linotype" w:cs="Arial"/>
          <w:color w:val="000000" w:themeColor="text1"/>
        </w:rPr>
        <w:t xml:space="preserve">, por lo que es procedente que </w:t>
      </w:r>
      <w:r w:rsidR="004911B6" w:rsidRPr="003A787D">
        <w:rPr>
          <w:rFonts w:ascii="Palatino Linotype" w:eastAsia="Calibri" w:hAnsi="Palatino Linotype" w:cs="Arial"/>
          <w:color w:val="000000" w:themeColor="text1"/>
        </w:rPr>
        <w:t>e</w:t>
      </w:r>
      <w:r w:rsidR="00540208" w:rsidRPr="003A787D">
        <w:rPr>
          <w:rFonts w:ascii="Palatino Linotype" w:eastAsia="Calibri" w:hAnsi="Palatino Linotype" w:cs="Arial"/>
          <w:color w:val="000000" w:themeColor="text1"/>
        </w:rPr>
        <w:t>ste Instituto de Transparencia, Acceso a la Información Pública y Protección de Datos Personales del Estado de México y Municipios, conozca y resuelva el presente recurso.</w:t>
      </w:r>
    </w:p>
    <w:p w14:paraId="4757F38A" w14:textId="1426CC94" w:rsidR="003161C0" w:rsidRPr="003A787D" w:rsidRDefault="003161C0" w:rsidP="003161C0">
      <w:pPr>
        <w:pStyle w:val="Prrafodelista"/>
        <w:tabs>
          <w:tab w:val="left" w:pos="426"/>
        </w:tabs>
        <w:spacing w:line="360" w:lineRule="auto"/>
        <w:ind w:left="0"/>
        <w:jc w:val="both"/>
        <w:rPr>
          <w:rFonts w:ascii="Palatino Linotype" w:eastAsia="Calibri" w:hAnsi="Palatino Linotype" w:cs="Arial"/>
          <w:color w:val="000000" w:themeColor="text1"/>
        </w:rPr>
      </w:pPr>
    </w:p>
    <w:p w14:paraId="15661DD9" w14:textId="1CBAE68F" w:rsidR="00540208" w:rsidRPr="003A787D" w:rsidRDefault="00700B9B" w:rsidP="00B31E90">
      <w:pPr>
        <w:pStyle w:val="Ttulo2"/>
        <w:spacing w:before="0"/>
        <w:rPr>
          <w:rFonts w:ascii="Palatino Linotype" w:hAnsi="Palatino Linotype"/>
          <w:b/>
          <w:color w:val="000000" w:themeColor="text1"/>
          <w:sz w:val="24"/>
          <w:szCs w:val="24"/>
        </w:rPr>
      </w:pPr>
      <w:bookmarkStart w:id="13" w:name="_Toc500360400"/>
      <w:bookmarkStart w:id="14" w:name="_Toc500786931"/>
      <w:bookmarkStart w:id="15" w:name="_Toc96002403"/>
      <w:bookmarkStart w:id="16" w:name="_Toc495427545"/>
      <w:bookmarkStart w:id="17" w:name="_Toc499296549"/>
      <w:bookmarkStart w:id="18" w:name="_Toc459174366"/>
      <w:bookmarkStart w:id="19" w:name="_Toc459659884"/>
      <w:bookmarkStart w:id="20" w:name="_Toc461687280"/>
      <w:bookmarkStart w:id="21" w:name="_Toc462771051"/>
      <w:bookmarkStart w:id="22" w:name="_Toc464139201"/>
      <w:r w:rsidRPr="003A787D">
        <w:rPr>
          <w:rFonts w:ascii="Palatino Linotype" w:hAnsi="Palatino Linotype"/>
          <w:b/>
          <w:color w:val="000000" w:themeColor="text1"/>
          <w:sz w:val="24"/>
          <w:szCs w:val="24"/>
        </w:rPr>
        <w:t>TERCERO</w:t>
      </w:r>
      <w:r w:rsidR="00C50A2B" w:rsidRPr="003A787D">
        <w:rPr>
          <w:rFonts w:ascii="Palatino Linotype" w:hAnsi="Palatino Linotype"/>
          <w:b/>
          <w:color w:val="000000" w:themeColor="text1"/>
          <w:sz w:val="24"/>
          <w:szCs w:val="24"/>
        </w:rPr>
        <w:t>. De</w:t>
      </w:r>
      <w:r w:rsidR="00AD76A1" w:rsidRPr="003A787D">
        <w:rPr>
          <w:rFonts w:ascii="Palatino Linotype" w:hAnsi="Palatino Linotype"/>
          <w:b/>
          <w:color w:val="000000" w:themeColor="text1"/>
          <w:sz w:val="24"/>
          <w:szCs w:val="24"/>
        </w:rPr>
        <w:t xml:space="preserve">l planteamiento de la </w:t>
      </w:r>
      <w:r w:rsidR="00AD76A1" w:rsidRPr="003A787D">
        <w:rPr>
          <w:rFonts w:ascii="Palatino Linotype" w:hAnsi="Palatino Linotype"/>
          <w:b/>
          <w:i/>
          <w:color w:val="000000" w:themeColor="text1"/>
          <w:sz w:val="24"/>
          <w:szCs w:val="24"/>
        </w:rPr>
        <w:t>Litis</w:t>
      </w:r>
      <w:r w:rsidR="00C50A2B" w:rsidRPr="003A787D">
        <w:rPr>
          <w:rFonts w:ascii="Palatino Linotype" w:hAnsi="Palatino Linotype"/>
          <w:b/>
          <w:color w:val="000000" w:themeColor="text1"/>
          <w:sz w:val="24"/>
          <w:szCs w:val="24"/>
        </w:rPr>
        <w:t>.</w:t>
      </w:r>
      <w:bookmarkEnd w:id="13"/>
      <w:bookmarkEnd w:id="14"/>
      <w:bookmarkEnd w:id="15"/>
    </w:p>
    <w:p w14:paraId="4231B8D5" w14:textId="77777777" w:rsidR="00540208" w:rsidRPr="003A787D" w:rsidRDefault="00540208" w:rsidP="00B31E90">
      <w:pPr>
        <w:rPr>
          <w:rFonts w:ascii="Palatino Linotype" w:hAnsi="Palatino Linotype"/>
          <w:color w:val="000000" w:themeColor="text1"/>
          <w:lang w:eastAsia="en-US"/>
        </w:rPr>
      </w:pPr>
    </w:p>
    <w:bookmarkEnd w:id="16"/>
    <w:bookmarkEnd w:id="17"/>
    <w:p w14:paraId="26137E4C" w14:textId="41C88116" w:rsidR="0056788F" w:rsidRPr="003A787D" w:rsidRDefault="00F46B41" w:rsidP="00DA22D8">
      <w:pPr>
        <w:pStyle w:val="Prrafodelista"/>
        <w:numPr>
          <w:ilvl w:val="0"/>
          <w:numId w:val="1"/>
        </w:numPr>
        <w:tabs>
          <w:tab w:val="left" w:pos="426"/>
        </w:tabs>
        <w:spacing w:line="360" w:lineRule="auto"/>
        <w:ind w:right="49"/>
        <w:jc w:val="both"/>
        <w:rPr>
          <w:rFonts w:ascii="Palatino Linotype" w:hAnsi="Palatino Linotype" w:cs="Arial"/>
          <w:color w:val="000000" w:themeColor="text1"/>
        </w:rPr>
      </w:pPr>
      <w:r w:rsidRPr="003A787D">
        <w:rPr>
          <w:rFonts w:ascii="Palatino Linotype" w:hAnsi="Palatino Linotype" w:cs="Arial"/>
          <w:color w:val="000000" w:themeColor="text1"/>
        </w:rPr>
        <w:t xml:space="preserve">Se requirió </w:t>
      </w:r>
      <w:r w:rsidR="00667F62" w:rsidRPr="003A787D">
        <w:rPr>
          <w:rFonts w:ascii="Palatino Linotype" w:hAnsi="Palatino Linotype" w:cs="Arial"/>
          <w:color w:val="000000" w:themeColor="text1"/>
        </w:rPr>
        <w:t>obtener</w:t>
      </w:r>
      <w:r w:rsidR="007E6DA4" w:rsidRPr="003A787D">
        <w:rPr>
          <w:rFonts w:ascii="Palatino Linotype" w:hAnsi="Palatino Linotype" w:cs="Arial"/>
          <w:color w:val="000000" w:themeColor="text1"/>
        </w:rPr>
        <w:t xml:space="preserve"> diversa información relacionada con el pago de obligaciones fiscales del </w:t>
      </w:r>
      <w:r w:rsidR="007E6DA4" w:rsidRPr="003A787D">
        <w:rPr>
          <w:rFonts w:ascii="Palatino Linotype" w:hAnsi="Palatino Linotype" w:cs="Arial"/>
          <w:b/>
          <w:bCs/>
          <w:color w:val="000000" w:themeColor="text1"/>
        </w:rPr>
        <w:t>SUJETO OBLIGADO</w:t>
      </w:r>
      <w:r w:rsidR="007E6DA4" w:rsidRPr="003A787D">
        <w:rPr>
          <w:rFonts w:ascii="Palatino Linotype" w:hAnsi="Palatino Linotype" w:cs="Arial"/>
          <w:color w:val="000000" w:themeColor="text1"/>
        </w:rPr>
        <w:t xml:space="preserve">, a saber: </w:t>
      </w:r>
      <w:r w:rsidR="007E6DA4" w:rsidRPr="003A787D">
        <w:rPr>
          <w:rFonts w:ascii="Palatino Linotype" w:hAnsi="Palatino Linotype" w:cs="Arial"/>
          <w:b/>
          <w:bCs/>
          <w:color w:val="000000" w:themeColor="text1"/>
        </w:rPr>
        <w:t>a)</w:t>
      </w:r>
      <w:r w:rsidR="007E6DA4" w:rsidRPr="003A787D">
        <w:rPr>
          <w:rFonts w:ascii="Palatino Linotype" w:hAnsi="Palatino Linotype" w:cs="Arial"/>
          <w:color w:val="000000" w:themeColor="text1"/>
        </w:rPr>
        <w:t xml:space="preserve"> Opinión de cumplimiento proporcionada por el SAT, IMSS, INFONAVIT y SATEM; </w:t>
      </w:r>
      <w:r w:rsidR="007E6DA4" w:rsidRPr="003A787D">
        <w:rPr>
          <w:rFonts w:ascii="Palatino Linotype" w:hAnsi="Palatino Linotype" w:cs="Arial"/>
          <w:b/>
          <w:bCs/>
          <w:color w:val="000000" w:themeColor="text1"/>
        </w:rPr>
        <w:t>b)</w:t>
      </w:r>
      <w:r w:rsidR="007E6DA4" w:rsidRPr="003A787D">
        <w:rPr>
          <w:rFonts w:ascii="Palatino Linotype" w:hAnsi="Palatino Linotype" w:cs="Arial"/>
          <w:color w:val="000000" w:themeColor="text1"/>
        </w:rPr>
        <w:t xml:space="preserve"> Reportes del aplicativo “Visor de nómina del SAT”, del dos mil dieciocho al dos mil veintiuno, en sus presentaciones ‘Vista anual acumulada’, ‘Detalle mensual’ y ‘Detalle diferencias sueldos y salarios’; </w:t>
      </w:r>
      <w:r w:rsidR="007E6DA4" w:rsidRPr="003A787D">
        <w:rPr>
          <w:rFonts w:ascii="Palatino Linotype" w:hAnsi="Palatino Linotype" w:cs="Arial"/>
          <w:b/>
          <w:bCs/>
          <w:color w:val="000000" w:themeColor="text1"/>
        </w:rPr>
        <w:t>c)</w:t>
      </w:r>
      <w:r w:rsidR="007E6DA4" w:rsidRPr="003A787D">
        <w:rPr>
          <w:rFonts w:ascii="Palatino Linotype" w:hAnsi="Palatino Linotype" w:cs="Arial"/>
          <w:color w:val="000000" w:themeColor="text1"/>
        </w:rPr>
        <w:t xml:space="preserve"> Constancias de situación fiscal de no adeudo emitida por el INFONAVIT, IMSS y SATEM; </w:t>
      </w:r>
      <w:r w:rsidR="007E6DA4" w:rsidRPr="003A787D">
        <w:rPr>
          <w:rFonts w:ascii="Palatino Linotype" w:hAnsi="Palatino Linotype" w:cs="Arial"/>
          <w:b/>
          <w:bCs/>
          <w:color w:val="000000" w:themeColor="text1"/>
        </w:rPr>
        <w:t>d)</w:t>
      </w:r>
      <w:r w:rsidR="007E6DA4" w:rsidRPr="003A787D">
        <w:rPr>
          <w:rFonts w:ascii="Palatino Linotype" w:hAnsi="Palatino Linotype" w:cs="Arial"/>
          <w:color w:val="000000" w:themeColor="text1"/>
        </w:rPr>
        <w:t xml:space="preserve"> </w:t>
      </w:r>
      <w:r w:rsidR="00E36C79" w:rsidRPr="003A787D">
        <w:rPr>
          <w:rFonts w:ascii="Palatino Linotype" w:hAnsi="Palatino Linotype" w:cs="Arial"/>
          <w:color w:val="000000" w:themeColor="text1"/>
        </w:rPr>
        <w:t>Se genere un documento</w:t>
      </w:r>
      <w:r w:rsidR="007E6DA4" w:rsidRPr="003A787D">
        <w:rPr>
          <w:rFonts w:ascii="Palatino Linotype" w:hAnsi="Palatino Linotype" w:cs="Arial"/>
          <w:color w:val="000000" w:themeColor="text1"/>
        </w:rPr>
        <w:t xml:space="preserve"> donde se desarrolle </w:t>
      </w:r>
      <w:r w:rsidR="00E36C79" w:rsidRPr="003A787D">
        <w:rPr>
          <w:rFonts w:ascii="Palatino Linotype" w:hAnsi="Palatino Linotype" w:cs="Arial"/>
          <w:color w:val="000000" w:themeColor="text1"/>
        </w:rPr>
        <w:t>diversa información</w:t>
      </w:r>
      <w:r w:rsidR="007E6DA4" w:rsidRPr="003A787D">
        <w:rPr>
          <w:rFonts w:ascii="Palatino Linotype" w:hAnsi="Palatino Linotype" w:cs="Arial"/>
          <w:color w:val="000000" w:themeColor="text1"/>
        </w:rPr>
        <w:t xml:space="preserve"> relacionada con el pago del ISR.</w:t>
      </w:r>
    </w:p>
    <w:p w14:paraId="52493E42" w14:textId="77777777" w:rsidR="0056788F" w:rsidRPr="003A787D" w:rsidRDefault="0056788F" w:rsidP="0056788F">
      <w:pPr>
        <w:pStyle w:val="Prrafodelista"/>
        <w:tabs>
          <w:tab w:val="left" w:pos="426"/>
        </w:tabs>
        <w:spacing w:line="360" w:lineRule="auto"/>
        <w:ind w:left="0" w:right="49"/>
        <w:jc w:val="both"/>
        <w:rPr>
          <w:rFonts w:ascii="Palatino Linotype" w:hAnsi="Palatino Linotype" w:cs="Arial"/>
          <w:color w:val="000000" w:themeColor="text1"/>
        </w:rPr>
      </w:pPr>
    </w:p>
    <w:p w14:paraId="02AA7C26" w14:textId="47E14004" w:rsidR="007E6DA4" w:rsidRPr="003A787D" w:rsidRDefault="006F500E" w:rsidP="00AF31FE">
      <w:pPr>
        <w:pStyle w:val="Prrafodelista"/>
        <w:numPr>
          <w:ilvl w:val="0"/>
          <w:numId w:val="1"/>
        </w:numPr>
        <w:tabs>
          <w:tab w:val="left" w:pos="426"/>
        </w:tabs>
        <w:spacing w:line="360" w:lineRule="auto"/>
        <w:ind w:right="49"/>
        <w:jc w:val="both"/>
        <w:rPr>
          <w:rFonts w:ascii="Palatino Linotype" w:hAnsi="Palatino Linotype" w:cs="Arial"/>
          <w:color w:val="000000" w:themeColor="text1"/>
        </w:rPr>
      </w:pPr>
      <w:r w:rsidRPr="003A787D">
        <w:rPr>
          <w:rFonts w:ascii="Palatino Linotype" w:hAnsi="Palatino Linotype" w:cs="Arial"/>
          <w:color w:val="000000" w:themeColor="text1"/>
        </w:rPr>
        <w:t>E</w:t>
      </w:r>
      <w:r w:rsidR="00E36C79" w:rsidRPr="003A787D">
        <w:rPr>
          <w:rFonts w:ascii="Palatino Linotype" w:hAnsi="Palatino Linotype" w:cs="Arial"/>
          <w:color w:val="000000" w:themeColor="text1"/>
        </w:rPr>
        <w:t xml:space="preserve">l </w:t>
      </w:r>
      <w:r w:rsidR="00E36C79" w:rsidRPr="003A787D">
        <w:rPr>
          <w:rFonts w:ascii="Palatino Linotype" w:hAnsi="Palatino Linotype" w:cs="Arial"/>
          <w:b/>
          <w:color w:val="000000" w:themeColor="text1"/>
        </w:rPr>
        <w:t>SUJETO OBLIGADO</w:t>
      </w:r>
      <w:r w:rsidRPr="003A787D">
        <w:rPr>
          <w:rFonts w:ascii="Palatino Linotype" w:hAnsi="Palatino Linotype" w:cs="Arial"/>
          <w:bCs/>
          <w:color w:val="000000" w:themeColor="text1"/>
        </w:rPr>
        <w:t xml:space="preserve"> </w:t>
      </w:r>
      <w:r w:rsidR="00EE35EA" w:rsidRPr="003A787D">
        <w:rPr>
          <w:rFonts w:ascii="Palatino Linotype" w:hAnsi="Palatino Linotype" w:cs="Arial"/>
          <w:color w:val="000000" w:themeColor="text1"/>
        </w:rPr>
        <w:t xml:space="preserve">entregó al particular los reportes con información de pagos y retenciones por sueldos y salarios, en su modalidad de vista anual acumulada y detalle mensual, del dos mil dieciocho al dos mil veintiuno, así como la opinión emitida por el SAT, en sentido negativo, respecto del cumplimiento de obligaciones fiscales del Sistema Municipal pata el Desarrollo Integral de la Familia de Tenancingo; por otro lado, manifestó que el </w:t>
      </w:r>
      <w:r w:rsidR="00EE35EA" w:rsidRPr="003A787D">
        <w:rPr>
          <w:rFonts w:ascii="Palatino Linotype" w:hAnsi="Palatino Linotype" w:cs="Arial"/>
          <w:b/>
          <w:bCs/>
          <w:color w:val="000000" w:themeColor="text1"/>
        </w:rPr>
        <w:t>SUJETO OBLIGADO</w:t>
      </w:r>
      <w:r w:rsidR="00EE35EA" w:rsidRPr="003A787D">
        <w:rPr>
          <w:rFonts w:ascii="Palatino Linotype" w:hAnsi="Palatino Linotype" w:cs="Arial"/>
          <w:color w:val="000000" w:themeColor="text1"/>
        </w:rPr>
        <w:t xml:space="preserve"> no brinda a sus trabajadores las prestaciones de los servicios que proporcionan el IMSS e INFONAVIT, ni tampoco realizaba acciones para los cálculos o determinaciones de saldos a favor, a cargo o diferencias por concepto de ISR en declaraciones precargadas, al ser competencia del Ayuntamiento de Tenancingo.</w:t>
      </w:r>
    </w:p>
    <w:p w14:paraId="75877B49" w14:textId="77777777" w:rsidR="007E6DA4" w:rsidRPr="003A787D" w:rsidRDefault="007E6DA4" w:rsidP="007E6DA4">
      <w:pPr>
        <w:pStyle w:val="Prrafodelista"/>
        <w:tabs>
          <w:tab w:val="left" w:pos="426"/>
        </w:tabs>
        <w:spacing w:line="360" w:lineRule="auto"/>
        <w:ind w:left="0" w:right="49"/>
        <w:jc w:val="both"/>
        <w:rPr>
          <w:rFonts w:ascii="Palatino Linotype" w:hAnsi="Palatino Linotype" w:cs="Arial"/>
          <w:color w:val="000000" w:themeColor="text1"/>
        </w:rPr>
      </w:pPr>
    </w:p>
    <w:p w14:paraId="5A315F66" w14:textId="6C601F18" w:rsidR="00F46B41" w:rsidRPr="003A787D" w:rsidRDefault="007E6DA4" w:rsidP="00AF31FE">
      <w:pPr>
        <w:pStyle w:val="Prrafodelista"/>
        <w:numPr>
          <w:ilvl w:val="0"/>
          <w:numId w:val="1"/>
        </w:numPr>
        <w:tabs>
          <w:tab w:val="left" w:pos="426"/>
        </w:tabs>
        <w:spacing w:line="360" w:lineRule="auto"/>
        <w:ind w:right="49"/>
        <w:jc w:val="both"/>
        <w:rPr>
          <w:rFonts w:ascii="Palatino Linotype" w:hAnsi="Palatino Linotype" w:cs="Arial"/>
          <w:color w:val="000000" w:themeColor="text1"/>
        </w:rPr>
      </w:pPr>
      <w:r w:rsidRPr="003A787D">
        <w:rPr>
          <w:rFonts w:ascii="Palatino Linotype" w:hAnsi="Palatino Linotype" w:cs="Arial"/>
          <w:color w:val="000000" w:themeColor="text1"/>
        </w:rPr>
        <w:t>El</w:t>
      </w:r>
      <w:r w:rsidR="00826F38" w:rsidRPr="003A787D">
        <w:rPr>
          <w:rFonts w:ascii="Palatino Linotype" w:hAnsi="Palatino Linotype" w:cs="Arial"/>
          <w:color w:val="000000" w:themeColor="text1"/>
        </w:rPr>
        <w:t xml:space="preserve"> particular impugnó </w:t>
      </w:r>
      <w:r w:rsidR="006A2EFB" w:rsidRPr="003A787D">
        <w:rPr>
          <w:rFonts w:ascii="Palatino Linotype" w:hAnsi="Palatino Linotype" w:cs="Arial"/>
          <w:color w:val="000000" w:themeColor="text1"/>
        </w:rPr>
        <w:t>la respuesta</w:t>
      </w:r>
      <w:r w:rsidR="00826F38" w:rsidRPr="003A787D">
        <w:rPr>
          <w:rFonts w:ascii="Palatino Linotype" w:hAnsi="Palatino Linotype" w:cs="Arial"/>
          <w:color w:val="000000" w:themeColor="text1"/>
        </w:rPr>
        <w:t xml:space="preserve"> mediante recurso de revisión, </w:t>
      </w:r>
      <w:r w:rsidR="006A2EFB" w:rsidRPr="003A787D">
        <w:rPr>
          <w:rFonts w:ascii="Palatino Linotype" w:hAnsi="Palatino Linotype" w:cs="Arial"/>
          <w:color w:val="000000" w:themeColor="text1"/>
        </w:rPr>
        <w:t>en el que señaló</w:t>
      </w:r>
      <w:r w:rsidR="00826F38" w:rsidRPr="003A787D">
        <w:rPr>
          <w:rFonts w:ascii="Palatino Linotype" w:hAnsi="Palatino Linotype" w:cs="Arial"/>
          <w:color w:val="000000" w:themeColor="text1"/>
        </w:rPr>
        <w:t xml:space="preserve"> por agravios</w:t>
      </w:r>
      <w:r w:rsidR="00910076" w:rsidRPr="003A787D">
        <w:rPr>
          <w:rFonts w:ascii="Palatino Linotype" w:hAnsi="Palatino Linotype" w:cs="Arial"/>
          <w:color w:val="000000" w:themeColor="text1"/>
        </w:rPr>
        <w:t xml:space="preserve"> que</w:t>
      </w:r>
      <w:r w:rsidR="00826F38" w:rsidRPr="003A787D">
        <w:rPr>
          <w:rFonts w:ascii="Palatino Linotype" w:hAnsi="Palatino Linotype" w:cs="Arial"/>
          <w:color w:val="000000" w:themeColor="text1"/>
        </w:rPr>
        <w:t xml:space="preserve"> </w:t>
      </w:r>
      <w:r w:rsidR="00EB0909" w:rsidRPr="003A787D">
        <w:rPr>
          <w:rFonts w:ascii="Palatino Linotype" w:hAnsi="Palatino Linotype" w:cs="Arial"/>
          <w:color w:val="000000" w:themeColor="text1"/>
        </w:rPr>
        <w:t xml:space="preserve">la respuesta del </w:t>
      </w:r>
      <w:r w:rsidR="00EB0909" w:rsidRPr="003A787D">
        <w:rPr>
          <w:rFonts w:ascii="Palatino Linotype" w:hAnsi="Palatino Linotype" w:cs="Arial"/>
          <w:b/>
          <w:color w:val="000000" w:themeColor="text1"/>
        </w:rPr>
        <w:t>SUJETO OBLIGADO</w:t>
      </w:r>
      <w:r w:rsidR="00EB0909" w:rsidRPr="003A787D">
        <w:rPr>
          <w:rFonts w:ascii="Palatino Linotype" w:hAnsi="Palatino Linotype" w:cs="Arial"/>
          <w:color w:val="000000" w:themeColor="text1"/>
        </w:rPr>
        <w:t xml:space="preserve"> actualizaba la causal de procedencia del recurso establecida en el artículo 179, </w:t>
      </w:r>
      <w:r w:rsidR="004A134A" w:rsidRPr="003A787D">
        <w:rPr>
          <w:rFonts w:ascii="Palatino Linotype" w:hAnsi="Palatino Linotype" w:cs="Arial"/>
          <w:color w:val="000000" w:themeColor="text1"/>
        </w:rPr>
        <w:t>fracción</w:t>
      </w:r>
      <w:r w:rsidR="00EB0909" w:rsidRPr="003A787D">
        <w:rPr>
          <w:rFonts w:ascii="Palatino Linotype" w:hAnsi="Palatino Linotype" w:cs="Arial"/>
          <w:color w:val="000000" w:themeColor="text1"/>
        </w:rPr>
        <w:t xml:space="preserve"> </w:t>
      </w:r>
      <w:r w:rsidR="004A134A" w:rsidRPr="003A787D">
        <w:rPr>
          <w:rFonts w:ascii="Palatino Linotype" w:hAnsi="Palatino Linotype" w:cs="Arial"/>
          <w:color w:val="000000" w:themeColor="text1"/>
        </w:rPr>
        <w:t>V</w:t>
      </w:r>
      <w:r w:rsidR="00EB0909" w:rsidRPr="003A787D">
        <w:rPr>
          <w:rFonts w:ascii="Palatino Linotype" w:hAnsi="Palatino Linotype" w:cs="Arial"/>
          <w:color w:val="000000" w:themeColor="text1"/>
        </w:rPr>
        <w:t xml:space="preserve">, de la Ley de Transparencia y Acceso a la Información Pública del Estado de México y Municipios; asimismo, </w:t>
      </w:r>
      <w:r w:rsidR="00457FBC" w:rsidRPr="003A787D">
        <w:rPr>
          <w:rFonts w:ascii="Palatino Linotype" w:hAnsi="Palatino Linotype" w:cs="Arial"/>
          <w:color w:val="000000" w:themeColor="text1"/>
        </w:rPr>
        <w:t xml:space="preserve">manifestó que el </w:t>
      </w:r>
      <w:r w:rsidR="005A179D" w:rsidRPr="003A787D">
        <w:rPr>
          <w:rFonts w:ascii="Palatino Linotype" w:hAnsi="Palatino Linotype" w:cs="Arial"/>
          <w:color w:val="000000" w:themeColor="text1"/>
        </w:rPr>
        <w:t>Sistema Municipal para el Desarrollo Integral de la Familia de Tenancingo</w:t>
      </w:r>
      <w:r w:rsidR="00457FBC" w:rsidRPr="003A787D">
        <w:rPr>
          <w:rFonts w:ascii="Palatino Linotype" w:hAnsi="Palatino Linotype" w:cs="Arial"/>
          <w:color w:val="000000" w:themeColor="text1"/>
        </w:rPr>
        <w:t xml:space="preserve"> sí tenía competencia para poseer, generar y administrar los reportes relacionados con el ‘Visor de nómina’ del SAT, e indicó la forma en que aquél podía hacerse de los formatos requeridos para su entrega.</w:t>
      </w:r>
    </w:p>
    <w:p w14:paraId="2B665942" w14:textId="77777777" w:rsidR="00C83EF5" w:rsidRPr="003A787D" w:rsidRDefault="00C83EF5" w:rsidP="00C83EF5">
      <w:pPr>
        <w:pStyle w:val="Prrafodelista"/>
        <w:tabs>
          <w:tab w:val="left" w:pos="426"/>
        </w:tabs>
        <w:spacing w:line="360" w:lineRule="auto"/>
        <w:ind w:left="0" w:right="49"/>
        <w:jc w:val="both"/>
        <w:rPr>
          <w:rFonts w:ascii="Palatino Linotype" w:hAnsi="Palatino Linotype" w:cs="Arial"/>
          <w:color w:val="000000" w:themeColor="text1"/>
        </w:rPr>
      </w:pPr>
    </w:p>
    <w:p w14:paraId="17C58E36" w14:textId="3FE83CE9" w:rsidR="001A032D" w:rsidRPr="003A787D" w:rsidRDefault="001A032D" w:rsidP="00DA22D8">
      <w:pPr>
        <w:pStyle w:val="Prrafodelista"/>
        <w:numPr>
          <w:ilvl w:val="0"/>
          <w:numId w:val="1"/>
        </w:numPr>
        <w:tabs>
          <w:tab w:val="left" w:pos="426"/>
        </w:tabs>
        <w:spacing w:line="360" w:lineRule="auto"/>
        <w:ind w:right="49"/>
        <w:jc w:val="both"/>
        <w:rPr>
          <w:rFonts w:ascii="Palatino Linotype" w:hAnsi="Palatino Linotype" w:cs="Arial"/>
          <w:color w:val="000000" w:themeColor="text1"/>
        </w:rPr>
      </w:pPr>
      <w:r w:rsidRPr="003A787D">
        <w:rPr>
          <w:rFonts w:ascii="Palatino Linotype" w:hAnsi="Palatino Linotype" w:cs="Arial"/>
          <w:color w:val="000000" w:themeColor="text1"/>
        </w:rPr>
        <w:t xml:space="preserve">En ese sentido, </w:t>
      </w:r>
      <w:r w:rsidR="002E160F" w:rsidRPr="003A787D">
        <w:rPr>
          <w:rFonts w:ascii="Palatino Linotype" w:hAnsi="Palatino Linotype" w:cs="Arial"/>
          <w:color w:val="000000" w:themeColor="text1"/>
        </w:rPr>
        <w:t xml:space="preserve">esta Ponencia Resolutora advierte que las razones o motivos de inconformidad manifestados por el </w:t>
      </w:r>
      <w:r w:rsidRPr="003A787D">
        <w:rPr>
          <w:rFonts w:ascii="Palatino Linotype" w:hAnsi="Palatino Linotype" w:cs="Arial"/>
          <w:b/>
          <w:bCs/>
          <w:color w:val="000000" w:themeColor="text1"/>
        </w:rPr>
        <w:t>RECURRENTE</w:t>
      </w:r>
      <w:r w:rsidRPr="003A787D">
        <w:rPr>
          <w:rFonts w:ascii="Palatino Linotype" w:hAnsi="Palatino Linotype" w:cs="Arial"/>
          <w:color w:val="000000" w:themeColor="text1"/>
        </w:rPr>
        <w:t xml:space="preserve"> </w:t>
      </w:r>
      <w:r w:rsidR="002E160F" w:rsidRPr="003A787D">
        <w:rPr>
          <w:rFonts w:ascii="Palatino Linotype" w:hAnsi="Palatino Linotype" w:cs="Arial"/>
          <w:color w:val="000000" w:themeColor="text1"/>
        </w:rPr>
        <w:t>sugieren que la respuesta proporcionada</w:t>
      </w:r>
      <w:r w:rsidR="00B855AA" w:rsidRPr="003A787D">
        <w:rPr>
          <w:rFonts w:ascii="Palatino Linotype" w:hAnsi="Palatino Linotype" w:cs="Arial"/>
          <w:color w:val="000000" w:themeColor="text1"/>
        </w:rPr>
        <w:t xml:space="preserve"> por el </w:t>
      </w:r>
      <w:r w:rsidR="00B855AA" w:rsidRPr="003A787D">
        <w:rPr>
          <w:rFonts w:ascii="Palatino Linotype" w:hAnsi="Palatino Linotype" w:cs="Arial"/>
          <w:b/>
          <w:bCs/>
          <w:color w:val="000000" w:themeColor="text1"/>
        </w:rPr>
        <w:t>SUJETO OBLIGADO</w:t>
      </w:r>
      <w:r w:rsidR="00B855AA" w:rsidRPr="003A787D">
        <w:rPr>
          <w:rFonts w:ascii="Palatino Linotype" w:hAnsi="Palatino Linotype" w:cs="Arial"/>
          <w:color w:val="000000" w:themeColor="text1"/>
        </w:rPr>
        <w:t xml:space="preserve"> no cumplió con </w:t>
      </w:r>
      <w:r w:rsidR="008F7752" w:rsidRPr="003A787D">
        <w:rPr>
          <w:rFonts w:ascii="Palatino Linotype" w:hAnsi="Palatino Linotype" w:cs="Arial"/>
          <w:color w:val="000000" w:themeColor="text1"/>
        </w:rPr>
        <w:t>los</w:t>
      </w:r>
      <w:r w:rsidR="00B855AA" w:rsidRPr="003A787D">
        <w:rPr>
          <w:rFonts w:ascii="Palatino Linotype" w:hAnsi="Palatino Linotype" w:cs="Arial"/>
          <w:color w:val="000000" w:themeColor="text1"/>
        </w:rPr>
        <w:t xml:space="preserve"> principio</w:t>
      </w:r>
      <w:r w:rsidR="008F7752" w:rsidRPr="003A787D">
        <w:rPr>
          <w:rFonts w:ascii="Palatino Linotype" w:hAnsi="Palatino Linotype" w:cs="Arial"/>
          <w:color w:val="000000" w:themeColor="text1"/>
        </w:rPr>
        <w:t>s</w:t>
      </w:r>
      <w:r w:rsidR="00B855AA" w:rsidRPr="003A787D">
        <w:rPr>
          <w:rFonts w:ascii="Palatino Linotype" w:hAnsi="Palatino Linotype" w:cs="Arial"/>
          <w:color w:val="000000" w:themeColor="text1"/>
        </w:rPr>
        <w:t xml:space="preserve"> contendido</w:t>
      </w:r>
      <w:r w:rsidR="008F7752" w:rsidRPr="003A787D">
        <w:rPr>
          <w:rFonts w:ascii="Palatino Linotype" w:hAnsi="Palatino Linotype" w:cs="Arial"/>
          <w:color w:val="000000" w:themeColor="text1"/>
        </w:rPr>
        <w:t>s</w:t>
      </w:r>
      <w:r w:rsidR="00B855AA" w:rsidRPr="003A787D">
        <w:rPr>
          <w:rFonts w:ascii="Palatino Linotype" w:hAnsi="Palatino Linotype" w:cs="Arial"/>
          <w:color w:val="000000" w:themeColor="text1"/>
        </w:rPr>
        <w:t xml:space="preserve"> en el artículo 11 de la Ley de Transparencia y Acceso a la Información </w:t>
      </w:r>
      <w:r w:rsidR="00B855AA" w:rsidRPr="003A787D">
        <w:rPr>
          <w:rFonts w:ascii="Palatino Linotype" w:hAnsi="Palatino Linotype" w:cs="Arial"/>
          <w:color w:val="000000" w:themeColor="text1"/>
        </w:rPr>
        <w:lastRenderedPageBreak/>
        <w:t>Pública del Estado de México y Municipios, l</w:t>
      </w:r>
      <w:r w:rsidR="008F7752" w:rsidRPr="003A787D">
        <w:rPr>
          <w:rFonts w:ascii="Palatino Linotype" w:hAnsi="Palatino Linotype" w:cs="Arial"/>
          <w:color w:val="000000" w:themeColor="text1"/>
        </w:rPr>
        <w:t>os</w:t>
      </w:r>
      <w:r w:rsidR="00B855AA" w:rsidRPr="003A787D">
        <w:rPr>
          <w:rFonts w:ascii="Palatino Linotype" w:hAnsi="Palatino Linotype" w:cs="Arial"/>
          <w:color w:val="000000" w:themeColor="text1"/>
        </w:rPr>
        <w:t xml:space="preserve"> cual</w:t>
      </w:r>
      <w:r w:rsidR="008F7752" w:rsidRPr="003A787D">
        <w:rPr>
          <w:rFonts w:ascii="Palatino Linotype" w:hAnsi="Palatino Linotype" w:cs="Arial"/>
          <w:color w:val="000000" w:themeColor="text1"/>
        </w:rPr>
        <w:t>es</w:t>
      </w:r>
      <w:r w:rsidR="00B855AA" w:rsidRPr="003A787D">
        <w:rPr>
          <w:rFonts w:ascii="Palatino Linotype" w:hAnsi="Palatino Linotype" w:cs="Arial"/>
          <w:color w:val="000000" w:themeColor="text1"/>
        </w:rPr>
        <w:t xml:space="preserve"> señala</w:t>
      </w:r>
      <w:r w:rsidR="008F7752" w:rsidRPr="003A787D">
        <w:rPr>
          <w:rFonts w:ascii="Palatino Linotype" w:hAnsi="Palatino Linotype" w:cs="Arial"/>
          <w:color w:val="000000" w:themeColor="text1"/>
        </w:rPr>
        <w:t>n</w:t>
      </w:r>
      <w:r w:rsidR="00B855AA" w:rsidRPr="003A787D">
        <w:rPr>
          <w:rFonts w:ascii="Palatino Linotype" w:hAnsi="Palatino Linotype" w:cs="Arial"/>
          <w:color w:val="000000" w:themeColor="text1"/>
        </w:rPr>
        <w:t xml:space="preserve"> que en la generación, publicación y entrega de información se deberá garantizar que ésta </w:t>
      </w:r>
      <w:r w:rsidR="00C51671" w:rsidRPr="003A787D">
        <w:rPr>
          <w:rFonts w:ascii="Palatino Linotype" w:hAnsi="Palatino Linotype" w:cs="Arial"/>
          <w:color w:val="000000" w:themeColor="text1"/>
        </w:rPr>
        <w:t>sea</w:t>
      </w:r>
      <w:r w:rsidR="00B855AA" w:rsidRPr="003A787D">
        <w:rPr>
          <w:rFonts w:ascii="Palatino Linotype" w:hAnsi="Palatino Linotype" w:cs="Arial"/>
          <w:color w:val="000000" w:themeColor="text1"/>
        </w:rPr>
        <w:t xml:space="preserve"> </w:t>
      </w:r>
      <w:r w:rsidR="00C83EF5" w:rsidRPr="003A787D">
        <w:rPr>
          <w:rFonts w:ascii="Palatino Linotype" w:hAnsi="Palatino Linotype" w:cs="Arial"/>
          <w:b/>
          <w:bCs/>
          <w:color w:val="000000" w:themeColor="text1"/>
        </w:rPr>
        <w:t>accesible</w:t>
      </w:r>
      <w:r w:rsidR="00EB0909" w:rsidRPr="003A787D">
        <w:rPr>
          <w:rFonts w:ascii="Palatino Linotype" w:hAnsi="Palatino Linotype" w:cs="Arial"/>
          <w:b/>
          <w:bCs/>
          <w:color w:val="000000" w:themeColor="text1"/>
        </w:rPr>
        <w:t xml:space="preserve"> </w:t>
      </w:r>
      <w:r w:rsidR="00EB0909" w:rsidRPr="003A787D">
        <w:rPr>
          <w:rFonts w:ascii="Palatino Linotype" w:hAnsi="Palatino Linotype" w:cs="Arial"/>
          <w:bCs/>
          <w:color w:val="000000" w:themeColor="text1"/>
        </w:rPr>
        <w:t>y</w:t>
      </w:r>
      <w:r w:rsidR="00EB0909" w:rsidRPr="003A787D">
        <w:rPr>
          <w:rFonts w:ascii="Palatino Linotype" w:hAnsi="Palatino Linotype" w:cs="Arial"/>
          <w:b/>
          <w:bCs/>
          <w:color w:val="000000" w:themeColor="text1"/>
        </w:rPr>
        <w:t xml:space="preserve"> </w:t>
      </w:r>
      <w:r w:rsidR="004A134A" w:rsidRPr="003A787D">
        <w:rPr>
          <w:rFonts w:ascii="Palatino Linotype" w:hAnsi="Palatino Linotype" w:cs="Arial"/>
          <w:b/>
          <w:bCs/>
          <w:color w:val="000000" w:themeColor="text1"/>
        </w:rPr>
        <w:t>completa</w:t>
      </w:r>
      <w:r w:rsidR="00B855AA" w:rsidRPr="003A787D">
        <w:rPr>
          <w:rFonts w:ascii="Palatino Linotype" w:hAnsi="Palatino Linotype" w:cs="Arial"/>
          <w:color w:val="000000" w:themeColor="text1"/>
        </w:rPr>
        <w:t>.</w:t>
      </w:r>
    </w:p>
    <w:p w14:paraId="026A3A70" w14:textId="77777777" w:rsidR="00197091" w:rsidRPr="003A787D" w:rsidRDefault="00197091" w:rsidP="00B31E90">
      <w:pPr>
        <w:pStyle w:val="Prrafodelista"/>
        <w:tabs>
          <w:tab w:val="left" w:pos="426"/>
        </w:tabs>
        <w:spacing w:line="360" w:lineRule="auto"/>
        <w:ind w:left="0" w:right="49"/>
        <w:jc w:val="both"/>
        <w:rPr>
          <w:rFonts w:ascii="Palatino Linotype" w:hAnsi="Palatino Linotype" w:cs="Arial"/>
          <w:color w:val="000000" w:themeColor="text1"/>
        </w:rPr>
      </w:pPr>
    </w:p>
    <w:p w14:paraId="4B724D91" w14:textId="223AC033" w:rsidR="00AD76A1" w:rsidRPr="003A787D" w:rsidRDefault="00BC4307" w:rsidP="00DA22D8">
      <w:pPr>
        <w:pStyle w:val="Prrafodelista"/>
        <w:numPr>
          <w:ilvl w:val="0"/>
          <w:numId w:val="1"/>
        </w:numPr>
        <w:tabs>
          <w:tab w:val="left" w:pos="426"/>
        </w:tabs>
        <w:spacing w:line="360" w:lineRule="auto"/>
        <w:ind w:right="49"/>
        <w:jc w:val="both"/>
        <w:rPr>
          <w:rFonts w:ascii="Palatino Linotype" w:hAnsi="Palatino Linotype" w:cs="Arial"/>
          <w:color w:val="000000" w:themeColor="text1"/>
        </w:rPr>
      </w:pPr>
      <w:r w:rsidRPr="003A787D">
        <w:rPr>
          <w:rFonts w:ascii="Palatino Linotype" w:hAnsi="Palatino Linotype" w:cs="Arial"/>
          <w:color w:val="000000" w:themeColor="text1"/>
          <w:szCs w:val="23"/>
        </w:rPr>
        <w:t xml:space="preserve">Por lo anterior, la </w:t>
      </w:r>
      <w:r w:rsidRPr="003A787D">
        <w:rPr>
          <w:rFonts w:ascii="Palatino Linotype" w:hAnsi="Palatino Linotype" w:cs="Arial"/>
          <w:i/>
          <w:color w:val="000000" w:themeColor="text1"/>
          <w:szCs w:val="23"/>
        </w:rPr>
        <w:t>Litis</w:t>
      </w:r>
      <w:r w:rsidRPr="003A787D">
        <w:rPr>
          <w:rFonts w:ascii="Palatino Linotype" w:hAnsi="Palatino Linotype" w:cs="Arial"/>
          <w:color w:val="000000" w:themeColor="text1"/>
          <w:szCs w:val="23"/>
        </w:rPr>
        <w:t xml:space="preserve"> a resolver en el presente recurso se circunscribe en determinar si</w:t>
      </w:r>
      <w:r w:rsidR="002C6561" w:rsidRPr="003A787D">
        <w:rPr>
          <w:rFonts w:ascii="Palatino Linotype" w:hAnsi="Palatino Linotype" w:cs="Arial"/>
          <w:color w:val="000000" w:themeColor="text1"/>
          <w:szCs w:val="23"/>
        </w:rPr>
        <w:t xml:space="preserve"> </w:t>
      </w:r>
      <w:r w:rsidR="00F2227E" w:rsidRPr="003A787D">
        <w:rPr>
          <w:rFonts w:ascii="Palatino Linotype" w:hAnsi="Palatino Linotype" w:cs="Arial"/>
          <w:color w:val="000000" w:themeColor="text1"/>
          <w:szCs w:val="23"/>
        </w:rPr>
        <w:t xml:space="preserve">la respuesta </w:t>
      </w:r>
      <w:r w:rsidR="004B0EB6" w:rsidRPr="003A787D">
        <w:rPr>
          <w:rFonts w:ascii="Palatino Linotype" w:hAnsi="Palatino Linotype" w:cs="Arial"/>
          <w:color w:val="000000" w:themeColor="text1"/>
          <w:szCs w:val="23"/>
        </w:rPr>
        <w:t>del</w:t>
      </w:r>
      <w:r w:rsidR="002C6561" w:rsidRPr="003A787D">
        <w:rPr>
          <w:rFonts w:ascii="Palatino Linotype" w:hAnsi="Palatino Linotype" w:cs="Arial"/>
          <w:color w:val="000000" w:themeColor="text1"/>
          <w:szCs w:val="23"/>
        </w:rPr>
        <w:t xml:space="preserve"> </w:t>
      </w:r>
      <w:r w:rsidR="002C6561" w:rsidRPr="003A787D">
        <w:rPr>
          <w:rFonts w:ascii="Palatino Linotype" w:hAnsi="Palatino Linotype" w:cs="Arial"/>
          <w:b/>
          <w:bCs/>
          <w:color w:val="000000" w:themeColor="text1"/>
          <w:szCs w:val="23"/>
        </w:rPr>
        <w:t>SUJETO OBLIGADO</w:t>
      </w:r>
      <w:r w:rsidR="002C6561" w:rsidRPr="003A787D">
        <w:rPr>
          <w:rFonts w:ascii="Palatino Linotype" w:hAnsi="Palatino Linotype" w:cs="Arial"/>
          <w:color w:val="000000" w:themeColor="text1"/>
          <w:szCs w:val="23"/>
        </w:rPr>
        <w:t xml:space="preserve"> </w:t>
      </w:r>
      <w:r w:rsidR="004B0EB6" w:rsidRPr="003A787D">
        <w:rPr>
          <w:rFonts w:ascii="Palatino Linotype" w:hAnsi="Palatino Linotype" w:cs="Arial"/>
          <w:color w:val="000000" w:themeColor="text1"/>
          <w:szCs w:val="23"/>
        </w:rPr>
        <w:t xml:space="preserve">colma el derecho de acceso a la información ejercido por </w:t>
      </w:r>
      <w:r w:rsidR="00EB0909" w:rsidRPr="003A787D">
        <w:rPr>
          <w:rFonts w:ascii="Palatino Linotype" w:hAnsi="Palatino Linotype" w:cs="Arial"/>
          <w:color w:val="000000" w:themeColor="text1"/>
          <w:szCs w:val="23"/>
        </w:rPr>
        <w:t>el</w:t>
      </w:r>
      <w:r w:rsidR="004B0EB6" w:rsidRPr="003A787D">
        <w:rPr>
          <w:rFonts w:ascii="Palatino Linotype" w:hAnsi="Palatino Linotype" w:cs="Arial"/>
          <w:color w:val="000000" w:themeColor="text1"/>
          <w:szCs w:val="23"/>
        </w:rPr>
        <w:t xml:space="preserve"> </w:t>
      </w:r>
      <w:r w:rsidR="004B0EB6" w:rsidRPr="003A787D">
        <w:rPr>
          <w:rFonts w:ascii="Palatino Linotype" w:hAnsi="Palatino Linotype" w:cs="Arial"/>
          <w:b/>
          <w:bCs/>
          <w:color w:val="000000" w:themeColor="text1"/>
          <w:szCs w:val="23"/>
        </w:rPr>
        <w:t>RECURRENTE</w:t>
      </w:r>
      <w:r w:rsidR="002C6561" w:rsidRPr="003A787D">
        <w:rPr>
          <w:rFonts w:ascii="Palatino Linotype" w:hAnsi="Palatino Linotype" w:cs="Arial"/>
          <w:color w:val="000000" w:themeColor="text1"/>
          <w:szCs w:val="23"/>
        </w:rPr>
        <w:t>; o</w:t>
      </w:r>
      <w:r w:rsidR="00F2227E" w:rsidRPr="003A787D">
        <w:rPr>
          <w:rFonts w:ascii="Palatino Linotype" w:hAnsi="Palatino Linotype" w:cs="Arial"/>
          <w:color w:val="000000" w:themeColor="text1"/>
          <w:szCs w:val="23"/>
        </w:rPr>
        <w:t>,</w:t>
      </w:r>
      <w:r w:rsidR="002C6561" w:rsidRPr="003A787D">
        <w:rPr>
          <w:rFonts w:ascii="Palatino Linotype" w:hAnsi="Palatino Linotype" w:cs="Arial"/>
          <w:color w:val="000000" w:themeColor="text1"/>
          <w:szCs w:val="23"/>
        </w:rPr>
        <w:t xml:space="preserve"> si por el contrario, se</w:t>
      </w:r>
      <w:r w:rsidR="00E32652" w:rsidRPr="003A787D">
        <w:rPr>
          <w:rFonts w:ascii="Palatino Linotype" w:hAnsi="Palatino Linotype" w:cs="Arial"/>
          <w:color w:val="000000" w:themeColor="text1"/>
          <w:szCs w:val="23"/>
        </w:rPr>
        <w:t xml:space="preserve"> </w:t>
      </w:r>
      <w:r w:rsidR="0028248C" w:rsidRPr="003A787D">
        <w:rPr>
          <w:rFonts w:ascii="Palatino Linotype" w:hAnsi="Palatino Linotype"/>
          <w:color w:val="000000" w:themeColor="text1"/>
        </w:rPr>
        <w:t>actualiza</w:t>
      </w:r>
      <w:r w:rsidR="00C51671" w:rsidRPr="003A787D">
        <w:rPr>
          <w:rFonts w:ascii="Palatino Linotype" w:hAnsi="Palatino Linotype"/>
          <w:color w:val="000000" w:themeColor="text1"/>
        </w:rPr>
        <w:t>n</w:t>
      </w:r>
      <w:r w:rsidR="0028248C" w:rsidRPr="003A787D">
        <w:rPr>
          <w:rFonts w:ascii="Palatino Linotype" w:hAnsi="Palatino Linotype"/>
          <w:color w:val="000000" w:themeColor="text1"/>
        </w:rPr>
        <w:t xml:space="preserve"> la</w:t>
      </w:r>
      <w:r w:rsidR="00C51671" w:rsidRPr="003A787D">
        <w:rPr>
          <w:rFonts w:ascii="Palatino Linotype" w:hAnsi="Palatino Linotype"/>
          <w:color w:val="000000" w:themeColor="text1"/>
        </w:rPr>
        <w:t>s</w:t>
      </w:r>
      <w:r w:rsidR="0028248C" w:rsidRPr="003A787D">
        <w:rPr>
          <w:rFonts w:ascii="Palatino Linotype" w:hAnsi="Palatino Linotype"/>
          <w:color w:val="000000" w:themeColor="text1"/>
        </w:rPr>
        <w:t xml:space="preserve"> causal</w:t>
      </w:r>
      <w:r w:rsidR="00C51671" w:rsidRPr="003A787D">
        <w:rPr>
          <w:rFonts w:ascii="Palatino Linotype" w:hAnsi="Palatino Linotype"/>
          <w:color w:val="000000" w:themeColor="text1"/>
        </w:rPr>
        <w:t>es</w:t>
      </w:r>
      <w:r w:rsidR="0028248C" w:rsidRPr="003A787D">
        <w:rPr>
          <w:rFonts w:ascii="Palatino Linotype" w:hAnsi="Palatino Linotype"/>
          <w:color w:val="000000" w:themeColor="text1"/>
        </w:rPr>
        <w:t xml:space="preserve"> de procedencia</w:t>
      </w:r>
      <w:r w:rsidR="00E66A80" w:rsidRPr="003A787D">
        <w:rPr>
          <w:rFonts w:ascii="Palatino Linotype" w:hAnsi="Palatino Linotype" w:cs="Arial"/>
          <w:color w:val="000000" w:themeColor="text1"/>
          <w:szCs w:val="23"/>
        </w:rPr>
        <w:t xml:space="preserve"> del recurso de revisión establecida</w:t>
      </w:r>
      <w:r w:rsidR="00C51671" w:rsidRPr="003A787D">
        <w:rPr>
          <w:rFonts w:ascii="Palatino Linotype" w:hAnsi="Palatino Linotype" w:cs="Arial"/>
          <w:color w:val="000000" w:themeColor="text1"/>
          <w:szCs w:val="23"/>
        </w:rPr>
        <w:t>s</w:t>
      </w:r>
      <w:r w:rsidR="00E66A80" w:rsidRPr="003A787D">
        <w:rPr>
          <w:rFonts w:ascii="Palatino Linotype" w:hAnsi="Palatino Linotype" w:cs="Arial"/>
          <w:color w:val="000000" w:themeColor="text1"/>
          <w:szCs w:val="23"/>
        </w:rPr>
        <w:t xml:space="preserve"> en el artículo 179</w:t>
      </w:r>
      <w:r w:rsidR="004A134A" w:rsidRPr="003A787D">
        <w:rPr>
          <w:rFonts w:ascii="Palatino Linotype" w:hAnsi="Palatino Linotype" w:cs="Arial"/>
          <w:color w:val="000000" w:themeColor="text1"/>
          <w:szCs w:val="23"/>
        </w:rPr>
        <w:t>,</w:t>
      </w:r>
      <w:r w:rsidR="00E66A80" w:rsidRPr="003A787D">
        <w:rPr>
          <w:rFonts w:ascii="Palatino Linotype" w:hAnsi="Palatino Linotype" w:cs="Arial"/>
          <w:color w:val="000000" w:themeColor="text1"/>
          <w:szCs w:val="23"/>
        </w:rPr>
        <w:t xml:space="preserve"> </w:t>
      </w:r>
      <w:r w:rsidR="00C51671" w:rsidRPr="003A787D">
        <w:rPr>
          <w:rFonts w:ascii="Palatino Linotype" w:hAnsi="Palatino Linotype" w:cs="Arial"/>
          <w:color w:val="000000" w:themeColor="text1"/>
          <w:szCs w:val="23"/>
        </w:rPr>
        <w:t>fracciones</w:t>
      </w:r>
      <w:r w:rsidR="00E66A80" w:rsidRPr="003A787D">
        <w:rPr>
          <w:rFonts w:ascii="Palatino Linotype" w:hAnsi="Palatino Linotype" w:cs="Arial"/>
          <w:color w:val="000000" w:themeColor="text1"/>
          <w:szCs w:val="23"/>
        </w:rPr>
        <w:t xml:space="preserve"> </w:t>
      </w:r>
      <w:r w:rsidR="002C6561" w:rsidRPr="003A787D">
        <w:rPr>
          <w:rFonts w:ascii="Palatino Linotype" w:hAnsi="Palatino Linotype" w:cs="Arial"/>
          <w:color w:val="000000" w:themeColor="text1"/>
          <w:szCs w:val="23"/>
        </w:rPr>
        <w:t>I</w:t>
      </w:r>
      <w:r w:rsidR="004A134A" w:rsidRPr="003A787D">
        <w:rPr>
          <w:rFonts w:ascii="Palatino Linotype" w:hAnsi="Palatino Linotype" w:cs="Arial"/>
          <w:color w:val="000000" w:themeColor="text1"/>
          <w:szCs w:val="23"/>
        </w:rPr>
        <w:t xml:space="preserve"> y</w:t>
      </w:r>
      <w:r w:rsidR="00EB0909" w:rsidRPr="003A787D">
        <w:rPr>
          <w:rFonts w:ascii="Palatino Linotype" w:hAnsi="Palatino Linotype" w:cs="Arial"/>
          <w:color w:val="000000" w:themeColor="text1"/>
          <w:szCs w:val="23"/>
        </w:rPr>
        <w:t xml:space="preserve"> V</w:t>
      </w:r>
      <w:r w:rsidR="004A134A" w:rsidRPr="003A787D">
        <w:rPr>
          <w:rFonts w:ascii="Palatino Linotype" w:hAnsi="Palatino Linotype" w:cs="Arial"/>
          <w:color w:val="000000" w:themeColor="text1"/>
          <w:szCs w:val="23"/>
        </w:rPr>
        <w:t>,</w:t>
      </w:r>
      <w:r w:rsidR="00EB0909" w:rsidRPr="003A787D">
        <w:rPr>
          <w:rFonts w:ascii="Palatino Linotype" w:hAnsi="Palatino Linotype" w:cs="Arial"/>
          <w:color w:val="000000" w:themeColor="text1"/>
          <w:szCs w:val="23"/>
        </w:rPr>
        <w:t xml:space="preserve"> </w:t>
      </w:r>
      <w:r w:rsidR="00E66A80" w:rsidRPr="003A787D">
        <w:rPr>
          <w:rFonts w:ascii="Palatino Linotype" w:hAnsi="Palatino Linotype" w:cs="Arial"/>
          <w:color w:val="000000" w:themeColor="text1"/>
          <w:szCs w:val="23"/>
        </w:rPr>
        <w:t xml:space="preserve">de la Ley de Transparencia y Acceso a la Información Pública del Estado de México y Municipios, </w:t>
      </w:r>
      <w:r w:rsidR="00C51671" w:rsidRPr="003A787D">
        <w:rPr>
          <w:rFonts w:ascii="Palatino Linotype" w:hAnsi="Palatino Linotype" w:cs="Arial"/>
          <w:color w:val="000000" w:themeColor="text1"/>
          <w:szCs w:val="23"/>
        </w:rPr>
        <w:t xml:space="preserve">y </w:t>
      </w:r>
      <w:r w:rsidR="00E66A80" w:rsidRPr="003A787D">
        <w:rPr>
          <w:rFonts w:ascii="Palatino Linotype" w:hAnsi="Palatino Linotype" w:cs="Arial"/>
          <w:color w:val="000000" w:themeColor="text1"/>
          <w:szCs w:val="23"/>
        </w:rPr>
        <w:t>que se transcribe</w:t>
      </w:r>
      <w:r w:rsidR="00C51671" w:rsidRPr="003A787D">
        <w:rPr>
          <w:rFonts w:ascii="Palatino Linotype" w:hAnsi="Palatino Linotype" w:cs="Arial"/>
          <w:color w:val="000000" w:themeColor="text1"/>
          <w:szCs w:val="23"/>
        </w:rPr>
        <w:t>n</w:t>
      </w:r>
      <w:r w:rsidR="00E66A80" w:rsidRPr="003A787D">
        <w:rPr>
          <w:rFonts w:ascii="Palatino Linotype" w:hAnsi="Palatino Linotype" w:cs="Arial"/>
          <w:color w:val="000000" w:themeColor="text1"/>
          <w:szCs w:val="23"/>
        </w:rPr>
        <w:t xml:space="preserve"> a continuación:</w:t>
      </w:r>
    </w:p>
    <w:p w14:paraId="74369366" w14:textId="77777777" w:rsidR="00B8600A" w:rsidRPr="003A787D" w:rsidRDefault="00B8600A" w:rsidP="00B31E90">
      <w:pPr>
        <w:pStyle w:val="Sinespaciado"/>
        <w:tabs>
          <w:tab w:val="left" w:pos="426"/>
        </w:tabs>
        <w:ind w:left="851" w:right="567"/>
        <w:jc w:val="both"/>
        <w:rPr>
          <w:rFonts w:ascii="Palatino Linotype" w:hAnsi="Palatino Linotype"/>
          <w:i/>
          <w:color w:val="000000" w:themeColor="text1"/>
          <w:sz w:val="22"/>
        </w:rPr>
      </w:pPr>
    </w:p>
    <w:p w14:paraId="694942AF" w14:textId="62D2F7A9" w:rsidR="00AD76A1" w:rsidRPr="003A787D" w:rsidRDefault="00E66A80" w:rsidP="00B31E90">
      <w:pPr>
        <w:pStyle w:val="Sinespaciado"/>
        <w:tabs>
          <w:tab w:val="left" w:pos="426"/>
        </w:tabs>
        <w:ind w:left="851" w:right="567"/>
        <w:jc w:val="both"/>
        <w:rPr>
          <w:rFonts w:ascii="Palatino Linotype" w:hAnsi="Palatino Linotype"/>
          <w:i/>
          <w:color w:val="000000" w:themeColor="text1"/>
          <w:sz w:val="22"/>
        </w:rPr>
      </w:pPr>
      <w:r w:rsidRPr="003A787D">
        <w:rPr>
          <w:rFonts w:ascii="Palatino Linotype" w:hAnsi="Palatino Linotype"/>
          <w:i/>
          <w:color w:val="000000" w:themeColor="text1"/>
          <w:sz w:val="22"/>
        </w:rPr>
        <w:t>“</w:t>
      </w:r>
      <w:r w:rsidRPr="003A787D">
        <w:rPr>
          <w:rFonts w:ascii="Palatino Linotype" w:hAnsi="Palatino Linotype"/>
          <w:b/>
          <w:i/>
          <w:color w:val="000000" w:themeColor="text1"/>
          <w:sz w:val="22"/>
        </w:rPr>
        <w:t>Artículo 179.</w:t>
      </w:r>
      <w:r w:rsidRPr="003A787D">
        <w:rPr>
          <w:rFonts w:ascii="Palatino Linotype" w:hAnsi="Palatino Linotype"/>
          <w:i/>
          <w:color w:val="000000" w:themeColor="text1"/>
          <w:sz w:val="22"/>
        </w:rPr>
        <w:t xml:space="preserve"> El recurso de revisión es un medio de protección que la Ley otorga a los particulares, para hacer valer su derecho de acceso a la información pública, y procederá en contra de las siguientes causas:</w:t>
      </w:r>
    </w:p>
    <w:p w14:paraId="7A9A7F68" w14:textId="1EB60C4C" w:rsidR="004A134A" w:rsidRPr="003A787D" w:rsidRDefault="004A134A" w:rsidP="008F7752">
      <w:pPr>
        <w:pStyle w:val="Sinespaciado"/>
        <w:tabs>
          <w:tab w:val="left" w:pos="426"/>
        </w:tabs>
        <w:ind w:left="851" w:right="567"/>
        <w:jc w:val="both"/>
        <w:rPr>
          <w:rFonts w:ascii="Palatino Linotype" w:hAnsi="Palatino Linotype"/>
          <w:i/>
          <w:color w:val="000000" w:themeColor="text1"/>
          <w:sz w:val="22"/>
        </w:rPr>
      </w:pPr>
      <w:r w:rsidRPr="003A787D">
        <w:rPr>
          <w:rFonts w:ascii="Palatino Linotype" w:hAnsi="Palatino Linotype"/>
          <w:b/>
          <w:bCs/>
          <w:i/>
          <w:color w:val="000000" w:themeColor="text1"/>
          <w:sz w:val="22"/>
        </w:rPr>
        <w:t>I.</w:t>
      </w:r>
      <w:r w:rsidRPr="003A787D">
        <w:rPr>
          <w:rFonts w:ascii="Palatino Linotype" w:hAnsi="Palatino Linotype"/>
          <w:i/>
          <w:color w:val="000000" w:themeColor="text1"/>
          <w:sz w:val="22"/>
        </w:rPr>
        <w:t xml:space="preserve"> La negativa a la información solicitada;</w:t>
      </w:r>
    </w:p>
    <w:p w14:paraId="34DC33E5" w14:textId="42EC342D" w:rsidR="008F7752" w:rsidRPr="003A787D" w:rsidRDefault="00515DEC" w:rsidP="008F7752">
      <w:pPr>
        <w:pStyle w:val="Sinespaciado"/>
        <w:tabs>
          <w:tab w:val="left" w:pos="426"/>
        </w:tabs>
        <w:ind w:left="851" w:right="567"/>
        <w:jc w:val="both"/>
        <w:rPr>
          <w:rFonts w:ascii="Palatino Linotype" w:hAnsi="Palatino Linotype"/>
          <w:i/>
          <w:color w:val="000000" w:themeColor="text1"/>
          <w:sz w:val="22"/>
        </w:rPr>
      </w:pPr>
      <w:r w:rsidRPr="003A787D">
        <w:rPr>
          <w:rFonts w:ascii="Palatino Linotype" w:hAnsi="Palatino Linotype"/>
          <w:i/>
          <w:color w:val="000000" w:themeColor="text1"/>
          <w:sz w:val="22"/>
        </w:rPr>
        <w:t>(…)</w:t>
      </w:r>
    </w:p>
    <w:p w14:paraId="77266041" w14:textId="6E875F78" w:rsidR="00457FBC" w:rsidRPr="003A787D" w:rsidRDefault="00457FBC" w:rsidP="00390D23">
      <w:pPr>
        <w:pStyle w:val="Sinespaciado"/>
        <w:tabs>
          <w:tab w:val="left" w:pos="426"/>
        </w:tabs>
        <w:ind w:left="851" w:right="567"/>
        <w:jc w:val="both"/>
        <w:rPr>
          <w:rFonts w:ascii="Palatino Linotype" w:hAnsi="Palatino Linotype"/>
          <w:bCs/>
          <w:i/>
          <w:color w:val="000000" w:themeColor="text1"/>
          <w:sz w:val="22"/>
          <w:lang w:val="es-MX"/>
        </w:rPr>
      </w:pPr>
      <w:r w:rsidRPr="003A787D">
        <w:rPr>
          <w:rFonts w:ascii="Palatino Linotype" w:hAnsi="Palatino Linotype"/>
          <w:b/>
          <w:i/>
          <w:color w:val="000000" w:themeColor="text1"/>
          <w:sz w:val="22"/>
          <w:lang w:val="es-MX"/>
        </w:rPr>
        <w:t>V.</w:t>
      </w:r>
      <w:r w:rsidRPr="003A787D">
        <w:rPr>
          <w:rFonts w:ascii="Palatino Linotype" w:hAnsi="Palatino Linotype"/>
          <w:bCs/>
          <w:i/>
          <w:color w:val="000000" w:themeColor="text1"/>
          <w:sz w:val="22"/>
          <w:lang w:val="es-MX"/>
        </w:rPr>
        <w:t xml:space="preserve"> La entrega de información incompleta;</w:t>
      </w:r>
    </w:p>
    <w:p w14:paraId="4FCA9B3F" w14:textId="523E65DE" w:rsidR="00515DEC" w:rsidRPr="003A787D" w:rsidRDefault="00EB0909" w:rsidP="00390D23">
      <w:pPr>
        <w:pStyle w:val="Sinespaciado"/>
        <w:tabs>
          <w:tab w:val="left" w:pos="426"/>
        </w:tabs>
        <w:ind w:left="851" w:right="567"/>
        <w:jc w:val="both"/>
        <w:rPr>
          <w:rFonts w:ascii="Palatino Linotype" w:hAnsi="Palatino Linotype"/>
          <w:i/>
          <w:color w:val="000000" w:themeColor="text1"/>
          <w:sz w:val="22"/>
        </w:rPr>
      </w:pPr>
      <w:r w:rsidRPr="003A787D">
        <w:rPr>
          <w:rFonts w:ascii="Palatino Linotype" w:hAnsi="Palatino Linotype"/>
          <w:i/>
          <w:color w:val="000000" w:themeColor="text1"/>
          <w:sz w:val="22"/>
        </w:rPr>
        <w:t>(…)</w:t>
      </w:r>
      <w:r w:rsidR="00A073A0" w:rsidRPr="003A787D">
        <w:rPr>
          <w:rFonts w:ascii="Palatino Linotype" w:hAnsi="Palatino Linotype"/>
          <w:i/>
          <w:color w:val="000000" w:themeColor="text1"/>
          <w:sz w:val="22"/>
        </w:rPr>
        <w:t>”</w:t>
      </w:r>
    </w:p>
    <w:p w14:paraId="1C5AB6B5" w14:textId="46B28510" w:rsidR="009F1566" w:rsidRPr="003A787D" w:rsidRDefault="009F1566" w:rsidP="00F96156">
      <w:pPr>
        <w:pStyle w:val="Ttulo2"/>
        <w:tabs>
          <w:tab w:val="left" w:pos="426"/>
        </w:tabs>
        <w:rPr>
          <w:rFonts w:ascii="Palatino Linotype" w:hAnsi="Palatino Linotype" w:cs="Arial"/>
          <w:b/>
          <w:color w:val="FF0000"/>
          <w:sz w:val="24"/>
        </w:rPr>
      </w:pPr>
    </w:p>
    <w:p w14:paraId="5CEC2F48" w14:textId="4CDA7C55" w:rsidR="00EF014A" w:rsidRPr="003A787D" w:rsidRDefault="00B81E78" w:rsidP="00F96156">
      <w:pPr>
        <w:pStyle w:val="Ttulo2"/>
        <w:tabs>
          <w:tab w:val="left" w:pos="426"/>
        </w:tabs>
        <w:rPr>
          <w:rFonts w:ascii="Palatino Linotype" w:hAnsi="Palatino Linotype" w:cs="Arial"/>
          <w:b/>
          <w:color w:val="000000" w:themeColor="text1"/>
          <w:sz w:val="24"/>
        </w:rPr>
      </w:pPr>
      <w:bookmarkStart w:id="23" w:name="_Toc96002404"/>
      <w:r w:rsidRPr="003A787D">
        <w:rPr>
          <w:rFonts w:ascii="Palatino Linotype" w:hAnsi="Palatino Linotype" w:cs="Arial"/>
          <w:b/>
          <w:color w:val="000000" w:themeColor="text1"/>
          <w:sz w:val="24"/>
        </w:rPr>
        <w:t>CUARTO</w:t>
      </w:r>
      <w:r w:rsidR="00EF014A" w:rsidRPr="003A787D">
        <w:rPr>
          <w:rFonts w:ascii="Palatino Linotype" w:hAnsi="Palatino Linotype" w:cs="Arial"/>
          <w:b/>
          <w:color w:val="000000" w:themeColor="text1"/>
          <w:sz w:val="24"/>
        </w:rPr>
        <w:t>. Estudio y Resolución del asunto.</w:t>
      </w:r>
      <w:bookmarkEnd w:id="23"/>
    </w:p>
    <w:p w14:paraId="556E27D2" w14:textId="6F8C8856" w:rsidR="00457FBC" w:rsidRPr="003A787D" w:rsidRDefault="00457FBC" w:rsidP="00457FBC">
      <w:pPr>
        <w:pStyle w:val="Prrafodelista"/>
        <w:tabs>
          <w:tab w:val="left" w:pos="426"/>
        </w:tabs>
        <w:spacing w:before="240" w:after="240" w:line="360" w:lineRule="auto"/>
        <w:ind w:left="0" w:right="51"/>
        <w:jc w:val="both"/>
        <w:outlineLvl w:val="2"/>
        <w:rPr>
          <w:rFonts w:ascii="Palatino Linotype" w:hAnsi="Palatino Linotype"/>
          <w:b/>
          <w:bCs/>
          <w:color w:val="000000" w:themeColor="text1"/>
        </w:rPr>
      </w:pPr>
      <w:bookmarkStart w:id="24" w:name="_Toc466371865"/>
      <w:bookmarkStart w:id="25" w:name="_Toc466377653"/>
      <w:bookmarkEnd w:id="18"/>
      <w:bookmarkEnd w:id="19"/>
      <w:bookmarkEnd w:id="20"/>
      <w:bookmarkEnd w:id="21"/>
      <w:bookmarkEnd w:id="22"/>
      <w:r w:rsidRPr="003A787D">
        <w:rPr>
          <w:rFonts w:ascii="Palatino Linotype" w:hAnsi="Palatino Linotype"/>
          <w:b/>
          <w:bCs/>
          <w:color w:val="000000" w:themeColor="text1"/>
        </w:rPr>
        <w:t>I. Del deber de las autoridades de promover, respetar, proteger y garantizar el derecho de acceso a la información pública.</w:t>
      </w:r>
    </w:p>
    <w:p w14:paraId="12E46371" w14:textId="30B2ABAD" w:rsidR="00457FBC" w:rsidRPr="003A787D" w:rsidRDefault="00457FBC" w:rsidP="00457FBC">
      <w:pPr>
        <w:pStyle w:val="Prrafodelista"/>
        <w:tabs>
          <w:tab w:val="left" w:pos="426"/>
        </w:tabs>
        <w:spacing w:before="240" w:after="240" w:line="360" w:lineRule="auto"/>
        <w:ind w:left="0" w:right="51"/>
        <w:jc w:val="both"/>
        <w:rPr>
          <w:rFonts w:ascii="Palatino Linotype" w:hAnsi="Palatino Linotype"/>
          <w:color w:val="000000" w:themeColor="text1"/>
        </w:rPr>
      </w:pPr>
    </w:p>
    <w:p w14:paraId="0551196D" w14:textId="77777777" w:rsidR="00457FBC" w:rsidRPr="003A787D" w:rsidRDefault="00457FBC" w:rsidP="00457FBC">
      <w:pPr>
        <w:pStyle w:val="Prrafodelista"/>
        <w:numPr>
          <w:ilvl w:val="0"/>
          <w:numId w:val="1"/>
        </w:numPr>
        <w:tabs>
          <w:tab w:val="left" w:pos="426"/>
        </w:tabs>
        <w:spacing w:before="240" w:after="240" w:line="360" w:lineRule="auto"/>
        <w:ind w:right="51"/>
        <w:jc w:val="both"/>
        <w:rPr>
          <w:rFonts w:ascii="Palatino Linotype" w:hAnsi="Palatino Linotype"/>
          <w:color w:val="000000" w:themeColor="text1"/>
        </w:rPr>
      </w:pPr>
      <w:r w:rsidRPr="003A787D">
        <w:rPr>
          <w:rFonts w:ascii="Palatino Linotype" w:hAnsi="Palatino Linotype"/>
          <w:color w:val="000000" w:themeColor="text1"/>
        </w:rPr>
        <w:t>Es menester precisar</w:t>
      </w:r>
      <w:r w:rsidRPr="003A787D">
        <w:rPr>
          <w:rFonts w:ascii="Palatino Linotype" w:hAnsi="Palatino Linotype"/>
          <w:bCs/>
          <w:color w:val="000000" w:themeColor="text1"/>
        </w:rPr>
        <w:t xml:space="preserve"> que este Órgano Garante parte del hecho que el Derecho de Acceso a la Información Pública, es un derecho humano reconocido en el Pacto de Derechos Civiles y Políticos en su artículo 19.2; en la Convención Americana sobre Derechos Humanos en su artículo 13.1; en el artículo sexto de la Constitución Política de los Estados Unidos Mexicanos y en el artículo quinto de la Particular del </w:t>
      </w:r>
      <w:r w:rsidRPr="003A787D">
        <w:rPr>
          <w:rFonts w:ascii="Palatino Linotype" w:hAnsi="Palatino Linotype"/>
          <w:bCs/>
          <w:color w:val="000000" w:themeColor="text1"/>
        </w:rPr>
        <w:lastRenderedPageBreak/>
        <w:t xml:space="preserve">Estado de México, por lo que al respecto el </w:t>
      </w:r>
      <w:r w:rsidRPr="003A787D">
        <w:rPr>
          <w:rFonts w:ascii="Palatino Linotype" w:hAnsi="Palatino Linotype"/>
          <w:b/>
          <w:bCs/>
          <w:color w:val="000000" w:themeColor="text1"/>
        </w:rPr>
        <w:t>SUJETO OBLIGADO</w:t>
      </w:r>
      <w:r w:rsidRPr="003A787D">
        <w:rPr>
          <w:rFonts w:ascii="Palatino Linotype" w:hAnsi="Palatino Linotype"/>
          <w:bCs/>
          <w:color w:val="000000" w:themeColor="text1"/>
        </w:rPr>
        <w:t xml:space="preserve"> debe ser cuidadoso del debido cumplimiento de las obligaciones constitucionales que se le imponen; en consecuencia, a todas las autoridades, en el ámbito de su competencia, según lo dispone el tercer párrafo del artículo primero de la </w:t>
      </w:r>
      <w:r w:rsidRPr="003A787D">
        <w:rPr>
          <w:rFonts w:ascii="Palatino Linotype" w:hAnsi="Palatino Linotype"/>
          <w:b/>
          <w:bCs/>
          <w:color w:val="000000" w:themeColor="text1"/>
        </w:rPr>
        <w:t>Constitución Política de los Estados Unidos Mexicanos</w:t>
      </w:r>
      <w:r w:rsidRPr="003A787D">
        <w:rPr>
          <w:rFonts w:ascii="Palatino Linotype" w:hAnsi="Palatino Linotype"/>
          <w:bCs/>
          <w:color w:val="000000" w:themeColor="text1"/>
        </w:rPr>
        <w:t>, tienen</w:t>
      </w:r>
      <w:r w:rsidRPr="003A787D">
        <w:rPr>
          <w:rFonts w:ascii="Palatino Linotype" w:hAnsi="Palatino Linotype"/>
          <w:b/>
          <w:bCs/>
          <w:color w:val="000000" w:themeColor="text1"/>
        </w:rPr>
        <w:t xml:space="preserve"> </w:t>
      </w:r>
      <w:r w:rsidRPr="003A787D">
        <w:rPr>
          <w:rFonts w:ascii="Palatino Linotype" w:hAnsi="Palatino Linotype"/>
          <w:bCs/>
          <w:color w:val="000000" w:themeColor="text1"/>
        </w:rPr>
        <w:t xml:space="preserve">la obligación de “promover, </w:t>
      </w:r>
      <w:r w:rsidRPr="003A787D">
        <w:rPr>
          <w:rFonts w:ascii="Palatino Linotype" w:hAnsi="Palatino Linotype"/>
          <w:b/>
          <w:bCs/>
          <w:color w:val="000000" w:themeColor="text1"/>
        </w:rPr>
        <w:t>respetar</w:t>
      </w:r>
      <w:r w:rsidRPr="003A787D">
        <w:rPr>
          <w:rFonts w:ascii="Palatino Linotype" w:hAnsi="Palatino Linotype"/>
          <w:bCs/>
          <w:color w:val="000000" w:themeColor="text1"/>
        </w:rPr>
        <w:t xml:space="preserve">, proteger y </w:t>
      </w:r>
      <w:r w:rsidRPr="003A787D">
        <w:rPr>
          <w:rFonts w:ascii="Palatino Linotype" w:hAnsi="Palatino Linotype"/>
          <w:b/>
          <w:bCs/>
          <w:color w:val="000000" w:themeColor="text1"/>
        </w:rPr>
        <w:t>garantizar</w:t>
      </w:r>
      <w:r w:rsidRPr="003A787D">
        <w:rPr>
          <w:rFonts w:ascii="Palatino Linotype" w:hAnsi="Palatino Linotype"/>
          <w:bCs/>
          <w:color w:val="000000" w:themeColor="text1"/>
        </w:rPr>
        <w:t xml:space="preserve"> los derechos humanos”, entre los cuales se encuentra dicho derecho.</w:t>
      </w:r>
    </w:p>
    <w:p w14:paraId="13491635" w14:textId="77777777" w:rsidR="00457FBC" w:rsidRPr="003A787D" w:rsidRDefault="00457FBC" w:rsidP="00457FBC">
      <w:pPr>
        <w:pStyle w:val="Prrafodelista"/>
        <w:tabs>
          <w:tab w:val="left" w:pos="426"/>
        </w:tabs>
        <w:spacing w:before="240" w:after="240" w:line="360" w:lineRule="auto"/>
        <w:ind w:left="0" w:right="51"/>
        <w:jc w:val="both"/>
        <w:rPr>
          <w:rFonts w:ascii="Palatino Linotype" w:hAnsi="Palatino Linotype"/>
          <w:color w:val="000000" w:themeColor="text1"/>
        </w:rPr>
      </w:pPr>
    </w:p>
    <w:p w14:paraId="75E5BE27" w14:textId="77777777" w:rsidR="00457FBC" w:rsidRPr="003A787D" w:rsidRDefault="00457FBC" w:rsidP="00457FBC">
      <w:pPr>
        <w:pStyle w:val="Prrafodelista"/>
        <w:numPr>
          <w:ilvl w:val="0"/>
          <w:numId w:val="1"/>
        </w:numPr>
        <w:tabs>
          <w:tab w:val="left" w:pos="426"/>
        </w:tabs>
        <w:spacing w:before="240" w:after="240" w:line="360" w:lineRule="auto"/>
        <w:ind w:right="51"/>
        <w:jc w:val="both"/>
        <w:rPr>
          <w:rFonts w:ascii="Palatino Linotype" w:hAnsi="Palatino Linotype"/>
          <w:color w:val="000000" w:themeColor="text1"/>
        </w:rPr>
      </w:pPr>
      <w:r w:rsidRPr="003A787D">
        <w:rPr>
          <w:rFonts w:ascii="Palatino Linotype" w:hAnsi="Palatino Linotype"/>
          <w:color w:val="000000" w:themeColor="text1"/>
        </w:rPr>
        <w:t>Por lo anterior, se deduce que el derecho de acceso a la información pública es un derecho humano convencional y constitucionalmente reconocido; en consecuencia, todas las autoridades en el ámbito de sus competencias, funciones y atribuciones tienen la obligación de respetarlo, protegerlo y garantizarlo.</w:t>
      </w:r>
    </w:p>
    <w:p w14:paraId="09BCC247" w14:textId="77777777" w:rsidR="00457FBC" w:rsidRPr="003A787D" w:rsidRDefault="00457FBC" w:rsidP="00457FBC">
      <w:pPr>
        <w:pStyle w:val="Prrafodelista"/>
        <w:tabs>
          <w:tab w:val="left" w:pos="426"/>
        </w:tabs>
        <w:spacing w:before="240" w:after="240" w:line="360" w:lineRule="auto"/>
        <w:ind w:left="0" w:right="51"/>
        <w:jc w:val="both"/>
        <w:rPr>
          <w:rFonts w:ascii="Palatino Linotype" w:hAnsi="Palatino Linotype"/>
          <w:color w:val="000000" w:themeColor="text1"/>
        </w:rPr>
      </w:pPr>
    </w:p>
    <w:p w14:paraId="2975C4AF" w14:textId="77777777" w:rsidR="00457FBC" w:rsidRPr="003A787D" w:rsidRDefault="00457FBC" w:rsidP="00457FBC">
      <w:pPr>
        <w:pStyle w:val="Prrafodelista"/>
        <w:numPr>
          <w:ilvl w:val="0"/>
          <w:numId w:val="1"/>
        </w:numPr>
        <w:tabs>
          <w:tab w:val="left" w:pos="426"/>
        </w:tabs>
        <w:spacing w:before="240" w:after="240" w:line="360" w:lineRule="auto"/>
        <w:ind w:right="51"/>
        <w:jc w:val="both"/>
        <w:rPr>
          <w:rFonts w:ascii="Palatino Linotype" w:hAnsi="Palatino Linotype"/>
          <w:color w:val="000000" w:themeColor="text1"/>
        </w:rPr>
      </w:pPr>
      <w:r w:rsidRPr="003A787D">
        <w:rPr>
          <w:rFonts w:ascii="Palatino Linotype" w:hAnsi="Palatino Linotype"/>
          <w:color w:val="000000" w:themeColor="text1"/>
        </w:rPr>
        <w:t xml:space="preserve">Así las cosas, podemos definir el Derecho de Acceso a la Información Pública como: </w:t>
      </w:r>
      <w:r w:rsidRPr="003A787D">
        <w:rPr>
          <w:rFonts w:ascii="Palatino Linotype" w:hAnsi="Palatino Linotype"/>
          <w:i/>
          <w:color w:val="000000" w:themeColor="text1"/>
        </w:rPr>
        <w:t>La igualdad de oportunidades para recibir, buscar e impartir información</w:t>
      </w:r>
      <w:r w:rsidRPr="003A787D">
        <w:rPr>
          <w:rFonts w:ascii="Palatino Linotype" w:hAnsi="Palatino Linotype"/>
          <w:i/>
          <w:color w:val="000000" w:themeColor="text1"/>
          <w:vertAlign w:val="superscript"/>
        </w:rPr>
        <w:footnoteReference w:id="1"/>
      </w:r>
      <w:r w:rsidRPr="003A787D">
        <w:rPr>
          <w:rFonts w:ascii="Palatino Linotype" w:hAnsi="Palatino Linotype"/>
          <w:i/>
          <w:color w:val="000000" w:themeColor="text1"/>
        </w:rPr>
        <w:t>en posesión de cualquier autoridad, entidad, órgano y organismo de los poderes Ejecutivo, Legislativo y Judicial, órganos autónomos, partidos políticos, fideicomisos y fondos públicos, así como de cualquier persona física, moral o sindicato que reciba y ejerza recursos públicos o realice actos de autoridad en el ámbito federal, estatal y municipal,</w:t>
      </w:r>
      <w:r w:rsidRPr="003A787D">
        <w:rPr>
          <w:rFonts w:ascii="Palatino Linotype" w:hAnsi="Palatino Linotype"/>
          <w:i/>
          <w:color w:val="000000" w:themeColor="text1"/>
          <w:vertAlign w:val="superscript"/>
        </w:rPr>
        <w:footnoteReference w:id="2"/>
      </w:r>
      <w:r w:rsidRPr="003A787D">
        <w:rPr>
          <w:rFonts w:ascii="Palatino Linotype" w:hAnsi="Palatino Linotype"/>
          <w:color w:val="000000" w:themeColor="text1"/>
        </w:rPr>
        <w:t>que se constituye como una herramienta fundamental para ejercer</w:t>
      </w:r>
      <w:r w:rsidRPr="003A787D">
        <w:rPr>
          <w:rFonts w:ascii="Palatino Linotype" w:hAnsi="Palatino Linotype"/>
          <w:i/>
          <w:color w:val="000000" w:themeColor="text1"/>
        </w:rPr>
        <w:t xml:space="preserve"> el control democrático de las gestiones estatales, de forma tal que puedan cuestionar, indagar y considerar si se está dando un adecuado cumplimiento a las funciones públicas,</w:t>
      </w:r>
      <w:r w:rsidRPr="003A787D">
        <w:rPr>
          <w:rFonts w:ascii="Palatino Linotype" w:hAnsi="Palatino Linotype"/>
          <w:i/>
          <w:color w:val="000000" w:themeColor="text1"/>
          <w:vertAlign w:val="superscript"/>
        </w:rPr>
        <w:footnoteReference w:id="3"/>
      </w:r>
      <w:r w:rsidRPr="003A787D">
        <w:rPr>
          <w:rFonts w:ascii="Palatino Linotype" w:hAnsi="Palatino Linotype"/>
          <w:i/>
          <w:color w:val="000000" w:themeColor="text1"/>
        </w:rPr>
        <w:t xml:space="preserve"> </w:t>
      </w:r>
      <w:r w:rsidRPr="003A787D">
        <w:rPr>
          <w:rFonts w:ascii="Palatino Linotype" w:hAnsi="Palatino Linotype"/>
          <w:color w:val="000000" w:themeColor="text1"/>
        </w:rPr>
        <w:t>fomentando</w:t>
      </w:r>
      <w:r w:rsidRPr="003A787D">
        <w:rPr>
          <w:rFonts w:ascii="Palatino Linotype" w:hAnsi="Palatino Linotype"/>
          <w:i/>
          <w:color w:val="000000" w:themeColor="text1"/>
        </w:rPr>
        <w:t xml:space="preserve"> la transparencia de las actividades </w:t>
      </w:r>
      <w:r w:rsidRPr="003A787D">
        <w:rPr>
          <w:rFonts w:ascii="Palatino Linotype" w:hAnsi="Palatino Linotype"/>
          <w:i/>
          <w:color w:val="000000" w:themeColor="text1"/>
        </w:rPr>
        <w:lastRenderedPageBreak/>
        <w:t xml:space="preserve">estatales y </w:t>
      </w:r>
      <w:r w:rsidRPr="003A787D">
        <w:rPr>
          <w:rFonts w:ascii="Palatino Linotype" w:hAnsi="Palatino Linotype"/>
          <w:color w:val="000000" w:themeColor="text1"/>
        </w:rPr>
        <w:t>promoviendo</w:t>
      </w:r>
      <w:r w:rsidRPr="003A787D">
        <w:rPr>
          <w:rFonts w:ascii="Palatino Linotype" w:hAnsi="Palatino Linotype"/>
          <w:i/>
          <w:color w:val="000000" w:themeColor="text1"/>
        </w:rPr>
        <w:t xml:space="preserve"> la responsabilidad de los funcionarios sobre su gestión pública,</w:t>
      </w:r>
      <w:r w:rsidRPr="003A787D">
        <w:rPr>
          <w:rFonts w:ascii="Palatino Linotype" w:hAnsi="Palatino Linotype"/>
          <w:i/>
          <w:color w:val="000000" w:themeColor="text1"/>
          <w:vertAlign w:val="superscript"/>
        </w:rPr>
        <w:footnoteReference w:id="4"/>
      </w:r>
      <w:r w:rsidRPr="003A787D">
        <w:rPr>
          <w:rFonts w:ascii="Palatino Linotype" w:hAnsi="Palatino Linotype"/>
          <w:color w:val="000000" w:themeColor="text1"/>
        </w:rPr>
        <w:t>que permite</w:t>
      </w:r>
      <w:r w:rsidRPr="003A787D">
        <w:rPr>
          <w:rFonts w:ascii="Palatino Linotype" w:hAnsi="Palatino Linotype"/>
          <w:i/>
          <w:color w:val="000000" w:themeColor="text1"/>
        </w:rPr>
        <w:t xml:space="preserve"> saber qué están haciendo los gobiernos por sus pueblos, sin lo cual la verdad languidecería y la participación en el gobierno permanecería fragmentada.</w:t>
      </w:r>
    </w:p>
    <w:p w14:paraId="26072B78" w14:textId="77777777" w:rsidR="00457FBC" w:rsidRPr="003A787D" w:rsidRDefault="00457FBC" w:rsidP="00457FBC">
      <w:pPr>
        <w:pStyle w:val="Prrafodelista"/>
        <w:tabs>
          <w:tab w:val="left" w:pos="426"/>
        </w:tabs>
        <w:spacing w:before="240" w:after="240" w:line="360" w:lineRule="auto"/>
        <w:ind w:left="0" w:right="51"/>
        <w:jc w:val="both"/>
        <w:rPr>
          <w:rFonts w:ascii="Palatino Linotype" w:hAnsi="Palatino Linotype"/>
          <w:color w:val="000000" w:themeColor="text1"/>
        </w:rPr>
      </w:pPr>
    </w:p>
    <w:p w14:paraId="154190D7" w14:textId="7C1B4F6A" w:rsidR="00457FBC" w:rsidRPr="003A787D" w:rsidRDefault="00457FBC" w:rsidP="00457FBC">
      <w:pPr>
        <w:pStyle w:val="Prrafodelista"/>
        <w:numPr>
          <w:ilvl w:val="0"/>
          <w:numId w:val="1"/>
        </w:numPr>
        <w:tabs>
          <w:tab w:val="left" w:pos="426"/>
        </w:tabs>
        <w:spacing w:before="240" w:after="240" w:line="360" w:lineRule="auto"/>
        <w:ind w:right="51"/>
        <w:jc w:val="both"/>
        <w:rPr>
          <w:rFonts w:ascii="Palatino Linotype" w:hAnsi="Palatino Linotype"/>
          <w:color w:val="000000" w:themeColor="text1"/>
        </w:rPr>
      </w:pPr>
      <w:r w:rsidRPr="003A787D">
        <w:rPr>
          <w:rFonts w:ascii="Palatino Linotype" w:hAnsi="Palatino Linotype"/>
          <w:color w:val="000000" w:themeColor="text1"/>
        </w:rPr>
        <w:t>Por otro lado, la Ley de Transparencia y Acceso a la Información Pública del Estado de México y Municipios, cuyo objeto es establecer principios, bases generales y procedimientos para tutelar y garantizar la transparencia y el derecho humano de acceso a la información pública en posesión de los sujetos obligados; en su artículo 176 establece que el recurso de revisión es la garantía secundaria mediante la cual se pretende reparar cualquier posible afectación al derecho de acceso a la información pública, siendo éste el medio a través del cual, este Órgano Garante después de realizar el análisis al procedimiento de acceso a la información, podrá determinar la posible afectación y, de ser el caso, ordenar la reparación a la violación del derecho en cuestión.</w:t>
      </w:r>
    </w:p>
    <w:p w14:paraId="32A99B49" w14:textId="77777777" w:rsidR="00EB0909" w:rsidRPr="003A787D" w:rsidRDefault="00EB0909" w:rsidP="00EB0909">
      <w:pPr>
        <w:pStyle w:val="Prrafodelista"/>
        <w:tabs>
          <w:tab w:val="left" w:pos="426"/>
        </w:tabs>
        <w:spacing w:before="240" w:after="240" w:line="360" w:lineRule="auto"/>
        <w:ind w:left="0" w:right="51"/>
        <w:jc w:val="both"/>
        <w:rPr>
          <w:rFonts w:ascii="Palatino Linotype" w:hAnsi="Palatino Linotype"/>
          <w:color w:val="000000" w:themeColor="text1"/>
        </w:rPr>
      </w:pPr>
    </w:p>
    <w:p w14:paraId="46B0833E" w14:textId="0426519F" w:rsidR="00DA2D95" w:rsidRPr="003A787D" w:rsidRDefault="001F7C7F" w:rsidP="00DA2D95">
      <w:pPr>
        <w:pStyle w:val="Prrafodelista"/>
        <w:tabs>
          <w:tab w:val="left" w:pos="426"/>
        </w:tabs>
        <w:spacing w:before="240" w:after="240" w:line="360" w:lineRule="auto"/>
        <w:ind w:left="0" w:right="51"/>
        <w:jc w:val="both"/>
        <w:outlineLvl w:val="2"/>
        <w:rPr>
          <w:rFonts w:ascii="Palatino Linotype" w:hAnsi="Palatino Linotype"/>
          <w:b/>
          <w:bCs/>
          <w:color w:val="000000" w:themeColor="text1"/>
        </w:rPr>
      </w:pPr>
      <w:bookmarkStart w:id="26" w:name="_Toc96002406"/>
      <w:r w:rsidRPr="003A787D">
        <w:rPr>
          <w:rFonts w:ascii="Palatino Linotype" w:hAnsi="Palatino Linotype"/>
          <w:b/>
          <w:bCs/>
          <w:color w:val="000000" w:themeColor="text1"/>
        </w:rPr>
        <w:t>II</w:t>
      </w:r>
      <w:r w:rsidR="00DA2D95" w:rsidRPr="003A787D">
        <w:rPr>
          <w:rFonts w:ascii="Palatino Linotype" w:hAnsi="Palatino Linotype"/>
          <w:b/>
          <w:bCs/>
          <w:color w:val="000000" w:themeColor="text1"/>
        </w:rPr>
        <w:t xml:space="preserve">. De la </w:t>
      </w:r>
      <w:r w:rsidR="0022178A" w:rsidRPr="003A787D">
        <w:rPr>
          <w:rFonts w:ascii="Palatino Linotype" w:hAnsi="Palatino Linotype"/>
          <w:b/>
          <w:bCs/>
          <w:color w:val="000000" w:themeColor="text1"/>
        </w:rPr>
        <w:t>información entregada en respuesta y posterior informe justificado</w:t>
      </w:r>
      <w:r w:rsidR="00DA2D95" w:rsidRPr="003A787D">
        <w:rPr>
          <w:rFonts w:ascii="Palatino Linotype" w:hAnsi="Palatino Linotype"/>
          <w:b/>
          <w:bCs/>
          <w:color w:val="000000" w:themeColor="text1"/>
        </w:rPr>
        <w:t>.</w:t>
      </w:r>
      <w:bookmarkEnd w:id="26"/>
    </w:p>
    <w:p w14:paraId="1CF74961" w14:textId="77777777" w:rsidR="002226FB" w:rsidRPr="003A787D" w:rsidRDefault="002226FB" w:rsidP="002226FB">
      <w:pPr>
        <w:pStyle w:val="Prrafodelista"/>
        <w:tabs>
          <w:tab w:val="left" w:pos="426"/>
        </w:tabs>
        <w:spacing w:before="240" w:after="240" w:line="360" w:lineRule="auto"/>
        <w:ind w:left="0" w:right="51"/>
        <w:jc w:val="both"/>
        <w:rPr>
          <w:rFonts w:ascii="Palatino Linotype" w:hAnsi="Palatino Linotype"/>
          <w:color w:val="000000" w:themeColor="text1"/>
        </w:rPr>
      </w:pPr>
    </w:p>
    <w:p w14:paraId="1B014070" w14:textId="01C8F97B" w:rsidR="00C83EF5" w:rsidRPr="003A787D" w:rsidRDefault="00294CC2" w:rsidP="00910076">
      <w:pPr>
        <w:pStyle w:val="Prrafodelista"/>
        <w:numPr>
          <w:ilvl w:val="0"/>
          <w:numId w:val="1"/>
        </w:numPr>
        <w:tabs>
          <w:tab w:val="left" w:pos="426"/>
        </w:tabs>
        <w:spacing w:before="240" w:after="240" w:line="360" w:lineRule="auto"/>
        <w:ind w:right="51"/>
        <w:jc w:val="both"/>
        <w:rPr>
          <w:rFonts w:ascii="Palatino Linotype" w:hAnsi="Palatino Linotype"/>
          <w:color w:val="000000" w:themeColor="text1"/>
        </w:rPr>
      </w:pPr>
      <w:r w:rsidRPr="003A787D">
        <w:rPr>
          <w:rFonts w:ascii="Palatino Linotype" w:hAnsi="Palatino Linotype"/>
          <w:color w:val="000000" w:themeColor="text1"/>
        </w:rPr>
        <w:t xml:space="preserve">Una </w:t>
      </w:r>
      <w:r w:rsidR="00910076" w:rsidRPr="003A787D">
        <w:rPr>
          <w:rFonts w:ascii="Palatino Linotype" w:hAnsi="Palatino Linotype"/>
        </w:rPr>
        <w:t xml:space="preserve">vez expuesto lo anterior, de la lectura a la solicitud de información </w:t>
      </w:r>
      <w:r w:rsidR="005A179D" w:rsidRPr="003A787D">
        <w:rPr>
          <w:rFonts w:ascii="Palatino Linotype" w:hAnsi="Palatino Linotype"/>
          <w:b/>
          <w:bCs/>
        </w:rPr>
        <w:t>00002/DIFTENANCI/IP/2022</w:t>
      </w:r>
      <w:r w:rsidR="00910076" w:rsidRPr="003A787D">
        <w:rPr>
          <w:rFonts w:ascii="Palatino Linotype" w:hAnsi="Palatino Linotype"/>
        </w:rPr>
        <w:t xml:space="preserve">, y como fuera señalado en el </w:t>
      </w:r>
      <w:r w:rsidR="00910076" w:rsidRPr="003A787D">
        <w:rPr>
          <w:rFonts w:ascii="Palatino Linotype" w:hAnsi="Palatino Linotype"/>
          <w:i/>
          <w:iCs/>
        </w:rPr>
        <w:t>Planteamiento de la Litis</w:t>
      </w:r>
      <w:r w:rsidR="00910076" w:rsidRPr="003A787D">
        <w:rPr>
          <w:rFonts w:ascii="Palatino Linotype" w:hAnsi="Palatino Linotype"/>
        </w:rPr>
        <w:t xml:space="preserve"> de esta resolución, se advierte que </w:t>
      </w:r>
      <w:r w:rsidRPr="003A787D">
        <w:rPr>
          <w:rFonts w:ascii="Palatino Linotype" w:hAnsi="Palatino Linotype"/>
        </w:rPr>
        <w:t>el</w:t>
      </w:r>
      <w:r w:rsidR="00910076" w:rsidRPr="003A787D">
        <w:rPr>
          <w:rFonts w:ascii="Palatino Linotype" w:hAnsi="Palatino Linotype"/>
        </w:rPr>
        <w:t xml:space="preserve"> particular requirió al </w:t>
      </w:r>
      <w:r w:rsidR="005A179D" w:rsidRPr="003A787D">
        <w:rPr>
          <w:rFonts w:ascii="Palatino Linotype" w:hAnsi="Palatino Linotype"/>
        </w:rPr>
        <w:t>Sistema Municipal para el Desarrollo Integral de la Familia de Tenancingo</w:t>
      </w:r>
      <w:r w:rsidR="00910076" w:rsidRPr="003A787D">
        <w:rPr>
          <w:rFonts w:ascii="Palatino Linotype" w:hAnsi="Palatino Linotype"/>
        </w:rPr>
        <w:t xml:space="preserve"> </w:t>
      </w:r>
      <w:r w:rsidR="00C83EF5" w:rsidRPr="003A787D">
        <w:rPr>
          <w:rFonts w:ascii="Palatino Linotype" w:hAnsi="Palatino Linotype" w:cs="Arial"/>
          <w:color w:val="000000" w:themeColor="text1"/>
        </w:rPr>
        <w:t>acceder a la siguiente información:</w:t>
      </w:r>
    </w:p>
    <w:p w14:paraId="6AC59CB0" w14:textId="77777777" w:rsidR="00EE7726" w:rsidRPr="003A787D" w:rsidRDefault="00EE7726" w:rsidP="00EE7726">
      <w:pPr>
        <w:pStyle w:val="Prrafodelista"/>
        <w:numPr>
          <w:ilvl w:val="1"/>
          <w:numId w:val="25"/>
        </w:numPr>
        <w:tabs>
          <w:tab w:val="left" w:pos="426"/>
        </w:tabs>
        <w:spacing w:before="240" w:after="240" w:line="360" w:lineRule="auto"/>
        <w:ind w:left="1134" w:right="51"/>
        <w:jc w:val="both"/>
        <w:rPr>
          <w:rFonts w:ascii="Palatino Linotype" w:hAnsi="Palatino Linotype"/>
          <w:color w:val="000000" w:themeColor="text1"/>
        </w:rPr>
      </w:pPr>
      <w:r w:rsidRPr="003A787D">
        <w:rPr>
          <w:rFonts w:ascii="Palatino Linotype" w:hAnsi="Palatino Linotype" w:cs="Arial"/>
          <w:color w:val="000000" w:themeColor="text1"/>
        </w:rPr>
        <w:lastRenderedPageBreak/>
        <w:t xml:space="preserve">Opinión de cumplimiento proporcionada por el SAT, IMSS, INFONAVIT y SATEM; </w:t>
      </w:r>
    </w:p>
    <w:p w14:paraId="3803D9EF" w14:textId="77777777" w:rsidR="00EE7726" w:rsidRPr="003A787D" w:rsidRDefault="00EE7726" w:rsidP="00EE7726">
      <w:pPr>
        <w:pStyle w:val="Prrafodelista"/>
        <w:numPr>
          <w:ilvl w:val="1"/>
          <w:numId w:val="25"/>
        </w:numPr>
        <w:tabs>
          <w:tab w:val="left" w:pos="426"/>
        </w:tabs>
        <w:spacing w:before="240" w:after="240" w:line="360" w:lineRule="auto"/>
        <w:ind w:left="1134" w:right="51"/>
        <w:jc w:val="both"/>
        <w:rPr>
          <w:rFonts w:ascii="Palatino Linotype" w:hAnsi="Palatino Linotype"/>
          <w:color w:val="000000" w:themeColor="text1"/>
        </w:rPr>
      </w:pPr>
      <w:r w:rsidRPr="003A787D">
        <w:rPr>
          <w:rFonts w:ascii="Palatino Linotype" w:hAnsi="Palatino Linotype" w:cs="Arial"/>
          <w:color w:val="000000" w:themeColor="text1"/>
        </w:rPr>
        <w:t xml:space="preserve">Reportes del aplicativo “Visor de nómina del SAT”, del dos mil dieciocho al dos mil veintiuno, en sus presentaciones ‘Vista anual acumulada’, ‘Detalle mensual’ y ‘Detalle diferencias sueldos y salarios’; </w:t>
      </w:r>
    </w:p>
    <w:p w14:paraId="06B2F6BF" w14:textId="49028212" w:rsidR="00EE7726" w:rsidRPr="003A787D" w:rsidRDefault="00EE7726" w:rsidP="00EE7726">
      <w:pPr>
        <w:pStyle w:val="Prrafodelista"/>
        <w:numPr>
          <w:ilvl w:val="1"/>
          <w:numId w:val="25"/>
        </w:numPr>
        <w:tabs>
          <w:tab w:val="left" w:pos="426"/>
        </w:tabs>
        <w:spacing w:before="240" w:after="240" w:line="360" w:lineRule="auto"/>
        <w:ind w:left="1134" w:right="51"/>
        <w:jc w:val="both"/>
        <w:rPr>
          <w:rFonts w:ascii="Palatino Linotype" w:hAnsi="Palatino Linotype"/>
          <w:color w:val="000000" w:themeColor="text1"/>
        </w:rPr>
      </w:pPr>
      <w:r w:rsidRPr="003A787D">
        <w:rPr>
          <w:rFonts w:ascii="Palatino Linotype" w:hAnsi="Palatino Linotype" w:cs="Arial"/>
          <w:color w:val="000000" w:themeColor="text1"/>
        </w:rPr>
        <w:t>Constancias de situación fiscal de no adeudo emitida</w:t>
      </w:r>
      <w:r w:rsidR="004A134A" w:rsidRPr="003A787D">
        <w:rPr>
          <w:rFonts w:ascii="Palatino Linotype" w:hAnsi="Palatino Linotype" w:cs="Arial"/>
          <w:color w:val="000000" w:themeColor="text1"/>
        </w:rPr>
        <w:t>s</w:t>
      </w:r>
      <w:r w:rsidRPr="003A787D">
        <w:rPr>
          <w:rFonts w:ascii="Palatino Linotype" w:hAnsi="Palatino Linotype" w:cs="Arial"/>
          <w:color w:val="000000" w:themeColor="text1"/>
        </w:rPr>
        <w:t xml:space="preserve"> por el INFONAVIT, IMSS y SATEM; </w:t>
      </w:r>
    </w:p>
    <w:p w14:paraId="0F8F7B4B" w14:textId="41B4D66A" w:rsidR="00910076" w:rsidRPr="003A787D" w:rsidRDefault="00EE7726" w:rsidP="00EE7726">
      <w:pPr>
        <w:pStyle w:val="Prrafodelista"/>
        <w:numPr>
          <w:ilvl w:val="1"/>
          <w:numId w:val="25"/>
        </w:numPr>
        <w:tabs>
          <w:tab w:val="left" w:pos="426"/>
        </w:tabs>
        <w:spacing w:before="240" w:after="240" w:line="360" w:lineRule="auto"/>
        <w:ind w:left="1134" w:right="51"/>
        <w:jc w:val="both"/>
        <w:rPr>
          <w:rFonts w:ascii="Palatino Linotype" w:hAnsi="Palatino Linotype"/>
          <w:color w:val="000000" w:themeColor="text1"/>
        </w:rPr>
      </w:pPr>
      <w:r w:rsidRPr="003A787D">
        <w:rPr>
          <w:rFonts w:ascii="Palatino Linotype" w:hAnsi="Palatino Linotype" w:cs="Arial"/>
          <w:color w:val="000000" w:themeColor="text1"/>
        </w:rPr>
        <w:t>Se entregue un documento donde se desarrolle diversa información relacionada con el pago del ISR.</w:t>
      </w:r>
    </w:p>
    <w:p w14:paraId="000E4D37" w14:textId="77777777" w:rsidR="00D524E2" w:rsidRPr="003A787D" w:rsidRDefault="00D524E2" w:rsidP="00D524E2">
      <w:pPr>
        <w:pStyle w:val="Prrafodelista"/>
        <w:tabs>
          <w:tab w:val="left" w:pos="426"/>
        </w:tabs>
        <w:spacing w:before="240" w:after="240" w:line="360" w:lineRule="auto"/>
        <w:ind w:left="0" w:right="51"/>
        <w:jc w:val="both"/>
        <w:rPr>
          <w:rFonts w:ascii="Palatino Linotype" w:hAnsi="Palatino Linotype"/>
          <w:color w:val="000000" w:themeColor="text1"/>
        </w:rPr>
      </w:pPr>
    </w:p>
    <w:p w14:paraId="1D4D2A72" w14:textId="7B2BAFF8" w:rsidR="009D3804" w:rsidRPr="003A787D" w:rsidRDefault="00A82A2F" w:rsidP="00EE7726">
      <w:pPr>
        <w:pStyle w:val="Prrafodelista"/>
        <w:numPr>
          <w:ilvl w:val="0"/>
          <w:numId w:val="1"/>
        </w:numPr>
        <w:tabs>
          <w:tab w:val="left" w:pos="426"/>
        </w:tabs>
        <w:spacing w:before="240" w:after="240" w:line="360" w:lineRule="auto"/>
        <w:ind w:right="51"/>
        <w:jc w:val="both"/>
        <w:rPr>
          <w:rFonts w:ascii="Palatino Linotype" w:hAnsi="Palatino Linotype"/>
          <w:color w:val="000000" w:themeColor="text1"/>
        </w:rPr>
      </w:pPr>
      <w:r w:rsidRPr="003A787D">
        <w:rPr>
          <w:rFonts w:ascii="Palatino Linotype" w:hAnsi="Palatino Linotype"/>
          <w:color w:val="000000" w:themeColor="text1"/>
        </w:rPr>
        <w:t>En</w:t>
      </w:r>
      <w:r w:rsidR="00D524E2" w:rsidRPr="003A787D">
        <w:rPr>
          <w:rFonts w:ascii="Palatino Linotype" w:hAnsi="Palatino Linotype"/>
          <w:color w:val="000000" w:themeColor="text1"/>
        </w:rPr>
        <w:t xml:space="preserve"> respuesta a la solicitud de información,</w:t>
      </w:r>
      <w:r w:rsidRPr="003A787D">
        <w:rPr>
          <w:rFonts w:ascii="Palatino Linotype" w:hAnsi="Palatino Linotype"/>
          <w:color w:val="000000" w:themeColor="text1"/>
        </w:rPr>
        <w:t xml:space="preserve"> </w:t>
      </w:r>
      <w:r w:rsidR="00EE7726" w:rsidRPr="003A787D">
        <w:rPr>
          <w:rFonts w:ascii="Palatino Linotype" w:hAnsi="Palatino Linotype"/>
          <w:color w:val="000000" w:themeColor="text1"/>
        </w:rPr>
        <w:t xml:space="preserve">el </w:t>
      </w:r>
      <w:r w:rsidR="00EE7726" w:rsidRPr="003A787D">
        <w:rPr>
          <w:rFonts w:ascii="Palatino Linotype" w:hAnsi="Palatino Linotype"/>
          <w:b/>
          <w:color w:val="000000" w:themeColor="text1"/>
        </w:rPr>
        <w:t>SUJETO OBLIGADO</w:t>
      </w:r>
      <w:r w:rsidR="00EE7726" w:rsidRPr="003A787D">
        <w:rPr>
          <w:rFonts w:ascii="Palatino Linotype" w:hAnsi="Palatino Linotype"/>
          <w:color w:val="000000" w:themeColor="text1"/>
        </w:rPr>
        <w:t xml:space="preserve"> entregó el oficio número </w:t>
      </w:r>
      <w:r w:rsidR="0022178A" w:rsidRPr="003A787D">
        <w:rPr>
          <w:rFonts w:ascii="Palatino Linotype" w:hAnsi="Palatino Linotype"/>
          <w:color w:val="000000" w:themeColor="text1"/>
        </w:rPr>
        <w:t>SMDIF3058/C00306/024/02/2022</w:t>
      </w:r>
      <w:r w:rsidR="00EE7726" w:rsidRPr="003A787D">
        <w:rPr>
          <w:rFonts w:ascii="Palatino Linotype" w:hAnsi="Palatino Linotype"/>
          <w:color w:val="000000" w:themeColor="text1"/>
        </w:rPr>
        <w:t xml:space="preserve">, de </w:t>
      </w:r>
      <w:r w:rsidR="0022178A" w:rsidRPr="003A787D">
        <w:rPr>
          <w:rFonts w:ascii="Palatino Linotype" w:hAnsi="Palatino Linotype"/>
          <w:color w:val="000000" w:themeColor="text1"/>
        </w:rPr>
        <w:t>quince (15</w:t>
      </w:r>
      <w:r w:rsidR="00AD2CE9" w:rsidRPr="003A787D">
        <w:rPr>
          <w:rFonts w:ascii="Palatino Linotype" w:hAnsi="Palatino Linotype"/>
          <w:color w:val="000000" w:themeColor="text1"/>
        </w:rPr>
        <w:t>) de febrero</w:t>
      </w:r>
      <w:r w:rsidR="00EE7726" w:rsidRPr="003A787D">
        <w:rPr>
          <w:rFonts w:ascii="Palatino Linotype" w:hAnsi="Palatino Linotype"/>
          <w:color w:val="000000" w:themeColor="text1"/>
        </w:rPr>
        <w:t xml:space="preserve"> de dos mil veintidós, emitido por </w:t>
      </w:r>
      <w:r w:rsidR="0022178A" w:rsidRPr="003A787D">
        <w:rPr>
          <w:rFonts w:ascii="Palatino Linotype" w:hAnsi="Palatino Linotype"/>
          <w:color w:val="000000" w:themeColor="text1"/>
        </w:rPr>
        <w:t>el Tesorero del Sistema Municipal para el Desarrollo Integral de la Familia de Tenancingo</w:t>
      </w:r>
      <w:r w:rsidR="00EE7726" w:rsidRPr="003A787D">
        <w:rPr>
          <w:rFonts w:ascii="Palatino Linotype" w:hAnsi="Palatino Linotype"/>
          <w:color w:val="000000" w:themeColor="text1"/>
        </w:rPr>
        <w:t>, a través del cual, hizo del conocimiento del particular lo siguiente:</w:t>
      </w:r>
    </w:p>
    <w:p w14:paraId="6057A8E5" w14:textId="77777777" w:rsidR="00EE7726" w:rsidRPr="003A787D" w:rsidRDefault="00EE7726" w:rsidP="00EE7726">
      <w:pPr>
        <w:pStyle w:val="Prrafodelista"/>
        <w:tabs>
          <w:tab w:val="left" w:pos="426"/>
        </w:tabs>
        <w:spacing w:before="240" w:after="240" w:line="360" w:lineRule="auto"/>
        <w:ind w:left="0" w:right="51"/>
        <w:jc w:val="both"/>
        <w:rPr>
          <w:rFonts w:ascii="Palatino Linotype" w:hAnsi="Palatino Linotype"/>
          <w:color w:val="000000" w:themeColor="text1"/>
        </w:rPr>
      </w:pPr>
    </w:p>
    <w:p w14:paraId="6BE671DA" w14:textId="47864AA2" w:rsidR="00AD2CE9" w:rsidRPr="003A787D" w:rsidRDefault="00EE7726" w:rsidP="0022178A">
      <w:pPr>
        <w:pStyle w:val="Prrafodelista"/>
        <w:tabs>
          <w:tab w:val="left" w:pos="426"/>
        </w:tabs>
        <w:spacing w:before="240" w:after="240" w:line="276" w:lineRule="auto"/>
        <w:ind w:left="567" w:right="567"/>
        <w:jc w:val="both"/>
        <w:rPr>
          <w:rFonts w:ascii="Palatino Linotype" w:hAnsi="Palatino Linotype"/>
          <w:i/>
          <w:color w:val="000000" w:themeColor="text1"/>
          <w:sz w:val="22"/>
        </w:rPr>
      </w:pPr>
      <w:r w:rsidRPr="003A787D">
        <w:rPr>
          <w:rFonts w:ascii="Palatino Linotype" w:hAnsi="Palatino Linotype"/>
          <w:i/>
          <w:color w:val="000000" w:themeColor="text1"/>
          <w:sz w:val="22"/>
        </w:rPr>
        <w:t>“</w:t>
      </w:r>
      <w:r w:rsidR="0022178A" w:rsidRPr="003A787D">
        <w:rPr>
          <w:rFonts w:ascii="Palatino Linotype" w:hAnsi="Palatino Linotype"/>
          <w:i/>
          <w:color w:val="000000" w:themeColor="text1"/>
          <w:sz w:val="22"/>
        </w:rPr>
        <w:t>Con respecto al punto I, me permito adjuntar los visores de nómina correspondientes</w:t>
      </w:r>
      <w:r w:rsidR="00FE3931" w:rsidRPr="003A787D">
        <w:rPr>
          <w:rFonts w:ascii="Palatino Linotype" w:hAnsi="Palatino Linotype"/>
          <w:i/>
          <w:color w:val="000000" w:themeColor="text1"/>
          <w:sz w:val="22"/>
        </w:rPr>
        <w:t xml:space="preserve"> a los años 2018, 2019, 2020 y 2021; que consta de 21 reportes por una sola cara, anexo 1, así mismo informo que en el reporte aplicativo solicitado, en los puntos II y III en donde solicita la constancia de no adeudo emitida por el INFONAVIT y el IMSS; el Sistema Municipal para el Desarrollo Integral de la Familia de Tenancingo Estado de México, me permito informarle que con fundamento en el artículo 3 fracción I de la Ley de Seguridad Social para los Servidores Públicos del Estado de México y Municipios es sujeto de esta Ley y no del Instituto Mexicano de Seguridad Social ni del INFONAVIT.</w:t>
      </w:r>
    </w:p>
    <w:p w14:paraId="54D3A868" w14:textId="77777777" w:rsidR="00FE3931" w:rsidRPr="003A787D" w:rsidRDefault="00FE3931" w:rsidP="0022178A">
      <w:pPr>
        <w:pStyle w:val="Prrafodelista"/>
        <w:tabs>
          <w:tab w:val="left" w:pos="426"/>
        </w:tabs>
        <w:spacing w:before="240" w:after="240" w:line="276" w:lineRule="auto"/>
        <w:ind w:left="567" w:right="567"/>
        <w:jc w:val="both"/>
        <w:rPr>
          <w:rFonts w:ascii="Palatino Linotype" w:hAnsi="Palatino Linotype"/>
          <w:i/>
          <w:color w:val="000000" w:themeColor="text1"/>
          <w:sz w:val="22"/>
        </w:rPr>
      </w:pPr>
    </w:p>
    <w:p w14:paraId="05E9FE0D" w14:textId="772B2F77" w:rsidR="00FE3931" w:rsidRPr="003A787D" w:rsidRDefault="00FE3931" w:rsidP="0022178A">
      <w:pPr>
        <w:pStyle w:val="Prrafodelista"/>
        <w:tabs>
          <w:tab w:val="left" w:pos="426"/>
        </w:tabs>
        <w:spacing w:before="240" w:after="240" w:line="276" w:lineRule="auto"/>
        <w:ind w:left="567" w:right="567"/>
        <w:jc w:val="both"/>
        <w:rPr>
          <w:rFonts w:ascii="Palatino Linotype" w:hAnsi="Palatino Linotype"/>
          <w:i/>
          <w:color w:val="000000" w:themeColor="text1"/>
          <w:sz w:val="22"/>
        </w:rPr>
      </w:pPr>
      <w:r w:rsidRPr="003A787D">
        <w:rPr>
          <w:rFonts w:ascii="Palatino Linotype" w:hAnsi="Palatino Linotype"/>
          <w:i/>
          <w:color w:val="000000" w:themeColor="text1"/>
          <w:sz w:val="22"/>
        </w:rPr>
        <w:t>En el punto IV remito opinión de cumplimiento de obligaciones fiscales del Servicio de Administración Tributaria, que consta de 2 fojas por un solo lado, anexo 2.</w:t>
      </w:r>
    </w:p>
    <w:p w14:paraId="4EC8D9F9" w14:textId="0A5EF51C" w:rsidR="00FE3931" w:rsidRPr="003A787D" w:rsidRDefault="00FE3931" w:rsidP="0022178A">
      <w:pPr>
        <w:pStyle w:val="Prrafodelista"/>
        <w:tabs>
          <w:tab w:val="left" w:pos="426"/>
        </w:tabs>
        <w:spacing w:before="240" w:after="240" w:line="276" w:lineRule="auto"/>
        <w:ind w:left="567" w:right="567"/>
        <w:jc w:val="both"/>
        <w:rPr>
          <w:rFonts w:ascii="Palatino Linotype" w:hAnsi="Palatino Linotype"/>
          <w:i/>
          <w:color w:val="000000" w:themeColor="text1"/>
          <w:sz w:val="22"/>
        </w:rPr>
      </w:pPr>
    </w:p>
    <w:p w14:paraId="77EDE9DE" w14:textId="145E3D38" w:rsidR="00FE3931" w:rsidRPr="003A787D" w:rsidRDefault="00FE3931" w:rsidP="0022178A">
      <w:pPr>
        <w:pStyle w:val="Prrafodelista"/>
        <w:tabs>
          <w:tab w:val="left" w:pos="426"/>
        </w:tabs>
        <w:spacing w:before="240" w:after="240" w:line="276" w:lineRule="auto"/>
        <w:ind w:left="567" w:right="567"/>
        <w:jc w:val="both"/>
        <w:rPr>
          <w:rFonts w:ascii="Palatino Linotype" w:hAnsi="Palatino Linotype"/>
          <w:i/>
          <w:color w:val="000000" w:themeColor="text1"/>
          <w:sz w:val="22"/>
        </w:rPr>
      </w:pPr>
      <w:r w:rsidRPr="003A787D">
        <w:rPr>
          <w:rFonts w:ascii="Palatino Linotype" w:hAnsi="Palatino Linotype"/>
          <w:i/>
          <w:color w:val="000000" w:themeColor="text1"/>
          <w:sz w:val="22"/>
        </w:rPr>
        <w:lastRenderedPageBreak/>
        <w:t>En lo que respecta al punto V le informo que no contamos con ninguna constancia del ISR devuelto por el SAT ya que dicha información es competencia del ayuntamiento municipal, con la finalidad de coadyuvar en atender la información solicitada me permito remitir a Usted la liga o link: https://tenancingo.gob.mx/ donde podrá solicitar dicha información.</w:t>
      </w:r>
    </w:p>
    <w:p w14:paraId="7E5F4C6E" w14:textId="290415EB" w:rsidR="00FE3931" w:rsidRPr="003A787D" w:rsidRDefault="00FE3931" w:rsidP="0022178A">
      <w:pPr>
        <w:pStyle w:val="Prrafodelista"/>
        <w:tabs>
          <w:tab w:val="left" w:pos="426"/>
        </w:tabs>
        <w:spacing w:before="240" w:after="240" w:line="276" w:lineRule="auto"/>
        <w:ind w:left="567" w:right="567"/>
        <w:jc w:val="both"/>
        <w:rPr>
          <w:rFonts w:ascii="Palatino Linotype" w:hAnsi="Palatino Linotype"/>
          <w:i/>
          <w:color w:val="000000" w:themeColor="text1"/>
          <w:sz w:val="22"/>
        </w:rPr>
      </w:pPr>
    </w:p>
    <w:p w14:paraId="1CC998E3" w14:textId="28516C75" w:rsidR="00FE3931" w:rsidRPr="003A787D" w:rsidRDefault="00FE3931" w:rsidP="0022178A">
      <w:pPr>
        <w:pStyle w:val="Prrafodelista"/>
        <w:tabs>
          <w:tab w:val="left" w:pos="426"/>
        </w:tabs>
        <w:spacing w:before="240" w:after="240" w:line="276" w:lineRule="auto"/>
        <w:ind w:left="567" w:right="567"/>
        <w:jc w:val="both"/>
        <w:rPr>
          <w:rFonts w:ascii="Palatino Linotype" w:hAnsi="Palatino Linotype"/>
          <w:iCs/>
          <w:color w:val="000000" w:themeColor="text1"/>
          <w:sz w:val="22"/>
        </w:rPr>
      </w:pPr>
      <w:r w:rsidRPr="003A787D">
        <w:rPr>
          <w:rFonts w:ascii="Palatino Linotype" w:hAnsi="Palatino Linotype"/>
          <w:i/>
          <w:color w:val="000000" w:themeColor="text1"/>
          <w:sz w:val="22"/>
        </w:rPr>
        <w:t>Servicio Personal Subordinado, de la Ley del Impuesto Sobre la Renta, donde refiere que quienes hagan pagos por los conceptos a que se refiere este capítulo están obligados a efectuar retenciones y enteros mensuales que tendrán el carácter de pagos provisionales a cuenta del impuesto anual. La información es personal de cada uno de los trabajadores, ya que cada trabajador cuenta con su clave y contraseña particular, motivo por el cual no se puede proporcionar dicha información.”</w:t>
      </w:r>
      <w:r w:rsidRPr="003A787D">
        <w:rPr>
          <w:rFonts w:ascii="Palatino Linotype" w:hAnsi="Palatino Linotype"/>
          <w:iCs/>
          <w:color w:val="000000" w:themeColor="text1"/>
          <w:sz w:val="22"/>
        </w:rPr>
        <w:t xml:space="preserve"> (Sic)</w:t>
      </w:r>
    </w:p>
    <w:p w14:paraId="4D79598F" w14:textId="77777777" w:rsidR="00D5247A" w:rsidRPr="003A787D" w:rsidRDefault="00D5247A" w:rsidP="00EE7726">
      <w:pPr>
        <w:pStyle w:val="Prrafodelista"/>
        <w:tabs>
          <w:tab w:val="left" w:pos="426"/>
        </w:tabs>
        <w:spacing w:before="240" w:after="240" w:line="360" w:lineRule="auto"/>
        <w:ind w:left="0" w:right="51"/>
        <w:jc w:val="both"/>
        <w:rPr>
          <w:rFonts w:ascii="Palatino Linotype" w:hAnsi="Palatino Linotype"/>
          <w:color w:val="000000" w:themeColor="text1"/>
        </w:rPr>
      </w:pPr>
    </w:p>
    <w:p w14:paraId="40E5D5DC" w14:textId="7D3A046B" w:rsidR="00AC3AA8" w:rsidRPr="003A787D" w:rsidRDefault="00FE3931" w:rsidP="00AC3AA8">
      <w:pPr>
        <w:pStyle w:val="Prrafodelista"/>
        <w:numPr>
          <w:ilvl w:val="0"/>
          <w:numId w:val="1"/>
        </w:numPr>
        <w:tabs>
          <w:tab w:val="left" w:pos="426"/>
        </w:tabs>
        <w:spacing w:before="240" w:after="240" w:line="360" w:lineRule="auto"/>
        <w:ind w:right="51"/>
        <w:jc w:val="both"/>
        <w:rPr>
          <w:rFonts w:ascii="Palatino Linotype" w:hAnsi="Palatino Linotype"/>
          <w:color w:val="000000" w:themeColor="text1"/>
        </w:rPr>
      </w:pPr>
      <w:r w:rsidRPr="003A787D">
        <w:rPr>
          <w:rFonts w:ascii="Palatino Linotype" w:hAnsi="Palatino Linotype"/>
          <w:color w:val="000000" w:themeColor="text1"/>
        </w:rPr>
        <w:t xml:space="preserve">Acompañando al oficio transcrito </w:t>
      </w:r>
      <w:r w:rsidRPr="003A787D">
        <w:rPr>
          <w:rFonts w:ascii="Palatino Linotype" w:hAnsi="Palatino Linotype"/>
          <w:i/>
          <w:iCs/>
          <w:color w:val="000000" w:themeColor="text1"/>
        </w:rPr>
        <w:t>supra</w:t>
      </w:r>
      <w:r w:rsidRPr="003A787D">
        <w:rPr>
          <w:rFonts w:ascii="Palatino Linotype" w:hAnsi="Palatino Linotype"/>
          <w:color w:val="000000" w:themeColor="text1"/>
        </w:rPr>
        <w:t xml:space="preserve">, </w:t>
      </w:r>
      <w:r w:rsidR="00AC3AA8" w:rsidRPr="003A787D">
        <w:rPr>
          <w:rFonts w:ascii="Palatino Linotype" w:hAnsi="Palatino Linotype"/>
          <w:color w:val="000000" w:themeColor="text1"/>
        </w:rPr>
        <w:t xml:space="preserve">el </w:t>
      </w:r>
      <w:r w:rsidR="00AC3AA8" w:rsidRPr="003A787D">
        <w:rPr>
          <w:rFonts w:ascii="Palatino Linotype" w:hAnsi="Palatino Linotype"/>
          <w:b/>
          <w:color w:val="000000" w:themeColor="text1"/>
        </w:rPr>
        <w:t>SUJETO OBLIGADO</w:t>
      </w:r>
      <w:r w:rsidR="00AC3AA8" w:rsidRPr="003A787D">
        <w:rPr>
          <w:rFonts w:ascii="Palatino Linotype" w:hAnsi="Palatino Linotype"/>
          <w:color w:val="000000" w:themeColor="text1"/>
        </w:rPr>
        <w:t xml:space="preserve"> presentó al particular la opinión negativa del cumplimiento de obligaciones fiscales emitida por el Servicio de Administración Tributaria, de quince (15) de febrero de dos mil veintidós, de la cual se comparte el siguiente fragmento:</w:t>
      </w:r>
    </w:p>
    <w:p w14:paraId="66D7DAA1" w14:textId="0F6C4902" w:rsidR="00AC3AA8" w:rsidRPr="003A787D" w:rsidRDefault="004B4561" w:rsidP="00AC3AA8">
      <w:pPr>
        <w:pStyle w:val="Prrafodelista"/>
        <w:tabs>
          <w:tab w:val="left" w:pos="426"/>
        </w:tabs>
        <w:spacing w:before="240" w:after="240" w:line="360" w:lineRule="auto"/>
        <w:ind w:left="0" w:right="51"/>
        <w:jc w:val="center"/>
        <w:rPr>
          <w:rFonts w:ascii="Palatino Linotype" w:hAnsi="Palatino Linotype"/>
          <w:color w:val="000000" w:themeColor="text1"/>
        </w:rPr>
      </w:pPr>
      <w:r w:rsidRPr="003A787D">
        <w:object w:dxaOrig="8055" w:dyaOrig="5610" w14:anchorId="1A78A47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51.35pt;height:243.65pt" o:ole="" o:bordertopcolor="this" o:borderleftcolor="this" o:borderbottomcolor="this" o:borderrightcolor="this">
            <v:imagedata r:id="rId8" o:title=""/>
            <w10:bordertop type="single" width="8"/>
            <w10:borderleft type="single" width="8"/>
            <w10:borderbottom type="single" width="8"/>
            <w10:borderright type="single" width="8"/>
          </v:shape>
          <o:OLEObject Type="Embed" ProgID="Paint.Picture" ShapeID="_x0000_i1025" DrawAspect="Content" ObjectID="_1715173000" r:id="rId9"/>
        </w:object>
      </w:r>
    </w:p>
    <w:p w14:paraId="3BA503EA" w14:textId="77777777" w:rsidR="00AC3AA8" w:rsidRPr="003A787D" w:rsidRDefault="00AC3AA8" w:rsidP="00FE3931">
      <w:pPr>
        <w:pStyle w:val="Prrafodelista"/>
        <w:tabs>
          <w:tab w:val="left" w:pos="426"/>
        </w:tabs>
        <w:spacing w:before="240" w:after="240" w:line="360" w:lineRule="auto"/>
        <w:ind w:left="0" w:right="51"/>
        <w:jc w:val="both"/>
        <w:rPr>
          <w:rFonts w:ascii="Palatino Linotype" w:hAnsi="Palatino Linotype"/>
          <w:color w:val="000000" w:themeColor="text1"/>
        </w:rPr>
      </w:pPr>
    </w:p>
    <w:p w14:paraId="7CEF9F08" w14:textId="0F393A74" w:rsidR="00AC3AA8" w:rsidRPr="003A787D" w:rsidRDefault="00AC3AA8" w:rsidP="00910076">
      <w:pPr>
        <w:pStyle w:val="Prrafodelista"/>
        <w:numPr>
          <w:ilvl w:val="0"/>
          <w:numId w:val="1"/>
        </w:numPr>
        <w:tabs>
          <w:tab w:val="left" w:pos="426"/>
        </w:tabs>
        <w:spacing w:before="240" w:after="240" w:line="360" w:lineRule="auto"/>
        <w:ind w:right="51"/>
        <w:jc w:val="both"/>
        <w:rPr>
          <w:rFonts w:ascii="Palatino Linotype" w:hAnsi="Palatino Linotype"/>
          <w:color w:val="000000" w:themeColor="text1"/>
        </w:rPr>
      </w:pPr>
      <w:r w:rsidRPr="003A787D">
        <w:rPr>
          <w:rFonts w:ascii="Palatino Linotype" w:hAnsi="Palatino Linotype"/>
          <w:color w:val="000000" w:themeColor="text1"/>
        </w:rPr>
        <w:lastRenderedPageBreak/>
        <w:t xml:space="preserve">Asimismo, se hace constar que el </w:t>
      </w:r>
      <w:r w:rsidRPr="003A787D">
        <w:rPr>
          <w:rFonts w:ascii="Palatino Linotype" w:hAnsi="Palatino Linotype"/>
          <w:b/>
          <w:color w:val="000000" w:themeColor="text1"/>
        </w:rPr>
        <w:t>SUJETO OBLIGADO</w:t>
      </w:r>
      <w:r w:rsidRPr="003A787D">
        <w:rPr>
          <w:rFonts w:ascii="Palatino Linotype" w:hAnsi="Palatino Linotype"/>
          <w:color w:val="000000" w:themeColor="text1"/>
        </w:rPr>
        <w:t xml:space="preserve"> hizo entrega, también, de los reportes generados respecto a la información de pagos y retenciones por sueldos y salarios, en sus modalidades ‘Vista anual acumulada’ y ‘Detalle mensual’ de los ejercicios dos mil dieciocho, dos mil diecinueve, dos mil veinte y dos mil veintiuno. Se adjunta a continuación un fragmento del rubro de los instrumentos antes referidos:</w:t>
      </w:r>
    </w:p>
    <w:p w14:paraId="297456F5" w14:textId="62CBE125" w:rsidR="00AC3AA8" w:rsidRPr="003A787D" w:rsidRDefault="004B4561" w:rsidP="00AC3AA8">
      <w:pPr>
        <w:pStyle w:val="Prrafodelista"/>
        <w:tabs>
          <w:tab w:val="left" w:pos="426"/>
        </w:tabs>
        <w:spacing w:before="240" w:after="240" w:line="360" w:lineRule="auto"/>
        <w:ind w:left="0" w:right="51"/>
        <w:jc w:val="center"/>
      </w:pPr>
      <w:r w:rsidRPr="003A787D">
        <w:object w:dxaOrig="13935" w:dyaOrig="5775" w14:anchorId="39B9B782">
          <v:shape id="_x0000_i1026" type="#_x0000_t75" style="width:381.9pt;height:159pt" o:ole="" o:bordertopcolor="this" o:borderleftcolor="this" o:borderbottomcolor="this" o:borderrightcolor="this">
            <v:imagedata r:id="rId10" o:title=""/>
            <w10:bordertop type="single" width="8"/>
            <w10:borderleft type="single" width="8"/>
            <w10:borderbottom type="single" width="8"/>
            <w10:borderright type="single" width="8"/>
          </v:shape>
          <o:OLEObject Type="Embed" ProgID="Paint.Picture" ShapeID="_x0000_i1026" DrawAspect="Content" ObjectID="_1715173001" r:id="rId11"/>
        </w:object>
      </w:r>
    </w:p>
    <w:p w14:paraId="18FD3A3B" w14:textId="4347A77B" w:rsidR="00AC3AA8" w:rsidRPr="003A787D" w:rsidRDefault="00BE7783" w:rsidP="00AC3AA8">
      <w:pPr>
        <w:pStyle w:val="Prrafodelista"/>
        <w:tabs>
          <w:tab w:val="left" w:pos="426"/>
        </w:tabs>
        <w:spacing w:before="240" w:after="240" w:line="360" w:lineRule="auto"/>
        <w:ind w:left="0" w:right="51"/>
        <w:jc w:val="center"/>
      </w:pPr>
      <w:r w:rsidRPr="003A787D">
        <w:object w:dxaOrig="13965" w:dyaOrig="5055" w14:anchorId="42CAA624">
          <v:shape id="_x0000_i1027" type="#_x0000_t75" style="width:383.6pt;height:138.25pt" o:ole="" o:bordertopcolor="this" o:borderleftcolor="this" o:borderbottomcolor="this" o:borderrightcolor="this">
            <v:imagedata r:id="rId12" o:title=""/>
            <w10:bordertop type="single" width="8"/>
            <w10:borderleft type="single" width="8"/>
            <w10:borderbottom type="single" width="8"/>
            <w10:borderright type="single" width="8"/>
          </v:shape>
          <o:OLEObject Type="Embed" ProgID="Paint.Picture" ShapeID="_x0000_i1027" DrawAspect="Content" ObjectID="_1715173002" r:id="rId13"/>
        </w:object>
      </w:r>
    </w:p>
    <w:p w14:paraId="68E2B063" w14:textId="1B01C809" w:rsidR="00AC3AA8" w:rsidRPr="003A787D" w:rsidRDefault="00BE7783" w:rsidP="00AC3AA8">
      <w:pPr>
        <w:pStyle w:val="Prrafodelista"/>
        <w:tabs>
          <w:tab w:val="left" w:pos="426"/>
        </w:tabs>
        <w:spacing w:before="240" w:after="240" w:line="360" w:lineRule="auto"/>
        <w:ind w:left="0" w:right="51"/>
        <w:jc w:val="center"/>
      </w:pPr>
      <w:r w:rsidRPr="003A787D">
        <w:object w:dxaOrig="13950" w:dyaOrig="4860" w14:anchorId="567DBF33">
          <v:shape id="_x0000_i1028" type="#_x0000_t75" style="width:383.6pt;height:133.65pt" o:ole="" o:bordertopcolor="this" o:borderleftcolor="this" o:borderbottomcolor="this" o:borderrightcolor="this">
            <v:imagedata r:id="rId14" o:title=""/>
            <w10:bordertop type="single" width="8"/>
            <w10:borderleft type="single" width="8"/>
            <w10:borderbottom type="single" width="8"/>
            <w10:borderright type="single" width="8"/>
          </v:shape>
          <o:OLEObject Type="Embed" ProgID="Paint.Picture" ShapeID="_x0000_i1028" DrawAspect="Content" ObjectID="_1715173003" r:id="rId15"/>
        </w:object>
      </w:r>
    </w:p>
    <w:p w14:paraId="0D027882" w14:textId="441581FD" w:rsidR="00AC3AA8" w:rsidRPr="003A787D" w:rsidRDefault="00BE7783" w:rsidP="00AC3AA8">
      <w:pPr>
        <w:pStyle w:val="Prrafodelista"/>
        <w:tabs>
          <w:tab w:val="left" w:pos="426"/>
        </w:tabs>
        <w:spacing w:before="240" w:after="240" w:line="360" w:lineRule="auto"/>
        <w:ind w:left="0" w:right="51"/>
        <w:jc w:val="center"/>
      </w:pPr>
      <w:r w:rsidRPr="003A787D">
        <w:object w:dxaOrig="14010" w:dyaOrig="4830" w14:anchorId="5AEA46B9">
          <v:shape id="_x0000_i1029" type="#_x0000_t75" style="width:384.75pt;height:133.05pt" o:ole="" o:bordertopcolor="this" o:borderleftcolor="this" o:borderbottomcolor="this" o:borderrightcolor="this">
            <v:imagedata r:id="rId16" o:title=""/>
            <w10:bordertop type="single" width="8"/>
            <w10:borderleft type="single" width="8"/>
            <w10:borderbottom type="single" width="8"/>
            <w10:borderright type="single" width="8"/>
          </v:shape>
          <o:OLEObject Type="Embed" ProgID="Paint.Picture" ShapeID="_x0000_i1029" DrawAspect="Content" ObjectID="_1715173004" r:id="rId17"/>
        </w:object>
      </w:r>
    </w:p>
    <w:p w14:paraId="33A75F1F" w14:textId="25D78915" w:rsidR="00AC3AA8" w:rsidRPr="003A787D" w:rsidRDefault="004B4561" w:rsidP="00AC3AA8">
      <w:pPr>
        <w:pStyle w:val="Prrafodelista"/>
        <w:tabs>
          <w:tab w:val="left" w:pos="426"/>
        </w:tabs>
        <w:spacing w:before="240" w:after="240" w:line="360" w:lineRule="auto"/>
        <w:ind w:left="0" w:right="51"/>
        <w:jc w:val="center"/>
      </w:pPr>
      <w:r w:rsidRPr="003A787D">
        <w:object w:dxaOrig="18135" w:dyaOrig="4530" w14:anchorId="3B4B8672">
          <v:shape id="_x0000_i1030" type="#_x0000_t75" style="width:390.55pt;height:97.35pt" o:ole="" o:bordertopcolor="this" o:borderleftcolor="this" o:borderbottomcolor="this" o:borderrightcolor="this">
            <v:imagedata r:id="rId18" o:title=""/>
            <w10:bordertop type="single" width="8"/>
            <w10:borderleft type="single" width="8"/>
            <w10:borderbottom type="single" width="8"/>
            <w10:borderright type="single" width="8"/>
          </v:shape>
          <o:OLEObject Type="Embed" ProgID="Paint.Picture" ShapeID="_x0000_i1030" DrawAspect="Content" ObjectID="_1715173005" r:id="rId19"/>
        </w:object>
      </w:r>
    </w:p>
    <w:p w14:paraId="1745AF51" w14:textId="35AD335F" w:rsidR="00BE7783" w:rsidRPr="003A787D" w:rsidRDefault="00BE7783" w:rsidP="00AC3AA8">
      <w:pPr>
        <w:pStyle w:val="Prrafodelista"/>
        <w:tabs>
          <w:tab w:val="left" w:pos="426"/>
        </w:tabs>
        <w:spacing w:before="240" w:after="240" w:line="360" w:lineRule="auto"/>
        <w:ind w:left="0" w:right="51"/>
        <w:jc w:val="center"/>
      </w:pPr>
      <w:r w:rsidRPr="003A787D">
        <w:object w:dxaOrig="18135" w:dyaOrig="5535" w14:anchorId="3A5EEBE5">
          <v:shape id="_x0000_i1031" type="#_x0000_t75" style="width:384.2pt;height:116.35pt" o:ole="" o:bordertopcolor="this" o:borderleftcolor="this" o:borderbottomcolor="this" o:borderrightcolor="this">
            <v:imagedata r:id="rId20" o:title=""/>
            <w10:bordertop type="single" width="8"/>
            <w10:borderleft type="single" width="8"/>
            <w10:borderbottom type="single" width="8"/>
            <w10:borderright type="single" width="8"/>
          </v:shape>
          <o:OLEObject Type="Embed" ProgID="Paint.Picture" ShapeID="_x0000_i1031" DrawAspect="Content" ObjectID="_1715173006" r:id="rId21"/>
        </w:object>
      </w:r>
    </w:p>
    <w:p w14:paraId="5B440CB0" w14:textId="7A2DC681" w:rsidR="00BE7783" w:rsidRPr="003A787D" w:rsidRDefault="00BE7783" w:rsidP="00AC3AA8">
      <w:pPr>
        <w:pStyle w:val="Prrafodelista"/>
        <w:tabs>
          <w:tab w:val="left" w:pos="426"/>
        </w:tabs>
        <w:spacing w:before="240" w:after="240" w:line="360" w:lineRule="auto"/>
        <w:ind w:left="0" w:right="51"/>
        <w:jc w:val="center"/>
      </w:pPr>
      <w:r w:rsidRPr="003A787D">
        <w:object w:dxaOrig="18150" w:dyaOrig="5220" w14:anchorId="1FCB3F98">
          <v:shape id="_x0000_i1032" type="#_x0000_t75" style="width:385.9pt;height:111.15pt" o:ole="" o:bordertopcolor="this" o:borderleftcolor="this" o:borderbottomcolor="this" o:borderrightcolor="this">
            <v:imagedata r:id="rId22" o:title=""/>
            <w10:bordertop type="single" width="8"/>
            <w10:borderleft type="single" width="8"/>
            <w10:borderbottom type="single" width="8"/>
            <w10:borderright type="single" width="8"/>
          </v:shape>
          <o:OLEObject Type="Embed" ProgID="Paint.Picture" ShapeID="_x0000_i1032" DrawAspect="Content" ObjectID="_1715173007" r:id="rId23"/>
        </w:object>
      </w:r>
    </w:p>
    <w:p w14:paraId="7091083B" w14:textId="20B2DDB4" w:rsidR="00BE7783" w:rsidRPr="003A787D" w:rsidRDefault="00BE7783" w:rsidP="00AC3AA8">
      <w:pPr>
        <w:pStyle w:val="Prrafodelista"/>
        <w:tabs>
          <w:tab w:val="left" w:pos="426"/>
        </w:tabs>
        <w:spacing w:before="240" w:after="240" w:line="360" w:lineRule="auto"/>
        <w:ind w:left="0" w:right="51"/>
        <w:jc w:val="center"/>
        <w:rPr>
          <w:rFonts w:ascii="Palatino Linotype" w:hAnsi="Palatino Linotype"/>
          <w:color w:val="000000" w:themeColor="text1"/>
        </w:rPr>
      </w:pPr>
      <w:r w:rsidRPr="003A787D">
        <w:object w:dxaOrig="18165" w:dyaOrig="5445" w14:anchorId="6B088638">
          <v:shape id="_x0000_i1033" type="#_x0000_t75" style="width:379pt;height:114.05pt" o:ole="" o:bordertopcolor="this" o:borderleftcolor="this" o:borderbottomcolor="this" o:borderrightcolor="this">
            <v:imagedata r:id="rId24" o:title=""/>
            <w10:bordertop type="single" width="8"/>
            <w10:borderleft type="single" width="8"/>
            <w10:borderbottom type="single" width="8"/>
            <w10:borderright type="single" width="8"/>
          </v:shape>
          <o:OLEObject Type="Embed" ProgID="Paint.Picture" ShapeID="_x0000_i1033" DrawAspect="Content" ObjectID="_1715173008" r:id="rId25"/>
        </w:object>
      </w:r>
    </w:p>
    <w:p w14:paraId="6C705F2C" w14:textId="77777777" w:rsidR="00AC3AA8" w:rsidRPr="003A787D" w:rsidRDefault="00AC3AA8" w:rsidP="00AC3AA8">
      <w:pPr>
        <w:pStyle w:val="Prrafodelista"/>
        <w:tabs>
          <w:tab w:val="left" w:pos="426"/>
        </w:tabs>
        <w:spacing w:before="240" w:after="240" w:line="360" w:lineRule="auto"/>
        <w:ind w:left="0" w:right="51"/>
        <w:jc w:val="both"/>
        <w:rPr>
          <w:rFonts w:ascii="Palatino Linotype" w:hAnsi="Palatino Linotype"/>
          <w:color w:val="000000" w:themeColor="text1"/>
        </w:rPr>
      </w:pPr>
    </w:p>
    <w:p w14:paraId="38728E35" w14:textId="03C9E0CD" w:rsidR="00AC3AA8" w:rsidRPr="003A787D" w:rsidRDefault="004B4561" w:rsidP="00910076">
      <w:pPr>
        <w:pStyle w:val="Prrafodelista"/>
        <w:numPr>
          <w:ilvl w:val="0"/>
          <w:numId w:val="1"/>
        </w:numPr>
        <w:tabs>
          <w:tab w:val="left" w:pos="426"/>
        </w:tabs>
        <w:spacing w:before="240" w:after="240" w:line="360" w:lineRule="auto"/>
        <w:ind w:right="51"/>
        <w:jc w:val="both"/>
        <w:rPr>
          <w:rFonts w:ascii="Palatino Linotype" w:hAnsi="Palatino Linotype"/>
          <w:color w:val="000000" w:themeColor="text1"/>
        </w:rPr>
      </w:pPr>
      <w:r w:rsidRPr="003A787D">
        <w:rPr>
          <w:rFonts w:ascii="Palatino Linotype" w:hAnsi="Palatino Linotype"/>
          <w:color w:val="000000" w:themeColor="text1"/>
        </w:rPr>
        <w:t xml:space="preserve">Así las cosas, y del análisis realizado al contenido de los oficios e instrumentos presentados por el </w:t>
      </w:r>
      <w:r w:rsidRPr="003A787D">
        <w:rPr>
          <w:rFonts w:ascii="Palatino Linotype" w:hAnsi="Palatino Linotype"/>
          <w:b/>
          <w:color w:val="000000" w:themeColor="text1"/>
        </w:rPr>
        <w:t>SUJETO OBLIGADO</w:t>
      </w:r>
      <w:r w:rsidRPr="003A787D">
        <w:rPr>
          <w:rFonts w:ascii="Palatino Linotype" w:hAnsi="Palatino Linotype"/>
          <w:color w:val="000000" w:themeColor="text1"/>
        </w:rPr>
        <w:t xml:space="preserve"> en respuesta a la solicitud de información </w:t>
      </w:r>
      <w:r w:rsidRPr="003A787D">
        <w:rPr>
          <w:rFonts w:ascii="Palatino Linotype" w:hAnsi="Palatino Linotype"/>
          <w:b/>
          <w:color w:val="000000" w:themeColor="text1"/>
        </w:rPr>
        <w:t>00002/DIFTENANCIN/IP/2022</w:t>
      </w:r>
      <w:r w:rsidRPr="003A787D">
        <w:rPr>
          <w:rFonts w:ascii="Palatino Linotype" w:hAnsi="Palatino Linotype"/>
          <w:color w:val="000000" w:themeColor="text1"/>
        </w:rPr>
        <w:t>, podemos identificar los siguientes elementos esenciales:</w:t>
      </w:r>
    </w:p>
    <w:p w14:paraId="7ED2747B" w14:textId="4B6AA6E5" w:rsidR="004B4561" w:rsidRPr="003A787D" w:rsidRDefault="004B4561" w:rsidP="004B4561">
      <w:pPr>
        <w:pStyle w:val="Prrafodelista"/>
        <w:numPr>
          <w:ilvl w:val="1"/>
          <w:numId w:val="1"/>
        </w:numPr>
        <w:tabs>
          <w:tab w:val="left" w:pos="426"/>
        </w:tabs>
        <w:spacing w:before="240" w:after="240" w:line="360" w:lineRule="auto"/>
        <w:ind w:left="1134" w:right="51"/>
        <w:jc w:val="both"/>
        <w:rPr>
          <w:rFonts w:ascii="Palatino Linotype" w:hAnsi="Palatino Linotype"/>
          <w:color w:val="000000" w:themeColor="text1"/>
        </w:rPr>
      </w:pPr>
      <w:r w:rsidRPr="003A787D">
        <w:rPr>
          <w:rFonts w:ascii="Palatino Linotype" w:hAnsi="Palatino Linotype"/>
          <w:color w:val="000000" w:themeColor="text1"/>
        </w:rPr>
        <w:t xml:space="preserve">El </w:t>
      </w:r>
      <w:r w:rsidRPr="003A787D">
        <w:rPr>
          <w:rFonts w:ascii="Palatino Linotype" w:hAnsi="Palatino Linotype"/>
          <w:b/>
          <w:color w:val="000000" w:themeColor="text1"/>
        </w:rPr>
        <w:t>SUJETO OBLIGADO</w:t>
      </w:r>
      <w:r w:rsidRPr="003A787D">
        <w:rPr>
          <w:rFonts w:ascii="Palatino Linotype" w:hAnsi="Palatino Linotype"/>
          <w:color w:val="000000" w:themeColor="text1"/>
        </w:rPr>
        <w:t xml:space="preserve"> informó al particular que no estaba obligado al pago de impuestos relacionados con el IMSS o INFONAVIT, por lo tanto, no genera, posee o administra información al respecto;</w:t>
      </w:r>
    </w:p>
    <w:p w14:paraId="6ACB8D44" w14:textId="0E7FA6D2" w:rsidR="004B4561" w:rsidRPr="003A787D" w:rsidRDefault="004B4561" w:rsidP="004B4561">
      <w:pPr>
        <w:pStyle w:val="Prrafodelista"/>
        <w:numPr>
          <w:ilvl w:val="1"/>
          <w:numId w:val="1"/>
        </w:numPr>
        <w:tabs>
          <w:tab w:val="left" w:pos="426"/>
        </w:tabs>
        <w:spacing w:before="240" w:after="240" w:line="360" w:lineRule="auto"/>
        <w:ind w:left="1134" w:right="51"/>
        <w:jc w:val="both"/>
        <w:rPr>
          <w:rFonts w:ascii="Palatino Linotype" w:hAnsi="Palatino Linotype"/>
          <w:color w:val="000000" w:themeColor="text1"/>
        </w:rPr>
      </w:pPr>
      <w:r w:rsidRPr="003A787D">
        <w:rPr>
          <w:rFonts w:ascii="Palatino Linotype" w:hAnsi="Palatino Linotype"/>
          <w:color w:val="000000" w:themeColor="text1"/>
        </w:rPr>
        <w:t>Se entregó la opinión de cumplimiento de obligaciones fiscales, emitida por el Servicio de Administración Tributaria el quince (15) de febrero de dos mil veintidós, en sentido negativo;</w:t>
      </w:r>
    </w:p>
    <w:p w14:paraId="1DF749D7" w14:textId="77777777" w:rsidR="004B4561" w:rsidRPr="003A787D" w:rsidRDefault="004B4561" w:rsidP="004B4561">
      <w:pPr>
        <w:pStyle w:val="Prrafodelista"/>
        <w:numPr>
          <w:ilvl w:val="1"/>
          <w:numId w:val="1"/>
        </w:numPr>
        <w:tabs>
          <w:tab w:val="left" w:pos="426"/>
        </w:tabs>
        <w:spacing w:before="240" w:after="240" w:line="360" w:lineRule="auto"/>
        <w:ind w:left="1134" w:right="51"/>
        <w:jc w:val="both"/>
        <w:rPr>
          <w:rFonts w:ascii="Palatino Linotype" w:hAnsi="Palatino Linotype"/>
          <w:color w:val="000000" w:themeColor="text1"/>
        </w:rPr>
      </w:pPr>
      <w:r w:rsidRPr="003A787D">
        <w:rPr>
          <w:rFonts w:ascii="Palatino Linotype" w:hAnsi="Palatino Linotype"/>
          <w:color w:val="000000" w:themeColor="text1"/>
        </w:rPr>
        <w:t>Se entregó la información de los pagos y retenciones por sueldos y salarios, capturada en el portal del SAT, de los ejercicios fiscales requeridos en la solicitud primigenia, en sus modalidades de ‘Vista anual acumulada’ y ‘Detalle mensual’; y</w:t>
      </w:r>
    </w:p>
    <w:p w14:paraId="11BE765C" w14:textId="43D02FB9" w:rsidR="004B4561" w:rsidRPr="003A787D" w:rsidRDefault="004B4561" w:rsidP="004B4561">
      <w:pPr>
        <w:pStyle w:val="Prrafodelista"/>
        <w:numPr>
          <w:ilvl w:val="1"/>
          <w:numId w:val="1"/>
        </w:numPr>
        <w:tabs>
          <w:tab w:val="left" w:pos="426"/>
        </w:tabs>
        <w:spacing w:before="240" w:after="240" w:line="360" w:lineRule="auto"/>
        <w:ind w:left="1134" w:right="51"/>
        <w:jc w:val="both"/>
        <w:rPr>
          <w:rFonts w:ascii="Palatino Linotype" w:hAnsi="Palatino Linotype"/>
          <w:color w:val="000000" w:themeColor="text1"/>
        </w:rPr>
      </w:pPr>
      <w:r w:rsidRPr="003A787D">
        <w:rPr>
          <w:rFonts w:ascii="Palatino Linotype" w:hAnsi="Palatino Linotype"/>
          <w:color w:val="000000" w:themeColor="text1"/>
        </w:rPr>
        <w:t xml:space="preserve">El </w:t>
      </w:r>
      <w:r w:rsidRPr="003A787D">
        <w:rPr>
          <w:rFonts w:ascii="Palatino Linotype" w:hAnsi="Palatino Linotype"/>
          <w:b/>
          <w:bCs/>
          <w:color w:val="000000" w:themeColor="text1"/>
        </w:rPr>
        <w:t>SUJETO OBLIGADO</w:t>
      </w:r>
      <w:r w:rsidRPr="003A787D">
        <w:rPr>
          <w:rFonts w:ascii="Palatino Linotype" w:hAnsi="Palatino Linotype"/>
          <w:color w:val="000000" w:themeColor="text1"/>
        </w:rPr>
        <w:t xml:space="preserve"> se declaró incompetente para contar con una constancia del ISR devuelto por el SAT, y orientó al particular a dirigir su solicitud al Ayuntamiento de Tenancingo.</w:t>
      </w:r>
    </w:p>
    <w:p w14:paraId="010EBF9B" w14:textId="77777777" w:rsidR="00AC3AA8" w:rsidRPr="003A787D" w:rsidRDefault="00AC3AA8" w:rsidP="00AC3AA8">
      <w:pPr>
        <w:pStyle w:val="Prrafodelista"/>
        <w:tabs>
          <w:tab w:val="left" w:pos="426"/>
        </w:tabs>
        <w:spacing w:before="240" w:after="240" w:line="360" w:lineRule="auto"/>
        <w:ind w:left="0" w:right="51"/>
        <w:jc w:val="both"/>
        <w:rPr>
          <w:rFonts w:ascii="Palatino Linotype" w:hAnsi="Palatino Linotype"/>
          <w:color w:val="000000" w:themeColor="text1"/>
        </w:rPr>
      </w:pPr>
    </w:p>
    <w:p w14:paraId="65CF587E" w14:textId="0FB4F3A4" w:rsidR="00565210" w:rsidRPr="003A787D" w:rsidRDefault="00AC3AA8" w:rsidP="00910076">
      <w:pPr>
        <w:pStyle w:val="Prrafodelista"/>
        <w:numPr>
          <w:ilvl w:val="0"/>
          <w:numId w:val="1"/>
        </w:numPr>
        <w:tabs>
          <w:tab w:val="left" w:pos="426"/>
        </w:tabs>
        <w:spacing w:before="240" w:after="240" w:line="360" w:lineRule="auto"/>
        <w:ind w:right="51"/>
        <w:jc w:val="both"/>
        <w:rPr>
          <w:rFonts w:ascii="Palatino Linotype" w:hAnsi="Palatino Linotype"/>
          <w:color w:val="000000" w:themeColor="text1"/>
        </w:rPr>
      </w:pPr>
      <w:r w:rsidRPr="003A787D">
        <w:rPr>
          <w:rFonts w:ascii="Palatino Linotype" w:hAnsi="Palatino Linotype"/>
          <w:color w:val="000000" w:themeColor="text1"/>
        </w:rPr>
        <w:lastRenderedPageBreak/>
        <w:t>E</w:t>
      </w:r>
      <w:r w:rsidR="006B0170" w:rsidRPr="003A787D">
        <w:rPr>
          <w:rFonts w:ascii="Palatino Linotype" w:hAnsi="Palatino Linotype"/>
          <w:color w:val="000000" w:themeColor="text1"/>
        </w:rPr>
        <w:t>l</w:t>
      </w:r>
      <w:r w:rsidR="00565210" w:rsidRPr="003A787D">
        <w:rPr>
          <w:rFonts w:ascii="Palatino Linotype" w:hAnsi="Palatino Linotype"/>
          <w:color w:val="000000" w:themeColor="text1"/>
        </w:rPr>
        <w:t xml:space="preserve"> </w:t>
      </w:r>
      <w:r w:rsidR="00565210" w:rsidRPr="003A787D">
        <w:rPr>
          <w:rFonts w:ascii="Palatino Linotype" w:hAnsi="Palatino Linotype"/>
          <w:b/>
          <w:color w:val="000000" w:themeColor="text1"/>
        </w:rPr>
        <w:t>RECURRENTE</w:t>
      </w:r>
      <w:r w:rsidR="00565210" w:rsidRPr="003A787D">
        <w:rPr>
          <w:rFonts w:ascii="Palatino Linotype" w:hAnsi="Palatino Linotype"/>
          <w:color w:val="000000" w:themeColor="text1"/>
        </w:rPr>
        <w:t xml:space="preserve"> impugnó la respuesta del </w:t>
      </w:r>
      <w:r w:rsidR="00565210" w:rsidRPr="003A787D">
        <w:rPr>
          <w:rFonts w:ascii="Palatino Linotype" w:hAnsi="Palatino Linotype"/>
          <w:b/>
          <w:color w:val="000000" w:themeColor="text1"/>
        </w:rPr>
        <w:t>SUJETO OBLIGADO</w:t>
      </w:r>
      <w:r w:rsidR="00565210" w:rsidRPr="003A787D">
        <w:rPr>
          <w:rFonts w:ascii="Palatino Linotype" w:hAnsi="Palatino Linotype"/>
          <w:color w:val="000000" w:themeColor="text1"/>
        </w:rPr>
        <w:t xml:space="preserve"> mediante el recurso de revisión </w:t>
      </w:r>
      <w:r w:rsidR="005A179D" w:rsidRPr="003A787D">
        <w:rPr>
          <w:rFonts w:ascii="Palatino Linotype" w:hAnsi="Palatino Linotype"/>
          <w:b/>
          <w:color w:val="000000" w:themeColor="text1"/>
        </w:rPr>
        <w:t>00978/INFOEM/IP/RR/2022</w:t>
      </w:r>
      <w:r w:rsidR="006B0170" w:rsidRPr="003A787D">
        <w:rPr>
          <w:rFonts w:ascii="Palatino Linotype" w:hAnsi="Palatino Linotype"/>
          <w:color w:val="000000" w:themeColor="text1"/>
        </w:rPr>
        <w:t>, y en el que señaló por agravios</w:t>
      </w:r>
      <w:r w:rsidR="006B6ECB" w:rsidRPr="003A787D">
        <w:rPr>
          <w:rFonts w:ascii="Palatino Linotype" w:hAnsi="Palatino Linotype"/>
          <w:color w:val="000000" w:themeColor="text1"/>
        </w:rPr>
        <w:t xml:space="preserve">, </w:t>
      </w:r>
      <w:r w:rsidR="000117A3" w:rsidRPr="003A787D">
        <w:rPr>
          <w:rFonts w:ascii="Palatino Linotype" w:hAnsi="Palatino Linotype"/>
          <w:color w:val="000000" w:themeColor="text1"/>
        </w:rPr>
        <w:t>esencialmente</w:t>
      </w:r>
      <w:r w:rsidR="006B6ECB" w:rsidRPr="003A787D">
        <w:rPr>
          <w:rFonts w:ascii="Palatino Linotype" w:hAnsi="Palatino Linotype"/>
          <w:color w:val="000000" w:themeColor="text1"/>
        </w:rPr>
        <w:t>,</w:t>
      </w:r>
      <w:r w:rsidR="006B0170" w:rsidRPr="003A787D">
        <w:rPr>
          <w:rFonts w:ascii="Palatino Linotype" w:hAnsi="Palatino Linotype"/>
          <w:color w:val="000000" w:themeColor="text1"/>
        </w:rPr>
        <w:t xml:space="preserve"> lo siguiente:</w:t>
      </w:r>
    </w:p>
    <w:p w14:paraId="310FC954" w14:textId="77777777" w:rsidR="005A6447" w:rsidRPr="003A787D" w:rsidRDefault="006B0170" w:rsidP="005A6447">
      <w:pPr>
        <w:pStyle w:val="Prrafodelista"/>
        <w:numPr>
          <w:ilvl w:val="1"/>
          <w:numId w:val="1"/>
        </w:numPr>
        <w:tabs>
          <w:tab w:val="left" w:pos="426"/>
        </w:tabs>
        <w:spacing w:before="240" w:after="240" w:line="360" w:lineRule="auto"/>
        <w:ind w:left="1134" w:right="51"/>
        <w:jc w:val="both"/>
        <w:rPr>
          <w:rFonts w:ascii="Palatino Linotype" w:hAnsi="Palatino Linotype"/>
          <w:color w:val="000000" w:themeColor="text1"/>
        </w:rPr>
      </w:pPr>
      <w:r w:rsidRPr="003A787D">
        <w:rPr>
          <w:rFonts w:ascii="Palatino Linotype" w:hAnsi="Palatino Linotype"/>
          <w:color w:val="000000" w:themeColor="text1"/>
        </w:rPr>
        <w:t>Que</w:t>
      </w:r>
      <w:r w:rsidR="005A6447" w:rsidRPr="003A787D">
        <w:rPr>
          <w:rFonts w:ascii="Palatino Linotype" w:hAnsi="Palatino Linotype"/>
          <w:color w:val="000000" w:themeColor="text1"/>
        </w:rPr>
        <w:t xml:space="preserve"> se</w:t>
      </w:r>
      <w:r w:rsidRPr="003A787D">
        <w:rPr>
          <w:rFonts w:ascii="Palatino Linotype" w:hAnsi="Palatino Linotype"/>
          <w:color w:val="000000" w:themeColor="text1"/>
        </w:rPr>
        <w:t xml:space="preserve"> </w:t>
      </w:r>
      <w:r w:rsidR="005A6447" w:rsidRPr="003A787D">
        <w:rPr>
          <w:rFonts w:ascii="Palatino Linotype" w:hAnsi="Palatino Linotype" w:cs="Arial"/>
          <w:color w:val="000000" w:themeColor="text1"/>
        </w:rPr>
        <w:t xml:space="preserve">actualizaba la causal de procedencia del recurso establecida en el artículo 179, fracción V, de la Ley de Transparencia y Acceso a la Información Pública del Estado de México y Municipios; </w:t>
      </w:r>
    </w:p>
    <w:p w14:paraId="0D9CAD52" w14:textId="4F71CD51" w:rsidR="00AE0699" w:rsidRPr="003A787D" w:rsidRDefault="005A6447" w:rsidP="005A6447">
      <w:pPr>
        <w:pStyle w:val="Prrafodelista"/>
        <w:numPr>
          <w:ilvl w:val="1"/>
          <w:numId w:val="1"/>
        </w:numPr>
        <w:tabs>
          <w:tab w:val="left" w:pos="426"/>
        </w:tabs>
        <w:spacing w:before="240" w:after="240" w:line="360" w:lineRule="auto"/>
        <w:ind w:left="1134" w:right="51"/>
        <w:jc w:val="both"/>
        <w:rPr>
          <w:rFonts w:ascii="Palatino Linotype" w:hAnsi="Palatino Linotype"/>
          <w:color w:val="000000" w:themeColor="text1"/>
        </w:rPr>
      </w:pPr>
      <w:r w:rsidRPr="003A787D">
        <w:rPr>
          <w:rFonts w:ascii="Palatino Linotype" w:hAnsi="Palatino Linotype" w:cs="Arial"/>
          <w:color w:val="000000" w:themeColor="text1"/>
        </w:rPr>
        <w:t>Que el Sistema Municipal para el Desarrollo Integral de la Familia de Tenancingo sí tenía competencia para poseer, generar y administrar los reportes relacionados con el ‘Visor de nómina’ del SAT; y</w:t>
      </w:r>
    </w:p>
    <w:p w14:paraId="5BDE8879" w14:textId="17D8997C" w:rsidR="005A6447" w:rsidRPr="003A787D" w:rsidRDefault="005A6447" w:rsidP="005A6447">
      <w:pPr>
        <w:pStyle w:val="Prrafodelista"/>
        <w:numPr>
          <w:ilvl w:val="1"/>
          <w:numId w:val="1"/>
        </w:numPr>
        <w:tabs>
          <w:tab w:val="left" w:pos="426"/>
        </w:tabs>
        <w:spacing w:before="240" w:after="240" w:line="360" w:lineRule="auto"/>
        <w:ind w:left="1134" w:right="51"/>
        <w:jc w:val="both"/>
        <w:rPr>
          <w:rFonts w:ascii="Palatino Linotype" w:hAnsi="Palatino Linotype"/>
          <w:color w:val="000000" w:themeColor="text1"/>
        </w:rPr>
      </w:pPr>
      <w:r w:rsidRPr="003A787D">
        <w:rPr>
          <w:rFonts w:ascii="Palatino Linotype" w:hAnsi="Palatino Linotype" w:cs="Arial"/>
          <w:color w:val="000000" w:themeColor="text1"/>
        </w:rPr>
        <w:t xml:space="preserve">Que la información solicitada en los puntos V y VI de la solicitud primigenia sólo era una sugerencia para </w:t>
      </w:r>
      <w:proofErr w:type="spellStart"/>
      <w:r w:rsidRPr="003A787D">
        <w:rPr>
          <w:rFonts w:ascii="Palatino Linotype" w:hAnsi="Palatino Linotype" w:cs="Arial"/>
          <w:i/>
          <w:iCs/>
          <w:color w:val="000000" w:themeColor="text1"/>
        </w:rPr>
        <w:t>eficientar</w:t>
      </w:r>
      <w:proofErr w:type="spellEnd"/>
      <w:r w:rsidRPr="003A787D">
        <w:rPr>
          <w:rFonts w:ascii="Palatino Linotype" w:hAnsi="Palatino Linotype" w:cs="Arial"/>
          <w:color w:val="000000" w:themeColor="text1"/>
        </w:rPr>
        <w:t xml:space="preserve"> y mejorar las actividades y organizar la información del </w:t>
      </w:r>
      <w:r w:rsidRPr="003A787D">
        <w:rPr>
          <w:rFonts w:ascii="Palatino Linotype" w:hAnsi="Palatino Linotype" w:cs="Arial"/>
          <w:b/>
          <w:bCs/>
          <w:color w:val="000000" w:themeColor="text1"/>
        </w:rPr>
        <w:t>SUJETO OBLIGADO</w:t>
      </w:r>
      <w:r w:rsidRPr="003A787D">
        <w:rPr>
          <w:rFonts w:ascii="Palatino Linotype" w:hAnsi="Palatino Linotype" w:cs="Arial"/>
          <w:color w:val="000000" w:themeColor="text1"/>
        </w:rPr>
        <w:t>.</w:t>
      </w:r>
    </w:p>
    <w:p w14:paraId="2D6F8427" w14:textId="77777777" w:rsidR="005A6447" w:rsidRPr="003A787D" w:rsidRDefault="005A6447" w:rsidP="005A6447">
      <w:pPr>
        <w:pStyle w:val="Prrafodelista"/>
        <w:tabs>
          <w:tab w:val="left" w:pos="426"/>
        </w:tabs>
        <w:spacing w:before="240" w:after="240" w:line="360" w:lineRule="auto"/>
        <w:ind w:left="0" w:right="51"/>
        <w:jc w:val="both"/>
        <w:rPr>
          <w:rFonts w:ascii="Palatino Linotype" w:hAnsi="Palatino Linotype"/>
          <w:color w:val="000000" w:themeColor="text1"/>
        </w:rPr>
      </w:pPr>
    </w:p>
    <w:p w14:paraId="12644FFE" w14:textId="7CE2A962" w:rsidR="00D83B2A" w:rsidRPr="003A787D" w:rsidRDefault="00D83B2A" w:rsidP="009D3804">
      <w:pPr>
        <w:pStyle w:val="Prrafodelista"/>
        <w:numPr>
          <w:ilvl w:val="0"/>
          <w:numId w:val="1"/>
        </w:numPr>
        <w:tabs>
          <w:tab w:val="left" w:pos="426"/>
        </w:tabs>
        <w:spacing w:before="240" w:after="240" w:line="360" w:lineRule="auto"/>
        <w:ind w:right="51"/>
        <w:jc w:val="both"/>
        <w:rPr>
          <w:rFonts w:ascii="Palatino Linotype" w:hAnsi="Palatino Linotype"/>
          <w:color w:val="000000" w:themeColor="text1"/>
        </w:rPr>
      </w:pPr>
      <w:r w:rsidRPr="003A787D">
        <w:rPr>
          <w:rFonts w:ascii="Palatino Linotype" w:hAnsi="Palatino Linotype"/>
          <w:color w:val="000000" w:themeColor="text1"/>
        </w:rPr>
        <w:t xml:space="preserve">Posteriormente, en vía de informe justificado, </w:t>
      </w:r>
      <w:r w:rsidR="000117A3" w:rsidRPr="003A787D">
        <w:rPr>
          <w:rFonts w:ascii="Palatino Linotype" w:hAnsi="Palatino Linotype"/>
          <w:color w:val="000000" w:themeColor="text1"/>
        </w:rPr>
        <w:t xml:space="preserve">mediante el oficio </w:t>
      </w:r>
      <w:r w:rsidR="005A6447" w:rsidRPr="003A787D">
        <w:rPr>
          <w:rFonts w:ascii="Palatino Linotype" w:hAnsi="Palatino Linotype"/>
          <w:color w:val="000000" w:themeColor="text1"/>
        </w:rPr>
        <w:t>SMDIF3058/A00305/024/2022, de siete (07) de marzo de dos mil veintidós</w:t>
      </w:r>
      <w:r w:rsidR="000117A3" w:rsidRPr="003A787D">
        <w:rPr>
          <w:rFonts w:ascii="Palatino Linotype" w:hAnsi="Palatino Linotype"/>
          <w:color w:val="000000" w:themeColor="text1"/>
        </w:rPr>
        <w:t xml:space="preserve">, </w:t>
      </w:r>
      <w:r w:rsidR="005A6447" w:rsidRPr="003A787D">
        <w:rPr>
          <w:rFonts w:ascii="Palatino Linotype" w:hAnsi="Palatino Linotype"/>
          <w:color w:val="000000" w:themeColor="text1"/>
        </w:rPr>
        <w:t xml:space="preserve">el Titular de la Unidad de Transparencia del </w:t>
      </w:r>
      <w:r w:rsidR="005A6447" w:rsidRPr="003A787D">
        <w:rPr>
          <w:rFonts w:ascii="Palatino Linotype" w:hAnsi="Palatino Linotype"/>
          <w:b/>
          <w:bCs/>
          <w:color w:val="000000" w:themeColor="text1"/>
        </w:rPr>
        <w:t>SUJETO OBLIGADO</w:t>
      </w:r>
      <w:r w:rsidR="005A6447" w:rsidRPr="003A787D">
        <w:rPr>
          <w:rFonts w:ascii="Palatino Linotype" w:hAnsi="Palatino Linotype"/>
          <w:color w:val="000000" w:themeColor="text1"/>
        </w:rPr>
        <w:t xml:space="preserve"> </w:t>
      </w:r>
      <w:r w:rsidR="009B5DE8" w:rsidRPr="003A787D">
        <w:rPr>
          <w:rFonts w:ascii="Palatino Linotype" w:hAnsi="Palatino Linotype"/>
          <w:color w:val="000000" w:themeColor="text1"/>
        </w:rPr>
        <w:t>presentó un total de nueve archivos electrónicos para robustecer su respuesta.</w:t>
      </w:r>
    </w:p>
    <w:p w14:paraId="1E8905AC" w14:textId="77777777" w:rsidR="009B5DE8" w:rsidRPr="003A787D" w:rsidRDefault="009B5DE8" w:rsidP="009B5DE8">
      <w:pPr>
        <w:pStyle w:val="Prrafodelista"/>
        <w:tabs>
          <w:tab w:val="left" w:pos="426"/>
        </w:tabs>
        <w:spacing w:before="240" w:after="240" w:line="360" w:lineRule="auto"/>
        <w:ind w:left="0" w:right="51"/>
        <w:jc w:val="both"/>
        <w:rPr>
          <w:rFonts w:ascii="Palatino Linotype" w:hAnsi="Palatino Linotype"/>
          <w:color w:val="000000" w:themeColor="text1"/>
        </w:rPr>
      </w:pPr>
    </w:p>
    <w:p w14:paraId="0BF74A94" w14:textId="561FDFFC" w:rsidR="009B5DE8" w:rsidRPr="003A787D" w:rsidRDefault="009B5DE8" w:rsidP="009B5DE8">
      <w:pPr>
        <w:pStyle w:val="Prrafodelista"/>
        <w:numPr>
          <w:ilvl w:val="0"/>
          <w:numId w:val="1"/>
        </w:numPr>
        <w:tabs>
          <w:tab w:val="left" w:pos="426"/>
        </w:tabs>
        <w:spacing w:before="240" w:after="240" w:line="360" w:lineRule="auto"/>
        <w:ind w:right="51"/>
        <w:jc w:val="both"/>
        <w:rPr>
          <w:rFonts w:ascii="Palatino Linotype" w:hAnsi="Palatino Linotype"/>
          <w:color w:val="000000" w:themeColor="text1"/>
        </w:rPr>
      </w:pPr>
      <w:r w:rsidRPr="003A787D">
        <w:rPr>
          <w:rFonts w:ascii="Palatino Linotype" w:hAnsi="Palatino Linotype"/>
          <w:color w:val="000000" w:themeColor="text1"/>
        </w:rPr>
        <w:t xml:space="preserve">Por cuanto hace a los archivos titulados </w:t>
      </w:r>
      <w:r w:rsidRPr="003A787D">
        <w:rPr>
          <w:rFonts w:ascii="Palatino Linotype" w:hAnsi="Palatino Linotype"/>
          <w:b/>
          <w:bCs/>
          <w:i/>
          <w:iCs/>
          <w:color w:val="000000" w:themeColor="text1"/>
          <w:sz w:val="22"/>
          <w:szCs w:val="22"/>
        </w:rPr>
        <w:t>“DetalleAnual.SDI910101QX8.2018.pdf”, “DetalleAnual.SDI910101QX8.2019.pdf”, “DetalleAnual.SDI910101QX8.2020.pdf”, “DetalleAnual.SDI910101QX8.2021.pdf”, “DetalleMensual.SDI910101QX8..2018(2).</w:t>
      </w:r>
      <w:proofErr w:type="spellStart"/>
      <w:r w:rsidRPr="003A787D">
        <w:rPr>
          <w:rFonts w:ascii="Palatino Linotype" w:hAnsi="Palatino Linotype"/>
          <w:b/>
          <w:bCs/>
          <w:i/>
          <w:iCs/>
          <w:color w:val="000000" w:themeColor="text1"/>
          <w:sz w:val="22"/>
          <w:szCs w:val="22"/>
        </w:rPr>
        <w:t>pdf</w:t>
      </w:r>
      <w:proofErr w:type="spellEnd"/>
      <w:r w:rsidRPr="003A787D">
        <w:rPr>
          <w:rFonts w:ascii="Palatino Linotype" w:hAnsi="Palatino Linotype"/>
          <w:b/>
          <w:bCs/>
          <w:i/>
          <w:iCs/>
          <w:color w:val="000000" w:themeColor="text1"/>
          <w:sz w:val="22"/>
          <w:szCs w:val="22"/>
        </w:rPr>
        <w:t>”, “DetalleMensual.SDI910101QX8.SDI910101QX8.2019.pdf”, “DetalleMensual.SDI910101QX8..2020.pdf”</w:t>
      </w:r>
      <w:r w:rsidRPr="003A787D">
        <w:rPr>
          <w:rFonts w:ascii="Palatino Linotype" w:hAnsi="Palatino Linotype"/>
          <w:i/>
          <w:iCs/>
          <w:color w:val="000000" w:themeColor="text1"/>
          <w:sz w:val="22"/>
          <w:szCs w:val="22"/>
        </w:rPr>
        <w:t xml:space="preserve"> </w:t>
      </w:r>
      <w:r w:rsidRPr="003A787D">
        <w:rPr>
          <w:rFonts w:ascii="Palatino Linotype" w:hAnsi="Palatino Linotype"/>
          <w:color w:val="000000" w:themeColor="text1"/>
          <w:sz w:val="22"/>
          <w:szCs w:val="22"/>
        </w:rPr>
        <w:t xml:space="preserve">y </w:t>
      </w:r>
      <w:r w:rsidRPr="003A787D">
        <w:rPr>
          <w:rFonts w:ascii="Palatino Linotype" w:hAnsi="Palatino Linotype"/>
          <w:b/>
          <w:bCs/>
          <w:i/>
          <w:iCs/>
          <w:color w:val="000000" w:themeColor="text1"/>
          <w:sz w:val="22"/>
          <w:szCs w:val="22"/>
        </w:rPr>
        <w:t>“DetalleMensual.SDI910101QX8..2021(1).</w:t>
      </w:r>
      <w:proofErr w:type="spellStart"/>
      <w:r w:rsidRPr="003A787D">
        <w:rPr>
          <w:rFonts w:ascii="Palatino Linotype" w:hAnsi="Palatino Linotype"/>
          <w:b/>
          <w:bCs/>
          <w:i/>
          <w:iCs/>
          <w:color w:val="000000" w:themeColor="text1"/>
          <w:sz w:val="22"/>
          <w:szCs w:val="22"/>
        </w:rPr>
        <w:t>pdf</w:t>
      </w:r>
      <w:proofErr w:type="spellEnd"/>
      <w:r w:rsidRPr="003A787D">
        <w:rPr>
          <w:rFonts w:ascii="Palatino Linotype" w:hAnsi="Palatino Linotype"/>
          <w:b/>
          <w:bCs/>
          <w:i/>
          <w:iCs/>
          <w:color w:val="000000" w:themeColor="text1"/>
          <w:sz w:val="22"/>
          <w:szCs w:val="22"/>
        </w:rPr>
        <w:t>”</w:t>
      </w:r>
      <w:r w:rsidRPr="003A787D">
        <w:rPr>
          <w:rFonts w:ascii="Palatino Linotype" w:hAnsi="Palatino Linotype"/>
          <w:color w:val="000000" w:themeColor="text1"/>
        </w:rPr>
        <w:t xml:space="preserve">, éstos consisten en </w:t>
      </w:r>
      <w:r w:rsidR="00742B1A" w:rsidRPr="003A787D">
        <w:rPr>
          <w:rFonts w:ascii="Palatino Linotype" w:hAnsi="Palatino Linotype"/>
          <w:color w:val="000000" w:themeColor="text1"/>
        </w:rPr>
        <w:t>los visores de</w:t>
      </w:r>
      <w:r w:rsidRPr="003A787D">
        <w:rPr>
          <w:rFonts w:ascii="Palatino Linotype" w:hAnsi="Palatino Linotype"/>
          <w:color w:val="000000" w:themeColor="text1"/>
        </w:rPr>
        <w:t xml:space="preserve"> pagos y retenciones por sueldos y salarios, capturad</w:t>
      </w:r>
      <w:r w:rsidR="00742B1A" w:rsidRPr="003A787D">
        <w:rPr>
          <w:rFonts w:ascii="Palatino Linotype" w:hAnsi="Palatino Linotype"/>
          <w:color w:val="000000" w:themeColor="text1"/>
        </w:rPr>
        <w:t>os</w:t>
      </w:r>
      <w:r w:rsidRPr="003A787D">
        <w:rPr>
          <w:rFonts w:ascii="Palatino Linotype" w:hAnsi="Palatino Linotype"/>
          <w:color w:val="000000" w:themeColor="text1"/>
        </w:rPr>
        <w:t xml:space="preserve"> en el portal del SAT, en sus </w:t>
      </w:r>
      <w:r w:rsidRPr="003A787D">
        <w:rPr>
          <w:rFonts w:ascii="Palatino Linotype" w:hAnsi="Palatino Linotype"/>
          <w:color w:val="000000" w:themeColor="text1"/>
        </w:rPr>
        <w:lastRenderedPageBreak/>
        <w:t>modalidades de ‘Vista anual acumulada’ y ‘Detalle mensual’</w:t>
      </w:r>
      <w:r w:rsidR="00742B1A" w:rsidRPr="003A787D">
        <w:rPr>
          <w:rFonts w:ascii="Palatino Linotype" w:hAnsi="Palatino Linotype"/>
          <w:color w:val="000000" w:themeColor="text1"/>
        </w:rPr>
        <w:t xml:space="preserve">, de los ejercicios dos mil dieciocho al dos mil veintiuno, previamente presentados al </w:t>
      </w:r>
      <w:r w:rsidR="00742B1A" w:rsidRPr="003A787D">
        <w:rPr>
          <w:rFonts w:ascii="Palatino Linotype" w:hAnsi="Palatino Linotype"/>
          <w:b/>
          <w:bCs/>
          <w:color w:val="000000" w:themeColor="text1"/>
        </w:rPr>
        <w:t>RECURRENTE</w:t>
      </w:r>
      <w:r w:rsidR="00742B1A" w:rsidRPr="003A787D">
        <w:rPr>
          <w:rFonts w:ascii="Palatino Linotype" w:hAnsi="Palatino Linotype"/>
          <w:color w:val="000000" w:themeColor="text1"/>
        </w:rPr>
        <w:t xml:space="preserve"> en la respuesta a su solicitud.</w:t>
      </w:r>
    </w:p>
    <w:p w14:paraId="68EBC32E" w14:textId="77777777" w:rsidR="009B5DE8" w:rsidRPr="003A787D" w:rsidRDefault="009B5DE8" w:rsidP="009B5DE8">
      <w:pPr>
        <w:pStyle w:val="Prrafodelista"/>
        <w:tabs>
          <w:tab w:val="left" w:pos="426"/>
        </w:tabs>
        <w:spacing w:before="240" w:after="240" w:line="360" w:lineRule="auto"/>
        <w:ind w:left="0" w:right="51"/>
        <w:jc w:val="both"/>
        <w:rPr>
          <w:rFonts w:ascii="Palatino Linotype" w:hAnsi="Palatino Linotype"/>
          <w:color w:val="000000" w:themeColor="text1"/>
        </w:rPr>
      </w:pPr>
    </w:p>
    <w:p w14:paraId="24A342DF" w14:textId="2DC8D748" w:rsidR="009B5DE8" w:rsidRPr="003A787D" w:rsidRDefault="00742B1A" w:rsidP="009B5DE8">
      <w:pPr>
        <w:pStyle w:val="Prrafodelista"/>
        <w:numPr>
          <w:ilvl w:val="0"/>
          <w:numId w:val="1"/>
        </w:numPr>
        <w:tabs>
          <w:tab w:val="left" w:pos="426"/>
        </w:tabs>
        <w:spacing w:before="240" w:after="240" w:line="360" w:lineRule="auto"/>
        <w:ind w:right="51"/>
        <w:jc w:val="both"/>
        <w:rPr>
          <w:rFonts w:ascii="Palatino Linotype" w:hAnsi="Palatino Linotype"/>
          <w:color w:val="000000" w:themeColor="text1"/>
        </w:rPr>
      </w:pPr>
      <w:r w:rsidRPr="003A787D">
        <w:rPr>
          <w:rFonts w:ascii="Palatino Linotype" w:hAnsi="Palatino Linotype"/>
          <w:color w:val="000000" w:themeColor="text1"/>
        </w:rPr>
        <w:t xml:space="preserve">Por su parte, por cuanto hace al archivo denominado </w:t>
      </w:r>
      <w:r w:rsidRPr="003A787D">
        <w:rPr>
          <w:rFonts w:ascii="Palatino Linotype" w:hAnsi="Palatino Linotype"/>
          <w:b/>
          <w:bCs/>
          <w:i/>
          <w:iCs/>
          <w:color w:val="000000" w:themeColor="text1"/>
        </w:rPr>
        <w:t>“</w:t>
      </w:r>
      <w:proofErr w:type="spellStart"/>
      <w:r w:rsidRPr="003A787D">
        <w:rPr>
          <w:rFonts w:ascii="Palatino Linotype" w:hAnsi="Palatino Linotype"/>
          <w:b/>
          <w:bCs/>
          <w:i/>
          <w:iCs/>
          <w:color w:val="000000" w:themeColor="text1"/>
        </w:rPr>
        <w:t>infoem</w:t>
      </w:r>
      <w:proofErr w:type="spellEnd"/>
      <w:r w:rsidRPr="003A787D">
        <w:rPr>
          <w:rFonts w:ascii="Palatino Linotype" w:hAnsi="Palatino Linotype"/>
          <w:b/>
          <w:bCs/>
          <w:i/>
          <w:iCs/>
          <w:color w:val="000000" w:themeColor="text1"/>
        </w:rPr>
        <w:t xml:space="preserve"> 2022.docx”</w:t>
      </w:r>
      <w:r w:rsidRPr="003A787D">
        <w:rPr>
          <w:rFonts w:ascii="Palatino Linotype" w:hAnsi="Palatino Linotype"/>
          <w:color w:val="000000" w:themeColor="text1"/>
        </w:rPr>
        <w:t xml:space="preserve">, contiene la captura de </w:t>
      </w:r>
      <w:r w:rsidRPr="003A787D">
        <w:rPr>
          <w:rFonts w:ascii="Palatino Linotype" w:eastAsia="Calibri" w:hAnsi="Palatino Linotype" w:cs="Arial"/>
          <w:bCs/>
          <w:iCs/>
          <w:color w:val="000000" w:themeColor="text1"/>
          <w:lang w:val="es-ES"/>
        </w:rPr>
        <w:t xml:space="preserve">los formatos ‘Total de nómina por sueldos y salarios’ y ‘Total de nómina por asimilados a salarios’, </w:t>
      </w:r>
      <w:r w:rsidRPr="003A787D">
        <w:rPr>
          <w:rFonts w:ascii="Palatino Linotype" w:hAnsi="Palatino Linotype" w:cs="Arial"/>
        </w:rPr>
        <w:t xml:space="preserve">capturados en el portal del SAT, respecto a la información de pagos y retenciones por sueldos y salarios del </w:t>
      </w:r>
      <w:r w:rsidRPr="003A787D">
        <w:rPr>
          <w:rFonts w:ascii="Palatino Linotype" w:hAnsi="Palatino Linotype" w:cs="Arial"/>
          <w:b/>
          <w:bCs/>
        </w:rPr>
        <w:t>SUJETO OBLIGADO</w:t>
      </w:r>
      <w:r w:rsidRPr="003A787D">
        <w:rPr>
          <w:rFonts w:ascii="Palatino Linotype" w:hAnsi="Palatino Linotype" w:cs="Arial"/>
        </w:rPr>
        <w:t>, de los ejercicios dos mil diecinueve, dos mil veinte y dos mil veintiuno. Se adjunta a continuación un fragmento de los formatos para efectos referenciativos:</w:t>
      </w:r>
    </w:p>
    <w:p w14:paraId="024B8DF5" w14:textId="5281E62D" w:rsidR="00742B1A" w:rsidRPr="003A787D" w:rsidRDefault="00075258" w:rsidP="00742B1A">
      <w:pPr>
        <w:pStyle w:val="Prrafodelista"/>
        <w:tabs>
          <w:tab w:val="left" w:pos="426"/>
        </w:tabs>
        <w:spacing w:before="240" w:after="240" w:line="360" w:lineRule="auto"/>
        <w:ind w:left="0" w:right="51"/>
        <w:jc w:val="center"/>
      </w:pPr>
      <w:r w:rsidRPr="003A787D">
        <w:object w:dxaOrig="10035" w:dyaOrig="3855" w14:anchorId="4B143BF1">
          <v:shape id="_x0000_i1034" type="#_x0000_t75" style="width:368.05pt;height:141.7pt" o:ole="" o:bordertopcolor="this" o:borderleftcolor="this" o:borderbottomcolor="this" o:borderrightcolor="this">
            <v:imagedata r:id="rId26" o:title=""/>
            <w10:bordertop type="single" width="8"/>
            <w10:borderleft type="single" width="8"/>
            <w10:borderbottom type="single" width="8"/>
            <w10:borderright type="single" width="8"/>
          </v:shape>
          <o:OLEObject Type="Embed" ProgID="Paint.Picture" ShapeID="_x0000_i1034" DrawAspect="Content" ObjectID="_1715173009" r:id="rId27"/>
        </w:object>
      </w:r>
    </w:p>
    <w:p w14:paraId="63D8AFF2" w14:textId="229670B9" w:rsidR="00075258" w:rsidRPr="003A787D" w:rsidRDefault="00075258" w:rsidP="00742B1A">
      <w:pPr>
        <w:pStyle w:val="Prrafodelista"/>
        <w:tabs>
          <w:tab w:val="left" w:pos="426"/>
        </w:tabs>
        <w:spacing w:before="240" w:after="240" w:line="360" w:lineRule="auto"/>
        <w:ind w:left="0" w:right="51"/>
        <w:jc w:val="center"/>
      </w:pPr>
      <w:r w:rsidRPr="003A787D">
        <w:object w:dxaOrig="9825" w:dyaOrig="4065" w14:anchorId="34B25A27">
          <v:shape id="_x0000_i1035" type="#_x0000_t75" style="width:367.5pt;height:152.65pt" o:ole="" o:bordertopcolor="this" o:borderleftcolor="this" o:borderbottomcolor="this" o:borderrightcolor="this">
            <v:imagedata r:id="rId28" o:title=""/>
            <w10:bordertop type="single" width="8"/>
            <w10:borderleft type="single" width="8"/>
            <w10:borderbottom type="single" width="8"/>
            <w10:borderright type="single" width="8"/>
          </v:shape>
          <o:OLEObject Type="Embed" ProgID="Paint.Picture" ShapeID="_x0000_i1035" DrawAspect="Content" ObjectID="_1715173010" r:id="rId29"/>
        </w:object>
      </w:r>
    </w:p>
    <w:p w14:paraId="11295375" w14:textId="6D103643" w:rsidR="00075258" w:rsidRPr="003A787D" w:rsidRDefault="00075258" w:rsidP="00742B1A">
      <w:pPr>
        <w:pStyle w:val="Prrafodelista"/>
        <w:tabs>
          <w:tab w:val="left" w:pos="426"/>
        </w:tabs>
        <w:spacing w:before="240" w:after="240" w:line="360" w:lineRule="auto"/>
        <w:ind w:left="0" w:right="51"/>
        <w:jc w:val="center"/>
      </w:pPr>
      <w:r w:rsidRPr="003A787D">
        <w:object w:dxaOrig="9780" w:dyaOrig="4230" w14:anchorId="2CC4B7F4">
          <v:shape id="_x0000_i1036" type="#_x0000_t75" style="width:382.45pt;height:165.9pt" o:ole="" o:bordertopcolor="this" o:borderleftcolor="this" o:borderbottomcolor="this" o:borderrightcolor="this">
            <v:imagedata r:id="rId30" o:title=""/>
            <w10:bordertop type="single" width="8"/>
            <w10:borderleft type="single" width="8"/>
            <w10:borderbottom type="single" width="8"/>
            <w10:borderright type="single" width="8"/>
          </v:shape>
          <o:OLEObject Type="Embed" ProgID="Paint.Picture" ShapeID="_x0000_i1036" DrawAspect="Content" ObjectID="_1715173011" r:id="rId31"/>
        </w:object>
      </w:r>
    </w:p>
    <w:p w14:paraId="702EEA79" w14:textId="77777777" w:rsidR="00075258" w:rsidRPr="003A787D" w:rsidRDefault="00075258" w:rsidP="00742B1A">
      <w:pPr>
        <w:pStyle w:val="Prrafodelista"/>
        <w:tabs>
          <w:tab w:val="left" w:pos="426"/>
        </w:tabs>
        <w:spacing w:before="240" w:after="240" w:line="360" w:lineRule="auto"/>
        <w:ind w:left="0" w:right="51"/>
        <w:jc w:val="center"/>
      </w:pPr>
    </w:p>
    <w:p w14:paraId="17898CC2" w14:textId="3F10CB36" w:rsidR="00742B1A" w:rsidRPr="003A787D" w:rsidRDefault="00075258" w:rsidP="00742B1A">
      <w:pPr>
        <w:pStyle w:val="Prrafodelista"/>
        <w:tabs>
          <w:tab w:val="left" w:pos="426"/>
        </w:tabs>
        <w:spacing w:before="240" w:after="240" w:line="360" w:lineRule="auto"/>
        <w:ind w:left="0" w:right="51"/>
        <w:jc w:val="center"/>
      </w:pPr>
      <w:r w:rsidRPr="003A787D">
        <w:object w:dxaOrig="10080" w:dyaOrig="3915" w14:anchorId="5E0C47A6">
          <v:shape id="_x0000_i1037" type="#_x0000_t75" style="width:383.6pt;height:149.2pt" o:ole="" o:bordertopcolor="this" o:borderleftcolor="this" o:borderbottomcolor="this" o:borderrightcolor="this">
            <v:imagedata r:id="rId32" o:title=""/>
            <w10:bordertop type="single" width="8"/>
            <w10:borderleft type="single" width="8"/>
            <w10:borderbottom type="single" width="8"/>
            <w10:borderright type="single" width="8"/>
          </v:shape>
          <o:OLEObject Type="Embed" ProgID="Paint.Picture" ShapeID="_x0000_i1037" DrawAspect="Content" ObjectID="_1715173012" r:id="rId33"/>
        </w:object>
      </w:r>
    </w:p>
    <w:p w14:paraId="74E64176" w14:textId="6DE45AC9" w:rsidR="00742B1A" w:rsidRPr="003A787D" w:rsidRDefault="00075258" w:rsidP="00742B1A">
      <w:pPr>
        <w:pStyle w:val="Prrafodelista"/>
        <w:tabs>
          <w:tab w:val="left" w:pos="426"/>
        </w:tabs>
        <w:spacing w:before="240" w:after="240" w:line="360" w:lineRule="auto"/>
        <w:ind w:left="0" w:right="51"/>
        <w:jc w:val="center"/>
        <w:rPr>
          <w:rFonts w:ascii="Palatino Linotype" w:hAnsi="Palatino Linotype"/>
          <w:color w:val="000000" w:themeColor="text1"/>
        </w:rPr>
      </w:pPr>
      <w:r w:rsidRPr="003A787D">
        <w:object w:dxaOrig="9375" w:dyaOrig="3990" w14:anchorId="13BC72E6">
          <v:shape id="_x0000_i1038" type="#_x0000_t75" style="width:381.3pt;height:162.45pt" o:ole="" o:bordertopcolor="this" o:borderleftcolor="this" o:borderbottomcolor="this" o:borderrightcolor="this">
            <v:imagedata r:id="rId34" o:title=""/>
            <w10:bordertop type="single" width="8"/>
            <w10:borderleft type="single" width="8"/>
            <w10:borderbottom type="single" width="8"/>
            <w10:borderright type="single" width="8"/>
          </v:shape>
          <o:OLEObject Type="Embed" ProgID="Paint.Picture" ShapeID="_x0000_i1038" DrawAspect="Content" ObjectID="_1715173013" r:id="rId35"/>
        </w:object>
      </w:r>
    </w:p>
    <w:p w14:paraId="7943B368" w14:textId="77777777" w:rsidR="007A3A6F" w:rsidRPr="003A787D" w:rsidRDefault="007A3A6F" w:rsidP="007A3A6F">
      <w:pPr>
        <w:pStyle w:val="Prrafodelista"/>
        <w:tabs>
          <w:tab w:val="left" w:pos="426"/>
        </w:tabs>
        <w:spacing w:before="240" w:after="240" w:line="360" w:lineRule="auto"/>
        <w:ind w:left="0" w:right="51"/>
        <w:jc w:val="both"/>
        <w:rPr>
          <w:rFonts w:ascii="Palatino Linotype" w:hAnsi="Palatino Linotype"/>
          <w:color w:val="000000" w:themeColor="text1"/>
        </w:rPr>
      </w:pPr>
    </w:p>
    <w:p w14:paraId="45806B25" w14:textId="5345A49B" w:rsidR="00075258" w:rsidRPr="003A787D" w:rsidRDefault="00075258" w:rsidP="009D3804">
      <w:pPr>
        <w:pStyle w:val="Prrafodelista"/>
        <w:numPr>
          <w:ilvl w:val="0"/>
          <w:numId w:val="1"/>
        </w:numPr>
        <w:tabs>
          <w:tab w:val="left" w:pos="426"/>
        </w:tabs>
        <w:spacing w:before="240" w:after="240" w:line="360" w:lineRule="auto"/>
        <w:ind w:right="51"/>
        <w:jc w:val="both"/>
        <w:rPr>
          <w:rFonts w:ascii="Palatino Linotype" w:hAnsi="Palatino Linotype"/>
          <w:color w:val="000000" w:themeColor="text1"/>
        </w:rPr>
      </w:pPr>
      <w:r w:rsidRPr="003A787D">
        <w:rPr>
          <w:rFonts w:ascii="Palatino Linotype" w:hAnsi="Palatino Linotype"/>
          <w:color w:val="000000" w:themeColor="text1"/>
        </w:rPr>
        <w:t xml:space="preserve">De lo anterior se advierte que el </w:t>
      </w:r>
      <w:r w:rsidRPr="003A787D">
        <w:rPr>
          <w:rFonts w:ascii="Palatino Linotype" w:hAnsi="Palatino Linotype"/>
          <w:b/>
          <w:bCs/>
          <w:color w:val="000000" w:themeColor="text1"/>
        </w:rPr>
        <w:t>SUJETO OBLIGADO</w:t>
      </w:r>
      <w:r w:rsidRPr="003A787D">
        <w:rPr>
          <w:rFonts w:ascii="Palatino Linotype" w:hAnsi="Palatino Linotype"/>
          <w:color w:val="000000" w:themeColor="text1"/>
        </w:rPr>
        <w:t xml:space="preserve">, en vía de informe justificado, amplió su respuesta inicial e hizo entrega de los formatos ‘Total de </w:t>
      </w:r>
      <w:r w:rsidRPr="003A787D">
        <w:rPr>
          <w:rFonts w:ascii="Palatino Linotype" w:hAnsi="Palatino Linotype"/>
          <w:color w:val="000000" w:themeColor="text1"/>
        </w:rPr>
        <w:lastRenderedPageBreak/>
        <w:t>nómina por sueldos y salarios’ y ‘Total de nómina por asimilados a salarios’</w:t>
      </w:r>
      <w:r w:rsidR="00EA509D" w:rsidRPr="003A787D">
        <w:rPr>
          <w:rFonts w:ascii="Palatino Linotype" w:hAnsi="Palatino Linotype"/>
          <w:color w:val="000000" w:themeColor="text1"/>
        </w:rPr>
        <w:t xml:space="preserve"> de los ejercicios dos mil diecinueve y dos mil veintiuno; así como el formato ‘Total de nómina por asimilados a salarios’ del ejercicio dos mil veinte; mientras que para el ejercicio dos mil dieciocho no entregó ningún formato ni se pronunció al respecto.</w:t>
      </w:r>
    </w:p>
    <w:p w14:paraId="5AEBCF9C" w14:textId="77777777" w:rsidR="00075258" w:rsidRPr="003A787D" w:rsidRDefault="00075258" w:rsidP="00075258">
      <w:pPr>
        <w:pStyle w:val="Prrafodelista"/>
        <w:tabs>
          <w:tab w:val="left" w:pos="426"/>
        </w:tabs>
        <w:spacing w:before="240" w:after="240" w:line="360" w:lineRule="auto"/>
        <w:ind w:left="0" w:right="51"/>
        <w:jc w:val="both"/>
        <w:rPr>
          <w:rFonts w:ascii="Palatino Linotype" w:hAnsi="Palatino Linotype"/>
          <w:color w:val="000000" w:themeColor="text1"/>
        </w:rPr>
      </w:pPr>
    </w:p>
    <w:p w14:paraId="14565557" w14:textId="6E13DEBC" w:rsidR="009D3804" w:rsidRPr="003A787D" w:rsidRDefault="00075258" w:rsidP="009D3804">
      <w:pPr>
        <w:pStyle w:val="Prrafodelista"/>
        <w:numPr>
          <w:ilvl w:val="0"/>
          <w:numId w:val="1"/>
        </w:numPr>
        <w:tabs>
          <w:tab w:val="left" w:pos="426"/>
        </w:tabs>
        <w:spacing w:before="240" w:after="240" w:line="360" w:lineRule="auto"/>
        <w:ind w:right="51"/>
        <w:jc w:val="both"/>
        <w:rPr>
          <w:rFonts w:ascii="Palatino Linotype" w:hAnsi="Palatino Linotype"/>
          <w:color w:val="000000" w:themeColor="text1"/>
        </w:rPr>
      </w:pPr>
      <w:r w:rsidRPr="003A787D">
        <w:rPr>
          <w:rFonts w:ascii="Palatino Linotype" w:hAnsi="Palatino Linotype"/>
          <w:color w:val="000000" w:themeColor="text1"/>
        </w:rPr>
        <w:t>A</w:t>
      </w:r>
      <w:r w:rsidR="007A3A6F" w:rsidRPr="003A787D">
        <w:rPr>
          <w:rFonts w:ascii="Palatino Linotype" w:hAnsi="Palatino Linotype"/>
          <w:color w:val="000000" w:themeColor="text1"/>
        </w:rPr>
        <w:t xml:space="preserve">mén </w:t>
      </w:r>
      <w:r w:rsidR="00EA509D" w:rsidRPr="003A787D">
        <w:rPr>
          <w:rFonts w:ascii="Palatino Linotype" w:hAnsi="Palatino Linotype"/>
          <w:color w:val="000000" w:themeColor="text1"/>
        </w:rPr>
        <w:t xml:space="preserve">de lo anterior, toda vez que la inconformidad principal del </w:t>
      </w:r>
      <w:r w:rsidR="00EA509D" w:rsidRPr="003A787D">
        <w:rPr>
          <w:rFonts w:ascii="Palatino Linotype" w:hAnsi="Palatino Linotype"/>
          <w:b/>
          <w:bCs/>
          <w:color w:val="000000" w:themeColor="text1"/>
        </w:rPr>
        <w:t>RECURRENTE</w:t>
      </w:r>
      <w:r w:rsidR="00EA509D" w:rsidRPr="003A787D">
        <w:rPr>
          <w:rFonts w:ascii="Palatino Linotype" w:hAnsi="Palatino Linotype"/>
          <w:color w:val="000000" w:themeColor="text1"/>
        </w:rPr>
        <w:t xml:space="preserve"> radica específicamente en que el </w:t>
      </w:r>
      <w:r w:rsidR="00EA509D" w:rsidRPr="003A787D">
        <w:rPr>
          <w:rFonts w:ascii="Palatino Linotype" w:hAnsi="Palatino Linotype"/>
          <w:b/>
          <w:color w:val="000000" w:themeColor="text1"/>
        </w:rPr>
        <w:t>SUJETO OBLIGADO</w:t>
      </w:r>
      <w:r w:rsidR="00EA509D" w:rsidRPr="003A787D">
        <w:rPr>
          <w:rFonts w:ascii="Palatino Linotype" w:hAnsi="Palatino Linotype"/>
          <w:color w:val="000000" w:themeColor="text1"/>
        </w:rPr>
        <w:t xml:space="preserve"> no le entregó los visores de nómina del SAT, así como las opiniones de cumplimiento del pago de impuestos del SAT, IMSS, INFONAVIT y SATEM, y no así del resto de la información solicitada, se debe entender que el particular está parcialmente conforme con la respuesta proporcionada por el Sistema Municipal para el Desarrollo Integral de la Familia de Tenancingo.</w:t>
      </w:r>
    </w:p>
    <w:p w14:paraId="3AB4D65F" w14:textId="77777777" w:rsidR="009D3804" w:rsidRPr="003A787D" w:rsidRDefault="009D3804" w:rsidP="009D3804">
      <w:pPr>
        <w:pStyle w:val="Prrafodelista"/>
        <w:tabs>
          <w:tab w:val="left" w:pos="426"/>
        </w:tabs>
        <w:spacing w:before="240" w:after="240" w:line="360" w:lineRule="auto"/>
        <w:ind w:left="0" w:right="51"/>
        <w:jc w:val="both"/>
        <w:rPr>
          <w:rFonts w:ascii="Palatino Linotype" w:hAnsi="Palatino Linotype"/>
          <w:color w:val="000000" w:themeColor="text1"/>
        </w:rPr>
      </w:pPr>
    </w:p>
    <w:p w14:paraId="6FE9B169" w14:textId="7B8CB3AC" w:rsidR="009D3804" w:rsidRPr="003A787D" w:rsidRDefault="009D3804" w:rsidP="00910076">
      <w:pPr>
        <w:pStyle w:val="Prrafodelista"/>
        <w:numPr>
          <w:ilvl w:val="0"/>
          <w:numId w:val="1"/>
        </w:numPr>
        <w:tabs>
          <w:tab w:val="left" w:pos="426"/>
        </w:tabs>
        <w:spacing w:before="240" w:after="240" w:line="360" w:lineRule="auto"/>
        <w:ind w:right="51"/>
        <w:jc w:val="both"/>
        <w:rPr>
          <w:rFonts w:ascii="Palatino Linotype" w:hAnsi="Palatino Linotype"/>
          <w:color w:val="000000" w:themeColor="text1"/>
        </w:rPr>
      </w:pPr>
      <w:r w:rsidRPr="003A787D">
        <w:rPr>
          <w:rFonts w:ascii="Palatino Linotype" w:hAnsi="Palatino Linotype"/>
          <w:color w:val="000000" w:themeColor="text1"/>
        </w:rPr>
        <w:t xml:space="preserve">En ese sentido, por cuando hace </w:t>
      </w:r>
      <w:r w:rsidR="00BE4E03" w:rsidRPr="003A787D">
        <w:rPr>
          <w:rFonts w:ascii="Palatino Linotype" w:hAnsi="Palatino Linotype"/>
          <w:color w:val="000000" w:themeColor="text1"/>
        </w:rPr>
        <w:t xml:space="preserve">al resto de la información requerida a través de la solicitud </w:t>
      </w:r>
      <w:r w:rsidR="005A179D" w:rsidRPr="003A787D">
        <w:rPr>
          <w:rFonts w:ascii="Palatino Linotype" w:hAnsi="Palatino Linotype"/>
          <w:b/>
          <w:bCs/>
          <w:color w:val="000000" w:themeColor="text1"/>
        </w:rPr>
        <w:t>00002/DIFTENANCI/IP/2022</w:t>
      </w:r>
      <w:r w:rsidR="00102B33" w:rsidRPr="003A787D">
        <w:rPr>
          <w:rFonts w:ascii="Palatino Linotype" w:hAnsi="Palatino Linotype"/>
          <w:color w:val="000000" w:themeColor="text1"/>
        </w:rPr>
        <w:t xml:space="preserve"> , como el papel de trabajo donde se desglosen diversos datos relacionados con el pago de ISR, así como el documento donde se seleccionen cinco trabajadores al azar para desglosar información de ISR</w:t>
      </w:r>
      <w:r w:rsidR="007A3A6F" w:rsidRPr="003A787D">
        <w:rPr>
          <w:rFonts w:ascii="Palatino Linotype" w:hAnsi="Palatino Linotype"/>
          <w:color w:val="000000" w:themeColor="text1"/>
        </w:rPr>
        <w:t xml:space="preserve">, </w:t>
      </w:r>
      <w:r w:rsidRPr="003A787D">
        <w:rPr>
          <w:rFonts w:ascii="Palatino Linotype" w:hAnsi="Palatino Linotype"/>
          <w:color w:val="000000" w:themeColor="text1"/>
        </w:rPr>
        <w:t xml:space="preserve">debe entenderse como consentida por </w:t>
      </w:r>
      <w:r w:rsidR="007A3A6F" w:rsidRPr="003A787D">
        <w:rPr>
          <w:rFonts w:ascii="Palatino Linotype" w:hAnsi="Palatino Linotype"/>
          <w:color w:val="000000" w:themeColor="text1"/>
        </w:rPr>
        <w:t>el</w:t>
      </w:r>
      <w:r w:rsidRPr="003A787D">
        <w:rPr>
          <w:rFonts w:ascii="Palatino Linotype" w:hAnsi="Palatino Linotype"/>
          <w:color w:val="000000" w:themeColor="text1"/>
        </w:rPr>
        <w:t xml:space="preserve"> </w:t>
      </w:r>
      <w:r w:rsidRPr="003A787D">
        <w:rPr>
          <w:rFonts w:ascii="Palatino Linotype" w:hAnsi="Palatino Linotype"/>
          <w:b/>
          <w:bCs/>
          <w:color w:val="000000" w:themeColor="text1"/>
        </w:rPr>
        <w:t>RECURRENTE</w:t>
      </w:r>
      <w:r w:rsidRPr="003A787D">
        <w:rPr>
          <w:rFonts w:ascii="Palatino Linotype" w:hAnsi="Palatino Linotype"/>
          <w:color w:val="000000" w:themeColor="text1"/>
        </w:rPr>
        <w:t xml:space="preserve">. Ello es así, debido a que cuando los </w:t>
      </w:r>
      <w:r w:rsidR="00923E6F" w:rsidRPr="003A787D">
        <w:rPr>
          <w:rFonts w:ascii="Palatino Linotype" w:hAnsi="Palatino Linotype"/>
          <w:color w:val="000000" w:themeColor="text1"/>
        </w:rPr>
        <w:t xml:space="preserve">solicitantes </w:t>
      </w:r>
      <w:r w:rsidRPr="003A787D">
        <w:rPr>
          <w:rFonts w:ascii="Palatino Linotype" w:hAnsi="Palatino Linotype"/>
          <w:color w:val="000000" w:themeColor="text1"/>
        </w:rPr>
        <w:t xml:space="preserve">no expresan razón o motivo de inconformidad en contra de los rubros de las respuestas que pudieran ser un agravio a su derecho, </w:t>
      </w:r>
      <w:r w:rsidRPr="003A787D">
        <w:rPr>
          <w:rFonts w:ascii="Palatino Linotype" w:hAnsi="Palatino Linotype"/>
          <w:b/>
          <w:color w:val="000000" w:themeColor="text1"/>
        </w:rPr>
        <w:t>los mismos deben estimarse atendidos</w:t>
      </w:r>
      <w:r w:rsidRPr="003A787D">
        <w:rPr>
          <w:rFonts w:ascii="Palatino Linotype" w:hAnsi="Palatino Linotype"/>
          <w:color w:val="000000" w:themeColor="text1"/>
        </w:rPr>
        <w:t>.</w:t>
      </w:r>
    </w:p>
    <w:p w14:paraId="201E6850" w14:textId="77777777" w:rsidR="009D3804" w:rsidRPr="003A787D" w:rsidRDefault="009D3804" w:rsidP="009D3804">
      <w:pPr>
        <w:pStyle w:val="Prrafodelista"/>
        <w:tabs>
          <w:tab w:val="left" w:pos="426"/>
        </w:tabs>
        <w:spacing w:before="240" w:after="240" w:line="360" w:lineRule="auto"/>
        <w:ind w:left="0" w:right="51"/>
        <w:jc w:val="both"/>
        <w:rPr>
          <w:rFonts w:ascii="Palatino Linotype" w:hAnsi="Palatino Linotype"/>
          <w:color w:val="000000" w:themeColor="text1"/>
        </w:rPr>
      </w:pPr>
    </w:p>
    <w:p w14:paraId="659116D5" w14:textId="73A6A086" w:rsidR="009D3804" w:rsidRPr="003A787D" w:rsidRDefault="009D3804" w:rsidP="00910076">
      <w:pPr>
        <w:pStyle w:val="Prrafodelista"/>
        <w:numPr>
          <w:ilvl w:val="0"/>
          <w:numId w:val="1"/>
        </w:numPr>
        <w:tabs>
          <w:tab w:val="left" w:pos="426"/>
        </w:tabs>
        <w:spacing w:before="240" w:after="240" w:line="360" w:lineRule="auto"/>
        <w:ind w:right="51"/>
        <w:jc w:val="both"/>
        <w:rPr>
          <w:rFonts w:ascii="Palatino Linotype" w:hAnsi="Palatino Linotype"/>
          <w:color w:val="000000" w:themeColor="text1"/>
        </w:rPr>
      </w:pPr>
      <w:r w:rsidRPr="003A787D">
        <w:rPr>
          <w:rFonts w:ascii="Palatino Linotype" w:hAnsi="Palatino Linotype"/>
          <w:color w:val="000000" w:themeColor="text1"/>
        </w:rPr>
        <w:t>Sirve de apoyo a lo anterior, por analogía, la Tesis Jurisprudencial Número 3ª./J.7/91, publicada en el Semanario Judicial de la Federación y su Gaceta bajo el número de registro 174,177, que establece lo siguiente:</w:t>
      </w:r>
    </w:p>
    <w:p w14:paraId="604B7305" w14:textId="7E68DA21" w:rsidR="009D3804" w:rsidRPr="003A787D" w:rsidRDefault="009D3804" w:rsidP="009D3804">
      <w:pPr>
        <w:pStyle w:val="Prrafodelista"/>
        <w:tabs>
          <w:tab w:val="left" w:pos="426"/>
        </w:tabs>
        <w:spacing w:before="240" w:line="360" w:lineRule="auto"/>
        <w:ind w:left="0" w:right="51"/>
        <w:jc w:val="both"/>
        <w:rPr>
          <w:rFonts w:ascii="Palatino Linotype" w:hAnsi="Palatino Linotype"/>
          <w:color w:val="000000" w:themeColor="text1"/>
        </w:rPr>
      </w:pPr>
    </w:p>
    <w:p w14:paraId="6278D066" w14:textId="77777777" w:rsidR="009D3804" w:rsidRPr="003A787D" w:rsidRDefault="009D3804" w:rsidP="009D3804">
      <w:pPr>
        <w:spacing w:line="276" w:lineRule="auto"/>
        <w:ind w:left="567" w:right="567"/>
        <w:jc w:val="both"/>
        <w:rPr>
          <w:rFonts w:ascii="Palatino Linotype" w:hAnsi="Palatino Linotype" w:cs="Arial"/>
          <w:i/>
          <w:sz w:val="22"/>
          <w:szCs w:val="22"/>
          <w:lang w:eastAsia="es-MX"/>
        </w:rPr>
      </w:pPr>
      <w:r w:rsidRPr="003A787D">
        <w:rPr>
          <w:rFonts w:ascii="Palatino Linotype" w:hAnsi="Palatino Linotype" w:cs="Arial"/>
          <w:b/>
          <w:i/>
          <w:sz w:val="22"/>
          <w:szCs w:val="22"/>
          <w:lang w:eastAsia="es-MX"/>
        </w:rPr>
        <w:t>REVISIÓN EN AMPARO. LOS RESOLUTIVOS NO COMBATIDOS DEBEN DECLARARSE FIRMES</w:t>
      </w:r>
      <w:r w:rsidRPr="003A787D">
        <w:rPr>
          <w:rFonts w:ascii="Palatino Linotype" w:hAnsi="Palatino Linotype" w:cs="Arial"/>
          <w:i/>
          <w:sz w:val="22"/>
          <w:szCs w:val="22"/>
          <w:lang w:eastAsia="es-MX"/>
        </w:rPr>
        <w:t>. “Cuando algún resolutivo de la sentencia impugnada afecta a la recurrente, y ésta no expresa agravio en contra de las consideraciones que le sirven de base, dicho resolutivo debe declararse firme. Esto es, en el caso referido, no obstante que la materia de la revisión comprende a todos los resolutivos que afectan a la recurrente, deben declararse firmes aquéllos en contra de los cuales no se formuló agravio y dicha declaración de firmeza debe reflejarse en la parte considerativa y en los resolutivos debe confirmarse la sentencia recurrida en la parte correspondiente.”</w:t>
      </w:r>
    </w:p>
    <w:p w14:paraId="3297A4DD" w14:textId="77777777" w:rsidR="009D3804" w:rsidRPr="003A787D" w:rsidRDefault="009D3804" w:rsidP="009D3804">
      <w:pPr>
        <w:pStyle w:val="Prrafodelista"/>
        <w:tabs>
          <w:tab w:val="left" w:pos="426"/>
        </w:tabs>
        <w:spacing w:before="240" w:after="240" w:line="360" w:lineRule="auto"/>
        <w:ind w:left="0" w:right="51"/>
        <w:jc w:val="both"/>
        <w:rPr>
          <w:rFonts w:ascii="Palatino Linotype" w:hAnsi="Palatino Linotype"/>
          <w:color w:val="000000" w:themeColor="text1"/>
        </w:rPr>
      </w:pPr>
    </w:p>
    <w:p w14:paraId="0C4DE14C" w14:textId="140D9923" w:rsidR="009D3804" w:rsidRPr="003A787D" w:rsidRDefault="009D3804" w:rsidP="00910076">
      <w:pPr>
        <w:pStyle w:val="Prrafodelista"/>
        <w:numPr>
          <w:ilvl w:val="0"/>
          <w:numId w:val="1"/>
        </w:numPr>
        <w:tabs>
          <w:tab w:val="left" w:pos="426"/>
        </w:tabs>
        <w:spacing w:before="240" w:after="240" w:line="360" w:lineRule="auto"/>
        <w:ind w:right="51"/>
        <w:jc w:val="both"/>
        <w:rPr>
          <w:rFonts w:ascii="Palatino Linotype" w:hAnsi="Palatino Linotype"/>
          <w:color w:val="000000" w:themeColor="text1"/>
        </w:rPr>
      </w:pPr>
      <w:r w:rsidRPr="003A787D">
        <w:rPr>
          <w:rFonts w:ascii="Palatino Linotype" w:hAnsi="Palatino Linotype"/>
          <w:color w:val="000000" w:themeColor="text1"/>
        </w:rPr>
        <w:t xml:space="preserve">Luego entonces, </w:t>
      </w:r>
      <w:r w:rsidRPr="003A787D">
        <w:rPr>
          <w:rFonts w:ascii="Palatino Linotype" w:eastAsia="Times New Roman" w:hAnsi="Palatino Linotype" w:cs="Arial"/>
        </w:rPr>
        <w:t xml:space="preserve">la parte de la solicitud sobre la que no se expresó inconformidad, debe declararse consentida por </w:t>
      </w:r>
      <w:r w:rsidR="00BE4E03" w:rsidRPr="003A787D">
        <w:rPr>
          <w:rFonts w:ascii="Palatino Linotype" w:eastAsia="Times New Roman" w:hAnsi="Palatino Linotype" w:cs="Arial"/>
        </w:rPr>
        <w:t>el</w:t>
      </w:r>
      <w:r w:rsidRPr="003A787D">
        <w:rPr>
          <w:rFonts w:ascii="Palatino Linotype" w:eastAsia="Times New Roman" w:hAnsi="Palatino Linotype" w:cs="Arial"/>
        </w:rPr>
        <w:t xml:space="preserve"> hoy </w:t>
      </w:r>
      <w:r w:rsidRPr="003A787D">
        <w:rPr>
          <w:rFonts w:ascii="Palatino Linotype" w:eastAsia="Times New Roman" w:hAnsi="Palatino Linotype" w:cs="Arial"/>
          <w:b/>
        </w:rPr>
        <w:t>RECURRENTE</w:t>
      </w:r>
      <w:r w:rsidRPr="003A787D">
        <w:rPr>
          <w:rFonts w:ascii="Palatino Linotype" w:eastAsia="Times New Roman" w:hAnsi="Palatino Linotype" w:cs="Arial"/>
        </w:rPr>
        <w:t>, ya que no pueden producirse efectos jurídicos tendentes a revocar, confirmar o modificar la parte de la respuesta con relación a la parte de la solicitud que no fue motivo de disenso, ya que se infiere un consentimiento del particular ante la falta de impugnación eficaz. Sirve de sustento a lo anterior, por analogía, la Tesis Jurisprudencial número VI.3o.C. J/60, publicada en el Semanario Judicial de la Federación y su Gaceta bajo el número de registro 176,608 que a la letra dice:</w:t>
      </w:r>
    </w:p>
    <w:p w14:paraId="1004FDCD" w14:textId="31BC85DB" w:rsidR="009D3804" w:rsidRPr="003A787D" w:rsidRDefault="009D3804" w:rsidP="009D3804">
      <w:pPr>
        <w:pStyle w:val="Prrafodelista"/>
        <w:tabs>
          <w:tab w:val="left" w:pos="426"/>
        </w:tabs>
        <w:spacing w:before="240" w:line="360" w:lineRule="auto"/>
        <w:ind w:left="0" w:right="51"/>
        <w:jc w:val="both"/>
        <w:rPr>
          <w:rFonts w:ascii="Palatino Linotype" w:hAnsi="Palatino Linotype"/>
          <w:color w:val="000000" w:themeColor="text1"/>
        </w:rPr>
      </w:pPr>
    </w:p>
    <w:p w14:paraId="48EAD112" w14:textId="77777777" w:rsidR="009D3804" w:rsidRPr="003A787D" w:rsidRDefault="009D3804" w:rsidP="009D3804">
      <w:pPr>
        <w:spacing w:line="276" w:lineRule="auto"/>
        <w:ind w:left="567" w:right="567"/>
        <w:jc w:val="both"/>
        <w:rPr>
          <w:rFonts w:ascii="Palatino Linotype" w:hAnsi="Palatino Linotype" w:cs="Arial"/>
          <w:i/>
          <w:sz w:val="22"/>
          <w:szCs w:val="22"/>
          <w:lang w:eastAsia="es-MX"/>
        </w:rPr>
      </w:pPr>
      <w:r w:rsidRPr="003A787D">
        <w:rPr>
          <w:rFonts w:ascii="Palatino Linotype" w:hAnsi="Palatino Linotype" w:cs="Arial"/>
          <w:b/>
          <w:i/>
          <w:sz w:val="22"/>
          <w:szCs w:val="22"/>
          <w:lang w:eastAsia="es-MX"/>
        </w:rPr>
        <w:t>ACTOS CONSENTIDOS. SON LOS QUE NO SE IMPUGNAN MEDIANTE EL RECURSO IDÓNEO</w:t>
      </w:r>
      <w:r w:rsidRPr="003A787D">
        <w:rPr>
          <w:rFonts w:ascii="Palatino Linotype" w:hAnsi="Palatino Linotype" w:cs="Arial"/>
          <w:i/>
          <w:sz w:val="22"/>
          <w:szCs w:val="22"/>
          <w:lang w:eastAsia="es-MX"/>
        </w:rPr>
        <w:t>. “Debe reputarse como consentido el acto que no se impugnó por el medio establecido por la ley, ya que si se hizo uso de otro no previsto por ella o si se hace una simple manifestación de inconformidad, tales actuaciones no producen efectos jurídicos tendientes a revocar, confirmar o modificar el acto reclamado en amparo, lo que significa consentimiento del mismo por falta de impugnación eficaz.”</w:t>
      </w:r>
    </w:p>
    <w:p w14:paraId="07738B36" w14:textId="77777777" w:rsidR="009D3804" w:rsidRPr="003A787D" w:rsidRDefault="009D3804" w:rsidP="009D3804">
      <w:pPr>
        <w:pStyle w:val="Prrafodelista"/>
        <w:tabs>
          <w:tab w:val="left" w:pos="426"/>
        </w:tabs>
        <w:spacing w:before="240" w:after="240" w:line="360" w:lineRule="auto"/>
        <w:ind w:left="0" w:right="51"/>
        <w:jc w:val="both"/>
        <w:rPr>
          <w:rFonts w:ascii="Palatino Linotype" w:hAnsi="Palatino Linotype"/>
          <w:color w:val="000000" w:themeColor="text1"/>
        </w:rPr>
      </w:pPr>
    </w:p>
    <w:p w14:paraId="6F3F4AA5" w14:textId="44DB860B" w:rsidR="009D3804" w:rsidRPr="003A787D" w:rsidRDefault="003F2959" w:rsidP="00910076">
      <w:pPr>
        <w:pStyle w:val="Prrafodelista"/>
        <w:numPr>
          <w:ilvl w:val="0"/>
          <w:numId w:val="1"/>
        </w:numPr>
        <w:tabs>
          <w:tab w:val="left" w:pos="426"/>
        </w:tabs>
        <w:spacing w:before="240" w:after="240" w:line="360" w:lineRule="auto"/>
        <w:ind w:right="51"/>
        <w:jc w:val="both"/>
        <w:rPr>
          <w:rFonts w:ascii="Palatino Linotype" w:hAnsi="Palatino Linotype"/>
          <w:color w:val="000000" w:themeColor="text1"/>
        </w:rPr>
      </w:pPr>
      <w:r w:rsidRPr="003A787D">
        <w:rPr>
          <w:rFonts w:ascii="Palatino Linotype" w:hAnsi="Palatino Linotype"/>
          <w:color w:val="000000" w:themeColor="text1"/>
        </w:rPr>
        <w:t xml:space="preserve">En razón de lo anterior, y en estricta atención a los agravios vertidos por el </w:t>
      </w:r>
      <w:r w:rsidRPr="003A787D">
        <w:rPr>
          <w:rFonts w:ascii="Palatino Linotype" w:hAnsi="Palatino Linotype"/>
          <w:b/>
          <w:bCs/>
          <w:color w:val="000000" w:themeColor="text1"/>
        </w:rPr>
        <w:t>RECURRENTE</w:t>
      </w:r>
      <w:r w:rsidRPr="003A787D">
        <w:rPr>
          <w:rFonts w:ascii="Palatino Linotype" w:hAnsi="Palatino Linotype"/>
          <w:color w:val="000000" w:themeColor="text1"/>
        </w:rPr>
        <w:t xml:space="preserve"> a través del recurso de revisión </w:t>
      </w:r>
      <w:r w:rsidR="005A179D" w:rsidRPr="003A787D">
        <w:rPr>
          <w:rFonts w:ascii="Palatino Linotype" w:hAnsi="Palatino Linotype"/>
          <w:b/>
          <w:bCs/>
          <w:color w:val="000000" w:themeColor="text1"/>
        </w:rPr>
        <w:t>00978/INFOEM/IP/RR/2022</w:t>
      </w:r>
      <w:r w:rsidRPr="003A787D">
        <w:rPr>
          <w:rFonts w:ascii="Palatino Linotype" w:hAnsi="Palatino Linotype"/>
          <w:color w:val="000000" w:themeColor="text1"/>
        </w:rPr>
        <w:t xml:space="preserve">, se </w:t>
      </w:r>
      <w:r w:rsidRPr="003A787D">
        <w:rPr>
          <w:rFonts w:ascii="Palatino Linotype" w:hAnsi="Palatino Linotype"/>
          <w:color w:val="000000" w:themeColor="text1"/>
        </w:rPr>
        <w:lastRenderedPageBreak/>
        <w:t xml:space="preserve">procede a analizar el marco legal y de competencia del </w:t>
      </w:r>
      <w:r w:rsidRPr="003A787D">
        <w:rPr>
          <w:rFonts w:ascii="Palatino Linotype" w:hAnsi="Palatino Linotype"/>
          <w:b/>
          <w:bCs/>
          <w:color w:val="000000" w:themeColor="text1"/>
        </w:rPr>
        <w:t>SUJETO OBLIGADO</w:t>
      </w:r>
      <w:r w:rsidRPr="003A787D">
        <w:rPr>
          <w:rFonts w:ascii="Palatino Linotype" w:hAnsi="Palatino Linotype"/>
          <w:color w:val="000000" w:themeColor="text1"/>
        </w:rPr>
        <w:t xml:space="preserve"> para poseer, generar y/o administrar la información relacionada con el portal del Servicio de Administración Tributaria denominado “Visor de nómina”</w:t>
      </w:r>
      <w:r w:rsidR="00102B33" w:rsidRPr="003A787D">
        <w:rPr>
          <w:rFonts w:ascii="Palatino Linotype" w:hAnsi="Palatino Linotype"/>
          <w:color w:val="000000" w:themeColor="text1"/>
        </w:rPr>
        <w:t>, así como la emisión de constancias de ‘No adeudo’ de distintas dependencias públicas</w:t>
      </w:r>
    </w:p>
    <w:p w14:paraId="15CDC707" w14:textId="12590913" w:rsidR="00294CC2" w:rsidRPr="003A787D" w:rsidRDefault="00294CC2" w:rsidP="00294CC2">
      <w:pPr>
        <w:pStyle w:val="Prrafodelista"/>
        <w:tabs>
          <w:tab w:val="left" w:pos="426"/>
        </w:tabs>
        <w:spacing w:before="240" w:after="240" w:line="360" w:lineRule="auto"/>
        <w:ind w:left="0" w:right="51"/>
        <w:jc w:val="both"/>
        <w:rPr>
          <w:rFonts w:ascii="Palatino Linotype" w:hAnsi="Palatino Linotype"/>
          <w:color w:val="000000" w:themeColor="text1"/>
        </w:rPr>
      </w:pPr>
    </w:p>
    <w:p w14:paraId="4B3DEC36" w14:textId="4F0A3719" w:rsidR="00B13760" w:rsidRPr="003A787D" w:rsidRDefault="003F2959" w:rsidP="00880F33">
      <w:pPr>
        <w:pStyle w:val="Prrafodelista"/>
        <w:tabs>
          <w:tab w:val="left" w:pos="426"/>
        </w:tabs>
        <w:spacing w:before="240" w:after="240" w:line="360" w:lineRule="auto"/>
        <w:ind w:left="0" w:right="51"/>
        <w:jc w:val="both"/>
        <w:outlineLvl w:val="2"/>
        <w:rPr>
          <w:rFonts w:ascii="Palatino Linotype" w:hAnsi="Palatino Linotype"/>
          <w:b/>
          <w:bCs/>
          <w:color w:val="000000" w:themeColor="text1"/>
        </w:rPr>
      </w:pPr>
      <w:bookmarkStart w:id="27" w:name="_Toc96002407"/>
      <w:r w:rsidRPr="003A787D">
        <w:rPr>
          <w:rFonts w:ascii="Palatino Linotype" w:hAnsi="Palatino Linotype"/>
          <w:b/>
          <w:bCs/>
          <w:color w:val="000000" w:themeColor="text1"/>
        </w:rPr>
        <w:t>III</w:t>
      </w:r>
      <w:r w:rsidR="00B13760" w:rsidRPr="003A787D">
        <w:rPr>
          <w:rFonts w:ascii="Palatino Linotype" w:hAnsi="Palatino Linotype"/>
          <w:b/>
          <w:bCs/>
          <w:color w:val="000000" w:themeColor="text1"/>
        </w:rPr>
        <w:t xml:space="preserve">. </w:t>
      </w:r>
      <w:r w:rsidR="00923E6F" w:rsidRPr="003A787D">
        <w:rPr>
          <w:rFonts w:ascii="Palatino Linotype" w:hAnsi="Palatino Linotype"/>
          <w:b/>
          <w:bCs/>
          <w:color w:val="000000" w:themeColor="text1"/>
        </w:rPr>
        <w:t>De</w:t>
      </w:r>
      <w:r w:rsidR="005930F8" w:rsidRPr="003A787D">
        <w:rPr>
          <w:rFonts w:ascii="Palatino Linotype" w:hAnsi="Palatino Linotype"/>
          <w:b/>
          <w:bCs/>
          <w:color w:val="000000" w:themeColor="text1"/>
        </w:rPr>
        <w:t xml:space="preserve">l </w:t>
      </w:r>
      <w:r w:rsidR="005A179D" w:rsidRPr="003A787D">
        <w:rPr>
          <w:rFonts w:ascii="Palatino Linotype" w:hAnsi="Palatino Linotype"/>
          <w:b/>
          <w:bCs/>
          <w:color w:val="000000" w:themeColor="text1"/>
        </w:rPr>
        <w:t>Sistema Municipal para el Desarrollo Integral de la Familia de Tenancingo</w:t>
      </w:r>
      <w:r w:rsidR="00B13760" w:rsidRPr="003A787D">
        <w:rPr>
          <w:rFonts w:ascii="Palatino Linotype" w:hAnsi="Palatino Linotype"/>
          <w:b/>
          <w:bCs/>
          <w:color w:val="000000" w:themeColor="text1"/>
        </w:rPr>
        <w:t>.</w:t>
      </w:r>
      <w:bookmarkEnd w:id="27"/>
    </w:p>
    <w:p w14:paraId="6B491F76" w14:textId="77777777" w:rsidR="00B13760" w:rsidRPr="003A787D" w:rsidRDefault="00B13760" w:rsidP="00B13760">
      <w:pPr>
        <w:pStyle w:val="Prrafodelista"/>
        <w:tabs>
          <w:tab w:val="left" w:pos="426"/>
        </w:tabs>
        <w:spacing w:before="240" w:after="240" w:line="360" w:lineRule="auto"/>
        <w:ind w:left="0" w:right="51"/>
        <w:jc w:val="both"/>
        <w:rPr>
          <w:rFonts w:ascii="Palatino Linotype" w:hAnsi="Palatino Linotype"/>
          <w:color w:val="000000" w:themeColor="text1"/>
        </w:rPr>
      </w:pPr>
    </w:p>
    <w:p w14:paraId="7219D460" w14:textId="77777777" w:rsidR="008764FB" w:rsidRPr="003A787D" w:rsidRDefault="008764FB" w:rsidP="008764FB">
      <w:pPr>
        <w:pStyle w:val="Prrafodelista"/>
        <w:numPr>
          <w:ilvl w:val="0"/>
          <w:numId w:val="1"/>
        </w:numPr>
        <w:tabs>
          <w:tab w:val="left" w:pos="426"/>
        </w:tabs>
        <w:spacing w:before="240" w:after="240" w:line="360" w:lineRule="auto"/>
        <w:ind w:right="51"/>
        <w:jc w:val="both"/>
        <w:rPr>
          <w:rFonts w:ascii="Palatino Linotype" w:hAnsi="Palatino Linotype"/>
          <w:color w:val="000000" w:themeColor="text1"/>
        </w:rPr>
      </w:pPr>
      <w:r w:rsidRPr="003A787D">
        <w:rPr>
          <w:rFonts w:ascii="Palatino Linotype" w:hAnsi="Palatino Linotype"/>
          <w:color w:val="000000" w:themeColor="text1"/>
        </w:rPr>
        <w:t>La Ley de Transparencia y Acceso a la Información Pública del Estado de México y Municipios, en su artículo 150, establece que el procedimiento de acceso a la información es la garantía primaria del derecho en cuestión y se rige por los principios de simplicidad, rapidez gratuidad del procedimiento, auxilio y orientación a los particulares, así como atención adecuada a las personas con discapacidad y a los hablantes de lengua indígena con el objeto de otorgar la protección más amplia del derecho de las personas.</w:t>
      </w:r>
    </w:p>
    <w:p w14:paraId="63F5541E" w14:textId="77777777" w:rsidR="008764FB" w:rsidRPr="003A787D" w:rsidRDefault="008764FB" w:rsidP="008764FB">
      <w:pPr>
        <w:pStyle w:val="Prrafodelista"/>
        <w:tabs>
          <w:tab w:val="left" w:pos="426"/>
        </w:tabs>
        <w:spacing w:before="240" w:after="240" w:line="360" w:lineRule="auto"/>
        <w:ind w:left="0" w:right="51"/>
        <w:jc w:val="both"/>
        <w:rPr>
          <w:rFonts w:ascii="Palatino Linotype" w:hAnsi="Palatino Linotype"/>
          <w:color w:val="000000" w:themeColor="text1"/>
        </w:rPr>
      </w:pPr>
    </w:p>
    <w:p w14:paraId="55A8FCCE" w14:textId="77777777" w:rsidR="008764FB" w:rsidRPr="003A787D" w:rsidRDefault="008764FB" w:rsidP="008764FB">
      <w:pPr>
        <w:pStyle w:val="Prrafodelista"/>
        <w:numPr>
          <w:ilvl w:val="0"/>
          <w:numId w:val="1"/>
        </w:numPr>
        <w:tabs>
          <w:tab w:val="left" w:pos="426"/>
        </w:tabs>
        <w:spacing w:before="240" w:after="240" w:line="360" w:lineRule="auto"/>
        <w:ind w:right="51"/>
        <w:jc w:val="both"/>
        <w:rPr>
          <w:rFonts w:ascii="Palatino Linotype" w:hAnsi="Palatino Linotype"/>
          <w:color w:val="000000" w:themeColor="text1"/>
        </w:rPr>
      </w:pPr>
      <w:r w:rsidRPr="003A787D">
        <w:rPr>
          <w:rFonts w:ascii="Palatino Linotype" w:hAnsi="Palatino Linotype"/>
          <w:color w:val="000000" w:themeColor="text1"/>
        </w:rPr>
        <w:t xml:space="preserve">Para atender las solicitudes de información, los Sujetos Obligados contarán con un área denominada </w:t>
      </w:r>
      <w:r w:rsidRPr="003A787D">
        <w:rPr>
          <w:rFonts w:ascii="Palatino Linotype" w:hAnsi="Palatino Linotype"/>
          <w:b/>
          <w:bCs/>
          <w:color w:val="000000" w:themeColor="text1"/>
        </w:rPr>
        <w:t>Unidad de Transparencia</w:t>
      </w:r>
      <w:r w:rsidRPr="003A787D">
        <w:rPr>
          <w:rFonts w:ascii="Palatino Linotype" w:hAnsi="Palatino Linotype"/>
          <w:color w:val="000000" w:themeColor="text1"/>
          <w:vertAlign w:val="superscript"/>
        </w:rPr>
        <w:footnoteReference w:id="5"/>
      </w:r>
      <w:r w:rsidRPr="003A787D">
        <w:rPr>
          <w:rFonts w:ascii="Palatino Linotype" w:hAnsi="Palatino Linotype"/>
          <w:color w:val="000000" w:themeColor="text1"/>
        </w:rPr>
        <w:t xml:space="preserve">, la cual será presidida por un Titular, quien fungirá como enlace entre éstos y los solicitantes. Dicha Unidad </w:t>
      </w:r>
      <w:r w:rsidRPr="003A787D">
        <w:rPr>
          <w:rFonts w:ascii="Palatino Linotype" w:hAnsi="Palatino Linotype"/>
          <w:b/>
          <w:bCs/>
          <w:color w:val="000000" w:themeColor="text1"/>
        </w:rPr>
        <w:t>será la encargada de tramitar internamente la solicitud de información</w:t>
      </w:r>
      <w:r w:rsidRPr="003A787D">
        <w:rPr>
          <w:rFonts w:ascii="Palatino Linotype" w:hAnsi="Palatino Linotype"/>
          <w:color w:val="000000" w:themeColor="text1"/>
        </w:rPr>
        <w:t xml:space="preserve"> y tendrá la responsabilidad de verificar en cada caso que la misma no sea confidencial o reservada. Asimismo, contará con las facultades internas necesarias para </w:t>
      </w:r>
      <w:r w:rsidRPr="003A787D">
        <w:rPr>
          <w:rFonts w:ascii="Palatino Linotype" w:hAnsi="Palatino Linotype"/>
          <w:b/>
          <w:bCs/>
          <w:color w:val="000000" w:themeColor="text1"/>
        </w:rPr>
        <w:t xml:space="preserve">gestionar la atención a las solicitudes de información </w:t>
      </w:r>
      <w:r w:rsidRPr="003A787D">
        <w:rPr>
          <w:rFonts w:ascii="Palatino Linotype" w:hAnsi="Palatino Linotype"/>
          <w:color w:val="000000" w:themeColor="text1"/>
        </w:rPr>
        <w:t xml:space="preserve">en los términos de la Ley General y la </w:t>
      </w:r>
      <w:r w:rsidRPr="003A787D">
        <w:rPr>
          <w:rFonts w:ascii="Palatino Linotype" w:hAnsi="Palatino Linotype"/>
          <w:color w:val="000000" w:themeColor="text1"/>
        </w:rPr>
        <w:lastRenderedPageBreak/>
        <w:t>Ley de Transparencia y Acceso a la Información Pública del Estado de México y Municipios</w:t>
      </w:r>
      <w:r w:rsidRPr="003A787D">
        <w:rPr>
          <w:rFonts w:ascii="Palatino Linotype" w:hAnsi="Palatino Linotype"/>
          <w:color w:val="000000" w:themeColor="text1"/>
          <w:vertAlign w:val="superscript"/>
        </w:rPr>
        <w:footnoteReference w:id="6"/>
      </w:r>
      <w:r w:rsidRPr="003A787D">
        <w:rPr>
          <w:rFonts w:ascii="Palatino Linotype" w:hAnsi="Palatino Linotype"/>
          <w:color w:val="000000" w:themeColor="text1"/>
        </w:rPr>
        <w:t>.</w:t>
      </w:r>
    </w:p>
    <w:p w14:paraId="4EF758FB" w14:textId="77777777" w:rsidR="008764FB" w:rsidRPr="003A787D" w:rsidRDefault="008764FB" w:rsidP="008764FB">
      <w:pPr>
        <w:pStyle w:val="Prrafodelista"/>
        <w:tabs>
          <w:tab w:val="left" w:pos="426"/>
        </w:tabs>
        <w:spacing w:before="240" w:after="240" w:line="360" w:lineRule="auto"/>
        <w:ind w:left="0" w:right="51"/>
        <w:jc w:val="both"/>
        <w:rPr>
          <w:rFonts w:ascii="Palatino Linotype" w:hAnsi="Palatino Linotype"/>
          <w:color w:val="000000" w:themeColor="text1"/>
        </w:rPr>
      </w:pPr>
    </w:p>
    <w:p w14:paraId="021D6F7A" w14:textId="77777777" w:rsidR="008764FB" w:rsidRPr="003A787D" w:rsidRDefault="008764FB" w:rsidP="008764FB">
      <w:pPr>
        <w:pStyle w:val="Prrafodelista"/>
        <w:numPr>
          <w:ilvl w:val="0"/>
          <w:numId w:val="1"/>
        </w:numPr>
        <w:tabs>
          <w:tab w:val="left" w:pos="426"/>
        </w:tabs>
        <w:spacing w:before="240" w:after="240" w:line="360" w:lineRule="auto"/>
        <w:ind w:right="51"/>
        <w:jc w:val="both"/>
        <w:rPr>
          <w:rFonts w:ascii="Palatino Linotype" w:hAnsi="Palatino Linotype"/>
          <w:color w:val="000000" w:themeColor="text1"/>
        </w:rPr>
      </w:pPr>
      <w:r w:rsidRPr="003A787D">
        <w:rPr>
          <w:rFonts w:ascii="Palatino Linotype" w:hAnsi="Palatino Linotype"/>
          <w:color w:val="000000" w:themeColor="text1"/>
        </w:rPr>
        <w:t xml:space="preserve">De </w:t>
      </w:r>
      <w:r w:rsidRPr="003A787D">
        <w:rPr>
          <w:rFonts w:ascii="Palatino Linotype" w:hAnsi="Palatino Linotype" w:cs="Arial"/>
          <w:color w:val="000000" w:themeColor="text1"/>
        </w:rPr>
        <w:t>conformidad con lo dispuesto por el artículo 53 de la Ley de Transparencia y Acceso a la Información Pública del Estado de México y Municipios, las Unidades de Transparencia tendrán, entre sus atribuciones, las siguientes:</w:t>
      </w:r>
    </w:p>
    <w:p w14:paraId="3E4A4A13" w14:textId="77777777" w:rsidR="008764FB" w:rsidRPr="003A787D" w:rsidRDefault="008764FB" w:rsidP="008764FB">
      <w:pPr>
        <w:pStyle w:val="Prrafodelista"/>
        <w:numPr>
          <w:ilvl w:val="1"/>
          <w:numId w:val="13"/>
        </w:numPr>
        <w:tabs>
          <w:tab w:val="left" w:pos="426"/>
        </w:tabs>
        <w:spacing w:before="240" w:after="240" w:line="360" w:lineRule="auto"/>
        <w:ind w:left="1134" w:right="51"/>
        <w:jc w:val="both"/>
        <w:rPr>
          <w:rFonts w:ascii="Palatino Linotype" w:hAnsi="Palatino Linotype" w:cs="Arial"/>
          <w:color w:val="000000" w:themeColor="text1"/>
        </w:rPr>
      </w:pPr>
      <w:r w:rsidRPr="003A787D">
        <w:rPr>
          <w:rFonts w:ascii="Palatino Linotype" w:hAnsi="Palatino Linotype" w:cs="Arial"/>
          <w:color w:val="000000" w:themeColor="text1"/>
        </w:rPr>
        <w:t>Recibir, tramitar y dar respuesta a las solicitudes de acceso a la información;</w:t>
      </w:r>
    </w:p>
    <w:p w14:paraId="4308A1EE" w14:textId="77777777" w:rsidR="008764FB" w:rsidRPr="003A787D" w:rsidRDefault="008764FB" w:rsidP="008764FB">
      <w:pPr>
        <w:pStyle w:val="Prrafodelista"/>
        <w:numPr>
          <w:ilvl w:val="1"/>
          <w:numId w:val="13"/>
        </w:numPr>
        <w:tabs>
          <w:tab w:val="left" w:pos="426"/>
        </w:tabs>
        <w:spacing w:before="240" w:after="240" w:line="360" w:lineRule="auto"/>
        <w:ind w:left="1134" w:right="51"/>
        <w:jc w:val="both"/>
        <w:rPr>
          <w:rFonts w:ascii="Palatino Linotype" w:hAnsi="Palatino Linotype" w:cs="Arial"/>
          <w:color w:val="000000" w:themeColor="text1"/>
        </w:rPr>
      </w:pPr>
      <w:r w:rsidRPr="003A787D">
        <w:rPr>
          <w:rFonts w:ascii="Palatino Linotype" w:hAnsi="Palatino Linotype" w:cs="Arial"/>
          <w:b/>
          <w:bCs/>
          <w:color w:val="000000" w:themeColor="text1"/>
        </w:rPr>
        <w:t>Realizar, con efectividad, los trámites internos necesarios para la atención de las solicitudes de acceso a la información</w:t>
      </w:r>
      <w:r w:rsidRPr="003A787D">
        <w:rPr>
          <w:rFonts w:ascii="Palatino Linotype" w:hAnsi="Palatino Linotype" w:cs="Arial"/>
          <w:color w:val="000000" w:themeColor="text1"/>
        </w:rPr>
        <w:t xml:space="preserve">; </w:t>
      </w:r>
    </w:p>
    <w:p w14:paraId="3D390EF0" w14:textId="77777777" w:rsidR="008764FB" w:rsidRPr="003A787D" w:rsidRDefault="008764FB" w:rsidP="008764FB">
      <w:pPr>
        <w:pStyle w:val="Prrafodelista"/>
        <w:numPr>
          <w:ilvl w:val="1"/>
          <w:numId w:val="13"/>
        </w:numPr>
        <w:tabs>
          <w:tab w:val="left" w:pos="426"/>
        </w:tabs>
        <w:spacing w:before="240" w:after="240" w:line="360" w:lineRule="auto"/>
        <w:ind w:left="1134" w:right="51"/>
        <w:jc w:val="both"/>
        <w:rPr>
          <w:rFonts w:ascii="Palatino Linotype" w:hAnsi="Palatino Linotype" w:cs="Arial"/>
          <w:color w:val="000000" w:themeColor="text1"/>
        </w:rPr>
      </w:pPr>
      <w:r w:rsidRPr="003A787D">
        <w:rPr>
          <w:rFonts w:ascii="Palatino Linotype" w:hAnsi="Palatino Linotype" w:cs="Arial"/>
          <w:color w:val="000000" w:themeColor="text1"/>
        </w:rPr>
        <w:t xml:space="preserve">Entregar, en su caso, a los particulares la información solicitada; y </w:t>
      </w:r>
    </w:p>
    <w:p w14:paraId="50FEE11B" w14:textId="77777777" w:rsidR="008764FB" w:rsidRPr="003A787D" w:rsidRDefault="008764FB" w:rsidP="008764FB">
      <w:pPr>
        <w:pStyle w:val="Prrafodelista"/>
        <w:numPr>
          <w:ilvl w:val="1"/>
          <w:numId w:val="13"/>
        </w:numPr>
        <w:tabs>
          <w:tab w:val="left" w:pos="426"/>
        </w:tabs>
        <w:spacing w:before="240" w:after="240" w:line="360" w:lineRule="auto"/>
        <w:ind w:left="1134" w:right="51"/>
        <w:jc w:val="both"/>
        <w:rPr>
          <w:rFonts w:ascii="Palatino Linotype" w:hAnsi="Palatino Linotype"/>
          <w:color w:val="000000" w:themeColor="text1"/>
        </w:rPr>
      </w:pPr>
      <w:r w:rsidRPr="003A787D">
        <w:rPr>
          <w:rFonts w:ascii="Palatino Linotype" w:hAnsi="Palatino Linotype" w:cs="Arial"/>
          <w:color w:val="000000" w:themeColor="text1"/>
        </w:rPr>
        <w:t>Hacer del conocimiento de la instancia competente la probable responsabilidad por el incumplimiento de las obligaciones previstas en la Ley de la materia.</w:t>
      </w:r>
    </w:p>
    <w:p w14:paraId="5D0EB36E" w14:textId="77777777" w:rsidR="008764FB" w:rsidRPr="003A787D" w:rsidRDefault="008764FB" w:rsidP="008764FB">
      <w:pPr>
        <w:pStyle w:val="Prrafodelista"/>
        <w:tabs>
          <w:tab w:val="left" w:pos="426"/>
        </w:tabs>
        <w:spacing w:before="240" w:after="240" w:line="360" w:lineRule="auto"/>
        <w:ind w:left="0" w:right="51"/>
        <w:jc w:val="both"/>
        <w:rPr>
          <w:rFonts w:ascii="Palatino Linotype" w:hAnsi="Palatino Linotype"/>
          <w:color w:val="000000" w:themeColor="text1"/>
        </w:rPr>
      </w:pPr>
    </w:p>
    <w:p w14:paraId="18066F03" w14:textId="77777777" w:rsidR="008764FB" w:rsidRPr="003A787D" w:rsidRDefault="008764FB" w:rsidP="008764FB">
      <w:pPr>
        <w:pStyle w:val="Prrafodelista"/>
        <w:numPr>
          <w:ilvl w:val="0"/>
          <w:numId w:val="1"/>
        </w:numPr>
        <w:tabs>
          <w:tab w:val="left" w:pos="426"/>
        </w:tabs>
        <w:spacing w:before="240" w:after="240" w:line="360" w:lineRule="auto"/>
        <w:ind w:right="51"/>
        <w:jc w:val="both"/>
        <w:rPr>
          <w:rFonts w:ascii="Palatino Linotype" w:hAnsi="Palatino Linotype"/>
          <w:color w:val="000000" w:themeColor="text1"/>
        </w:rPr>
      </w:pPr>
      <w:r w:rsidRPr="003A787D">
        <w:rPr>
          <w:rFonts w:ascii="Palatino Linotype" w:hAnsi="Palatino Linotype"/>
          <w:color w:val="000000" w:themeColor="text1"/>
        </w:rPr>
        <w:t xml:space="preserve">Otros </w:t>
      </w:r>
      <w:r w:rsidRPr="003A787D">
        <w:rPr>
          <w:rFonts w:ascii="Palatino Linotype" w:hAnsi="Palatino Linotype" w:cs="Arial"/>
          <w:color w:val="000000" w:themeColor="text1"/>
        </w:rPr>
        <w:t>sujetos del proceso de atención a las solicitudes de información son los servidores públicos habilitados, quienes serán designados por el titular del Sujeto Obligado a propuesta del responsable de la Unidad de Transparencia</w:t>
      </w:r>
      <w:r w:rsidRPr="003A787D">
        <w:rPr>
          <w:rStyle w:val="Refdenotaalpie"/>
          <w:rFonts w:ascii="Palatino Linotype" w:hAnsi="Palatino Linotype" w:cs="Arial"/>
          <w:color w:val="000000" w:themeColor="text1"/>
        </w:rPr>
        <w:footnoteReference w:id="7"/>
      </w:r>
      <w:r w:rsidRPr="003A787D">
        <w:rPr>
          <w:rFonts w:ascii="Palatino Linotype" w:hAnsi="Palatino Linotype" w:cs="Arial"/>
          <w:color w:val="000000" w:themeColor="text1"/>
        </w:rPr>
        <w:t xml:space="preserve"> y tendrán, entre sus atribuciones, las siguientes</w:t>
      </w:r>
      <w:r w:rsidRPr="003A787D">
        <w:rPr>
          <w:rStyle w:val="Refdenotaalpie"/>
          <w:rFonts w:ascii="Palatino Linotype" w:hAnsi="Palatino Linotype" w:cs="Arial"/>
          <w:color w:val="000000" w:themeColor="text1"/>
        </w:rPr>
        <w:footnoteReference w:id="8"/>
      </w:r>
      <w:r w:rsidRPr="003A787D">
        <w:rPr>
          <w:rFonts w:ascii="Palatino Linotype" w:hAnsi="Palatino Linotype" w:cs="Arial"/>
          <w:color w:val="000000" w:themeColor="text1"/>
        </w:rPr>
        <w:t>:</w:t>
      </w:r>
    </w:p>
    <w:p w14:paraId="49DD76B8" w14:textId="77777777" w:rsidR="008764FB" w:rsidRPr="003A787D" w:rsidRDefault="008764FB" w:rsidP="008764FB">
      <w:pPr>
        <w:pStyle w:val="Prrafodelista"/>
        <w:numPr>
          <w:ilvl w:val="1"/>
          <w:numId w:val="14"/>
        </w:numPr>
        <w:tabs>
          <w:tab w:val="left" w:pos="426"/>
        </w:tabs>
        <w:spacing w:before="240" w:after="240" w:line="360" w:lineRule="auto"/>
        <w:ind w:left="1134" w:right="51"/>
        <w:jc w:val="both"/>
        <w:rPr>
          <w:rFonts w:ascii="Palatino Linotype" w:hAnsi="Palatino Linotype"/>
          <w:color w:val="000000" w:themeColor="text1"/>
        </w:rPr>
      </w:pPr>
      <w:r w:rsidRPr="003A787D">
        <w:rPr>
          <w:rFonts w:ascii="Palatino Linotype" w:hAnsi="Palatino Linotype" w:cs="Arial"/>
          <w:color w:val="000000" w:themeColor="text1"/>
        </w:rPr>
        <w:t>Localizar la información que le solicite la Unidad de Transparencia; y</w:t>
      </w:r>
    </w:p>
    <w:p w14:paraId="50204643" w14:textId="77777777" w:rsidR="008764FB" w:rsidRPr="003A787D" w:rsidRDefault="008764FB" w:rsidP="008764FB">
      <w:pPr>
        <w:pStyle w:val="Prrafodelista"/>
        <w:numPr>
          <w:ilvl w:val="1"/>
          <w:numId w:val="14"/>
        </w:numPr>
        <w:tabs>
          <w:tab w:val="left" w:pos="426"/>
        </w:tabs>
        <w:spacing w:before="240" w:after="240" w:line="360" w:lineRule="auto"/>
        <w:ind w:left="1134" w:right="51"/>
        <w:jc w:val="both"/>
        <w:rPr>
          <w:rFonts w:ascii="Palatino Linotype" w:hAnsi="Palatino Linotype"/>
          <w:color w:val="000000" w:themeColor="text1"/>
        </w:rPr>
      </w:pPr>
      <w:r w:rsidRPr="003A787D">
        <w:rPr>
          <w:rFonts w:ascii="Palatino Linotype" w:hAnsi="Palatino Linotype" w:cs="Arial"/>
          <w:color w:val="000000" w:themeColor="text1"/>
        </w:rPr>
        <w:t>Proporcionar la información que obre en sus archivos y que le sea solicitada por la Unidad de Transparencia.</w:t>
      </w:r>
    </w:p>
    <w:p w14:paraId="013454E1" w14:textId="77777777" w:rsidR="008764FB" w:rsidRPr="003A787D" w:rsidRDefault="008764FB" w:rsidP="008764FB">
      <w:pPr>
        <w:pStyle w:val="Prrafodelista"/>
        <w:tabs>
          <w:tab w:val="left" w:pos="426"/>
        </w:tabs>
        <w:spacing w:before="240" w:after="240" w:line="360" w:lineRule="auto"/>
        <w:ind w:left="0" w:right="51"/>
        <w:jc w:val="both"/>
        <w:rPr>
          <w:rFonts w:ascii="Palatino Linotype" w:hAnsi="Palatino Linotype"/>
          <w:color w:val="000000" w:themeColor="text1"/>
        </w:rPr>
      </w:pPr>
    </w:p>
    <w:p w14:paraId="5D0DA74E" w14:textId="62F754B1" w:rsidR="008764FB" w:rsidRPr="003A787D" w:rsidRDefault="008764FB" w:rsidP="008764FB">
      <w:pPr>
        <w:pStyle w:val="Prrafodelista"/>
        <w:numPr>
          <w:ilvl w:val="0"/>
          <w:numId w:val="1"/>
        </w:numPr>
        <w:tabs>
          <w:tab w:val="left" w:pos="426"/>
        </w:tabs>
        <w:spacing w:before="240" w:after="240" w:line="360" w:lineRule="auto"/>
        <w:ind w:right="51"/>
        <w:jc w:val="both"/>
        <w:rPr>
          <w:rFonts w:ascii="Palatino Linotype" w:hAnsi="Palatino Linotype"/>
          <w:color w:val="000000" w:themeColor="text1"/>
        </w:rPr>
      </w:pPr>
      <w:r w:rsidRPr="003A787D">
        <w:rPr>
          <w:rFonts w:ascii="Palatino Linotype" w:hAnsi="Palatino Linotype"/>
          <w:color w:val="000000" w:themeColor="text1"/>
        </w:rPr>
        <w:t xml:space="preserve">De </w:t>
      </w:r>
      <w:r w:rsidRPr="003A787D">
        <w:rPr>
          <w:rFonts w:ascii="Palatino Linotype" w:hAnsi="Palatino Linotype" w:cs="Arial"/>
          <w:color w:val="000000" w:themeColor="text1"/>
        </w:rPr>
        <w:t xml:space="preserve">tal manera que cada una de las áreas administrativas del </w:t>
      </w:r>
      <w:r w:rsidRPr="003A787D">
        <w:rPr>
          <w:rFonts w:ascii="Palatino Linotype" w:hAnsi="Palatino Linotype" w:cs="Arial"/>
          <w:b/>
          <w:bCs/>
          <w:color w:val="000000" w:themeColor="text1"/>
        </w:rPr>
        <w:t>SUJETO OBLIGADO</w:t>
      </w:r>
      <w:r w:rsidRPr="003A787D">
        <w:rPr>
          <w:rFonts w:ascii="Palatino Linotype" w:hAnsi="Palatino Linotype" w:cs="Arial"/>
          <w:color w:val="000000" w:themeColor="text1"/>
        </w:rPr>
        <w:t xml:space="preserve"> deberá contar con un servidor público habilitado, quien será, a su vez, el enlace entre la Unidad de Transparencia y el área administrativa, y se encargará de buscar, localizar y proporcionar la información que se requiera a través de las solicitudes de acceso a la información.</w:t>
      </w:r>
    </w:p>
    <w:p w14:paraId="6EA790B5" w14:textId="77777777" w:rsidR="008764FB" w:rsidRPr="003A787D" w:rsidRDefault="008764FB" w:rsidP="008764FB">
      <w:pPr>
        <w:pStyle w:val="Prrafodelista"/>
        <w:tabs>
          <w:tab w:val="left" w:pos="426"/>
        </w:tabs>
        <w:spacing w:before="240" w:after="240" w:line="360" w:lineRule="auto"/>
        <w:ind w:left="0" w:right="51"/>
        <w:jc w:val="both"/>
        <w:rPr>
          <w:rFonts w:ascii="Palatino Linotype" w:hAnsi="Palatino Linotype"/>
          <w:color w:val="000000" w:themeColor="text1"/>
        </w:rPr>
      </w:pPr>
    </w:p>
    <w:p w14:paraId="1AE5F30F" w14:textId="4A459238" w:rsidR="00923E6F" w:rsidRPr="003A787D" w:rsidRDefault="008764FB" w:rsidP="003E1087">
      <w:pPr>
        <w:pStyle w:val="Prrafodelista"/>
        <w:numPr>
          <w:ilvl w:val="0"/>
          <w:numId w:val="1"/>
        </w:numPr>
        <w:tabs>
          <w:tab w:val="left" w:pos="426"/>
        </w:tabs>
        <w:spacing w:before="240" w:after="240" w:line="360" w:lineRule="auto"/>
        <w:ind w:right="51"/>
        <w:jc w:val="both"/>
        <w:rPr>
          <w:rFonts w:ascii="Palatino Linotype" w:hAnsi="Palatino Linotype"/>
          <w:color w:val="000000" w:themeColor="text1"/>
        </w:rPr>
      </w:pPr>
      <w:r w:rsidRPr="003A787D">
        <w:rPr>
          <w:rFonts w:ascii="Palatino Linotype" w:hAnsi="Palatino Linotype"/>
          <w:color w:val="000000" w:themeColor="text1"/>
        </w:rPr>
        <w:t>Ahora bien, el</w:t>
      </w:r>
      <w:r w:rsidR="00882E82" w:rsidRPr="003A787D">
        <w:rPr>
          <w:rFonts w:ascii="Palatino Linotype" w:hAnsi="Palatino Linotype"/>
          <w:color w:val="000000" w:themeColor="text1"/>
        </w:rPr>
        <w:t xml:space="preserve"> artículo 115 de la Constitución Política de los Estados Unidos Mexicanos establece que </w:t>
      </w:r>
      <w:r w:rsidR="00882E82" w:rsidRPr="003A787D">
        <w:rPr>
          <w:rFonts w:ascii="Palatino Linotype" w:hAnsi="Palatino Linotype"/>
          <w:b/>
          <w:bCs/>
          <w:color w:val="000000" w:themeColor="text1"/>
        </w:rPr>
        <w:t>los municipios estarán investidos de personalidad jurídica</w:t>
      </w:r>
      <w:r w:rsidR="00882E82" w:rsidRPr="003A787D">
        <w:rPr>
          <w:rFonts w:ascii="Palatino Linotype" w:hAnsi="Palatino Linotype"/>
          <w:color w:val="000000" w:themeColor="text1"/>
        </w:rPr>
        <w:t xml:space="preserve"> y manejarán su patrimonio conforme a la Ley; asimismo, señala que </w:t>
      </w:r>
      <w:r w:rsidR="00882E82" w:rsidRPr="003A787D">
        <w:rPr>
          <w:rFonts w:ascii="Palatino Linotype" w:hAnsi="Palatino Linotype"/>
          <w:b/>
          <w:bCs/>
          <w:color w:val="000000" w:themeColor="text1"/>
        </w:rPr>
        <w:t>administrarán libremente su hacienda</w:t>
      </w:r>
      <w:r w:rsidR="00882E82" w:rsidRPr="003A787D">
        <w:rPr>
          <w:rFonts w:ascii="Palatino Linotype" w:hAnsi="Palatino Linotype"/>
          <w:color w:val="000000" w:themeColor="text1"/>
        </w:rPr>
        <w:t>, la cual se conformará de los rendimientos de los bienes que les pertenezcan, así como de las contribuciones y otros ingresos que las legislaturas establezcan a su favor.</w:t>
      </w:r>
    </w:p>
    <w:p w14:paraId="3E679140" w14:textId="77777777" w:rsidR="003F2959" w:rsidRPr="003A787D" w:rsidRDefault="003F2959" w:rsidP="003F2959">
      <w:pPr>
        <w:pStyle w:val="Prrafodelista"/>
        <w:tabs>
          <w:tab w:val="left" w:pos="426"/>
        </w:tabs>
        <w:spacing w:before="240" w:after="240" w:line="360" w:lineRule="auto"/>
        <w:ind w:left="0" w:right="51"/>
        <w:jc w:val="both"/>
        <w:rPr>
          <w:rFonts w:ascii="Palatino Linotype" w:hAnsi="Palatino Linotype"/>
          <w:color w:val="000000" w:themeColor="text1"/>
        </w:rPr>
      </w:pPr>
    </w:p>
    <w:p w14:paraId="61591E9A" w14:textId="3DB69347" w:rsidR="003F2959" w:rsidRPr="003A787D" w:rsidRDefault="008764FB" w:rsidP="003E1087">
      <w:pPr>
        <w:pStyle w:val="Prrafodelista"/>
        <w:numPr>
          <w:ilvl w:val="0"/>
          <w:numId w:val="1"/>
        </w:numPr>
        <w:tabs>
          <w:tab w:val="left" w:pos="426"/>
        </w:tabs>
        <w:spacing w:before="240" w:after="240" w:line="360" w:lineRule="auto"/>
        <w:ind w:right="51"/>
        <w:jc w:val="both"/>
        <w:rPr>
          <w:rFonts w:ascii="Palatino Linotype" w:hAnsi="Palatino Linotype"/>
          <w:color w:val="000000" w:themeColor="text1"/>
        </w:rPr>
      </w:pPr>
      <w:r w:rsidRPr="003A787D">
        <w:rPr>
          <w:rFonts w:ascii="Palatino Linotype" w:hAnsi="Palatino Linotype"/>
          <w:color w:val="000000" w:themeColor="text1"/>
        </w:rPr>
        <w:t xml:space="preserve">En ese </w:t>
      </w:r>
      <w:r w:rsidRPr="003A787D">
        <w:rPr>
          <w:rFonts w:ascii="Palatino Linotype" w:eastAsia="MS Mincho" w:hAnsi="Palatino Linotype" w:cs="Times New Roman"/>
          <w:lang w:val="es-ES_tradnl"/>
        </w:rPr>
        <w:t>orden de ideas el artículo 31 de la Ley Orgánica Municipal del Estado de México y Municipios a la letra dice:</w:t>
      </w:r>
    </w:p>
    <w:p w14:paraId="6D2FB4F2" w14:textId="768FB5AA" w:rsidR="003F2959" w:rsidRPr="003A787D" w:rsidRDefault="003F2959" w:rsidP="008764FB">
      <w:pPr>
        <w:pStyle w:val="Prrafodelista"/>
        <w:tabs>
          <w:tab w:val="left" w:pos="426"/>
        </w:tabs>
        <w:spacing w:before="240" w:line="360" w:lineRule="auto"/>
        <w:ind w:left="0" w:right="51"/>
        <w:jc w:val="both"/>
        <w:rPr>
          <w:rFonts w:ascii="Palatino Linotype" w:hAnsi="Palatino Linotype"/>
          <w:color w:val="000000" w:themeColor="text1"/>
        </w:rPr>
      </w:pPr>
    </w:p>
    <w:p w14:paraId="3103B544" w14:textId="77777777" w:rsidR="008764FB" w:rsidRPr="003A787D" w:rsidRDefault="008764FB" w:rsidP="008764FB">
      <w:pPr>
        <w:pStyle w:val="Sinespaciado"/>
        <w:spacing w:line="276" w:lineRule="auto"/>
        <w:ind w:left="567" w:right="567"/>
        <w:jc w:val="both"/>
        <w:rPr>
          <w:rFonts w:ascii="Palatino Linotype" w:hAnsi="Palatino Linotype"/>
          <w:i/>
          <w:sz w:val="22"/>
        </w:rPr>
      </w:pPr>
      <w:r w:rsidRPr="003A787D">
        <w:rPr>
          <w:rFonts w:ascii="Palatino Linotype" w:hAnsi="Palatino Linotype"/>
          <w:i/>
          <w:sz w:val="22"/>
        </w:rPr>
        <w:t>“</w:t>
      </w:r>
      <w:r w:rsidRPr="003A787D">
        <w:rPr>
          <w:rFonts w:ascii="Palatino Linotype" w:hAnsi="Palatino Linotype"/>
          <w:b/>
          <w:i/>
          <w:sz w:val="22"/>
        </w:rPr>
        <w:t>Artículo 31</w:t>
      </w:r>
      <w:r w:rsidRPr="003A787D">
        <w:rPr>
          <w:rFonts w:ascii="Palatino Linotype" w:hAnsi="Palatino Linotype"/>
          <w:i/>
          <w:sz w:val="22"/>
        </w:rPr>
        <w:t xml:space="preserve">.- </w:t>
      </w:r>
      <w:r w:rsidRPr="003A787D">
        <w:rPr>
          <w:rFonts w:ascii="Palatino Linotype" w:hAnsi="Palatino Linotype"/>
          <w:b/>
          <w:bCs/>
          <w:i/>
          <w:sz w:val="22"/>
        </w:rPr>
        <w:t>Son atribuciones de los ayuntamientos</w:t>
      </w:r>
      <w:r w:rsidRPr="003A787D">
        <w:rPr>
          <w:rFonts w:ascii="Palatino Linotype" w:hAnsi="Palatino Linotype"/>
          <w:i/>
          <w:sz w:val="22"/>
        </w:rPr>
        <w:t xml:space="preserve">: </w:t>
      </w:r>
    </w:p>
    <w:p w14:paraId="764DCF96" w14:textId="77777777" w:rsidR="008764FB" w:rsidRPr="003A787D" w:rsidRDefault="008764FB" w:rsidP="008764FB">
      <w:pPr>
        <w:pStyle w:val="Sinespaciado"/>
        <w:spacing w:line="276" w:lineRule="auto"/>
        <w:ind w:left="567" w:right="567"/>
        <w:jc w:val="both"/>
        <w:rPr>
          <w:rFonts w:ascii="Palatino Linotype" w:hAnsi="Palatino Linotype"/>
          <w:i/>
          <w:sz w:val="22"/>
        </w:rPr>
      </w:pPr>
      <w:r w:rsidRPr="003A787D">
        <w:rPr>
          <w:rFonts w:ascii="Palatino Linotype" w:hAnsi="Palatino Linotype"/>
          <w:i/>
          <w:sz w:val="22"/>
        </w:rPr>
        <w:t>(…)</w:t>
      </w:r>
    </w:p>
    <w:p w14:paraId="22219E30" w14:textId="77777777" w:rsidR="008764FB" w:rsidRPr="003A787D" w:rsidRDefault="008764FB" w:rsidP="008764FB">
      <w:pPr>
        <w:pStyle w:val="Sinespaciado"/>
        <w:spacing w:line="276" w:lineRule="auto"/>
        <w:ind w:left="567" w:right="567"/>
        <w:jc w:val="both"/>
        <w:rPr>
          <w:rFonts w:ascii="Palatino Linotype" w:hAnsi="Palatino Linotype"/>
          <w:i/>
          <w:sz w:val="22"/>
        </w:rPr>
      </w:pPr>
      <w:r w:rsidRPr="003A787D">
        <w:rPr>
          <w:rFonts w:ascii="Palatino Linotype" w:hAnsi="Palatino Linotype"/>
          <w:b/>
          <w:i/>
          <w:sz w:val="22"/>
        </w:rPr>
        <w:t>XVIII. Administrar su hacienda en términos de ley</w:t>
      </w:r>
      <w:r w:rsidRPr="003A787D">
        <w:rPr>
          <w:rFonts w:ascii="Palatino Linotype" w:hAnsi="Palatino Linotype"/>
          <w:b/>
          <w:bCs/>
          <w:i/>
          <w:sz w:val="22"/>
        </w:rPr>
        <w:t>, y controlar</w:t>
      </w:r>
      <w:r w:rsidRPr="003A787D">
        <w:rPr>
          <w:rFonts w:ascii="Palatino Linotype" w:hAnsi="Palatino Linotype"/>
          <w:i/>
          <w:sz w:val="22"/>
        </w:rPr>
        <w:t xml:space="preserve"> a través del presidente y síndico </w:t>
      </w:r>
      <w:r w:rsidRPr="003A787D">
        <w:rPr>
          <w:rFonts w:ascii="Palatino Linotype" w:hAnsi="Palatino Linotype"/>
          <w:b/>
          <w:bCs/>
          <w:i/>
          <w:sz w:val="22"/>
        </w:rPr>
        <w:t>la aplicación del presupuesto de egresos del municipio</w:t>
      </w:r>
      <w:r w:rsidRPr="003A787D">
        <w:rPr>
          <w:rFonts w:ascii="Palatino Linotype" w:hAnsi="Palatino Linotype"/>
          <w:i/>
          <w:sz w:val="22"/>
        </w:rPr>
        <w:t>;</w:t>
      </w:r>
    </w:p>
    <w:p w14:paraId="7EBE521A" w14:textId="77777777" w:rsidR="008764FB" w:rsidRPr="003A787D" w:rsidRDefault="008764FB" w:rsidP="008764FB">
      <w:pPr>
        <w:pStyle w:val="Sinespaciado"/>
        <w:spacing w:line="276" w:lineRule="auto"/>
        <w:ind w:left="567" w:right="567"/>
        <w:jc w:val="both"/>
        <w:rPr>
          <w:rFonts w:ascii="Palatino Linotype" w:hAnsi="Palatino Linotype"/>
          <w:bCs/>
          <w:i/>
          <w:sz w:val="22"/>
        </w:rPr>
      </w:pPr>
      <w:r w:rsidRPr="003A787D">
        <w:rPr>
          <w:rFonts w:ascii="Palatino Linotype" w:hAnsi="Palatino Linotype"/>
          <w:bCs/>
          <w:i/>
          <w:sz w:val="22"/>
        </w:rPr>
        <w:t>(…)”</w:t>
      </w:r>
    </w:p>
    <w:p w14:paraId="6660B843" w14:textId="77777777" w:rsidR="008764FB" w:rsidRPr="003A787D" w:rsidRDefault="008764FB" w:rsidP="008764FB">
      <w:pPr>
        <w:pStyle w:val="Sinespaciado"/>
        <w:spacing w:line="276" w:lineRule="auto"/>
        <w:ind w:left="567" w:right="567"/>
        <w:jc w:val="both"/>
        <w:rPr>
          <w:rFonts w:ascii="Palatino Linotype" w:hAnsi="Palatino Linotype"/>
          <w:sz w:val="22"/>
        </w:rPr>
      </w:pPr>
      <w:r w:rsidRPr="003A787D">
        <w:rPr>
          <w:rFonts w:ascii="Palatino Linotype" w:hAnsi="Palatino Linotype"/>
          <w:sz w:val="22"/>
        </w:rPr>
        <w:t>(Énfasis añadido)</w:t>
      </w:r>
    </w:p>
    <w:p w14:paraId="61AF8AB0" w14:textId="77777777" w:rsidR="008764FB" w:rsidRPr="003A787D" w:rsidRDefault="008764FB" w:rsidP="003F2959">
      <w:pPr>
        <w:pStyle w:val="Prrafodelista"/>
        <w:tabs>
          <w:tab w:val="left" w:pos="426"/>
        </w:tabs>
        <w:spacing w:before="240" w:after="240" w:line="360" w:lineRule="auto"/>
        <w:ind w:left="0" w:right="51"/>
        <w:jc w:val="both"/>
        <w:rPr>
          <w:rFonts w:ascii="Palatino Linotype" w:hAnsi="Palatino Linotype"/>
          <w:color w:val="000000" w:themeColor="text1"/>
        </w:rPr>
      </w:pPr>
    </w:p>
    <w:p w14:paraId="7AD5E240" w14:textId="4F262D0B" w:rsidR="003F2959" w:rsidRPr="003A787D" w:rsidRDefault="008764FB" w:rsidP="003E1087">
      <w:pPr>
        <w:pStyle w:val="Prrafodelista"/>
        <w:numPr>
          <w:ilvl w:val="0"/>
          <w:numId w:val="1"/>
        </w:numPr>
        <w:tabs>
          <w:tab w:val="left" w:pos="426"/>
        </w:tabs>
        <w:spacing w:before="240" w:after="240" w:line="360" w:lineRule="auto"/>
        <w:ind w:right="51"/>
        <w:jc w:val="both"/>
        <w:rPr>
          <w:rFonts w:ascii="Palatino Linotype" w:hAnsi="Palatino Linotype"/>
          <w:color w:val="000000" w:themeColor="text1"/>
        </w:rPr>
      </w:pPr>
      <w:r w:rsidRPr="003A787D">
        <w:rPr>
          <w:rFonts w:ascii="Palatino Linotype" w:hAnsi="Palatino Linotype"/>
          <w:color w:val="000000" w:themeColor="text1"/>
        </w:rPr>
        <w:t xml:space="preserve">Dicho </w:t>
      </w:r>
      <w:r w:rsidRPr="003A787D">
        <w:rPr>
          <w:rFonts w:ascii="Palatino Linotype" w:eastAsia="MS Mincho" w:hAnsi="Palatino Linotype" w:cs="Times New Roman"/>
        </w:rPr>
        <w:t xml:space="preserve">lo anterior, debemos </w:t>
      </w:r>
      <w:r w:rsidRPr="003A787D">
        <w:rPr>
          <w:rFonts w:ascii="Palatino Linotype" w:eastAsia="MS Mincho" w:hAnsi="Palatino Linotype" w:cs="Times New Roman"/>
          <w:lang w:val="es-ES_tradnl"/>
        </w:rPr>
        <w:t xml:space="preserve">señalar que la información </w:t>
      </w:r>
      <w:r w:rsidR="00102B33" w:rsidRPr="003A787D">
        <w:rPr>
          <w:rFonts w:ascii="Palatino Linotype" w:eastAsia="MS Mincho" w:hAnsi="Palatino Linotype" w:cs="Times New Roman"/>
          <w:lang w:val="es-ES_tradnl"/>
        </w:rPr>
        <w:t xml:space="preserve">fiscal requerida a través de la solicitud </w:t>
      </w:r>
      <w:r w:rsidR="00102B33" w:rsidRPr="003A787D">
        <w:rPr>
          <w:rFonts w:ascii="Palatino Linotype" w:eastAsia="MS Mincho" w:hAnsi="Palatino Linotype" w:cs="Times New Roman"/>
          <w:b/>
          <w:bCs/>
          <w:lang w:val="es-ES_tradnl"/>
        </w:rPr>
        <w:t>00002/DIFTENANCIN/IP/2022</w:t>
      </w:r>
      <w:r w:rsidRPr="003A787D">
        <w:rPr>
          <w:rFonts w:ascii="Palatino Linotype" w:eastAsia="MS Mincho" w:hAnsi="Palatino Linotype" w:cs="Times New Roman"/>
          <w:lang w:val="es-ES_tradnl"/>
        </w:rPr>
        <w:t xml:space="preserve"> constituye, </w:t>
      </w:r>
      <w:r w:rsidRPr="003A787D">
        <w:rPr>
          <w:rFonts w:ascii="Palatino Linotype" w:eastAsia="MS Mincho" w:hAnsi="Palatino Linotype" w:cs="Times New Roman"/>
          <w:i/>
          <w:iCs/>
          <w:lang w:val="es-ES_tradnl"/>
        </w:rPr>
        <w:t>per se,</w:t>
      </w:r>
      <w:r w:rsidRPr="003A787D">
        <w:rPr>
          <w:rFonts w:ascii="Palatino Linotype" w:eastAsia="MS Mincho" w:hAnsi="Palatino Linotype" w:cs="Times New Roman"/>
          <w:lang w:val="es-ES_tradnl"/>
        </w:rPr>
        <w:t xml:space="preserve"> </w:t>
      </w:r>
      <w:r w:rsidRPr="003A787D">
        <w:rPr>
          <w:rFonts w:ascii="Palatino Linotype" w:eastAsia="MS Mincho" w:hAnsi="Palatino Linotype" w:cs="Times New Roman"/>
        </w:rPr>
        <w:t xml:space="preserve">una obligación de </w:t>
      </w:r>
      <w:r w:rsidRPr="003A787D">
        <w:rPr>
          <w:rFonts w:ascii="Palatino Linotype" w:eastAsia="MS Mincho" w:hAnsi="Palatino Linotype" w:cs="Times New Roman"/>
        </w:rPr>
        <w:lastRenderedPageBreak/>
        <w:t xml:space="preserve">transparencia común que el </w:t>
      </w:r>
      <w:r w:rsidRPr="003A787D">
        <w:rPr>
          <w:rFonts w:ascii="Palatino Linotype" w:eastAsia="MS Mincho" w:hAnsi="Palatino Linotype" w:cs="Times New Roman"/>
          <w:b/>
        </w:rPr>
        <w:t>SUJETO OBLIGADO</w:t>
      </w:r>
      <w:r w:rsidRPr="003A787D">
        <w:rPr>
          <w:rFonts w:ascii="Palatino Linotype" w:eastAsia="MS Mincho" w:hAnsi="Palatino Linotype" w:cs="Times New Roman"/>
        </w:rPr>
        <w:t xml:space="preserve"> genera, administra y posee en sus archivos conforme a lo previsto por el artículo 92, fracciones VIII y XXV, de la Ley de Transparencia y Acceso a la Información Pública del Estado de México y Municipios; que a la letra cita:</w:t>
      </w:r>
    </w:p>
    <w:p w14:paraId="0767DB1B" w14:textId="493FB3B7" w:rsidR="003F2959" w:rsidRPr="003A787D" w:rsidRDefault="003F2959" w:rsidP="008764FB">
      <w:pPr>
        <w:pStyle w:val="Prrafodelista"/>
        <w:tabs>
          <w:tab w:val="left" w:pos="426"/>
        </w:tabs>
        <w:spacing w:before="240" w:line="360" w:lineRule="auto"/>
        <w:ind w:left="0" w:right="51"/>
        <w:jc w:val="both"/>
        <w:rPr>
          <w:rFonts w:ascii="Palatino Linotype" w:hAnsi="Palatino Linotype"/>
          <w:color w:val="000000" w:themeColor="text1"/>
        </w:rPr>
      </w:pPr>
    </w:p>
    <w:p w14:paraId="7176D5FB" w14:textId="77777777" w:rsidR="008764FB" w:rsidRPr="003A787D" w:rsidRDefault="008764FB" w:rsidP="008764FB">
      <w:pPr>
        <w:spacing w:line="276" w:lineRule="auto"/>
        <w:ind w:left="567" w:right="567"/>
        <w:contextualSpacing/>
        <w:jc w:val="both"/>
        <w:rPr>
          <w:rFonts w:ascii="Palatino Linotype" w:hAnsi="Palatino Linotype"/>
          <w:i/>
          <w:iCs/>
          <w:sz w:val="22"/>
        </w:rPr>
      </w:pPr>
      <w:r w:rsidRPr="003A787D">
        <w:rPr>
          <w:rFonts w:ascii="Palatino Linotype" w:hAnsi="Palatino Linotype"/>
          <w:i/>
          <w:iCs/>
          <w:sz w:val="22"/>
        </w:rPr>
        <w:t>“</w:t>
      </w:r>
      <w:r w:rsidRPr="003A787D">
        <w:rPr>
          <w:rFonts w:ascii="Palatino Linotype" w:hAnsi="Palatino Linotype"/>
          <w:b/>
          <w:bCs/>
          <w:i/>
          <w:iCs/>
          <w:sz w:val="22"/>
        </w:rPr>
        <w:t>Artículo 92.</w:t>
      </w:r>
      <w:r w:rsidRPr="003A787D">
        <w:rPr>
          <w:rFonts w:ascii="Palatino Linotype" w:hAnsi="Palatino Linotype"/>
          <w:i/>
          <w:iCs/>
          <w:sz w:val="22"/>
        </w:rPr>
        <w:t xml:space="preserve"> </w:t>
      </w:r>
      <w:r w:rsidRPr="003A787D">
        <w:rPr>
          <w:rFonts w:ascii="Palatino Linotype" w:hAnsi="Palatino Linotype"/>
          <w:b/>
          <w:bCs/>
          <w:i/>
          <w:iCs/>
          <w:sz w:val="22"/>
        </w:rPr>
        <w:t>Los sujetos obligados deberán poner a disposición del público de manera permanente y actualizada</w:t>
      </w:r>
      <w:r w:rsidRPr="003A787D">
        <w:rPr>
          <w:rFonts w:ascii="Palatino Linotype" w:hAnsi="Palatino Linotype"/>
          <w:i/>
          <w:iCs/>
          <w:sz w:val="22"/>
        </w:rPr>
        <w:t xml:space="preserve"> de forma sencilla, precisa y entendible, en los respectivos medios electrónicos, de acuerdo con sus facultades, atribuciones, funciones u objeto social, según corresponda, la información, por lo menos, de </w:t>
      </w:r>
      <w:r w:rsidRPr="003A787D">
        <w:rPr>
          <w:rFonts w:ascii="Palatino Linotype" w:hAnsi="Palatino Linotype"/>
          <w:b/>
          <w:bCs/>
          <w:i/>
          <w:iCs/>
          <w:sz w:val="22"/>
        </w:rPr>
        <w:t>los temas, documentos y políticas que a continuación se señalan:</w:t>
      </w:r>
    </w:p>
    <w:p w14:paraId="76FBDFD0" w14:textId="77777777" w:rsidR="008764FB" w:rsidRPr="003A787D" w:rsidRDefault="008764FB" w:rsidP="008764FB">
      <w:pPr>
        <w:spacing w:line="276" w:lineRule="auto"/>
        <w:ind w:left="567" w:right="567"/>
        <w:contextualSpacing/>
        <w:jc w:val="both"/>
        <w:rPr>
          <w:rFonts w:ascii="Palatino Linotype" w:hAnsi="Palatino Linotype"/>
          <w:i/>
          <w:iCs/>
          <w:sz w:val="22"/>
        </w:rPr>
      </w:pPr>
      <w:r w:rsidRPr="003A787D">
        <w:rPr>
          <w:rFonts w:ascii="Palatino Linotype" w:hAnsi="Palatino Linotype"/>
          <w:i/>
          <w:iCs/>
          <w:sz w:val="22"/>
        </w:rPr>
        <w:t>(…)</w:t>
      </w:r>
    </w:p>
    <w:p w14:paraId="37C6227A" w14:textId="31B4F678" w:rsidR="008764FB" w:rsidRPr="003A787D" w:rsidRDefault="008764FB" w:rsidP="008764FB">
      <w:pPr>
        <w:spacing w:line="276" w:lineRule="auto"/>
        <w:ind w:left="567" w:right="567"/>
        <w:contextualSpacing/>
        <w:jc w:val="both"/>
        <w:rPr>
          <w:rFonts w:ascii="Palatino Linotype" w:hAnsi="Palatino Linotype"/>
          <w:bCs/>
          <w:i/>
          <w:iCs/>
          <w:sz w:val="22"/>
        </w:rPr>
      </w:pPr>
      <w:r w:rsidRPr="003A787D">
        <w:rPr>
          <w:rFonts w:ascii="Palatino Linotype" w:hAnsi="Palatino Linotype"/>
          <w:b/>
          <w:i/>
          <w:iCs/>
          <w:sz w:val="22"/>
        </w:rPr>
        <w:t>VIII. La remuneración</w:t>
      </w:r>
      <w:r w:rsidRPr="003A787D">
        <w:rPr>
          <w:rFonts w:ascii="Palatino Linotype" w:hAnsi="Palatino Linotype"/>
          <w:bCs/>
          <w:i/>
          <w:iCs/>
          <w:sz w:val="22"/>
        </w:rPr>
        <w:t xml:space="preserve"> bruta y neta </w:t>
      </w:r>
      <w:r w:rsidRPr="003A787D">
        <w:rPr>
          <w:rFonts w:ascii="Palatino Linotype" w:hAnsi="Palatino Linotype"/>
          <w:b/>
          <w:i/>
          <w:iCs/>
          <w:sz w:val="22"/>
        </w:rPr>
        <w:t>de todos los servidores públicos</w:t>
      </w:r>
      <w:r w:rsidRPr="003A787D">
        <w:rPr>
          <w:rFonts w:ascii="Palatino Linotype" w:hAnsi="Palatino Linotype"/>
          <w:bCs/>
          <w:i/>
          <w:iCs/>
          <w:sz w:val="22"/>
        </w:rPr>
        <w:t xml:space="preserve"> de base o de confianza, de todas las percepciones, incluyendo sueldos, prestaciones, gratificaciones, primas, comisiones, dietas, bonos, estímulos, ingresos y sistemas de compensación, señalando la periodicidad de dicha remuneración;</w:t>
      </w:r>
    </w:p>
    <w:p w14:paraId="47257C29" w14:textId="77777777" w:rsidR="008764FB" w:rsidRPr="003A787D" w:rsidRDefault="008764FB" w:rsidP="008764FB">
      <w:pPr>
        <w:spacing w:line="276" w:lineRule="auto"/>
        <w:ind w:left="567" w:right="567"/>
        <w:contextualSpacing/>
        <w:jc w:val="both"/>
        <w:rPr>
          <w:rFonts w:ascii="Palatino Linotype" w:hAnsi="Palatino Linotype"/>
          <w:i/>
          <w:iCs/>
          <w:sz w:val="22"/>
        </w:rPr>
      </w:pPr>
      <w:r w:rsidRPr="003A787D">
        <w:rPr>
          <w:rFonts w:ascii="Palatino Linotype" w:hAnsi="Palatino Linotype"/>
          <w:i/>
          <w:iCs/>
          <w:sz w:val="22"/>
        </w:rPr>
        <w:t>(…)</w:t>
      </w:r>
    </w:p>
    <w:p w14:paraId="04190292" w14:textId="77777777" w:rsidR="008764FB" w:rsidRPr="003A787D" w:rsidRDefault="008764FB" w:rsidP="008764FB">
      <w:pPr>
        <w:spacing w:line="276" w:lineRule="auto"/>
        <w:ind w:left="567" w:right="567"/>
        <w:contextualSpacing/>
        <w:jc w:val="both"/>
        <w:rPr>
          <w:rFonts w:ascii="Palatino Linotype" w:hAnsi="Palatino Linotype"/>
          <w:i/>
          <w:iCs/>
          <w:sz w:val="22"/>
        </w:rPr>
      </w:pPr>
      <w:r w:rsidRPr="003A787D">
        <w:rPr>
          <w:rFonts w:ascii="Palatino Linotype" w:hAnsi="Palatino Linotype"/>
          <w:b/>
          <w:bCs/>
          <w:i/>
          <w:iCs/>
          <w:sz w:val="22"/>
        </w:rPr>
        <w:t>XXV. La información financiera sobre el presupuesto asignado, así como los informes del ejercicio trimestral del gasto</w:t>
      </w:r>
      <w:r w:rsidRPr="003A787D">
        <w:rPr>
          <w:rFonts w:ascii="Palatino Linotype" w:hAnsi="Palatino Linotype"/>
          <w:i/>
          <w:iCs/>
          <w:sz w:val="22"/>
        </w:rPr>
        <w:t>, en términos de la Ley General de Contabilidad Gubernamental y demás disposiciones jurídicas aplicables;</w:t>
      </w:r>
    </w:p>
    <w:p w14:paraId="4E844E11" w14:textId="77777777" w:rsidR="008764FB" w:rsidRPr="003A787D" w:rsidRDefault="008764FB" w:rsidP="008764FB">
      <w:pPr>
        <w:spacing w:line="276" w:lineRule="auto"/>
        <w:ind w:left="567" w:right="567"/>
        <w:contextualSpacing/>
        <w:jc w:val="both"/>
        <w:rPr>
          <w:rFonts w:ascii="Palatino Linotype" w:hAnsi="Palatino Linotype"/>
          <w:sz w:val="22"/>
        </w:rPr>
      </w:pPr>
      <w:r w:rsidRPr="003A787D">
        <w:rPr>
          <w:rFonts w:ascii="Palatino Linotype" w:hAnsi="Palatino Linotype"/>
          <w:i/>
          <w:iCs/>
          <w:sz w:val="22"/>
        </w:rPr>
        <w:t>(…)”</w:t>
      </w:r>
    </w:p>
    <w:p w14:paraId="44B3B067" w14:textId="77777777" w:rsidR="008764FB" w:rsidRPr="003A787D" w:rsidRDefault="008764FB" w:rsidP="008764FB">
      <w:pPr>
        <w:spacing w:line="276" w:lineRule="auto"/>
        <w:ind w:left="567" w:right="567"/>
        <w:contextualSpacing/>
        <w:jc w:val="both"/>
        <w:rPr>
          <w:rFonts w:ascii="Palatino Linotype" w:hAnsi="Palatino Linotype" w:cs="Arial"/>
          <w:color w:val="000000" w:themeColor="text1"/>
          <w:sz w:val="22"/>
        </w:rPr>
      </w:pPr>
      <w:r w:rsidRPr="003A787D">
        <w:rPr>
          <w:rFonts w:ascii="Palatino Linotype" w:hAnsi="Palatino Linotype"/>
          <w:sz w:val="22"/>
        </w:rPr>
        <w:t>(Énfasis añadido)</w:t>
      </w:r>
    </w:p>
    <w:p w14:paraId="2665A94C" w14:textId="77777777" w:rsidR="008764FB" w:rsidRPr="003A787D" w:rsidRDefault="008764FB" w:rsidP="003F2959">
      <w:pPr>
        <w:pStyle w:val="Prrafodelista"/>
        <w:tabs>
          <w:tab w:val="left" w:pos="426"/>
        </w:tabs>
        <w:spacing w:before="240" w:after="240" w:line="360" w:lineRule="auto"/>
        <w:ind w:left="0" w:right="51"/>
        <w:jc w:val="both"/>
        <w:rPr>
          <w:rFonts w:ascii="Palatino Linotype" w:hAnsi="Palatino Linotype"/>
          <w:color w:val="000000" w:themeColor="text1"/>
        </w:rPr>
      </w:pPr>
    </w:p>
    <w:p w14:paraId="32A4B17A" w14:textId="2300982F" w:rsidR="003F2959" w:rsidRPr="003A787D" w:rsidRDefault="008764FB" w:rsidP="003E1087">
      <w:pPr>
        <w:pStyle w:val="Prrafodelista"/>
        <w:numPr>
          <w:ilvl w:val="0"/>
          <w:numId w:val="1"/>
        </w:numPr>
        <w:tabs>
          <w:tab w:val="left" w:pos="426"/>
        </w:tabs>
        <w:spacing w:before="240" w:after="240" w:line="360" w:lineRule="auto"/>
        <w:ind w:right="51"/>
        <w:jc w:val="both"/>
        <w:rPr>
          <w:rFonts w:ascii="Palatino Linotype" w:hAnsi="Palatino Linotype"/>
          <w:color w:val="000000" w:themeColor="text1"/>
        </w:rPr>
      </w:pPr>
      <w:r w:rsidRPr="003A787D">
        <w:rPr>
          <w:rFonts w:ascii="Palatino Linotype" w:hAnsi="Palatino Linotype"/>
          <w:color w:val="000000" w:themeColor="text1"/>
        </w:rPr>
        <w:t xml:space="preserve">Del </w:t>
      </w:r>
      <w:r w:rsidRPr="003A787D">
        <w:rPr>
          <w:rFonts w:ascii="Palatino Linotype" w:hAnsi="Palatino Linotype" w:cs="Arial"/>
          <w:color w:val="000000" w:themeColor="text1"/>
        </w:rPr>
        <w:t xml:space="preserve">dispositivo normativo </w:t>
      </w:r>
      <w:r w:rsidRPr="003A787D">
        <w:rPr>
          <w:rFonts w:ascii="Palatino Linotype" w:hAnsi="Palatino Linotype" w:cs="Arial"/>
          <w:i/>
          <w:iCs/>
          <w:color w:val="000000" w:themeColor="text1"/>
        </w:rPr>
        <w:t>supra</w:t>
      </w:r>
      <w:r w:rsidRPr="003A787D">
        <w:rPr>
          <w:rFonts w:ascii="Palatino Linotype" w:hAnsi="Palatino Linotype" w:cs="Arial"/>
          <w:color w:val="000000" w:themeColor="text1"/>
        </w:rPr>
        <w:t xml:space="preserve"> transcrito, se aprecia que la información financiera sobre el presupuesto asignado del </w:t>
      </w:r>
      <w:r w:rsidRPr="003A787D">
        <w:rPr>
          <w:rFonts w:ascii="Palatino Linotype" w:hAnsi="Palatino Linotype" w:cs="Arial"/>
          <w:b/>
          <w:bCs/>
          <w:color w:val="000000" w:themeColor="text1"/>
        </w:rPr>
        <w:t>SUJETO OBLIGADO</w:t>
      </w:r>
      <w:r w:rsidRPr="003A787D">
        <w:rPr>
          <w:rFonts w:ascii="Palatino Linotype" w:hAnsi="Palatino Linotype" w:cs="Arial"/>
          <w:color w:val="000000" w:themeColor="text1"/>
        </w:rPr>
        <w:t xml:space="preserve">, así como los informes relacionados con el uso y gasto del mismo -como, por ejemplo, en el pago de impuestos realizados al Servicio de Administración Tributaria-, serán difundidos y publicados a la ciudadanía, ya que, como sucede con </w:t>
      </w:r>
      <w:r w:rsidR="00463B0F" w:rsidRPr="003A787D">
        <w:rPr>
          <w:rFonts w:ascii="Palatino Linotype" w:hAnsi="Palatino Linotype" w:cs="Arial"/>
          <w:color w:val="000000" w:themeColor="text1"/>
        </w:rPr>
        <w:t>el pago de impuestos relacionados con las nóminas, sueldos y/o salarios de los trabajadores</w:t>
      </w:r>
      <w:r w:rsidRPr="003A787D">
        <w:rPr>
          <w:rFonts w:ascii="Palatino Linotype" w:hAnsi="Palatino Linotype" w:cs="Arial"/>
          <w:color w:val="000000" w:themeColor="text1"/>
        </w:rPr>
        <w:t xml:space="preserve">, </w:t>
      </w:r>
      <w:r w:rsidRPr="003A787D">
        <w:rPr>
          <w:rFonts w:ascii="Palatino Linotype" w:hAnsi="Palatino Linotype" w:cs="Arial"/>
          <w:b/>
          <w:bCs/>
          <w:color w:val="000000" w:themeColor="text1"/>
          <w:u w:val="single"/>
        </w:rPr>
        <w:t>tod</w:t>
      </w:r>
      <w:r w:rsidR="00463B0F" w:rsidRPr="003A787D">
        <w:rPr>
          <w:rFonts w:ascii="Palatino Linotype" w:hAnsi="Palatino Linotype" w:cs="Arial"/>
          <w:b/>
          <w:bCs/>
          <w:color w:val="000000" w:themeColor="text1"/>
          <w:u w:val="single"/>
        </w:rPr>
        <w:t>a erogación</w:t>
      </w:r>
      <w:r w:rsidRPr="003A787D">
        <w:rPr>
          <w:rFonts w:ascii="Palatino Linotype" w:hAnsi="Palatino Linotype" w:cs="Arial"/>
          <w:b/>
          <w:bCs/>
          <w:color w:val="000000" w:themeColor="text1"/>
          <w:u w:val="single"/>
        </w:rPr>
        <w:t xml:space="preserve"> </w:t>
      </w:r>
      <w:r w:rsidR="00463B0F" w:rsidRPr="003A787D">
        <w:rPr>
          <w:rFonts w:ascii="Palatino Linotype" w:hAnsi="Palatino Linotype" w:cs="Arial"/>
          <w:b/>
          <w:bCs/>
          <w:color w:val="000000" w:themeColor="text1"/>
          <w:u w:val="single"/>
        </w:rPr>
        <w:t xml:space="preserve">económica </w:t>
      </w:r>
      <w:r w:rsidRPr="003A787D">
        <w:rPr>
          <w:rFonts w:ascii="Palatino Linotype" w:hAnsi="Palatino Linotype" w:cs="Arial"/>
          <w:b/>
          <w:bCs/>
          <w:color w:val="000000" w:themeColor="text1"/>
          <w:u w:val="single"/>
        </w:rPr>
        <w:t xml:space="preserve">que realice el </w:t>
      </w:r>
      <w:r w:rsidR="005A179D" w:rsidRPr="003A787D">
        <w:rPr>
          <w:rFonts w:ascii="Palatino Linotype" w:hAnsi="Palatino Linotype" w:cs="Arial"/>
          <w:b/>
          <w:bCs/>
          <w:color w:val="000000" w:themeColor="text1"/>
          <w:u w:val="single"/>
        </w:rPr>
        <w:t xml:space="preserve">Sistema Municipal para el Desarrollo Integral </w:t>
      </w:r>
      <w:r w:rsidR="005A179D" w:rsidRPr="003A787D">
        <w:rPr>
          <w:rFonts w:ascii="Palatino Linotype" w:hAnsi="Palatino Linotype" w:cs="Arial"/>
          <w:b/>
          <w:bCs/>
          <w:color w:val="000000" w:themeColor="text1"/>
          <w:u w:val="single"/>
        </w:rPr>
        <w:lastRenderedPageBreak/>
        <w:t>de la Familia de Tenancingo</w:t>
      </w:r>
      <w:r w:rsidRPr="003A787D">
        <w:rPr>
          <w:rFonts w:ascii="Palatino Linotype" w:hAnsi="Palatino Linotype" w:cs="Arial"/>
          <w:b/>
          <w:bCs/>
          <w:color w:val="000000" w:themeColor="text1"/>
          <w:u w:val="single"/>
        </w:rPr>
        <w:t xml:space="preserve"> debe ser realizado de forma transparente y reconocido dentro de sus informes financieros</w:t>
      </w:r>
      <w:r w:rsidRPr="003A787D">
        <w:rPr>
          <w:rFonts w:ascii="Palatino Linotype" w:hAnsi="Palatino Linotype" w:cs="Arial"/>
          <w:color w:val="000000" w:themeColor="text1"/>
        </w:rPr>
        <w:t>.</w:t>
      </w:r>
    </w:p>
    <w:p w14:paraId="68DB01F0" w14:textId="77777777" w:rsidR="00BA23A7" w:rsidRPr="003A787D" w:rsidRDefault="00BA23A7" w:rsidP="00BA23A7">
      <w:pPr>
        <w:pStyle w:val="Prrafodelista"/>
        <w:tabs>
          <w:tab w:val="left" w:pos="426"/>
        </w:tabs>
        <w:spacing w:before="240" w:after="240" w:line="360" w:lineRule="auto"/>
        <w:ind w:left="0" w:right="51"/>
        <w:jc w:val="both"/>
        <w:rPr>
          <w:rFonts w:ascii="Palatino Linotype" w:hAnsi="Palatino Linotype"/>
          <w:color w:val="000000" w:themeColor="text1"/>
        </w:rPr>
      </w:pPr>
    </w:p>
    <w:p w14:paraId="6EC47126" w14:textId="0060B7CA" w:rsidR="00BA23A7" w:rsidRPr="003A787D" w:rsidRDefault="00BA23A7" w:rsidP="003E1087">
      <w:pPr>
        <w:pStyle w:val="Prrafodelista"/>
        <w:numPr>
          <w:ilvl w:val="0"/>
          <w:numId w:val="1"/>
        </w:numPr>
        <w:tabs>
          <w:tab w:val="left" w:pos="426"/>
        </w:tabs>
        <w:spacing w:before="240" w:after="240" w:line="360" w:lineRule="auto"/>
        <w:ind w:right="51"/>
        <w:jc w:val="both"/>
        <w:rPr>
          <w:rFonts w:ascii="Palatino Linotype" w:hAnsi="Palatino Linotype"/>
          <w:color w:val="000000" w:themeColor="text1"/>
        </w:rPr>
      </w:pPr>
      <w:r w:rsidRPr="003A787D">
        <w:rPr>
          <w:rFonts w:ascii="Palatino Linotype" w:hAnsi="Palatino Linotype" w:cs="Arial"/>
          <w:color w:val="000000" w:themeColor="text1"/>
        </w:rPr>
        <w:t xml:space="preserve">Ahora </w:t>
      </w:r>
      <w:r w:rsidRPr="003A787D">
        <w:rPr>
          <w:rFonts w:ascii="Palatino Linotype" w:hAnsi="Palatino Linotype"/>
          <w:color w:val="000000" w:themeColor="text1"/>
        </w:rPr>
        <w:t xml:space="preserve">bien, de conformidad con lo dispuesto por el Bando Municipal 2022 del </w:t>
      </w:r>
      <w:r w:rsidRPr="003A787D">
        <w:rPr>
          <w:rFonts w:ascii="Palatino Linotype" w:hAnsi="Palatino Linotype"/>
          <w:b/>
          <w:bCs/>
          <w:color w:val="000000" w:themeColor="text1"/>
        </w:rPr>
        <w:t>SUJETO OBLIGADO</w:t>
      </w:r>
      <w:r w:rsidRPr="003A787D">
        <w:rPr>
          <w:rFonts w:ascii="Palatino Linotype" w:hAnsi="Palatino Linotype"/>
          <w:color w:val="000000" w:themeColor="text1"/>
        </w:rPr>
        <w:t>, el gobierno del Municipio de Tenancingo, está depositado en un cuerpo colegiado y deliberante que se denomina Ayuntamiento, integrado por un Presidente Municipal, un Síndico, cuatro regidores electos por el principio de mayoría relativa, y tres por el principio de representación proporcional, con las facultades y obligaciones que las leyes les otorgan, de conformidad con la Constitución Política de los Estados Unidos Mexicanos, la Constitución Política del Estado Libre y Soberano de México, la Ley Orgánica Municipal del Estado de México, y demás disposiciones legales aplicables.</w:t>
      </w:r>
      <w:r w:rsidRPr="003A787D">
        <w:rPr>
          <w:rStyle w:val="Refdenotaalpie"/>
          <w:rFonts w:ascii="Palatino Linotype" w:hAnsi="Palatino Linotype"/>
          <w:color w:val="000000" w:themeColor="text1"/>
        </w:rPr>
        <w:footnoteReference w:id="9"/>
      </w:r>
      <w:r w:rsidRPr="003A787D">
        <w:rPr>
          <w:rFonts w:ascii="Palatino Linotype" w:hAnsi="Palatino Linotype"/>
          <w:color w:val="000000" w:themeColor="text1"/>
        </w:rPr>
        <w:t>.</w:t>
      </w:r>
    </w:p>
    <w:p w14:paraId="7FC819F5" w14:textId="77777777" w:rsidR="00BA23A7" w:rsidRPr="003A787D" w:rsidRDefault="00BA23A7" w:rsidP="00BA23A7">
      <w:pPr>
        <w:pStyle w:val="Prrafodelista"/>
        <w:tabs>
          <w:tab w:val="left" w:pos="426"/>
        </w:tabs>
        <w:spacing w:before="240" w:after="240" w:line="360" w:lineRule="auto"/>
        <w:ind w:left="0" w:right="51"/>
        <w:jc w:val="both"/>
        <w:rPr>
          <w:rFonts w:ascii="Palatino Linotype" w:hAnsi="Palatino Linotype"/>
          <w:color w:val="000000" w:themeColor="text1"/>
        </w:rPr>
      </w:pPr>
    </w:p>
    <w:p w14:paraId="453AFFFD" w14:textId="32140BCE" w:rsidR="00BA23A7" w:rsidRPr="003A787D" w:rsidRDefault="00BA23A7" w:rsidP="003E1087">
      <w:pPr>
        <w:pStyle w:val="Prrafodelista"/>
        <w:numPr>
          <w:ilvl w:val="0"/>
          <w:numId w:val="1"/>
        </w:numPr>
        <w:tabs>
          <w:tab w:val="left" w:pos="426"/>
        </w:tabs>
        <w:spacing w:before="240" w:after="240" w:line="360" w:lineRule="auto"/>
        <w:ind w:right="51"/>
        <w:jc w:val="both"/>
        <w:rPr>
          <w:rFonts w:ascii="Palatino Linotype" w:hAnsi="Palatino Linotype"/>
          <w:color w:val="000000" w:themeColor="text1"/>
        </w:rPr>
      </w:pPr>
      <w:r w:rsidRPr="003A787D">
        <w:rPr>
          <w:rFonts w:ascii="Palatino Linotype" w:hAnsi="Palatino Linotype" w:cs="Arial"/>
          <w:color w:val="000000" w:themeColor="text1"/>
        </w:rPr>
        <w:t>Por su parte, los artículos 19 y 20 del Bando Municipal de Tenancingo</w:t>
      </w:r>
      <w:r w:rsidR="00D73747" w:rsidRPr="003A787D">
        <w:rPr>
          <w:rFonts w:ascii="Palatino Linotype" w:hAnsi="Palatino Linotype" w:cs="Arial"/>
          <w:color w:val="000000" w:themeColor="text1"/>
        </w:rPr>
        <w:t xml:space="preserve"> establecen la estructura de la administración pública municipal centralizada y descentralizada; ésta última estará conformada por tres organismos auxiliares, entre los que destaca el Organismo Público Descentralizado de Asistencia Social denominado </w:t>
      </w:r>
      <w:r w:rsidR="00D73747" w:rsidRPr="003A787D">
        <w:rPr>
          <w:rFonts w:ascii="Palatino Linotype" w:hAnsi="Palatino Linotype" w:cs="Arial"/>
          <w:b/>
          <w:bCs/>
          <w:color w:val="000000" w:themeColor="text1"/>
        </w:rPr>
        <w:t>Sistema Municipal para el Desarrollo Integral de la Familia de Tenancingo</w:t>
      </w:r>
      <w:r w:rsidR="00D73747" w:rsidRPr="003A787D">
        <w:rPr>
          <w:rFonts w:ascii="Palatino Linotype" w:hAnsi="Palatino Linotype" w:cs="Arial"/>
          <w:color w:val="000000" w:themeColor="text1"/>
        </w:rPr>
        <w:t>.</w:t>
      </w:r>
    </w:p>
    <w:p w14:paraId="13EA32E7" w14:textId="77777777" w:rsidR="00BA23A7" w:rsidRPr="003A787D" w:rsidRDefault="00BA23A7" w:rsidP="00BA23A7">
      <w:pPr>
        <w:pStyle w:val="Prrafodelista"/>
        <w:tabs>
          <w:tab w:val="left" w:pos="426"/>
        </w:tabs>
        <w:spacing w:before="240" w:after="240" w:line="360" w:lineRule="auto"/>
        <w:ind w:left="0" w:right="51"/>
        <w:jc w:val="both"/>
        <w:rPr>
          <w:rFonts w:ascii="Palatino Linotype" w:hAnsi="Palatino Linotype"/>
          <w:color w:val="000000" w:themeColor="text1"/>
        </w:rPr>
      </w:pPr>
    </w:p>
    <w:p w14:paraId="378E55E3" w14:textId="61DBB6C8" w:rsidR="00BA23A7" w:rsidRPr="003A787D" w:rsidRDefault="003746E9" w:rsidP="003E1087">
      <w:pPr>
        <w:pStyle w:val="Prrafodelista"/>
        <w:numPr>
          <w:ilvl w:val="0"/>
          <w:numId w:val="1"/>
        </w:numPr>
        <w:tabs>
          <w:tab w:val="left" w:pos="426"/>
        </w:tabs>
        <w:spacing w:before="240" w:after="240" w:line="360" w:lineRule="auto"/>
        <w:ind w:right="51"/>
        <w:jc w:val="both"/>
        <w:rPr>
          <w:rFonts w:ascii="Palatino Linotype" w:hAnsi="Palatino Linotype"/>
          <w:color w:val="000000" w:themeColor="text1"/>
        </w:rPr>
      </w:pPr>
      <w:r w:rsidRPr="003A787D">
        <w:rPr>
          <w:rFonts w:ascii="Palatino Linotype" w:hAnsi="Palatino Linotype" w:cs="Arial"/>
          <w:color w:val="000000" w:themeColor="text1"/>
        </w:rPr>
        <w:t xml:space="preserve">De conformidad con su Manual de Organización, el Sistema Municipal para el desarrollo Integral de la Familia de Tenancingo es un organismo público descentralizado del gobierno municipal que cumple con el objetivo de impartir </w:t>
      </w:r>
      <w:r w:rsidRPr="003A787D">
        <w:rPr>
          <w:rFonts w:ascii="Palatino Linotype" w:hAnsi="Palatino Linotype" w:cs="Arial"/>
          <w:color w:val="000000" w:themeColor="text1"/>
        </w:rPr>
        <w:lastRenderedPageBreak/>
        <w:t>asistencia social a los sectores más desfavorecidos y grupos vulnerables</w:t>
      </w:r>
      <w:r w:rsidRPr="003A787D">
        <w:rPr>
          <w:rStyle w:val="Refdenotaalpie"/>
          <w:rFonts w:ascii="Palatino Linotype" w:hAnsi="Palatino Linotype" w:cs="Arial"/>
          <w:color w:val="000000" w:themeColor="text1"/>
        </w:rPr>
        <w:footnoteReference w:id="10"/>
      </w:r>
      <w:r w:rsidRPr="003A787D">
        <w:rPr>
          <w:rFonts w:ascii="Palatino Linotype" w:hAnsi="Palatino Linotype" w:cs="Arial"/>
          <w:color w:val="000000" w:themeColor="text1"/>
        </w:rPr>
        <w:t>, y se compondrá por la siguiente estructura orgánica</w:t>
      </w:r>
      <w:r w:rsidRPr="003A787D">
        <w:rPr>
          <w:rStyle w:val="Refdenotaalpie"/>
          <w:rFonts w:ascii="Palatino Linotype" w:hAnsi="Palatino Linotype" w:cs="Arial"/>
          <w:color w:val="000000" w:themeColor="text1"/>
        </w:rPr>
        <w:footnoteReference w:id="11"/>
      </w:r>
      <w:r w:rsidRPr="003A787D">
        <w:rPr>
          <w:rFonts w:ascii="Palatino Linotype" w:hAnsi="Palatino Linotype" w:cs="Arial"/>
          <w:color w:val="000000" w:themeColor="text1"/>
        </w:rPr>
        <w:t>:</w:t>
      </w:r>
    </w:p>
    <w:p w14:paraId="591AC37E" w14:textId="488A8A73" w:rsidR="00BA23A7" w:rsidRPr="003A787D" w:rsidRDefault="00BA23A7" w:rsidP="00BA23A7">
      <w:pPr>
        <w:pStyle w:val="Prrafodelista"/>
        <w:tabs>
          <w:tab w:val="left" w:pos="426"/>
        </w:tabs>
        <w:spacing w:before="240" w:after="240" w:line="360" w:lineRule="auto"/>
        <w:ind w:left="0" w:right="51"/>
        <w:jc w:val="both"/>
        <w:rPr>
          <w:rFonts w:ascii="Palatino Linotype" w:hAnsi="Palatino Linotype"/>
          <w:color w:val="000000" w:themeColor="text1"/>
        </w:rPr>
      </w:pPr>
    </w:p>
    <w:p w14:paraId="05EE3140" w14:textId="50C46958" w:rsidR="003746E9" w:rsidRPr="003A787D" w:rsidRDefault="00773890" w:rsidP="003746E9">
      <w:pPr>
        <w:pStyle w:val="Prrafodelista"/>
        <w:tabs>
          <w:tab w:val="left" w:pos="426"/>
        </w:tabs>
        <w:spacing w:before="240" w:after="240" w:line="360" w:lineRule="auto"/>
        <w:ind w:left="0" w:right="51"/>
        <w:jc w:val="center"/>
        <w:rPr>
          <w:rFonts w:ascii="Palatino Linotype" w:hAnsi="Palatino Linotype"/>
          <w:color w:val="000000" w:themeColor="text1"/>
        </w:rPr>
      </w:pPr>
      <w:r w:rsidRPr="003A787D">
        <w:object w:dxaOrig="13950" w:dyaOrig="7320" w14:anchorId="3B986BA2">
          <v:shape id="_x0000_i1039" type="#_x0000_t75" style="width:381.3pt;height:200.45pt" o:ole="" o:bordertopcolor="this" o:borderleftcolor="this" o:borderbottomcolor="this" o:borderrightcolor="this">
            <v:imagedata r:id="rId36" o:title=""/>
            <w10:bordertop type="single" width="8"/>
            <w10:borderleft type="single" width="8"/>
            <w10:borderbottom type="single" width="8"/>
            <w10:borderright type="single" width="8"/>
          </v:shape>
          <o:OLEObject Type="Embed" ProgID="Paint.Picture" ShapeID="_x0000_i1039" DrawAspect="Content" ObjectID="_1715173014" r:id="rId37"/>
        </w:object>
      </w:r>
    </w:p>
    <w:p w14:paraId="546EB539" w14:textId="77777777" w:rsidR="003746E9" w:rsidRPr="003A787D" w:rsidRDefault="003746E9" w:rsidP="00BA23A7">
      <w:pPr>
        <w:pStyle w:val="Prrafodelista"/>
        <w:tabs>
          <w:tab w:val="left" w:pos="426"/>
        </w:tabs>
        <w:spacing w:before="240" w:after="240" w:line="360" w:lineRule="auto"/>
        <w:ind w:left="0" w:right="51"/>
        <w:jc w:val="both"/>
        <w:rPr>
          <w:rFonts w:ascii="Palatino Linotype" w:hAnsi="Palatino Linotype"/>
          <w:color w:val="000000" w:themeColor="text1"/>
        </w:rPr>
      </w:pPr>
    </w:p>
    <w:p w14:paraId="0D84985C" w14:textId="026C42FD" w:rsidR="00BA23A7" w:rsidRPr="003A787D" w:rsidRDefault="00773890" w:rsidP="003E1087">
      <w:pPr>
        <w:pStyle w:val="Prrafodelista"/>
        <w:numPr>
          <w:ilvl w:val="0"/>
          <w:numId w:val="1"/>
        </w:numPr>
        <w:tabs>
          <w:tab w:val="left" w:pos="426"/>
        </w:tabs>
        <w:spacing w:before="240" w:after="240" w:line="360" w:lineRule="auto"/>
        <w:ind w:right="51"/>
        <w:jc w:val="both"/>
        <w:rPr>
          <w:rFonts w:ascii="Palatino Linotype" w:hAnsi="Palatino Linotype"/>
          <w:color w:val="000000" w:themeColor="text1"/>
        </w:rPr>
      </w:pPr>
      <w:r w:rsidRPr="003A787D">
        <w:rPr>
          <w:rFonts w:ascii="Palatino Linotype" w:hAnsi="Palatino Linotype" w:cs="Arial"/>
          <w:color w:val="000000" w:themeColor="text1"/>
        </w:rPr>
        <w:t xml:space="preserve">Siendo de especial interés para el presente asunto el área de </w:t>
      </w:r>
      <w:r w:rsidRPr="003A787D">
        <w:rPr>
          <w:rFonts w:ascii="Palatino Linotype" w:hAnsi="Palatino Linotype" w:cs="Arial"/>
          <w:b/>
          <w:bCs/>
          <w:color w:val="000000" w:themeColor="text1"/>
        </w:rPr>
        <w:t>Tesorería</w:t>
      </w:r>
      <w:r w:rsidRPr="003A787D">
        <w:rPr>
          <w:rFonts w:ascii="Palatino Linotype" w:hAnsi="Palatino Linotype" w:cs="Arial"/>
          <w:color w:val="000000" w:themeColor="text1"/>
        </w:rPr>
        <w:t xml:space="preserve">, pues ésta se encargó de atender la solicitud de información </w:t>
      </w:r>
      <w:r w:rsidRPr="003A787D">
        <w:rPr>
          <w:rFonts w:ascii="Palatino Linotype" w:hAnsi="Palatino Linotype" w:cs="Arial"/>
          <w:b/>
          <w:bCs/>
          <w:color w:val="000000" w:themeColor="text1"/>
        </w:rPr>
        <w:t>00002/DIFTENANCIN/IP/2022</w:t>
      </w:r>
      <w:r w:rsidRPr="003A787D">
        <w:rPr>
          <w:rFonts w:ascii="Palatino Linotype" w:hAnsi="Palatino Linotype" w:cs="Arial"/>
          <w:color w:val="000000" w:themeColor="text1"/>
        </w:rPr>
        <w:t xml:space="preserve">, y que, de acuerdo con el Manual General de Organización del Sistema Municipal para el Desarrollo Integral de la Familia de Tenancingo, tendrá por objetivo el </w:t>
      </w:r>
      <w:r w:rsidRPr="003A787D">
        <w:rPr>
          <w:rFonts w:ascii="Palatino Linotype" w:hAnsi="Palatino Linotype" w:cs="Arial"/>
          <w:b/>
          <w:bCs/>
          <w:color w:val="000000" w:themeColor="text1"/>
        </w:rPr>
        <w:t>administrar</w:t>
      </w:r>
      <w:r w:rsidRPr="003A787D">
        <w:rPr>
          <w:rFonts w:ascii="Palatino Linotype" w:hAnsi="Palatino Linotype" w:cs="Arial"/>
          <w:color w:val="000000" w:themeColor="text1"/>
        </w:rPr>
        <w:t xml:space="preserve"> de manera eficiente y transparente </w:t>
      </w:r>
      <w:r w:rsidRPr="003A787D">
        <w:rPr>
          <w:rFonts w:ascii="Palatino Linotype" w:hAnsi="Palatino Linotype" w:cs="Arial"/>
          <w:b/>
          <w:bCs/>
          <w:color w:val="000000" w:themeColor="text1"/>
        </w:rPr>
        <w:t>los recursos</w:t>
      </w:r>
      <w:r w:rsidRPr="003A787D">
        <w:rPr>
          <w:rFonts w:ascii="Palatino Linotype" w:hAnsi="Palatino Linotype" w:cs="Arial"/>
          <w:color w:val="000000" w:themeColor="text1"/>
        </w:rPr>
        <w:t xml:space="preserve"> materiales y </w:t>
      </w:r>
      <w:r w:rsidRPr="003A787D">
        <w:rPr>
          <w:rFonts w:ascii="Palatino Linotype" w:hAnsi="Palatino Linotype" w:cs="Arial"/>
          <w:b/>
          <w:bCs/>
          <w:color w:val="000000" w:themeColor="text1"/>
        </w:rPr>
        <w:t>financieros</w:t>
      </w:r>
      <w:r w:rsidRPr="003A787D">
        <w:rPr>
          <w:rFonts w:ascii="Palatino Linotype" w:hAnsi="Palatino Linotype" w:cs="Arial"/>
          <w:color w:val="000000" w:themeColor="text1"/>
        </w:rPr>
        <w:t xml:space="preserve"> del ente público.</w:t>
      </w:r>
    </w:p>
    <w:p w14:paraId="60F43C5E" w14:textId="77777777" w:rsidR="00BA23A7" w:rsidRPr="003A787D" w:rsidRDefault="00BA23A7" w:rsidP="00BA23A7">
      <w:pPr>
        <w:pStyle w:val="Prrafodelista"/>
        <w:tabs>
          <w:tab w:val="left" w:pos="426"/>
        </w:tabs>
        <w:spacing w:before="240" w:after="240" w:line="360" w:lineRule="auto"/>
        <w:ind w:left="0" w:right="51"/>
        <w:jc w:val="both"/>
        <w:rPr>
          <w:rFonts w:ascii="Palatino Linotype" w:hAnsi="Palatino Linotype"/>
          <w:color w:val="000000" w:themeColor="text1"/>
        </w:rPr>
      </w:pPr>
    </w:p>
    <w:p w14:paraId="1B8BE4A9" w14:textId="741A6FF8" w:rsidR="00BA23A7" w:rsidRPr="003A787D" w:rsidRDefault="00773890" w:rsidP="003E1087">
      <w:pPr>
        <w:pStyle w:val="Prrafodelista"/>
        <w:numPr>
          <w:ilvl w:val="0"/>
          <w:numId w:val="1"/>
        </w:numPr>
        <w:tabs>
          <w:tab w:val="left" w:pos="426"/>
        </w:tabs>
        <w:spacing w:before="240" w:after="240" w:line="360" w:lineRule="auto"/>
        <w:ind w:right="51"/>
        <w:jc w:val="both"/>
        <w:rPr>
          <w:rFonts w:ascii="Palatino Linotype" w:hAnsi="Palatino Linotype"/>
          <w:color w:val="000000" w:themeColor="text1"/>
        </w:rPr>
      </w:pPr>
      <w:r w:rsidRPr="003A787D">
        <w:rPr>
          <w:rFonts w:ascii="Palatino Linotype" w:hAnsi="Palatino Linotype" w:cs="Arial"/>
          <w:color w:val="000000" w:themeColor="text1"/>
        </w:rPr>
        <w:t>Para atender su objetivo orgánico, la Tesorería contará, entre otras, con las siguientes funciones</w:t>
      </w:r>
      <w:r w:rsidRPr="003A787D">
        <w:rPr>
          <w:rStyle w:val="Refdenotaalpie"/>
          <w:rFonts w:ascii="Palatino Linotype" w:hAnsi="Palatino Linotype" w:cs="Arial"/>
          <w:color w:val="000000" w:themeColor="text1"/>
        </w:rPr>
        <w:footnoteReference w:id="12"/>
      </w:r>
      <w:r w:rsidRPr="003A787D">
        <w:rPr>
          <w:rFonts w:ascii="Palatino Linotype" w:hAnsi="Palatino Linotype" w:cs="Arial"/>
          <w:color w:val="000000" w:themeColor="text1"/>
        </w:rPr>
        <w:t>:</w:t>
      </w:r>
    </w:p>
    <w:p w14:paraId="7E919732" w14:textId="26451BDB" w:rsidR="004272F9" w:rsidRPr="003A787D" w:rsidRDefault="004272F9" w:rsidP="00773890">
      <w:pPr>
        <w:pStyle w:val="Prrafodelista"/>
        <w:numPr>
          <w:ilvl w:val="1"/>
          <w:numId w:val="43"/>
        </w:numPr>
        <w:tabs>
          <w:tab w:val="left" w:pos="426"/>
        </w:tabs>
        <w:spacing w:before="240" w:after="240" w:line="360" w:lineRule="auto"/>
        <w:ind w:left="1134" w:right="51"/>
        <w:jc w:val="both"/>
        <w:rPr>
          <w:rFonts w:ascii="Palatino Linotype" w:hAnsi="Palatino Linotype"/>
          <w:color w:val="000000" w:themeColor="text1"/>
        </w:rPr>
      </w:pPr>
      <w:r w:rsidRPr="003A787D">
        <w:rPr>
          <w:rFonts w:ascii="Palatino Linotype" w:hAnsi="Palatino Linotype"/>
          <w:b/>
          <w:bCs/>
          <w:color w:val="000000" w:themeColor="text1"/>
        </w:rPr>
        <w:lastRenderedPageBreak/>
        <w:t xml:space="preserve">Elaborar el presupuesto anual </w:t>
      </w:r>
      <w:r w:rsidRPr="003A787D">
        <w:rPr>
          <w:rFonts w:ascii="Palatino Linotype" w:hAnsi="Palatino Linotype"/>
          <w:color w:val="000000" w:themeColor="text1"/>
        </w:rPr>
        <w:t xml:space="preserve">del Sistema Municipal para el Desarrollo Integral de la Familia de Tenancingo, Estado de México; bajo la coordinación de sus diferentes unidades administrativas; y </w:t>
      </w:r>
    </w:p>
    <w:p w14:paraId="354661F3" w14:textId="7E98C485" w:rsidR="00773890" w:rsidRPr="003A787D" w:rsidRDefault="004272F9" w:rsidP="00773890">
      <w:pPr>
        <w:pStyle w:val="Prrafodelista"/>
        <w:numPr>
          <w:ilvl w:val="1"/>
          <w:numId w:val="43"/>
        </w:numPr>
        <w:tabs>
          <w:tab w:val="left" w:pos="426"/>
        </w:tabs>
        <w:spacing w:before="240" w:after="240" w:line="360" w:lineRule="auto"/>
        <w:ind w:left="1134" w:right="51"/>
        <w:jc w:val="both"/>
        <w:rPr>
          <w:rFonts w:ascii="Palatino Linotype" w:hAnsi="Palatino Linotype"/>
          <w:color w:val="000000" w:themeColor="text1"/>
        </w:rPr>
      </w:pPr>
      <w:r w:rsidRPr="003A787D">
        <w:rPr>
          <w:rFonts w:ascii="Palatino Linotype" w:hAnsi="Palatino Linotype"/>
          <w:b/>
          <w:bCs/>
          <w:color w:val="000000" w:themeColor="text1"/>
        </w:rPr>
        <w:t>Controlar y supervisar el manejo, uso y destino de los recursos</w:t>
      </w:r>
      <w:r w:rsidRPr="003A787D">
        <w:rPr>
          <w:rFonts w:ascii="Palatino Linotype" w:hAnsi="Palatino Linotype"/>
          <w:color w:val="000000" w:themeColor="text1"/>
        </w:rPr>
        <w:t xml:space="preserve"> humanos, materiales y </w:t>
      </w:r>
      <w:r w:rsidRPr="003A787D">
        <w:rPr>
          <w:rFonts w:ascii="Palatino Linotype" w:hAnsi="Palatino Linotype"/>
          <w:b/>
          <w:bCs/>
          <w:color w:val="000000" w:themeColor="text1"/>
        </w:rPr>
        <w:t>financieros</w:t>
      </w:r>
      <w:r w:rsidRPr="003A787D">
        <w:rPr>
          <w:rFonts w:ascii="Palatino Linotype" w:hAnsi="Palatino Linotype"/>
          <w:color w:val="000000" w:themeColor="text1"/>
        </w:rPr>
        <w:t xml:space="preserve"> asignados al Sistema Municipal para el Desarrollo Integral de la Familia de Tenancingo, Estado de México; conforme a los lineamientos establecidos por la Presidencia y Dirección a efecto de evitar desviaciones.</w:t>
      </w:r>
    </w:p>
    <w:p w14:paraId="4CDB4E0C" w14:textId="77777777" w:rsidR="003F2959" w:rsidRPr="003A787D" w:rsidRDefault="003F2959" w:rsidP="003F2959">
      <w:pPr>
        <w:pStyle w:val="Prrafodelista"/>
        <w:tabs>
          <w:tab w:val="left" w:pos="426"/>
        </w:tabs>
        <w:spacing w:before="240" w:after="240" w:line="360" w:lineRule="auto"/>
        <w:ind w:left="0" w:right="51"/>
        <w:jc w:val="both"/>
        <w:rPr>
          <w:rFonts w:ascii="Palatino Linotype" w:hAnsi="Palatino Linotype"/>
          <w:color w:val="000000" w:themeColor="text1"/>
        </w:rPr>
      </w:pPr>
    </w:p>
    <w:p w14:paraId="72D72B51" w14:textId="4E5A5B82" w:rsidR="004272F9" w:rsidRPr="003A787D" w:rsidRDefault="004272F9" w:rsidP="003E1087">
      <w:pPr>
        <w:pStyle w:val="Prrafodelista"/>
        <w:numPr>
          <w:ilvl w:val="0"/>
          <w:numId w:val="1"/>
        </w:numPr>
        <w:tabs>
          <w:tab w:val="left" w:pos="426"/>
        </w:tabs>
        <w:spacing w:before="240" w:after="240" w:line="360" w:lineRule="auto"/>
        <w:ind w:right="51"/>
        <w:jc w:val="both"/>
        <w:rPr>
          <w:rFonts w:ascii="Palatino Linotype" w:hAnsi="Palatino Linotype"/>
          <w:color w:val="000000" w:themeColor="text1"/>
        </w:rPr>
      </w:pPr>
      <w:r w:rsidRPr="003A787D">
        <w:rPr>
          <w:rFonts w:ascii="Palatino Linotype" w:hAnsi="Palatino Linotype"/>
          <w:color w:val="000000" w:themeColor="text1"/>
        </w:rPr>
        <w:t xml:space="preserve">Derivado de lo anterior, este Organismo Garante determina que el </w:t>
      </w:r>
      <w:r w:rsidRPr="003A787D">
        <w:rPr>
          <w:rFonts w:ascii="Palatino Linotype" w:hAnsi="Palatino Linotype"/>
          <w:b/>
          <w:color w:val="000000" w:themeColor="text1"/>
        </w:rPr>
        <w:t>SUJETO OBLIGADO</w:t>
      </w:r>
      <w:r w:rsidRPr="003A787D">
        <w:rPr>
          <w:rFonts w:ascii="Palatino Linotype" w:hAnsi="Palatino Linotype"/>
          <w:color w:val="000000" w:themeColor="text1"/>
        </w:rPr>
        <w:t xml:space="preserve"> turnó adecuadamente la solicitud de información </w:t>
      </w:r>
      <w:r w:rsidRPr="003A787D">
        <w:rPr>
          <w:rFonts w:ascii="Palatino Linotype" w:hAnsi="Palatino Linotype"/>
          <w:b/>
          <w:color w:val="000000" w:themeColor="text1"/>
        </w:rPr>
        <w:t>00002/DIFTENANCIN/IP/2022</w:t>
      </w:r>
      <w:r w:rsidRPr="003A787D">
        <w:rPr>
          <w:rFonts w:ascii="Palatino Linotype" w:hAnsi="Palatino Linotype"/>
          <w:color w:val="000000" w:themeColor="text1"/>
        </w:rPr>
        <w:t>, pues el área administrativa que dio respuesta a los requerimientos del particular tiene, por la naturaleza de sus funciones, la competencia para poseer, generar y/o administrar la información fiscal requerida, tan es así que hizo entrega de ésta en su respuesta y posterior informe justificado.</w:t>
      </w:r>
    </w:p>
    <w:p w14:paraId="3DC02721" w14:textId="77777777" w:rsidR="003E1087" w:rsidRPr="003A787D" w:rsidRDefault="003E1087" w:rsidP="003E1087">
      <w:pPr>
        <w:pStyle w:val="Prrafodelista"/>
        <w:tabs>
          <w:tab w:val="left" w:pos="426"/>
        </w:tabs>
        <w:spacing w:before="240" w:after="240" w:line="360" w:lineRule="auto"/>
        <w:ind w:left="0" w:right="51"/>
        <w:jc w:val="both"/>
        <w:rPr>
          <w:rFonts w:ascii="Palatino Linotype" w:hAnsi="Palatino Linotype"/>
          <w:color w:val="000000" w:themeColor="text1"/>
        </w:rPr>
      </w:pPr>
    </w:p>
    <w:p w14:paraId="6FC5101D" w14:textId="5712C6FF" w:rsidR="00131C54" w:rsidRPr="003A787D" w:rsidRDefault="00131C54" w:rsidP="00131C54">
      <w:pPr>
        <w:pStyle w:val="Prrafodelista"/>
        <w:tabs>
          <w:tab w:val="left" w:pos="426"/>
        </w:tabs>
        <w:spacing w:before="240" w:after="240" w:line="360" w:lineRule="auto"/>
        <w:ind w:left="0" w:right="51"/>
        <w:jc w:val="both"/>
        <w:outlineLvl w:val="2"/>
        <w:rPr>
          <w:rFonts w:ascii="Palatino Linotype" w:hAnsi="Palatino Linotype"/>
          <w:b/>
          <w:color w:val="000000" w:themeColor="text1"/>
        </w:rPr>
      </w:pPr>
      <w:r w:rsidRPr="003A787D">
        <w:rPr>
          <w:rFonts w:ascii="Palatino Linotype" w:hAnsi="Palatino Linotype"/>
          <w:b/>
          <w:color w:val="000000" w:themeColor="text1"/>
        </w:rPr>
        <w:t xml:space="preserve">IV. De </w:t>
      </w:r>
      <w:r w:rsidR="004272F9" w:rsidRPr="003A787D">
        <w:rPr>
          <w:rFonts w:ascii="Palatino Linotype" w:hAnsi="Palatino Linotype"/>
          <w:b/>
          <w:color w:val="000000" w:themeColor="text1"/>
        </w:rPr>
        <w:t>las obligaciones fiscales del Sistema Municipal para el Desarrollo Integral de la Familia de Tenancingo</w:t>
      </w:r>
      <w:r w:rsidRPr="003A787D">
        <w:rPr>
          <w:rFonts w:ascii="Palatino Linotype" w:hAnsi="Palatino Linotype"/>
          <w:b/>
          <w:color w:val="000000" w:themeColor="text1"/>
        </w:rPr>
        <w:t>.</w:t>
      </w:r>
    </w:p>
    <w:p w14:paraId="76081DB8" w14:textId="77777777" w:rsidR="00131C54" w:rsidRPr="003A787D" w:rsidRDefault="00131C54" w:rsidP="003E1087">
      <w:pPr>
        <w:pStyle w:val="Prrafodelista"/>
        <w:tabs>
          <w:tab w:val="left" w:pos="426"/>
        </w:tabs>
        <w:spacing w:before="240" w:after="240" w:line="360" w:lineRule="auto"/>
        <w:ind w:left="0" w:right="51"/>
        <w:jc w:val="both"/>
        <w:rPr>
          <w:rFonts w:ascii="Palatino Linotype" w:hAnsi="Palatino Linotype"/>
          <w:color w:val="000000" w:themeColor="text1"/>
        </w:rPr>
      </w:pPr>
    </w:p>
    <w:p w14:paraId="4008835F" w14:textId="138DD9BB" w:rsidR="003E1087" w:rsidRPr="003A787D" w:rsidRDefault="00131C54" w:rsidP="003E1087">
      <w:pPr>
        <w:pStyle w:val="Prrafodelista"/>
        <w:numPr>
          <w:ilvl w:val="0"/>
          <w:numId w:val="1"/>
        </w:numPr>
        <w:tabs>
          <w:tab w:val="left" w:pos="426"/>
        </w:tabs>
        <w:spacing w:before="240" w:after="240" w:line="360" w:lineRule="auto"/>
        <w:ind w:right="51"/>
        <w:jc w:val="both"/>
        <w:rPr>
          <w:rFonts w:ascii="Palatino Linotype" w:hAnsi="Palatino Linotype"/>
          <w:color w:val="000000" w:themeColor="text1"/>
        </w:rPr>
      </w:pPr>
      <w:r w:rsidRPr="003A787D">
        <w:rPr>
          <w:rFonts w:ascii="Palatino Linotype" w:hAnsi="Palatino Linotype"/>
          <w:color w:val="000000" w:themeColor="text1"/>
        </w:rPr>
        <w:t xml:space="preserve">El artículo 123 de la Constitución Política de los Estados Unidos Mexicanos, en sus respectivos apartados </w:t>
      </w:r>
      <w:r w:rsidR="00D65794" w:rsidRPr="003A787D">
        <w:rPr>
          <w:rFonts w:ascii="Palatino Linotype" w:hAnsi="Palatino Linotype"/>
          <w:color w:val="000000" w:themeColor="text1"/>
        </w:rPr>
        <w:t>‘</w:t>
      </w:r>
      <w:r w:rsidRPr="003A787D">
        <w:rPr>
          <w:rFonts w:ascii="Palatino Linotype" w:hAnsi="Palatino Linotype"/>
          <w:color w:val="000000" w:themeColor="text1"/>
        </w:rPr>
        <w:t>A</w:t>
      </w:r>
      <w:r w:rsidR="00D65794" w:rsidRPr="003A787D">
        <w:rPr>
          <w:rFonts w:ascii="Palatino Linotype" w:hAnsi="Palatino Linotype"/>
          <w:color w:val="000000" w:themeColor="text1"/>
        </w:rPr>
        <w:t>’</w:t>
      </w:r>
      <w:r w:rsidRPr="003A787D">
        <w:rPr>
          <w:rFonts w:ascii="Palatino Linotype" w:hAnsi="Palatino Linotype"/>
          <w:color w:val="000000" w:themeColor="text1"/>
        </w:rPr>
        <w:t xml:space="preserve"> y </w:t>
      </w:r>
      <w:r w:rsidR="00D65794" w:rsidRPr="003A787D">
        <w:rPr>
          <w:rFonts w:ascii="Palatino Linotype" w:hAnsi="Palatino Linotype"/>
          <w:color w:val="000000" w:themeColor="text1"/>
        </w:rPr>
        <w:t>‘</w:t>
      </w:r>
      <w:r w:rsidRPr="003A787D">
        <w:rPr>
          <w:rFonts w:ascii="Palatino Linotype" w:hAnsi="Palatino Linotype"/>
          <w:color w:val="000000" w:themeColor="text1"/>
        </w:rPr>
        <w:t>B</w:t>
      </w:r>
      <w:r w:rsidR="00D65794" w:rsidRPr="003A787D">
        <w:rPr>
          <w:rFonts w:ascii="Palatino Linotype" w:hAnsi="Palatino Linotype"/>
          <w:color w:val="000000" w:themeColor="text1"/>
        </w:rPr>
        <w:t>’</w:t>
      </w:r>
      <w:r w:rsidRPr="003A787D">
        <w:rPr>
          <w:rFonts w:ascii="Palatino Linotype" w:hAnsi="Palatino Linotype"/>
          <w:color w:val="000000" w:themeColor="text1"/>
        </w:rPr>
        <w:t xml:space="preserve">, </w:t>
      </w:r>
      <w:r w:rsidRPr="003A787D">
        <w:rPr>
          <w:rFonts w:ascii="Palatino Linotype" w:hAnsi="Palatino Linotype"/>
          <w:color w:val="000000" w:themeColor="text1"/>
          <w:lang w:val="es-ES_tradnl"/>
        </w:rPr>
        <w:t>regula las relaciones obrero-patronales entre particulares (</w:t>
      </w:r>
      <w:r w:rsidR="00D65794" w:rsidRPr="003A787D">
        <w:rPr>
          <w:rFonts w:ascii="Palatino Linotype" w:hAnsi="Palatino Linotype"/>
          <w:color w:val="000000" w:themeColor="text1"/>
          <w:lang w:val="es-ES_tradnl"/>
        </w:rPr>
        <w:t>‘</w:t>
      </w:r>
      <w:r w:rsidRPr="003A787D">
        <w:rPr>
          <w:rFonts w:ascii="Palatino Linotype" w:hAnsi="Palatino Linotype"/>
          <w:color w:val="000000" w:themeColor="text1"/>
          <w:lang w:val="es-ES_tradnl"/>
        </w:rPr>
        <w:t>A</w:t>
      </w:r>
      <w:r w:rsidR="00D65794" w:rsidRPr="003A787D">
        <w:rPr>
          <w:rFonts w:ascii="Palatino Linotype" w:hAnsi="Palatino Linotype"/>
          <w:color w:val="000000" w:themeColor="text1"/>
          <w:lang w:val="es-ES_tradnl"/>
        </w:rPr>
        <w:t>’</w:t>
      </w:r>
      <w:r w:rsidRPr="003A787D">
        <w:rPr>
          <w:rFonts w:ascii="Palatino Linotype" w:hAnsi="Palatino Linotype"/>
          <w:color w:val="000000" w:themeColor="text1"/>
          <w:lang w:val="es-ES_tradnl"/>
        </w:rPr>
        <w:t>) y entre las Dependencias de Gobierno con sus servidores públicos (</w:t>
      </w:r>
      <w:r w:rsidR="00D65794" w:rsidRPr="003A787D">
        <w:rPr>
          <w:rFonts w:ascii="Palatino Linotype" w:hAnsi="Palatino Linotype"/>
          <w:color w:val="000000" w:themeColor="text1"/>
          <w:lang w:val="es-ES_tradnl"/>
        </w:rPr>
        <w:t>‘</w:t>
      </w:r>
      <w:r w:rsidRPr="003A787D">
        <w:rPr>
          <w:rFonts w:ascii="Palatino Linotype" w:hAnsi="Palatino Linotype"/>
          <w:color w:val="000000" w:themeColor="text1"/>
          <w:lang w:val="es-ES_tradnl"/>
        </w:rPr>
        <w:t>B</w:t>
      </w:r>
      <w:r w:rsidR="00D65794" w:rsidRPr="003A787D">
        <w:rPr>
          <w:rFonts w:ascii="Palatino Linotype" w:hAnsi="Palatino Linotype"/>
          <w:color w:val="000000" w:themeColor="text1"/>
          <w:lang w:val="es-ES_tradnl"/>
        </w:rPr>
        <w:t>’</w:t>
      </w:r>
      <w:r w:rsidRPr="003A787D">
        <w:rPr>
          <w:rFonts w:ascii="Palatino Linotype" w:hAnsi="Palatino Linotype"/>
          <w:color w:val="000000" w:themeColor="text1"/>
          <w:lang w:val="es-ES_tradnl"/>
        </w:rPr>
        <w:t>).</w:t>
      </w:r>
    </w:p>
    <w:p w14:paraId="0FA9DF74" w14:textId="77777777" w:rsidR="003E1087" w:rsidRPr="003A787D" w:rsidRDefault="003E1087" w:rsidP="003E1087">
      <w:pPr>
        <w:pStyle w:val="Prrafodelista"/>
        <w:tabs>
          <w:tab w:val="left" w:pos="426"/>
        </w:tabs>
        <w:spacing w:before="240" w:after="240" w:line="360" w:lineRule="auto"/>
        <w:ind w:left="0" w:right="51"/>
        <w:jc w:val="both"/>
        <w:rPr>
          <w:rFonts w:ascii="Palatino Linotype" w:hAnsi="Palatino Linotype"/>
          <w:color w:val="000000" w:themeColor="text1"/>
        </w:rPr>
      </w:pPr>
    </w:p>
    <w:p w14:paraId="06F94F87" w14:textId="68D40778" w:rsidR="003E1087" w:rsidRPr="003A787D" w:rsidRDefault="00AD15D9" w:rsidP="003E1087">
      <w:pPr>
        <w:pStyle w:val="Prrafodelista"/>
        <w:numPr>
          <w:ilvl w:val="0"/>
          <w:numId w:val="1"/>
        </w:numPr>
        <w:tabs>
          <w:tab w:val="left" w:pos="426"/>
        </w:tabs>
        <w:spacing w:before="240" w:after="240" w:line="360" w:lineRule="auto"/>
        <w:ind w:right="51"/>
        <w:jc w:val="both"/>
        <w:rPr>
          <w:rFonts w:ascii="Palatino Linotype" w:hAnsi="Palatino Linotype"/>
          <w:color w:val="000000" w:themeColor="text1"/>
        </w:rPr>
      </w:pPr>
      <w:r w:rsidRPr="003A787D">
        <w:rPr>
          <w:rFonts w:ascii="Palatino Linotype" w:hAnsi="Palatino Linotype"/>
          <w:color w:val="000000" w:themeColor="text1"/>
        </w:rPr>
        <w:lastRenderedPageBreak/>
        <w:t xml:space="preserve">Por cuanto hace al </w:t>
      </w:r>
      <w:r w:rsidRPr="003A787D">
        <w:rPr>
          <w:rFonts w:ascii="Palatino Linotype" w:hAnsi="Palatino Linotype"/>
          <w:color w:val="000000" w:themeColor="text1"/>
          <w:lang w:val="es-ES_tradnl"/>
        </w:rPr>
        <w:t xml:space="preserve">Instituto Mexicano del Seguro Social (IMSS) y el Instituto del Fondo Nacional de la Vivienda para los Trabajadores (INFONAVIT), éstos se encuentran regulados conforme al apartado </w:t>
      </w:r>
      <w:r w:rsidR="00D65794" w:rsidRPr="003A787D">
        <w:rPr>
          <w:rFonts w:ascii="Palatino Linotype" w:hAnsi="Palatino Linotype"/>
          <w:color w:val="000000" w:themeColor="text1"/>
          <w:lang w:val="es-ES_tradnl"/>
        </w:rPr>
        <w:t>‘</w:t>
      </w:r>
      <w:r w:rsidRPr="003A787D">
        <w:rPr>
          <w:rFonts w:ascii="Palatino Linotype" w:hAnsi="Palatino Linotype"/>
          <w:color w:val="000000" w:themeColor="text1"/>
          <w:lang w:val="es-ES_tradnl"/>
        </w:rPr>
        <w:t>A</w:t>
      </w:r>
      <w:r w:rsidR="00D65794" w:rsidRPr="003A787D">
        <w:rPr>
          <w:rFonts w:ascii="Palatino Linotype" w:hAnsi="Palatino Linotype"/>
          <w:color w:val="000000" w:themeColor="text1"/>
          <w:lang w:val="es-ES_tradnl"/>
        </w:rPr>
        <w:t>’</w:t>
      </w:r>
      <w:r w:rsidRPr="003A787D">
        <w:rPr>
          <w:rFonts w:ascii="Palatino Linotype" w:hAnsi="Palatino Linotype"/>
          <w:color w:val="000000" w:themeColor="text1"/>
          <w:lang w:val="es-ES_tradnl"/>
        </w:rPr>
        <w:t xml:space="preserve">, al ser entes públicos encargados de regular la seguridad social y de vivienda en el sector privado; por su parte, el apartado que rige las relaciones labores de los servidores públicos corresponde al inciso </w:t>
      </w:r>
      <w:r w:rsidR="00D65794" w:rsidRPr="003A787D">
        <w:rPr>
          <w:rFonts w:ascii="Palatino Linotype" w:hAnsi="Palatino Linotype"/>
          <w:color w:val="000000" w:themeColor="text1"/>
          <w:lang w:val="es-ES_tradnl"/>
        </w:rPr>
        <w:t>‘</w:t>
      </w:r>
      <w:r w:rsidRPr="003A787D">
        <w:rPr>
          <w:rFonts w:ascii="Palatino Linotype" w:hAnsi="Palatino Linotype"/>
          <w:color w:val="000000" w:themeColor="text1"/>
          <w:lang w:val="es-ES_tradnl"/>
        </w:rPr>
        <w:t>B</w:t>
      </w:r>
      <w:r w:rsidR="00D65794" w:rsidRPr="003A787D">
        <w:rPr>
          <w:rFonts w:ascii="Palatino Linotype" w:hAnsi="Palatino Linotype"/>
          <w:color w:val="000000" w:themeColor="text1"/>
          <w:lang w:val="es-ES_tradnl"/>
        </w:rPr>
        <w:t>’</w:t>
      </w:r>
      <w:r w:rsidRPr="003A787D">
        <w:rPr>
          <w:rFonts w:ascii="Palatino Linotype" w:hAnsi="Palatino Linotype"/>
          <w:color w:val="000000" w:themeColor="text1"/>
          <w:lang w:val="es-ES_tradnl"/>
        </w:rPr>
        <w:t>.</w:t>
      </w:r>
    </w:p>
    <w:p w14:paraId="02EE1D0B" w14:textId="77777777" w:rsidR="003E1087" w:rsidRPr="003A787D" w:rsidRDefault="003E1087" w:rsidP="003E1087">
      <w:pPr>
        <w:pStyle w:val="Prrafodelista"/>
        <w:tabs>
          <w:tab w:val="left" w:pos="426"/>
        </w:tabs>
        <w:spacing w:before="240" w:after="240" w:line="360" w:lineRule="auto"/>
        <w:ind w:left="0" w:right="51"/>
        <w:jc w:val="both"/>
        <w:rPr>
          <w:rFonts w:ascii="Palatino Linotype" w:hAnsi="Palatino Linotype"/>
          <w:color w:val="000000" w:themeColor="text1"/>
        </w:rPr>
      </w:pPr>
    </w:p>
    <w:p w14:paraId="6F1546DA" w14:textId="098798E4" w:rsidR="003E1087" w:rsidRPr="003A787D" w:rsidRDefault="00AD15D9" w:rsidP="003E1087">
      <w:pPr>
        <w:pStyle w:val="Prrafodelista"/>
        <w:numPr>
          <w:ilvl w:val="0"/>
          <w:numId w:val="1"/>
        </w:numPr>
        <w:tabs>
          <w:tab w:val="left" w:pos="426"/>
        </w:tabs>
        <w:spacing w:before="240" w:after="240" w:line="360" w:lineRule="auto"/>
        <w:ind w:right="51"/>
        <w:jc w:val="both"/>
        <w:rPr>
          <w:rFonts w:ascii="Palatino Linotype" w:hAnsi="Palatino Linotype"/>
          <w:color w:val="000000" w:themeColor="text1"/>
        </w:rPr>
      </w:pPr>
      <w:r w:rsidRPr="003A787D">
        <w:rPr>
          <w:rFonts w:ascii="Palatino Linotype" w:hAnsi="Palatino Linotype"/>
          <w:color w:val="000000" w:themeColor="text1"/>
        </w:rPr>
        <w:t xml:space="preserve">Así las cosas, </w:t>
      </w:r>
      <w:r w:rsidR="00D65794" w:rsidRPr="003A787D">
        <w:rPr>
          <w:rFonts w:ascii="Palatino Linotype" w:hAnsi="Palatino Linotype"/>
          <w:color w:val="000000" w:themeColor="text1"/>
        </w:rPr>
        <w:t>respecto</w:t>
      </w:r>
      <w:r w:rsidRPr="003A787D">
        <w:rPr>
          <w:rFonts w:ascii="Palatino Linotype" w:hAnsi="Palatino Linotype"/>
          <w:color w:val="000000" w:themeColor="text1"/>
        </w:rPr>
        <w:t xml:space="preserve"> a los pronunciamientos del </w:t>
      </w:r>
      <w:r w:rsidRPr="003A787D">
        <w:rPr>
          <w:rFonts w:ascii="Palatino Linotype" w:hAnsi="Palatino Linotype"/>
          <w:b/>
          <w:color w:val="000000" w:themeColor="text1"/>
        </w:rPr>
        <w:t>SUJETO OBLIGADO</w:t>
      </w:r>
      <w:r w:rsidRPr="003A787D">
        <w:rPr>
          <w:rFonts w:ascii="Palatino Linotype" w:hAnsi="Palatino Linotype"/>
          <w:color w:val="000000" w:themeColor="text1"/>
        </w:rPr>
        <w:t xml:space="preserve">, mediante los cuales, </w:t>
      </w:r>
      <w:r w:rsidR="00D65794" w:rsidRPr="003A787D">
        <w:rPr>
          <w:rFonts w:ascii="Palatino Linotype" w:hAnsi="Palatino Linotype"/>
          <w:color w:val="000000" w:themeColor="text1"/>
        </w:rPr>
        <w:t>refirió</w:t>
      </w:r>
      <w:r w:rsidRPr="003A787D">
        <w:rPr>
          <w:rFonts w:ascii="Palatino Linotype" w:hAnsi="Palatino Linotype"/>
          <w:color w:val="000000" w:themeColor="text1"/>
        </w:rPr>
        <w:t xml:space="preserve"> no generar información relacionada con el pago de impuestos por IMSS e INFONAVIT, </w:t>
      </w:r>
      <w:r w:rsidR="00802D9A" w:rsidRPr="003A787D">
        <w:rPr>
          <w:rFonts w:ascii="Palatino Linotype" w:hAnsi="Palatino Linotype"/>
          <w:color w:val="000000" w:themeColor="text1"/>
        </w:rPr>
        <w:t>éstos</w:t>
      </w:r>
      <w:r w:rsidR="00D65794" w:rsidRPr="003A787D">
        <w:rPr>
          <w:rFonts w:ascii="Palatino Linotype" w:hAnsi="Palatino Linotype"/>
          <w:color w:val="000000" w:themeColor="text1"/>
        </w:rPr>
        <w:t xml:space="preserve"> no</w:t>
      </w:r>
      <w:r w:rsidR="00802D9A" w:rsidRPr="003A787D">
        <w:rPr>
          <w:rFonts w:ascii="Palatino Linotype" w:hAnsi="Palatino Linotype"/>
          <w:color w:val="000000" w:themeColor="text1"/>
        </w:rPr>
        <w:t xml:space="preserve"> deben entenderse</w:t>
      </w:r>
      <w:r w:rsidR="00D65794" w:rsidRPr="003A787D">
        <w:rPr>
          <w:rFonts w:ascii="Palatino Linotype" w:hAnsi="Palatino Linotype"/>
          <w:color w:val="000000" w:themeColor="text1"/>
        </w:rPr>
        <w:t xml:space="preserve"> como una manifestación de incompetencia, sino</w:t>
      </w:r>
      <w:r w:rsidR="00802D9A" w:rsidRPr="003A787D">
        <w:rPr>
          <w:rFonts w:ascii="Palatino Linotype" w:hAnsi="Palatino Linotype"/>
          <w:color w:val="000000" w:themeColor="text1"/>
        </w:rPr>
        <w:t xml:space="preserve"> como un </w:t>
      </w:r>
      <w:r w:rsidR="00802D9A" w:rsidRPr="003A787D">
        <w:rPr>
          <w:rFonts w:ascii="Palatino Linotype" w:hAnsi="Palatino Linotype"/>
          <w:b/>
          <w:bCs/>
          <w:i/>
          <w:color w:val="000000" w:themeColor="text1"/>
        </w:rPr>
        <w:t>hecho negativo</w:t>
      </w:r>
      <w:r w:rsidR="00802D9A" w:rsidRPr="003A787D">
        <w:rPr>
          <w:rFonts w:ascii="Palatino Linotype" w:hAnsi="Palatino Linotype"/>
          <w:color w:val="000000" w:themeColor="text1"/>
        </w:rPr>
        <w:t xml:space="preserve">; es decir, que </w:t>
      </w:r>
      <w:r w:rsidR="00802D9A" w:rsidRPr="003A787D">
        <w:rPr>
          <w:rFonts w:ascii="Palatino Linotype" w:hAnsi="Palatino Linotype"/>
          <w:color w:val="000000" w:themeColor="text1"/>
          <w:lang w:val="es-ES"/>
        </w:rPr>
        <w:t xml:space="preserve">no se actualiza la circunstancia por la cual </w:t>
      </w:r>
      <w:r w:rsidR="00802D9A" w:rsidRPr="003A787D">
        <w:rPr>
          <w:rFonts w:ascii="Palatino Linotype" w:hAnsi="Palatino Linotype"/>
          <w:bCs/>
          <w:color w:val="000000" w:themeColor="text1"/>
          <w:lang w:val="es-ES"/>
        </w:rPr>
        <w:t>el</w:t>
      </w:r>
      <w:r w:rsidR="00802D9A" w:rsidRPr="003A787D">
        <w:rPr>
          <w:rFonts w:ascii="Palatino Linotype" w:hAnsi="Palatino Linotype"/>
          <w:b/>
          <w:color w:val="000000" w:themeColor="text1"/>
          <w:lang w:val="es-ES"/>
        </w:rPr>
        <w:t xml:space="preserve"> SUJETO OBLIGADO</w:t>
      </w:r>
      <w:r w:rsidR="00802D9A" w:rsidRPr="003A787D">
        <w:rPr>
          <w:rFonts w:ascii="Palatino Linotype" w:hAnsi="Palatino Linotype"/>
          <w:bCs/>
          <w:color w:val="000000" w:themeColor="text1"/>
          <w:lang w:val="es-ES"/>
        </w:rPr>
        <w:t>,</w:t>
      </w:r>
      <w:r w:rsidR="00802D9A" w:rsidRPr="003A787D">
        <w:rPr>
          <w:rFonts w:ascii="Palatino Linotype" w:hAnsi="Palatino Linotype"/>
          <w:color w:val="000000" w:themeColor="text1"/>
          <w:lang w:val="es-ES"/>
        </w:rPr>
        <w:t xml:space="preserve"> en el ámbito de sus atribuciones, pudiese poseer en sus archivos la información solicitada</w:t>
      </w:r>
      <w:r w:rsidR="00D65794" w:rsidRPr="003A787D">
        <w:rPr>
          <w:rFonts w:ascii="Palatino Linotype" w:hAnsi="Palatino Linotype"/>
          <w:color w:val="000000" w:themeColor="text1"/>
          <w:lang w:val="es-ES"/>
        </w:rPr>
        <w:t>; razón de lo anterior,</w:t>
      </w:r>
      <w:r w:rsidR="00802D9A" w:rsidRPr="003A787D">
        <w:rPr>
          <w:rFonts w:ascii="Palatino Linotype" w:hAnsi="Palatino Linotype"/>
          <w:color w:val="000000" w:themeColor="text1"/>
          <w:lang w:val="es-ES"/>
        </w:rPr>
        <w:t xml:space="preserve"> resultaría innecesaria una declaratoria de inexistencia, en términos de la fracción XIII</w:t>
      </w:r>
      <w:r w:rsidR="00D65794" w:rsidRPr="003A787D">
        <w:rPr>
          <w:rStyle w:val="Refdenotaalpie"/>
          <w:rFonts w:ascii="Palatino Linotype" w:hAnsi="Palatino Linotype"/>
          <w:color w:val="000000" w:themeColor="text1"/>
          <w:lang w:val="es-ES"/>
        </w:rPr>
        <w:footnoteReference w:id="13"/>
      </w:r>
      <w:r w:rsidR="00D65794" w:rsidRPr="003A787D">
        <w:rPr>
          <w:rFonts w:ascii="Palatino Linotype" w:hAnsi="Palatino Linotype"/>
          <w:color w:val="000000" w:themeColor="text1"/>
          <w:lang w:val="es-ES"/>
        </w:rPr>
        <w:t>,</w:t>
      </w:r>
      <w:r w:rsidR="00802D9A" w:rsidRPr="003A787D">
        <w:rPr>
          <w:rFonts w:ascii="Palatino Linotype" w:hAnsi="Palatino Linotype"/>
          <w:color w:val="000000" w:themeColor="text1"/>
          <w:lang w:val="es-ES"/>
        </w:rPr>
        <w:t xml:space="preserve"> del artículo 49</w:t>
      </w:r>
      <w:r w:rsidR="00D65794" w:rsidRPr="003A787D">
        <w:rPr>
          <w:rFonts w:ascii="Palatino Linotype" w:hAnsi="Palatino Linotype"/>
          <w:color w:val="000000" w:themeColor="text1"/>
          <w:lang w:val="es-ES"/>
        </w:rPr>
        <w:t>,</w:t>
      </w:r>
      <w:r w:rsidR="00802D9A" w:rsidRPr="003A787D">
        <w:rPr>
          <w:rFonts w:ascii="Palatino Linotype" w:hAnsi="Palatino Linotype"/>
          <w:color w:val="000000" w:themeColor="text1"/>
          <w:lang w:val="es-ES"/>
        </w:rPr>
        <w:t xml:space="preserve"> de la Ley de Transparencia y Acceso a la Información Pública del Estado de México y Municipios.</w:t>
      </w:r>
    </w:p>
    <w:p w14:paraId="03DCCF72" w14:textId="77777777" w:rsidR="003E1087" w:rsidRPr="003A787D" w:rsidRDefault="003E1087" w:rsidP="003E1087">
      <w:pPr>
        <w:pStyle w:val="Prrafodelista"/>
        <w:tabs>
          <w:tab w:val="left" w:pos="426"/>
        </w:tabs>
        <w:spacing w:before="240" w:after="240" w:line="360" w:lineRule="auto"/>
        <w:ind w:left="0" w:right="51"/>
        <w:jc w:val="both"/>
        <w:rPr>
          <w:rFonts w:ascii="Palatino Linotype" w:hAnsi="Palatino Linotype"/>
          <w:color w:val="000000" w:themeColor="text1"/>
        </w:rPr>
      </w:pPr>
    </w:p>
    <w:p w14:paraId="30B82735" w14:textId="1A5AC4A1" w:rsidR="003E1087" w:rsidRPr="003A787D" w:rsidRDefault="00802D9A" w:rsidP="003E1087">
      <w:pPr>
        <w:pStyle w:val="Prrafodelista"/>
        <w:numPr>
          <w:ilvl w:val="0"/>
          <w:numId w:val="1"/>
        </w:numPr>
        <w:tabs>
          <w:tab w:val="left" w:pos="426"/>
        </w:tabs>
        <w:spacing w:before="240" w:after="240" w:line="360" w:lineRule="auto"/>
        <w:ind w:right="51"/>
        <w:jc w:val="both"/>
        <w:rPr>
          <w:rFonts w:ascii="Palatino Linotype" w:hAnsi="Palatino Linotype"/>
          <w:color w:val="000000" w:themeColor="text1"/>
        </w:rPr>
      </w:pPr>
      <w:r w:rsidRPr="003A787D">
        <w:rPr>
          <w:rFonts w:ascii="Palatino Linotype" w:hAnsi="Palatino Linotype"/>
          <w:color w:val="000000" w:themeColor="text1"/>
        </w:rPr>
        <w:t xml:space="preserve">Lo </w:t>
      </w:r>
      <w:r w:rsidRPr="003A787D">
        <w:rPr>
          <w:rFonts w:ascii="Palatino Linotype" w:hAnsi="Palatino Linotype" w:cs="Arial"/>
          <w:color w:val="000000" w:themeColor="text1"/>
        </w:rPr>
        <w:t>anterior encuentra sustento con la Jurisprudencia 267,287 y el Criterio 10/2004 emitidos por el Máximo Juzgador del país, Tesis que determinan lo siguiente:</w:t>
      </w:r>
    </w:p>
    <w:p w14:paraId="490EEE7B" w14:textId="77777777" w:rsidR="003E1087" w:rsidRPr="003A787D" w:rsidRDefault="003E1087" w:rsidP="003E1087">
      <w:pPr>
        <w:pStyle w:val="Prrafodelista"/>
        <w:tabs>
          <w:tab w:val="left" w:pos="426"/>
        </w:tabs>
        <w:spacing w:before="240" w:after="240" w:line="360" w:lineRule="auto"/>
        <w:ind w:left="0" w:right="51"/>
        <w:jc w:val="both"/>
        <w:rPr>
          <w:rFonts w:ascii="Palatino Linotype" w:hAnsi="Palatino Linotype"/>
          <w:color w:val="000000" w:themeColor="text1"/>
        </w:rPr>
      </w:pPr>
    </w:p>
    <w:p w14:paraId="7A32D5DF" w14:textId="77777777" w:rsidR="00802D9A" w:rsidRPr="003A787D" w:rsidRDefault="00802D9A" w:rsidP="00802D9A">
      <w:pPr>
        <w:pStyle w:val="Prrafodelista"/>
        <w:tabs>
          <w:tab w:val="left" w:pos="426"/>
        </w:tabs>
        <w:spacing w:before="240" w:after="240" w:line="276" w:lineRule="auto"/>
        <w:ind w:left="567" w:right="567"/>
        <w:jc w:val="both"/>
        <w:rPr>
          <w:rFonts w:ascii="Palatino Linotype" w:hAnsi="Palatino Linotype" w:cs="Arial"/>
          <w:i/>
          <w:sz w:val="22"/>
          <w:szCs w:val="22"/>
        </w:rPr>
      </w:pPr>
      <w:r w:rsidRPr="003A787D">
        <w:rPr>
          <w:rFonts w:ascii="Palatino Linotype" w:hAnsi="Palatino Linotype" w:cs="Arial"/>
          <w:i/>
          <w:sz w:val="22"/>
          <w:szCs w:val="22"/>
        </w:rPr>
        <w:lastRenderedPageBreak/>
        <w:t>“</w:t>
      </w:r>
      <w:r w:rsidRPr="003A787D">
        <w:rPr>
          <w:rFonts w:ascii="Palatino Linotype" w:hAnsi="Palatino Linotype" w:cs="Arial"/>
          <w:b/>
          <w:i/>
          <w:sz w:val="22"/>
          <w:szCs w:val="22"/>
        </w:rPr>
        <w:t>HECHOS NEGATIVOS, NO SON SUSCEPTIBLES DE DEMOSTRACION.</w:t>
      </w:r>
      <w:r w:rsidRPr="003A787D">
        <w:rPr>
          <w:rFonts w:ascii="Palatino Linotype" w:hAnsi="Palatino Linotype" w:cs="Arial"/>
          <w:i/>
          <w:sz w:val="22"/>
          <w:szCs w:val="22"/>
        </w:rPr>
        <w:t xml:space="preserve"> </w:t>
      </w:r>
      <w:r w:rsidRPr="003A787D">
        <w:rPr>
          <w:rFonts w:ascii="Palatino Linotype" w:hAnsi="Palatino Linotype" w:cs="Arial"/>
          <w:b/>
          <w:i/>
          <w:sz w:val="22"/>
          <w:szCs w:val="22"/>
        </w:rPr>
        <w:t xml:space="preserve">Tratándose de un hecho negativo, el Juez no tiene </w:t>
      </w:r>
      <w:proofErr w:type="spellStart"/>
      <w:r w:rsidRPr="003A787D">
        <w:rPr>
          <w:rFonts w:ascii="Palatino Linotype" w:hAnsi="Palatino Linotype" w:cs="Arial"/>
          <w:b/>
          <w:i/>
          <w:sz w:val="22"/>
          <w:szCs w:val="22"/>
        </w:rPr>
        <w:t>por que</w:t>
      </w:r>
      <w:proofErr w:type="spellEnd"/>
      <w:r w:rsidRPr="003A787D">
        <w:rPr>
          <w:rFonts w:ascii="Palatino Linotype" w:hAnsi="Palatino Linotype" w:cs="Arial"/>
          <w:b/>
          <w:i/>
          <w:sz w:val="22"/>
          <w:szCs w:val="22"/>
        </w:rPr>
        <w:t xml:space="preserve"> invocar prueba alguna de la que se desprenda</w:t>
      </w:r>
      <w:r w:rsidRPr="003A787D">
        <w:rPr>
          <w:rFonts w:ascii="Palatino Linotype" w:hAnsi="Palatino Linotype" w:cs="Arial"/>
          <w:i/>
          <w:sz w:val="22"/>
          <w:szCs w:val="22"/>
        </w:rPr>
        <w:t>, ya que es bien sabido que esta clase de hechos no son susceptibles de demostración.”</w:t>
      </w:r>
    </w:p>
    <w:p w14:paraId="0B43B5BD" w14:textId="77777777" w:rsidR="00802D9A" w:rsidRPr="003A787D" w:rsidRDefault="00802D9A" w:rsidP="00802D9A">
      <w:pPr>
        <w:pStyle w:val="Prrafodelista"/>
        <w:tabs>
          <w:tab w:val="left" w:pos="426"/>
        </w:tabs>
        <w:spacing w:before="240" w:after="240" w:line="276" w:lineRule="auto"/>
        <w:ind w:left="567" w:right="567"/>
        <w:jc w:val="both"/>
        <w:rPr>
          <w:rFonts w:ascii="Palatino Linotype" w:hAnsi="Palatino Linotype" w:cs="Arial"/>
          <w:i/>
          <w:sz w:val="22"/>
          <w:szCs w:val="22"/>
        </w:rPr>
      </w:pPr>
    </w:p>
    <w:p w14:paraId="3F9FD286" w14:textId="77777777" w:rsidR="00802D9A" w:rsidRPr="003A787D" w:rsidRDefault="00802D9A" w:rsidP="00802D9A">
      <w:pPr>
        <w:pStyle w:val="Prrafodelista"/>
        <w:tabs>
          <w:tab w:val="left" w:pos="426"/>
        </w:tabs>
        <w:spacing w:before="240" w:after="240" w:line="276" w:lineRule="auto"/>
        <w:ind w:left="567" w:right="567"/>
        <w:jc w:val="both"/>
        <w:rPr>
          <w:rFonts w:ascii="Palatino Linotype" w:hAnsi="Palatino Linotype" w:cs="Arial"/>
          <w:i/>
          <w:sz w:val="22"/>
          <w:szCs w:val="22"/>
        </w:rPr>
      </w:pPr>
      <w:r w:rsidRPr="003A787D">
        <w:rPr>
          <w:rFonts w:ascii="Palatino Linotype" w:hAnsi="Palatino Linotype" w:cs="Arial"/>
          <w:i/>
          <w:sz w:val="22"/>
          <w:szCs w:val="22"/>
        </w:rPr>
        <w:t>“</w:t>
      </w:r>
      <w:r w:rsidRPr="003A787D">
        <w:rPr>
          <w:rFonts w:ascii="Palatino Linotype" w:hAnsi="Palatino Linotype" w:cs="Arial"/>
          <w:b/>
          <w:i/>
          <w:sz w:val="22"/>
          <w:szCs w:val="22"/>
        </w:rPr>
        <w:t>INEXISTENCIA DE LA INFORMACIÓN. EL COMITÉ DE ACCESO A LA INFORMACIÓN PUEDE DECLARARLA ANTE SU EVIDENCIA, SIN NECESIDAD DE DICTAR MEDIDAS PARA SU LOCALIZACIÓN.</w:t>
      </w:r>
      <w:r w:rsidRPr="003A787D">
        <w:rPr>
          <w:rFonts w:ascii="Palatino Linotype" w:hAnsi="Palatino Linotype" w:cs="Arial"/>
          <w:i/>
          <w:sz w:val="22"/>
          <w:szCs w:val="22"/>
        </w:rPr>
        <w:t xml:space="preserve"> Los artículos 46 de la Ley Federal de Transparencia y Acceso a la Información Pública Gubernamental y 30, segundo párrafo, del Reglamento de la Suprema Corte de Justicia de la Nación y del Consejo de la Judicatura Federal para la aplicación de la Ley Federal  de Transparencia y Acceso a la Información Pública Gubernamental, disponen que cuando los documentos no se encuentren en los archivos de la respectiva Unidad Administrativa, se deberá remitir al Comité la solicitud de acceso y el oficio donde se manifieste tal circunstancia, para que éste analice el caso y tome las medidas pertinentes para localizar en la Unidad Administrativa correspondiente el documento solicitado y, de no encontrarlo, expida una resolución que confirme la inexistencia del mismo. Ello no obsta para concluir que cua</w:t>
      </w:r>
      <w:r w:rsidRPr="003A787D">
        <w:rPr>
          <w:rFonts w:ascii="Palatino Linotype" w:hAnsi="Palatino Linotype" w:cs="Arial"/>
          <w:b/>
          <w:i/>
          <w:sz w:val="22"/>
          <w:szCs w:val="22"/>
        </w:rPr>
        <w:t>ndo la referida Unidad señala, o</w:t>
      </w:r>
      <w:r w:rsidRPr="003A787D">
        <w:rPr>
          <w:rFonts w:ascii="Palatino Linotype" w:hAnsi="Palatino Linotype" w:cs="Arial"/>
          <w:i/>
          <w:sz w:val="22"/>
          <w:szCs w:val="22"/>
        </w:rPr>
        <w:t xml:space="preserve"> el mencionado Comité </w:t>
      </w:r>
      <w:r w:rsidRPr="003A787D">
        <w:rPr>
          <w:rFonts w:ascii="Palatino Linotype" w:hAnsi="Palatino Linotype" w:cs="Arial"/>
          <w:b/>
          <w:i/>
          <w:sz w:val="22"/>
          <w:szCs w:val="22"/>
        </w:rPr>
        <w:t>advierte que el documento solicitado no existe en virtud de que no tuvo lugar el acto cuya realización supuestamente se reflejó en aquél, resulta innecesario dictar alguna medida para localizar la información respectiva, al evidenciarse su inexistencia.</w:t>
      </w:r>
      <w:r w:rsidRPr="003A787D">
        <w:rPr>
          <w:rFonts w:ascii="Palatino Linotype" w:hAnsi="Palatino Linotype" w:cs="Arial"/>
          <w:i/>
          <w:sz w:val="22"/>
          <w:szCs w:val="22"/>
        </w:rPr>
        <w:t>”</w:t>
      </w:r>
    </w:p>
    <w:p w14:paraId="715C47BA" w14:textId="77777777" w:rsidR="00802D9A" w:rsidRPr="003A787D" w:rsidRDefault="00802D9A" w:rsidP="00802D9A">
      <w:pPr>
        <w:pStyle w:val="Prrafodelista"/>
        <w:tabs>
          <w:tab w:val="left" w:pos="426"/>
        </w:tabs>
        <w:spacing w:before="240" w:after="240" w:line="276" w:lineRule="auto"/>
        <w:ind w:left="567" w:right="567"/>
        <w:jc w:val="both"/>
        <w:rPr>
          <w:rFonts w:ascii="Palatino Linotype" w:hAnsi="Palatino Linotype" w:cs="Arial"/>
          <w:iCs/>
          <w:sz w:val="22"/>
          <w:szCs w:val="22"/>
        </w:rPr>
      </w:pPr>
      <w:r w:rsidRPr="003A787D">
        <w:rPr>
          <w:rFonts w:ascii="Palatino Linotype" w:hAnsi="Palatino Linotype" w:cs="Arial"/>
          <w:iCs/>
          <w:sz w:val="22"/>
          <w:szCs w:val="22"/>
        </w:rPr>
        <w:t>(Énfasis añadido)</w:t>
      </w:r>
    </w:p>
    <w:p w14:paraId="5FE1F4A2" w14:textId="77777777" w:rsidR="00802D9A" w:rsidRPr="003A787D" w:rsidRDefault="00802D9A" w:rsidP="003E1087">
      <w:pPr>
        <w:pStyle w:val="Prrafodelista"/>
        <w:tabs>
          <w:tab w:val="left" w:pos="426"/>
        </w:tabs>
        <w:spacing w:before="240" w:after="240" w:line="360" w:lineRule="auto"/>
        <w:ind w:left="0" w:right="51"/>
        <w:jc w:val="both"/>
        <w:rPr>
          <w:rFonts w:ascii="Palatino Linotype" w:hAnsi="Palatino Linotype"/>
          <w:color w:val="000000" w:themeColor="text1"/>
        </w:rPr>
      </w:pPr>
    </w:p>
    <w:p w14:paraId="5F104F35" w14:textId="2C36A9B0" w:rsidR="003E1087" w:rsidRPr="003A787D" w:rsidRDefault="0004606D" w:rsidP="003E1087">
      <w:pPr>
        <w:pStyle w:val="Prrafodelista"/>
        <w:numPr>
          <w:ilvl w:val="0"/>
          <w:numId w:val="1"/>
        </w:numPr>
        <w:tabs>
          <w:tab w:val="left" w:pos="426"/>
        </w:tabs>
        <w:spacing w:before="240" w:after="240" w:line="360" w:lineRule="auto"/>
        <w:ind w:right="51"/>
        <w:jc w:val="both"/>
        <w:rPr>
          <w:rFonts w:ascii="Palatino Linotype" w:hAnsi="Palatino Linotype"/>
          <w:color w:val="000000" w:themeColor="text1"/>
        </w:rPr>
      </w:pPr>
      <w:r w:rsidRPr="003A787D">
        <w:rPr>
          <w:rFonts w:ascii="Palatino Linotype" w:hAnsi="Palatino Linotype"/>
          <w:color w:val="000000" w:themeColor="text1"/>
        </w:rPr>
        <w:t>Ahora bien,</w:t>
      </w:r>
      <w:r w:rsidR="00802D9A" w:rsidRPr="003A787D">
        <w:rPr>
          <w:rFonts w:ascii="Palatino Linotype" w:hAnsi="Palatino Linotype"/>
          <w:color w:val="000000" w:themeColor="text1"/>
        </w:rPr>
        <w:t xml:space="preserve"> cuanto hace al pago de impuestos sobre sueldos y salarios, el artículo primero del Código Fiscal de la Federación establece que las personas físicas y las morales, están obligadas a contribuir para los gastos públicos conforme a las leyes fiscales respectivas.</w:t>
      </w:r>
    </w:p>
    <w:p w14:paraId="5CDFB9A4" w14:textId="77777777" w:rsidR="003E1087" w:rsidRPr="003A787D" w:rsidRDefault="003E1087" w:rsidP="003E1087">
      <w:pPr>
        <w:pStyle w:val="Prrafodelista"/>
        <w:tabs>
          <w:tab w:val="left" w:pos="426"/>
        </w:tabs>
        <w:spacing w:before="240" w:after="240" w:line="360" w:lineRule="auto"/>
        <w:ind w:left="0" w:right="51"/>
        <w:jc w:val="both"/>
        <w:rPr>
          <w:rFonts w:ascii="Palatino Linotype" w:hAnsi="Palatino Linotype"/>
          <w:color w:val="000000" w:themeColor="text1"/>
        </w:rPr>
      </w:pPr>
    </w:p>
    <w:p w14:paraId="25EF9927" w14:textId="4400DD4E" w:rsidR="003E1087" w:rsidRPr="003A787D" w:rsidRDefault="001D1156" w:rsidP="003E1087">
      <w:pPr>
        <w:pStyle w:val="Prrafodelista"/>
        <w:numPr>
          <w:ilvl w:val="0"/>
          <w:numId w:val="1"/>
        </w:numPr>
        <w:tabs>
          <w:tab w:val="left" w:pos="426"/>
        </w:tabs>
        <w:spacing w:before="240" w:after="240" w:line="360" w:lineRule="auto"/>
        <w:ind w:right="51"/>
        <w:jc w:val="both"/>
        <w:rPr>
          <w:rFonts w:ascii="Palatino Linotype" w:hAnsi="Palatino Linotype"/>
          <w:color w:val="000000" w:themeColor="text1"/>
        </w:rPr>
      </w:pPr>
      <w:r w:rsidRPr="003A787D">
        <w:rPr>
          <w:rFonts w:ascii="Palatino Linotype" w:hAnsi="Palatino Linotype"/>
          <w:color w:val="000000" w:themeColor="text1"/>
        </w:rPr>
        <w:t xml:space="preserve">Por su parte, el artículo 27 del Código Fiscal de la Federación, en su inciso </w:t>
      </w:r>
      <w:r w:rsidR="0004606D" w:rsidRPr="003A787D">
        <w:rPr>
          <w:rFonts w:ascii="Palatino Linotype" w:hAnsi="Palatino Linotype"/>
          <w:color w:val="000000" w:themeColor="text1"/>
        </w:rPr>
        <w:t>‘</w:t>
      </w:r>
      <w:r w:rsidRPr="003A787D">
        <w:rPr>
          <w:rFonts w:ascii="Palatino Linotype" w:hAnsi="Palatino Linotype"/>
          <w:color w:val="000000" w:themeColor="text1"/>
        </w:rPr>
        <w:t>A</w:t>
      </w:r>
      <w:r w:rsidR="0004606D" w:rsidRPr="003A787D">
        <w:rPr>
          <w:rFonts w:ascii="Palatino Linotype" w:hAnsi="Palatino Linotype"/>
          <w:color w:val="000000" w:themeColor="text1"/>
        </w:rPr>
        <w:t>’</w:t>
      </w:r>
      <w:r w:rsidRPr="003A787D">
        <w:rPr>
          <w:rFonts w:ascii="Palatino Linotype" w:hAnsi="Palatino Linotype"/>
          <w:color w:val="000000" w:themeColor="text1"/>
        </w:rPr>
        <w:t xml:space="preserve">, establece que en materia del Registro Federal de Contribuyentes, </w:t>
      </w:r>
      <w:r w:rsidRPr="003A787D">
        <w:rPr>
          <w:rFonts w:ascii="Palatino Linotype" w:hAnsi="Palatino Linotype"/>
          <w:b/>
          <w:bCs/>
          <w:color w:val="000000" w:themeColor="text1"/>
        </w:rPr>
        <w:t xml:space="preserve">serán sujetos </w:t>
      </w:r>
      <w:r w:rsidRPr="003A787D">
        <w:rPr>
          <w:rFonts w:ascii="Palatino Linotype" w:hAnsi="Palatino Linotype"/>
          <w:b/>
          <w:bCs/>
          <w:color w:val="000000" w:themeColor="text1"/>
        </w:rPr>
        <w:lastRenderedPageBreak/>
        <w:t>obligados las unidades administrativas y los órganos administrativos desconcentrados</w:t>
      </w:r>
      <w:r w:rsidRPr="003A787D">
        <w:rPr>
          <w:rFonts w:ascii="Palatino Linotype" w:hAnsi="Palatino Linotype"/>
          <w:color w:val="000000" w:themeColor="text1"/>
        </w:rPr>
        <w:t xml:space="preserve"> de las dependencias y las demás áreas u órganos de la Federación, de las Entidades Federativas, </w:t>
      </w:r>
      <w:r w:rsidRPr="003A787D">
        <w:rPr>
          <w:rFonts w:ascii="Palatino Linotype" w:hAnsi="Palatino Linotype"/>
          <w:b/>
          <w:bCs/>
          <w:color w:val="000000" w:themeColor="text1"/>
        </w:rPr>
        <w:t>de los municipios</w:t>
      </w:r>
      <w:r w:rsidRPr="003A787D">
        <w:rPr>
          <w:rFonts w:ascii="Palatino Linotype" w:hAnsi="Palatino Linotype"/>
          <w:color w:val="000000" w:themeColor="text1"/>
        </w:rPr>
        <w:t xml:space="preserve">, de los organismos descentralizados y de los órganos constitucionales autónomos, </w:t>
      </w:r>
      <w:r w:rsidRPr="003A787D">
        <w:rPr>
          <w:rFonts w:ascii="Palatino Linotype" w:hAnsi="Palatino Linotype"/>
          <w:b/>
          <w:bCs/>
          <w:color w:val="000000" w:themeColor="text1"/>
        </w:rPr>
        <w:t>que cuenten con autorización del ente público al que pertenezcan, que tengan el carácter de retenedor o de contribuyente</w:t>
      </w:r>
      <w:r w:rsidRPr="003A787D">
        <w:rPr>
          <w:rFonts w:ascii="Palatino Linotype" w:hAnsi="Palatino Linotype"/>
          <w:color w:val="000000" w:themeColor="text1"/>
        </w:rPr>
        <w:t xml:space="preserve">, de conformidad con las leyes fiscales, en forma separada del ente público al que pertenezcan, deberán dar cumplimiento a las obligaciones previstas en las fracciones I, II y III del apartado </w:t>
      </w:r>
      <w:r w:rsidR="0004606D" w:rsidRPr="003A787D">
        <w:rPr>
          <w:rFonts w:ascii="Palatino Linotype" w:hAnsi="Palatino Linotype"/>
          <w:color w:val="000000" w:themeColor="text1"/>
        </w:rPr>
        <w:t>‘</w:t>
      </w:r>
      <w:r w:rsidRPr="003A787D">
        <w:rPr>
          <w:rFonts w:ascii="Palatino Linotype" w:hAnsi="Palatino Linotype"/>
          <w:color w:val="000000" w:themeColor="text1"/>
        </w:rPr>
        <w:t>B</w:t>
      </w:r>
      <w:r w:rsidR="0004606D" w:rsidRPr="003A787D">
        <w:rPr>
          <w:rFonts w:ascii="Palatino Linotype" w:hAnsi="Palatino Linotype"/>
          <w:color w:val="000000" w:themeColor="text1"/>
        </w:rPr>
        <w:t>’</w:t>
      </w:r>
      <w:r w:rsidRPr="003A787D">
        <w:rPr>
          <w:rFonts w:ascii="Palatino Linotype" w:hAnsi="Palatino Linotype"/>
          <w:color w:val="000000" w:themeColor="text1"/>
        </w:rPr>
        <w:t xml:space="preserve"> del numeral en comento.</w:t>
      </w:r>
    </w:p>
    <w:p w14:paraId="0DE1B8C0" w14:textId="77777777" w:rsidR="003E1087" w:rsidRPr="003A787D" w:rsidRDefault="003E1087" w:rsidP="003E1087">
      <w:pPr>
        <w:pStyle w:val="Prrafodelista"/>
        <w:tabs>
          <w:tab w:val="left" w:pos="426"/>
        </w:tabs>
        <w:spacing w:before="240" w:after="240" w:line="360" w:lineRule="auto"/>
        <w:ind w:left="0" w:right="51"/>
        <w:jc w:val="both"/>
        <w:rPr>
          <w:rFonts w:ascii="Palatino Linotype" w:hAnsi="Palatino Linotype"/>
          <w:color w:val="000000" w:themeColor="text1"/>
        </w:rPr>
      </w:pPr>
    </w:p>
    <w:p w14:paraId="190FAF47" w14:textId="084C4D85" w:rsidR="003E1087" w:rsidRPr="003A787D" w:rsidRDefault="001D1156" w:rsidP="003E1087">
      <w:pPr>
        <w:pStyle w:val="Prrafodelista"/>
        <w:numPr>
          <w:ilvl w:val="0"/>
          <w:numId w:val="1"/>
        </w:numPr>
        <w:tabs>
          <w:tab w:val="left" w:pos="426"/>
        </w:tabs>
        <w:spacing w:before="240" w:after="240" w:line="360" w:lineRule="auto"/>
        <w:ind w:right="51"/>
        <w:jc w:val="both"/>
        <w:rPr>
          <w:rFonts w:ascii="Palatino Linotype" w:hAnsi="Palatino Linotype"/>
          <w:color w:val="000000" w:themeColor="text1"/>
        </w:rPr>
      </w:pPr>
      <w:r w:rsidRPr="003A787D">
        <w:rPr>
          <w:rFonts w:ascii="Palatino Linotype" w:hAnsi="Palatino Linotype"/>
          <w:color w:val="000000" w:themeColor="text1"/>
        </w:rPr>
        <w:t>Correlativo a lo anterior, el artículo 29 del ordenamiento en estudio establece lo siguiente:</w:t>
      </w:r>
    </w:p>
    <w:p w14:paraId="27794E01" w14:textId="21B162BB" w:rsidR="003E1087" w:rsidRPr="003A787D" w:rsidRDefault="001D1156" w:rsidP="001D1156">
      <w:pPr>
        <w:pStyle w:val="Prrafodelista"/>
        <w:tabs>
          <w:tab w:val="left" w:pos="1827"/>
        </w:tabs>
        <w:spacing w:before="240" w:after="240" w:line="360" w:lineRule="auto"/>
        <w:ind w:left="0" w:right="51"/>
        <w:jc w:val="both"/>
        <w:rPr>
          <w:rFonts w:ascii="Palatino Linotype" w:hAnsi="Palatino Linotype"/>
          <w:color w:val="000000" w:themeColor="text1"/>
        </w:rPr>
      </w:pPr>
      <w:r w:rsidRPr="003A787D">
        <w:rPr>
          <w:rFonts w:ascii="Palatino Linotype" w:hAnsi="Palatino Linotype"/>
          <w:color w:val="000000" w:themeColor="text1"/>
        </w:rPr>
        <w:tab/>
      </w:r>
    </w:p>
    <w:p w14:paraId="7A5CA86B" w14:textId="77777777" w:rsidR="001D1156" w:rsidRPr="003A787D" w:rsidRDefault="001D1156" w:rsidP="001D1156">
      <w:pPr>
        <w:spacing w:line="276" w:lineRule="auto"/>
        <w:ind w:left="567" w:right="567"/>
        <w:jc w:val="both"/>
        <w:rPr>
          <w:rFonts w:ascii="Palatino Linotype" w:eastAsia="Calibri" w:hAnsi="Palatino Linotype" w:cs="Times New Roman"/>
          <w:i/>
          <w:sz w:val="22"/>
          <w:lang w:val="es-ES_tradnl"/>
        </w:rPr>
      </w:pPr>
      <w:r w:rsidRPr="003A787D">
        <w:rPr>
          <w:rFonts w:ascii="Palatino Linotype" w:eastAsia="Calibri" w:hAnsi="Palatino Linotype" w:cs="Times New Roman"/>
          <w:b/>
          <w:i/>
          <w:sz w:val="22"/>
          <w:lang w:val="es-ES_tradnl"/>
        </w:rPr>
        <w:t>Artículo 29.</w:t>
      </w:r>
      <w:r w:rsidRPr="003A787D">
        <w:rPr>
          <w:rFonts w:ascii="Palatino Linotype" w:eastAsia="Calibri" w:hAnsi="Palatino Linotype" w:cs="Times New Roman"/>
          <w:i/>
          <w:sz w:val="22"/>
          <w:lang w:val="es-ES_tradnl"/>
        </w:rPr>
        <w:t xml:space="preserve"> </w:t>
      </w:r>
      <w:r w:rsidRPr="003A787D">
        <w:rPr>
          <w:rFonts w:ascii="Palatino Linotype" w:eastAsia="Calibri" w:hAnsi="Palatino Linotype" w:cs="Times New Roman"/>
          <w:b/>
          <w:i/>
          <w:sz w:val="22"/>
          <w:lang w:val="es-ES_tradnl"/>
        </w:rPr>
        <w:t>Cuando las leyes fiscales establezcan la obligación de expedir comprobantes fiscales por los actos o actividades que realicen, por los ingresos que se perciban o por las retenciones de contribuciones que efectúen</w:t>
      </w:r>
      <w:r w:rsidRPr="003A787D">
        <w:rPr>
          <w:rFonts w:ascii="Palatino Linotype" w:eastAsia="Calibri" w:hAnsi="Palatino Linotype" w:cs="Times New Roman"/>
          <w:i/>
          <w:sz w:val="22"/>
          <w:lang w:val="es-ES_tradnl"/>
        </w:rPr>
        <w:t>, los contribuyentes deberán emitirlos mediante documentos digitales a través de la página de Internet del Servicio de Administración Tributaria. Las personas que adquieran bienes, disfruten de su uso o goce temporal, reciban servicios, realicen pagos parciales o diferidos que liquidan saldos de comprobantes fiscales digitales por Internet, o aquéllas a las que les hubieren retenido contribuciones deberán solicitar el comprobante fiscal digital por Internet respectivo. Los contribuyentes que exporten mercancías que no sean objeto de enajenación o cuya enajenación sea a título gratuito, deberán expedir el comprobante fiscal digital por Internet que ampare la operación.</w:t>
      </w:r>
    </w:p>
    <w:p w14:paraId="4FB618CA" w14:textId="77777777" w:rsidR="001D1156" w:rsidRPr="003A787D" w:rsidRDefault="001D1156" w:rsidP="001D1156">
      <w:pPr>
        <w:spacing w:line="276" w:lineRule="auto"/>
        <w:ind w:left="567" w:right="567"/>
        <w:jc w:val="both"/>
        <w:rPr>
          <w:rFonts w:ascii="Palatino Linotype" w:eastAsia="Calibri" w:hAnsi="Palatino Linotype" w:cs="Times New Roman"/>
          <w:i/>
          <w:sz w:val="22"/>
          <w:lang w:val="es-ES_tradnl"/>
        </w:rPr>
      </w:pPr>
      <w:r w:rsidRPr="003A787D">
        <w:rPr>
          <w:rFonts w:ascii="Palatino Linotype" w:eastAsia="Calibri" w:hAnsi="Palatino Linotype" w:cs="Times New Roman"/>
          <w:i/>
          <w:sz w:val="22"/>
          <w:lang w:val="es-ES_tradnl"/>
        </w:rPr>
        <w:t>Los contribuyentes a que se refiere el párrafo anterior deberán cumplir con las obligaciones siguientes:</w:t>
      </w:r>
    </w:p>
    <w:p w14:paraId="17E1EA68" w14:textId="77777777" w:rsidR="001D1156" w:rsidRPr="003A787D" w:rsidRDefault="001D1156" w:rsidP="001D1156">
      <w:pPr>
        <w:spacing w:line="276" w:lineRule="auto"/>
        <w:ind w:left="851" w:right="567"/>
        <w:jc w:val="both"/>
        <w:rPr>
          <w:rFonts w:ascii="Palatino Linotype" w:eastAsia="Calibri" w:hAnsi="Palatino Linotype" w:cs="Times New Roman"/>
          <w:i/>
          <w:sz w:val="22"/>
          <w:lang w:val="es-ES_tradnl"/>
        </w:rPr>
      </w:pPr>
      <w:r w:rsidRPr="003A787D">
        <w:rPr>
          <w:rFonts w:ascii="Palatino Linotype" w:eastAsia="Calibri" w:hAnsi="Palatino Linotype" w:cs="Times New Roman"/>
          <w:b/>
          <w:i/>
          <w:sz w:val="22"/>
          <w:lang w:val="es-ES_tradnl"/>
        </w:rPr>
        <w:t>I.</w:t>
      </w:r>
      <w:r w:rsidRPr="003A787D">
        <w:rPr>
          <w:rFonts w:ascii="Palatino Linotype" w:eastAsia="Calibri" w:hAnsi="Palatino Linotype" w:cs="Times New Roman"/>
          <w:i/>
          <w:sz w:val="22"/>
          <w:lang w:val="es-ES_tradnl"/>
        </w:rPr>
        <w:t xml:space="preserve"> Contar con un certificado de firma electrónica avanzada vigente, tener obligaciones fiscales en el Registro Federal de Contribuyentes y cumplir con los requisitos que </w:t>
      </w:r>
      <w:r w:rsidRPr="003A787D">
        <w:rPr>
          <w:rFonts w:ascii="Palatino Linotype" w:eastAsia="Calibri" w:hAnsi="Palatino Linotype" w:cs="Times New Roman"/>
          <w:i/>
          <w:sz w:val="22"/>
          <w:lang w:val="es-ES_tradnl"/>
        </w:rPr>
        <w:lastRenderedPageBreak/>
        <w:t>determine el Servicio de Administración Tributaria mediante las reglas de carácter general.</w:t>
      </w:r>
    </w:p>
    <w:p w14:paraId="50EA5645" w14:textId="77777777" w:rsidR="001D1156" w:rsidRPr="003A787D" w:rsidRDefault="001D1156" w:rsidP="001D1156">
      <w:pPr>
        <w:spacing w:line="276" w:lineRule="auto"/>
        <w:ind w:left="851" w:right="567"/>
        <w:jc w:val="both"/>
        <w:rPr>
          <w:rFonts w:ascii="Palatino Linotype" w:eastAsia="Calibri" w:hAnsi="Palatino Linotype" w:cs="Times New Roman"/>
          <w:i/>
          <w:sz w:val="22"/>
          <w:lang w:val="es-ES_tradnl"/>
        </w:rPr>
      </w:pPr>
      <w:r w:rsidRPr="003A787D">
        <w:rPr>
          <w:rFonts w:ascii="Palatino Linotype" w:eastAsia="Calibri" w:hAnsi="Palatino Linotype" w:cs="Times New Roman"/>
          <w:b/>
          <w:i/>
          <w:sz w:val="22"/>
          <w:lang w:val="es-ES_tradnl"/>
        </w:rPr>
        <w:t>II.</w:t>
      </w:r>
      <w:r w:rsidRPr="003A787D">
        <w:rPr>
          <w:rFonts w:ascii="Palatino Linotype" w:eastAsia="Calibri" w:hAnsi="Palatino Linotype" w:cs="Times New Roman"/>
          <w:i/>
          <w:sz w:val="22"/>
          <w:lang w:val="es-ES_tradnl"/>
        </w:rPr>
        <w:t xml:space="preserve"> Tramitar ante el Servicio de Administración Tributaria el certificado para el uso de los sellos digitales.</w:t>
      </w:r>
    </w:p>
    <w:p w14:paraId="48FC81A3" w14:textId="77777777" w:rsidR="001D1156" w:rsidRPr="003A787D" w:rsidRDefault="001D1156" w:rsidP="001D1156">
      <w:pPr>
        <w:spacing w:line="276" w:lineRule="auto"/>
        <w:ind w:left="851" w:right="567"/>
        <w:jc w:val="both"/>
        <w:rPr>
          <w:rFonts w:ascii="Palatino Linotype" w:eastAsia="Calibri" w:hAnsi="Palatino Linotype" w:cs="Times New Roman"/>
          <w:i/>
          <w:sz w:val="22"/>
          <w:lang w:val="es-ES_tradnl"/>
        </w:rPr>
      </w:pPr>
      <w:r w:rsidRPr="003A787D">
        <w:rPr>
          <w:rFonts w:ascii="Palatino Linotype" w:eastAsia="Calibri" w:hAnsi="Palatino Linotype" w:cs="Times New Roman"/>
          <w:i/>
          <w:sz w:val="22"/>
          <w:lang w:val="es-ES_tradnl"/>
        </w:rPr>
        <w:t>Los contribuyentes podrán optar por el uso de uno o más certificados de sellos digitales que se utilizarán exclusivamente para la expedición de los comprobantes fiscales mediante documentos digitales. El sello digital permitirá acreditar la autoría de los comprobantes fiscales digitales por Internet que expidan las personas físicas y morales, el cual queda sujeto a la regulación aplicable al uso de la firma electrónica avanzada.</w:t>
      </w:r>
    </w:p>
    <w:p w14:paraId="1A062BA0" w14:textId="77777777" w:rsidR="001D1156" w:rsidRPr="003A787D" w:rsidRDefault="001D1156" w:rsidP="001D1156">
      <w:pPr>
        <w:spacing w:line="276" w:lineRule="auto"/>
        <w:ind w:left="851" w:right="567"/>
        <w:jc w:val="both"/>
        <w:rPr>
          <w:rFonts w:ascii="Palatino Linotype" w:eastAsia="Calibri" w:hAnsi="Palatino Linotype" w:cs="Times New Roman"/>
          <w:i/>
          <w:sz w:val="22"/>
          <w:lang w:val="es-ES_tradnl"/>
        </w:rPr>
      </w:pPr>
      <w:r w:rsidRPr="003A787D">
        <w:rPr>
          <w:rFonts w:ascii="Palatino Linotype" w:eastAsia="Calibri" w:hAnsi="Palatino Linotype" w:cs="Times New Roman"/>
          <w:i/>
          <w:sz w:val="22"/>
          <w:lang w:val="es-ES_tradnl"/>
        </w:rPr>
        <w:t>Los contribuyentes podrán tramitar la obtención de un certificado de sello digital para ser utilizado por todos sus establecimientos o locales, o bien, tramitar la obtención de un certificado de sello digital por cada uno de sus establecimientos. El Servicio de Administración Tributaria establecerá mediante reglas de carácter general los requisitos de control e identificación a que se sujetará el uso del sello digital de los contribuyentes.</w:t>
      </w:r>
    </w:p>
    <w:p w14:paraId="79C451B1" w14:textId="77777777" w:rsidR="001D1156" w:rsidRPr="003A787D" w:rsidRDefault="001D1156" w:rsidP="001D1156">
      <w:pPr>
        <w:spacing w:line="276" w:lineRule="auto"/>
        <w:ind w:left="851" w:right="567"/>
        <w:jc w:val="both"/>
        <w:rPr>
          <w:rFonts w:ascii="Palatino Linotype" w:eastAsia="Calibri" w:hAnsi="Palatino Linotype" w:cs="Times New Roman"/>
          <w:i/>
          <w:sz w:val="22"/>
          <w:lang w:val="es-ES_tradnl"/>
        </w:rPr>
      </w:pPr>
      <w:r w:rsidRPr="003A787D">
        <w:rPr>
          <w:rFonts w:ascii="Palatino Linotype" w:eastAsia="Calibri" w:hAnsi="Palatino Linotype" w:cs="Times New Roman"/>
          <w:i/>
          <w:sz w:val="22"/>
          <w:lang w:val="es-ES_tradnl"/>
        </w:rPr>
        <w:t>La tramitación de un certificado de sello digital sólo podrá efectuarse mediante formato electrónico que cuente con la firma electrónica avanzada de la persona solicitante.</w:t>
      </w:r>
    </w:p>
    <w:p w14:paraId="7B7EF8D2" w14:textId="77777777" w:rsidR="001D1156" w:rsidRPr="003A787D" w:rsidRDefault="001D1156" w:rsidP="001D1156">
      <w:pPr>
        <w:spacing w:line="276" w:lineRule="auto"/>
        <w:ind w:left="851" w:right="567"/>
        <w:jc w:val="both"/>
        <w:rPr>
          <w:rFonts w:ascii="Palatino Linotype" w:eastAsia="Calibri" w:hAnsi="Palatino Linotype" w:cs="Times New Roman"/>
          <w:i/>
          <w:sz w:val="22"/>
          <w:lang w:val="es-ES_tradnl"/>
        </w:rPr>
      </w:pPr>
      <w:r w:rsidRPr="003A787D">
        <w:rPr>
          <w:rFonts w:ascii="Palatino Linotype" w:eastAsia="Calibri" w:hAnsi="Palatino Linotype" w:cs="Times New Roman"/>
          <w:b/>
          <w:i/>
          <w:sz w:val="22"/>
          <w:lang w:val="es-ES_tradnl"/>
        </w:rPr>
        <w:t>III.</w:t>
      </w:r>
      <w:r w:rsidRPr="003A787D">
        <w:rPr>
          <w:rFonts w:ascii="Palatino Linotype" w:eastAsia="Calibri" w:hAnsi="Palatino Linotype" w:cs="Times New Roman"/>
          <w:i/>
          <w:sz w:val="22"/>
          <w:lang w:val="es-ES_tradnl"/>
        </w:rPr>
        <w:t xml:space="preserve"> Cumplir los requisitos establecidos en el artículo 29-A de este Código, y los que el Servicio de Administración Tributaria establezca al efecto mediante reglas de carácter general, inclusive los complementos del comprobante fiscal digital por Internet, que se publicarán en el Portal de Internet del Servicio de Administración Tributaria.</w:t>
      </w:r>
    </w:p>
    <w:p w14:paraId="511C8481" w14:textId="77777777" w:rsidR="001D1156" w:rsidRPr="003A787D" w:rsidRDefault="001D1156" w:rsidP="001D1156">
      <w:pPr>
        <w:spacing w:line="276" w:lineRule="auto"/>
        <w:ind w:left="851" w:right="567"/>
        <w:jc w:val="both"/>
        <w:rPr>
          <w:rFonts w:ascii="Palatino Linotype" w:eastAsia="Calibri" w:hAnsi="Palatino Linotype" w:cs="Times New Roman"/>
          <w:i/>
          <w:sz w:val="22"/>
          <w:lang w:val="es-ES_tradnl"/>
        </w:rPr>
      </w:pPr>
      <w:r w:rsidRPr="003A787D">
        <w:rPr>
          <w:rFonts w:ascii="Palatino Linotype" w:eastAsia="Calibri" w:hAnsi="Palatino Linotype" w:cs="Times New Roman"/>
          <w:b/>
          <w:i/>
          <w:sz w:val="22"/>
          <w:lang w:val="es-ES_tradnl"/>
        </w:rPr>
        <w:t>IV.</w:t>
      </w:r>
      <w:r w:rsidRPr="003A787D">
        <w:rPr>
          <w:rFonts w:ascii="Palatino Linotype" w:eastAsia="Calibri" w:hAnsi="Palatino Linotype" w:cs="Times New Roman"/>
          <w:i/>
          <w:sz w:val="22"/>
          <w:lang w:val="es-ES_tradnl"/>
        </w:rPr>
        <w:t xml:space="preserve"> Remitir al Servicio de Administración Tributaria, antes de su expedición, el comprobante fiscal digital por Internet respectivo a través de los mecanismos digitales que para tal efecto determine dicho órgano desconcentrado mediante reglas de carácter general, con el objeto de que éste proceda a:</w:t>
      </w:r>
    </w:p>
    <w:p w14:paraId="4E141836" w14:textId="77777777" w:rsidR="001D1156" w:rsidRPr="003A787D" w:rsidRDefault="001D1156" w:rsidP="001D1156">
      <w:pPr>
        <w:spacing w:line="276" w:lineRule="auto"/>
        <w:ind w:left="1134" w:right="567"/>
        <w:jc w:val="both"/>
        <w:rPr>
          <w:rFonts w:ascii="Palatino Linotype" w:eastAsia="Calibri" w:hAnsi="Palatino Linotype" w:cs="Times New Roman"/>
          <w:i/>
          <w:sz w:val="22"/>
          <w:lang w:val="es-ES_tradnl"/>
        </w:rPr>
      </w:pPr>
      <w:r w:rsidRPr="003A787D">
        <w:rPr>
          <w:rFonts w:ascii="Palatino Linotype" w:eastAsia="Calibri" w:hAnsi="Palatino Linotype" w:cs="Times New Roman"/>
          <w:b/>
          <w:i/>
          <w:sz w:val="22"/>
          <w:lang w:val="es-ES_tradnl"/>
        </w:rPr>
        <w:t>a)</w:t>
      </w:r>
      <w:r w:rsidRPr="003A787D">
        <w:rPr>
          <w:rFonts w:ascii="Palatino Linotype" w:eastAsia="Calibri" w:hAnsi="Palatino Linotype" w:cs="Times New Roman"/>
          <w:i/>
          <w:sz w:val="22"/>
          <w:lang w:val="es-ES_tradnl"/>
        </w:rPr>
        <w:t xml:space="preserve"> Validar el cumplimiento de los requisitos establecidos en el artículo 29-A de este Código y de los contenidos en los complementos de los comprobantes fiscales digitales por Internet, que el Servicio de Administración Tributaria establezca mediante reglas de carácter general.</w:t>
      </w:r>
    </w:p>
    <w:p w14:paraId="73F1B72A" w14:textId="77777777" w:rsidR="001D1156" w:rsidRPr="003A787D" w:rsidRDefault="001D1156" w:rsidP="001D1156">
      <w:pPr>
        <w:spacing w:line="276" w:lineRule="auto"/>
        <w:ind w:left="1134" w:right="567"/>
        <w:jc w:val="both"/>
        <w:rPr>
          <w:rFonts w:ascii="Palatino Linotype" w:eastAsia="Calibri" w:hAnsi="Palatino Linotype" w:cs="Times New Roman"/>
          <w:i/>
          <w:sz w:val="22"/>
          <w:lang w:val="es-ES_tradnl"/>
        </w:rPr>
      </w:pPr>
      <w:r w:rsidRPr="003A787D">
        <w:rPr>
          <w:rFonts w:ascii="Palatino Linotype" w:eastAsia="Calibri" w:hAnsi="Palatino Linotype" w:cs="Times New Roman"/>
          <w:b/>
          <w:i/>
          <w:sz w:val="22"/>
          <w:lang w:val="es-ES_tradnl"/>
        </w:rPr>
        <w:t>b)</w:t>
      </w:r>
      <w:r w:rsidRPr="003A787D">
        <w:rPr>
          <w:rFonts w:ascii="Palatino Linotype" w:eastAsia="Calibri" w:hAnsi="Palatino Linotype" w:cs="Times New Roman"/>
          <w:i/>
          <w:sz w:val="22"/>
          <w:lang w:val="es-ES_tradnl"/>
        </w:rPr>
        <w:t xml:space="preserve"> Asignar el folio del comprobante fiscal digital.</w:t>
      </w:r>
    </w:p>
    <w:p w14:paraId="1B0CC783" w14:textId="77777777" w:rsidR="001D1156" w:rsidRPr="003A787D" w:rsidRDefault="001D1156" w:rsidP="001D1156">
      <w:pPr>
        <w:spacing w:line="276" w:lineRule="auto"/>
        <w:ind w:left="1134" w:right="567"/>
        <w:jc w:val="both"/>
        <w:rPr>
          <w:rFonts w:ascii="Palatino Linotype" w:eastAsia="Calibri" w:hAnsi="Palatino Linotype" w:cs="Times New Roman"/>
          <w:i/>
          <w:sz w:val="22"/>
          <w:lang w:val="es-ES_tradnl"/>
        </w:rPr>
      </w:pPr>
      <w:r w:rsidRPr="003A787D">
        <w:rPr>
          <w:rFonts w:ascii="Palatino Linotype" w:eastAsia="Calibri" w:hAnsi="Palatino Linotype" w:cs="Times New Roman"/>
          <w:b/>
          <w:i/>
          <w:sz w:val="22"/>
          <w:lang w:val="es-ES_tradnl"/>
        </w:rPr>
        <w:t>c)</w:t>
      </w:r>
      <w:r w:rsidRPr="003A787D">
        <w:rPr>
          <w:rFonts w:ascii="Palatino Linotype" w:eastAsia="Calibri" w:hAnsi="Palatino Linotype" w:cs="Times New Roman"/>
          <w:i/>
          <w:sz w:val="22"/>
          <w:lang w:val="es-ES_tradnl"/>
        </w:rPr>
        <w:t xml:space="preserve"> Incorporar el sello digital del Servicio de Administración Tributaria </w:t>
      </w:r>
    </w:p>
    <w:p w14:paraId="544EACCD" w14:textId="77777777" w:rsidR="001D1156" w:rsidRPr="003A787D" w:rsidRDefault="001D1156" w:rsidP="001D1156">
      <w:pPr>
        <w:spacing w:line="276" w:lineRule="auto"/>
        <w:ind w:left="851" w:right="567"/>
        <w:jc w:val="both"/>
        <w:rPr>
          <w:rFonts w:ascii="Palatino Linotype" w:eastAsia="Calibri" w:hAnsi="Palatino Linotype" w:cs="Times New Roman"/>
          <w:i/>
          <w:sz w:val="22"/>
          <w:lang w:val="es-ES_tradnl"/>
        </w:rPr>
      </w:pPr>
      <w:r w:rsidRPr="003A787D">
        <w:rPr>
          <w:rFonts w:ascii="Palatino Linotype" w:eastAsia="Calibri" w:hAnsi="Palatino Linotype" w:cs="Times New Roman"/>
          <w:b/>
          <w:i/>
          <w:sz w:val="22"/>
          <w:lang w:val="es-ES_tradnl"/>
        </w:rPr>
        <w:lastRenderedPageBreak/>
        <w:t>V.</w:t>
      </w:r>
      <w:r w:rsidRPr="003A787D">
        <w:rPr>
          <w:rFonts w:ascii="Palatino Linotype" w:eastAsia="Calibri" w:hAnsi="Palatino Linotype" w:cs="Times New Roman"/>
          <w:i/>
          <w:sz w:val="22"/>
          <w:lang w:val="es-ES_tradnl"/>
        </w:rPr>
        <w:t xml:space="preserve"> Una vez que se incorpore el sello digital del Servicio de Administración Tributaria al comprobante fiscal digital por Internet, deberán entregar o poner a disposición de sus clientes, a través de los medios electrónicos que disponga el citado órgano desconcentrado mediante reglas de carácter general, el archivo electrónico del comprobante fiscal digital por Internet de que se trate y, cuando les sea solicitada por el cliente, su representación impresa, la cual únicamente presume la existencia de dicho comprobante fiscal.</w:t>
      </w:r>
    </w:p>
    <w:p w14:paraId="694827DC" w14:textId="77777777" w:rsidR="001D1156" w:rsidRPr="003A787D" w:rsidRDefault="001D1156" w:rsidP="001D1156">
      <w:pPr>
        <w:spacing w:line="276" w:lineRule="auto"/>
        <w:ind w:left="851" w:right="567"/>
        <w:jc w:val="both"/>
        <w:rPr>
          <w:rFonts w:ascii="Palatino Linotype" w:eastAsia="Calibri" w:hAnsi="Palatino Linotype" w:cs="Times New Roman"/>
          <w:i/>
          <w:sz w:val="22"/>
          <w:lang w:val="es-ES_tradnl"/>
        </w:rPr>
      </w:pPr>
      <w:r w:rsidRPr="003A787D">
        <w:rPr>
          <w:rFonts w:ascii="Palatino Linotype" w:eastAsia="Calibri" w:hAnsi="Palatino Linotype" w:cs="Times New Roman"/>
          <w:b/>
          <w:i/>
          <w:sz w:val="22"/>
          <w:lang w:val="es-ES_tradnl"/>
        </w:rPr>
        <w:t>VI.</w:t>
      </w:r>
      <w:r w:rsidRPr="003A787D">
        <w:rPr>
          <w:rFonts w:ascii="Palatino Linotype" w:eastAsia="Calibri" w:hAnsi="Palatino Linotype" w:cs="Times New Roman"/>
          <w:i/>
          <w:sz w:val="22"/>
          <w:lang w:val="es-ES_tradnl"/>
        </w:rPr>
        <w:t xml:space="preserve"> Cumplir con las especificaciones que en materia de informática determine el Servicio de Administración Tributaria mediante reglas de carácter general.</w:t>
      </w:r>
    </w:p>
    <w:p w14:paraId="102E18A3" w14:textId="77777777" w:rsidR="001D1156" w:rsidRPr="003A787D" w:rsidRDefault="001D1156" w:rsidP="001D1156">
      <w:pPr>
        <w:spacing w:line="276" w:lineRule="auto"/>
        <w:ind w:left="851" w:right="567"/>
        <w:jc w:val="both"/>
        <w:rPr>
          <w:rFonts w:ascii="Palatino Linotype" w:eastAsia="Calibri" w:hAnsi="Palatino Linotype" w:cs="Times New Roman"/>
          <w:i/>
          <w:sz w:val="22"/>
          <w:lang w:val="es-ES_tradnl"/>
        </w:rPr>
      </w:pPr>
      <w:r w:rsidRPr="003A787D">
        <w:rPr>
          <w:rFonts w:ascii="Palatino Linotype" w:eastAsia="Calibri" w:hAnsi="Palatino Linotype" w:cs="Times New Roman"/>
          <w:i/>
          <w:sz w:val="22"/>
          <w:lang w:val="es-ES_tradnl"/>
        </w:rPr>
        <w:t>Los contribuyentes podrán comprobar la autenticidad de los comprobantes fiscales digitales por Internet que reciban consultando en la página de Internet del Servicio de Administración Tributaria si el número de folio que ampara el comprobante fiscal digital fue autorizado al emisor y si al momento de la emisión del comprobante fiscal digital, el certificado que ampare el sello digital se encontraba vigente y registrado en dicho órgano desconcentrado.</w:t>
      </w:r>
    </w:p>
    <w:p w14:paraId="5373E667" w14:textId="77777777" w:rsidR="001D1156" w:rsidRPr="003A787D" w:rsidRDefault="001D1156" w:rsidP="001D1156">
      <w:pPr>
        <w:spacing w:line="276" w:lineRule="auto"/>
        <w:ind w:left="567" w:right="567"/>
        <w:jc w:val="both"/>
        <w:rPr>
          <w:rFonts w:ascii="Palatino Linotype" w:eastAsia="Calibri" w:hAnsi="Palatino Linotype" w:cs="Times New Roman"/>
          <w:i/>
          <w:sz w:val="22"/>
          <w:lang w:val="es-ES_tradnl"/>
        </w:rPr>
      </w:pPr>
      <w:r w:rsidRPr="003A787D">
        <w:rPr>
          <w:rFonts w:ascii="Palatino Linotype" w:eastAsia="Calibri" w:hAnsi="Palatino Linotype" w:cs="Times New Roman"/>
          <w:i/>
          <w:sz w:val="22"/>
          <w:lang w:val="es-ES_tradnl"/>
        </w:rPr>
        <w:t>En el caso de las devoluciones, descuentos o bonificaciones a que se refiere el artículo 25 de la Ley del Impuesto sobre la Renta, se deberán expedir comprobantes fiscales digitales por Internet. En el supuesto de que se emitan comprobantes que amparen egresos sin contar con la justificación y soporte documental que acredite las devoluciones, descuentos o bonificaciones ante las autoridades fiscales, éstos no podrán disminuirse de los comprobantes fiscales de ingresos del contribuyente, lo cual podrá ser verificado por éstas en el ejercicio de las facultades establecidas en este Código.</w:t>
      </w:r>
    </w:p>
    <w:p w14:paraId="205AD84F" w14:textId="77777777" w:rsidR="001D1156" w:rsidRPr="003A787D" w:rsidRDefault="001D1156" w:rsidP="001D1156">
      <w:pPr>
        <w:spacing w:line="276" w:lineRule="auto"/>
        <w:ind w:left="567" w:right="567"/>
        <w:jc w:val="both"/>
        <w:rPr>
          <w:rFonts w:ascii="Palatino Linotype" w:eastAsia="Calibri" w:hAnsi="Palatino Linotype" w:cs="Times New Roman"/>
          <w:i/>
          <w:sz w:val="22"/>
          <w:lang w:val="es-ES_tradnl"/>
        </w:rPr>
      </w:pPr>
      <w:r w:rsidRPr="003A787D">
        <w:rPr>
          <w:rFonts w:ascii="Palatino Linotype" w:eastAsia="Calibri" w:hAnsi="Palatino Linotype" w:cs="Times New Roman"/>
          <w:i/>
          <w:sz w:val="22"/>
          <w:lang w:val="es-ES_tradnl"/>
        </w:rPr>
        <w:t>El Servicio de Administración Tributaria, mediante reglas de carácter general, podrá establecer facilidades administrativas para que los contribuyentes emitan sus comprobantes fiscales digitales por medios propios, a través de proveedores de servicios o con los medios electrónicos que en dichas reglas determine. De igual forma, a través de las citadas reglas podrá establecer las características de los comprobantes que servirán para amparar el transporte y la legal tenencia y estancia de las mercancías durante el mismo, así como de los comprobantes que amparen operaciones realizadas con el público en general.</w:t>
      </w:r>
    </w:p>
    <w:p w14:paraId="7246A654" w14:textId="56FB534F" w:rsidR="001D1156" w:rsidRPr="003A787D" w:rsidRDefault="001D1156" w:rsidP="001D1156">
      <w:pPr>
        <w:spacing w:line="276" w:lineRule="auto"/>
        <w:ind w:left="567" w:right="567"/>
        <w:jc w:val="both"/>
        <w:rPr>
          <w:rFonts w:ascii="Palatino Linotype" w:eastAsia="Calibri" w:hAnsi="Palatino Linotype" w:cs="Times New Roman"/>
          <w:i/>
          <w:sz w:val="22"/>
          <w:lang w:val="es-ES_tradnl"/>
        </w:rPr>
      </w:pPr>
      <w:r w:rsidRPr="003A787D">
        <w:rPr>
          <w:rFonts w:ascii="Palatino Linotype" w:eastAsia="Calibri" w:hAnsi="Palatino Linotype" w:cs="Times New Roman"/>
          <w:i/>
          <w:sz w:val="22"/>
          <w:lang w:val="es-ES_tradnl"/>
        </w:rPr>
        <w:t>Tratándose de actos o actividades que tengan efectos fiscales en los que no haya obligación de emitir comprobante fiscal digital por Internet, el Servicio de Administración Tributaria podrá, mediante reglas de carácter general, establecer las características de los documentos digitales que amparen dichas operaciones”</w:t>
      </w:r>
    </w:p>
    <w:p w14:paraId="65DBE8C3" w14:textId="5B6DB6C0" w:rsidR="001D1156" w:rsidRPr="003A787D" w:rsidRDefault="001D1156" w:rsidP="001D1156">
      <w:pPr>
        <w:spacing w:line="276" w:lineRule="auto"/>
        <w:ind w:left="567" w:right="567"/>
        <w:jc w:val="both"/>
        <w:rPr>
          <w:rFonts w:ascii="Palatino Linotype" w:eastAsia="Calibri" w:hAnsi="Palatino Linotype" w:cs="Times New Roman"/>
          <w:sz w:val="22"/>
          <w:lang w:val="es-ES_tradnl"/>
        </w:rPr>
      </w:pPr>
      <w:r w:rsidRPr="003A787D">
        <w:rPr>
          <w:rFonts w:ascii="Palatino Linotype" w:eastAsia="Calibri" w:hAnsi="Palatino Linotype" w:cs="Times New Roman"/>
          <w:sz w:val="22"/>
          <w:lang w:val="es-ES_tradnl"/>
        </w:rPr>
        <w:t>(Énfasis añadido)</w:t>
      </w:r>
    </w:p>
    <w:p w14:paraId="1B67DB81" w14:textId="77777777" w:rsidR="001D1156" w:rsidRPr="003A787D" w:rsidRDefault="001D1156" w:rsidP="003E1087">
      <w:pPr>
        <w:pStyle w:val="Prrafodelista"/>
        <w:tabs>
          <w:tab w:val="left" w:pos="426"/>
        </w:tabs>
        <w:spacing w:before="240" w:after="240" w:line="360" w:lineRule="auto"/>
        <w:ind w:left="0" w:right="51"/>
        <w:jc w:val="both"/>
        <w:rPr>
          <w:rFonts w:ascii="Palatino Linotype" w:hAnsi="Palatino Linotype"/>
          <w:color w:val="000000" w:themeColor="text1"/>
        </w:rPr>
      </w:pPr>
    </w:p>
    <w:p w14:paraId="04F5B4D1" w14:textId="21D0C4D1" w:rsidR="003E1087" w:rsidRPr="003A787D" w:rsidRDefault="001D1156" w:rsidP="003E1087">
      <w:pPr>
        <w:pStyle w:val="Prrafodelista"/>
        <w:numPr>
          <w:ilvl w:val="0"/>
          <w:numId w:val="1"/>
        </w:numPr>
        <w:tabs>
          <w:tab w:val="left" w:pos="426"/>
        </w:tabs>
        <w:spacing w:before="240" w:after="240" w:line="360" w:lineRule="auto"/>
        <w:ind w:right="51"/>
        <w:jc w:val="both"/>
        <w:rPr>
          <w:rFonts w:ascii="Palatino Linotype" w:hAnsi="Palatino Linotype"/>
          <w:color w:val="000000" w:themeColor="text1"/>
        </w:rPr>
      </w:pPr>
      <w:r w:rsidRPr="003A787D">
        <w:rPr>
          <w:rFonts w:ascii="Palatino Linotype" w:hAnsi="Palatino Linotype"/>
          <w:color w:val="000000" w:themeColor="text1"/>
        </w:rPr>
        <w:t xml:space="preserve">La </w:t>
      </w:r>
      <w:r w:rsidRPr="003A787D">
        <w:rPr>
          <w:rFonts w:ascii="Palatino Linotype" w:hAnsi="Palatino Linotype"/>
          <w:color w:val="000000" w:themeColor="text1"/>
          <w:lang w:val="es-ES_tradnl"/>
        </w:rPr>
        <w:t xml:space="preserve">Federación, las Entidades Federativas, el Distrito Federal, y sus Organismos Descentralizados, </w:t>
      </w:r>
      <w:r w:rsidRPr="003A787D">
        <w:rPr>
          <w:rFonts w:ascii="Palatino Linotype" w:hAnsi="Palatino Linotype"/>
          <w:bCs/>
          <w:color w:val="000000" w:themeColor="text1"/>
          <w:lang w:val="es-ES_tradnl"/>
        </w:rPr>
        <w:t>así como</w:t>
      </w:r>
      <w:r w:rsidRPr="003A787D">
        <w:rPr>
          <w:rFonts w:ascii="Palatino Linotype" w:hAnsi="Palatino Linotype"/>
          <w:b/>
          <w:color w:val="000000" w:themeColor="text1"/>
          <w:lang w:val="es-ES_tradnl"/>
        </w:rPr>
        <w:t xml:space="preserve"> los Municipios, tendrán la obligación de presentar ante las autoridades fiscales</w:t>
      </w:r>
      <w:r w:rsidRPr="003A787D">
        <w:rPr>
          <w:rFonts w:ascii="Palatino Linotype" w:hAnsi="Palatino Linotype"/>
          <w:color w:val="000000" w:themeColor="text1"/>
          <w:lang w:val="es-ES_tradnl"/>
        </w:rPr>
        <w:t xml:space="preserve">, a través de los medios y formatos electrónicos que señale el </w:t>
      </w:r>
      <w:r w:rsidRPr="003A787D">
        <w:rPr>
          <w:rFonts w:ascii="Palatino Linotype" w:hAnsi="Palatino Linotype"/>
          <w:bCs/>
          <w:color w:val="000000" w:themeColor="text1"/>
          <w:u w:val="single"/>
          <w:lang w:val="es-ES_tradnl"/>
        </w:rPr>
        <w:t>Servicio de Administración</w:t>
      </w:r>
      <w:r w:rsidRPr="003A787D">
        <w:rPr>
          <w:rFonts w:ascii="Palatino Linotype" w:hAnsi="Palatino Linotype"/>
          <w:color w:val="000000" w:themeColor="text1"/>
          <w:lang w:val="es-ES_tradnl"/>
        </w:rPr>
        <w:t xml:space="preserve">, </w:t>
      </w:r>
      <w:r w:rsidRPr="003A787D">
        <w:rPr>
          <w:rFonts w:ascii="Palatino Linotype" w:hAnsi="Palatino Linotype"/>
          <w:b/>
          <w:bCs/>
          <w:color w:val="000000" w:themeColor="text1"/>
          <w:lang w:val="es-ES_tradnl"/>
        </w:rPr>
        <w:t>la información relativa a</w:t>
      </w:r>
      <w:r w:rsidRPr="003A787D">
        <w:rPr>
          <w:rStyle w:val="Refdenotaalpie"/>
          <w:rFonts w:ascii="Palatino Linotype" w:hAnsi="Palatino Linotype"/>
          <w:color w:val="000000" w:themeColor="text1"/>
          <w:lang w:val="es-ES_tradnl"/>
        </w:rPr>
        <w:footnoteReference w:id="14"/>
      </w:r>
      <w:r w:rsidRPr="003A787D">
        <w:rPr>
          <w:rFonts w:ascii="Palatino Linotype" w:hAnsi="Palatino Linotype"/>
          <w:color w:val="000000" w:themeColor="text1"/>
          <w:lang w:val="es-ES_tradnl"/>
        </w:rPr>
        <w:t>:</w:t>
      </w:r>
    </w:p>
    <w:p w14:paraId="4AE1F9CF" w14:textId="287C79BD" w:rsidR="001D1156" w:rsidRPr="003A787D" w:rsidRDefault="001D1156" w:rsidP="001D1156">
      <w:pPr>
        <w:pStyle w:val="Prrafodelista"/>
        <w:numPr>
          <w:ilvl w:val="1"/>
          <w:numId w:val="31"/>
        </w:numPr>
        <w:tabs>
          <w:tab w:val="left" w:pos="426"/>
        </w:tabs>
        <w:spacing w:before="240" w:after="240" w:line="360" w:lineRule="auto"/>
        <w:ind w:left="1134" w:right="51"/>
        <w:jc w:val="both"/>
        <w:rPr>
          <w:rFonts w:ascii="Palatino Linotype" w:hAnsi="Palatino Linotype"/>
          <w:color w:val="000000" w:themeColor="text1"/>
          <w:lang w:val="es-ES_tradnl"/>
        </w:rPr>
      </w:pPr>
      <w:r w:rsidRPr="003A787D">
        <w:rPr>
          <w:rFonts w:ascii="Palatino Linotype" w:hAnsi="Palatino Linotype"/>
          <w:b/>
          <w:color w:val="000000" w:themeColor="text1"/>
          <w:lang w:val="es-ES_tradnl"/>
        </w:rPr>
        <w:t>Las personas a las que en el mes inmediato anterior les hubieren efectuado retenciones de impuesto sobre la renta</w:t>
      </w:r>
      <w:r w:rsidRPr="003A787D">
        <w:rPr>
          <w:rFonts w:ascii="Palatino Linotype" w:hAnsi="Palatino Linotype"/>
          <w:color w:val="000000" w:themeColor="text1"/>
          <w:lang w:val="es-ES_tradnl"/>
        </w:rPr>
        <w:t>, así como de los residentes en el extranjero a los que les hayan efectuado pagos de acuerdo con lo previsto en el Título V de la Ley del Impuesto sobre la Renta; y</w:t>
      </w:r>
    </w:p>
    <w:p w14:paraId="6881CC73" w14:textId="094AA9BD" w:rsidR="001D1156" w:rsidRPr="003A787D" w:rsidRDefault="001D1156" w:rsidP="001D1156">
      <w:pPr>
        <w:pStyle w:val="Prrafodelista"/>
        <w:numPr>
          <w:ilvl w:val="1"/>
          <w:numId w:val="31"/>
        </w:numPr>
        <w:tabs>
          <w:tab w:val="left" w:pos="426"/>
        </w:tabs>
        <w:spacing w:before="240" w:after="240" w:line="360" w:lineRule="auto"/>
        <w:ind w:left="1134" w:right="51"/>
        <w:jc w:val="both"/>
        <w:rPr>
          <w:rFonts w:ascii="Palatino Linotype" w:hAnsi="Palatino Linotype"/>
          <w:color w:val="000000" w:themeColor="text1"/>
        </w:rPr>
      </w:pPr>
      <w:r w:rsidRPr="003A787D">
        <w:rPr>
          <w:rFonts w:ascii="Palatino Linotype" w:hAnsi="Palatino Linotype"/>
          <w:color w:val="000000" w:themeColor="text1"/>
          <w:lang w:val="es-ES_tradnl"/>
        </w:rPr>
        <w:t>Los proveedores a los que les hubiere efectuado pagos, desglosando el valor de los actos o actividades por tasa a la cual trasladaron o les fue trasladado el impuesto al valor agregado y el impuesto especial sobre producción y servicios, incluyendo actividades por las que el contribuyente no está obligado al pago.</w:t>
      </w:r>
    </w:p>
    <w:p w14:paraId="73B2554D" w14:textId="77777777" w:rsidR="003E1087" w:rsidRPr="003A787D" w:rsidRDefault="003E1087" w:rsidP="003E1087">
      <w:pPr>
        <w:pStyle w:val="Prrafodelista"/>
        <w:tabs>
          <w:tab w:val="left" w:pos="426"/>
        </w:tabs>
        <w:spacing w:before="240" w:after="240" w:line="360" w:lineRule="auto"/>
        <w:ind w:left="0" w:right="51"/>
        <w:jc w:val="both"/>
        <w:rPr>
          <w:rFonts w:ascii="Palatino Linotype" w:hAnsi="Palatino Linotype"/>
          <w:color w:val="000000" w:themeColor="text1"/>
        </w:rPr>
      </w:pPr>
    </w:p>
    <w:p w14:paraId="35439762" w14:textId="5DE515E8" w:rsidR="003E1087" w:rsidRPr="003A787D" w:rsidRDefault="0004606D" w:rsidP="003E1087">
      <w:pPr>
        <w:pStyle w:val="Prrafodelista"/>
        <w:numPr>
          <w:ilvl w:val="0"/>
          <w:numId w:val="1"/>
        </w:numPr>
        <w:tabs>
          <w:tab w:val="left" w:pos="426"/>
        </w:tabs>
        <w:spacing w:before="240" w:after="240" w:line="360" w:lineRule="auto"/>
        <w:ind w:right="51"/>
        <w:jc w:val="both"/>
        <w:rPr>
          <w:rFonts w:ascii="Palatino Linotype" w:hAnsi="Palatino Linotype"/>
          <w:color w:val="000000" w:themeColor="text1"/>
        </w:rPr>
      </w:pPr>
      <w:r w:rsidRPr="003A787D">
        <w:rPr>
          <w:rFonts w:ascii="Palatino Linotype" w:hAnsi="Palatino Linotype"/>
          <w:color w:val="000000" w:themeColor="text1"/>
        </w:rPr>
        <w:t>En ese sentido</w:t>
      </w:r>
      <w:r w:rsidR="006B31D1" w:rsidRPr="003A787D">
        <w:rPr>
          <w:rFonts w:ascii="Palatino Linotype" w:hAnsi="Palatino Linotype"/>
          <w:color w:val="000000" w:themeColor="text1"/>
        </w:rPr>
        <w:t xml:space="preserve">, la Ley del Impuesto Sobre la Renta, en su artículo 94, establece que se considerarán </w:t>
      </w:r>
      <w:r w:rsidR="006B31D1" w:rsidRPr="003A787D">
        <w:rPr>
          <w:rFonts w:ascii="Palatino Linotype" w:hAnsi="Palatino Linotype"/>
          <w:color w:val="000000" w:themeColor="text1"/>
          <w:lang w:val="es-ES_tradnl"/>
        </w:rPr>
        <w:t>ingresos por la prestación de un servicio personal subordinado, los salarios y demás prestaciones que deriven de una relación laboral, incluyendo la participación de los trabajadores en las utilidades de las empresas y las prestaciones percibidas como consecuencia de la terminación de la relación laboral. Para los efectos de este impuesto, se asimilan a estos ingresos seis tipos de pagos e ingresos, entre los que destacan las siguientes:</w:t>
      </w:r>
    </w:p>
    <w:p w14:paraId="1072C01F" w14:textId="0BFA4BB4" w:rsidR="006B31D1" w:rsidRPr="003A787D" w:rsidRDefault="006B31D1" w:rsidP="006B31D1">
      <w:pPr>
        <w:pStyle w:val="Prrafodelista"/>
        <w:numPr>
          <w:ilvl w:val="1"/>
          <w:numId w:val="32"/>
        </w:numPr>
        <w:tabs>
          <w:tab w:val="left" w:pos="426"/>
        </w:tabs>
        <w:spacing w:before="240" w:after="240" w:line="360" w:lineRule="auto"/>
        <w:ind w:left="1134" w:right="51"/>
        <w:jc w:val="both"/>
        <w:rPr>
          <w:rFonts w:ascii="Palatino Linotype" w:hAnsi="Palatino Linotype"/>
          <w:color w:val="000000" w:themeColor="text1"/>
        </w:rPr>
      </w:pPr>
      <w:r w:rsidRPr="003A787D">
        <w:rPr>
          <w:rFonts w:ascii="Palatino Linotype" w:hAnsi="Palatino Linotype"/>
          <w:b/>
          <w:color w:val="000000" w:themeColor="text1"/>
          <w:lang w:val="es-ES_tradnl"/>
        </w:rPr>
        <w:lastRenderedPageBreak/>
        <w:t xml:space="preserve">Las </w:t>
      </w:r>
      <w:r w:rsidRPr="003A787D">
        <w:rPr>
          <w:rFonts w:ascii="Palatino Linotype" w:hAnsi="Palatino Linotype"/>
          <w:b/>
          <w:color w:val="000000" w:themeColor="text1"/>
        </w:rPr>
        <w:t>remuneraciones y demás prestaciones, obtenidas por los funcionarios</w:t>
      </w:r>
      <w:r w:rsidRPr="003A787D">
        <w:rPr>
          <w:rFonts w:ascii="Palatino Linotype" w:hAnsi="Palatino Linotype"/>
          <w:color w:val="000000" w:themeColor="text1"/>
        </w:rPr>
        <w:t xml:space="preserve"> y trabajadores de la Federación, de las entidades federativas y </w:t>
      </w:r>
      <w:r w:rsidRPr="003A787D">
        <w:rPr>
          <w:rFonts w:ascii="Palatino Linotype" w:hAnsi="Palatino Linotype"/>
          <w:b/>
          <w:color w:val="000000" w:themeColor="text1"/>
        </w:rPr>
        <w:t>de los municipios</w:t>
      </w:r>
      <w:r w:rsidRPr="003A787D">
        <w:rPr>
          <w:rFonts w:ascii="Palatino Linotype" w:hAnsi="Palatino Linotype"/>
          <w:color w:val="000000" w:themeColor="text1"/>
        </w:rPr>
        <w:t>, aun cuando sean por concepto de gastos no sujetos a comprobación, así como los obtenidos por los miembros de las fuerzas armadas.</w:t>
      </w:r>
    </w:p>
    <w:p w14:paraId="1B7F5C1E" w14:textId="77777777" w:rsidR="003E1087" w:rsidRPr="003A787D" w:rsidRDefault="003E1087" w:rsidP="003E1087">
      <w:pPr>
        <w:pStyle w:val="Prrafodelista"/>
        <w:tabs>
          <w:tab w:val="left" w:pos="426"/>
        </w:tabs>
        <w:spacing w:before="240" w:after="240" w:line="360" w:lineRule="auto"/>
        <w:ind w:left="0" w:right="51"/>
        <w:jc w:val="both"/>
        <w:rPr>
          <w:rFonts w:ascii="Palatino Linotype" w:hAnsi="Palatino Linotype"/>
          <w:color w:val="000000" w:themeColor="text1"/>
        </w:rPr>
      </w:pPr>
    </w:p>
    <w:p w14:paraId="01FC1E26" w14:textId="6398629D" w:rsidR="003E1087" w:rsidRPr="003A787D" w:rsidRDefault="006B31D1" w:rsidP="003E1087">
      <w:pPr>
        <w:pStyle w:val="Prrafodelista"/>
        <w:numPr>
          <w:ilvl w:val="0"/>
          <w:numId w:val="1"/>
        </w:numPr>
        <w:tabs>
          <w:tab w:val="left" w:pos="426"/>
        </w:tabs>
        <w:spacing w:before="240" w:after="240" w:line="360" w:lineRule="auto"/>
        <w:ind w:right="51"/>
        <w:jc w:val="both"/>
        <w:rPr>
          <w:rFonts w:ascii="Palatino Linotype" w:hAnsi="Palatino Linotype"/>
          <w:color w:val="000000" w:themeColor="text1"/>
        </w:rPr>
      </w:pPr>
      <w:r w:rsidRPr="003A787D">
        <w:rPr>
          <w:rFonts w:ascii="Palatino Linotype" w:hAnsi="Palatino Linotype"/>
          <w:color w:val="000000" w:themeColor="text1"/>
        </w:rPr>
        <w:t>Correlativo a lo anterior, el diverso dispositivo 96 de la Ley del Impuesto Sobre la Renta establece que quienes hagan pagos por los conceptos a que se refiere el Capítulo relativo a los ‘Ingresos por Salarios y en General por la Prestación de un Servicio Personal Subordinado’ están obligados a efectuar retenciones y enteros mensuales que tendrán el carácter de pagos provisionales a cuenta del impuesto anual.</w:t>
      </w:r>
    </w:p>
    <w:p w14:paraId="7FFDA929" w14:textId="77777777" w:rsidR="003E1087" w:rsidRPr="003A787D" w:rsidRDefault="003E1087" w:rsidP="003E1087">
      <w:pPr>
        <w:pStyle w:val="Prrafodelista"/>
        <w:tabs>
          <w:tab w:val="left" w:pos="426"/>
        </w:tabs>
        <w:spacing w:before="240" w:after="240" w:line="360" w:lineRule="auto"/>
        <w:ind w:left="0" w:right="51"/>
        <w:jc w:val="both"/>
        <w:rPr>
          <w:rFonts w:ascii="Palatino Linotype" w:hAnsi="Palatino Linotype"/>
          <w:color w:val="000000" w:themeColor="text1"/>
        </w:rPr>
      </w:pPr>
    </w:p>
    <w:p w14:paraId="348C9830" w14:textId="694CD31B" w:rsidR="003E1087" w:rsidRPr="003A787D" w:rsidRDefault="006B31D1" w:rsidP="003E1087">
      <w:pPr>
        <w:pStyle w:val="Prrafodelista"/>
        <w:numPr>
          <w:ilvl w:val="0"/>
          <w:numId w:val="1"/>
        </w:numPr>
        <w:tabs>
          <w:tab w:val="left" w:pos="426"/>
        </w:tabs>
        <w:spacing w:before="240" w:after="240" w:line="360" w:lineRule="auto"/>
        <w:ind w:right="51"/>
        <w:jc w:val="both"/>
        <w:rPr>
          <w:rFonts w:ascii="Palatino Linotype" w:hAnsi="Palatino Linotype"/>
          <w:color w:val="000000" w:themeColor="text1"/>
        </w:rPr>
      </w:pPr>
      <w:r w:rsidRPr="003A787D">
        <w:rPr>
          <w:rFonts w:ascii="Palatino Linotype" w:hAnsi="Palatino Linotype"/>
          <w:color w:val="000000" w:themeColor="text1"/>
        </w:rPr>
        <w:t xml:space="preserve">De lo anterior se </w:t>
      </w:r>
      <w:r w:rsidR="00A8650D" w:rsidRPr="003A787D">
        <w:rPr>
          <w:rFonts w:ascii="Palatino Linotype" w:hAnsi="Palatino Linotype"/>
          <w:color w:val="000000" w:themeColor="text1"/>
        </w:rPr>
        <w:t>coligue</w:t>
      </w:r>
      <w:r w:rsidRPr="003A787D">
        <w:rPr>
          <w:rFonts w:ascii="Palatino Linotype" w:hAnsi="Palatino Linotype"/>
          <w:color w:val="000000" w:themeColor="text1"/>
        </w:rPr>
        <w:t xml:space="preserve"> que </w:t>
      </w:r>
      <w:r w:rsidRPr="003A787D">
        <w:rPr>
          <w:rFonts w:ascii="Palatino Linotype" w:hAnsi="Palatino Linotype"/>
          <w:b/>
          <w:bCs/>
          <w:color w:val="000000" w:themeColor="text1"/>
        </w:rPr>
        <w:t>los ayuntamientos</w:t>
      </w:r>
      <w:r w:rsidRPr="003A787D">
        <w:rPr>
          <w:rFonts w:ascii="Palatino Linotype" w:hAnsi="Palatino Linotype"/>
          <w:color w:val="000000" w:themeColor="text1"/>
        </w:rPr>
        <w:t xml:space="preserve">, así como los organismos descentralizados municipales, </w:t>
      </w:r>
      <w:r w:rsidRPr="003A787D">
        <w:rPr>
          <w:rFonts w:ascii="Palatino Linotype" w:hAnsi="Palatino Linotype"/>
          <w:b/>
          <w:bCs/>
          <w:color w:val="000000" w:themeColor="text1"/>
        </w:rPr>
        <w:t xml:space="preserve">dentro de sus obligaciones y atribuciones propias de su ejercicio de administrar su hacienda, se considera el pago de sueldos y salarios, </w:t>
      </w:r>
      <w:r w:rsidRPr="003A787D">
        <w:rPr>
          <w:rFonts w:ascii="Palatino Linotype" w:hAnsi="Palatino Linotype"/>
          <w:b/>
          <w:bCs/>
          <w:i/>
          <w:color w:val="000000" w:themeColor="text1"/>
        </w:rPr>
        <w:t>ergo</w:t>
      </w:r>
      <w:r w:rsidRPr="003A787D">
        <w:rPr>
          <w:rFonts w:ascii="Palatino Linotype" w:hAnsi="Palatino Linotype"/>
          <w:b/>
          <w:bCs/>
          <w:color w:val="000000" w:themeColor="text1"/>
        </w:rPr>
        <w:t xml:space="preserve"> deben realizar la retención del impuesto sobre la renta</w:t>
      </w:r>
      <w:r w:rsidRPr="003A787D">
        <w:rPr>
          <w:rFonts w:ascii="Palatino Linotype" w:hAnsi="Palatino Linotype"/>
          <w:color w:val="000000" w:themeColor="text1"/>
        </w:rPr>
        <w:t>, el cual debe ser enterado al Servicio de Administración Tributaria a través de los mecanismos construidos para ello.</w:t>
      </w:r>
    </w:p>
    <w:p w14:paraId="414F87ED" w14:textId="77777777" w:rsidR="003E1087" w:rsidRPr="003A787D" w:rsidRDefault="003E1087" w:rsidP="003E1087">
      <w:pPr>
        <w:pStyle w:val="Prrafodelista"/>
        <w:tabs>
          <w:tab w:val="left" w:pos="426"/>
        </w:tabs>
        <w:spacing w:before="240" w:after="240" w:line="360" w:lineRule="auto"/>
        <w:ind w:left="0" w:right="51"/>
        <w:jc w:val="both"/>
        <w:rPr>
          <w:rFonts w:ascii="Palatino Linotype" w:hAnsi="Palatino Linotype"/>
          <w:color w:val="000000" w:themeColor="text1"/>
        </w:rPr>
      </w:pPr>
    </w:p>
    <w:p w14:paraId="231E56A8" w14:textId="7F368374" w:rsidR="003E1087" w:rsidRPr="003A787D" w:rsidRDefault="0004606D" w:rsidP="00F92EF0">
      <w:pPr>
        <w:pStyle w:val="Prrafodelista"/>
        <w:numPr>
          <w:ilvl w:val="0"/>
          <w:numId w:val="1"/>
        </w:numPr>
        <w:tabs>
          <w:tab w:val="left" w:pos="426"/>
        </w:tabs>
        <w:spacing w:before="240" w:after="240" w:line="360" w:lineRule="auto"/>
        <w:ind w:right="51"/>
        <w:jc w:val="both"/>
        <w:rPr>
          <w:rFonts w:ascii="Palatino Linotype" w:hAnsi="Palatino Linotype"/>
          <w:color w:val="000000" w:themeColor="text1"/>
        </w:rPr>
      </w:pPr>
      <w:r w:rsidRPr="003A787D">
        <w:rPr>
          <w:rFonts w:ascii="Palatino Linotype" w:hAnsi="Palatino Linotype"/>
          <w:color w:val="000000" w:themeColor="text1"/>
        </w:rPr>
        <w:t>Aclarado lo anterior</w:t>
      </w:r>
      <w:r w:rsidR="00A8650D" w:rsidRPr="003A787D">
        <w:rPr>
          <w:rFonts w:ascii="Palatino Linotype" w:hAnsi="Palatino Linotype"/>
          <w:color w:val="000000" w:themeColor="text1"/>
        </w:rPr>
        <w:t xml:space="preserve">, los patrones podrán </w:t>
      </w:r>
      <w:r w:rsidR="00A8650D" w:rsidRPr="003A787D">
        <w:rPr>
          <w:rFonts w:ascii="Palatino Linotype" w:hAnsi="Palatino Linotype"/>
          <w:bCs/>
          <w:color w:val="000000" w:themeColor="text1"/>
        </w:rPr>
        <w:t xml:space="preserve">tener acceso al portal del Servicio de Administración Tributaria denominado </w:t>
      </w:r>
      <w:bookmarkStart w:id="28" w:name="_Hlk99395397"/>
      <w:r w:rsidR="00A8650D" w:rsidRPr="003A787D">
        <w:rPr>
          <w:rFonts w:ascii="Palatino Linotype" w:hAnsi="Palatino Linotype"/>
          <w:bCs/>
          <w:color w:val="000000" w:themeColor="text1"/>
        </w:rPr>
        <w:t>“</w:t>
      </w:r>
      <w:r w:rsidR="00A8650D" w:rsidRPr="003A787D">
        <w:rPr>
          <w:rFonts w:ascii="Palatino Linotype" w:hAnsi="Palatino Linotype"/>
          <w:b/>
          <w:color w:val="000000" w:themeColor="text1"/>
        </w:rPr>
        <w:t>Visor de comprobantes de nómina para el patrón</w:t>
      </w:r>
      <w:r w:rsidR="00A8650D" w:rsidRPr="003A787D">
        <w:rPr>
          <w:rFonts w:ascii="Palatino Linotype" w:hAnsi="Palatino Linotype"/>
          <w:bCs/>
          <w:color w:val="000000" w:themeColor="text1"/>
        </w:rPr>
        <w:t>”</w:t>
      </w:r>
      <w:bookmarkEnd w:id="28"/>
      <w:r w:rsidR="00A8650D" w:rsidRPr="003A787D">
        <w:rPr>
          <w:rStyle w:val="Refdenotaalpie"/>
          <w:rFonts w:ascii="Palatino Linotype" w:hAnsi="Palatino Linotype"/>
          <w:bCs/>
          <w:color w:val="000000" w:themeColor="text1"/>
        </w:rPr>
        <w:footnoteReference w:id="15"/>
      </w:r>
      <w:r w:rsidR="00A8650D" w:rsidRPr="003A787D">
        <w:rPr>
          <w:rFonts w:ascii="Palatino Linotype" w:hAnsi="Palatino Linotype"/>
          <w:bCs/>
          <w:color w:val="000000" w:themeColor="text1"/>
        </w:rPr>
        <w:t xml:space="preserve">, el cual sirve para consultar los pagos realizados a los trabajadores de </w:t>
      </w:r>
      <w:r w:rsidR="00A8650D" w:rsidRPr="003A787D">
        <w:rPr>
          <w:rFonts w:ascii="Palatino Linotype" w:hAnsi="Palatino Linotype"/>
          <w:bCs/>
          <w:color w:val="000000" w:themeColor="text1"/>
        </w:rPr>
        <w:lastRenderedPageBreak/>
        <w:t>forma acumulada, así como para verificar la información de forma individual de cada uno de los empleados a quienes se les haya expedido un comprobante de nómina, permitiendo conciliar el impuesto retenido contra el enterado en pagos provisionales a partir del dos mil dieciocho</w:t>
      </w:r>
      <w:r w:rsidR="00A8650D" w:rsidRPr="003A787D">
        <w:rPr>
          <w:rStyle w:val="Refdenotaalpie"/>
          <w:rFonts w:ascii="Palatino Linotype" w:hAnsi="Palatino Linotype"/>
          <w:bCs/>
          <w:color w:val="000000" w:themeColor="text1"/>
        </w:rPr>
        <w:footnoteReference w:id="16"/>
      </w:r>
      <w:r w:rsidR="00A8650D" w:rsidRPr="003A787D">
        <w:rPr>
          <w:rFonts w:ascii="Palatino Linotype" w:hAnsi="Palatino Linotype"/>
          <w:bCs/>
          <w:color w:val="000000" w:themeColor="text1"/>
        </w:rPr>
        <w:t>.</w:t>
      </w:r>
    </w:p>
    <w:p w14:paraId="38D24668" w14:textId="77777777" w:rsidR="00A8650D" w:rsidRPr="003A787D" w:rsidRDefault="00A8650D" w:rsidP="00A8650D">
      <w:pPr>
        <w:pStyle w:val="Prrafodelista"/>
        <w:tabs>
          <w:tab w:val="left" w:pos="426"/>
        </w:tabs>
        <w:spacing w:before="240" w:after="240" w:line="360" w:lineRule="auto"/>
        <w:ind w:left="0" w:right="51"/>
        <w:jc w:val="both"/>
        <w:rPr>
          <w:rFonts w:ascii="Palatino Linotype" w:hAnsi="Palatino Linotype"/>
          <w:color w:val="000000" w:themeColor="text1"/>
        </w:rPr>
      </w:pPr>
    </w:p>
    <w:p w14:paraId="01B3D601" w14:textId="514A8D77" w:rsidR="003E1087" w:rsidRPr="003A787D" w:rsidRDefault="00A8650D" w:rsidP="003E1087">
      <w:pPr>
        <w:pStyle w:val="Prrafodelista"/>
        <w:numPr>
          <w:ilvl w:val="0"/>
          <w:numId w:val="1"/>
        </w:numPr>
        <w:tabs>
          <w:tab w:val="left" w:pos="426"/>
        </w:tabs>
        <w:spacing w:before="240" w:after="240" w:line="360" w:lineRule="auto"/>
        <w:ind w:right="51"/>
        <w:jc w:val="both"/>
        <w:rPr>
          <w:rFonts w:ascii="Palatino Linotype" w:hAnsi="Palatino Linotype"/>
          <w:color w:val="000000" w:themeColor="text1"/>
        </w:rPr>
      </w:pPr>
      <w:r w:rsidRPr="003A787D">
        <w:rPr>
          <w:rFonts w:ascii="Palatino Linotype" w:hAnsi="Palatino Linotype"/>
          <w:color w:val="000000" w:themeColor="text1"/>
        </w:rPr>
        <w:t xml:space="preserve">No es ocioso mencionar que el Servicio de Administración Tributaria tiene publicado un video tutorial para utilizar el </w:t>
      </w:r>
      <w:r w:rsidRPr="003A787D">
        <w:rPr>
          <w:rFonts w:ascii="Palatino Linotype" w:hAnsi="Palatino Linotype"/>
          <w:bCs/>
          <w:color w:val="000000" w:themeColor="text1"/>
        </w:rPr>
        <w:t>“Visor de nómina para patrones”</w:t>
      </w:r>
      <w:r w:rsidRPr="003A787D">
        <w:rPr>
          <w:rStyle w:val="Refdenotaalpie"/>
          <w:rFonts w:ascii="Palatino Linotype" w:hAnsi="Palatino Linotype"/>
          <w:bCs/>
          <w:color w:val="000000" w:themeColor="text1"/>
        </w:rPr>
        <w:footnoteReference w:id="17"/>
      </w:r>
      <w:r w:rsidRPr="003A787D">
        <w:rPr>
          <w:rFonts w:ascii="Palatino Linotype" w:hAnsi="Palatino Linotype"/>
          <w:bCs/>
          <w:color w:val="000000" w:themeColor="text1"/>
        </w:rPr>
        <w:t>, dentro del cual se hacen las siguientes precisiones:</w:t>
      </w:r>
    </w:p>
    <w:p w14:paraId="1631AD73" w14:textId="6D58CA93" w:rsidR="00A8650D" w:rsidRPr="003A787D" w:rsidRDefault="00A8650D" w:rsidP="00A8650D">
      <w:pPr>
        <w:pStyle w:val="Prrafodelista"/>
        <w:numPr>
          <w:ilvl w:val="1"/>
          <w:numId w:val="33"/>
        </w:numPr>
        <w:tabs>
          <w:tab w:val="left" w:pos="426"/>
        </w:tabs>
        <w:spacing w:before="240" w:after="240" w:line="360" w:lineRule="auto"/>
        <w:ind w:left="1134" w:right="51"/>
        <w:jc w:val="both"/>
        <w:rPr>
          <w:rFonts w:ascii="Palatino Linotype" w:hAnsi="Palatino Linotype"/>
          <w:color w:val="000000" w:themeColor="text1"/>
        </w:rPr>
      </w:pPr>
      <w:r w:rsidRPr="003A787D">
        <w:rPr>
          <w:rFonts w:ascii="Palatino Linotype" w:hAnsi="Palatino Linotype"/>
          <w:bCs/>
          <w:color w:val="000000" w:themeColor="text1"/>
        </w:rPr>
        <w:t>Dentro del visor de comprobante de nómina, se podrá elegir la opción de consultar la información global, o bien, de un trabajador específico.</w:t>
      </w:r>
    </w:p>
    <w:p w14:paraId="7073E376" w14:textId="6686B670" w:rsidR="00F92EF0" w:rsidRPr="003A787D" w:rsidRDefault="00F92EF0" w:rsidP="00A8650D">
      <w:pPr>
        <w:pStyle w:val="Prrafodelista"/>
        <w:numPr>
          <w:ilvl w:val="1"/>
          <w:numId w:val="33"/>
        </w:numPr>
        <w:tabs>
          <w:tab w:val="left" w:pos="426"/>
        </w:tabs>
        <w:spacing w:before="240" w:after="240" w:line="360" w:lineRule="auto"/>
        <w:ind w:left="1134" w:right="51"/>
        <w:jc w:val="both"/>
        <w:rPr>
          <w:rFonts w:ascii="Palatino Linotype" w:hAnsi="Palatino Linotype"/>
          <w:color w:val="000000" w:themeColor="text1"/>
        </w:rPr>
      </w:pPr>
      <w:r w:rsidRPr="003A787D">
        <w:rPr>
          <w:rFonts w:ascii="Palatino Linotype" w:hAnsi="Palatino Linotype"/>
          <w:bCs/>
          <w:color w:val="000000" w:themeColor="text1"/>
        </w:rPr>
        <w:t xml:space="preserve">En la consulta de información anual total, </w:t>
      </w:r>
      <w:r w:rsidR="00AD2871" w:rsidRPr="003A787D">
        <w:rPr>
          <w:rFonts w:ascii="Palatino Linotype" w:hAnsi="Palatino Linotype"/>
          <w:bCs/>
          <w:color w:val="000000" w:themeColor="text1"/>
        </w:rPr>
        <w:t>se mostrarán formatos continuos, a saber:</w:t>
      </w:r>
    </w:p>
    <w:p w14:paraId="04189BBA" w14:textId="77777777" w:rsidR="00AD2871" w:rsidRPr="003A787D" w:rsidRDefault="00AD2871" w:rsidP="00AD2871">
      <w:pPr>
        <w:pStyle w:val="Prrafodelista"/>
        <w:numPr>
          <w:ilvl w:val="2"/>
          <w:numId w:val="35"/>
        </w:numPr>
        <w:tabs>
          <w:tab w:val="left" w:pos="426"/>
        </w:tabs>
        <w:spacing w:before="240" w:after="240" w:line="360" w:lineRule="auto"/>
        <w:ind w:left="1701" w:right="51"/>
        <w:jc w:val="both"/>
        <w:rPr>
          <w:rFonts w:ascii="Palatino Linotype" w:hAnsi="Palatino Linotype"/>
          <w:color w:val="000000" w:themeColor="text1"/>
        </w:rPr>
      </w:pPr>
      <w:r w:rsidRPr="003A787D">
        <w:rPr>
          <w:rFonts w:ascii="Palatino Linotype" w:hAnsi="Palatino Linotype"/>
          <w:b/>
          <w:color w:val="000000" w:themeColor="text1"/>
        </w:rPr>
        <w:t>Acumulado anual total</w:t>
      </w:r>
      <w:r w:rsidRPr="003A787D">
        <w:rPr>
          <w:rFonts w:ascii="Palatino Linotype" w:hAnsi="Palatino Linotype"/>
          <w:bCs/>
          <w:color w:val="000000" w:themeColor="text1"/>
        </w:rPr>
        <w:t>: Muestra los salarios pagados por los conceptos de ingresos totales y exentos pagados, así como los subsidios aplicados y entregados.</w:t>
      </w:r>
    </w:p>
    <w:p w14:paraId="3F1AD229" w14:textId="77777777" w:rsidR="00AD2871" w:rsidRPr="003A787D" w:rsidRDefault="00AD2871" w:rsidP="00AD2871">
      <w:pPr>
        <w:pStyle w:val="Prrafodelista"/>
        <w:numPr>
          <w:ilvl w:val="2"/>
          <w:numId w:val="35"/>
        </w:numPr>
        <w:tabs>
          <w:tab w:val="left" w:pos="426"/>
        </w:tabs>
        <w:spacing w:before="240" w:after="240" w:line="360" w:lineRule="auto"/>
        <w:ind w:left="1701" w:right="51"/>
        <w:jc w:val="both"/>
        <w:rPr>
          <w:rFonts w:ascii="Palatino Linotype" w:hAnsi="Palatino Linotype"/>
          <w:color w:val="000000" w:themeColor="text1"/>
        </w:rPr>
      </w:pPr>
      <w:r w:rsidRPr="003A787D">
        <w:rPr>
          <w:rFonts w:ascii="Palatino Linotype" w:hAnsi="Palatino Linotype"/>
          <w:b/>
          <w:color w:val="000000" w:themeColor="text1"/>
        </w:rPr>
        <w:t>Acumulado anual</w:t>
      </w:r>
      <w:r w:rsidRPr="003A787D">
        <w:rPr>
          <w:rFonts w:ascii="Palatino Linotype" w:hAnsi="Palatino Linotype"/>
          <w:bCs/>
          <w:color w:val="000000" w:themeColor="text1"/>
        </w:rPr>
        <w:t xml:space="preserve">: Muestra información respecto del número de </w:t>
      </w:r>
      <w:proofErr w:type="spellStart"/>
      <w:r w:rsidRPr="003A787D">
        <w:rPr>
          <w:rFonts w:ascii="Palatino Linotype" w:hAnsi="Palatino Linotype"/>
          <w:bCs/>
          <w:color w:val="000000" w:themeColor="text1"/>
        </w:rPr>
        <w:t>CFDI’s</w:t>
      </w:r>
      <w:proofErr w:type="spellEnd"/>
      <w:r w:rsidRPr="003A787D">
        <w:rPr>
          <w:rFonts w:ascii="Palatino Linotype" w:hAnsi="Palatino Linotype"/>
          <w:bCs/>
          <w:color w:val="000000" w:themeColor="text1"/>
        </w:rPr>
        <w:t xml:space="preserve"> emitidos, así como los montos de los pagos totales por sueldos y salarios e ISR retenido.</w:t>
      </w:r>
    </w:p>
    <w:p w14:paraId="54C99D00" w14:textId="7E752DB1" w:rsidR="00AD2871" w:rsidRPr="003A787D" w:rsidRDefault="00AD2871" w:rsidP="00AD2871">
      <w:pPr>
        <w:pStyle w:val="Prrafodelista"/>
        <w:numPr>
          <w:ilvl w:val="2"/>
          <w:numId w:val="35"/>
        </w:numPr>
        <w:tabs>
          <w:tab w:val="left" w:pos="426"/>
        </w:tabs>
        <w:spacing w:before="240" w:after="240" w:line="360" w:lineRule="auto"/>
        <w:ind w:left="1701" w:right="51"/>
        <w:jc w:val="both"/>
        <w:rPr>
          <w:rFonts w:ascii="Palatino Linotype" w:hAnsi="Palatino Linotype"/>
          <w:color w:val="000000" w:themeColor="text1"/>
        </w:rPr>
      </w:pPr>
      <w:r w:rsidRPr="003A787D">
        <w:rPr>
          <w:rFonts w:ascii="Palatino Linotype" w:hAnsi="Palatino Linotype"/>
          <w:b/>
          <w:color w:val="000000" w:themeColor="text1"/>
        </w:rPr>
        <w:t>Detalle mensual</w:t>
      </w:r>
      <w:r w:rsidRPr="003A787D">
        <w:rPr>
          <w:rFonts w:ascii="Palatino Linotype" w:hAnsi="Palatino Linotype"/>
          <w:bCs/>
          <w:color w:val="000000" w:themeColor="text1"/>
        </w:rPr>
        <w:t>: Despliega los pagos y retenciones hechas a los trabajadores de forma mensual.</w:t>
      </w:r>
    </w:p>
    <w:p w14:paraId="5DEF306A" w14:textId="3FBB2E26" w:rsidR="003E1087" w:rsidRPr="003A787D" w:rsidRDefault="00AD2871" w:rsidP="00AD2871">
      <w:pPr>
        <w:pStyle w:val="Prrafodelista"/>
        <w:numPr>
          <w:ilvl w:val="1"/>
          <w:numId w:val="33"/>
        </w:numPr>
        <w:tabs>
          <w:tab w:val="left" w:pos="426"/>
        </w:tabs>
        <w:spacing w:before="240" w:after="240" w:line="360" w:lineRule="auto"/>
        <w:ind w:left="1134" w:right="51"/>
        <w:jc w:val="both"/>
        <w:rPr>
          <w:rFonts w:ascii="Palatino Linotype" w:hAnsi="Palatino Linotype"/>
          <w:color w:val="000000" w:themeColor="text1"/>
        </w:rPr>
      </w:pPr>
      <w:r w:rsidRPr="003A787D">
        <w:rPr>
          <w:rFonts w:ascii="Palatino Linotype" w:hAnsi="Palatino Linotype"/>
          <w:bCs/>
          <w:color w:val="000000" w:themeColor="text1"/>
        </w:rPr>
        <w:lastRenderedPageBreak/>
        <w:t>En la consulta de información de un trabajador, se mostrarán los siguientes formatos:</w:t>
      </w:r>
    </w:p>
    <w:p w14:paraId="5982D305" w14:textId="3E34838C" w:rsidR="00AD2871" w:rsidRPr="003A787D" w:rsidRDefault="00AD2871" w:rsidP="00AD2871">
      <w:pPr>
        <w:pStyle w:val="Prrafodelista"/>
        <w:numPr>
          <w:ilvl w:val="2"/>
          <w:numId w:val="36"/>
        </w:numPr>
        <w:tabs>
          <w:tab w:val="left" w:pos="426"/>
        </w:tabs>
        <w:spacing w:before="240" w:after="240" w:line="360" w:lineRule="auto"/>
        <w:ind w:left="1701" w:right="51"/>
        <w:jc w:val="both"/>
        <w:rPr>
          <w:rFonts w:ascii="Palatino Linotype" w:hAnsi="Palatino Linotype"/>
          <w:color w:val="000000" w:themeColor="text1"/>
        </w:rPr>
      </w:pPr>
      <w:r w:rsidRPr="003A787D">
        <w:rPr>
          <w:rFonts w:ascii="Palatino Linotype" w:hAnsi="Palatino Linotype"/>
          <w:b/>
          <w:bCs/>
          <w:color w:val="000000" w:themeColor="text1"/>
        </w:rPr>
        <w:t>Acumulado anual</w:t>
      </w:r>
      <w:r w:rsidRPr="003A787D">
        <w:rPr>
          <w:rFonts w:ascii="Palatino Linotype" w:hAnsi="Palatino Linotype"/>
          <w:color w:val="000000" w:themeColor="text1"/>
        </w:rPr>
        <w:t>: Permite consultar el total de ingresos por sueldos y salarios, y el impuesto retenido.</w:t>
      </w:r>
    </w:p>
    <w:p w14:paraId="58945B71" w14:textId="37C3A07F" w:rsidR="00AD2871" w:rsidRPr="003A787D" w:rsidRDefault="00AD2871" w:rsidP="00AD2871">
      <w:pPr>
        <w:pStyle w:val="Prrafodelista"/>
        <w:numPr>
          <w:ilvl w:val="2"/>
          <w:numId w:val="36"/>
        </w:numPr>
        <w:tabs>
          <w:tab w:val="left" w:pos="426"/>
        </w:tabs>
        <w:spacing w:before="240" w:after="240" w:line="360" w:lineRule="auto"/>
        <w:ind w:left="1701" w:right="51"/>
        <w:jc w:val="both"/>
        <w:rPr>
          <w:rFonts w:ascii="Palatino Linotype" w:hAnsi="Palatino Linotype"/>
          <w:color w:val="000000" w:themeColor="text1"/>
        </w:rPr>
      </w:pPr>
      <w:r w:rsidRPr="003A787D">
        <w:rPr>
          <w:rFonts w:ascii="Palatino Linotype" w:hAnsi="Palatino Linotype"/>
          <w:b/>
          <w:bCs/>
          <w:color w:val="000000" w:themeColor="text1"/>
        </w:rPr>
        <w:t>Detalle mensual</w:t>
      </w:r>
      <w:r w:rsidRPr="003A787D">
        <w:rPr>
          <w:rFonts w:ascii="Palatino Linotype" w:hAnsi="Palatino Linotype"/>
          <w:color w:val="000000" w:themeColor="text1"/>
        </w:rPr>
        <w:t>: Refleja el total de ingresos por sueldos y salarios, subsidios y total de impuesto retenido.</w:t>
      </w:r>
    </w:p>
    <w:p w14:paraId="164D63E3" w14:textId="77777777" w:rsidR="004C38EA" w:rsidRPr="003A787D" w:rsidRDefault="004C38EA" w:rsidP="004C38EA">
      <w:pPr>
        <w:pStyle w:val="Prrafodelista"/>
        <w:tabs>
          <w:tab w:val="left" w:pos="426"/>
        </w:tabs>
        <w:spacing w:before="240" w:after="240" w:line="360" w:lineRule="auto"/>
        <w:ind w:left="0" w:right="51"/>
        <w:jc w:val="both"/>
        <w:rPr>
          <w:rFonts w:ascii="Palatino Linotype" w:hAnsi="Palatino Linotype"/>
          <w:color w:val="000000" w:themeColor="text1"/>
        </w:rPr>
      </w:pPr>
    </w:p>
    <w:p w14:paraId="7F032944" w14:textId="747F5F87" w:rsidR="00D57FDA" w:rsidRPr="003A787D" w:rsidRDefault="00AF648D" w:rsidP="003E1087">
      <w:pPr>
        <w:pStyle w:val="Prrafodelista"/>
        <w:numPr>
          <w:ilvl w:val="0"/>
          <w:numId w:val="1"/>
        </w:numPr>
        <w:tabs>
          <w:tab w:val="left" w:pos="426"/>
        </w:tabs>
        <w:spacing w:before="240" w:after="240" w:line="360" w:lineRule="auto"/>
        <w:ind w:right="51"/>
        <w:jc w:val="both"/>
        <w:rPr>
          <w:rFonts w:ascii="Palatino Linotype" w:hAnsi="Palatino Linotype"/>
          <w:color w:val="000000" w:themeColor="text1"/>
        </w:rPr>
      </w:pPr>
      <w:r w:rsidRPr="003A787D">
        <w:rPr>
          <w:rFonts w:ascii="Palatino Linotype" w:hAnsi="Palatino Linotype"/>
          <w:color w:val="000000" w:themeColor="text1"/>
        </w:rPr>
        <w:t>Así, de</w:t>
      </w:r>
      <w:r w:rsidR="00D57FDA" w:rsidRPr="003A787D">
        <w:rPr>
          <w:rFonts w:ascii="Palatino Linotype" w:hAnsi="Palatino Linotype"/>
          <w:color w:val="000000" w:themeColor="text1"/>
        </w:rPr>
        <w:t xml:space="preserve"> conformidad con los manuales e instructivos de uso del portal de mérito, </w:t>
      </w:r>
      <w:r w:rsidRPr="003A787D">
        <w:rPr>
          <w:rFonts w:ascii="Palatino Linotype" w:hAnsi="Palatino Linotype"/>
          <w:color w:val="000000" w:themeColor="text1"/>
        </w:rPr>
        <w:t xml:space="preserve">se advierte que el ‘Visor de nómina’ permite consultar los reportes de ‘Vista anual acumulado’ y ‘Detalle mensual’ respecto de la información de pagos y retenciones por sueldos y salarios realizados a los trabajadores del </w:t>
      </w:r>
      <w:r w:rsidR="005A179D" w:rsidRPr="003A787D">
        <w:rPr>
          <w:rFonts w:ascii="Palatino Linotype" w:hAnsi="Palatino Linotype"/>
          <w:color w:val="000000" w:themeColor="text1"/>
        </w:rPr>
        <w:t>Sistema Municipal para el Desarrollo Integral de la Familia de Tenancingo</w:t>
      </w:r>
      <w:r w:rsidRPr="003A787D">
        <w:rPr>
          <w:rFonts w:ascii="Palatino Linotype" w:hAnsi="Palatino Linotype"/>
          <w:color w:val="000000" w:themeColor="text1"/>
        </w:rPr>
        <w:t xml:space="preserve">, siendo éstos los documentos requeridos por el </w:t>
      </w:r>
      <w:r w:rsidRPr="003A787D">
        <w:rPr>
          <w:rFonts w:ascii="Palatino Linotype" w:hAnsi="Palatino Linotype"/>
          <w:b/>
          <w:bCs/>
          <w:color w:val="000000" w:themeColor="text1"/>
        </w:rPr>
        <w:t>RECURRENTE</w:t>
      </w:r>
      <w:r w:rsidRPr="003A787D">
        <w:rPr>
          <w:rFonts w:ascii="Palatino Linotype" w:hAnsi="Palatino Linotype"/>
          <w:color w:val="000000" w:themeColor="text1"/>
        </w:rPr>
        <w:t xml:space="preserve">, y de los que se doliera por su falta de entrega. </w:t>
      </w:r>
    </w:p>
    <w:p w14:paraId="0708F40A" w14:textId="77777777" w:rsidR="002D57BA" w:rsidRPr="003A787D" w:rsidRDefault="002D57BA" w:rsidP="002D57BA">
      <w:pPr>
        <w:pStyle w:val="Prrafodelista"/>
        <w:tabs>
          <w:tab w:val="left" w:pos="426"/>
        </w:tabs>
        <w:spacing w:before="240" w:after="240" w:line="360" w:lineRule="auto"/>
        <w:ind w:left="0" w:right="51"/>
        <w:jc w:val="both"/>
        <w:rPr>
          <w:rFonts w:ascii="Palatino Linotype" w:hAnsi="Palatino Linotype"/>
          <w:color w:val="000000" w:themeColor="text1"/>
        </w:rPr>
      </w:pPr>
    </w:p>
    <w:p w14:paraId="47C8DB4B" w14:textId="199C2B8D" w:rsidR="002D57BA" w:rsidRPr="003A787D" w:rsidRDefault="00376AB8" w:rsidP="003E1087">
      <w:pPr>
        <w:pStyle w:val="Prrafodelista"/>
        <w:numPr>
          <w:ilvl w:val="0"/>
          <w:numId w:val="1"/>
        </w:numPr>
        <w:tabs>
          <w:tab w:val="left" w:pos="426"/>
        </w:tabs>
        <w:spacing w:before="240" w:after="240" w:line="360" w:lineRule="auto"/>
        <w:ind w:right="51"/>
        <w:jc w:val="both"/>
        <w:rPr>
          <w:rFonts w:ascii="Palatino Linotype" w:hAnsi="Palatino Linotype"/>
          <w:color w:val="000000" w:themeColor="text1"/>
        </w:rPr>
      </w:pPr>
      <w:r w:rsidRPr="003A787D">
        <w:rPr>
          <w:rFonts w:ascii="Palatino Linotype" w:hAnsi="Palatino Linotype"/>
          <w:color w:val="000000" w:themeColor="text1"/>
        </w:rPr>
        <w:t xml:space="preserve">Sin embargo, como fuera demostrado en párrafos previos, el </w:t>
      </w:r>
      <w:r w:rsidRPr="003A787D">
        <w:rPr>
          <w:rFonts w:ascii="Palatino Linotype" w:hAnsi="Palatino Linotype"/>
          <w:b/>
          <w:bCs/>
          <w:color w:val="000000" w:themeColor="text1"/>
        </w:rPr>
        <w:t>SUJETO OBLIGADO</w:t>
      </w:r>
      <w:r w:rsidRPr="003A787D">
        <w:rPr>
          <w:rFonts w:ascii="Palatino Linotype" w:hAnsi="Palatino Linotype"/>
          <w:color w:val="000000" w:themeColor="text1"/>
        </w:rPr>
        <w:t xml:space="preserve"> sí entregó una gran parte de la información relacionada con los formatos consultables en el ‘Visor de nómina del SAT’, específicamente, entregó las capturas de los formatos ‘Vista anual acumulado’ y ‘Detalle mensual’ de los ejercicios dos mil dieciocho, dos mil diecinueve, dos mil veinte y dos mil veintiuno; y, posteriormente, en vía de informe justificado, entregó los formatos ‘Total de nómina por sueldos y salarios’ y ‘Total de nómina por asimilados a salarios’ del dos mil diecinueve y dos mil veintiuno; asimismo, entregó el formato ‘Total de nómina por asimilados a salarios’ del dos mil veinte.</w:t>
      </w:r>
    </w:p>
    <w:p w14:paraId="36D6675A" w14:textId="77777777" w:rsidR="002D57BA" w:rsidRPr="003A787D" w:rsidRDefault="002D57BA" w:rsidP="002D57BA">
      <w:pPr>
        <w:pStyle w:val="Prrafodelista"/>
        <w:tabs>
          <w:tab w:val="left" w:pos="426"/>
        </w:tabs>
        <w:spacing w:before="240" w:after="240" w:line="360" w:lineRule="auto"/>
        <w:ind w:left="0" w:right="51"/>
        <w:jc w:val="both"/>
        <w:rPr>
          <w:rFonts w:ascii="Palatino Linotype" w:hAnsi="Palatino Linotype"/>
          <w:color w:val="000000" w:themeColor="text1"/>
        </w:rPr>
      </w:pPr>
    </w:p>
    <w:p w14:paraId="2E55AC73" w14:textId="78CFFEE1" w:rsidR="002D57BA" w:rsidRPr="003A787D" w:rsidRDefault="00376AB8" w:rsidP="003E1087">
      <w:pPr>
        <w:pStyle w:val="Prrafodelista"/>
        <w:numPr>
          <w:ilvl w:val="0"/>
          <w:numId w:val="1"/>
        </w:numPr>
        <w:tabs>
          <w:tab w:val="left" w:pos="426"/>
        </w:tabs>
        <w:spacing w:before="240" w:after="240" w:line="360" w:lineRule="auto"/>
        <w:ind w:right="51"/>
        <w:jc w:val="both"/>
        <w:rPr>
          <w:rFonts w:ascii="Palatino Linotype" w:hAnsi="Palatino Linotype"/>
          <w:color w:val="000000" w:themeColor="text1"/>
        </w:rPr>
      </w:pPr>
      <w:r w:rsidRPr="003A787D">
        <w:rPr>
          <w:rFonts w:ascii="Palatino Linotype" w:hAnsi="Palatino Linotype"/>
          <w:color w:val="000000" w:themeColor="text1"/>
        </w:rPr>
        <w:lastRenderedPageBreak/>
        <w:t xml:space="preserve">Así las cosas, este Organismo Garante advierte que el </w:t>
      </w:r>
      <w:r w:rsidRPr="003A787D">
        <w:rPr>
          <w:rFonts w:ascii="Palatino Linotype" w:hAnsi="Palatino Linotype"/>
          <w:b/>
          <w:bCs/>
          <w:color w:val="000000" w:themeColor="text1"/>
        </w:rPr>
        <w:t>SUJETO OBLIGADO</w:t>
      </w:r>
      <w:r w:rsidRPr="003A787D">
        <w:rPr>
          <w:rFonts w:ascii="Palatino Linotype" w:hAnsi="Palatino Linotype"/>
          <w:color w:val="000000" w:themeColor="text1"/>
        </w:rPr>
        <w:t xml:space="preserve"> únicamente faltó de pronunciarse sobre </w:t>
      </w:r>
      <w:r w:rsidR="00EB2849" w:rsidRPr="003A787D">
        <w:rPr>
          <w:rFonts w:ascii="Palatino Linotype" w:hAnsi="Palatino Linotype"/>
          <w:color w:val="000000" w:themeColor="text1"/>
        </w:rPr>
        <w:t xml:space="preserve">los formatos ‘Total de nómina por sueldos y salarios’ y ‘Total de nómina por asimilados a salarios’ del ejercicio dos mil dieciocho, así como el formato ‘Total de nómina por sueldos y salarios’ del ejercicio dos mil veinte; por lo que deberá entregarlos al </w:t>
      </w:r>
      <w:r w:rsidR="00EB2849" w:rsidRPr="003A787D">
        <w:rPr>
          <w:rFonts w:ascii="Palatino Linotype" w:hAnsi="Palatino Linotype"/>
          <w:b/>
          <w:bCs/>
          <w:color w:val="000000" w:themeColor="text1"/>
        </w:rPr>
        <w:t>RECURRENTE</w:t>
      </w:r>
      <w:r w:rsidR="00EB2849" w:rsidRPr="003A787D">
        <w:rPr>
          <w:rFonts w:ascii="Palatino Linotype" w:hAnsi="Palatino Linotype"/>
          <w:color w:val="000000" w:themeColor="text1"/>
        </w:rPr>
        <w:t>.</w:t>
      </w:r>
    </w:p>
    <w:p w14:paraId="5E71F16D" w14:textId="77777777" w:rsidR="00EB2849" w:rsidRPr="003A787D" w:rsidRDefault="00EB2849" w:rsidP="00EB2849">
      <w:pPr>
        <w:pStyle w:val="Prrafodelista"/>
        <w:tabs>
          <w:tab w:val="left" w:pos="426"/>
        </w:tabs>
        <w:spacing w:before="240" w:after="240" w:line="360" w:lineRule="auto"/>
        <w:ind w:left="0" w:right="51"/>
        <w:jc w:val="both"/>
        <w:rPr>
          <w:rFonts w:ascii="Palatino Linotype" w:hAnsi="Palatino Linotype"/>
          <w:color w:val="000000" w:themeColor="text1"/>
        </w:rPr>
      </w:pPr>
    </w:p>
    <w:p w14:paraId="70FDB710" w14:textId="687FA56D" w:rsidR="00EB2849" w:rsidRPr="003A787D" w:rsidRDefault="00EB2849" w:rsidP="00EB2849">
      <w:pPr>
        <w:pStyle w:val="Prrafodelista"/>
        <w:numPr>
          <w:ilvl w:val="0"/>
          <w:numId w:val="1"/>
        </w:numPr>
        <w:tabs>
          <w:tab w:val="left" w:pos="426"/>
        </w:tabs>
        <w:spacing w:before="240" w:after="240" w:line="360" w:lineRule="auto"/>
        <w:ind w:right="51"/>
        <w:jc w:val="both"/>
        <w:rPr>
          <w:rFonts w:ascii="Palatino Linotype" w:hAnsi="Palatino Linotype"/>
          <w:color w:val="000000" w:themeColor="text1"/>
        </w:rPr>
      </w:pPr>
      <w:r w:rsidRPr="003A787D">
        <w:rPr>
          <w:rFonts w:ascii="Palatino Linotype" w:hAnsi="Palatino Linotype"/>
          <w:color w:val="000000" w:themeColor="text1"/>
        </w:rPr>
        <w:t xml:space="preserve">Razón de lo anterior, por cuanto hace al agravio del </w:t>
      </w:r>
      <w:r w:rsidRPr="003A787D">
        <w:rPr>
          <w:rFonts w:ascii="Palatino Linotype" w:hAnsi="Palatino Linotype"/>
          <w:b/>
          <w:bCs/>
          <w:color w:val="000000" w:themeColor="text1"/>
        </w:rPr>
        <w:t>RECURRENTE</w:t>
      </w:r>
      <w:r w:rsidRPr="003A787D">
        <w:rPr>
          <w:rFonts w:ascii="Palatino Linotype" w:hAnsi="Palatino Linotype"/>
          <w:color w:val="000000" w:themeColor="text1"/>
        </w:rPr>
        <w:t xml:space="preserve">, por medio del cual, se dolió porque el </w:t>
      </w:r>
      <w:r w:rsidRPr="003A787D">
        <w:rPr>
          <w:rFonts w:ascii="Palatino Linotype" w:hAnsi="Palatino Linotype"/>
          <w:b/>
          <w:bCs/>
          <w:color w:val="000000" w:themeColor="text1"/>
        </w:rPr>
        <w:t>SUJETO OBLIGADO</w:t>
      </w:r>
      <w:r w:rsidRPr="003A787D">
        <w:rPr>
          <w:rFonts w:ascii="Palatino Linotype" w:hAnsi="Palatino Linotype"/>
          <w:color w:val="000000" w:themeColor="text1"/>
        </w:rPr>
        <w:t xml:space="preserve"> no le entregó la información relacionada con los formatos consultables a través del portal ‘Visor de nómina’ del SAT, este Organismo Garante lo encuentra </w:t>
      </w:r>
      <w:r w:rsidRPr="003A787D">
        <w:rPr>
          <w:rFonts w:ascii="Palatino Linotype" w:hAnsi="Palatino Linotype"/>
          <w:b/>
          <w:bCs/>
          <w:color w:val="000000" w:themeColor="text1"/>
        </w:rPr>
        <w:t>parcialmente fundado</w:t>
      </w:r>
      <w:r w:rsidRPr="003A787D">
        <w:rPr>
          <w:rFonts w:ascii="Palatino Linotype" w:hAnsi="Palatino Linotype"/>
          <w:color w:val="000000" w:themeColor="text1"/>
        </w:rPr>
        <w:t>, toda vez que el Sistema Municipal para el Desarrollo Integral de la Familia de Tenancingo entregó la información incompleta.</w:t>
      </w:r>
    </w:p>
    <w:p w14:paraId="7A353A53" w14:textId="77777777" w:rsidR="00EF10EB" w:rsidRPr="003A787D" w:rsidRDefault="00EF10EB" w:rsidP="00EF10EB">
      <w:pPr>
        <w:pStyle w:val="Prrafodelista"/>
        <w:tabs>
          <w:tab w:val="left" w:pos="426"/>
        </w:tabs>
        <w:spacing w:before="240" w:after="240" w:line="360" w:lineRule="auto"/>
        <w:ind w:left="0" w:right="51"/>
        <w:jc w:val="both"/>
        <w:rPr>
          <w:rFonts w:ascii="Palatino Linotype" w:hAnsi="Palatino Linotype"/>
          <w:color w:val="000000" w:themeColor="text1"/>
        </w:rPr>
      </w:pPr>
    </w:p>
    <w:p w14:paraId="67795576" w14:textId="6E947257" w:rsidR="00DA4F1C" w:rsidRPr="003A787D" w:rsidRDefault="00EB2849" w:rsidP="003E1087">
      <w:pPr>
        <w:pStyle w:val="Prrafodelista"/>
        <w:numPr>
          <w:ilvl w:val="0"/>
          <w:numId w:val="1"/>
        </w:numPr>
        <w:tabs>
          <w:tab w:val="left" w:pos="426"/>
        </w:tabs>
        <w:spacing w:before="240" w:after="240" w:line="360" w:lineRule="auto"/>
        <w:ind w:right="51"/>
        <w:jc w:val="both"/>
        <w:rPr>
          <w:rFonts w:ascii="Palatino Linotype" w:hAnsi="Palatino Linotype"/>
          <w:color w:val="000000" w:themeColor="text1"/>
        </w:rPr>
      </w:pPr>
      <w:r w:rsidRPr="003A787D">
        <w:rPr>
          <w:rFonts w:ascii="Palatino Linotype" w:hAnsi="Palatino Linotype"/>
          <w:color w:val="000000" w:themeColor="text1"/>
        </w:rPr>
        <w:t>Por otro lado</w:t>
      </w:r>
      <w:r w:rsidR="00DA4F1C" w:rsidRPr="003A787D">
        <w:rPr>
          <w:rFonts w:ascii="Palatino Linotype" w:hAnsi="Palatino Linotype"/>
          <w:color w:val="000000" w:themeColor="text1"/>
        </w:rPr>
        <w:t>, por cuanto hace a la ‘Opinión de no adeudo en el cumplimiento de obligaciones fiscales’ emitida por el Servicio de Administración Tributaria, ést</w:t>
      </w:r>
      <w:r w:rsidRPr="003A787D">
        <w:rPr>
          <w:rFonts w:ascii="Palatino Linotype" w:hAnsi="Palatino Linotype"/>
          <w:color w:val="000000" w:themeColor="text1"/>
        </w:rPr>
        <w:t>e</w:t>
      </w:r>
      <w:r w:rsidR="00DA4F1C" w:rsidRPr="003A787D">
        <w:rPr>
          <w:rFonts w:ascii="Palatino Linotype" w:hAnsi="Palatino Linotype"/>
          <w:color w:val="000000" w:themeColor="text1"/>
        </w:rPr>
        <w:t xml:space="preserve"> consiste </w:t>
      </w:r>
      <w:r w:rsidR="00DA4F1C" w:rsidRPr="003A787D">
        <w:rPr>
          <w:rFonts w:ascii="Palatino Linotype" w:hAnsi="Palatino Linotype"/>
          <w:color w:val="000000" w:themeColor="text1"/>
          <w:lang w:val="es-ES"/>
        </w:rPr>
        <w:t xml:space="preserve">en un reporte que permite consultar la situación del cumplimiento de las obligaciones fiscales al momento de la fecha de la consulta; </w:t>
      </w:r>
      <w:r w:rsidR="00DA4F1C" w:rsidRPr="003A787D">
        <w:rPr>
          <w:rFonts w:ascii="Palatino Linotype" w:hAnsi="Palatino Linotype"/>
          <w:i/>
          <w:color w:val="000000" w:themeColor="text1"/>
          <w:lang w:val="es-ES"/>
        </w:rPr>
        <w:t>ergo</w:t>
      </w:r>
      <w:r w:rsidR="00DA4F1C" w:rsidRPr="003A787D">
        <w:rPr>
          <w:rFonts w:ascii="Palatino Linotype" w:hAnsi="Palatino Linotype"/>
          <w:color w:val="000000" w:themeColor="text1"/>
          <w:lang w:val="es-ES"/>
        </w:rPr>
        <w:t xml:space="preserve">, si el </w:t>
      </w:r>
      <w:r w:rsidR="00DA4F1C" w:rsidRPr="003A787D">
        <w:rPr>
          <w:rFonts w:ascii="Palatino Linotype" w:hAnsi="Palatino Linotype"/>
          <w:b/>
          <w:color w:val="000000" w:themeColor="text1"/>
          <w:lang w:val="es-ES"/>
        </w:rPr>
        <w:t xml:space="preserve">SUJETO OBLIGADO, </w:t>
      </w:r>
      <w:r w:rsidR="00DA4F1C" w:rsidRPr="003A787D">
        <w:rPr>
          <w:rFonts w:ascii="Palatino Linotype" w:hAnsi="Palatino Linotype"/>
          <w:color w:val="000000" w:themeColor="text1"/>
          <w:lang w:val="es-ES"/>
        </w:rPr>
        <w:t xml:space="preserve"> entre otras obligaciones fiscales, se encuentra constreñido a retener el Impuesto Sobre la Renta, así como enterarlo al Servicio de Administración Tributaria, a través de sus declaraciones provisionales y anual, resulta de interés para la sociedad el conocer si se encuentra al corriente en sus obligaciones fiscales, por ende resulta procedente ordenar la entrega del referido reporte, </w:t>
      </w:r>
    </w:p>
    <w:p w14:paraId="3D1D57C7" w14:textId="77777777" w:rsidR="00DA4F1C" w:rsidRPr="003A787D" w:rsidRDefault="00DA4F1C" w:rsidP="00DA4F1C">
      <w:pPr>
        <w:pStyle w:val="Prrafodelista"/>
        <w:tabs>
          <w:tab w:val="left" w:pos="426"/>
        </w:tabs>
        <w:spacing w:before="240" w:after="240" w:line="360" w:lineRule="auto"/>
        <w:ind w:left="0" w:right="51"/>
        <w:jc w:val="both"/>
        <w:rPr>
          <w:rFonts w:ascii="Palatino Linotype" w:hAnsi="Palatino Linotype"/>
          <w:color w:val="000000" w:themeColor="text1"/>
        </w:rPr>
      </w:pPr>
    </w:p>
    <w:p w14:paraId="7C156465" w14:textId="06DC5D3A" w:rsidR="00EF10EB" w:rsidRPr="003A787D" w:rsidRDefault="00DA4F1C" w:rsidP="003E1087">
      <w:pPr>
        <w:pStyle w:val="Prrafodelista"/>
        <w:numPr>
          <w:ilvl w:val="0"/>
          <w:numId w:val="1"/>
        </w:numPr>
        <w:tabs>
          <w:tab w:val="left" w:pos="426"/>
        </w:tabs>
        <w:spacing w:before="240" w:after="240" w:line="360" w:lineRule="auto"/>
        <w:ind w:right="51"/>
        <w:jc w:val="both"/>
        <w:rPr>
          <w:rFonts w:ascii="Palatino Linotype" w:hAnsi="Palatino Linotype"/>
          <w:color w:val="000000" w:themeColor="text1"/>
        </w:rPr>
      </w:pPr>
      <w:r w:rsidRPr="003A787D">
        <w:rPr>
          <w:rFonts w:ascii="Palatino Linotype" w:hAnsi="Palatino Linotype"/>
          <w:color w:val="000000" w:themeColor="text1"/>
          <w:lang w:val="es-ES"/>
        </w:rPr>
        <w:lastRenderedPageBreak/>
        <w:t>En ese sentido, no es ocioso señalar que en el portal del Servicio de Administración Tributaria se contemplan las siguientes opciones para obtener la ‘Opinión del cumplimiento de obligaciones fiscales’:</w:t>
      </w:r>
    </w:p>
    <w:p w14:paraId="670B83DA" w14:textId="77777777" w:rsidR="00EF10EB" w:rsidRPr="003A787D" w:rsidRDefault="00EF10EB" w:rsidP="00EF10EB">
      <w:pPr>
        <w:pStyle w:val="Prrafodelista"/>
        <w:tabs>
          <w:tab w:val="left" w:pos="426"/>
        </w:tabs>
        <w:spacing w:before="240" w:after="240" w:line="360" w:lineRule="auto"/>
        <w:ind w:left="0" w:right="51"/>
        <w:jc w:val="both"/>
        <w:rPr>
          <w:rFonts w:ascii="Palatino Linotype" w:hAnsi="Palatino Linotype"/>
          <w:color w:val="000000" w:themeColor="text1"/>
        </w:rPr>
      </w:pPr>
    </w:p>
    <w:p w14:paraId="4EF13856" w14:textId="650E9CE1" w:rsidR="00DA4F1C" w:rsidRPr="003A787D" w:rsidRDefault="00DA4F1C" w:rsidP="00DA4F1C">
      <w:pPr>
        <w:pStyle w:val="Prrafodelista"/>
        <w:tabs>
          <w:tab w:val="left" w:pos="426"/>
        </w:tabs>
        <w:spacing w:before="240" w:after="240" w:line="360" w:lineRule="auto"/>
        <w:ind w:left="0" w:right="51"/>
        <w:jc w:val="center"/>
        <w:rPr>
          <w:rFonts w:ascii="Palatino Linotype" w:hAnsi="Palatino Linotype"/>
          <w:color w:val="000000" w:themeColor="text1"/>
        </w:rPr>
      </w:pPr>
      <w:r w:rsidRPr="003A787D">
        <w:rPr>
          <w:rFonts w:ascii="Palatino Linotype" w:eastAsia="Palatino Linotype" w:hAnsi="Palatino Linotype" w:cs="Palatino Linotype"/>
          <w:noProof/>
          <w:lang w:eastAsia="es-MX"/>
        </w:rPr>
        <w:drawing>
          <wp:inline distT="0" distB="0" distL="0" distR="0" wp14:anchorId="7CA55015" wp14:editId="42FDFB91">
            <wp:extent cx="4140000" cy="2969706"/>
            <wp:effectExtent l="57150" t="57150" r="108585" b="116840"/>
            <wp:docPr id="91"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38"/>
                    <a:srcRect/>
                    <a:stretch>
                      <a:fillRect/>
                    </a:stretch>
                  </pic:blipFill>
                  <pic:spPr>
                    <a:xfrm>
                      <a:off x="0" y="0"/>
                      <a:ext cx="4140000" cy="2969706"/>
                    </a:xfrm>
                    <a:prstGeom prst="rect">
                      <a:avLst/>
                    </a:prstGeom>
                    <a:ln w="127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170B12E9" w14:textId="77777777" w:rsidR="00DA4F1C" w:rsidRPr="003A787D" w:rsidRDefault="00DA4F1C" w:rsidP="00EF10EB">
      <w:pPr>
        <w:pStyle w:val="Prrafodelista"/>
        <w:tabs>
          <w:tab w:val="left" w:pos="426"/>
        </w:tabs>
        <w:spacing w:before="240" w:after="240" w:line="360" w:lineRule="auto"/>
        <w:ind w:left="0" w:right="51"/>
        <w:jc w:val="both"/>
        <w:rPr>
          <w:rFonts w:ascii="Palatino Linotype" w:hAnsi="Palatino Linotype"/>
          <w:color w:val="000000" w:themeColor="text1"/>
        </w:rPr>
      </w:pPr>
    </w:p>
    <w:p w14:paraId="2C386B34" w14:textId="3CAF4AC5" w:rsidR="00EF10EB" w:rsidRPr="003A787D" w:rsidRDefault="00DA4F1C" w:rsidP="003E1087">
      <w:pPr>
        <w:pStyle w:val="Prrafodelista"/>
        <w:numPr>
          <w:ilvl w:val="0"/>
          <w:numId w:val="1"/>
        </w:numPr>
        <w:tabs>
          <w:tab w:val="left" w:pos="426"/>
        </w:tabs>
        <w:spacing w:before="240" w:after="240" w:line="360" w:lineRule="auto"/>
        <w:ind w:right="51"/>
        <w:jc w:val="both"/>
        <w:rPr>
          <w:rFonts w:ascii="Palatino Linotype" w:hAnsi="Palatino Linotype"/>
          <w:color w:val="000000" w:themeColor="text1"/>
        </w:rPr>
      </w:pPr>
      <w:r w:rsidRPr="003A787D">
        <w:rPr>
          <w:rFonts w:ascii="Palatino Linotype" w:hAnsi="Palatino Linotype"/>
          <w:color w:val="000000" w:themeColor="text1"/>
        </w:rPr>
        <w:t xml:space="preserve">Por su parte, </w:t>
      </w:r>
      <w:r w:rsidRPr="003A787D">
        <w:rPr>
          <w:rFonts w:ascii="Palatino Linotype" w:eastAsia="Palatino Linotype" w:hAnsi="Palatino Linotype" w:cs="Palatino Linotype"/>
        </w:rPr>
        <w:t>la Resolución Miscelánea Fiscal para 2022, establece en la regla 2.1.37, el procedimiento que debe observarse para la obtención de la ‘Opinión del cumplimiento de obligaciones fiscales’, a saber:</w:t>
      </w:r>
    </w:p>
    <w:p w14:paraId="3FCE2C38" w14:textId="77777777" w:rsidR="00EF10EB" w:rsidRPr="003A787D" w:rsidRDefault="00EF10EB" w:rsidP="00EF10EB">
      <w:pPr>
        <w:pStyle w:val="Prrafodelista"/>
        <w:tabs>
          <w:tab w:val="left" w:pos="426"/>
        </w:tabs>
        <w:spacing w:before="240" w:after="240" w:line="360" w:lineRule="auto"/>
        <w:ind w:left="0" w:right="51"/>
        <w:jc w:val="both"/>
        <w:rPr>
          <w:rFonts w:ascii="Palatino Linotype" w:hAnsi="Palatino Linotype"/>
          <w:color w:val="000000" w:themeColor="text1"/>
        </w:rPr>
      </w:pPr>
    </w:p>
    <w:p w14:paraId="2BD43E09" w14:textId="261A8CF3" w:rsidR="00DA4F1C" w:rsidRPr="003A787D" w:rsidRDefault="00DA4F1C" w:rsidP="00DA4F1C">
      <w:pPr>
        <w:pStyle w:val="Prrafodelista"/>
        <w:tabs>
          <w:tab w:val="left" w:pos="426"/>
        </w:tabs>
        <w:spacing w:before="240" w:after="240" w:line="276" w:lineRule="auto"/>
        <w:ind w:left="567" w:right="567"/>
        <w:jc w:val="both"/>
        <w:rPr>
          <w:rFonts w:ascii="Palatino Linotype" w:hAnsi="Palatino Linotype"/>
          <w:i/>
          <w:color w:val="000000" w:themeColor="text1"/>
          <w:sz w:val="22"/>
        </w:rPr>
      </w:pPr>
      <w:r w:rsidRPr="003A787D">
        <w:rPr>
          <w:rFonts w:ascii="Palatino Linotype" w:hAnsi="Palatino Linotype"/>
          <w:i/>
          <w:color w:val="000000" w:themeColor="text1"/>
          <w:sz w:val="22"/>
        </w:rPr>
        <w:t>“</w:t>
      </w:r>
      <w:r w:rsidRPr="003A787D">
        <w:rPr>
          <w:rFonts w:ascii="Palatino Linotype" w:hAnsi="Palatino Linotype"/>
          <w:b/>
          <w:i/>
          <w:color w:val="000000" w:themeColor="text1"/>
          <w:sz w:val="22"/>
        </w:rPr>
        <w:t>Procedimiento que debe observarse para la obtención de la opinión del cumplimiento de obligaciones fiscales</w:t>
      </w:r>
    </w:p>
    <w:p w14:paraId="639DFB40" w14:textId="77777777" w:rsidR="00DA4F1C" w:rsidRPr="003A787D" w:rsidRDefault="00DA4F1C" w:rsidP="00DA4F1C">
      <w:pPr>
        <w:pStyle w:val="Prrafodelista"/>
        <w:tabs>
          <w:tab w:val="left" w:pos="426"/>
        </w:tabs>
        <w:spacing w:before="240" w:after="240" w:line="276" w:lineRule="auto"/>
        <w:ind w:left="567" w:right="567"/>
        <w:jc w:val="both"/>
        <w:rPr>
          <w:rFonts w:ascii="Palatino Linotype" w:hAnsi="Palatino Linotype"/>
          <w:i/>
          <w:color w:val="000000" w:themeColor="text1"/>
          <w:sz w:val="22"/>
        </w:rPr>
      </w:pPr>
    </w:p>
    <w:p w14:paraId="3EBCB033" w14:textId="631828F6" w:rsidR="00DA4F1C" w:rsidRPr="003A787D" w:rsidRDefault="00DA4F1C" w:rsidP="00DA4F1C">
      <w:pPr>
        <w:pStyle w:val="Prrafodelista"/>
        <w:tabs>
          <w:tab w:val="left" w:pos="426"/>
        </w:tabs>
        <w:spacing w:before="240" w:after="240" w:line="276" w:lineRule="auto"/>
        <w:ind w:left="567" w:right="567"/>
        <w:jc w:val="both"/>
        <w:rPr>
          <w:rFonts w:ascii="Palatino Linotype" w:hAnsi="Palatino Linotype"/>
          <w:i/>
          <w:color w:val="000000" w:themeColor="text1"/>
          <w:sz w:val="22"/>
        </w:rPr>
      </w:pPr>
      <w:r w:rsidRPr="003A787D">
        <w:rPr>
          <w:rFonts w:ascii="Palatino Linotype" w:hAnsi="Palatino Linotype"/>
          <w:i/>
          <w:color w:val="000000" w:themeColor="text1"/>
          <w:sz w:val="22"/>
        </w:rPr>
        <w:t>Los contribuyentes que para realizar algún trámite fiscal u obtener alguna autorización en materia de impuestos internos, comercio exterior o para el otorgamiento de subsidios y estímulos, requieran obtener la opinión del cumplimiento de obligaciones fiscales en términos del artículo 32-D del CFF, deberán realizar el siguiente procedimiento:</w:t>
      </w:r>
    </w:p>
    <w:p w14:paraId="30E851B7" w14:textId="264517FC" w:rsidR="00DA4F1C" w:rsidRPr="003A787D" w:rsidRDefault="00DA4F1C" w:rsidP="00DA4F1C">
      <w:pPr>
        <w:pStyle w:val="Prrafodelista"/>
        <w:tabs>
          <w:tab w:val="left" w:pos="426"/>
        </w:tabs>
        <w:spacing w:before="240" w:after="240" w:line="276" w:lineRule="auto"/>
        <w:ind w:left="851" w:right="567"/>
        <w:jc w:val="both"/>
        <w:rPr>
          <w:rFonts w:ascii="Palatino Linotype" w:hAnsi="Palatino Linotype"/>
          <w:i/>
          <w:color w:val="000000" w:themeColor="text1"/>
          <w:sz w:val="22"/>
        </w:rPr>
      </w:pPr>
      <w:r w:rsidRPr="003A787D">
        <w:rPr>
          <w:rFonts w:ascii="Palatino Linotype" w:hAnsi="Palatino Linotype"/>
          <w:b/>
          <w:i/>
          <w:color w:val="000000" w:themeColor="text1"/>
          <w:sz w:val="22"/>
        </w:rPr>
        <w:lastRenderedPageBreak/>
        <w:t>I.</w:t>
      </w:r>
      <w:r w:rsidRPr="003A787D">
        <w:rPr>
          <w:rFonts w:ascii="Palatino Linotype" w:hAnsi="Palatino Linotype"/>
          <w:i/>
          <w:color w:val="000000" w:themeColor="text1"/>
          <w:sz w:val="22"/>
        </w:rPr>
        <w:t xml:space="preserve"> Ingresar a través del Portal del SAT, seleccionando la opción “Otros trámites y servicios”, posteriormente “Obtén tu opinión de cumplimiento de obligaciones fiscales”.</w:t>
      </w:r>
    </w:p>
    <w:p w14:paraId="4A6F2E03" w14:textId="048B847B" w:rsidR="00DA4F1C" w:rsidRPr="003A787D" w:rsidRDefault="00DA4F1C" w:rsidP="00DA4F1C">
      <w:pPr>
        <w:pStyle w:val="Prrafodelista"/>
        <w:tabs>
          <w:tab w:val="left" w:pos="426"/>
        </w:tabs>
        <w:spacing w:before="240" w:after="240" w:line="276" w:lineRule="auto"/>
        <w:ind w:left="851" w:right="567"/>
        <w:jc w:val="both"/>
        <w:rPr>
          <w:rFonts w:ascii="Palatino Linotype" w:hAnsi="Palatino Linotype"/>
          <w:i/>
          <w:color w:val="000000" w:themeColor="text1"/>
          <w:sz w:val="22"/>
        </w:rPr>
      </w:pPr>
      <w:r w:rsidRPr="003A787D">
        <w:rPr>
          <w:rFonts w:ascii="Palatino Linotype" w:hAnsi="Palatino Linotype"/>
          <w:b/>
          <w:i/>
          <w:color w:val="000000" w:themeColor="text1"/>
          <w:sz w:val="22"/>
        </w:rPr>
        <w:t xml:space="preserve">II. </w:t>
      </w:r>
      <w:r w:rsidRPr="003A787D">
        <w:rPr>
          <w:rFonts w:ascii="Palatino Linotype" w:hAnsi="Palatino Linotype"/>
          <w:i/>
          <w:color w:val="000000" w:themeColor="text1"/>
          <w:sz w:val="22"/>
        </w:rPr>
        <w:t xml:space="preserve">Capturar clave en el RFC y Contraseña o </w:t>
      </w:r>
      <w:proofErr w:type="spellStart"/>
      <w:r w:rsidRPr="003A787D">
        <w:rPr>
          <w:rFonts w:ascii="Palatino Linotype" w:hAnsi="Palatino Linotype"/>
          <w:i/>
          <w:color w:val="000000" w:themeColor="text1"/>
          <w:sz w:val="22"/>
        </w:rPr>
        <w:t>e.firma</w:t>
      </w:r>
      <w:proofErr w:type="spellEnd"/>
      <w:r w:rsidRPr="003A787D">
        <w:rPr>
          <w:rFonts w:ascii="Palatino Linotype" w:hAnsi="Palatino Linotype"/>
          <w:i/>
          <w:color w:val="000000" w:themeColor="text1"/>
          <w:sz w:val="22"/>
        </w:rPr>
        <w:t>.</w:t>
      </w:r>
    </w:p>
    <w:p w14:paraId="4EA0A94B" w14:textId="31E38106" w:rsidR="00DA4F1C" w:rsidRPr="003A787D" w:rsidRDefault="00DA4F1C" w:rsidP="00DA4F1C">
      <w:pPr>
        <w:pStyle w:val="Prrafodelista"/>
        <w:tabs>
          <w:tab w:val="left" w:pos="426"/>
        </w:tabs>
        <w:spacing w:before="240" w:after="240" w:line="276" w:lineRule="auto"/>
        <w:ind w:left="851" w:right="567"/>
        <w:jc w:val="both"/>
        <w:rPr>
          <w:rFonts w:ascii="Palatino Linotype" w:hAnsi="Palatino Linotype"/>
          <w:i/>
          <w:color w:val="000000" w:themeColor="text1"/>
          <w:sz w:val="22"/>
        </w:rPr>
      </w:pPr>
      <w:r w:rsidRPr="003A787D">
        <w:rPr>
          <w:rFonts w:ascii="Palatino Linotype" w:hAnsi="Palatino Linotype"/>
          <w:b/>
          <w:i/>
          <w:color w:val="000000" w:themeColor="text1"/>
          <w:sz w:val="22"/>
        </w:rPr>
        <w:t>III.</w:t>
      </w:r>
      <w:r w:rsidRPr="003A787D">
        <w:rPr>
          <w:rFonts w:ascii="Palatino Linotype" w:hAnsi="Palatino Linotype"/>
          <w:i/>
          <w:color w:val="000000" w:themeColor="text1"/>
          <w:sz w:val="22"/>
        </w:rPr>
        <w:t xml:space="preserve"> Una vez elegida la opción, el contribuyente podrá imprimir la opinión del cumplimiento de obligaciones fiscales.</w:t>
      </w:r>
    </w:p>
    <w:p w14:paraId="276D946A" w14:textId="1A272158" w:rsidR="00DA4F1C" w:rsidRPr="003A787D" w:rsidRDefault="00DA4F1C" w:rsidP="00DA4F1C">
      <w:pPr>
        <w:pStyle w:val="Prrafodelista"/>
        <w:tabs>
          <w:tab w:val="left" w:pos="426"/>
        </w:tabs>
        <w:spacing w:before="240" w:after="240" w:line="276" w:lineRule="auto"/>
        <w:ind w:left="851" w:right="567"/>
        <w:jc w:val="both"/>
        <w:rPr>
          <w:rFonts w:ascii="Palatino Linotype" w:hAnsi="Palatino Linotype"/>
          <w:i/>
          <w:color w:val="000000" w:themeColor="text1"/>
          <w:sz w:val="22"/>
        </w:rPr>
      </w:pPr>
      <w:r w:rsidRPr="003A787D">
        <w:rPr>
          <w:rFonts w:ascii="Palatino Linotype" w:hAnsi="Palatino Linotype"/>
          <w:b/>
          <w:i/>
          <w:color w:val="000000" w:themeColor="text1"/>
          <w:sz w:val="22"/>
        </w:rPr>
        <w:t>IV.</w:t>
      </w:r>
      <w:r w:rsidRPr="003A787D">
        <w:rPr>
          <w:rFonts w:ascii="Palatino Linotype" w:hAnsi="Palatino Linotype"/>
          <w:i/>
          <w:color w:val="000000" w:themeColor="text1"/>
          <w:sz w:val="22"/>
        </w:rPr>
        <w:t xml:space="preserve"> Asimismo, el contribuyente, proveedor o prestador de servicio podrá autorizar a través del Portal del SAT para que un tercero con el que desee establecer relaciones contractuales, pueda consultar su opinión del cumplimiento.”</w:t>
      </w:r>
    </w:p>
    <w:p w14:paraId="085CAA47" w14:textId="77777777" w:rsidR="00DA4F1C" w:rsidRPr="003A787D" w:rsidRDefault="00DA4F1C" w:rsidP="00EF10EB">
      <w:pPr>
        <w:pStyle w:val="Prrafodelista"/>
        <w:tabs>
          <w:tab w:val="left" w:pos="426"/>
        </w:tabs>
        <w:spacing w:before="240" w:after="240" w:line="360" w:lineRule="auto"/>
        <w:ind w:left="0" w:right="51"/>
        <w:jc w:val="both"/>
        <w:rPr>
          <w:rFonts w:ascii="Palatino Linotype" w:hAnsi="Palatino Linotype"/>
          <w:color w:val="000000" w:themeColor="text1"/>
        </w:rPr>
      </w:pPr>
    </w:p>
    <w:p w14:paraId="15BB754A" w14:textId="31EFBCCE" w:rsidR="00EF10EB" w:rsidRPr="003A787D" w:rsidRDefault="00DA4F1C" w:rsidP="003E1087">
      <w:pPr>
        <w:pStyle w:val="Prrafodelista"/>
        <w:numPr>
          <w:ilvl w:val="0"/>
          <w:numId w:val="1"/>
        </w:numPr>
        <w:tabs>
          <w:tab w:val="left" w:pos="426"/>
        </w:tabs>
        <w:spacing w:before="240" w:after="240" w:line="360" w:lineRule="auto"/>
        <w:ind w:right="51"/>
        <w:jc w:val="both"/>
        <w:rPr>
          <w:rFonts w:ascii="Palatino Linotype" w:hAnsi="Palatino Linotype"/>
          <w:color w:val="000000" w:themeColor="text1"/>
        </w:rPr>
      </w:pPr>
      <w:r w:rsidRPr="003A787D">
        <w:rPr>
          <w:rFonts w:ascii="Palatino Linotype" w:hAnsi="Palatino Linotype"/>
          <w:color w:val="000000" w:themeColor="text1"/>
        </w:rPr>
        <w:t>No está de más referir que la ‘Opinión del cumplimiento de obligaciones fiscales’ podrá generarse en los siguientes sentidos:</w:t>
      </w:r>
    </w:p>
    <w:p w14:paraId="552AF490" w14:textId="75AF11D1" w:rsidR="00DA4F1C" w:rsidRPr="003A787D" w:rsidRDefault="00DA4F1C" w:rsidP="00DA4F1C">
      <w:pPr>
        <w:pStyle w:val="Prrafodelista"/>
        <w:numPr>
          <w:ilvl w:val="1"/>
          <w:numId w:val="39"/>
        </w:numPr>
        <w:tabs>
          <w:tab w:val="left" w:pos="426"/>
        </w:tabs>
        <w:spacing w:before="240" w:after="240" w:line="360" w:lineRule="auto"/>
        <w:ind w:left="1134" w:right="51"/>
        <w:jc w:val="both"/>
        <w:rPr>
          <w:rFonts w:ascii="Palatino Linotype" w:hAnsi="Palatino Linotype"/>
          <w:color w:val="000000" w:themeColor="text1"/>
        </w:rPr>
      </w:pPr>
      <w:r w:rsidRPr="003A787D">
        <w:rPr>
          <w:rFonts w:ascii="Palatino Linotype" w:hAnsi="Palatino Linotype"/>
          <w:b/>
          <w:color w:val="000000" w:themeColor="text1"/>
        </w:rPr>
        <w:t>Positiva.-</w:t>
      </w:r>
      <w:r w:rsidRPr="003A787D">
        <w:rPr>
          <w:rFonts w:ascii="Palatino Linotype" w:hAnsi="Palatino Linotype"/>
          <w:color w:val="000000" w:themeColor="text1"/>
        </w:rPr>
        <w:t xml:space="preserve"> Cuando el </w:t>
      </w:r>
      <w:r w:rsidRPr="003A787D">
        <w:rPr>
          <w:rFonts w:ascii="Palatino Linotype" w:hAnsi="Palatino Linotype"/>
          <w:color w:val="000000" w:themeColor="text1"/>
          <w:lang w:val="es-ES"/>
        </w:rPr>
        <w:t>contribuyente esté inscrito y al corriente en el cumplimiento de las obligaciones que se consideran en los numerales 1 a 12 de esta regla.</w:t>
      </w:r>
    </w:p>
    <w:p w14:paraId="61E6177E" w14:textId="32940E35" w:rsidR="00DA4F1C" w:rsidRPr="003A787D" w:rsidRDefault="00DA4F1C" w:rsidP="00DA4F1C">
      <w:pPr>
        <w:pStyle w:val="Prrafodelista"/>
        <w:numPr>
          <w:ilvl w:val="1"/>
          <w:numId w:val="39"/>
        </w:numPr>
        <w:tabs>
          <w:tab w:val="left" w:pos="426"/>
        </w:tabs>
        <w:spacing w:before="240" w:after="240" w:line="360" w:lineRule="auto"/>
        <w:ind w:left="1134" w:right="51"/>
        <w:jc w:val="both"/>
        <w:rPr>
          <w:rFonts w:ascii="Palatino Linotype" w:hAnsi="Palatino Linotype"/>
          <w:color w:val="000000" w:themeColor="text1"/>
        </w:rPr>
      </w:pPr>
      <w:r w:rsidRPr="003A787D">
        <w:rPr>
          <w:rFonts w:ascii="Palatino Linotype" w:hAnsi="Palatino Linotype"/>
          <w:b/>
          <w:color w:val="000000" w:themeColor="text1"/>
          <w:lang w:val="es-ES"/>
        </w:rPr>
        <w:t>Negativa.-</w:t>
      </w:r>
      <w:r w:rsidRPr="003A787D">
        <w:rPr>
          <w:rFonts w:ascii="Palatino Linotype" w:hAnsi="Palatino Linotype"/>
          <w:color w:val="000000" w:themeColor="text1"/>
          <w:lang w:val="es-ES"/>
        </w:rPr>
        <w:t xml:space="preserve"> Cuando </w:t>
      </w:r>
      <w:r w:rsidRPr="003A787D">
        <w:rPr>
          <w:rFonts w:ascii="Palatino Linotype" w:eastAsia="Palatino Linotype" w:hAnsi="Palatino Linotype" w:cs="Palatino Linotype"/>
        </w:rPr>
        <w:t>el contribuyente no esté al corriente en el cumplimiento de las obligaciones que se consideran en los numerales 1 a 12 de esta regla.</w:t>
      </w:r>
    </w:p>
    <w:p w14:paraId="74F1CBE3" w14:textId="416DBBCB" w:rsidR="00DA4F1C" w:rsidRPr="003A787D" w:rsidRDefault="00DA4F1C" w:rsidP="00DA4F1C">
      <w:pPr>
        <w:pStyle w:val="Prrafodelista"/>
        <w:numPr>
          <w:ilvl w:val="1"/>
          <w:numId w:val="39"/>
        </w:numPr>
        <w:tabs>
          <w:tab w:val="left" w:pos="426"/>
        </w:tabs>
        <w:spacing w:before="240" w:after="240" w:line="360" w:lineRule="auto"/>
        <w:ind w:left="1134" w:right="51"/>
        <w:jc w:val="both"/>
        <w:rPr>
          <w:rFonts w:ascii="Palatino Linotype" w:hAnsi="Palatino Linotype"/>
          <w:color w:val="000000" w:themeColor="text1"/>
        </w:rPr>
      </w:pPr>
      <w:r w:rsidRPr="003A787D">
        <w:rPr>
          <w:rFonts w:ascii="Palatino Linotype" w:eastAsia="Palatino Linotype" w:hAnsi="Palatino Linotype" w:cs="Palatino Linotype"/>
          <w:b/>
        </w:rPr>
        <w:t>Inscrito sin obligaciones.-</w:t>
      </w:r>
      <w:r w:rsidRPr="003A787D">
        <w:rPr>
          <w:rFonts w:ascii="Palatino Linotype" w:eastAsia="Palatino Linotype" w:hAnsi="Palatino Linotype" w:cs="Palatino Linotype"/>
        </w:rPr>
        <w:t xml:space="preserve"> Cuando el contribuyente está inscrito en el RFC pero no tiene obligaciones fiscales.</w:t>
      </w:r>
    </w:p>
    <w:p w14:paraId="63833B01" w14:textId="77777777" w:rsidR="00EF10EB" w:rsidRPr="003A787D" w:rsidRDefault="00EF10EB" w:rsidP="00EF10EB">
      <w:pPr>
        <w:pStyle w:val="Prrafodelista"/>
        <w:tabs>
          <w:tab w:val="left" w:pos="426"/>
        </w:tabs>
        <w:spacing w:before="240" w:after="240" w:line="360" w:lineRule="auto"/>
        <w:ind w:left="0" w:right="51"/>
        <w:jc w:val="both"/>
        <w:rPr>
          <w:rFonts w:ascii="Palatino Linotype" w:hAnsi="Palatino Linotype"/>
          <w:color w:val="000000" w:themeColor="text1"/>
        </w:rPr>
      </w:pPr>
    </w:p>
    <w:p w14:paraId="03F4ABA3" w14:textId="2AC914E8" w:rsidR="004272F9" w:rsidRPr="003A787D" w:rsidRDefault="00EB2849" w:rsidP="004272F9">
      <w:pPr>
        <w:pStyle w:val="Prrafodelista"/>
        <w:numPr>
          <w:ilvl w:val="0"/>
          <w:numId w:val="1"/>
        </w:numPr>
        <w:tabs>
          <w:tab w:val="left" w:pos="426"/>
        </w:tabs>
        <w:spacing w:before="240" w:after="240" w:line="360" w:lineRule="auto"/>
        <w:ind w:right="51"/>
        <w:jc w:val="both"/>
        <w:rPr>
          <w:rFonts w:ascii="Palatino Linotype" w:hAnsi="Palatino Linotype"/>
          <w:color w:val="000000" w:themeColor="text1"/>
        </w:rPr>
      </w:pPr>
      <w:r w:rsidRPr="003A787D">
        <w:rPr>
          <w:rFonts w:ascii="Palatino Linotype" w:hAnsi="Palatino Linotype"/>
          <w:color w:val="000000" w:themeColor="text1"/>
        </w:rPr>
        <w:t xml:space="preserve">Dicho lo anterior, toda vez que el </w:t>
      </w:r>
      <w:r w:rsidRPr="003A787D">
        <w:rPr>
          <w:rFonts w:ascii="Palatino Linotype" w:hAnsi="Palatino Linotype"/>
          <w:b/>
          <w:bCs/>
          <w:color w:val="000000" w:themeColor="text1"/>
        </w:rPr>
        <w:t>SUJETO OBLIGADO</w:t>
      </w:r>
      <w:r w:rsidRPr="003A787D">
        <w:rPr>
          <w:rFonts w:ascii="Palatino Linotype" w:hAnsi="Palatino Linotype"/>
          <w:color w:val="000000" w:themeColor="text1"/>
        </w:rPr>
        <w:t xml:space="preserve"> entregó en respuesta la </w:t>
      </w:r>
      <w:r w:rsidR="005237CA" w:rsidRPr="003A787D">
        <w:rPr>
          <w:rFonts w:ascii="Palatino Linotype" w:hAnsi="Palatino Linotype"/>
          <w:color w:val="000000" w:themeColor="text1"/>
        </w:rPr>
        <w:t>‘Opinión del cumplimiento de obligaciones fiscales’ emitida por el Servicio de Administración Tributaria, practicada el quince (15) de febrero de dos mil veintidós, y emitida en sentido negativo, este Organismo Garante concluye que se colmó el requerimiento del particular.</w:t>
      </w:r>
    </w:p>
    <w:p w14:paraId="7F33D860" w14:textId="77777777" w:rsidR="005237CA" w:rsidRPr="003A787D" w:rsidRDefault="005237CA" w:rsidP="005237CA">
      <w:pPr>
        <w:pStyle w:val="Prrafodelista"/>
        <w:tabs>
          <w:tab w:val="left" w:pos="426"/>
        </w:tabs>
        <w:spacing w:before="240" w:after="240" w:line="360" w:lineRule="auto"/>
        <w:ind w:left="0" w:right="51"/>
        <w:jc w:val="both"/>
        <w:rPr>
          <w:rFonts w:ascii="Palatino Linotype" w:hAnsi="Palatino Linotype"/>
          <w:color w:val="000000" w:themeColor="text1"/>
        </w:rPr>
      </w:pPr>
    </w:p>
    <w:p w14:paraId="6720EEDD" w14:textId="72E77735" w:rsidR="005237CA" w:rsidRPr="003A787D" w:rsidRDefault="005237CA" w:rsidP="004272F9">
      <w:pPr>
        <w:pStyle w:val="Prrafodelista"/>
        <w:numPr>
          <w:ilvl w:val="0"/>
          <w:numId w:val="1"/>
        </w:numPr>
        <w:tabs>
          <w:tab w:val="left" w:pos="426"/>
        </w:tabs>
        <w:spacing w:before="240" w:after="240" w:line="360" w:lineRule="auto"/>
        <w:ind w:right="51"/>
        <w:jc w:val="both"/>
        <w:rPr>
          <w:rFonts w:ascii="Palatino Linotype" w:hAnsi="Palatino Linotype"/>
          <w:color w:val="000000" w:themeColor="text1"/>
        </w:rPr>
      </w:pPr>
      <w:r w:rsidRPr="003A787D">
        <w:rPr>
          <w:rFonts w:ascii="Palatino Linotype" w:hAnsi="Palatino Linotype"/>
          <w:color w:val="000000" w:themeColor="text1"/>
        </w:rPr>
        <w:lastRenderedPageBreak/>
        <w:t xml:space="preserve">Por lo tanto, por cuanto hace al agravio relacionado con la obligación de contar con la ‘Opinión del cumplimiento de obligaciones fiscales’, debe determinarse </w:t>
      </w:r>
      <w:r w:rsidRPr="003A787D">
        <w:rPr>
          <w:rFonts w:ascii="Palatino Linotype" w:hAnsi="Palatino Linotype"/>
          <w:b/>
          <w:bCs/>
          <w:color w:val="000000" w:themeColor="text1"/>
        </w:rPr>
        <w:t>infundado</w:t>
      </w:r>
      <w:r w:rsidRPr="003A787D">
        <w:rPr>
          <w:rFonts w:ascii="Palatino Linotype" w:hAnsi="Palatino Linotype"/>
          <w:color w:val="000000" w:themeColor="text1"/>
        </w:rPr>
        <w:t xml:space="preserve">; pues, se insiste, el </w:t>
      </w:r>
      <w:r w:rsidRPr="003A787D">
        <w:rPr>
          <w:rFonts w:ascii="Palatino Linotype" w:hAnsi="Palatino Linotype"/>
          <w:b/>
          <w:bCs/>
          <w:color w:val="000000" w:themeColor="text1"/>
        </w:rPr>
        <w:t>SUJETO OBLIGADO</w:t>
      </w:r>
      <w:r w:rsidRPr="003A787D">
        <w:rPr>
          <w:rFonts w:ascii="Palatino Linotype" w:hAnsi="Palatino Linotype"/>
          <w:color w:val="000000" w:themeColor="text1"/>
        </w:rPr>
        <w:t xml:space="preserve"> hizo entrega de la información solicitada.</w:t>
      </w:r>
    </w:p>
    <w:p w14:paraId="3A899658" w14:textId="4B598F60" w:rsidR="004272F9" w:rsidRPr="003A787D" w:rsidRDefault="004272F9" w:rsidP="004272F9">
      <w:pPr>
        <w:pStyle w:val="Prrafodelista"/>
        <w:tabs>
          <w:tab w:val="left" w:pos="426"/>
        </w:tabs>
        <w:spacing w:before="240" w:after="240" w:line="360" w:lineRule="auto"/>
        <w:ind w:left="0" w:right="51"/>
        <w:jc w:val="both"/>
        <w:rPr>
          <w:rFonts w:ascii="Palatino Linotype" w:hAnsi="Palatino Linotype"/>
          <w:color w:val="000000" w:themeColor="text1"/>
        </w:rPr>
      </w:pPr>
    </w:p>
    <w:p w14:paraId="45DE34CF" w14:textId="3A314908" w:rsidR="004272F9" w:rsidRPr="003A787D" w:rsidRDefault="002D57BA" w:rsidP="002D57BA">
      <w:pPr>
        <w:pStyle w:val="Prrafodelista"/>
        <w:tabs>
          <w:tab w:val="left" w:pos="426"/>
        </w:tabs>
        <w:spacing w:before="240" w:after="240" w:line="360" w:lineRule="auto"/>
        <w:ind w:left="0" w:right="51"/>
        <w:jc w:val="both"/>
        <w:outlineLvl w:val="2"/>
        <w:rPr>
          <w:rFonts w:ascii="Palatino Linotype" w:hAnsi="Palatino Linotype"/>
          <w:b/>
          <w:bCs/>
          <w:color w:val="000000" w:themeColor="text1"/>
        </w:rPr>
      </w:pPr>
      <w:r w:rsidRPr="003A787D">
        <w:rPr>
          <w:rFonts w:ascii="Palatino Linotype" w:hAnsi="Palatino Linotype"/>
          <w:b/>
          <w:bCs/>
          <w:color w:val="000000" w:themeColor="text1"/>
        </w:rPr>
        <w:t xml:space="preserve">V. Del </w:t>
      </w:r>
      <w:r w:rsidR="00755364" w:rsidRPr="003A787D">
        <w:rPr>
          <w:rFonts w:ascii="Palatino Linotype" w:hAnsi="Palatino Linotype"/>
          <w:b/>
          <w:bCs/>
          <w:color w:val="000000" w:themeColor="text1"/>
        </w:rPr>
        <w:t xml:space="preserve">Ayuntamiento de Tenancingo </w:t>
      </w:r>
      <w:r w:rsidRPr="003A787D">
        <w:rPr>
          <w:rFonts w:ascii="Palatino Linotype" w:hAnsi="Palatino Linotype"/>
          <w:b/>
          <w:bCs/>
          <w:color w:val="000000" w:themeColor="text1"/>
        </w:rPr>
        <w:t>y</w:t>
      </w:r>
      <w:r w:rsidR="00755364" w:rsidRPr="003A787D">
        <w:rPr>
          <w:rFonts w:ascii="Palatino Linotype" w:hAnsi="Palatino Linotype"/>
          <w:b/>
          <w:bCs/>
          <w:color w:val="000000" w:themeColor="text1"/>
        </w:rPr>
        <w:t xml:space="preserve"> sus</w:t>
      </w:r>
      <w:r w:rsidRPr="003A787D">
        <w:rPr>
          <w:rFonts w:ascii="Palatino Linotype" w:hAnsi="Palatino Linotype"/>
          <w:b/>
          <w:bCs/>
          <w:color w:val="000000" w:themeColor="text1"/>
        </w:rPr>
        <w:t xml:space="preserve"> organismos descentralizados.</w:t>
      </w:r>
    </w:p>
    <w:p w14:paraId="31BF3F20" w14:textId="77777777" w:rsidR="004272F9" w:rsidRPr="003A787D" w:rsidRDefault="004272F9" w:rsidP="004272F9">
      <w:pPr>
        <w:pStyle w:val="Prrafodelista"/>
        <w:tabs>
          <w:tab w:val="left" w:pos="426"/>
        </w:tabs>
        <w:spacing w:before="240" w:after="240" w:line="360" w:lineRule="auto"/>
        <w:ind w:left="0" w:right="51"/>
        <w:jc w:val="both"/>
        <w:rPr>
          <w:rFonts w:ascii="Palatino Linotype" w:hAnsi="Palatino Linotype"/>
          <w:color w:val="000000" w:themeColor="text1"/>
        </w:rPr>
      </w:pPr>
    </w:p>
    <w:p w14:paraId="27416FFF" w14:textId="71623CEA" w:rsidR="004272F9" w:rsidRPr="003A787D" w:rsidRDefault="004272F9" w:rsidP="004272F9">
      <w:pPr>
        <w:pStyle w:val="Prrafodelista"/>
        <w:numPr>
          <w:ilvl w:val="0"/>
          <w:numId w:val="1"/>
        </w:numPr>
        <w:tabs>
          <w:tab w:val="left" w:pos="426"/>
        </w:tabs>
        <w:spacing w:before="240" w:after="240" w:line="360" w:lineRule="auto"/>
        <w:ind w:right="51"/>
        <w:jc w:val="both"/>
        <w:rPr>
          <w:rFonts w:ascii="Palatino Linotype" w:hAnsi="Palatino Linotype"/>
          <w:color w:val="000000" w:themeColor="text1"/>
        </w:rPr>
      </w:pPr>
      <w:r w:rsidRPr="003A787D">
        <w:rPr>
          <w:rFonts w:ascii="Palatino Linotype" w:hAnsi="Palatino Linotype"/>
          <w:color w:val="000000" w:themeColor="text1"/>
        </w:rPr>
        <w:t xml:space="preserve">No debe ignorarse que el particular, a través de la solicitud de información </w:t>
      </w:r>
      <w:r w:rsidRPr="003A787D">
        <w:rPr>
          <w:rFonts w:ascii="Palatino Linotype" w:hAnsi="Palatino Linotype"/>
          <w:b/>
          <w:color w:val="000000" w:themeColor="text1"/>
        </w:rPr>
        <w:t>00002/DIFTENANCI/IP/2022</w:t>
      </w:r>
      <w:r w:rsidRPr="003A787D">
        <w:rPr>
          <w:rFonts w:ascii="Palatino Linotype" w:hAnsi="Palatino Linotype"/>
          <w:color w:val="000000" w:themeColor="text1"/>
        </w:rPr>
        <w:t>, señaló que requería la información no sólo del Sistema Municipal para el Desarrollo Integral de la Familia de Tenancingo, sino también de</w:t>
      </w:r>
      <w:r w:rsidR="005237CA" w:rsidRPr="003A787D">
        <w:rPr>
          <w:rFonts w:ascii="Palatino Linotype" w:hAnsi="Palatino Linotype"/>
          <w:color w:val="000000" w:themeColor="text1"/>
        </w:rPr>
        <w:t xml:space="preserve">l Ayuntamiento de Tenancingo y sus demás </w:t>
      </w:r>
      <w:r w:rsidRPr="003A787D">
        <w:rPr>
          <w:rFonts w:ascii="Palatino Linotype" w:hAnsi="Palatino Linotype"/>
          <w:color w:val="000000" w:themeColor="text1"/>
        </w:rPr>
        <w:t>organismos descentralizados</w:t>
      </w:r>
      <w:r w:rsidR="005237CA" w:rsidRPr="003A787D">
        <w:rPr>
          <w:rFonts w:ascii="Palatino Linotype" w:hAnsi="Palatino Linotype"/>
          <w:color w:val="000000" w:themeColor="text1"/>
        </w:rPr>
        <w:t>.</w:t>
      </w:r>
    </w:p>
    <w:p w14:paraId="5C94D8ED" w14:textId="77777777" w:rsidR="004272F9" w:rsidRPr="003A787D" w:rsidRDefault="004272F9" w:rsidP="004272F9">
      <w:pPr>
        <w:pStyle w:val="Prrafodelista"/>
        <w:tabs>
          <w:tab w:val="left" w:pos="426"/>
        </w:tabs>
        <w:spacing w:before="240" w:after="240" w:line="360" w:lineRule="auto"/>
        <w:ind w:left="0" w:right="51"/>
        <w:jc w:val="both"/>
        <w:rPr>
          <w:rFonts w:ascii="Palatino Linotype" w:hAnsi="Palatino Linotype"/>
          <w:color w:val="000000" w:themeColor="text1"/>
        </w:rPr>
      </w:pPr>
    </w:p>
    <w:p w14:paraId="5552EAC4" w14:textId="77777777" w:rsidR="004272F9" w:rsidRPr="003A787D" w:rsidRDefault="004272F9" w:rsidP="004272F9">
      <w:pPr>
        <w:pStyle w:val="Prrafodelista"/>
        <w:numPr>
          <w:ilvl w:val="0"/>
          <w:numId w:val="1"/>
        </w:numPr>
        <w:tabs>
          <w:tab w:val="left" w:pos="426"/>
        </w:tabs>
        <w:spacing w:before="240" w:after="240" w:line="360" w:lineRule="auto"/>
        <w:ind w:right="51"/>
        <w:jc w:val="both"/>
        <w:rPr>
          <w:rFonts w:ascii="Palatino Linotype" w:hAnsi="Palatino Linotype"/>
          <w:color w:val="000000" w:themeColor="text1"/>
        </w:rPr>
      </w:pPr>
      <w:r w:rsidRPr="003A787D">
        <w:rPr>
          <w:rFonts w:ascii="Palatino Linotype" w:hAnsi="Palatino Linotype"/>
          <w:color w:val="000000" w:themeColor="text1"/>
        </w:rPr>
        <w:t>Así las cosas, conviene recordar que los artículos 3, fracción XLI, y 23 de la Ley de Transparencia y Acceso a la Información Pública del Estado de México y Municipios, reconocen como Sujetos Obligados a cualquier autoridad, entidad, órgano y organismo de los Poderes Ejecutivo, Legislativo y Judicial, órganos autónomos, partidos políticos, fideicomisos y fondos públicos estatales y municipales, así como del gobierno y de la administración pública municipal y sus organismos descentralizados, asimismo de cualquier persona física, jurídico colectiva o sindicato que reciba y ejerza recursos públicos o realice actos de autoridad en el ámbito estatal y municipal, que deba cumplir con las obligaciones previstas en la Ley de Transparencia.</w:t>
      </w:r>
    </w:p>
    <w:p w14:paraId="690545E8" w14:textId="77777777" w:rsidR="004272F9" w:rsidRPr="003A787D" w:rsidRDefault="004272F9" w:rsidP="004272F9">
      <w:pPr>
        <w:pStyle w:val="Prrafodelista"/>
        <w:tabs>
          <w:tab w:val="left" w:pos="426"/>
        </w:tabs>
        <w:spacing w:before="240" w:after="240" w:line="360" w:lineRule="auto"/>
        <w:ind w:left="0" w:right="51"/>
        <w:jc w:val="both"/>
        <w:rPr>
          <w:rFonts w:ascii="Palatino Linotype" w:hAnsi="Palatino Linotype"/>
          <w:color w:val="000000" w:themeColor="text1"/>
        </w:rPr>
      </w:pPr>
    </w:p>
    <w:p w14:paraId="0A57B3EB" w14:textId="77777777" w:rsidR="004272F9" w:rsidRPr="003A787D" w:rsidRDefault="004272F9" w:rsidP="004272F9">
      <w:pPr>
        <w:pStyle w:val="Prrafodelista"/>
        <w:numPr>
          <w:ilvl w:val="0"/>
          <w:numId w:val="1"/>
        </w:numPr>
        <w:tabs>
          <w:tab w:val="left" w:pos="426"/>
        </w:tabs>
        <w:spacing w:before="240" w:after="240" w:line="360" w:lineRule="auto"/>
        <w:ind w:right="51"/>
        <w:jc w:val="both"/>
        <w:rPr>
          <w:rFonts w:ascii="Palatino Linotype" w:hAnsi="Palatino Linotype"/>
          <w:color w:val="000000" w:themeColor="text1"/>
        </w:rPr>
      </w:pPr>
      <w:r w:rsidRPr="003A787D">
        <w:rPr>
          <w:rFonts w:ascii="Palatino Linotype" w:hAnsi="Palatino Linotype"/>
          <w:color w:val="000000" w:themeColor="text1"/>
        </w:rPr>
        <w:lastRenderedPageBreak/>
        <w:t>En ese sentido, el Padrón de Sujetos Obligados del Estado de México, permite identificar a los Sujetos Obligados que deben cumplir con las obligaciones, procesos, procedimientos y responsabilidades establecidas en la Ley General de Transparencia y Acceso a la Información Pública, la Ley de Transparencia Estatal y demás ordenamientos jurídicos de la materia emitidos por el Sistema Nacional de Transparencia, Acceso a la Información Pública y Protección de Datos Personales y por el propio Instituto, en los términos que las mismas determinen.</w:t>
      </w:r>
    </w:p>
    <w:p w14:paraId="619E01A8" w14:textId="77777777" w:rsidR="004272F9" w:rsidRPr="003A787D" w:rsidRDefault="004272F9" w:rsidP="004272F9">
      <w:pPr>
        <w:pStyle w:val="Prrafodelista"/>
        <w:tabs>
          <w:tab w:val="left" w:pos="426"/>
        </w:tabs>
        <w:spacing w:before="240" w:after="240" w:line="360" w:lineRule="auto"/>
        <w:ind w:left="0" w:right="51"/>
        <w:jc w:val="both"/>
        <w:rPr>
          <w:rFonts w:ascii="Palatino Linotype" w:hAnsi="Palatino Linotype"/>
          <w:color w:val="000000" w:themeColor="text1"/>
        </w:rPr>
      </w:pPr>
    </w:p>
    <w:p w14:paraId="05B26838" w14:textId="7733F68E" w:rsidR="004272F9" w:rsidRPr="003A787D" w:rsidRDefault="004272F9" w:rsidP="004272F9">
      <w:pPr>
        <w:pStyle w:val="Prrafodelista"/>
        <w:numPr>
          <w:ilvl w:val="0"/>
          <w:numId w:val="1"/>
        </w:numPr>
        <w:tabs>
          <w:tab w:val="left" w:pos="426"/>
        </w:tabs>
        <w:spacing w:before="240" w:after="240" w:line="360" w:lineRule="auto"/>
        <w:ind w:right="51"/>
        <w:jc w:val="both"/>
        <w:rPr>
          <w:rFonts w:ascii="Palatino Linotype" w:hAnsi="Palatino Linotype"/>
          <w:color w:val="000000" w:themeColor="text1"/>
        </w:rPr>
      </w:pPr>
      <w:r w:rsidRPr="003A787D">
        <w:rPr>
          <w:rFonts w:ascii="Palatino Linotype" w:hAnsi="Palatino Linotype"/>
          <w:color w:val="000000" w:themeColor="text1"/>
        </w:rPr>
        <w:t xml:space="preserve">Por cuanto hace al Municipio de </w:t>
      </w:r>
      <w:r w:rsidR="00C40375" w:rsidRPr="003A787D">
        <w:rPr>
          <w:rFonts w:ascii="Palatino Linotype" w:hAnsi="Palatino Linotype"/>
          <w:color w:val="000000" w:themeColor="text1"/>
        </w:rPr>
        <w:t>Tenancingo</w:t>
      </w:r>
      <w:r w:rsidRPr="003A787D">
        <w:rPr>
          <w:rFonts w:ascii="Palatino Linotype" w:hAnsi="Palatino Linotype"/>
          <w:color w:val="000000" w:themeColor="text1"/>
        </w:rPr>
        <w:t>, el Padrón de Sujetos Obligados</w:t>
      </w:r>
      <w:r w:rsidRPr="003A787D">
        <w:rPr>
          <w:rStyle w:val="Refdenotaalpie"/>
          <w:rFonts w:ascii="Palatino Linotype" w:hAnsi="Palatino Linotype"/>
          <w:color w:val="000000" w:themeColor="text1"/>
        </w:rPr>
        <w:footnoteReference w:id="18"/>
      </w:r>
      <w:r w:rsidRPr="003A787D">
        <w:rPr>
          <w:rFonts w:ascii="Palatino Linotype" w:hAnsi="Palatino Linotype"/>
          <w:color w:val="000000" w:themeColor="text1"/>
        </w:rPr>
        <w:t xml:space="preserve"> reconoce a los siguientes entes públicos:</w:t>
      </w:r>
    </w:p>
    <w:p w14:paraId="54C692B7" w14:textId="3594D0E4" w:rsidR="004272F9" w:rsidRPr="003A787D" w:rsidRDefault="004272F9" w:rsidP="004272F9">
      <w:pPr>
        <w:pStyle w:val="Prrafodelista"/>
        <w:tabs>
          <w:tab w:val="left" w:pos="426"/>
        </w:tabs>
        <w:spacing w:before="240" w:after="240" w:line="360" w:lineRule="auto"/>
        <w:ind w:left="0" w:right="51"/>
        <w:jc w:val="both"/>
        <w:rPr>
          <w:rFonts w:ascii="Palatino Linotype" w:hAnsi="Palatino Linotype"/>
          <w:color w:val="000000" w:themeColor="text1"/>
        </w:rPr>
      </w:pPr>
    </w:p>
    <w:p w14:paraId="291E8396" w14:textId="29A506CC" w:rsidR="00C40375" w:rsidRPr="003A787D" w:rsidRDefault="00C40375" w:rsidP="00C40375">
      <w:pPr>
        <w:pStyle w:val="Prrafodelista"/>
        <w:tabs>
          <w:tab w:val="left" w:pos="426"/>
        </w:tabs>
        <w:spacing w:before="240" w:after="240" w:line="276" w:lineRule="auto"/>
        <w:ind w:left="567" w:right="567"/>
        <w:jc w:val="both"/>
        <w:rPr>
          <w:rFonts w:ascii="Palatino Linotype" w:hAnsi="Palatino Linotype"/>
          <w:i/>
          <w:iCs/>
          <w:color w:val="000000" w:themeColor="text1"/>
          <w:sz w:val="22"/>
          <w:szCs w:val="22"/>
        </w:rPr>
      </w:pPr>
      <w:r w:rsidRPr="003A787D">
        <w:rPr>
          <w:rFonts w:ascii="Palatino Linotype" w:hAnsi="Palatino Linotype"/>
          <w:i/>
          <w:iCs/>
          <w:color w:val="000000" w:themeColor="text1"/>
          <w:sz w:val="22"/>
          <w:szCs w:val="22"/>
        </w:rPr>
        <w:t>“(…)</w:t>
      </w:r>
    </w:p>
    <w:p w14:paraId="3B028F9C" w14:textId="3A588719" w:rsidR="00C40375" w:rsidRPr="003A787D" w:rsidRDefault="00C40375" w:rsidP="00C40375">
      <w:pPr>
        <w:pStyle w:val="Prrafodelista"/>
        <w:tabs>
          <w:tab w:val="left" w:pos="426"/>
        </w:tabs>
        <w:spacing w:before="240" w:after="240" w:line="276" w:lineRule="auto"/>
        <w:ind w:left="567" w:right="567"/>
        <w:jc w:val="both"/>
        <w:rPr>
          <w:rFonts w:ascii="Palatino Linotype" w:hAnsi="Palatino Linotype"/>
          <w:i/>
          <w:iCs/>
          <w:color w:val="000000" w:themeColor="text1"/>
          <w:sz w:val="22"/>
          <w:szCs w:val="22"/>
        </w:rPr>
      </w:pPr>
      <w:r w:rsidRPr="003A787D">
        <w:rPr>
          <w:rFonts w:ascii="Palatino Linotype" w:hAnsi="Palatino Linotype"/>
          <w:b/>
          <w:bCs/>
          <w:i/>
          <w:iCs/>
          <w:color w:val="000000" w:themeColor="text1"/>
          <w:sz w:val="22"/>
          <w:szCs w:val="22"/>
        </w:rPr>
        <w:t>VII. SUJETOS OBLIGADOS DE COMPETENCIA MUNICIPAL</w:t>
      </w:r>
    </w:p>
    <w:p w14:paraId="7143AB30" w14:textId="0337CE65" w:rsidR="00C40375" w:rsidRPr="003A787D" w:rsidRDefault="00C40375" w:rsidP="00C40375">
      <w:pPr>
        <w:pStyle w:val="Prrafodelista"/>
        <w:tabs>
          <w:tab w:val="left" w:pos="426"/>
        </w:tabs>
        <w:spacing w:before="240" w:after="240" w:line="276" w:lineRule="auto"/>
        <w:ind w:left="567" w:right="567"/>
        <w:jc w:val="both"/>
        <w:rPr>
          <w:rFonts w:ascii="Palatino Linotype" w:hAnsi="Palatino Linotype"/>
          <w:i/>
          <w:iCs/>
          <w:color w:val="000000" w:themeColor="text1"/>
          <w:sz w:val="22"/>
          <w:szCs w:val="22"/>
        </w:rPr>
      </w:pPr>
      <w:r w:rsidRPr="003A787D">
        <w:rPr>
          <w:rFonts w:ascii="Palatino Linotype" w:hAnsi="Palatino Linotype"/>
          <w:i/>
          <w:iCs/>
          <w:color w:val="000000" w:themeColor="text1"/>
          <w:sz w:val="22"/>
          <w:szCs w:val="22"/>
        </w:rPr>
        <w:t>(…)</w:t>
      </w:r>
    </w:p>
    <w:p w14:paraId="0EF5A607" w14:textId="33F0EE74" w:rsidR="00C40375" w:rsidRPr="003A787D" w:rsidRDefault="00C40375" w:rsidP="00C40375">
      <w:pPr>
        <w:pStyle w:val="Prrafodelista"/>
        <w:tabs>
          <w:tab w:val="left" w:pos="426"/>
        </w:tabs>
        <w:spacing w:before="240" w:after="240" w:line="276" w:lineRule="auto"/>
        <w:ind w:left="567" w:right="567"/>
        <w:jc w:val="both"/>
        <w:rPr>
          <w:rFonts w:ascii="Palatino Linotype" w:hAnsi="Palatino Linotype"/>
          <w:i/>
          <w:iCs/>
          <w:color w:val="000000" w:themeColor="text1"/>
          <w:sz w:val="22"/>
          <w:szCs w:val="22"/>
        </w:rPr>
      </w:pPr>
      <w:r w:rsidRPr="003A787D">
        <w:rPr>
          <w:rFonts w:ascii="Palatino Linotype" w:hAnsi="Palatino Linotype"/>
          <w:b/>
          <w:bCs/>
          <w:i/>
          <w:iCs/>
          <w:color w:val="000000" w:themeColor="text1"/>
          <w:sz w:val="22"/>
          <w:szCs w:val="22"/>
        </w:rPr>
        <w:t>216.</w:t>
      </w:r>
      <w:r w:rsidRPr="003A787D">
        <w:rPr>
          <w:rFonts w:ascii="Palatino Linotype" w:hAnsi="Palatino Linotype"/>
          <w:i/>
          <w:iCs/>
          <w:color w:val="000000" w:themeColor="text1"/>
          <w:sz w:val="22"/>
          <w:szCs w:val="22"/>
        </w:rPr>
        <w:t xml:space="preserve"> Tenancingo</w:t>
      </w:r>
    </w:p>
    <w:p w14:paraId="3CF8A4A5" w14:textId="5B19A28D" w:rsidR="00C40375" w:rsidRPr="003A787D" w:rsidRDefault="00C40375" w:rsidP="00C40375">
      <w:pPr>
        <w:pStyle w:val="Prrafodelista"/>
        <w:tabs>
          <w:tab w:val="left" w:pos="426"/>
        </w:tabs>
        <w:spacing w:before="240" w:after="240" w:line="276" w:lineRule="auto"/>
        <w:ind w:left="567" w:right="567"/>
        <w:jc w:val="both"/>
        <w:rPr>
          <w:rFonts w:ascii="Palatino Linotype" w:hAnsi="Palatino Linotype"/>
          <w:i/>
          <w:iCs/>
          <w:color w:val="000000" w:themeColor="text1"/>
          <w:sz w:val="22"/>
          <w:szCs w:val="22"/>
        </w:rPr>
      </w:pPr>
      <w:r w:rsidRPr="003A787D">
        <w:rPr>
          <w:rFonts w:ascii="Palatino Linotype" w:hAnsi="Palatino Linotype"/>
          <w:i/>
          <w:iCs/>
          <w:color w:val="000000" w:themeColor="text1"/>
          <w:sz w:val="22"/>
          <w:szCs w:val="22"/>
        </w:rPr>
        <w:t>(…)</w:t>
      </w:r>
    </w:p>
    <w:p w14:paraId="017DE912" w14:textId="6B80DA9E" w:rsidR="00C40375" w:rsidRPr="003A787D" w:rsidRDefault="00C40375" w:rsidP="00C40375">
      <w:pPr>
        <w:pStyle w:val="Prrafodelista"/>
        <w:tabs>
          <w:tab w:val="left" w:pos="426"/>
        </w:tabs>
        <w:spacing w:before="240" w:after="240" w:line="276" w:lineRule="auto"/>
        <w:ind w:left="567" w:right="567"/>
        <w:jc w:val="both"/>
        <w:rPr>
          <w:rFonts w:ascii="Palatino Linotype" w:hAnsi="Palatino Linotype"/>
          <w:i/>
          <w:iCs/>
          <w:color w:val="000000" w:themeColor="text1"/>
          <w:sz w:val="22"/>
          <w:szCs w:val="22"/>
        </w:rPr>
      </w:pPr>
      <w:r w:rsidRPr="003A787D">
        <w:rPr>
          <w:rFonts w:ascii="Palatino Linotype" w:hAnsi="Palatino Linotype"/>
          <w:b/>
          <w:bCs/>
          <w:i/>
          <w:iCs/>
          <w:color w:val="000000" w:themeColor="text1"/>
          <w:sz w:val="22"/>
          <w:szCs w:val="22"/>
        </w:rPr>
        <w:t>274.</w:t>
      </w:r>
      <w:r w:rsidRPr="003A787D">
        <w:rPr>
          <w:rFonts w:ascii="Palatino Linotype" w:hAnsi="Palatino Linotype"/>
          <w:i/>
          <w:iCs/>
          <w:color w:val="000000" w:themeColor="text1"/>
          <w:sz w:val="22"/>
          <w:szCs w:val="22"/>
        </w:rPr>
        <w:t xml:space="preserve"> Organismo Público Descentralizado para la Prestación de los Servicios de Agua Potable, Alcantarillado y Saneamiento de Tenancingo</w:t>
      </w:r>
    </w:p>
    <w:p w14:paraId="494FBEA2" w14:textId="2A25740C" w:rsidR="00C40375" w:rsidRPr="003A787D" w:rsidRDefault="00C40375" w:rsidP="00C40375">
      <w:pPr>
        <w:pStyle w:val="Prrafodelista"/>
        <w:tabs>
          <w:tab w:val="left" w:pos="426"/>
        </w:tabs>
        <w:spacing w:before="240" w:after="240" w:line="276" w:lineRule="auto"/>
        <w:ind w:left="567" w:right="567"/>
        <w:jc w:val="both"/>
        <w:rPr>
          <w:rFonts w:ascii="Palatino Linotype" w:hAnsi="Palatino Linotype"/>
          <w:i/>
          <w:iCs/>
          <w:color w:val="000000" w:themeColor="text1"/>
          <w:sz w:val="22"/>
          <w:szCs w:val="22"/>
        </w:rPr>
      </w:pPr>
      <w:r w:rsidRPr="003A787D">
        <w:rPr>
          <w:rFonts w:ascii="Palatino Linotype" w:hAnsi="Palatino Linotype"/>
          <w:i/>
          <w:iCs/>
          <w:color w:val="000000" w:themeColor="text1"/>
          <w:sz w:val="22"/>
          <w:szCs w:val="22"/>
        </w:rPr>
        <w:t>(…)</w:t>
      </w:r>
    </w:p>
    <w:p w14:paraId="79E1B7C3" w14:textId="13C30BF3" w:rsidR="00C40375" w:rsidRPr="003A787D" w:rsidRDefault="00C40375" w:rsidP="00C40375">
      <w:pPr>
        <w:pStyle w:val="Prrafodelista"/>
        <w:tabs>
          <w:tab w:val="left" w:pos="426"/>
        </w:tabs>
        <w:spacing w:before="240" w:after="240" w:line="276" w:lineRule="auto"/>
        <w:ind w:left="567" w:right="567"/>
        <w:jc w:val="both"/>
        <w:rPr>
          <w:rFonts w:ascii="Palatino Linotype" w:hAnsi="Palatino Linotype"/>
          <w:i/>
          <w:iCs/>
          <w:color w:val="000000" w:themeColor="text1"/>
          <w:sz w:val="22"/>
          <w:szCs w:val="22"/>
        </w:rPr>
      </w:pPr>
      <w:r w:rsidRPr="003A787D">
        <w:rPr>
          <w:rFonts w:ascii="Palatino Linotype" w:hAnsi="Palatino Linotype"/>
          <w:b/>
          <w:bCs/>
          <w:i/>
          <w:iCs/>
          <w:color w:val="000000" w:themeColor="text1"/>
          <w:sz w:val="22"/>
          <w:szCs w:val="22"/>
        </w:rPr>
        <w:t>312.</w:t>
      </w:r>
      <w:r w:rsidRPr="003A787D">
        <w:rPr>
          <w:rFonts w:ascii="Palatino Linotype" w:hAnsi="Palatino Linotype"/>
          <w:i/>
          <w:iCs/>
          <w:color w:val="000000" w:themeColor="text1"/>
          <w:sz w:val="22"/>
          <w:szCs w:val="22"/>
        </w:rPr>
        <w:t xml:space="preserve"> Sistema Municipal para el Desarrollo Integral de la Familia de Tenancingo</w:t>
      </w:r>
    </w:p>
    <w:p w14:paraId="3CAE15B6" w14:textId="75254757" w:rsidR="00C40375" w:rsidRPr="003A787D" w:rsidRDefault="00C40375" w:rsidP="00C40375">
      <w:pPr>
        <w:pStyle w:val="Prrafodelista"/>
        <w:tabs>
          <w:tab w:val="left" w:pos="426"/>
        </w:tabs>
        <w:spacing w:before="240" w:after="240" w:line="276" w:lineRule="auto"/>
        <w:ind w:left="567" w:right="567"/>
        <w:jc w:val="both"/>
        <w:rPr>
          <w:rFonts w:ascii="Palatino Linotype" w:hAnsi="Palatino Linotype"/>
          <w:i/>
          <w:iCs/>
          <w:color w:val="000000" w:themeColor="text1"/>
          <w:sz w:val="22"/>
          <w:szCs w:val="22"/>
        </w:rPr>
      </w:pPr>
      <w:r w:rsidRPr="003A787D">
        <w:rPr>
          <w:rFonts w:ascii="Palatino Linotype" w:hAnsi="Palatino Linotype"/>
          <w:i/>
          <w:iCs/>
          <w:color w:val="000000" w:themeColor="text1"/>
          <w:sz w:val="22"/>
          <w:szCs w:val="22"/>
        </w:rPr>
        <w:t>(…)”</w:t>
      </w:r>
    </w:p>
    <w:p w14:paraId="3E783711" w14:textId="77777777" w:rsidR="00C40375" w:rsidRPr="003A787D" w:rsidRDefault="00C40375" w:rsidP="004272F9">
      <w:pPr>
        <w:pStyle w:val="Prrafodelista"/>
        <w:tabs>
          <w:tab w:val="left" w:pos="426"/>
        </w:tabs>
        <w:spacing w:before="240" w:after="240" w:line="360" w:lineRule="auto"/>
        <w:ind w:left="0" w:right="51"/>
        <w:jc w:val="both"/>
        <w:rPr>
          <w:rFonts w:ascii="Palatino Linotype" w:hAnsi="Palatino Linotype"/>
          <w:color w:val="000000" w:themeColor="text1"/>
        </w:rPr>
      </w:pPr>
    </w:p>
    <w:p w14:paraId="60F75C28" w14:textId="533E93C6" w:rsidR="004272F9" w:rsidRPr="003A787D" w:rsidRDefault="004272F9" w:rsidP="004272F9">
      <w:pPr>
        <w:pStyle w:val="Prrafodelista"/>
        <w:numPr>
          <w:ilvl w:val="0"/>
          <w:numId w:val="1"/>
        </w:numPr>
        <w:tabs>
          <w:tab w:val="left" w:pos="426"/>
        </w:tabs>
        <w:spacing w:before="240" w:after="240" w:line="360" w:lineRule="auto"/>
        <w:ind w:right="51"/>
        <w:jc w:val="both"/>
        <w:rPr>
          <w:rFonts w:ascii="Palatino Linotype" w:hAnsi="Palatino Linotype"/>
          <w:color w:val="000000" w:themeColor="text1"/>
        </w:rPr>
      </w:pPr>
      <w:r w:rsidRPr="003A787D">
        <w:rPr>
          <w:rFonts w:ascii="Palatino Linotype" w:hAnsi="Palatino Linotype"/>
          <w:color w:val="000000" w:themeColor="text1"/>
        </w:rPr>
        <w:t xml:space="preserve">En consecuencia de lo anterior, se advierte que el Organismo Público Descentralizado </w:t>
      </w:r>
      <w:r w:rsidR="00C40375" w:rsidRPr="003A787D">
        <w:rPr>
          <w:rFonts w:ascii="Palatino Linotype" w:hAnsi="Palatino Linotype"/>
          <w:color w:val="000000" w:themeColor="text1"/>
        </w:rPr>
        <w:t>para la Prestación de los Servicios de Agua Potable, Alcantarillado y Saneamiento</w:t>
      </w:r>
      <w:r w:rsidRPr="003A787D">
        <w:rPr>
          <w:rFonts w:ascii="Palatino Linotype" w:hAnsi="Palatino Linotype"/>
          <w:color w:val="000000" w:themeColor="text1"/>
        </w:rPr>
        <w:t xml:space="preserve">, así como el </w:t>
      </w:r>
      <w:r w:rsidR="00C40375" w:rsidRPr="003A787D">
        <w:rPr>
          <w:rFonts w:ascii="Palatino Linotype" w:hAnsi="Palatino Linotype"/>
          <w:color w:val="000000" w:themeColor="text1"/>
        </w:rPr>
        <w:t>propio Ayuntamiento de Tenancingo</w:t>
      </w:r>
      <w:r w:rsidRPr="003A787D">
        <w:rPr>
          <w:rFonts w:ascii="Palatino Linotype" w:hAnsi="Palatino Linotype"/>
          <w:color w:val="000000" w:themeColor="text1"/>
        </w:rPr>
        <w:t xml:space="preserve">, son Sujetos Obligados diversos al </w:t>
      </w:r>
      <w:r w:rsidR="00C40375" w:rsidRPr="003A787D">
        <w:rPr>
          <w:rFonts w:ascii="Palatino Linotype" w:hAnsi="Palatino Linotype"/>
          <w:color w:val="000000" w:themeColor="text1"/>
        </w:rPr>
        <w:t xml:space="preserve">Sistema Municipal para el Desarrollo Integral de la Familia </w:t>
      </w:r>
      <w:r w:rsidR="00C40375" w:rsidRPr="003A787D">
        <w:rPr>
          <w:rFonts w:ascii="Palatino Linotype" w:hAnsi="Palatino Linotype"/>
          <w:color w:val="000000" w:themeColor="text1"/>
        </w:rPr>
        <w:lastRenderedPageBreak/>
        <w:t>de Tenancingo</w:t>
      </w:r>
      <w:r w:rsidRPr="003A787D">
        <w:rPr>
          <w:rFonts w:ascii="Palatino Linotype" w:hAnsi="Palatino Linotype"/>
          <w:color w:val="000000" w:themeColor="text1"/>
        </w:rPr>
        <w:t xml:space="preserve">; por lo tanto, el </w:t>
      </w:r>
      <w:r w:rsidRPr="003A787D">
        <w:rPr>
          <w:rFonts w:ascii="Palatino Linotype" w:hAnsi="Palatino Linotype"/>
          <w:b/>
          <w:color w:val="000000" w:themeColor="text1"/>
        </w:rPr>
        <w:t>SUJETO OBLIGADO</w:t>
      </w:r>
      <w:r w:rsidRPr="003A787D">
        <w:rPr>
          <w:rFonts w:ascii="Palatino Linotype" w:hAnsi="Palatino Linotype"/>
          <w:color w:val="000000" w:themeColor="text1"/>
        </w:rPr>
        <w:t xml:space="preserve"> no resultaría competente para poseer, generar o administrar información relacionada con las dependencias antes señaladas</w:t>
      </w:r>
      <w:r w:rsidR="00C40375" w:rsidRPr="003A787D">
        <w:rPr>
          <w:rFonts w:ascii="Palatino Linotype" w:hAnsi="Palatino Linotype"/>
          <w:color w:val="000000" w:themeColor="text1"/>
        </w:rPr>
        <w:t>, u otros organismos descentralizados municipales</w:t>
      </w:r>
      <w:r w:rsidR="00614A9B" w:rsidRPr="003A787D">
        <w:rPr>
          <w:rFonts w:ascii="Palatino Linotype" w:hAnsi="Palatino Linotype"/>
          <w:color w:val="000000" w:themeColor="text1"/>
        </w:rPr>
        <w:t>, pues el ente núcleo de éstos es el ayuntamiento.</w:t>
      </w:r>
    </w:p>
    <w:p w14:paraId="0C975708" w14:textId="77777777" w:rsidR="004272F9" w:rsidRPr="003A787D" w:rsidRDefault="004272F9" w:rsidP="004272F9">
      <w:pPr>
        <w:pStyle w:val="Prrafodelista"/>
        <w:tabs>
          <w:tab w:val="left" w:pos="426"/>
        </w:tabs>
        <w:spacing w:before="240" w:after="240" w:line="360" w:lineRule="auto"/>
        <w:ind w:left="0" w:right="51"/>
        <w:jc w:val="both"/>
        <w:rPr>
          <w:rFonts w:ascii="Palatino Linotype" w:hAnsi="Palatino Linotype"/>
          <w:color w:val="000000" w:themeColor="text1"/>
        </w:rPr>
      </w:pPr>
    </w:p>
    <w:p w14:paraId="24F281FC" w14:textId="77777777" w:rsidR="004272F9" w:rsidRPr="003A787D" w:rsidRDefault="004272F9" w:rsidP="004272F9">
      <w:pPr>
        <w:pStyle w:val="Prrafodelista"/>
        <w:numPr>
          <w:ilvl w:val="0"/>
          <w:numId w:val="1"/>
        </w:numPr>
        <w:tabs>
          <w:tab w:val="left" w:pos="426"/>
        </w:tabs>
        <w:spacing w:before="240" w:after="240" w:line="360" w:lineRule="auto"/>
        <w:ind w:right="51"/>
        <w:jc w:val="both"/>
        <w:rPr>
          <w:rFonts w:ascii="Palatino Linotype" w:hAnsi="Palatino Linotype"/>
          <w:color w:val="000000" w:themeColor="text1"/>
        </w:rPr>
      </w:pPr>
      <w:r w:rsidRPr="003A787D">
        <w:rPr>
          <w:rFonts w:ascii="Palatino Linotype" w:hAnsi="Palatino Linotype"/>
          <w:color w:val="000000" w:themeColor="text1"/>
        </w:rPr>
        <w:t xml:space="preserve">Establecido lo anterior, debemos señalar que la Ley de Transparencia y Acceso a la Información Pública del Estado de México y Municipios, en su artículo 167, establece que cuando las unidades de transparencia determinen la notoria incompetencia por parte de los sujetos obligados, dentro del ámbito de aplicación, para atender la solicitud de acceso a la información, deberán comunicarlo al solicitante, dentro de los </w:t>
      </w:r>
      <w:r w:rsidRPr="003A787D">
        <w:rPr>
          <w:rFonts w:ascii="Palatino Linotype" w:hAnsi="Palatino Linotype"/>
          <w:b/>
          <w:color w:val="000000" w:themeColor="text1"/>
        </w:rPr>
        <w:t>tres días hábiles posteriores</w:t>
      </w:r>
      <w:r w:rsidRPr="003A787D">
        <w:rPr>
          <w:rFonts w:ascii="Palatino Linotype" w:hAnsi="Palatino Linotype"/>
          <w:color w:val="000000" w:themeColor="text1"/>
        </w:rPr>
        <w:t xml:space="preserve"> a la recepción de la solicitud y, en su caso, </w:t>
      </w:r>
      <w:r w:rsidRPr="003A787D">
        <w:rPr>
          <w:rFonts w:ascii="Palatino Linotype" w:hAnsi="Palatino Linotype"/>
          <w:b/>
          <w:color w:val="000000" w:themeColor="text1"/>
        </w:rPr>
        <w:t>orientar</w:t>
      </w:r>
      <w:r w:rsidRPr="003A787D">
        <w:rPr>
          <w:rFonts w:ascii="Palatino Linotype" w:hAnsi="Palatino Linotype"/>
          <w:color w:val="000000" w:themeColor="text1"/>
        </w:rPr>
        <w:t xml:space="preserve"> al solicitante del o los sujetos obligados competentes.</w:t>
      </w:r>
    </w:p>
    <w:p w14:paraId="06715D3E" w14:textId="77777777" w:rsidR="004272F9" w:rsidRPr="003A787D" w:rsidRDefault="004272F9" w:rsidP="004272F9">
      <w:pPr>
        <w:pStyle w:val="Prrafodelista"/>
        <w:tabs>
          <w:tab w:val="left" w:pos="426"/>
        </w:tabs>
        <w:spacing w:before="240" w:after="240" w:line="360" w:lineRule="auto"/>
        <w:ind w:left="0" w:right="51"/>
        <w:jc w:val="both"/>
        <w:rPr>
          <w:rFonts w:ascii="Palatino Linotype" w:hAnsi="Palatino Linotype"/>
          <w:color w:val="000000" w:themeColor="text1"/>
        </w:rPr>
      </w:pPr>
    </w:p>
    <w:p w14:paraId="4612CBF2" w14:textId="56600AA6" w:rsidR="004272F9" w:rsidRPr="003A787D" w:rsidRDefault="004272F9" w:rsidP="004272F9">
      <w:pPr>
        <w:pStyle w:val="Prrafodelista"/>
        <w:numPr>
          <w:ilvl w:val="0"/>
          <w:numId w:val="1"/>
        </w:numPr>
        <w:tabs>
          <w:tab w:val="left" w:pos="426"/>
        </w:tabs>
        <w:spacing w:before="240" w:after="240" w:line="360" w:lineRule="auto"/>
        <w:ind w:right="51"/>
        <w:jc w:val="both"/>
        <w:rPr>
          <w:rFonts w:ascii="Palatino Linotype" w:hAnsi="Palatino Linotype"/>
          <w:color w:val="000000" w:themeColor="text1"/>
        </w:rPr>
      </w:pPr>
      <w:r w:rsidRPr="003A787D">
        <w:rPr>
          <w:rFonts w:ascii="Palatino Linotype" w:hAnsi="Palatino Linotype"/>
          <w:color w:val="000000" w:themeColor="text1"/>
        </w:rPr>
        <w:t xml:space="preserve">En el presente asunto, como fuera expuesto en el apartado de </w:t>
      </w:r>
      <w:r w:rsidRPr="003A787D">
        <w:rPr>
          <w:rFonts w:ascii="Palatino Linotype" w:hAnsi="Palatino Linotype"/>
          <w:i/>
          <w:color w:val="000000" w:themeColor="text1"/>
        </w:rPr>
        <w:t>Antecedentes</w:t>
      </w:r>
      <w:r w:rsidRPr="003A787D">
        <w:rPr>
          <w:rFonts w:ascii="Palatino Linotype" w:hAnsi="Palatino Linotype"/>
          <w:color w:val="000000" w:themeColor="text1"/>
        </w:rPr>
        <w:t xml:space="preserve"> de la presente resolución, no se advierte que el </w:t>
      </w:r>
      <w:r w:rsidRPr="003A787D">
        <w:rPr>
          <w:rFonts w:ascii="Palatino Linotype" w:hAnsi="Palatino Linotype"/>
          <w:b/>
          <w:color w:val="000000" w:themeColor="text1"/>
        </w:rPr>
        <w:t>SUJETO OBLIGADO</w:t>
      </w:r>
      <w:r w:rsidRPr="003A787D">
        <w:rPr>
          <w:rFonts w:ascii="Palatino Linotype" w:hAnsi="Palatino Linotype"/>
          <w:color w:val="000000" w:themeColor="text1"/>
        </w:rPr>
        <w:t xml:space="preserve"> haya comunicado su incompetencia parcial para poseer, generar o administrar información relacionada con el Organismo Público Descentralizado Municipal para la Prestación de los Servicios de Agua Potable, Drenaje y Tratamiento de Aguas Residuales, ni el </w:t>
      </w:r>
      <w:r w:rsidR="00614A9B" w:rsidRPr="003A787D">
        <w:rPr>
          <w:rFonts w:ascii="Palatino Linotype" w:hAnsi="Palatino Linotype"/>
          <w:color w:val="000000" w:themeColor="text1"/>
        </w:rPr>
        <w:t>Ayuntamiento de Tenancingo</w:t>
      </w:r>
      <w:r w:rsidRPr="003A787D">
        <w:rPr>
          <w:rFonts w:ascii="Palatino Linotype" w:hAnsi="Palatino Linotype"/>
          <w:color w:val="000000" w:themeColor="text1"/>
        </w:rPr>
        <w:t xml:space="preserve">, situación que deja al particular en estado de </w:t>
      </w:r>
      <w:r w:rsidRPr="003A787D">
        <w:rPr>
          <w:rFonts w:ascii="Palatino Linotype" w:hAnsi="Palatino Linotype"/>
          <w:b/>
          <w:color w:val="000000" w:themeColor="text1"/>
        </w:rPr>
        <w:t>incertidumbre</w:t>
      </w:r>
      <w:r w:rsidRPr="003A787D">
        <w:rPr>
          <w:rFonts w:ascii="Palatino Linotype" w:hAnsi="Palatino Linotype"/>
          <w:color w:val="000000" w:themeColor="text1"/>
        </w:rPr>
        <w:t>.</w:t>
      </w:r>
    </w:p>
    <w:p w14:paraId="5A26D423" w14:textId="77777777" w:rsidR="004272F9" w:rsidRPr="003A787D" w:rsidRDefault="004272F9" w:rsidP="004272F9">
      <w:pPr>
        <w:pStyle w:val="Prrafodelista"/>
        <w:tabs>
          <w:tab w:val="left" w:pos="426"/>
        </w:tabs>
        <w:spacing w:before="240" w:after="240" w:line="360" w:lineRule="auto"/>
        <w:ind w:left="0" w:right="51"/>
        <w:jc w:val="both"/>
        <w:rPr>
          <w:rFonts w:ascii="Palatino Linotype" w:hAnsi="Palatino Linotype"/>
          <w:color w:val="000000" w:themeColor="text1"/>
        </w:rPr>
      </w:pPr>
    </w:p>
    <w:p w14:paraId="1EA518A9" w14:textId="61C3DE77" w:rsidR="004272F9" w:rsidRPr="003A787D" w:rsidRDefault="004272F9" w:rsidP="004272F9">
      <w:pPr>
        <w:pStyle w:val="Prrafodelista"/>
        <w:numPr>
          <w:ilvl w:val="0"/>
          <w:numId w:val="1"/>
        </w:numPr>
        <w:tabs>
          <w:tab w:val="left" w:pos="426"/>
        </w:tabs>
        <w:spacing w:before="240" w:after="240" w:line="360" w:lineRule="auto"/>
        <w:ind w:right="51"/>
        <w:jc w:val="both"/>
        <w:rPr>
          <w:rFonts w:ascii="Palatino Linotype" w:hAnsi="Palatino Linotype"/>
          <w:color w:val="000000" w:themeColor="text1"/>
        </w:rPr>
      </w:pPr>
      <w:r w:rsidRPr="003A787D">
        <w:rPr>
          <w:rFonts w:ascii="Palatino Linotype" w:hAnsi="Palatino Linotype"/>
          <w:color w:val="000000" w:themeColor="text1"/>
        </w:rPr>
        <w:t xml:space="preserve">Derivado de lo anterior, y de conformidad con lo establecido en la fracción II del artículo 49 de la Ley de Transparencia y Acceso a la Información Pública del </w:t>
      </w:r>
      <w:r w:rsidRPr="003A787D">
        <w:rPr>
          <w:rFonts w:ascii="Palatino Linotype" w:hAnsi="Palatino Linotype"/>
          <w:color w:val="000000" w:themeColor="text1"/>
        </w:rPr>
        <w:lastRenderedPageBreak/>
        <w:t>Estado de México y Municipios</w:t>
      </w:r>
      <w:r w:rsidRPr="003A787D">
        <w:rPr>
          <w:rStyle w:val="Refdenotaalpie"/>
          <w:rFonts w:ascii="Palatino Linotype" w:hAnsi="Palatino Linotype"/>
          <w:color w:val="000000" w:themeColor="text1"/>
        </w:rPr>
        <w:footnoteReference w:id="19"/>
      </w:r>
      <w:r w:rsidRPr="003A787D">
        <w:rPr>
          <w:rFonts w:ascii="Palatino Linotype" w:hAnsi="Palatino Linotype"/>
          <w:color w:val="000000" w:themeColor="text1"/>
        </w:rPr>
        <w:t xml:space="preserve">, el </w:t>
      </w:r>
      <w:r w:rsidRPr="003A787D">
        <w:rPr>
          <w:rFonts w:ascii="Palatino Linotype" w:hAnsi="Palatino Linotype"/>
          <w:b/>
          <w:color w:val="000000" w:themeColor="text1"/>
        </w:rPr>
        <w:t>SUJETO OBLIGADO</w:t>
      </w:r>
      <w:r w:rsidRPr="003A787D">
        <w:rPr>
          <w:rFonts w:ascii="Palatino Linotype" w:hAnsi="Palatino Linotype"/>
          <w:color w:val="000000" w:themeColor="text1"/>
        </w:rPr>
        <w:t xml:space="preserve"> deberá entregar al particular el Acuerdo que emita su Comité de Transparencia en el que se establezca, de manera fundada y motivada, la incompetencia del Sistema Municipal para el Desarrollo Integral de la Familia de Tenancingo para poseer, generar o administrar información relacionada con las dependencias antes referidas</w:t>
      </w:r>
      <w:r w:rsidR="00614A9B" w:rsidRPr="003A787D">
        <w:rPr>
          <w:rFonts w:ascii="Palatino Linotype" w:hAnsi="Palatino Linotype"/>
          <w:color w:val="000000" w:themeColor="text1"/>
        </w:rPr>
        <w:t>, u otros organismos auxiliares.</w:t>
      </w:r>
    </w:p>
    <w:p w14:paraId="3EAFCBFC" w14:textId="77777777" w:rsidR="004272F9" w:rsidRPr="003A787D" w:rsidRDefault="004272F9" w:rsidP="004272F9">
      <w:pPr>
        <w:pStyle w:val="Prrafodelista"/>
        <w:tabs>
          <w:tab w:val="left" w:pos="426"/>
        </w:tabs>
        <w:spacing w:before="240" w:after="240" w:line="360" w:lineRule="auto"/>
        <w:ind w:left="0" w:right="51"/>
        <w:jc w:val="both"/>
        <w:rPr>
          <w:rFonts w:ascii="Palatino Linotype" w:hAnsi="Palatino Linotype"/>
          <w:color w:val="000000" w:themeColor="text1"/>
        </w:rPr>
      </w:pPr>
    </w:p>
    <w:p w14:paraId="73172E46" w14:textId="6A66EE93" w:rsidR="00164E0E" w:rsidRPr="003A787D" w:rsidRDefault="00164E0E" w:rsidP="00164E0E">
      <w:pPr>
        <w:pStyle w:val="Prrafodelista"/>
        <w:tabs>
          <w:tab w:val="left" w:pos="426"/>
        </w:tabs>
        <w:spacing w:before="240" w:after="240" w:line="360" w:lineRule="auto"/>
        <w:ind w:left="0" w:right="51"/>
        <w:jc w:val="both"/>
        <w:outlineLvl w:val="1"/>
        <w:rPr>
          <w:rFonts w:ascii="Palatino Linotype" w:hAnsi="Palatino Linotype"/>
          <w:b/>
          <w:bCs/>
          <w:color w:val="000000" w:themeColor="text1"/>
        </w:rPr>
      </w:pPr>
      <w:r w:rsidRPr="003A787D">
        <w:rPr>
          <w:rFonts w:ascii="Palatino Linotype" w:hAnsi="Palatino Linotype"/>
          <w:b/>
          <w:bCs/>
          <w:color w:val="000000" w:themeColor="text1"/>
        </w:rPr>
        <w:t>QUINTO. De la versión pública.</w:t>
      </w:r>
    </w:p>
    <w:p w14:paraId="3B4DA0A2" w14:textId="77777777" w:rsidR="00164E0E" w:rsidRPr="003A787D" w:rsidRDefault="00164E0E" w:rsidP="00164E0E">
      <w:pPr>
        <w:pStyle w:val="Prrafodelista"/>
        <w:tabs>
          <w:tab w:val="left" w:pos="426"/>
        </w:tabs>
        <w:spacing w:before="240" w:after="240" w:line="360" w:lineRule="auto"/>
        <w:ind w:left="0" w:right="51"/>
        <w:jc w:val="both"/>
        <w:rPr>
          <w:rFonts w:ascii="Palatino Linotype" w:hAnsi="Palatino Linotype"/>
          <w:color w:val="000000" w:themeColor="text1"/>
        </w:rPr>
      </w:pPr>
    </w:p>
    <w:p w14:paraId="687586C1" w14:textId="77777777" w:rsidR="00164E0E" w:rsidRPr="003A787D" w:rsidRDefault="00164E0E" w:rsidP="00164E0E">
      <w:pPr>
        <w:pStyle w:val="Prrafodelista"/>
        <w:numPr>
          <w:ilvl w:val="0"/>
          <w:numId w:val="1"/>
        </w:numPr>
        <w:tabs>
          <w:tab w:val="left" w:pos="426"/>
        </w:tabs>
        <w:spacing w:before="240" w:after="240" w:line="360" w:lineRule="auto"/>
        <w:ind w:right="51"/>
        <w:jc w:val="both"/>
        <w:rPr>
          <w:rFonts w:ascii="Palatino Linotype" w:hAnsi="Palatino Linotype"/>
          <w:color w:val="000000" w:themeColor="text1"/>
        </w:rPr>
      </w:pPr>
      <w:r w:rsidRPr="003A787D">
        <w:rPr>
          <w:rFonts w:ascii="Palatino Linotype" w:hAnsi="Palatino Linotype"/>
          <w:color w:val="000000" w:themeColor="text1"/>
        </w:rPr>
        <w:t>Debe destacarse que, debido a la naturaleza de la información solicitada,  eventualmente pudieran obrar datos personales susceptibles de protegerse, y toda vez que este Instituto de Transparencia, Acceso a la Información Pública y Protección de Datos Personales del Estado de México tiene el deber de velar por la protección de los datos personales aun tratándose de servidores públicos y en su caso generar la versión pública de los documentos por las consideraciones que se estimen pertinentes.</w:t>
      </w:r>
    </w:p>
    <w:p w14:paraId="7FBF8ACD" w14:textId="77777777" w:rsidR="00164E0E" w:rsidRPr="003A787D" w:rsidRDefault="00164E0E" w:rsidP="00164E0E">
      <w:pPr>
        <w:pStyle w:val="Prrafodelista"/>
        <w:tabs>
          <w:tab w:val="left" w:pos="426"/>
        </w:tabs>
        <w:spacing w:before="240" w:after="240" w:line="360" w:lineRule="auto"/>
        <w:ind w:left="0" w:right="51"/>
        <w:jc w:val="both"/>
        <w:rPr>
          <w:rFonts w:ascii="Palatino Linotype" w:hAnsi="Palatino Linotype"/>
          <w:color w:val="000000" w:themeColor="text1"/>
        </w:rPr>
      </w:pPr>
    </w:p>
    <w:p w14:paraId="723CE1DE" w14:textId="77777777" w:rsidR="00164E0E" w:rsidRPr="003A787D" w:rsidRDefault="00164E0E" w:rsidP="00164E0E">
      <w:pPr>
        <w:pStyle w:val="Prrafodelista"/>
        <w:numPr>
          <w:ilvl w:val="0"/>
          <w:numId w:val="1"/>
        </w:numPr>
        <w:tabs>
          <w:tab w:val="left" w:pos="426"/>
        </w:tabs>
        <w:spacing w:before="240" w:after="240" w:line="360" w:lineRule="auto"/>
        <w:ind w:right="51"/>
        <w:jc w:val="both"/>
        <w:rPr>
          <w:rFonts w:ascii="Palatino Linotype" w:hAnsi="Palatino Linotype"/>
          <w:color w:val="000000" w:themeColor="text1"/>
        </w:rPr>
      </w:pPr>
      <w:r w:rsidRPr="003A787D">
        <w:rPr>
          <w:rFonts w:ascii="Palatino Linotype" w:hAnsi="Palatino Linotype"/>
          <w:color w:val="000000" w:themeColor="text1"/>
        </w:rPr>
        <w:t xml:space="preserve">La </w:t>
      </w:r>
      <w:r w:rsidRPr="003A787D">
        <w:rPr>
          <w:rFonts w:ascii="Palatino Linotype" w:hAnsi="Palatino Linotype" w:cs="Arial"/>
          <w:color w:val="000000" w:themeColor="text1"/>
        </w:rPr>
        <w:t xml:space="preserve">clasificación total o parcial de la información requerida, mediante solicitud de acceso a la información pública, constituye una restricción al derecho humano de acceso a la información. Como reiteradamente han dicho, diversos Órganos Jurisdiccionales, ningún derecho es absoluto, aunque cualquier límite o restricción, </w:t>
      </w:r>
      <w:r w:rsidRPr="003A787D">
        <w:rPr>
          <w:rFonts w:ascii="Palatino Linotype" w:hAnsi="Palatino Linotype" w:cs="Arial"/>
          <w:color w:val="000000" w:themeColor="text1"/>
        </w:rPr>
        <w:lastRenderedPageBreak/>
        <w:t>para ser legítimo, debe reunir con tres requisitos: primero, debe de estar establecida en un ordenamiento legal, antes de su aplicación; debe de corresponder a un fin legítimo y ser estrictamente proporcional con el principio o valor que se pretende preservar.  En este caso, la clasificación total o parcial de la información es un supuesto que tanto la Ley General de Transparencia y Acceso a la Información Pública, en adelante, la Ley General, como la Ley de Transparencia y Acceso a la Información Pública del Estado de México y Municipios, en adelante, la Ley Estatal, establecen, y agotar el procedimiento legalmente establecido, es precisamente lo que permite acreditar el cumplimiento de los otros dos requisitos.</w:t>
      </w:r>
    </w:p>
    <w:p w14:paraId="24B1E42E" w14:textId="77777777" w:rsidR="00164E0E" w:rsidRPr="003A787D" w:rsidRDefault="00164E0E" w:rsidP="00164E0E">
      <w:pPr>
        <w:pStyle w:val="Prrafodelista"/>
        <w:tabs>
          <w:tab w:val="left" w:pos="426"/>
        </w:tabs>
        <w:spacing w:before="240" w:after="240" w:line="360" w:lineRule="auto"/>
        <w:ind w:left="0" w:right="51"/>
        <w:jc w:val="both"/>
        <w:rPr>
          <w:rFonts w:ascii="Palatino Linotype" w:hAnsi="Palatino Linotype"/>
          <w:color w:val="000000" w:themeColor="text1"/>
        </w:rPr>
      </w:pPr>
    </w:p>
    <w:p w14:paraId="51402EED" w14:textId="578B8D27" w:rsidR="00164E0E" w:rsidRPr="003A787D" w:rsidRDefault="00164E0E" w:rsidP="00164E0E">
      <w:pPr>
        <w:pStyle w:val="Prrafodelista"/>
        <w:numPr>
          <w:ilvl w:val="0"/>
          <w:numId w:val="1"/>
        </w:numPr>
        <w:tabs>
          <w:tab w:val="left" w:pos="426"/>
        </w:tabs>
        <w:spacing w:before="240" w:after="240" w:line="360" w:lineRule="auto"/>
        <w:ind w:right="51"/>
        <w:jc w:val="both"/>
        <w:rPr>
          <w:rFonts w:ascii="Palatino Linotype" w:hAnsi="Palatino Linotype"/>
          <w:color w:val="000000" w:themeColor="text1"/>
        </w:rPr>
      </w:pPr>
      <w:r w:rsidRPr="003A787D">
        <w:rPr>
          <w:rFonts w:ascii="Palatino Linotype" w:hAnsi="Palatino Linotype"/>
          <w:color w:val="000000" w:themeColor="text1"/>
        </w:rPr>
        <w:t xml:space="preserve">El </w:t>
      </w:r>
      <w:r w:rsidRPr="003A787D">
        <w:rPr>
          <w:rFonts w:ascii="Palatino Linotype" w:eastAsia="MS Mincho" w:hAnsi="Palatino Linotype" w:cs="Times New Roman"/>
        </w:rPr>
        <w:t>grave problema que enfrentamos en general, los acuerdos de clasificación de la información que emiten los Sujetos Obligados siguen sin observar los requisitos, tanto por la complejidad del procedimiento como por la falta de atención de los operadores jurídicos.</w:t>
      </w:r>
    </w:p>
    <w:p w14:paraId="40412517" w14:textId="0F25B1C2" w:rsidR="00164E0E" w:rsidRPr="003A787D" w:rsidRDefault="00164E0E" w:rsidP="00164E0E">
      <w:pPr>
        <w:pStyle w:val="Prrafodelista"/>
        <w:tabs>
          <w:tab w:val="left" w:pos="426"/>
        </w:tabs>
        <w:spacing w:before="240" w:after="240" w:line="360" w:lineRule="auto"/>
        <w:ind w:left="0" w:right="51"/>
        <w:jc w:val="both"/>
        <w:rPr>
          <w:rFonts w:ascii="Palatino Linotype" w:hAnsi="Palatino Linotype"/>
          <w:color w:val="000000" w:themeColor="text1"/>
        </w:rPr>
      </w:pPr>
    </w:p>
    <w:p w14:paraId="34211C3F" w14:textId="4EB0823F" w:rsidR="00164E0E" w:rsidRPr="003A787D" w:rsidRDefault="00164E0E" w:rsidP="00164E0E">
      <w:pPr>
        <w:pStyle w:val="Prrafodelista"/>
        <w:tabs>
          <w:tab w:val="left" w:pos="426"/>
        </w:tabs>
        <w:spacing w:before="240" w:after="240" w:line="360" w:lineRule="auto"/>
        <w:ind w:left="0" w:right="51"/>
        <w:jc w:val="both"/>
        <w:outlineLvl w:val="2"/>
        <w:rPr>
          <w:rFonts w:ascii="Palatino Linotype" w:hAnsi="Palatino Linotype"/>
          <w:b/>
          <w:bCs/>
          <w:color w:val="000000" w:themeColor="text1"/>
        </w:rPr>
      </w:pPr>
      <w:r w:rsidRPr="003A787D">
        <w:rPr>
          <w:rFonts w:ascii="Palatino Linotype" w:hAnsi="Palatino Linotype"/>
          <w:b/>
          <w:bCs/>
          <w:color w:val="000000" w:themeColor="text1"/>
        </w:rPr>
        <w:t>I. Requisitos previos.</w:t>
      </w:r>
    </w:p>
    <w:p w14:paraId="00F1DCE6" w14:textId="77777777" w:rsidR="00164E0E" w:rsidRPr="003A787D" w:rsidRDefault="00164E0E" w:rsidP="00164E0E">
      <w:pPr>
        <w:pStyle w:val="Prrafodelista"/>
        <w:tabs>
          <w:tab w:val="left" w:pos="426"/>
        </w:tabs>
        <w:spacing w:before="240" w:after="240" w:line="360" w:lineRule="auto"/>
        <w:ind w:left="0" w:right="51"/>
        <w:jc w:val="both"/>
        <w:rPr>
          <w:rFonts w:ascii="Palatino Linotype" w:hAnsi="Palatino Linotype"/>
          <w:color w:val="000000" w:themeColor="text1"/>
        </w:rPr>
      </w:pPr>
    </w:p>
    <w:p w14:paraId="6ADD8697" w14:textId="77777777" w:rsidR="00164E0E" w:rsidRPr="003A787D" w:rsidRDefault="00164E0E" w:rsidP="00164E0E">
      <w:pPr>
        <w:pStyle w:val="Prrafodelista"/>
        <w:numPr>
          <w:ilvl w:val="0"/>
          <w:numId w:val="1"/>
        </w:numPr>
        <w:tabs>
          <w:tab w:val="left" w:pos="426"/>
        </w:tabs>
        <w:spacing w:before="240" w:after="240" w:line="360" w:lineRule="auto"/>
        <w:ind w:right="51"/>
        <w:jc w:val="both"/>
        <w:rPr>
          <w:rFonts w:ascii="Palatino Linotype" w:hAnsi="Palatino Linotype"/>
          <w:color w:val="000000" w:themeColor="text1"/>
        </w:rPr>
      </w:pPr>
      <w:r w:rsidRPr="003A787D">
        <w:rPr>
          <w:rFonts w:ascii="Palatino Linotype" w:hAnsi="Palatino Linotype"/>
          <w:color w:val="000000" w:themeColor="text1"/>
        </w:rPr>
        <w:t xml:space="preserve">Los </w:t>
      </w:r>
      <w:r w:rsidRPr="003A787D">
        <w:rPr>
          <w:rFonts w:ascii="Palatino Linotype" w:eastAsia="MS Mincho" w:hAnsi="Palatino Linotype" w:cs="Times New Roman"/>
        </w:rPr>
        <w:t xml:space="preserve">artículos 122 y 100 de la Ley Estatal y de la Ley General, respectivamente, señalan que los sujetos obligados determinan que la información actualiza alguno de los supuestos de clasificación y que son los titulares de las áreas los encargados de clasificar la información. En consecuencia, son los titulares de las áreas que administran la información los que aprueban su clasificación y no el Comité de Transparencia. Al hacerlo tienen que precisar de qué información se trata (nombre, registro federal de contribuyentes, edad, fotografía, entre otros) que forme parte de algún documento o el documento que se pretende reservar (contrato, licencia, </w:t>
      </w:r>
      <w:r w:rsidRPr="003A787D">
        <w:rPr>
          <w:rFonts w:ascii="Palatino Linotype" w:eastAsia="MS Mincho" w:hAnsi="Palatino Linotype" w:cs="Times New Roman"/>
        </w:rPr>
        <w:lastRenderedPageBreak/>
        <w:t>póliza, entre otros), señalando el supuesto de clasificación (confidencialidad o reserva).</w:t>
      </w:r>
    </w:p>
    <w:p w14:paraId="4F814B50" w14:textId="77777777" w:rsidR="00164E0E" w:rsidRPr="003A787D" w:rsidRDefault="00164E0E" w:rsidP="00164E0E">
      <w:pPr>
        <w:pStyle w:val="Prrafodelista"/>
        <w:tabs>
          <w:tab w:val="left" w:pos="426"/>
        </w:tabs>
        <w:spacing w:before="240" w:after="240" w:line="360" w:lineRule="auto"/>
        <w:ind w:left="0" w:right="51"/>
        <w:jc w:val="both"/>
        <w:rPr>
          <w:rFonts w:ascii="Palatino Linotype" w:hAnsi="Palatino Linotype"/>
          <w:color w:val="000000" w:themeColor="text1"/>
        </w:rPr>
      </w:pPr>
    </w:p>
    <w:p w14:paraId="2E330AAA" w14:textId="77777777" w:rsidR="00164E0E" w:rsidRPr="003A787D" w:rsidRDefault="00164E0E" w:rsidP="00164E0E">
      <w:pPr>
        <w:pStyle w:val="Prrafodelista"/>
        <w:numPr>
          <w:ilvl w:val="0"/>
          <w:numId w:val="1"/>
        </w:numPr>
        <w:tabs>
          <w:tab w:val="left" w:pos="426"/>
        </w:tabs>
        <w:spacing w:before="240" w:after="240" w:line="360" w:lineRule="auto"/>
        <w:ind w:right="51"/>
        <w:jc w:val="both"/>
        <w:rPr>
          <w:rFonts w:ascii="Palatino Linotype" w:hAnsi="Palatino Linotype"/>
          <w:color w:val="000000" w:themeColor="text1"/>
        </w:rPr>
      </w:pPr>
      <w:r w:rsidRPr="003A787D">
        <w:rPr>
          <w:rFonts w:ascii="Palatino Linotype" w:hAnsi="Palatino Linotype"/>
          <w:color w:val="000000" w:themeColor="text1"/>
        </w:rPr>
        <w:t xml:space="preserve">Además, </w:t>
      </w:r>
      <w:r w:rsidRPr="003A787D">
        <w:rPr>
          <w:rFonts w:ascii="Palatino Linotype" w:eastAsia="MS Mincho" w:hAnsi="Palatino Linotype" w:cs="Times New Roman"/>
        </w:rPr>
        <w:t>se debe señalar el procedimiento que establecen los artículos 132 y 106 de la Ley Estatal y General, respectivamente, por el que se realiza dicha clasificación, a saber, cuando se atiende una solicitud de acceso a la información, porque lo determina una autoridad competente o porque se va a generar una versión pública para cumplir con sus obligaciones.</w:t>
      </w:r>
    </w:p>
    <w:p w14:paraId="772CE3FC" w14:textId="77777777" w:rsidR="00164E0E" w:rsidRPr="003A787D" w:rsidRDefault="00164E0E" w:rsidP="00164E0E">
      <w:pPr>
        <w:pStyle w:val="Prrafodelista"/>
        <w:tabs>
          <w:tab w:val="left" w:pos="426"/>
        </w:tabs>
        <w:spacing w:before="240" w:after="240" w:line="360" w:lineRule="auto"/>
        <w:ind w:left="0" w:right="51"/>
        <w:jc w:val="both"/>
        <w:rPr>
          <w:rFonts w:ascii="Palatino Linotype" w:hAnsi="Palatino Linotype"/>
          <w:color w:val="000000" w:themeColor="text1"/>
        </w:rPr>
      </w:pPr>
    </w:p>
    <w:p w14:paraId="03B543C0" w14:textId="10333EA6" w:rsidR="00164E0E" w:rsidRPr="003A787D" w:rsidRDefault="00164E0E" w:rsidP="00164E0E">
      <w:pPr>
        <w:pStyle w:val="Prrafodelista"/>
        <w:numPr>
          <w:ilvl w:val="0"/>
          <w:numId w:val="1"/>
        </w:numPr>
        <w:tabs>
          <w:tab w:val="left" w:pos="426"/>
        </w:tabs>
        <w:spacing w:before="240" w:after="240" w:line="360" w:lineRule="auto"/>
        <w:ind w:right="51"/>
        <w:jc w:val="both"/>
        <w:rPr>
          <w:rFonts w:ascii="Palatino Linotype" w:hAnsi="Palatino Linotype"/>
          <w:color w:val="000000" w:themeColor="text1"/>
        </w:rPr>
      </w:pPr>
      <w:r w:rsidRPr="003A787D">
        <w:rPr>
          <w:rFonts w:ascii="Palatino Linotype" w:hAnsi="Palatino Linotype"/>
          <w:color w:val="000000" w:themeColor="text1"/>
        </w:rPr>
        <w:t xml:space="preserve">El </w:t>
      </w:r>
      <w:r w:rsidRPr="003A787D">
        <w:rPr>
          <w:rFonts w:ascii="Palatino Linotype" w:eastAsia="MS Mincho" w:hAnsi="Palatino Linotype" w:cs="Times New Roman"/>
        </w:rPr>
        <w:t>último de estos requisitos previos consiste en que no se pueden emitir acuerdos de carácter general ni particular, según lo disponen los artículos 134 y 108 de la Ley Estatal y de la Ley General, respectivamente, esto es, no se puede hacer un acuerdo para clasificar de manera general todos los documentos de un expediente o área,  sin individualizar su análisis y tampoco se puede hacer un acuerdo por cada dato que se vaya a clasificar dentro de un documento con diez datos, por ejemplo, susceptibles de ser clasificados.</w:t>
      </w:r>
    </w:p>
    <w:p w14:paraId="01743C34" w14:textId="331A15C9" w:rsidR="00164E0E" w:rsidRPr="003A787D" w:rsidRDefault="00164E0E" w:rsidP="00164E0E">
      <w:pPr>
        <w:pStyle w:val="Prrafodelista"/>
        <w:tabs>
          <w:tab w:val="left" w:pos="426"/>
        </w:tabs>
        <w:spacing w:before="240" w:after="240" w:line="360" w:lineRule="auto"/>
        <w:ind w:left="0" w:right="51"/>
        <w:jc w:val="both"/>
        <w:rPr>
          <w:rFonts w:ascii="Palatino Linotype" w:hAnsi="Palatino Linotype"/>
          <w:color w:val="000000" w:themeColor="text1"/>
        </w:rPr>
      </w:pPr>
    </w:p>
    <w:p w14:paraId="0AC294D8" w14:textId="7FDA1C1F" w:rsidR="00164E0E" w:rsidRPr="003A787D" w:rsidRDefault="00164E0E" w:rsidP="00164E0E">
      <w:pPr>
        <w:pStyle w:val="Prrafodelista"/>
        <w:tabs>
          <w:tab w:val="left" w:pos="426"/>
        </w:tabs>
        <w:spacing w:before="240" w:after="240" w:line="360" w:lineRule="auto"/>
        <w:ind w:left="0" w:right="51"/>
        <w:jc w:val="both"/>
        <w:outlineLvl w:val="2"/>
        <w:rPr>
          <w:rFonts w:ascii="Palatino Linotype" w:hAnsi="Palatino Linotype"/>
          <w:b/>
          <w:bCs/>
          <w:color w:val="000000" w:themeColor="text1"/>
        </w:rPr>
      </w:pPr>
      <w:r w:rsidRPr="003A787D">
        <w:rPr>
          <w:rFonts w:ascii="Palatino Linotype" w:hAnsi="Palatino Linotype"/>
          <w:b/>
          <w:bCs/>
          <w:color w:val="000000" w:themeColor="text1"/>
        </w:rPr>
        <w:t>II. Supuestos de clasificación.</w:t>
      </w:r>
    </w:p>
    <w:p w14:paraId="2EED0FEF" w14:textId="77777777" w:rsidR="00164E0E" w:rsidRPr="003A787D" w:rsidRDefault="00164E0E" w:rsidP="00164E0E">
      <w:pPr>
        <w:pStyle w:val="Prrafodelista"/>
        <w:tabs>
          <w:tab w:val="left" w:pos="426"/>
        </w:tabs>
        <w:spacing w:before="240" w:after="240" w:line="360" w:lineRule="auto"/>
        <w:ind w:left="0" w:right="51"/>
        <w:jc w:val="both"/>
        <w:rPr>
          <w:rFonts w:ascii="Palatino Linotype" w:hAnsi="Palatino Linotype"/>
          <w:color w:val="000000" w:themeColor="text1"/>
        </w:rPr>
      </w:pPr>
    </w:p>
    <w:p w14:paraId="4702148F" w14:textId="77777777" w:rsidR="00164E0E" w:rsidRPr="003A787D" w:rsidRDefault="00164E0E" w:rsidP="00164E0E">
      <w:pPr>
        <w:pStyle w:val="Prrafodelista"/>
        <w:numPr>
          <w:ilvl w:val="0"/>
          <w:numId w:val="1"/>
        </w:numPr>
        <w:tabs>
          <w:tab w:val="left" w:pos="426"/>
        </w:tabs>
        <w:spacing w:before="240" w:after="240" w:line="360" w:lineRule="auto"/>
        <w:ind w:right="51"/>
        <w:jc w:val="both"/>
        <w:rPr>
          <w:rFonts w:ascii="Palatino Linotype" w:hAnsi="Palatino Linotype"/>
          <w:color w:val="000000" w:themeColor="text1"/>
        </w:rPr>
      </w:pPr>
      <w:r w:rsidRPr="003A787D">
        <w:rPr>
          <w:rFonts w:ascii="Palatino Linotype" w:hAnsi="Palatino Linotype"/>
          <w:color w:val="000000" w:themeColor="text1"/>
        </w:rPr>
        <w:t xml:space="preserve">Las </w:t>
      </w:r>
      <w:r w:rsidRPr="003A787D">
        <w:rPr>
          <w:rFonts w:ascii="Palatino Linotype" w:eastAsia="MS Mincho" w:hAnsi="Palatino Linotype" w:cs="Times New Roman"/>
        </w:rPr>
        <w:t>disposiciones constitucionales y legales en la materia establecen los dos supuestos generales para clasificar la información: por reserva y por confidencialidad.</w:t>
      </w:r>
    </w:p>
    <w:p w14:paraId="35DB7F80" w14:textId="77777777" w:rsidR="00164E0E" w:rsidRPr="003A787D" w:rsidRDefault="00164E0E" w:rsidP="00164E0E">
      <w:pPr>
        <w:pStyle w:val="Prrafodelista"/>
        <w:tabs>
          <w:tab w:val="left" w:pos="426"/>
        </w:tabs>
        <w:spacing w:before="240" w:after="240" w:line="360" w:lineRule="auto"/>
        <w:ind w:left="0" w:right="51"/>
        <w:jc w:val="both"/>
        <w:rPr>
          <w:rFonts w:ascii="Palatino Linotype" w:hAnsi="Palatino Linotype"/>
          <w:color w:val="000000" w:themeColor="text1"/>
        </w:rPr>
      </w:pPr>
    </w:p>
    <w:p w14:paraId="16B9E48F" w14:textId="40B72B44" w:rsidR="00164E0E" w:rsidRPr="003A787D" w:rsidRDefault="00164E0E" w:rsidP="00164E0E">
      <w:pPr>
        <w:pStyle w:val="Prrafodelista"/>
        <w:numPr>
          <w:ilvl w:val="0"/>
          <w:numId w:val="1"/>
        </w:numPr>
        <w:tabs>
          <w:tab w:val="left" w:pos="426"/>
        </w:tabs>
        <w:spacing w:before="240" w:after="240" w:line="360" w:lineRule="auto"/>
        <w:ind w:right="51"/>
        <w:jc w:val="both"/>
        <w:rPr>
          <w:rFonts w:ascii="Palatino Linotype" w:hAnsi="Palatino Linotype"/>
          <w:color w:val="000000" w:themeColor="text1"/>
        </w:rPr>
      </w:pPr>
      <w:r w:rsidRPr="003A787D">
        <w:rPr>
          <w:rFonts w:ascii="Palatino Linotype" w:hAnsi="Palatino Linotype"/>
          <w:color w:val="000000" w:themeColor="text1"/>
        </w:rPr>
        <w:lastRenderedPageBreak/>
        <w:t xml:space="preserve">Los </w:t>
      </w:r>
      <w:r w:rsidRPr="003A787D">
        <w:rPr>
          <w:rFonts w:ascii="Palatino Linotype" w:eastAsia="MS Mincho" w:hAnsi="Palatino Linotype" w:cs="Times New Roman"/>
        </w:rPr>
        <w:t>artículos 143 y 116 de la Ley Estatal y de la Ley General, respectivamente, señalan los supuestos para que la información pueda ser clasificada como confidencial:</w:t>
      </w:r>
    </w:p>
    <w:p w14:paraId="338DD84F" w14:textId="7D05BC18" w:rsidR="00164E0E" w:rsidRPr="003A787D" w:rsidRDefault="00164E0E" w:rsidP="00164E0E">
      <w:pPr>
        <w:pStyle w:val="Prrafodelista"/>
        <w:tabs>
          <w:tab w:val="left" w:pos="426"/>
        </w:tabs>
        <w:spacing w:before="240" w:line="360" w:lineRule="auto"/>
        <w:ind w:left="0" w:right="51"/>
        <w:jc w:val="both"/>
        <w:rPr>
          <w:rFonts w:ascii="Palatino Linotype" w:hAnsi="Palatino Linotype"/>
          <w:color w:val="000000" w:themeColor="text1"/>
        </w:rPr>
      </w:pPr>
    </w:p>
    <w:p w14:paraId="40AD22EF" w14:textId="77777777" w:rsidR="00164E0E" w:rsidRPr="003A787D" w:rsidRDefault="00164E0E" w:rsidP="00164E0E">
      <w:pPr>
        <w:widowControl w:val="0"/>
        <w:tabs>
          <w:tab w:val="left" w:pos="8222"/>
        </w:tabs>
        <w:autoSpaceDE w:val="0"/>
        <w:autoSpaceDN w:val="0"/>
        <w:adjustRightInd w:val="0"/>
        <w:spacing w:line="276" w:lineRule="auto"/>
        <w:ind w:left="567" w:right="567"/>
        <w:jc w:val="both"/>
        <w:rPr>
          <w:rFonts w:ascii="Palatino Linotype" w:hAnsi="Palatino Linotype" w:cs="Times"/>
          <w:i/>
          <w:color w:val="000000"/>
          <w:sz w:val="22"/>
          <w:szCs w:val="22"/>
        </w:rPr>
      </w:pPr>
      <w:r w:rsidRPr="003A787D">
        <w:rPr>
          <w:rFonts w:ascii="Palatino Linotype" w:hAnsi="Palatino Linotype" w:cs="Bookman Old Style"/>
          <w:bCs/>
          <w:i/>
          <w:color w:val="000000"/>
          <w:sz w:val="22"/>
          <w:szCs w:val="22"/>
        </w:rPr>
        <w:t>“</w:t>
      </w:r>
      <w:r w:rsidRPr="003A787D">
        <w:rPr>
          <w:rFonts w:ascii="Palatino Linotype" w:hAnsi="Palatino Linotype" w:cs="Bookman Old Style"/>
          <w:b/>
          <w:i/>
          <w:color w:val="000000"/>
          <w:sz w:val="22"/>
          <w:szCs w:val="22"/>
        </w:rPr>
        <w:t>I.</w:t>
      </w:r>
      <w:r w:rsidRPr="003A787D">
        <w:rPr>
          <w:rFonts w:ascii="Palatino Linotype" w:hAnsi="Palatino Linotype" w:cs="Bookman Old Style"/>
          <w:bCs/>
          <w:i/>
          <w:color w:val="000000"/>
          <w:sz w:val="22"/>
          <w:szCs w:val="22"/>
        </w:rPr>
        <w:t xml:space="preserve"> </w:t>
      </w:r>
      <w:r w:rsidRPr="003A787D">
        <w:rPr>
          <w:rFonts w:ascii="Palatino Linotype" w:hAnsi="Palatino Linotype" w:cs="Bookman Old Style"/>
          <w:i/>
          <w:color w:val="000000"/>
          <w:sz w:val="22"/>
          <w:szCs w:val="22"/>
        </w:rPr>
        <w:t xml:space="preserve">Se refiera a la información privada y los datos personales concernientes a una persona física o jurídico colectiva identificada o identificable; </w:t>
      </w:r>
    </w:p>
    <w:p w14:paraId="4D21F3A7" w14:textId="77777777" w:rsidR="00164E0E" w:rsidRPr="003A787D" w:rsidRDefault="00164E0E" w:rsidP="00164E0E">
      <w:pPr>
        <w:widowControl w:val="0"/>
        <w:tabs>
          <w:tab w:val="left" w:pos="8222"/>
        </w:tabs>
        <w:autoSpaceDE w:val="0"/>
        <w:autoSpaceDN w:val="0"/>
        <w:adjustRightInd w:val="0"/>
        <w:spacing w:line="276" w:lineRule="auto"/>
        <w:ind w:left="567" w:right="567"/>
        <w:jc w:val="both"/>
        <w:rPr>
          <w:rFonts w:ascii="Palatino Linotype" w:hAnsi="Palatino Linotype" w:cs="Times"/>
          <w:i/>
          <w:color w:val="000000"/>
          <w:sz w:val="22"/>
          <w:szCs w:val="22"/>
        </w:rPr>
      </w:pPr>
      <w:r w:rsidRPr="003A787D">
        <w:rPr>
          <w:rFonts w:ascii="Palatino Linotype" w:hAnsi="Palatino Linotype" w:cs="Bookman Old Style"/>
          <w:b/>
          <w:i/>
          <w:color w:val="000000"/>
          <w:sz w:val="22"/>
          <w:szCs w:val="22"/>
        </w:rPr>
        <w:t>II.</w:t>
      </w:r>
      <w:r w:rsidRPr="003A787D">
        <w:rPr>
          <w:rFonts w:ascii="Palatino Linotype" w:hAnsi="Palatino Linotype" w:cs="Bookman Old Style"/>
          <w:bCs/>
          <w:i/>
          <w:color w:val="000000"/>
          <w:sz w:val="22"/>
          <w:szCs w:val="22"/>
        </w:rPr>
        <w:t xml:space="preserve"> </w:t>
      </w:r>
      <w:r w:rsidRPr="003A787D">
        <w:rPr>
          <w:rFonts w:ascii="Palatino Linotype" w:hAnsi="Palatino Linotype" w:cs="Bookman Old Style"/>
          <w:i/>
          <w:color w:val="000000"/>
          <w:sz w:val="22"/>
          <w:szCs w:val="22"/>
        </w:rPr>
        <w:t xml:space="preserve">Los secretos bancario, fiduciario, industrial, comercial, fiscal, bursátil y postal, cuya titularidad corresponda a particulares, sujetos de derecho internacional o a sujetos obligados cuando no involucren el ejercicio de recursos públicos; y </w:t>
      </w:r>
    </w:p>
    <w:p w14:paraId="2A8D3CCA" w14:textId="77777777" w:rsidR="00164E0E" w:rsidRPr="003A787D" w:rsidRDefault="00164E0E" w:rsidP="00164E0E">
      <w:pPr>
        <w:widowControl w:val="0"/>
        <w:tabs>
          <w:tab w:val="left" w:pos="8222"/>
        </w:tabs>
        <w:autoSpaceDE w:val="0"/>
        <w:autoSpaceDN w:val="0"/>
        <w:adjustRightInd w:val="0"/>
        <w:spacing w:line="276" w:lineRule="auto"/>
        <w:ind w:left="567" w:right="567"/>
        <w:jc w:val="both"/>
        <w:rPr>
          <w:rFonts w:ascii="Palatino Linotype" w:hAnsi="Palatino Linotype" w:cs="Times"/>
          <w:i/>
          <w:color w:val="000000"/>
          <w:sz w:val="22"/>
          <w:szCs w:val="22"/>
        </w:rPr>
      </w:pPr>
      <w:r w:rsidRPr="003A787D">
        <w:rPr>
          <w:rFonts w:ascii="Palatino Linotype" w:hAnsi="Palatino Linotype" w:cs="Bookman Old Style"/>
          <w:b/>
          <w:i/>
          <w:color w:val="000000"/>
          <w:sz w:val="22"/>
          <w:szCs w:val="22"/>
        </w:rPr>
        <w:t>III.</w:t>
      </w:r>
      <w:r w:rsidRPr="003A787D">
        <w:rPr>
          <w:rFonts w:ascii="Palatino Linotype" w:hAnsi="Palatino Linotype" w:cs="Bookman Old Style"/>
          <w:bCs/>
          <w:i/>
          <w:color w:val="000000"/>
          <w:sz w:val="22"/>
          <w:szCs w:val="22"/>
        </w:rPr>
        <w:t xml:space="preserve"> </w:t>
      </w:r>
      <w:r w:rsidRPr="003A787D">
        <w:rPr>
          <w:rFonts w:ascii="Palatino Linotype" w:hAnsi="Palatino Linotype" w:cs="Bookman Old Style"/>
          <w:i/>
          <w:color w:val="000000"/>
          <w:sz w:val="22"/>
          <w:szCs w:val="22"/>
        </w:rPr>
        <w:t xml:space="preserve">La que presenten los particulares a los sujetos obligados, de conformidad con lo dispuesto por las leyes o los tratados internacionales. </w:t>
      </w:r>
    </w:p>
    <w:p w14:paraId="0761D32C" w14:textId="77777777" w:rsidR="00164E0E" w:rsidRPr="003A787D" w:rsidRDefault="00164E0E" w:rsidP="00164E0E">
      <w:pPr>
        <w:widowControl w:val="0"/>
        <w:tabs>
          <w:tab w:val="left" w:pos="8222"/>
        </w:tabs>
        <w:autoSpaceDE w:val="0"/>
        <w:autoSpaceDN w:val="0"/>
        <w:adjustRightInd w:val="0"/>
        <w:spacing w:line="276" w:lineRule="auto"/>
        <w:ind w:left="567" w:right="567"/>
        <w:jc w:val="both"/>
        <w:rPr>
          <w:rFonts w:ascii="Palatino Linotype" w:hAnsi="Palatino Linotype" w:cs="Times"/>
          <w:i/>
          <w:color w:val="000000"/>
          <w:sz w:val="22"/>
          <w:szCs w:val="22"/>
        </w:rPr>
      </w:pPr>
      <w:r w:rsidRPr="003A787D">
        <w:rPr>
          <w:rFonts w:ascii="Palatino Linotype" w:hAnsi="Palatino Linotype" w:cs="Bookman Old Style"/>
          <w:i/>
          <w:color w:val="000000"/>
          <w:sz w:val="22"/>
          <w:szCs w:val="22"/>
        </w:rPr>
        <w:t xml:space="preserve">La información confidencial no estará sujeta a temporalidad alguna y sólo podrán tener acceso a ella los titulares de la misma, sus representantes y los servidores públicos facultados para ello. </w:t>
      </w:r>
    </w:p>
    <w:p w14:paraId="4EEF04E4" w14:textId="0DA89D76" w:rsidR="00164E0E" w:rsidRPr="003A787D" w:rsidRDefault="00164E0E" w:rsidP="00164E0E">
      <w:pPr>
        <w:widowControl w:val="0"/>
        <w:tabs>
          <w:tab w:val="left" w:pos="8222"/>
        </w:tabs>
        <w:autoSpaceDE w:val="0"/>
        <w:autoSpaceDN w:val="0"/>
        <w:adjustRightInd w:val="0"/>
        <w:spacing w:line="276" w:lineRule="auto"/>
        <w:ind w:left="567" w:right="567"/>
        <w:jc w:val="both"/>
        <w:rPr>
          <w:rFonts w:ascii="Palatino Linotype" w:hAnsi="Palatino Linotype" w:cs="Bookman Old Style"/>
          <w:i/>
          <w:color w:val="000000"/>
          <w:sz w:val="22"/>
          <w:szCs w:val="22"/>
        </w:rPr>
      </w:pPr>
      <w:r w:rsidRPr="003A787D">
        <w:rPr>
          <w:rFonts w:ascii="Palatino Linotype" w:hAnsi="Palatino Linotype" w:cs="Bookman Old Style"/>
          <w:i/>
          <w:color w:val="000000"/>
          <w:sz w:val="22"/>
          <w:szCs w:val="22"/>
        </w:rPr>
        <w:t>No se considerará confidencial la información que se encuentre en los registros públicos o en fuentes de acceso público, ni tampoco la que sea considerada por la presente ley como información pública.“</w:t>
      </w:r>
    </w:p>
    <w:p w14:paraId="1C547D5A" w14:textId="77777777" w:rsidR="00164E0E" w:rsidRPr="003A787D" w:rsidRDefault="00164E0E" w:rsidP="00164E0E">
      <w:pPr>
        <w:pStyle w:val="Prrafodelista"/>
        <w:tabs>
          <w:tab w:val="left" w:pos="426"/>
        </w:tabs>
        <w:spacing w:after="240" w:line="360" w:lineRule="auto"/>
        <w:ind w:left="0" w:right="51"/>
        <w:jc w:val="both"/>
        <w:rPr>
          <w:rFonts w:ascii="Palatino Linotype" w:hAnsi="Palatino Linotype"/>
          <w:color w:val="000000" w:themeColor="text1"/>
        </w:rPr>
      </w:pPr>
    </w:p>
    <w:p w14:paraId="32098B82" w14:textId="77777777" w:rsidR="00164E0E" w:rsidRPr="003A787D" w:rsidRDefault="00164E0E" w:rsidP="00164E0E">
      <w:pPr>
        <w:pStyle w:val="Prrafodelista"/>
        <w:numPr>
          <w:ilvl w:val="0"/>
          <w:numId w:val="1"/>
        </w:numPr>
        <w:tabs>
          <w:tab w:val="left" w:pos="426"/>
        </w:tabs>
        <w:spacing w:before="240" w:after="240" w:line="360" w:lineRule="auto"/>
        <w:ind w:right="51"/>
        <w:jc w:val="both"/>
        <w:rPr>
          <w:rFonts w:ascii="Palatino Linotype" w:hAnsi="Palatino Linotype"/>
          <w:color w:val="000000" w:themeColor="text1"/>
        </w:rPr>
      </w:pPr>
      <w:r w:rsidRPr="003A787D">
        <w:rPr>
          <w:rFonts w:ascii="Palatino Linotype" w:hAnsi="Palatino Linotype"/>
          <w:color w:val="000000" w:themeColor="text1"/>
        </w:rPr>
        <w:t xml:space="preserve">Mientras </w:t>
      </w:r>
      <w:r w:rsidRPr="003A787D">
        <w:rPr>
          <w:rFonts w:ascii="Palatino Linotype" w:eastAsia="MS Mincho" w:hAnsi="Palatino Linotype" w:cs="Times New Roman"/>
        </w:rPr>
        <w:t>que los artículos 130 y 105 de la Ley Estatal y de la Ley General, respectivamente, señalan que la aplicación de estos supuestos debe de realizarse de manera restrictiva y limitada, por lo que debe acreditarse que se cumple con esta condición y no se pueden ampliar las excepciones o supuestos de clasificación aduciendo analogía o mayoría de razón.</w:t>
      </w:r>
    </w:p>
    <w:p w14:paraId="3339C6CE" w14:textId="77777777" w:rsidR="00164E0E" w:rsidRPr="003A787D" w:rsidRDefault="00164E0E" w:rsidP="00164E0E">
      <w:pPr>
        <w:pStyle w:val="Prrafodelista"/>
        <w:tabs>
          <w:tab w:val="left" w:pos="426"/>
        </w:tabs>
        <w:spacing w:before="240" w:after="240" w:line="360" w:lineRule="auto"/>
        <w:ind w:left="0" w:right="51"/>
        <w:jc w:val="both"/>
        <w:rPr>
          <w:rFonts w:ascii="Palatino Linotype" w:hAnsi="Palatino Linotype"/>
          <w:color w:val="000000" w:themeColor="text1"/>
        </w:rPr>
      </w:pPr>
    </w:p>
    <w:p w14:paraId="4A8C98BD" w14:textId="77777777" w:rsidR="00164E0E" w:rsidRPr="003A787D" w:rsidRDefault="00164E0E" w:rsidP="00164E0E">
      <w:pPr>
        <w:pStyle w:val="Prrafodelista"/>
        <w:numPr>
          <w:ilvl w:val="0"/>
          <w:numId w:val="1"/>
        </w:numPr>
        <w:tabs>
          <w:tab w:val="left" w:pos="426"/>
        </w:tabs>
        <w:spacing w:before="240" w:after="240" w:line="360" w:lineRule="auto"/>
        <w:ind w:right="51"/>
        <w:jc w:val="both"/>
        <w:rPr>
          <w:rFonts w:ascii="Palatino Linotype" w:hAnsi="Palatino Linotype"/>
          <w:color w:val="000000" w:themeColor="text1"/>
        </w:rPr>
      </w:pPr>
      <w:r w:rsidRPr="003A787D">
        <w:rPr>
          <w:rFonts w:ascii="Palatino Linotype" w:hAnsi="Palatino Linotype"/>
          <w:color w:val="000000" w:themeColor="text1"/>
        </w:rPr>
        <w:t xml:space="preserve">Como </w:t>
      </w:r>
      <w:r w:rsidRPr="003A787D">
        <w:rPr>
          <w:rFonts w:ascii="Palatino Linotype" w:eastAsia="MS Mincho" w:hAnsi="Palatino Linotype" w:cs="Times New Roman"/>
        </w:rPr>
        <w:t xml:space="preserve">consecuencia de lo anterior, el </w:t>
      </w:r>
      <w:r w:rsidRPr="003A787D">
        <w:rPr>
          <w:rFonts w:ascii="Palatino Linotype" w:eastAsia="MS Mincho" w:hAnsi="Palatino Linotype" w:cs="Times New Roman"/>
          <w:b/>
          <w:bCs/>
        </w:rPr>
        <w:t>SUJETO OBLIGADO</w:t>
      </w:r>
      <w:r w:rsidRPr="003A787D">
        <w:rPr>
          <w:rFonts w:ascii="Palatino Linotype" w:eastAsia="MS Mincho" w:hAnsi="Palatino Linotype" w:cs="Times New Roman"/>
        </w:rPr>
        <w:t xml:space="preserve"> debe identificar claramente el tipo de información y hacer un juicio de subsunción o encaje para acreditar que el supuesto de hecho corresponde estrictamente con la hipótesis </w:t>
      </w:r>
      <w:r w:rsidRPr="003A787D">
        <w:rPr>
          <w:rFonts w:ascii="Palatino Linotype" w:eastAsia="MS Mincho" w:hAnsi="Palatino Linotype" w:cs="Times New Roman"/>
        </w:rPr>
        <w:lastRenderedPageBreak/>
        <w:t>jurídica. Esto también lo debe de realizar el servidor público habilitado y el titular del área que administra la información.</w:t>
      </w:r>
    </w:p>
    <w:p w14:paraId="0ECC6494" w14:textId="77777777" w:rsidR="00164E0E" w:rsidRPr="003A787D" w:rsidRDefault="00164E0E" w:rsidP="00164E0E">
      <w:pPr>
        <w:pStyle w:val="Prrafodelista"/>
        <w:tabs>
          <w:tab w:val="left" w:pos="426"/>
        </w:tabs>
        <w:spacing w:before="240" w:after="240" w:line="360" w:lineRule="auto"/>
        <w:ind w:left="0" w:right="51"/>
        <w:jc w:val="both"/>
        <w:rPr>
          <w:rFonts w:ascii="Palatino Linotype" w:hAnsi="Palatino Linotype"/>
          <w:color w:val="000000" w:themeColor="text1"/>
        </w:rPr>
      </w:pPr>
    </w:p>
    <w:p w14:paraId="5821C41C" w14:textId="523B340B" w:rsidR="00164E0E" w:rsidRPr="003A787D" w:rsidRDefault="00164E0E" w:rsidP="00164E0E">
      <w:pPr>
        <w:pStyle w:val="Prrafodelista"/>
        <w:numPr>
          <w:ilvl w:val="0"/>
          <w:numId w:val="1"/>
        </w:numPr>
        <w:tabs>
          <w:tab w:val="left" w:pos="426"/>
        </w:tabs>
        <w:spacing w:before="240" w:after="240" w:line="360" w:lineRule="auto"/>
        <w:ind w:right="51"/>
        <w:jc w:val="both"/>
        <w:rPr>
          <w:rFonts w:ascii="Palatino Linotype" w:hAnsi="Palatino Linotype"/>
          <w:color w:val="000000" w:themeColor="text1"/>
        </w:rPr>
      </w:pPr>
      <w:r w:rsidRPr="003A787D">
        <w:rPr>
          <w:rFonts w:ascii="Palatino Linotype" w:hAnsi="Palatino Linotype"/>
          <w:color w:val="000000" w:themeColor="text1"/>
        </w:rPr>
        <w:t xml:space="preserve">Al </w:t>
      </w:r>
      <w:r w:rsidRPr="003A787D">
        <w:rPr>
          <w:rFonts w:ascii="Palatino Linotype" w:eastAsia="MS Mincho" w:hAnsi="Palatino Linotype" w:cs="Times New Roman"/>
        </w:rPr>
        <w:t>respecto, los Lineamientos Generales en Materia de Clasificación y Desclasificación de la Información, así Como para la Elaboración de Versiones Públicas, por cuanto hace a la clasificación de la información, señalan lo siguiente:</w:t>
      </w:r>
    </w:p>
    <w:p w14:paraId="7424D4F0" w14:textId="610598E6" w:rsidR="00164E0E" w:rsidRPr="003A787D" w:rsidRDefault="00164E0E" w:rsidP="00164E0E">
      <w:pPr>
        <w:pStyle w:val="Prrafodelista"/>
        <w:tabs>
          <w:tab w:val="left" w:pos="426"/>
        </w:tabs>
        <w:spacing w:before="240" w:after="240" w:line="360" w:lineRule="auto"/>
        <w:ind w:left="0" w:right="51"/>
        <w:jc w:val="both"/>
        <w:rPr>
          <w:rFonts w:ascii="Palatino Linotype" w:hAnsi="Palatino Linotype"/>
          <w:color w:val="000000" w:themeColor="text1"/>
        </w:rPr>
      </w:pPr>
    </w:p>
    <w:p w14:paraId="79CA949B" w14:textId="77777777" w:rsidR="00164E0E" w:rsidRPr="003A787D" w:rsidRDefault="00164E0E" w:rsidP="00164E0E">
      <w:pPr>
        <w:pStyle w:val="Prrafodelista"/>
        <w:tabs>
          <w:tab w:val="left" w:pos="142"/>
          <w:tab w:val="left" w:pos="284"/>
          <w:tab w:val="left" w:pos="426"/>
        </w:tabs>
        <w:spacing w:line="276" w:lineRule="auto"/>
        <w:ind w:left="567" w:right="567"/>
        <w:jc w:val="both"/>
        <w:rPr>
          <w:rFonts w:ascii="Palatino Linotype" w:hAnsi="Palatino Linotype" w:cs="Arial"/>
          <w:i/>
          <w:sz w:val="22"/>
          <w:szCs w:val="22"/>
        </w:rPr>
      </w:pPr>
      <w:r w:rsidRPr="003A787D">
        <w:rPr>
          <w:rFonts w:ascii="Palatino Linotype" w:hAnsi="Palatino Linotype" w:cs="Arial"/>
          <w:i/>
          <w:sz w:val="22"/>
          <w:szCs w:val="22"/>
        </w:rPr>
        <w:t>“</w:t>
      </w:r>
      <w:r w:rsidRPr="003A787D">
        <w:rPr>
          <w:rFonts w:ascii="Palatino Linotype" w:hAnsi="Palatino Linotype" w:cs="Arial"/>
          <w:b/>
          <w:i/>
          <w:sz w:val="22"/>
          <w:szCs w:val="22"/>
        </w:rPr>
        <w:t>Quincuagésimo.</w:t>
      </w:r>
      <w:r w:rsidRPr="003A787D">
        <w:rPr>
          <w:rFonts w:ascii="Palatino Linotype" w:hAnsi="Palatino Linotype" w:cs="Arial"/>
          <w:i/>
          <w:sz w:val="22"/>
          <w:szCs w:val="22"/>
        </w:rPr>
        <w:t xml:space="preserve"> Los titulares de las áreas de los sujetos obligados podrán utilizar los formatos contenidos en el presente Capítulo como modelo para señalar la clasificación de documentos o expedientes, sin perjuicio de que establezcan los propios.</w:t>
      </w:r>
    </w:p>
    <w:p w14:paraId="6BB3F61E" w14:textId="77777777" w:rsidR="00164E0E" w:rsidRPr="003A787D" w:rsidRDefault="00164E0E" w:rsidP="00164E0E">
      <w:pPr>
        <w:pStyle w:val="Prrafodelista"/>
        <w:tabs>
          <w:tab w:val="left" w:pos="142"/>
          <w:tab w:val="left" w:pos="284"/>
          <w:tab w:val="left" w:pos="426"/>
        </w:tabs>
        <w:spacing w:line="276" w:lineRule="auto"/>
        <w:ind w:left="567" w:right="567"/>
        <w:jc w:val="both"/>
        <w:rPr>
          <w:rFonts w:ascii="Palatino Linotype" w:hAnsi="Palatino Linotype" w:cs="Arial"/>
          <w:i/>
          <w:sz w:val="22"/>
          <w:szCs w:val="22"/>
        </w:rPr>
      </w:pPr>
    </w:p>
    <w:p w14:paraId="71F5C7D2" w14:textId="77777777" w:rsidR="00164E0E" w:rsidRPr="003A787D" w:rsidRDefault="00164E0E" w:rsidP="00164E0E">
      <w:pPr>
        <w:pStyle w:val="Prrafodelista"/>
        <w:tabs>
          <w:tab w:val="left" w:pos="142"/>
          <w:tab w:val="left" w:pos="284"/>
          <w:tab w:val="left" w:pos="426"/>
        </w:tabs>
        <w:spacing w:line="276" w:lineRule="auto"/>
        <w:ind w:left="567" w:right="567"/>
        <w:jc w:val="both"/>
        <w:rPr>
          <w:rFonts w:ascii="Palatino Linotype" w:hAnsi="Palatino Linotype" w:cs="Arial"/>
          <w:i/>
          <w:sz w:val="22"/>
          <w:szCs w:val="22"/>
        </w:rPr>
      </w:pPr>
      <w:r w:rsidRPr="003A787D">
        <w:rPr>
          <w:rFonts w:ascii="Palatino Linotype" w:hAnsi="Palatino Linotype" w:cs="Arial"/>
          <w:b/>
          <w:i/>
          <w:sz w:val="22"/>
          <w:szCs w:val="22"/>
        </w:rPr>
        <w:t>Quincuagésimo primero.</w:t>
      </w:r>
      <w:r w:rsidRPr="003A787D">
        <w:rPr>
          <w:rFonts w:ascii="Palatino Linotype" w:hAnsi="Palatino Linotype" w:cs="Arial"/>
          <w:i/>
          <w:sz w:val="22"/>
          <w:szCs w:val="22"/>
        </w:rPr>
        <w:t xml:space="preserve"> La leyenda en los documentos clasificados indicará:</w:t>
      </w:r>
    </w:p>
    <w:p w14:paraId="7CFFA4EB" w14:textId="77777777" w:rsidR="00164E0E" w:rsidRPr="003A787D" w:rsidRDefault="00164E0E" w:rsidP="00164E0E">
      <w:pPr>
        <w:pStyle w:val="Prrafodelista"/>
        <w:tabs>
          <w:tab w:val="left" w:pos="142"/>
          <w:tab w:val="left" w:pos="284"/>
          <w:tab w:val="left" w:pos="426"/>
        </w:tabs>
        <w:spacing w:line="276" w:lineRule="auto"/>
        <w:ind w:left="567" w:right="567"/>
        <w:jc w:val="both"/>
        <w:rPr>
          <w:rFonts w:ascii="Palatino Linotype" w:hAnsi="Palatino Linotype" w:cs="Arial"/>
          <w:i/>
          <w:sz w:val="22"/>
          <w:szCs w:val="22"/>
        </w:rPr>
      </w:pPr>
      <w:r w:rsidRPr="003A787D">
        <w:rPr>
          <w:rFonts w:ascii="Palatino Linotype" w:hAnsi="Palatino Linotype" w:cs="Arial"/>
          <w:i/>
          <w:sz w:val="22"/>
          <w:szCs w:val="22"/>
        </w:rPr>
        <w:t>I. La fecha de sesión del Comité de Transparencia en donde se confirmó la clasificación, en su caso;</w:t>
      </w:r>
    </w:p>
    <w:p w14:paraId="7666BF48" w14:textId="77777777" w:rsidR="00164E0E" w:rsidRPr="003A787D" w:rsidRDefault="00164E0E" w:rsidP="00164E0E">
      <w:pPr>
        <w:pStyle w:val="Prrafodelista"/>
        <w:tabs>
          <w:tab w:val="left" w:pos="142"/>
          <w:tab w:val="left" w:pos="284"/>
          <w:tab w:val="left" w:pos="426"/>
        </w:tabs>
        <w:spacing w:line="276" w:lineRule="auto"/>
        <w:ind w:left="567" w:right="567"/>
        <w:jc w:val="both"/>
        <w:rPr>
          <w:rFonts w:ascii="Palatino Linotype" w:hAnsi="Palatino Linotype" w:cs="Arial"/>
          <w:i/>
          <w:sz w:val="22"/>
          <w:szCs w:val="22"/>
        </w:rPr>
      </w:pPr>
      <w:r w:rsidRPr="003A787D">
        <w:rPr>
          <w:rFonts w:ascii="Palatino Linotype" w:hAnsi="Palatino Linotype" w:cs="Arial"/>
          <w:i/>
          <w:sz w:val="22"/>
          <w:szCs w:val="22"/>
        </w:rPr>
        <w:t>II. El nombre del área;</w:t>
      </w:r>
    </w:p>
    <w:p w14:paraId="5EC52D5B" w14:textId="77777777" w:rsidR="00164E0E" w:rsidRPr="003A787D" w:rsidRDefault="00164E0E" w:rsidP="00164E0E">
      <w:pPr>
        <w:pStyle w:val="Prrafodelista"/>
        <w:tabs>
          <w:tab w:val="left" w:pos="142"/>
          <w:tab w:val="left" w:pos="284"/>
          <w:tab w:val="left" w:pos="426"/>
        </w:tabs>
        <w:spacing w:line="276" w:lineRule="auto"/>
        <w:ind w:left="567" w:right="567"/>
        <w:jc w:val="both"/>
        <w:rPr>
          <w:rFonts w:ascii="Palatino Linotype" w:hAnsi="Palatino Linotype" w:cs="Arial"/>
          <w:i/>
          <w:sz w:val="22"/>
          <w:szCs w:val="22"/>
        </w:rPr>
      </w:pPr>
      <w:r w:rsidRPr="003A787D">
        <w:rPr>
          <w:rFonts w:ascii="Palatino Linotype" w:hAnsi="Palatino Linotype" w:cs="Arial"/>
          <w:i/>
          <w:sz w:val="22"/>
          <w:szCs w:val="22"/>
        </w:rPr>
        <w:t>III. La palabra reservado o confidencial;</w:t>
      </w:r>
    </w:p>
    <w:p w14:paraId="4D69F42B" w14:textId="77777777" w:rsidR="00164E0E" w:rsidRPr="003A787D" w:rsidRDefault="00164E0E" w:rsidP="00164E0E">
      <w:pPr>
        <w:pStyle w:val="Prrafodelista"/>
        <w:tabs>
          <w:tab w:val="left" w:pos="142"/>
          <w:tab w:val="left" w:pos="284"/>
          <w:tab w:val="left" w:pos="426"/>
        </w:tabs>
        <w:spacing w:line="276" w:lineRule="auto"/>
        <w:ind w:left="567" w:right="567"/>
        <w:jc w:val="both"/>
        <w:rPr>
          <w:rFonts w:ascii="Palatino Linotype" w:hAnsi="Palatino Linotype" w:cs="Arial"/>
          <w:i/>
          <w:sz w:val="22"/>
          <w:szCs w:val="22"/>
        </w:rPr>
      </w:pPr>
      <w:r w:rsidRPr="003A787D">
        <w:rPr>
          <w:rFonts w:ascii="Palatino Linotype" w:hAnsi="Palatino Linotype" w:cs="Arial"/>
          <w:i/>
          <w:sz w:val="22"/>
          <w:szCs w:val="22"/>
        </w:rPr>
        <w:t>IV. Las partes o secciones reservadas o confidenciales, en su caso;</w:t>
      </w:r>
    </w:p>
    <w:p w14:paraId="74C8F5FA" w14:textId="77777777" w:rsidR="00164E0E" w:rsidRPr="003A787D" w:rsidRDefault="00164E0E" w:rsidP="00164E0E">
      <w:pPr>
        <w:pStyle w:val="Prrafodelista"/>
        <w:tabs>
          <w:tab w:val="left" w:pos="142"/>
          <w:tab w:val="left" w:pos="284"/>
          <w:tab w:val="left" w:pos="426"/>
        </w:tabs>
        <w:spacing w:line="276" w:lineRule="auto"/>
        <w:ind w:left="567" w:right="567"/>
        <w:jc w:val="both"/>
        <w:rPr>
          <w:rFonts w:ascii="Palatino Linotype" w:hAnsi="Palatino Linotype" w:cs="Arial"/>
          <w:i/>
          <w:sz w:val="22"/>
          <w:szCs w:val="22"/>
        </w:rPr>
      </w:pPr>
      <w:r w:rsidRPr="003A787D">
        <w:rPr>
          <w:rFonts w:ascii="Palatino Linotype" w:hAnsi="Palatino Linotype" w:cs="Arial"/>
          <w:i/>
          <w:sz w:val="22"/>
          <w:szCs w:val="22"/>
        </w:rPr>
        <w:t>V. El fundamento legal;</w:t>
      </w:r>
    </w:p>
    <w:p w14:paraId="5C916849" w14:textId="77777777" w:rsidR="00164E0E" w:rsidRPr="003A787D" w:rsidRDefault="00164E0E" w:rsidP="00164E0E">
      <w:pPr>
        <w:pStyle w:val="Prrafodelista"/>
        <w:tabs>
          <w:tab w:val="left" w:pos="142"/>
          <w:tab w:val="left" w:pos="284"/>
          <w:tab w:val="left" w:pos="426"/>
        </w:tabs>
        <w:spacing w:line="276" w:lineRule="auto"/>
        <w:ind w:left="567" w:right="567"/>
        <w:jc w:val="both"/>
        <w:rPr>
          <w:rFonts w:ascii="Palatino Linotype" w:hAnsi="Palatino Linotype" w:cs="Arial"/>
          <w:i/>
          <w:sz w:val="22"/>
          <w:szCs w:val="22"/>
        </w:rPr>
      </w:pPr>
      <w:r w:rsidRPr="003A787D">
        <w:rPr>
          <w:rFonts w:ascii="Palatino Linotype" w:hAnsi="Palatino Linotype" w:cs="Arial"/>
          <w:i/>
          <w:sz w:val="22"/>
          <w:szCs w:val="22"/>
        </w:rPr>
        <w:t>VI. El periodo de reserva, y</w:t>
      </w:r>
    </w:p>
    <w:p w14:paraId="515AAB16" w14:textId="77777777" w:rsidR="00164E0E" w:rsidRPr="003A787D" w:rsidRDefault="00164E0E" w:rsidP="00164E0E">
      <w:pPr>
        <w:pStyle w:val="Prrafodelista"/>
        <w:tabs>
          <w:tab w:val="left" w:pos="142"/>
          <w:tab w:val="left" w:pos="284"/>
          <w:tab w:val="left" w:pos="426"/>
        </w:tabs>
        <w:spacing w:line="276" w:lineRule="auto"/>
        <w:ind w:left="567" w:right="567"/>
        <w:jc w:val="both"/>
        <w:rPr>
          <w:rFonts w:ascii="Palatino Linotype" w:hAnsi="Palatino Linotype" w:cs="Arial"/>
          <w:i/>
          <w:sz w:val="22"/>
          <w:szCs w:val="22"/>
        </w:rPr>
      </w:pPr>
      <w:r w:rsidRPr="003A787D">
        <w:rPr>
          <w:rFonts w:ascii="Palatino Linotype" w:hAnsi="Palatino Linotype" w:cs="Arial"/>
          <w:i/>
          <w:sz w:val="22"/>
          <w:szCs w:val="22"/>
        </w:rPr>
        <w:t>VII. La rúbrica del titular del área.</w:t>
      </w:r>
    </w:p>
    <w:p w14:paraId="1E623A6B" w14:textId="77777777" w:rsidR="00164E0E" w:rsidRPr="003A787D" w:rsidRDefault="00164E0E" w:rsidP="00164E0E">
      <w:pPr>
        <w:pStyle w:val="Prrafodelista"/>
        <w:tabs>
          <w:tab w:val="left" w:pos="142"/>
          <w:tab w:val="left" w:pos="284"/>
          <w:tab w:val="left" w:pos="426"/>
        </w:tabs>
        <w:spacing w:line="276" w:lineRule="auto"/>
        <w:ind w:left="567" w:right="567"/>
        <w:jc w:val="both"/>
        <w:rPr>
          <w:rFonts w:ascii="Palatino Linotype" w:hAnsi="Palatino Linotype" w:cs="Arial"/>
          <w:i/>
          <w:sz w:val="22"/>
          <w:szCs w:val="22"/>
        </w:rPr>
      </w:pPr>
    </w:p>
    <w:p w14:paraId="3967E307" w14:textId="77777777" w:rsidR="00164E0E" w:rsidRPr="003A787D" w:rsidRDefault="00164E0E" w:rsidP="00164E0E">
      <w:pPr>
        <w:pStyle w:val="Prrafodelista"/>
        <w:tabs>
          <w:tab w:val="left" w:pos="142"/>
          <w:tab w:val="left" w:pos="284"/>
          <w:tab w:val="left" w:pos="426"/>
        </w:tabs>
        <w:spacing w:line="276" w:lineRule="auto"/>
        <w:ind w:left="567" w:right="567"/>
        <w:jc w:val="both"/>
        <w:rPr>
          <w:rFonts w:ascii="Palatino Linotype" w:hAnsi="Palatino Linotype" w:cs="Arial"/>
          <w:i/>
          <w:sz w:val="22"/>
          <w:szCs w:val="22"/>
        </w:rPr>
      </w:pPr>
      <w:r w:rsidRPr="003A787D">
        <w:rPr>
          <w:rFonts w:ascii="Palatino Linotype" w:hAnsi="Palatino Linotype" w:cs="Arial"/>
          <w:b/>
          <w:i/>
          <w:sz w:val="22"/>
          <w:szCs w:val="22"/>
        </w:rPr>
        <w:t>Quincuagésimo segundo.</w:t>
      </w:r>
      <w:r w:rsidRPr="003A787D">
        <w:rPr>
          <w:rFonts w:ascii="Palatino Linotype" w:hAnsi="Palatino Linotype" w:cs="Arial"/>
          <w:i/>
          <w:sz w:val="22"/>
          <w:szCs w:val="22"/>
        </w:rPr>
        <w:t xml:space="preserve"> Los sujetos obligados elaborarán los formatos a que se refiere este Capítulo en medios impresos o electrónicos, entre otros, debiendo ubicarse la leyenda de clasificación en la esquina superior derecha del documento.</w:t>
      </w:r>
    </w:p>
    <w:p w14:paraId="617D5A4F" w14:textId="77777777" w:rsidR="00164E0E" w:rsidRPr="003A787D" w:rsidRDefault="00164E0E" w:rsidP="00164E0E">
      <w:pPr>
        <w:pStyle w:val="Prrafodelista"/>
        <w:tabs>
          <w:tab w:val="left" w:pos="142"/>
          <w:tab w:val="left" w:pos="284"/>
          <w:tab w:val="left" w:pos="426"/>
        </w:tabs>
        <w:spacing w:line="276" w:lineRule="auto"/>
        <w:ind w:left="567" w:right="567"/>
        <w:jc w:val="both"/>
        <w:rPr>
          <w:rFonts w:ascii="Palatino Linotype" w:hAnsi="Palatino Linotype" w:cs="Arial"/>
          <w:i/>
          <w:sz w:val="22"/>
          <w:szCs w:val="22"/>
        </w:rPr>
      </w:pPr>
      <w:r w:rsidRPr="003A787D">
        <w:rPr>
          <w:rFonts w:ascii="Palatino Linotype" w:hAnsi="Palatino Linotype" w:cs="Arial"/>
          <w:i/>
          <w:sz w:val="22"/>
          <w:szCs w:val="22"/>
        </w:rPr>
        <w:t>En caso de que las condiciones del documento no permitan la inserción completa de la leyenda de clasificación, los sujetos obligados deberán señalar con números o letras las partes testadas para que, en una hoja anexa, se desglose la referida leyenda con las acotaciones realizadas.</w:t>
      </w:r>
    </w:p>
    <w:p w14:paraId="20FE6F94" w14:textId="77777777" w:rsidR="00164E0E" w:rsidRPr="003A787D" w:rsidRDefault="00164E0E" w:rsidP="00164E0E">
      <w:pPr>
        <w:pStyle w:val="Prrafodelista"/>
        <w:tabs>
          <w:tab w:val="left" w:pos="142"/>
          <w:tab w:val="left" w:pos="284"/>
          <w:tab w:val="left" w:pos="426"/>
        </w:tabs>
        <w:spacing w:line="276" w:lineRule="auto"/>
        <w:ind w:left="567" w:right="567"/>
        <w:jc w:val="both"/>
        <w:rPr>
          <w:rFonts w:ascii="Palatino Linotype" w:hAnsi="Palatino Linotype" w:cs="Arial"/>
          <w:i/>
          <w:sz w:val="22"/>
          <w:szCs w:val="22"/>
        </w:rPr>
      </w:pPr>
    </w:p>
    <w:p w14:paraId="5C0B434D" w14:textId="77777777" w:rsidR="00164E0E" w:rsidRPr="003A787D" w:rsidRDefault="00164E0E" w:rsidP="00164E0E">
      <w:pPr>
        <w:pStyle w:val="Prrafodelista"/>
        <w:tabs>
          <w:tab w:val="left" w:pos="142"/>
          <w:tab w:val="left" w:pos="284"/>
          <w:tab w:val="left" w:pos="426"/>
        </w:tabs>
        <w:spacing w:line="276" w:lineRule="auto"/>
        <w:ind w:left="567" w:right="567"/>
        <w:jc w:val="both"/>
        <w:rPr>
          <w:rFonts w:ascii="Palatino Linotype" w:hAnsi="Palatino Linotype" w:cs="Arial"/>
          <w:i/>
          <w:sz w:val="22"/>
          <w:szCs w:val="22"/>
        </w:rPr>
      </w:pPr>
      <w:r w:rsidRPr="003A787D">
        <w:rPr>
          <w:rFonts w:ascii="Palatino Linotype" w:hAnsi="Palatino Linotype" w:cs="Arial"/>
          <w:b/>
          <w:i/>
          <w:sz w:val="22"/>
          <w:szCs w:val="22"/>
        </w:rPr>
        <w:t>Quincuagésimo tercero.</w:t>
      </w:r>
      <w:r w:rsidRPr="003A787D">
        <w:rPr>
          <w:rFonts w:ascii="Palatino Linotype" w:hAnsi="Palatino Linotype" w:cs="Arial"/>
          <w:i/>
          <w:sz w:val="22"/>
          <w:szCs w:val="22"/>
        </w:rPr>
        <w:t xml:space="preserve"> El formato para señalar la clasificación parcial de un documento, es el siguiente:</w:t>
      </w:r>
    </w:p>
    <w:p w14:paraId="2EC798D5" w14:textId="41211FCD" w:rsidR="00164E0E" w:rsidRPr="003A787D" w:rsidRDefault="00164E0E" w:rsidP="00164E0E">
      <w:pPr>
        <w:pStyle w:val="Prrafodelista"/>
        <w:tabs>
          <w:tab w:val="left" w:pos="426"/>
        </w:tabs>
        <w:spacing w:before="240" w:after="240" w:line="360" w:lineRule="auto"/>
        <w:ind w:left="0" w:right="51"/>
        <w:jc w:val="center"/>
        <w:rPr>
          <w:rFonts w:ascii="Palatino Linotype" w:hAnsi="Palatino Linotype"/>
          <w:color w:val="000000" w:themeColor="text1"/>
        </w:rPr>
      </w:pPr>
      <w:r w:rsidRPr="003A787D">
        <w:rPr>
          <w:rFonts w:ascii="Palatino Linotype" w:hAnsi="Palatino Linotype" w:cs="Arial"/>
          <w:i/>
          <w:noProof/>
          <w:lang w:eastAsia="es-MX"/>
        </w:rPr>
        <w:lastRenderedPageBreak/>
        <w:drawing>
          <wp:inline distT="0" distB="0" distL="0" distR="0" wp14:anchorId="2ECDD623" wp14:editId="28623A89">
            <wp:extent cx="4746145" cy="3895725"/>
            <wp:effectExtent l="57150" t="57150" r="92710" b="85725"/>
            <wp:docPr id="10" name="Imagen 10"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n 10" descr="Tabla&#10;&#10;Descripción generada automáticamente"/>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839013" cy="3971953"/>
                    </a:xfrm>
                    <a:prstGeom prst="rect">
                      <a:avLst/>
                    </a:prstGeom>
                    <a:ln w="9525"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18F333A7" w14:textId="77777777" w:rsidR="00164E0E" w:rsidRPr="003A787D" w:rsidRDefault="00164E0E" w:rsidP="00164E0E">
      <w:pPr>
        <w:pStyle w:val="Prrafodelista"/>
        <w:tabs>
          <w:tab w:val="left" w:pos="426"/>
        </w:tabs>
        <w:spacing w:before="240" w:after="240" w:line="360" w:lineRule="auto"/>
        <w:ind w:left="0" w:right="51"/>
        <w:jc w:val="both"/>
        <w:rPr>
          <w:rFonts w:ascii="Palatino Linotype" w:hAnsi="Palatino Linotype"/>
          <w:color w:val="000000" w:themeColor="text1"/>
        </w:rPr>
      </w:pPr>
    </w:p>
    <w:p w14:paraId="5B07EB76" w14:textId="2C1F7534" w:rsidR="00164E0E" w:rsidRPr="003A787D" w:rsidRDefault="00164E0E" w:rsidP="003E1087">
      <w:pPr>
        <w:pStyle w:val="Prrafodelista"/>
        <w:numPr>
          <w:ilvl w:val="0"/>
          <w:numId w:val="1"/>
        </w:numPr>
        <w:tabs>
          <w:tab w:val="left" w:pos="426"/>
        </w:tabs>
        <w:spacing w:before="240" w:after="240" w:line="360" w:lineRule="auto"/>
        <w:ind w:right="51"/>
        <w:jc w:val="both"/>
        <w:rPr>
          <w:rFonts w:ascii="Palatino Linotype" w:hAnsi="Palatino Linotype"/>
          <w:color w:val="000000" w:themeColor="text1"/>
        </w:rPr>
      </w:pPr>
      <w:r w:rsidRPr="003A787D">
        <w:rPr>
          <w:rFonts w:ascii="Palatino Linotype" w:hAnsi="Palatino Linotype"/>
          <w:color w:val="000000" w:themeColor="text1"/>
        </w:rPr>
        <w:t xml:space="preserve">Una </w:t>
      </w:r>
      <w:r w:rsidRPr="003A787D">
        <w:rPr>
          <w:rFonts w:ascii="Palatino Linotype" w:eastAsia="MS Mincho" w:hAnsi="Palatino Linotype" w:cs="Times New Roman"/>
        </w:rPr>
        <w:t>vez hecho lo anterior, se remite la información al Titular de la Unidad de Transparencia, con el acuerdo de clasificación correspondiente, para que sea sometido al conocimiento del Comité de Transparencia.</w:t>
      </w:r>
    </w:p>
    <w:p w14:paraId="4AFE7F88" w14:textId="7DA93A94" w:rsidR="00164E0E" w:rsidRPr="003A787D" w:rsidRDefault="00164E0E" w:rsidP="00164E0E">
      <w:pPr>
        <w:pStyle w:val="Prrafodelista"/>
        <w:tabs>
          <w:tab w:val="left" w:pos="426"/>
        </w:tabs>
        <w:spacing w:before="240" w:after="240" w:line="360" w:lineRule="auto"/>
        <w:ind w:left="0" w:right="51"/>
        <w:jc w:val="both"/>
        <w:rPr>
          <w:rFonts w:ascii="Palatino Linotype" w:hAnsi="Palatino Linotype"/>
          <w:color w:val="000000" w:themeColor="text1"/>
        </w:rPr>
      </w:pPr>
    </w:p>
    <w:p w14:paraId="60393986" w14:textId="3BD9E8B2" w:rsidR="00164E0E" w:rsidRPr="003A787D" w:rsidRDefault="00164E0E" w:rsidP="00164E0E">
      <w:pPr>
        <w:pStyle w:val="Prrafodelista"/>
        <w:tabs>
          <w:tab w:val="left" w:pos="426"/>
        </w:tabs>
        <w:spacing w:before="240" w:after="240" w:line="360" w:lineRule="auto"/>
        <w:ind w:left="0" w:right="51"/>
        <w:jc w:val="both"/>
        <w:outlineLvl w:val="2"/>
        <w:rPr>
          <w:rFonts w:ascii="Palatino Linotype" w:hAnsi="Palatino Linotype"/>
          <w:b/>
          <w:bCs/>
          <w:color w:val="000000" w:themeColor="text1"/>
        </w:rPr>
      </w:pPr>
      <w:r w:rsidRPr="003A787D">
        <w:rPr>
          <w:rFonts w:ascii="Palatino Linotype" w:hAnsi="Palatino Linotype"/>
          <w:b/>
          <w:bCs/>
          <w:color w:val="000000" w:themeColor="text1"/>
        </w:rPr>
        <w:t>III. La intervención del Comité de Transparencia.</w:t>
      </w:r>
    </w:p>
    <w:p w14:paraId="2D652BDE" w14:textId="5790B996" w:rsidR="00164E0E" w:rsidRPr="003A787D" w:rsidRDefault="00164E0E" w:rsidP="00164E0E">
      <w:pPr>
        <w:pStyle w:val="Prrafodelista"/>
        <w:tabs>
          <w:tab w:val="left" w:pos="426"/>
        </w:tabs>
        <w:spacing w:before="240" w:after="240" w:line="360" w:lineRule="auto"/>
        <w:ind w:left="0" w:right="51"/>
        <w:jc w:val="both"/>
        <w:rPr>
          <w:rFonts w:ascii="Palatino Linotype" w:hAnsi="Palatino Linotype"/>
          <w:b/>
          <w:bCs/>
          <w:color w:val="000000" w:themeColor="text1"/>
        </w:rPr>
      </w:pPr>
      <w:r w:rsidRPr="003A787D">
        <w:rPr>
          <w:rFonts w:ascii="Palatino Linotype" w:hAnsi="Palatino Linotype"/>
          <w:b/>
          <w:bCs/>
          <w:color w:val="000000" w:themeColor="text1"/>
        </w:rPr>
        <w:t>a) Formalidades para emitir el Acuerdo de Clasificación.</w:t>
      </w:r>
    </w:p>
    <w:p w14:paraId="4A1B7AED" w14:textId="77777777" w:rsidR="00164E0E" w:rsidRPr="003A787D" w:rsidRDefault="00164E0E" w:rsidP="00164E0E">
      <w:pPr>
        <w:pStyle w:val="Prrafodelista"/>
        <w:tabs>
          <w:tab w:val="left" w:pos="426"/>
        </w:tabs>
        <w:spacing w:before="240" w:after="240" w:line="360" w:lineRule="auto"/>
        <w:ind w:left="0" w:right="51"/>
        <w:jc w:val="both"/>
        <w:rPr>
          <w:rFonts w:ascii="Palatino Linotype" w:hAnsi="Palatino Linotype"/>
          <w:color w:val="000000" w:themeColor="text1"/>
        </w:rPr>
      </w:pPr>
    </w:p>
    <w:p w14:paraId="3D99F3F4" w14:textId="77777777" w:rsidR="00164E0E" w:rsidRPr="003A787D" w:rsidRDefault="00164E0E" w:rsidP="00164E0E">
      <w:pPr>
        <w:pStyle w:val="Prrafodelista"/>
        <w:numPr>
          <w:ilvl w:val="0"/>
          <w:numId w:val="1"/>
        </w:numPr>
        <w:tabs>
          <w:tab w:val="left" w:pos="426"/>
        </w:tabs>
        <w:spacing w:before="240" w:after="240" w:line="360" w:lineRule="auto"/>
        <w:ind w:right="51"/>
        <w:jc w:val="both"/>
        <w:rPr>
          <w:rFonts w:ascii="Palatino Linotype" w:hAnsi="Palatino Linotype"/>
          <w:color w:val="000000" w:themeColor="text1"/>
        </w:rPr>
      </w:pPr>
      <w:r w:rsidRPr="003A787D">
        <w:rPr>
          <w:rFonts w:ascii="Palatino Linotype" w:hAnsi="Palatino Linotype"/>
          <w:color w:val="000000" w:themeColor="text1"/>
        </w:rPr>
        <w:t xml:space="preserve">El </w:t>
      </w:r>
      <w:r w:rsidRPr="003A787D">
        <w:rPr>
          <w:rFonts w:ascii="Palatino Linotype" w:eastAsia="MS Mincho" w:hAnsi="Palatino Linotype" w:cs="Times New Roman"/>
        </w:rPr>
        <w:t xml:space="preserve">Comité de Transparencia, según lo dispuesto en los artículos 128 y 103 de la Ley Estatal y de la Ley General, respectivamente, y la fracción III del numeral Segundo de los Lineamientos generales en materia de clasificación y </w:t>
      </w:r>
      <w:r w:rsidRPr="003A787D">
        <w:rPr>
          <w:rFonts w:ascii="Palatino Linotype" w:eastAsia="MS Mincho" w:hAnsi="Palatino Linotype" w:cs="Times New Roman"/>
        </w:rPr>
        <w:lastRenderedPageBreak/>
        <w:t>desclasificación de la información, así como para la elaboración de versiones públicas, en adelante los Lineamientos Generales, cuenta con las facultades para confirmar, modificar o revocar la clasificación de la información que ha hecho el titular del área que administra la información. Por lo tanto, el Comité no aprueba la clasificación, sino que revisa lo que ha hecho el titular del área y confirma, modifica o revoca la decisión a través de un acuerdo.</w:t>
      </w:r>
    </w:p>
    <w:p w14:paraId="5630A9FC" w14:textId="77777777" w:rsidR="00164E0E" w:rsidRPr="003A787D" w:rsidRDefault="00164E0E" w:rsidP="00164E0E">
      <w:pPr>
        <w:pStyle w:val="Prrafodelista"/>
        <w:tabs>
          <w:tab w:val="left" w:pos="426"/>
        </w:tabs>
        <w:spacing w:before="240" w:after="240" w:line="360" w:lineRule="auto"/>
        <w:ind w:left="0" w:right="51"/>
        <w:jc w:val="both"/>
        <w:rPr>
          <w:rFonts w:ascii="Palatino Linotype" w:hAnsi="Palatino Linotype"/>
          <w:color w:val="000000" w:themeColor="text1"/>
        </w:rPr>
      </w:pPr>
    </w:p>
    <w:p w14:paraId="23F61A4A" w14:textId="77777777" w:rsidR="00164E0E" w:rsidRPr="003A787D" w:rsidRDefault="00164E0E" w:rsidP="00164E0E">
      <w:pPr>
        <w:pStyle w:val="Prrafodelista"/>
        <w:numPr>
          <w:ilvl w:val="0"/>
          <w:numId w:val="1"/>
        </w:numPr>
        <w:tabs>
          <w:tab w:val="left" w:pos="426"/>
        </w:tabs>
        <w:spacing w:before="240" w:after="240" w:line="360" w:lineRule="auto"/>
        <w:ind w:right="51"/>
        <w:jc w:val="both"/>
        <w:rPr>
          <w:rFonts w:ascii="Palatino Linotype" w:hAnsi="Palatino Linotype"/>
          <w:color w:val="000000" w:themeColor="text1"/>
        </w:rPr>
      </w:pPr>
      <w:r w:rsidRPr="003A787D">
        <w:rPr>
          <w:rFonts w:ascii="Palatino Linotype" w:hAnsi="Palatino Linotype"/>
          <w:color w:val="000000" w:themeColor="text1"/>
        </w:rPr>
        <w:t xml:space="preserve">Evidentemente, </w:t>
      </w:r>
      <w:r w:rsidRPr="003A787D">
        <w:rPr>
          <w:rFonts w:ascii="Palatino Linotype" w:eastAsia="MS Mincho" w:hAnsi="Palatino Linotype" w:cs="Times New Roman"/>
        </w:rPr>
        <w:t>esta decisión implica una restricción a un derecho humano, por lo tanto, puede generar un agravio al particular y, en consecuencia, es necesario que el acto reúna con los requisitos elementales, entre ellos, que la autoridad que va a emitir el acto de autoridad sea la legalmente facultada para ello, es decir, que cumpla con el principio de reserva de ley,  por lo que no está demás señalar que el artículo 45 de la Ley Estatal, claramente señala que el Comité de Transparencia, legalmente facultado para emitir el acuerdo de clasificación, se integra por el Titular de la Unidad de Transparencia, el responsable del área coordinadora de archivos y el titular del órgano interno de control, integrado siempre por un número impar y que no debe de existir dependencia jerárquica entre sus integrantes. Cualquier otra composición del Comité puede generar vicios de legalidad de origen en el acto que restringe un derecho humano.</w:t>
      </w:r>
    </w:p>
    <w:p w14:paraId="335B5862" w14:textId="77777777" w:rsidR="00164E0E" w:rsidRPr="003A787D" w:rsidRDefault="00164E0E" w:rsidP="00164E0E">
      <w:pPr>
        <w:pStyle w:val="Prrafodelista"/>
        <w:tabs>
          <w:tab w:val="left" w:pos="426"/>
        </w:tabs>
        <w:spacing w:before="240" w:after="240" w:line="360" w:lineRule="auto"/>
        <w:ind w:left="0" w:right="51"/>
        <w:jc w:val="both"/>
        <w:rPr>
          <w:rFonts w:ascii="Palatino Linotype" w:hAnsi="Palatino Linotype"/>
          <w:color w:val="000000" w:themeColor="text1"/>
        </w:rPr>
      </w:pPr>
    </w:p>
    <w:p w14:paraId="37584021" w14:textId="525A76BA" w:rsidR="00164E0E" w:rsidRPr="003A787D" w:rsidRDefault="00164E0E" w:rsidP="00164E0E">
      <w:pPr>
        <w:pStyle w:val="Prrafodelista"/>
        <w:numPr>
          <w:ilvl w:val="0"/>
          <w:numId w:val="1"/>
        </w:numPr>
        <w:tabs>
          <w:tab w:val="left" w:pos="426"/>
        </w:tabs>
        <w:spacing w:before="240" w:after="240" w:line="360" w:lineRule="auto"/>
        <w:ind w:right="51"/>
        <w:jc w:val="both"/>
        <w:rPr>
          <w:rFonts w:ascii="Palatino Linotype" w:hAnsi="Palatino Linotype"/>
          <w:color w:val="000000" w:themeColor="text1"/>
        </w:rPr>
      </w:pPr>
      <w:r w:rsidRPr="003A787D">
        <w:rPr>
          <w:rFonts w:ascii="Palatino Linotype" w:hAnsi="Palatino Linotype"/>
          <w:color w:val="000000" w:themeColor="text1"/>
        </w:rPr>
        <w:t xml:space="preserve">La </w:t>
      </w:r>
      <w:r w:rsidRPr="003A787D">
        <w:rPr>
          <w:rFonts w:ascii="Palatino Linotype" w:eastAsia="MS Mincho" w:hAnsi="Palatino Linotype" w:cs="Times New Roman"/>
        </w:rPr>
        <w:t xml:space="preserve">decisión de confirmar, modificar o revocar la clasificación deberá de asentarse en un documento que registre la determinación a la que se llegue después de un análisis minucioso a partir de lo aprobado por el Titular del área que administra la información, cuyo análisis debe integrarse en la agenda de los asuntos a tratar en las sesiones, se insiste, a partir de las decisiones adoptadas previamente </w:t>
      </w:r>
      <w:r w:rsidRPr="003A787D">
        <w:rPr>
          <w:rFonts w:ascii="Palatino Linotype" w:eastAsia="MS Mincho" w:hAnsi="Palatino Linotype" w:cs="Times New Roman"/>
        </w:rPr>
        <w:lastRenderedPageBreak/>
        <w:t>por los titulares de áreas y que son sujetas a control, en primera instancia, por el Comité de Transparencia.</w:t>
      </w:r>
    </w:p>
    <w:p w14:paraId="69999E6A" w14:textId="4B943DF6" w:rsidR="00164E0E" w:rsidRPr="003A787D" w:rsidRDefault="00164E0E" w:rsidP="00164E0E">
      <w:pPr>
        <w:pStyle w:val="Prrafodelista"/>
        <w:tabs>
          <w:tab w:val="left" w:pos="426"/>
        </w:tabs>
        <w:spacing w:before="240" w:after="240" w:line="360" w:lineRule="auto"/>
        <w:ind w:left="0" w:right="51"/>
        <w:jc w:val="both"/>
        <w:rPr>
          <w:rFonts w:ascii="Palatino Linotype" w:hAnsi="Palatino Linotype"/>
          <w:color w:val="000000" w:themeColor="text1"/>
        </w:rPr>
      </w:pPr>
    </w:p>
    <w:p w14:paraId="1119E501" w14:textId="29CB948A" w:rsidR="00164E0E" w:rsidRPr="003A787D" w:rsidRDefault="00164E0E" w:rsidP="00164E0E">
      <w:pPr>
        <w:pStyle w:val="Prrafodelista"/>
        <w:tabs>
          <w:tab w:val="left" w:pos="426"/>
        </w:tabs>
        <w:spacing w:before="240" w:after="240" w:line="360" w:lineRule="auto"/>
        <w:ind w:left="0" w:right="51"/>
        <w:jc w:val="both"/>
        <w:rPr>
          <w:rFonts w:ascii="Palatino Linotype" w:hAnsi="Palatino Linotype"/>
          <w:b/>
          <w:bCs/>
          <w:color w:val="000000" w:themeColor="text1"/>
        </w:rPr>
      </w:pPr>
      <w:r w:rsidRPr="003A787D">
        <w:rPr>
          <w:rFonts w:ascii="Palatino Linotype" w:hAnsi="Palatino Linotype"/>
          <w:b/>
          <w:bCs/>
          <w:color w:val="000000" w:themeColor="text1"/>
        </w:rPr>
        <w:t>b) Requisitos de fondo del Acuerdo de Clasificación.</w:t>
      </w:r>
    </w:p>
    <w:p w14:paraId="3FD2307D" w14:textId="77777777" w:rsidR="00164E0E" w:rsidRPr="003A787D" w:rsidRDefault="00164E0E" w:rsidP="00164E0E">
      <w:pPr>
        <w:pStyle w:val="Prrafodelista"/>
        <w:tabs>
          <w:tab w:val="left" w:pos="426"/>
        </w:tabs>
        <w:spacing w:before="240" w:after="240" w:line="360" w:lineRule="auto"/>
        <w:ind w:left="0" w:right="51"/>
        <w:jc w:val="both"/>
        <w:rPr>
          <w:rFonts w:ascii="Palatino Linotype" w:hAnsi="Palatino Linotype"/>
          <w:color w:val="000000" w:themeColor="text1"/>
        </w:rPr>
      </w:pPr>
    </w:p>
    <w:p w14:paraId="2FC7EA48" w14:textId="77777777" w:rsidR="00164E0E" w:rsidRPr="003A787D" w:rsidRDefault="00164E0E" w:rsidP="00164E0E">
      <w:pPr>
        <w:pStyle w:val="Prrafodelista"/>
        <w:numPr>
          <w:ilvl w:val="0"/>
          <w:numId w:val="1"/>
        </w:numPr>
        <w:tabs>
          <w:tab w:val="left" w:pos="426"/>
        </w:tabs>
        <w:spacing w:before="240" w:after="240" w:line="360" w:lineRule="auto"/>
        <w:ind w:right="51"/>
        <w:jc w:val="both"/>
        <w:rPr>
          <w:rFonts w:ascii="Palatino Linotype" w:hAnsi="Palatino Linotype"/>
          <w:color w:val="000000" w:themeColor="text1"/>
        </w:rPr>
      </w:pPr>
      <w:r w:rsidRPr="003A787D">
        <w:rPr>
          <w:rFonts w:ascii="Palatino Linotype" w:hAnsi="Palatino Linotype"/>
          <w:color w:val="000000" w:themeColor="text1"/>
        </w:rPr>
        <w:t xml:space="preserve">Como </w:t>
      </w:r>
      <w:r w:rsidRPr="003A787D">
        <w:rPr>
          <w:rFonts w:ascii="Palatino Linotype" w:hAnsi="Palatino Linotype" w:cs="Arial"/>
          <w:color w:val="000000" w:themeColor="text1"/>
        </w:rPr>
        <w:t>se ha señalado antes, al hacer el juicio de subsunción o encaje entre el supuesto de hecho y la hipótesis jurídica, se debe acreditar la estricta correspondencia entre un elemento y otro. Ahora, en esta parte del procedimiento, que se desahoga en sede del Comité de Transparencia, la ley nos aporta mayores luces para cumplir con dicha acreditación. En los artículos 131 y 105 segundo párrafo de la Ley Estatal y de la Ley General respectivamente, y el lineamiento sexagésimo segundo de los Lineamientos Generales, al señalar que la carga de la prueba, para justificar las restricciones, corresponde a los sujetos obligados, por lo que deberán fundar y motivar debidamente la clasificación.</w:t>
      </w:r>
    </w:p>
    <w:p w14:paraId="237387CD" w14:textId="77777777" w:rsidR="00164E0E" w:rsidRPr="003A787D" w:rsidRDefault="00164E0E" w:rsidP="00164E0E">
      <w:pPr>
        <w:pStyle w:val="Prrafodelista"/>
        <w:tabs>
          <w:tab w:val="left" w:pos="426"/>
        </w:tabs>
        <w:spacing w:before="240" w:after="240" w:line="360" w:lineRule="auto"/>
        <w:ind w:left="0" w:right="51"/>
        <w:jc w:val="both"/>
        <w:rPr>
          <w:rFonts w:ascii="Palatino Linotype" w:hAnsi="Palatino Linotype"/>
          <w:color w:val="000000" w:themeColor="text1"/>
        </w:rPr>
      </w:pPr>
    </w:p>
    <w:p w14:paraId="222D8D6E" w14:textId="77777777" w:rsidR="00164E0E" w:rsidRPr="003A787D" w:rsidRDefault="00164E0E" w:rsidP="00164E0E">
      <w:pPr>
        <w:pStyle w:val="Prrafodelista"/>
        <w:numPr>
          <w:ilvl w:val="0"/>
          <w:numId w:val="1"/>
        </w:numPr>
        <w:tabs>
          <w:tab w:val="left" w:pos="426"/>
        </w:tabs>
        <w:spacing w:before="240" w:after="240" w:line="360" w:lineRule="auto"/>
        <w:ind w:right="51"/>
        <w:jc w:val="both"/>
        <w:rPr>
          <w:rFonts w:ascii="Palatino Linotype" w:hAnsi="Palatino Linotype"/>
          <w:color w:val="000000" w:themeColor="text1"/>
        </w:rPr>
      </w:pPr>
      <w:r w:rsidRPr="003A787D">
        <w:rPr>
          <w:rFonts w:ascii="Palatino Linotype" w:hAnsi="Palatino Linotype"/>
          <w:color w:val="000000" w:themeColor="text1"/>
        </w:rPr>
        <w:t xml:space="preserve">De </w:t>
      </w:r>
      <w:r w:rsidRPr="003A787D">
        <w:rPr>
          <w:rFonts w:ascii="Palatino Linotype" w:eastAsia="MS Mincho" w:hAnsi="Palatino Linotype" w:cs="Times New Roman"/>
        </w:rPr>
        <w:t>lo anterior se desprende que, para una correcta clasificación total o parcial, esto es determinar los datos que se suprimen en las versiones públicas, es necesario fundar y motivar, de manera correcta, la clasificación; considerando que todo acto que la autoridad pronuncie en el ejercicio de sus atribuciones, debe expresar los fundamentos legales que le dieron origen y las razones por las que se deben aplicar al caso concreto.</w:t>
      </w:r>
    </w:p>
    <w:p w14:paraId="48977327" w14:textId="77777777" w:rsidR="00164E0E" w:rsidRPr="003A787D" w:rsidRDefault="00164E0E" w:rsidP="00164E0E">
      <w:pPr>
        <w:pStyle w:val="Prrafodelista"/>
        <w:tabs>
          <w:tab w:val="left" w:pos="426"/>
        </w:tabs>
        <w:spacing w:before="240" w:after="240" w:line="360" w:lineRule="auto"/>
        <w:ind w:left="0" w:right="51"/>
        <w:jc w:val="both"/>
        <w:rPr>
          <w:rFonts w:ascii="Palatino Linotype" w:hAnsi="Palatino Linotype"/>
          <w:color w:val="000000" w:themeColor="text1"/>
        </w:rPr>
      </w:pPr>
    </w:p>
    <w:p w14:paraId="75296FDD" w14:textId="18B115F0" w:rsidR="00164E0E" w:rsidRPr="003A787D" w:rsidRDefault="00164E0E" w:rsidP="00164E0E">
      <w:pPr>
        <w:pStyle w:val="Prrafodelista"/>
        <w:numPr>
          <w:ilvl w:val="0"/>
          <w:numId w:val="1"/>
        </w:numPr>
        <w:tabs>
          <w:tab w:val="left" w:pos="426"/>
        </w:tabs>
        <w:spacing w:before="240" w:after="240" w:line="360" w:lineRule="auto"/>
        <w:ind w:right="51"/>
        <w:jc w:val="both"/>
        <w:rPr>
          <w:rFonts w:ascii="Palatino Linotype" w:hAnsi="Palatino Linotype"/>
          <w:color w:val="000000" w:themeColor="text1"/>
        </w:rPr>
      </w:pPr>
      <w:r w:rsidRPr="003A787D">
        <w:rPr>
          <w:rFonts w:ascii="Palatino Linotype" w:hAnsi="Palatino Linotype"/>
          <w:color w:val="000000" w:themeColor="text1"/>
        </w:rPr>
        <w:t xml:space="preserve">Han </w:t>
      </w:r>
      <w:r w:rsidRPr="003A787D">
        <w:rPr>
          <w:rFonts w:ascii="Palatino Linotype" w:eastAsia="MS Mincho" w:hAnsi="Palatino Linotype" w:cs="Times New Roman"/>
        </w:rPr>
        <w:t xml:space="preserve">sido vastos los estudios doctrinarios relativos a estos derechos fundamentales y al principio de legalidad en ellos contenidos; como ejemplo, el procesalista José Ovalle Fabela, en su obra “Garantías Constitucionales del </w:t>
      </w:r>
      <w:r w:rsidRPr="003A787D">
        <w:rPr>
          <w:rFonts w:ascii="Palatino Linotype" w:eastAsia="MS Mincho" w:hAnsi="Palatino Linotype" w:cs="Times New Roman"/>
        </w:rPr>
        <w:lastRenderedPageBreak/>
        <w:t xml:space="preserve">Proceso”, refiere que </w:t>
      </w:r>
      <w:r w:rsidRPr="003A787D">
        <w:rPr>
          <w:rFonts w:ascii="Palatino Linotype" w:eastAsia="MS Mincho" w:hAnsi="Palatino Linotype" w:cs="Times New Roman"/>
          <w:i/>
          <w:iCs/>
        </w:rPr>
        <w:t>“(...) la garantía de fundamentación impone a las autoridades el deber de precisar las disposiciones jurídicas que aplican a los hechos de que se trate y que sustenten su competencia, así como de manifestar los razonamientos que demuestren la aplicabilidad de dichas disposiciones, todo lo cual se debe traducir en una argumentación o juicio de derecho. Pero de igual manera, la garantía de motivación exige que las autoridades expongan los razonamientos con base en los cuales llegaron a la conclusión de que esos hechos son ciertos, normalmente a partir del análisis de las pruebas, lo cual se debe exteriorizar en una argumentación o juicio de hecho (…)”</w:t>
      </w:r>
      <w:r w:rsidRPr="003A787D">
        <w:rPr>
          <w:rFonts w:ascii="Palatino Linotype" w:eastAsia="MS Mincho" w:hAnsi="Palatino Linotype" w:cs="Times New Roman"/>
        </w:rPr>
        <w:t>.</w:t>
      </w:r>
    </w:p>
    <w:p w14:paraId="51B5632D" w14:textId="77777777" w:rsidR="00164E0E" w:rsidRPr="003A787D" w:rsidRDefault="00164E0E" w:rsidP="00164E0E">
      <w:pPr>
        <w:pStyle w:val="Prrafodelista"/>
        <w:tabs>
          <w:tab w:val="left" w:pos="426"/>
        </w:tabs>
        <w:spacing w:before="240" w:after="240" w:line="360" w:lineRule="auto"/>
        <w:ind w:left="0" w:right="51"/>
        <w:jc w:val="both"/>
        <w:rPr>
          <w:rFonts w:ascii="Palatino Linotype" w:hAnsi="Palatino Linotype"/>
          <w:color w:val="000000" w:themeColor="text1"/>
        </w:rPr>
      </w:pPr>
    </w:p>
    <w:p w14:paraId="0B57D6E6" w14:textId="36AA92C9" w:rsidR="00164E0E" w:rsidRPr="003A787D" w:rsidRDefault="00164E0E" w:rsidP="00164E0E">
      <w:pPr>
        <w:pStyle w:val="Prrafodelista"/>
        <w:numPr>
          <w:ilvl w:val="0"/>
          <w:numId w:val="1"/>
        </w:numPr>
        <w:tabs>
          <w:tab w:val="left" w:pos="426"/>
        </w:tabs>
        <w:spacing w:before="240" w:after="240" w:line="360" w:lineRule="auto"/>
        <w:ind w:right="51"/>
        <w:jc w:val="both"/>
        <w:rPr>
          <w:rFonts w:ascii="Palatino Linotype" w:hAnsi="Palatino Linotype"/>
          <w:color w:val="000000" w:themeColor="text1"/>
        </w:rPr>
      </w:pPr>
      <w:r w:rsidRPr="003A787D">
        <w:rPr>
          <w:rFonts w:ascii="Palatino Linotype" w:hAnsi="Palatino Linotype"/>
          <w:color w:val="000000" w:themeColor="text1"/>
        </w:rPr>
        <w:t xml:space="preserve">Por </w:t>
      </w:r>
      <w:r w:rsidRPr="003A787D">
        <w:rPr>
          <w:rFonts w:ascii="Palatino Linotype" w:eastAsia="MS Mincho" w:hAnsi="Palatino Linotype" w:cs="Times New Roman"/>
        </w:rPr>
        <w:t>su parte, el intérprete judicial del país ha establecido una jurisprudencia</w:t>
      </w:r>
      <w:r w:rsidRPr="003A787D">
        <w:rPr>
          <w:rStyle w:val="Refdenotaalpie"/>
          <w:rFonts w:ascii="Palatino Linotype" w:eastAsia="MS Mincho" w:hAnsi="Palatino Linotype" w:cs="Times New Roman"/>
        </w:rPr>
        <w:footnoteReference w:id="20"/>
      </w:r>
      <w:r w:rsidRPr="003A787D">
        <w:rPr>
          <w:rFonts w:ascii="Palatino Linotype" w:eastAsia="MS Mincho" w:hAnsi="Palatino Linotype" w:cs="Times New Roman"/>
        </w:rPr>
        <w:t xml:space="preserve"> respecto a qué debe entenderse por fundamentación y motivación, en los siguientes términos:</w:t>
      </w:r>
    </w:p>
    <w:p w14:paraId="6E875890" w14:textId="1D57E699" w:rsidR="00164E0E" w:rsidRPr="003A787D" w:rsidRDefault="00164E0E" w:rsidP="00164E0E">
      <w:pPr>
        <w:pStyle w:val="Prrafodelista"/>
        <w:tabs>
          <w:tab w:val="left" w:pos="426"/>
        </w:tabs>
        <w:spacing w:before="240" w:line="360" w:lineRule="auto"/>
        <w:ind w:left="0" w:right="51"/>
        <w:jc w:val="both"/>
        <w:rPr>
          <w:rFonts w:ascii="Palatino Linotype" w:hAnsi="Palatino Linotype"/>
          <w:color w:val="000000" w:themeColor="text1"/>
        </w:rPr>
      </w:pPr>
    </w:p>
    <w:p w14:paraId="4D4933E1" w14:textId="77777777" w:rsidR="00164E0E" w:rsidRPr="003A787D" w:rsidRDefault="00164E0E" w:rsidP="00164E0E">
      <w:pPr>
        <w:spacing w:line="276" w:lineRule="auto"/>
        <w:ind w:left="567" w:right="567"/>
        <w:contextualSpacing/>
        <w:jc w:val="both"/>
        <w:rPr>
          <w:rFonts w:ascii="Palatino Linotype" w:hAnsi="Palatino Linotype" w:cs="Arial"/>
          <w:i/>
          <w:color w:val="000000"/>
          <w:sz w:val="22"/>
          <w:szCs w:val="22"/>
        </w:rPr>
      </w:pPr>
      <w:r w:rsidRPr="003A787D">
        <w:rPr>
          <w:rFonts w:ascii="Palatino Linotype" w:hAnsi="Palatino Linotype" w:cs="Arial"/>
          <w:b/>
          <w:i/>
          <w:color w:val="000000"/>
          <w:sz w:val="22"/>
          <w:szCs w:val="22"/>
        </w:rPr>
        <w:t>FUNDAMENTACIÓN Y MOTIVACIÓN.</w:t>
      </w:r>
      <w:r w:rsidRPr="003A787D">
        <w:rPr>
          <w:rFonts w:ascii="Palatino Linotype" w:hAnsi="Palatino Linotype" w:cs="Arial"/>
          <w:i/>
          <w:color w:val="000000"/>
          <w:sz w:val="22"/>
          <w:szCs w:val="22"/>
        </w:rPr>
        <w:t xml:space="preserve"> “La debida fundamentación y motivación legal, deben entenderse, por lo primero, la cita del precepto legal aplicable al caso, y por lo segundo, las razones, motivos o circunstancias especiales que llevaron a la autoridad a concluir que el caso particular encuadra en el supuesto previsto por la norma legal invocada como fundamento.”</w:t>
      </w:r>
    </w:p>
    <w:p w14:paraId="530E28A7" w14:textId="77777777" w:rsidR="00164E0E" w:rsidRPr="003A787D" w:rsidRDefault="00164E0E" w:rsidP="00164E0E">
      <w:pPr>
        <w:pStyle w:val="Prrafodelista"/>
        <w:tabs>
          <w:tab w:val="left" w:pos="426"/>
        </w:tabs>
        <w:spacing w:after="240" w:line="360" w:lineRule="auto"/>
        <w:ind w:left="0" w:right="51"/>
        <w:jc w:val="both"/>
        <w:rPr>
          <w:rFonts w:ascii="Palatino Linotype" w:hAnsi="Palatino Linotype"/>
          <w:color w:val="000000" w:themeColor="text1"/>
        </w:rPr>
      </w:pPr>
    </w:p>
    <w:p w14:paraId="4AF3F887" w14:textId="77777777" w:rsidR="00164E0E" w:rsidRPr="003A787D" w:rsidRDefault="00164E0E" w:rsidP="00164E0E">
      <w:pPr>
        <w:pStyle w:val="Prrafodelista"/>
        <w:numPr>
          <w:ilvl w:val="0"/>
          <w:numId w:val="1"/>
        </w:numPr>
        <w:tabs>
          <w:tab w:val="left" w:pos="426"/>
        </w:tabs>
        <w:spacing w:before="240" w:after="240" w:line="360" w:lineRule="auto"/>
        <w:ind w:right="51"/>
        <w:jc w:val="both"/>
        <w:rPr>
          <w:rFonts w:ascii="Palatino Linotype" w:hAnsi="Palatino Linotype"/>
          <w:color w:val="000000" w:themeColor="text1"/>
        </w:rPr>
      </w:pPr>
      <w:r w:rsidRPr="003A787D">
        <w:rPr>
          <w:rFonts w:ascii="Palatino Linotype" w:hAnsi="Palatino Linotype"/>
          <w:color w:val="000000" w:themeColor="text1"/>
        </w:rPr>
        <w:t xml:space="preserve">Así, </w:t>
      </w:r>
      <w:r w:rsidRPr="003A787D">
        <w:rPr>
          <w:rFonts w:ascii="Palatino Linotype" w:eastAsia="MS Mincho" w:hAnsi="Palatino Linotype" w:cs="Times New Roman"/>
        </w:rPr>
        <w:t>en un acto de autoridad se cumple con la debida fundamentación cuando se cita el precepto legal aplicable al caso concreto y la debida motivación cuando se expresan las razones, motivos o circunstancias que tomó en cuenta la autoridad para adecuar el hecho a los fundamentos de derecho.</w:t>
      </w:r>
    </w:p>
    <w:p w14:paraId="0C921FB3" w14:textId="77777777" w:rsidR="00164E0E" w:rsidRPr="003A787D" w:rsidRDefault="00164E0E" w:rsidP="00164E0E">
      <w:pPr>
        <w:pStyle w:val="Prrafodelista"/>
        <w:tabs>
          <w:tab w:val="left" w:pos="426"/>
        </w:tabs>
        <w:spacing w:before="240" w:after="240" w:line="360" w:lineRule="auto"/>
        <w:ind w:left="0" w:right="51"/>
        <w:jc w:val="both"/>
        <w:rPr>
          <w:rFonts w:ascii="Palatino Linotype" w:hAnsi="Palatino Linotype"/>
          <w:color w:val="000000" w:themeColor="text1"/>
        </w:rPr>
      </w:pPr>
    </w:p>
    <w:p w14:paraId="5CD6C289" w14:textId="77777777" w:rsidR="00164E0E" w:rsidRPr="003A787D" w:rsidRDefault="00164E0E" w:rsidP="00164E0E">
      <w:pPr>
        <w:pStyle w:val="Prrafodelista"/>
        <w:numPr>
          <w:ilvl w:val="0"/>
          <w:numId w:val="1"/>
        </w:numPr>
        <w:tabs>
          <w:tab w:val="left" w:pos="426"/>
        </w:tabs>
        <w:spacing w:before="240" w:after="240" w:line="360" w:lineRule="auto"/>
        <w:ind w:right="51"/>
        <w:jc w:val="both"/>
        <w:rPr>
          <w:rFonts w:ascii="Palatino Linotype" w:hAnsi="Palatino Linotype"/>
          <w:color w:val="000000" w:themeColor="text1"/>
        </w:rPr>
      </w:pPr>
      <w:r w:rsidRPr="003A787D">
        <w:rPr>
          <w:rFonts w:ascii="Palatino Linotype" w:hAnsi="Palatino Linotype"/>
          <w:color w:val="000000" w:themeColor="text1"/>
        </w:rPr>
        <w:lastRenderedPageBreak/>
        <w:t xml:space="preserve">En </w:t>
      </w:r>
      <w:r w:rsidRPr="003A787D">
        <w:rPr>
          <w:rFonts w:ascii="Palatino Linotype" w:eastAsia="MS Mincho" w:hAnsi="Palatino Linotype" w:cs="Times New Roman"/>
        </w:rPr>
        <w:t>consecuencia, la fundamentación y motivación implica que, en el acto de autoridad, además de contenerse los supuestos jurídicos aplicables se expliquen claramente por qué a través de la utilización de la norma se emitió el acto. De este modo, la persona que se sienta afectada pueda impugnar la decisión, permitiéndole una real y auténtica defensa.</w:t>
      </w:r>
    </w:p>
    <w:p w14:paraId="35F1D790" w14:textId="77777777" w:rsidR="00164E0E" w:rsidRPr="003A787D" w:rsidRDefault="00164E0E" w:rsidP="00164E0E">
      <w:pPr>
        <w:pStyle w:val="Prrafodelista"/>
        <w:tabs>
          <w:tab w:val="left" w:pos="426"/>
        </w:tabs>
        <w:spacing w:before="240" w:after="240" w:line="360" w:lineRule="auto"/>
        <w:ind w:left="0" w:right="51"/>
        <w:jc w:val="both"/>
        <w:rPr>
          <w:rFonts w:ascii="Palatino Linotype" w:hAnsi="Palatino Linotype"/>
          <w:color w:val="000000" w:themeColor="text1"/>
        </w:rPr>
      </w:pPr>
    </w:p>
    <w:p w14:paraId="19E78854" w14:textId="77777777" w:rsidR="00164E0E" w:rsidRPr="003A787D" w:rsidRDefault="00164E0E" w:rsidP="00164E0E">
      <w:pPr>
        <w:pStyle w:val="Prrafodelista"/>
        <w:numPr>
          <w:ilvl w:val="0"/>
          <w:numId w:val="1"/>
        </w:numPr>
        <w:tabs>
          <w:tab w:val="left" w:pos="426"/>
        </w:tabs>
        <w:spacing w:before="240" w:after="240" w:line="360" w:lineRule="auto"/>
        <w:ind w:right="51"/>
        <w:jc w:val="both"/>
        <w:rPr>
          <w:rFonts w:ascii="Palatino Linotype" w:hAnsi="Palatino Linotype"/>
          <w:color w:val="000000" w:themeColor="text1"/>
        </w:rPr>
      </w:pPr>
      <w:r w:rsidRPr="003A787D">
        <w:rPr>
          <w:rFonts w:ascii="Palatino Linotype" w:hAnsi="Palatino Linotype"/>
          <w:color w:val="000000" w:themeColor="text1"/>
        </w:rPr>
        <w:t xml:space="preserve">En </w:t>
      </w:r>
      <w:r w:rsidRPr="003A787D">
        <w:rPr>
          <w:rFonts w:ascii="Palatino Linotype" w:eastAsia="MS Mincho" w:hAnsi="Palatino Linotype" w:cs="Times New Roman"/>
        </w:rPr>
        <w:t>ese mismo sentido, el numeral trigésimo tercero fracción V de los Lineamientos Generales, precisa que para motivar la clasificación se deben acreditar las circunstancias de tiempo, modo y lugar.</w:t>
      </w:r>
    </w:p>
    <w:p w14:paraId="6265D043" w14:textId="77777777" w:rsidR="00164E0E" w:rsidRPr="003A787D" w:rsidRDefault="00164E0E" w:rsidP="00164E0E">
      <w:pPr>
        <w:pStyle w:val="Prrafodelista"/>
        <w:tabs>
          <w:tab w:val="left" w:pos="426"/>
        </w:tabs>
        <w:spacing w:before="240" w:after="240" w:line="360" w:lineRule="auto"/>
        <w:ind w:left="0" w:right="51"/>
        <w:jc w:val="both"/>
        <w:rPr>
          <w:rFonts w:ascii="Palatino Linotype" w:hAnsi="Palatino Linotype"/>
          <w:color w:val="000000" w:themeColor="text1"/>
        </w:rPr>
      </w:pPr>
    </w:p>
    <w:p w14:paraId="5BB6E9C9" w14:textId="76F37AB2" w:rsidR="00164E0E" w:rsidRPr="003A787D" w:rsidRDefault="00164E0E" w:rsidP="00164E0E">
      <w:pPr>
        <w:pStyle w:val="Prrafodelista"/>
        <w:numPr>
          <w:ilvl w:val="0"/>
          <w:numId w:val="1"/>
        </w:numPr>
        <w:tabs>
          <w:tab w:val="left" w:pos="426"/>
        </w:tabs>
        <w:spacing w:before="240" w:after="240" w:line="360" w:lineRule="auto"/>
        <w:ind w:right="51"/>
        <w:jc w:val="both"/>
        <w:rPr>
          <w:rFonts w:ascii="Palatino Linotype" w:hAnsi="Palatino Linotype"/>
          <w:color w:val="000000" w:themeColor="text1"/>
        </w:rPr>
      </w:pPr>
      <w:r w:rsidRPr="003A787D">
        <w:rPr>
          <w:rFonts w:ascii="Palatino Linotype" w:hAnsi="Palatino Linotype"/>
          <w:color w:val="000000" w:themeColor="text1"/>
        </w:rPr>
        <w:t xml:space="preserve">Otro </w:t>
      </w:r>
      <w:r w:rsidRPr="003A787D">
        <w:rPr>
          <w:rFonts w:ascii="Palatino Linotype" w:eastAsia="Times New Roman" w:hAnsi="Palatino Linotype" w:cs="Arial"/>
        </w:rPr>
        <w:t>tipo de información confidencial constituyen los secretos bancario, fiduciario, industrial, comercial, fiscal, bursátil y postal, cuya titularidad corresponda a particulares, sujetos de derecho internacional o a Sujetos Obligados cuando no involucren el ejercicio de recursos públicos, así lo define la fracción XXI del artículo 3 de la Ley Estatal.</w:t>
      </w:r>
    </w:p>
    <w:p w14:paraId="6F1CDFA7" w14:textId="77777777" w:rsidR="004C38EA" w:rsidRPr="003A787D" w:rsidRDefault="004C38EA" w:rsidP="004C38EA">
      <w:pPr>
        <w:pStyle w:val="Prrafodelista"/>
        <w:tabs>
          <w:tab w:val="left" w:pos="426"/>
        </w:tabs>
        <w:spacing w:before="240" w:after="240" w:line="360" w:lineRule="auto"/>
        <w:ind w:left="0" w:right="51"/>
        <w:jc w:val="both"/>
        <w:rPr>
          <w:rFonts w:ascii="Palatino Linotype" w:hAnsi="Palatino Linotype"/>
          <w:color w:val="000000" w:themeColor="text1"/>
        </w:rPr>
      </w:pPr>
    </w:p>
    <w:p w14:paraId="2F05640F" w14:textId="38A38C67" w:rsidR="00953B03" w:rsidRPr="003A787D" w:rsidRDefault="00164E0E" w:rsidP="00953B03">
      <w:pPr>
        <w:pStyle w:val="Prrafodelista"/>
        <w:tabs>
          <w:tab w:val="left" w:pos="426"/>
        </w:tabs>
        <w:spacing w:before="240" w:after="240" w:line="360" w:lineRule="auto"/>
        <w:ind w:left="0" w:right="51"/>
        <w:jc w:val="both"/>
        <w:outlineLvl w:val="1"/>
        <w:rPr>
          <w:rFonts w:ascii="Palatino Linotype" w:hAnsi="Palatino Linotype"/>
          <w:b/>
          <w:bCs/>
          <w:color w:val="000000" w:themeColor="text1"/>
        </w:rPr>
      </w:pPr>
      <w:bookmarkStart w:id="29" w:name="_Toc96002414"/>
      <w:r w:rsidRPr="003A787D">
        <w:rPr>
          <w:rFonts w:ascii="Palatino Linotype" w:hAnsi="Palatino Linotype"/>
          <w:b/>
          <w:bCs/>
          <w:color w:val="000000" w:themeColor="text1"/>
        </w:rPr>
        <w:t>SEXTO</w:t>
      </w:r>
      <w:r w:rsidR="00953B03" w:rsidRPr="003A787D">
        <w:rPr>
          <w:rFonts w:ascii="Palatino Linotype" w:hAnsi="Palatino Linotype"/>
          <w:b/>
          <w:bCs/>
          <w:color w:val="000000" w:themeColor="text1"/>
        </w:rPr>
        <w:t>. Decisión</w:t>
      </w:r>
      <w:bookmarkEnd w:id="29"/>
    </w:p>
    <w:p w14:paraId="2B8DED45" w14:textId="77777777" w:rsidR="00953B03" w:rsidRPr="003A787D" w:rsidRDefault="00953B03" w:rsidP="00F01443">
      <w:pPr>
        <w:pStyle w:val="Prrafodelista"/>
        <w:tabs>
          <w:tab w:val="left" w:pos="426"/>
        </w:tabs>
        <w:spacing w:before="240" w:after="240" w:line="360" w:lineRule="auto"/>
        <w:ind w:left="0" w:right="51"/>
        <w:jc w:val="both"/>
        <w:rPr>
          <w:rFonts w:ascii="Palatino Linotype" w:hAnsi="Palatino Linotype"/>
          <w:color w:val="000000" w:themeColor="text1"/>
        </w:rPr>
      </w:pPr>
    </w:p>
    <w:p w14:paraId="07E67D9C" w14:textId="588E45B6" w:rsidR="00F6300E" w:rsidRPr="003A787D" w:rsidRDefault="0079388C" w:rsidP="002C5542">
      <w:pPr>
        <w:pStyle w:val="Prrafodelista"/>
        <w:numPr>
          <w:ilvl w:val="0"/>
          <w:numId w:val="1"/>
        </w:numPr>
        <w:tabs>
          <w:tab w:val="left" w:pos="426"/>
        </w:tabs>
        <w:spacing w:before="240" w:after="240" w:line="360" w:lineRule="auto"/>
        <w:ind w:right="51"/>
        <w:jc w:val="both"/>
        <w:rPr>
          <w:rFonts w:ascii="Palatino Linotype" w:hAnsi="Palatino Linotype"/>
          <w:color w:val="000000" w:themeColor="text1"/>
        </w:rPr>
      </w:pPr>
      <w:r w:rsidRPr="003A787D">
        <w:rPr>
          <w:rFonts w:ascii="Palatino Linotype" w:hAnsi="Palatino Linotype"/>
          <w:color w:val="000000" w:themeColor="text1"/>
        </w:rPr>
        <w:t xml:space="preserve">Luego </w:t>
      </w:r>
      <w:r w:rsidR="00614A9B" w:rsidRPr="003A787D">
        <w:rPr>
          <w:rFonts w:ascii="Palatino Linotype" w:hAnsi="Palatino Linotype"/>
          <w:color w:val="000000" w:themeColor="text1"/>
        </w:rPr>
        <w:t xml:space="preserve">de realizar un análisis exhaustivo de los documentos entregados por el </w:t>
      </w:r>
      <w:r w:rsidR="00614A9B" w:rsidRPr="003A787D">
        <w:rPr>
          <w:rFonts w:ascii="Palatino Linotype" w:hAnsi="Palatino Linotype"/>
          <w:b/>
          <w:color w:val="000000" w:themeColor="text1"/>
        </w:rPr>
        <w:t>SUJETO OBLIGADO</w:t>
      </w:r>
      <w:r w:rsidR="00614A9B" w:rsidRPr="003A787D">
        <w:rPr>
          <w:rFonts w:ascii="Palatino Linotype" w:hAnsi="Palatino Linotype"/>
          <w:color w:val="000000" w:themeColor="text1"/>
        </w:rPr>
        <w:t xml:space="preserve">, así como del marco legal que recubre a la información solicitada, se llegó a la conclusión que el Sistema Municipal para el Desarrollo Integral de la Familia de Tenancingo había colmado parcialmente el derecho de acceso a la información ejercido por el </w:t>
      </w:r>
      <w:r w:rsidR="00614A9B" w:rsidRPr="003A787D">
        <w:rPr>
          <w:rFonts w:ascii="Palatino Linotype" w:hAnsi="Palatino Linotype"/>
          <w:b/>
          <w:color w:val="000000" w:themeColor="text1"/>
        </w:rPr>
        <w:t>RECURRENTE</w:t>
      </w:r>
      <w:r w:rsidR="00614A9B" w:rsidRPr="003A787D">
        <w:rPr>
          <w:rFonts w:ascii="Palatino Linotype" w:hAnsi="Palatino Linotype"/>
          <w:color w:val="000000" w:themeColor="text1"/>
        </w:rPr>
        <w:t xml:space="preserve"> a través de la solicitud </w:t>
      </w:r>
      <w:r w:rsidR="00614A9B" w:rsidRPr="003A787D">
        <w:rPr>
          <w:rFonts w:ascii="Palatino Linotype" w:hAnsi="Palatino Linotype"/>
          <w:b/>
          <w:color w:val="000000" w:themeColor="text1"/>
        </w:rPr>
        <w:t>00002/DIFTENANCIN/IP/2022</w:t>
      </w:r>
      <w:r w:rsidR="00614A9B" w:rsidRPr="003A787D">
        <w:rPr>
          <w:rFonts w:ascii="Palatino Linotype" w:hAnsi="Palatino Linotype"/>
          <w:color w:val="000000" w:themeColor="text1"/>
        </w:rPr>
        <w:t xml:space="preserve">,  toda vez que omitió entregar algunos de los formatos ‘Total de nómina por sueldos y salarios’ y ‘Total de nómina por asimilados </w:t>
      </w:r>
      <w:r w:rsidR="00614A9B" w:rsidRPr="003A787D">
        <w:rPr>
          <w:rFonts w:ascii="Palatino Linotype" w:hAnsi="Palatino Linotype"/>
          <w:color w:val="000000" w:themeColor="text1"/>
        </w:rPr>
        <w:lastRenderedPageBreak/>
        <w:t>a salarios’, aunado a que omitió manifestar su incompetencia para poseer, generar o administrar información relacionada con el Ayuntamiento de Tenancingo y entes auxiliares diversos</w:t>
      </w:r>
      <w:r w:rsidR="00B976F3" w:rsidRPr="003A787D">
        <w:rPr>
          <w:rFonts w:ascii="Palatino Linotype" w:hAnsi="Palatino Linotype"/>
          <w:color w:val="000000" w:themeColor="text1"/>
        </w:rPr>
        <w:t>, por lo que se determinó ordenar la entrega de la información faltante.</w:t>
      </w:r>
    </w:p>
    <w:p w14:paraId="27DCD1E9" w14:textId="77777777" w:rsidR="002C5542" w:rsidRPr="003A787D" w:rsidRDefault="002C5542" w:rsidP="002C5542">
      <w:pPr>
        <w:pStyle w:val="Prrafodelista"/>
        <w:tabs>
          <w:tab w:val="left" w:pos="426"/>
        </w:tabs>
        <w:spacing w:before="240" w:after="240" w:line="360" w:lineRule="auto"/>
        <w:ind w:left="0" w:right="51"/>
        <w:jc w:val="both"/>
        <w:rPr>
          <w:rFonts w:ascii="Palatino Linotype" w:hAnsi="Palatino Linotype"/>
          <w:color w:val="000000" w:themeColor="text1"/>
        </w:rPr>
      </w:pPr>
    </w:p>
    <w:p w14:paraId="61B5E6A2" w14:textId="2F32839A" w:rsidR="00F01443" w:rsidRPr="003A787D" w:rsidRDefault="003E6079" w:rsidP="00DA22D8">
      <w:pPr>
        <w:pStyle w:val="Prrafodelista"/>
        <w:numPr>
          <w:ilvl w:val="0"/>
          <w:numId w:val="1"/>
        </w:numPr>
        <w:tabs>
          <w:tab w:val="left" w:pos="426"/>
        </w:tabs>
        <w:spacing w:before="240" w:after="240" w:line="360" w:lineRule="auto"/>
        <w:ind w:right="51"/>
        <w:jc w:val="both"/>
        <w:rPr>
          <w:rFonts w:ascii="Palatino Linotype" w:hAnsi="Palatino Linotype"/>
          <w:color w:val="000000" w:themeColor="text1"/>
        </w:rPr>
      </w:pPr>
      <w:r w:rsidRPr="003A787D">
        <w:rPr>
          <w:rFonts w:ascii="Palatino Linotype" w:hAnsi="Palatino Linotype"/>
          <w:color w:val="000000" w:themeColor="text1"/>
        </w:rPr>
        <w:t xml:space="preserve">Por </w:t>
      </w:r>
      <w:r w:rsidR="0079388C" w:rsidRPr="003A787D">
        <w:rPr>
          <w:rFonts w:ascii="Palatino Linotype" w:hAnsi="Palatino Linotype" w:cs="Tahoma"/>
        </w:rPr>
        <w:t xml:space="preserve">lo tanto, y en mérito de lo expuesto en líneas anteriores, resultan </w:t>
      </w:r>
      <w:r w:rsidR="00F17282" w:rsidRPr="003A787D">
        <w:rPr>
          <w:rFonts w:ascii="Palatino Linotype" w:hAnsi="Palatino Linotype" w:cs="Tahoma"/>
        </w:rPr>
        <w:t>parcialmente fundadas</w:t>
      </w:r>
      <w:r w:rsidR="0079388C" w:rsidRPr="003A787D">
        <w:rPr>
          <w:rFonts w:ascii="Palatino Linotype" w:hAnsi="Palatino Linotype" w:cs="Tahoma"/>
        </w:rPr>
        <w:t xml:space="preserve"> las razones o motivos de inconformidad hechos valer por el </w:t>
      </w:r>
      <w:r w:rsidR="0079388C" w:rsidRPr="003A787D">
        <w:rPr>
          <w:rFonts w:ascii="Palatino Linotype" w:hAnsi="Palatino Linotype" w:cs="Tahoma"/>
          <w:b/>
        </w:rPr>
        <w:t>RECURRENTE</w:t>
      </w:r>
      <w:r w:rsidR="0079388C" w:rsidRPr="003A787D">
        <w:rPr>
          <w:rFonts w:ascii="Palatino Linotype" w:hAnsi="Palatino Linotype" w:cs="Tahoma"/>
        </w:rPr>
        <w:t xml:space="preserve"> dentro del recurso de revisión </w:t>
      </w:r>
      <w:r w:rsidR="005A179D" w:rsidRPr="003A787D">
        <w:rPr>
          <w:rFonts w:ascii="Palatino Linotype" w:hAnsi="Palatino Linotype" w:cs="Tahoma"/>
          <w:b/>
          <w:bCs/>
        </w:rPr>
        <w:t>00978/INFOEM/IP/RR/2022</w:t>
      </w:r>
      <w:r w:rsidR="0079388C" w:rsidRPr="003A787D">
        <w:rPr>
          <w:rFonts w:ascii="Palatino Linotype" w:hAnsi="Palatino Linotype" w:cs="Tahoma"/>
        </w:rPr>
        <w:t>; por ello, y con fundamento en la fracción I</w:t>
      </w:r>
      <w:r w:rsidR="00F17282" w:rsidRPr="003A787D">
        <w:rPr>
          <w:rFonts w:ascii="Palatino Linotype" w:hAnsi="Palatino Linotype" w:cs="Tahoma"/>
        </w:rPr>
        <w:t>I</w:t>
      </w:r>
      <w:r w:rsidR="0079388C" w:rsidRPr="003A787D">
        <w:rPr>
          <w:rFonts w:ascii="Palatino Linotype" w:hAnsi="Palatino Linotype" w:cs="Tahoma"/>
        </w:rPr>
        <w:t xml:space="preserve">I del numeral 186 de la Ley de Transparencia y Acceso a la Información Pública del Estado de México y Municipios, se </w:t>
      </w:r>
      <w:r w:rsidR="00F17282" w:rsidRPr="003A787D">
        <w:rPr>
          <w:rFonts w:ascii="Palatino Linotype" w:hAnsi="Palatino Linotype" w:cs="Tahoma"/>
          <w:b/>
        </w:rPr>
        <w:t>MODIFICA</w:t>
      </w:r>
      <w:r w:rsidR="0079388C" w:rsidRPr="003A787D">
        <w:rPr>
          <w:rFonts w:ascii="Palatino Linotype" w:hAnsi="Palatino Linotype" w:cs="Tahoma"/>
        </w:rPr>
        <w:t xml:space="preserve"> la respuesta a la solicitud de información número </w:t>
      </w:r>
      <w:r w:rsidR="00B976F3" w:rsidRPr="003A787D">
        <w:rPr>
          <w:rFonts w:ascii="Palatino Linotype" w:hAnsi="Palatino Linotype" w:cs="Tahoma"/>
          <w:b/>
        </w:rPr>
        <w:t>00002</w:t>
      </w:r>
      <w:r w:rsidR="0079388C" w:rsidRPr="003A787D">
        <w:rPr>
          <w:rFonts w:ascii="Palatino Linotype" w:hAnsi="Palatino Linotype" w:cs="Tahoma"/>
          <w:b/>
        </w:rPr>
        <w:t>/</w:t>
      </w:r>
      <w:r w:rsidR="00B976F3" w:rsidRPr="003A787D">
        <w:rPr>
          <w:rFonts w:ascii="Palatino Linotype" w:hAnsi="Palatino Linotype" w:cs="Tahoma"/>
          <w:b/>
        </w:rPr>
        <w:t>DIFTENANCIN</w:t>
      </w:r>
      <w:r w:rsidR="0079388C" w:rsidRPr="003A787D">
        <w:rPr>
          <w:rFonts w:ascii="Palatino Linotype" w:hAnsi="Palatino Linotype" w:cs="Tahoma"/>
          <w:b/>
        </w:rPr>
        <w:t>/IP/2022</w:t>
      </w:r>
      <w:r w:rsidR="0079388C" w:rsidRPr="003A787D">
        <w:rPr>
          <w:rFonts w:ascii="Palatino Linotype" w:hAnsi="Palatino Linotype" w:cs="Tahoma"/>
        </w:rPr>
        <w:t>.</w:t>
      </w:r>
    </w:p>
    <w:p w14:paraId="370E910A" w14:textId="77777777" w:rsidR="00F01443" w:rsidRPr="003A787D" w:rsidRDefault="00F01443" w:rsidP="00F01443">
      <w:pPr>
        <w:pStyle w:val="Prrafodelista"/>
        <w:tabs>
          <w:tab w:val="left" w:pos="426"/>
        </w:tabs>
        <w:spacing w:before="240" w:after="240" w:line="360" w:lineRule="auto"/>
        <w:ind w:left="0" w:right="51"/>
        <w:jc w:val="both"/>
        <w:rPr>
          <w:rFonts w:ascii="Palatino Linotype" w:hAnsi="Palatino Linotype"/>
          <w:color w:val="000000" w:themeColor="text1"/>
        </w:rPr>
      </w:pPr>
    </w:p>
    <w:p w14:paraId="7CFC3FBC" w14:textId="680CDA6A" w:rsidR="00266588" w:rsidRPr="003A787D" w:rsidRDefault="00F01801" w:rsidP="00DA22D8">
      <w:pPr>
        <w:pStyle w:val="Prrafodelista"/>
        <w:numPr>
          <w:ilvl w:val="0"/>
          <w:numId w:val="1"/>
        </w:numPr>
        <w:tabs>
          <w:tab w:val="left" w:pos="426"/>
        </w:tabs>
        <w:spacing w:before="240" w:after="240" w:line="360" w:lineRule="auto"/>
        <w:ind w:right="51"/>
        <w:jc w:val="both"/>
        <w:rPr>
          <w:rFonts w:ascii="Palatino Linotype" w:hAnsi="Palatino Linotype"/>
          <w:color w:val="000000" w:themeColor="text1"/>
        </w:rPr>
      </w:pPr>
      <w:r w:rsidRPr="003A787D">
        <w:rPr>
          <w:rFonts w:ascii="Palatino Linotype" w:hAnsi="Palatino Linotype"/>
          <w:color w:val="000000" w:themeColor="text1"/>
          <w:lang w:val="es-ES"/>
        </w:rPr>
        <w:t xml:space="preserve">Por </w:t>
      </w:r>
      <w:r w:rsidR="00B41516" w:rsidRPr="003A787D">
        <w:rPr>
          <w:rFonts w:ascii="Palatino Linotype" w:hAnsi="Palatino Linotype"/>
          <w:color w:val="000000" w:themeColor="text1"/>
        </w:rPr>
        <w:t xml:space="preserve">lo anteriormente expuesto y fundado, </w:t>
      </w:r>
      <w:r w:rsidR="003E6079" w:rsidRPr="003A787D">
        <w:rPr>
          <w:rFonts w:ascii="Palatino Linotype" w:hAnsi="Palatino Linotype"/>
          <w:color w:val="000000" w:themeColor="text1"/>
        </w:rPr>
        <w:t>e</w:t>
      </w:r>
      <w:r w:rsidR="00B41516" w:rsidRPr="003A787D">
        <w:rPr>
          <w:rFonts w:ascii="Palatino Linotype" w:hAnsi="Palatino Linotype"/>
          <w:color w:val="000000" w:themeColor="text1"/>
        </w:rPr>
        <w:t xml:space="preserve">ste </w:t>
      </w:r>
      <w:r w:rsidR="00B41516" w:rsidRPr="003A787D">
        <w:rPr>
          <w:rFonts w:ascii="Palatino Linotype" w:hAnsi="Palatino Linotype"/>
          <w:b/>
          <w:color w:val="000000" w:themeColor="text1"/>
        </w:rPr>
        <w:t>ÓRGANO GARANTE</w:t>
      </w:r>
      <w:r w:rsidR="00B41516" w:rsidRPr="003A787D">
        <w:rPr>
          <w:rFonts w:ascii="Palatino Linotype" w:hAnsi="Palatino Linotype"/>
          <w:color w:val="000000" w:themeColor="text1"/>
        </w:rPr>
        <w:t xml:space="preserve"> emite los siguientes:</w:t>
      </w:r>
      <w:r w:rsidR="003E6079" w:rsidRPr="003A787D">
        <w:rPr>
          <w:rFonts w:ascii="Palatino Linotype" w:hAnsi="Palatino Linotype"/>
          <w:color w:val="000000" w:themeColor="text1"/>
        </w:rPr>
        <w:t xml:space="preserve"> </w:t>
      </w:r>
      <w:r w:rsidR="00D71057" w:rsidRPr="003A787D">
        <w:rPr>
          <w:rFonts w:ascii="Palatino Linotype" w:hAnsi="Palatino Linotype"/>
          <w:color w:val="000000" w:themeColor="text1"/>
        </w:rPr>
        <w:t>--------------------------------------------------------------------------</w:t>
      </w:r>
      <w:r w:rsidR="00E10AC3" w:rsidRPr="003A787D">
        <w:rPr>
          <w:rFonts w:ascii="Palatino Linotype" w:hAnsi="Palatino Linotype"/>
          <w:color w:val="000000" w:themeColor="text1"/>
        </w:rPr>
        <w:t>-----------------</w:t>
      </w:r>
      <w:r w:rsidR="00895335" w:rsidRPr="003A787D">
        <w:rPr>
          <w:rFonts w:ascii="Palatino Linotype" w:hAnsi="Palatino Linotype"/>
          <w:color w:val="000000" w:themeColor="text1"/>
        </w:rPr>
        <w:t>--</w:t>
      </w:r>
      <w:r w:rsidR="003E6079" w:rsidRPr="003A787D">
        <w:rPr>
          <w:rFonts w:ascii="Palatino Linotype" w:hAnsi="Palatino Linotype"/>
          <w:color w:val="000000" w:themeColor="text1"/>
        </w:rPr>
        <w:t>-------------------------------------------------------------------------------------------------------------</w:t>
      </w:r>
      <w:r w:rsidR="00895335" w:rsidRPr="003A787D">
        <w:rPr>
          <w:rFonts w:ascii="Palatino Linotype" w:hAnsi="Palatino Linotype"/>
          <w:color w:val="000000" w:themeColor="text1"/>
        </w:rPr>
        <w:t>--</w:t>
      </w:r>
    </w:p>
    <w:p w14:paraId="19A111DC" w14:textId="77777777" w:rsidR="00266588" w:rsidRPr="003A787D" w:rsidRDefault="00266588">
      <w:pPr>
        <w:rPr>
          <w:rFonts w:ascii="Palatino Linotype" w:hAnsi="Palatino Linotype"/>
          <w:color w:val="000000" w:themeColor="text1"/>
        </w:rPr>
      </w:pPr>
      <w:r w:rsidRPr="003A787D">
        <w:rPr>
          <w:rFonts w:ascii="Palatino Linotype" w:hAnsi="Palatino Linotype"/>
          <w:color w:val="000000" w:themeColor="text1"/>
        </w:rPr>
        <w:br w:type="page"/>
      </w:r>
    </w:p>
    <w:p w14:paraId="18C7D92B" w14:textId="77777777" w:rsidR="009959DB" w:rsidRPr="003A787D" w:rsidRDefault="009959DB" w:rsidP="009959DB">
      <w:pPr>
        <w:pStyle w:val="Ttulo1"/>
        <w:spacing w:line="360" w:lineRule="auto"/>
        <w:jc w:val="center"/>
        <w:rPr>
          <w:b/>
          <w:color w:val="000000" w:themeColor="text1"/>
          <w:szCs w:val="24"/>
        </w:rPr>
      </w:pPr>
      <w:bookmarkStart w:id="30" w:name="_Toc495427547"/>
      <w:bookmarkStart w:id="31" w:name="_Toc497905366"/>
      <w:bookmarkStart w:id="32" w:name="_Toc96002415"/>
      <w:r w:rsidRPr="003A787D">
        <w:rPr>
          <w:b/>
          <w:color w:val="000000" w:themeColor="text1"/>
          <w:szCs w:val="24"/>
        </w:rPr>
        <w:lastRenderedPageBreak/>
        <w:t>R E S O L U T I V O S</w:t>
      </w:r>
      <w:bookmarkEnd w:id="24"/>
      <w:bookmarkEnd w:id="25"/>
      <w:bookmarkEnd w:id="30"/>
      <w:bookmarkEnd w:id="31"/>
      <w:bookmarkEnd w:id="32"/>
    </w:p>
    <w:p w14:paraId="2D1E9BFB" w14:textId="3464351D" w:rsidR="00F17282" w:rsidRPr="003A787D" w:rsidRDefault="00F17282" w:rsidP="00F17282">
      <w:pPr>
        <w:spacing w:line="360" w:lineRule="auto"/>
        <w:jc w:val="both"/>
        <w:rPr>
          <w:rFonts w:ascii="Palatino Linotype" w:eastAsia="Times New Roman" w:hAnsi="Palatino Linotype" w:cs="Times New Roman"/>
        </w:rPr>
      </w:pPr>
      <w:bookmarkStart w:id="33" w:name="_Hlk96506827"/>
      <w:r w:rsidRPr="003A787D">
        <w:rPr>
          <w:rFonts w:ascii="Palatino Linotype" w:eastAsia="Times New Roman" w:hAnsi="Palatino Linotype" w:cs="Arial"/>
          <w:b/>
          <w:sz w:val="28"/>
          <w:szCs w:val="28"/>
        </w:rPr>
        <w:t>PRIMERO</w:t>
      </w:r>
      <w:r w:rsidRPr="003A787D">
        <w:rPr>
          <w:rFonts w:ascii="Palatino Linotype" w:eastAsia="Times New Roman" w:hAnsi="Palatino Linotype" w:cs="Arial"/>
          <w:b/>
        </w:rPr>
        <w:t xml:space="preserve">. </w:t>
      </w:r>
      <w:r w:rsidRPr="003A787D">
        <w:rPr>
          <w:rFonts w:ascii="Palatino Linotype" w:eastAsia="Times New Roman" w:hAnsi="Palatino Linotype" w:cs="Arial"/>
        </w:rPr>
        <w:t>Resultan parcialmente fundadas las</w:t>
      </w:r>
      <w:r w:rsidRPr="003A787D">
        <w:rPr>
          <w:rFonts w:ascii="Palatino Linotype" w:eastAsia="Times New Roman" w:hAnsi="Palatino Linotype" w:cs="Arial"/>
          <w:b/>
        </w:rPr>
        <w:t xml:space="preserve"> </w:t>
      </w:r>
      <w:r w:rsidRPr="003A787D">
        <w:rPr>
          <w:rFonts w:ascii="Palatino Linotype" w:eastAsia="Times New Roman" w:hAnsi="Palatino Linotype" w:cs="Arial"/>
          <w:lang w:val="es-ES"/>
        </w:rPr>
        <w:t xml:space="preserve">razones o motivos de inconformidad hechos valer </w:t>
      </w:r>
      <w:r w:rsidRPr="003A787D">
        <w:rPr>
          <w:rFonts w:ascii="Palatino Linotype" w:eastAsia="Calibri" w:hAnsi="Palatino Linotype" w:cs="Arial"/>
          <w:lang w:val="es-ES"/>
        </w:rPr>
        <w:t xml:space="preserve">en el recurso de revisión </w:t>
      </w:r>
      <w:r w:rsidR="005A179D" w:rsidRPr="003A787D">
        <w:rPr>
          <w:rFonts w:ascii="Palatino Linotype" w:eastAsia="Times New Roman" w:hAnsi="Palatino Linotype" w:cs="Times New Roman"/>
          <w:b/>
        </w:rPr>
        <w:t>00978/INFOEM/IP/RR/2022</w:t>
      </w:r>
      <w:r w:rsidRPr="003A787D">
        <w:rPr>
          <w:rFonts w:ascii="Palatino Linotype" w:eastAsia="Times New Roman" w:hAnsi="Palatino Linotype" w:cs="Times New Roman"/>
          <w:b/>
        </w:rPr>
        <w:t xml:space="preserve"> </w:t>
      </w:r>
      <w:r w:rsidRPr="003A787D">
        <w:rPr>
          <w:rFonts w:ascii="Palatino Linotype" w:eastAsia="Times New Roman" w:hAnsi="Palatino Linotype" w:cs="Times New Roman"/>
        </w:rPr>
        <w:t>en términos de los</w:t>
      </w:r>
      <w:r w:rsidRPr="003A787D">
        <w:rPr>
          <w:rFonts w:ascii="Palatino Linotype" w:eastAsia="Times New Roman" w:hAnsi="Palatino Linotype" w:cs="Times New Roman"/>
          <w:b/>
          <w:bCs/>
        </w:rPr>
        <w:t xml:space="preserve"> Considerandos</w:t>
      </w:r>
      <w:r w:rsidRPr="003A787D">
        <w:rPr>
          <w:rFonts w:ascii="Palatino Linotype" w:eastAsia="Times New Roman" w:hAnsi="Palatino Linotype" w:cs="Times New Roman"/>
        </w:rPr>
        <w:t xml:space="preserve"> </w:t>
      </w:r>
      <w:r w:rsidRPr="003A787D">
        <w:rPr>
          <w:rFonts w:ascii="Palatino Linotype" w:eastAsia="Times New Roman" w:hAnsi="Palatino Linotype" w:cs="Times New Roman"/>
          <w:b/>
        </w:rPr>
        <w:t xml:space="preserve">CUARTO </w:t>
      </w:r>
      <w:r w:rsidRPr="003A787D">
        <w:rPr>
          <w:rFonts w:ascii="Palatino Linotype" w:eastAsia="Times New Roman" w:hAnsi="Palatino Linotype" w:cs="Times New Roman"/>
          <w:bCs/>
        </w:rPr>
        <w:t xml:space="preserve">y </w:t>
      </w:r>
      <w:r w:rsidRPr="003A787D">
        <w:rPr>
          <w:rFonts w:ascii="Palatino Linotype" w:eastAsia="Times New Roman" w:hAnsi="Palatino Linotype" w:cs="Times New Roman"/>
          <w:b/>
        </w:rPr>
        <w:t>QUINTO</w:t>
      </w:r>
      <w:r w:rsidRPr="003A787D">
        <w:rPr>
          <w:rFonts w:ascii="Palatino Linotype" w:eastAsia="Times New Roman" w:hAnsi="Palatino Linotype" w:cs="Times New Roman"/>
          <w:bCs/>
        </w:rPr>
        <w:t xml:space="preserve"> </w:t>
      </w:r>
      <w:r w:rsidRPr="003A787D">
        <w:rPr>
          <w:rFonts w:ascii="Palatino Linotype" w:eastAsia="Times New Roman" w:hAnsi="Palatino Linotype" w:cs="Times New Roman"/>
        </w:rPr>
        <w:t>de la presente resolución.</w:t>
      </w:r>
    </w:p>
    <w:p w14:paraId="0A52AFEC" w14:textId="77777777" w:rsidR="00F17282" w:rsidRPr="003A787D" w:rsidRDefault="00F17282" w:rsidP="00F17282">
      <w:pPr>
        <w:spacing w:line="360" w:lineRule="auto"/>
        <w:contextualSpacing/>
        <w:jc w:val="both"/>
        <w:rPr>
          <w:rFonts w:ascii="Palatino Linotype" w:eastAsia="Calibri" w:hAnsi="Palatino Linotype" w:cs="Arial"/>
          <w:b/>
          <w:bCs/>
          <w:lang w:val="es-ES"/>
        </w:rPr>
      </w:pPr>
    </w:p>
    <w:p w14:paraId="2133AC01" w14:textId="7BE2C2A5" w:rsidR="00F17282" w:rsidRPr="003A787D" w:rsidRDefault="00F17282" w:rsidP="00F17282">
      <w:pPr>
        <w:spacing w:line="360" w:lineRule="auto"/>
        <w:contextualSpacing/>
        <w:jc w:val="both"/>
        <w:rPr>
          <w:rFonts w:ascii="Palatino Linotype" w:eastAsia="Times New Roman" w:hAnsi="Palatino Linotype" w:cs="Arial"/>
          <w:color w:val="000000"/>
        </w:rPr>
      </w:pPr>
      <w:r w:rsidRPr="003A787D">
        <w:rPr>
          <w:rFonts w:ascii="Palatino Linotype" w:eastAsia="Calibri" w:hAnsi="Palatino Linotype" w:cs="Arial"/>
          <w:b/>
          <w:bCs/>
          <w:sz w:val="28"/>
          <w:szCs w:val="28"/>
          <w:lang w:val="es-ES"/>
        </w:rPr>
        <w:t>SEGUNDO</w:t>
      </w:r>
      <w:r w:rsidRPr="003A787D">
        <w:rPr>
          <w:rFonts w:ascii="Palatino Linotype" w:eastAsia="Calibri" w:hAnsi="Palatino Linotype" w:cs="Arial"/>
          <w:b/>
          <w:bCs/>
          <w:lang w:val="es-ES"/>
        </w:rPr>
        <w:t xml:space="preserve">. </w:t>
      </w:r>
      <w:r w:rsidRPr="003A787D">
        <w:rPr>
          <w:rFonts w:ascii="Palatino Linotype" w:eastAsia="Calibri" w:hAnsi="Palatino Linotype" w:cs="Arial"/>
          <w:lang w:val="es-ES"/>
        </w:rPr>
        <w:t xml:space="preserve">Se </w:t>
      </w:r>
      <w:r w:rsidRPr="003A787D">
        <w:rPr>
          <w:rFonts w:ascii="Palatino Linotype" w:eastAsia="Calibri" w:hAnsi="Palatino Linotype" w:cs="Arial"/>
          <w:b/>
          <w:lang w:val="es-ES"/>
        </w:rPr>
        <w:t>MODIFICA</w:t>
      </w:r>
      <w:r w:rsidRPr="003A787D">
        <w:rPr>
          <w:rFonts w:ascii="Palatino Linotype" w:eastAsia="Calibri" w:hAnsi="Palatino Linotype" w:cs="Arial"/>
          <w:lang w:val="es-ES"/>
        </w:rPr>
        <w:t xml:space="preserve"> la respuesta emitida por el </w:t>
      </w:r>
      <w:r w:rsidR="005A179D" w:rsidRPr="003A787D">
        <w:rPr>
          <w:rFonts w:ascii="Palatino Linotype" w:eastAsia="Calibri" w:hAnsi="Palatino Linotype" w:cs="Arial"/>
          <w:b/>
        </w:rPr>
        <w:t>Sistema Municipal para el Desarrollo Integral de la Familia de Tenancingo</w:t>
      </w:r>
      <w:r w:rsidRPr="003A787D">
        <w:rPr>
          <w:rFonts w:ascii="Palatino Linotype" w:eastAsia="Calibri" w:hAnsi="Palatino Linotype" w:cs="Arial"/>
          <w:bCs/>
        </w:rPr>
        <w:t xml:space="preserve"> a la solicitud </w:t>
      </w:r>
      <w:r w:rsidR="005A179D" w:rsidRPr="003A787D">
        <w:rPr>
          <w:rFonts w:ascii="Palatino Linotype" w:eastAsia="Calibri" w:hAnsi="Palatino Linotype" w:cs="Arial"/>
          <w:b/>
        </w:rPr>
        <w:t>00002/DIFTENANCI/IP/2022</w:t>
      </w:r>
      <w:r w:rsidRPr="003A787D">
        <w:rPr>
          <w:rFonts w:ascii="Palatino Linotype" w:eastAsia="Calibri" w:hAnsi="Palatino Linotype" w:cs="Arial"/>
          <w:b/>
        </w:rPr>
        <w:t xml:space="preserve"> </w:t>
      </w:r>
      <w:r w:rsidRPr="003A787D">
        <w:rPr>
          <w:rFonts w:ascii="Palatino Linotype" w:eastAsia="Calibri" w:hAnsi="Palatino Linotype" w:cs="Arial"/>
        </w:rPr>
        <w:t xml:space="preserve">y se </w:t>
      </w:r>
      <w:r w:rsidRPr="003A787D">
        <w:rPr>
          <w:rFonts w:ascii="Palatino Linotype" w:eastAsia="Calibri" w:hAnsi="Palatino Linotype" w:cs="Arial"/>
          <w:b/>
        </w:rPr>
        <w:t>ORDENA</w:t>
      </w:r>
      <w:r w:rsidRPr="003A787D">
        <w:rPr>
          <w:rFonts w:ascii="Palatino Linotype" w:eastAsia="Calibri" w:hAnsi="Palatino Linotype" w:cs="Arial"/>
          <w:b/>
          <w:lang w:val="es-ES"/>
        </w:rPr>
        <w:t xml:space="preserve"> </w:t>
      </w:r>
      <w:r w:rsidRPr="003A787D">
        <w:rPr>
          <w:rFonts w:ascii="Palatino Linotype" w:eastAsia="Calibri" w:hAnsi="Palatino Linotype" w:cs="Arial"/>
          <w:lang w:val="es-ES"/>
        </w:rPr>
        <w:t xml:space="preserve">entregar, </w:t>
      </w:r>
      <w:bookmarkStart w:id="34" w:name="_Toc460947013"/>
      <w:r w:rsidRPr="003A787D">
        <w:rPr>
          <w:rFonts w:ascii="Palatino Linotype" w:eastAsia="Calibri" w:hAnsi="Palatino Linotype" w:cs="Arial"/>
          <w:lang w:val="es-ES"/>
        </w:rPr>
        <w:t>a través del Sistema de Acceso a la Información Pública Mexiquense (SAIMEX)</w:t>
      </w:r>
      <w:r w:rsidR="00642CAB" w:rsidRPr="003A787D">
        <w:rPr>
          <w:rFonts w:ascii="Palatino Linotype" w:eastAsia="Calibri" w:hAnsi="Palatino Linotype" w:cs="Arial"/>
          <w:lang w:val="es-ES"/>
        </w:rPr>
        <w:t>,</w:t>
      </w:r>
      <w:r w:rsidRPr="003A787D">
        <w:rPr>
          <w:rFonts w:ascii="Palatino Linotype" w:eastAsia="Times New Roman" w:hAnsi="Palatino Linotype" w:cs="Arial"/>
          <w:color w:val="000000"/>
        </w:rPr>
        <w:t xml:space="preserve"> y correo electrónico o cualquier </w:t>
      </w:r>
      <w:r w:rsidR="00642CAB" w:rsidRPr="003A787D">
        <w:rPr>
          <w:rFonts w:ascii="Palatino Linotype" w:eastAsia="Times New Roman" w:hAnsi="Palatino Linotype" w:cs="Arial"/>
          <w:color w:val="000000"/>
        </w:rPr>
        <w:t>otro medio electrónico,</w:t>
      </w:r>
      <w:r w:rsidRPr="003A787D">
        <w:rPr>
          <w:rFonts w:ascii="Palatino Linotype" w:eastAsia="Times New Roman" w:hAnsi="Palatino Linotype" w:cs="Arial"/>
          <w:color w:val="000000"/>
        </w:rPr>
        <w:t xml:space="preserve"> de ser procedente en versión pública, la siguiente información: </w:t>
      </w:r>
    </w:p>
    <w:p w14:paraId="565A6FD7" w14:textId="77777777" w:rsidR="00F17282" w:rsidRPr="003A787D" w:rsidRDefault="00F17282" w:rsidP="00F17282">
      <w:pPr>
        <w:spacing w:line="360" w:lineRule="auto"/>
        <w:contextualSpacing/>
        <w:jc w:val="both"/>
        <w:rPr>
          <w:rFonts w:ascii="Palatino Linotype" w:eastAsia="Times New Roman" w:hAnsi="Palatino Linotype" w:cs="Arial"/>
          <w:color w:val="000000"/>
        </w:rPr>
      </w:pPr>
    </w:p>
    <w:p w14:paraId="66815DE6" w14:textId="18BC29BB" w:rsidR="00F17282" w:rsidRPr="003A787D" w:rsidRDefault="00642CAB" w:rsidP="00F17282">
      <w:pPr>
        <w:pStyle w:val="Prrafodelista"/>
        <w:numPr>
          <w:ilvl w:val="0"/>
          <w:numId w:val="9"/>
        </w:numPr>
        <w:spacing w:after="240" w:line="360" w:lineRule="auto"/>
        <w:ind w:left="993" w:right="567"/>
        <w:jc w:val="both"/>
        <w:rPr>
          <w:rFonts w:ascii="Palatino Linotype" w:hAnsi="Palatino Linotype"/>
          <w:b/>
          <w:bCs/>
          <w:color w:val="000000"/>
        </w:rPr>
      </w:pPr>
      <w:r w:rsidRPr="003A787D">
        <w:rPr>
          <w:rFonts w:ascii="Palatino Linotype" w:hAnsi="Palatino Linotype"/>
          <w:b/>
          <w:bCs/>
          <w:color w:val="000000"/>
        </w:rPr>
        <w:t>De los reportes relativos a los pagos y retenciones por sueldos y salarios realizados a los trabajadores, en el portal denominado ‘Visor de nómina’ del Servicio de Administración Tributaria:</w:t>
      </w:r>
    </w:p>
    <w:p w14:paraId="124CC2A1" w14:textId="72B2248E" w:rsidR="00B976F3" w:rsidRPr="003A787D" w:rsidRDefault="00B976F3" w:rsidP="00642CAB">
      <w:pPr>
        <w:pStyle w:val="Prrafodelista"/>
        <w:numPr>
          <w:ilvl w:val="1"/>
          <w:numId w:val="9"/>
        </w:numPr>
        <w:spacing w:after="240" w:line="360" w:lineRule="auto"/>
        <w:ind w:left="1701" w:right="567"/>
        <w:jc w:val="both"/>
        <w:rPr>
          <w:rFonts w:ascii="Palatino Linotype" w:hAnsi="Palatino Linotype"/>
          <w:b/>
          <w:bCs/>
          <w:color w:val="000000"/>
        </w:rPr>
      </w:pPr>
      <w:r w:rsidRPr="003A787D">
        <w:rPr>
          <w:rFonts w:ascii="Palatino Linotype" w:hAnsi="Palatino Linotype"/>
          <w:b/>
          <w:bCs/>
          <w:color w:val="000000"/>
        </w:rPr>
        <w:t>Formato ‘Total de nómina por sueldos y salarios’ de los ejercicios dos mil dieciocho y dos mil veinte;</w:t>
      </w:r>
      <w:r w:rsidR="004C678A" w:rsidRPr="003A787D">
        <w:rPr>
          <w:rFonts w:ascii="Palatino Linotype" w:hAnsi="Palatino Linotype"/>
          <w:b/>
          <w:bCs/>
          <w:color w:val="000000"/>
        </w:rPr>
        <w:t xml:space="preserve"> </w:t>
      </w:r>
      <w:r w:rsidRPr="003A787D">
        <w:rPr>
          <w:rFonts w:ascii="Palatino Linotype" w:hAnsi="Palatino Linotype"/>
          <w:b/>
          <w:bCs/>
          <w:color w:val="000000"/>
        </w:rPr>
        <w:t>y</w:t>
      </w:r>
    </w:p>
    <w:p w14:paraId="681773E6" w14:textId="19539B4E" w:rsidR="00642CAB" w:rsidRPr="003A787D" w:rsidRDefault="00B976F3" w:rsidP="00642CAB">
      <w:pPr>
        <w:pStyle w:val="Prrafodelista"/>
        <w:numPr>
          <w:ilvl w:val="1"/>
          <w:numId w:val="9"/>
        </w:numPr>
        <w:spacing w:after="240" w:line="360" w:lineRule="auto"/>
        <w:ind w:left="1701" w:right="567"/>
        <w:jc w:val="both"/>
        <w:rPr>
          <w:rFonts w:ascii="Palatino Linotype" w:hAnsi="Palatino Linotype"/>
          <w:b/>
          <w:bCs/>
          <w:color w:val="000000"/>
        </w:rPr>
      </w:pPr>
      <w:r w:rsidRPr="003A787D">
        <w:rPr>
          <w:rFonts w:ascii="Palatino Linotype" w:hAnsi="Palatino Linotype"/>
          <w:b/>
          <w:bCs/>
          <w:color w:val="000000"/>
        </w:rPr>
        <w:t>Formato ‘Total de nómina por asimilados a salarios’ del ejercicio dos mil dieciocho.</w:t>
      </w:r>
    </w:p>
    <w:p w14:paraId="4AE17968" w14:textId="02468FE2" w:rsidR="00EF10EB" w:rsidRPr="003A787D" w:rsidRDefault="00EF10EB" w:rsidP="000B5036">
      <w:pPr>
        <w:pStyle w:val="Prrafodelista"/>
        <w:numPr>
          <w:ilvl w:val="0"/>
          <w:numId w:val="9"/>
        </w:numPr>
        <w:spacing w:after="240" w:line="360" w:lineRule="auto"/>
        <w:ind w:left="1134" w:right="567"/>
        <w:jc w:val="both"/>
        <w:rPr>
          <w:rFonts w:ascii="Palatino Linotype" w:hAnsi="Palatino Linotype"/>
          <w:b/>
          <w:bCs/>
          <w:color w:val="000000"/>
        </w:rPr>
      </w:pPr>
      <w:r w:rsidRPr="003A787D">
        <w:rPr>
          <w:rFonts w:ascii="Palatino Linotype" w:hAnsi="Palatino Linotype"/>
          <w:b/>
          <w:bCs/>
          <w:color w:val="000000"/>
        </w:rPr>
        <w:t xml:space="preserve">Acuerdo del Comité de Transparencia, mediante el cual, se manifieste la incompetencia para poseer, generar o administrar información relacionada con el </w:t>
      </w:r>
      <w:r w:rsidR="00B976F3" w:rsidRPr="003A787D">
        <w:rPr>
          <w:rFonts w:ascii="Palatino Linotype" w:hAnsi="Palatino Linotype"/>
          <w:b/>
          <w:bCs/>
          <w:color w:val="000000"/>
        </w:rPr>
        <w:t xml:space="preserve">Ayuntamiento de Tenancingo, así como el </w:t>
      </w:r>
      <w:r w:rsidRPr="003A787D">
        <w:rPr>
          <w:rFonts w:ascii="Palatino Linotype" w:hAnsi="Palatino Linotype"/>
          <w:b/>
          <w:bCs/>
          <w:color w:val="000000"/>
        </w:rPr>
        <w:t xml:space="preserve">Organismo </w:t>
      </w:r>
      <w:r w:rsidR="00B976F3" w:rsidRPr="003A787D">
        <w:rPr>
          <w:rFonts w:ascii="Palatino Linotype" w:hAnsi="Palatino Linotype"/>
          <w:b/>
          <w:bCs/>
          <w:color w:val="000000"/>
        </w:rPr>
        <w:t xml:space="preserve">Público Descentralizado para la Prestación de </w:t>
      </w:r>
      <w:r w:rsidR="00B976F3" w:rsidRPr="003A787D">
        <w:rPr>
          <w:rFonts w:ascii="Palatino Linotype" w:hAnsi="Palatino Linotype"/>
          <w:b/>
          <w:bCs/>
          <w:color w:val="000000"/>
        </w:rPr>
        <w:lastRenderedPageBreak/>
        <w:t>los Servicios de Agua Potable, Alcantarillado y Saneamiento</w:t>
      </w:r>
      <w:r w:rsidRPr="003A787D">
        <w:rPr>
          <w:rFonts w:ascii="Palatino Linotype" w:hAnsi="Palatino Linotype"/>
          <w:b/>
          <w:bCs/>
          <w:color w:val="000000"/>
        </w:rPr>
        <w:t>;</w:t>
      </w:r>
      <w:r w:rsidR="00B976F3" w:rsidRPr="003A787D">
        <w:rPr>
          <w:rFonts w:ascii="Palatino Linotype" w:hAnsi="Palatino Linotype"/>
          <w:b/>
          <w:bCs/>
          <w:color w:val="000000"/>
        </w:rPr>
        <w:t xml:space="preserve"> o cualquier otro organismo auxiliar municipal.</w:t>
      </w:r>
    </w:p>
    <w:p w14:paraId="0BFC35BF" w14:textId="77777777" w:rsidR="00F17282" w:rsidRPr="003A787D" w:rsidRDefault="00F17282" w:rsidP="00F17282">
      <w:pPr>
        <w:tabs>
          <w:tab w:val="left" w:pos="993"/>
        </w:tabs>
        <w:spacing w:line="360" w:lineRule="auto"/>
        <w:jc w:val="both"/>
        <w:rPr>
          <w:rFonts w:ascii="Palatino Linotype" w:eastAsia="Calibri" w:hAnsi="Palatino Linotype" w:cs="Arial"/>
        </w:rPr>
      </w:pPr>
      <w:r w:rsidRPr="003A787D">
        <w:rPr>
          <w:rFonts w:ascii="Palatino Linotype" w:hAnsi="Palatino Linotype"/>
          <w:color w:val="000000"/>
        </w:rPr>
        <w:t xml:space="preserve">Para </w:t>
      </w:r>
      <w:r w:rsidRPr="003A787D">
        <w:rPr>
          <w:rFonts w:ascii="Palatino Linotype" w:eastAsia="Calibri" w:hAnsi="Palatino Linotype" w:cs="Arial"/>
        </w:rPr>
        <w:t xml:space="preserve">efectos de lo anterior se deberá emitir el Acuerdo del Comité de Transparencia en términos de los artículos 49, fracción VIII, y 132, fracción II, de la Ley de Transparencia y Acceso a la Información Pública del Estado de México y Municipios, en el que funde y motive las razones sobre los datos que se supriman o eliminen dentro del soporte documental respectivo objeto de las versiones públicas que se formulen y se ponga a disposición del </w:t>
      </w:r>
      <w:r w:rsidRPr="003A787D">
        <w:rPr>
          <w:rFonts w:ascii="Palatino Linotype" w:eastAsia="Calibri" w:hAnsi="Palatino Linotype" w:cs="Arial"/>
          <w:b/>
        </w:rPr>
        <w:t>RECURRENTE</w:t>
      </w:r>
      <w:r w:rsidRPr="003A787D">
        <w:rPr>
          <w:rFonts w:ascii="Palatino Linotype" w:eastAsia="Calibri" w:hAnsi="Palatino Linotype" w:cs="Arial"/>
        </w:rPr>
        <w:t>.</w:t>
      </w:r>
    </w:p>
    <w:p w14:paraId="65A69728" w14:textId="77777777" w:rsidR="00F17282" w:rsidRPr="003A787D" w:rsidRDefault="00F17282" w:rsidP="00F17282">
      <w:pPr>
        <w:tabs>
          <w:tab w:val="left" w:pos="993"/>
        </w:tabs>
        <w:spacing w:line="360" w:lineRule="auto"/>
        <w:jc w:val="both"/>
        <w:rPr>
          <w:rFonts w:ascii="Palatino Linotype" w:eastAsia="Calibri" w:hAnsi="Palatino Linotype" w:cs="Arial"/>
        </w:rPr>
      </w:pPr>
    </w:p>
    <w:p w14:paraId="40EEF70E" w14:textId="6DBFD9C7" w:rsidR="00583D94" w:rsidRPr="003A787D" w:rsidRDefault="00583D94" w:rsidP="00F17282">
      <w:pPr>
        <w:tabs>
          <w:tab w:val="left" w:pos="993"/>
        </w:tabs>
        <w:spacing w:line="360" w:lineRule="auto"/>
        <w:jc w:val="both"/>
        <w:rPr>
          <w:rFonts w:ascii="Palatino Linotype" w:eastAsia="Calibri" w:hAnsi="Palatino Linotype" w:cs="Arial"/>
        </w:rPr>
      </w:pPr>
      <w:r w:rsidRPr="003A787D">
        <w:rPr>
          <w:rFonts w:ascii="Palatino Linotype" w:eastAsia="Calibri" w:hAnsi="Palatino Linotype" w:cs="Arial"/>
        </w:rPr>
        <w:t xml:space="preserve">Por otro lado, en el supuesto de que una vez agotada la búsqueda de toda la información que se ordena entregar en el punto </w:t>
      </w:r>
      <w:r w:rsidR="00C309D0" w:rsidRPr="003A787D">
        <w:rPr>
          <w:rFonts w:ascii="Palatino Linotype" w:eastAsia="Calibri" w:hAnsi="Palatino Linotype" w:cs="Arial"/>
          <w:b/>
          <w:i/>
          <w:iCs/>
        </w:rPr>
        <w:t>I</w:t>
      </w:r>
      <w:r w:rsidRPr="003A787D">
        <w:rPr>
          <w:rFonts w:ascii="Palatino Linotype" w:eastAsia="Calibri" w:hAnsi="Palatino Linotype" w:cs="Arial"/>
        </w:rPr>
        <w:t xml:space="preserve"> se acredite no contar con la misma, el </w:t>
      </w:r>
      <w:r w:rsidRPr="003A787D">
        <w:rPr>
          <w:rFonts w:ascii="Palatino Linotype" w:eastAsia="Calibri" w:hAnsi="Palatino Linotype" w:cs="Arial"/>
          <w:b/>
        </w:rPr>
        <w:t>SUJETO OBLIGADO</w:t>
      </w:r>
      <w:r w:rsidRPr="003A787D">
        <w:rPr>
          <w:rFonts w:ascii="Palatino Linotype" w:eastAsia="Calibri" w:hAnsi="Palatino Linotype" w:cs="Arial"/>
        </w:rPr>
        <w:t xml:space="preserve"> deberá hacer</w:t>
      </w:r>
      <w:r w:rsidR="00C309D0" w:rsidRPr="003A787D">
        <w:rPr>
          <w:rFonts w:ascii="Palatino Linotype" w:eastAsia="Calibri" w:hAnsi="Palatino Linotype" w:cs="Arial"/>
        </w:rPr>
        <w:t>lo</w:t>
      </w:r>
      <w:r w:rsidRPr="003A787D">
        <w:rPr>
          <w:rFonts w:ascii="Palatino Linotype" w:eastAsia="Calibri" w:hAnsi="Palatino Linotype" w:cs="Arial"/>
        </w:rPr>
        <w:t xml:space="preserve"> del conocimiento del </w:t>
      </w:r>
      <w:r w:rsidRPr="003A787D">
        <w:rPr>
          <w:rFonts w:ascii="Palatino Linotype" w:eastAsia="Calibri" w:hAnsi="Palatino Linotype" w:cs="Arial"/>
          <w:b/>
        </w:rPr>
        <w:t>RECURRENTE</w:t>
      </w:r>
      <w:r w:rsidRPr="003A787D">
        <w:rPr>
          <w:rFonts w:ascii="Palatino Linotype" w:eastAsia="Calibri" w:hAnsi="Palatino Linotype" w:cs="Arial"/>
        </w:rPr>
        <w:t>, en términos del artículo 19 de la Ley de Transparencia y Acceso a la Información Pública del Estado de México y Municipios.</w:t>
      </w:r>
    </w:p>
    <w:p w14:paraId="37C60195" w14:textId="77777777" w:rsidR="00F17282" w:rsidRPr="003A787D" w:rsidRDefault="00F17282" w:rsidP="00F17282">
      <w:pPr>
        <w:tabs>
          <w:tab w:val="left" w:pos="993"/>
        </w:tabs>
        <w:spacing w:line="360" w:lineRule="auto"/>
        <w:ind w:right="567"/>
        <w:jc w:val="both"/>
        <w:rPr>
          <w:rFonts w:ascii="Palatino Linotype" w:eastAsia="Calibri" w:hAnsi="Palatino Linotype" w:cs="Arial"/>
        </w:rPr>
      </w:pPr>
    </w:p>
    <w:p w14:paraId="42378FD7" w14:textId="78518E0C" w:rsidR="00F17282" w:rsidRPr="003A787D" w:rsidRDefault="00F17282" w:rsidP="00F17282">
      <w:pPr>
        <w:spacing w:line="360" w:lineRule="auto"/>
        <w:jc w:val="both"/>
        <w:rPr>
          <w:rFonts w:ascii="Palatino Linotype" w:eastAsia="MS Mincho" w:hAnsi="Palatino Linotype" w:cs="Times New Roman"/>
          <w:color w:val="000000"/>
        </w:rPr>
      </w:pPr>
      <w:r w:rsidRPr="003A787D">
        <w:rPr>
          <w:rFonts w:ascii="Palatino Linotype" w:eastAsia="MS Mincho" w:hAnsi="Palatino Linotype" w:cs="Times New Roman"/>
          <w:b/>
          <w:color w:val="000000"/>
          <w:sz w:val="28"/>
          <w:szCs w:val="28"/>
        </w:rPr>
        <w:t>TERCERO</w:t>
      </w:r>
      <w:r w:rsidRPr="003A787D">
        <w:rPr>
          <w:rFonts w:ascii="Palatino Linotype" w:eastAsia="MS Mincho" w:hAnsi="Palatino Linotype" w:cs="Times New Roman"/>
          <w:b/>
          <w:color w:val="000000"/>
        </w:rPr>
        <w:t>.</w:t>
      </w:r>
      <w:r w:rsidRPr="003A787D">
        <w:rPr>
          <w:rFonts w:ascii="Palatino Linotype" w:eastAsia="MS Mincho" w:hAnsi="Palatino Linotype" w:cs="Times New Roman"/>
          <w:color w:val="000000"/>
        </w:rPr>
        <w:t xml:space="preserve"> Notifíquese al Titular de la Unidad de Transparencia del</w:t>
      </w:r>
      <w:r w:rsidRPr="003A787D">
        <w:rPr>
          <w:rFonts w:ascii="Palatino Linotype" w:eastAsia="MS Mincho" w:hAnsi="Palatino Linotype" w:cs="Times New Roman"/>
          <w:b/>
          <w:color w:val="000000"/>
        </w:rPr>
        <w:t xml:space="preserve"> SUJETO OBLIGADO</w:t>
      </w:r>
      <w:r w:rsidRPr="003A787D">
        <w:rPr>
          <w:rFonts w:ascii="Palatino Linotype" w:eastAsia="MS Mincho" w:hAnsi="Palatino Linotype" w:cs="Times New Roman"/>
          <w:color w:val="000000"/>
        </w:rPr>
        <w:t>, para que conforme a los artículos 186, último párrafo, 189, párrafo segundo, y 199 de la Ley de Transparencia y Acceso a la Información Pública del Estado de México y Municipios, dé cumplimiento a lo ordenado dentro del plazo de diez días hábiles, debiendo rendir a este Instituto el informe de cumplimiento de la resolución en un plazo de tres días hábiles posteriores.</w:t>
      </w:r>
    </w:p>
    <w:p w14:paraId="6895F55B" w14:textId="77777777" w:rsidR="00F17282" w:rsidRPr="003A787D" w:rsidRDefault="00F17282" w:rsidP="00F17282">
      <w:pPr>
        <w:spacing w:line="360" w:lineRule="auto"/>
        <w:jc w:val="both"/>
        <w:rPr>
          <w:rFonts w:ascii="Palatino Linotype" w:eastAsia="MS Mincho" w:hAnsi="Palatino Linotype" w:cs="Times New Roman"/>
          <w:color w:val="000000"/>
        </w:rPr>
      </w:pPr>
    </w:p>
    <w:p w14:paraId="5BF2A47C" w14:textId="77777777" w:rsidR="00F17282" w:rsidRPr="003A787D" w:rsidRDefault="00F17282" w:rsidP="00F17282">
      <w:pPr>
        <w:spacing w:line="360" w:lineRule="auto"/>
        <w:jc w:val="both"/>
        <w:rPr>
          <w:rFonts w:ascii="Palatino Linotype" w:eastAsia="MS Mincho" w:hAnsi="Palatino Linotype" w:cs="Times New Roman"/>
          <w:color w:val="000000"/>
        </w:rPr>
      </w:pPr>
      <w:r w:rsidRPr="003A787D">
        <w:rPr>
          <w:rFonts w:ascii="Palatino Linotype" w:eastAsia="MS Mincho" w:hAnsi="Palatino Linotype" w:cs="Times New Roman"/>
          <w:b/>
          <w:bCs/>
          <w:color w:val="000000"/>
          <w:sz w:val="28"/>
          <w:szCs w:val="28"/>
        </w:rPr>
        <w:t>CUARTO</w:t>
      </w:r>
      <w:r w:rsidRPr="003A787D">
        <w:rPr>
          <w:rFonts w:ascii="Palatino Linotype" w:eastAsia="MS Mincho" w:hAnsi="Palatino Linotype" w:cs="Times New Roman"/>
          <w:b/>
          <w:bCs/>
          <w:color w:val="000000"/>
        </w:rPr>
        <w:t>.</w:t>
      </w:r>
      <w:r w:rsidRPr="003A787D">
        <w:rPr>
          <w:rFonts w:ascii="Palatino Linotype" w:eastAsia="MS Mincho" w:hAnsi="Palatino Linotype" w:cs="Times New Roman"/>
          <w:color w:val="000000"/>
        </w:rPr>
        <w:t xml:space="preserve"> De </w:t>
      </w:r>
      <w:r w:rsidRPr="003A787D">
        <w:rPr>
          <w:rFonts w:ascii="Palatino Linotype" w:eastAsia="MS Mincho" w:hAnsi="Palatino Linotype" w:cs="Times New Roman"/>
          <w:bCs/>
          <w:color w:val="000000"/>
        </w:rPr>
        <w:t xml:space="preserve">conformidad con el artículo 198 de la Ley de Transparencia y Acceso a la Información Pública del Estado de México y Municipios, de considerarlo </w:t>
      </w:r>
      <w:r w:rsidRPr="003A787D">
        <w:rPr>
          <w:rFonts w:ascii="Palatino Linotype" w:eastAsia="MS Mincho" w:hAnsi="Palatino Linotype" w:cs="Times New Roman"/>
          <w:bCs/>
          <w:color w:val="000000"/>
        </w:rPr>
        <w:lastRenderedPageBreak/>
        <w:t xml:space="preserve">procedente y, de manera fundada y motivada, el </w:t>
      </w:r>
      <w:r w:rsidRPr="003A787D">
        <w:rPr>
          <w:rFonts w:ascii="Palatino Linotype" w:eastAsia="MS Mincho" w:hAnsi="Palatino Linotype" w:cs="Times New Roman"/>
          <w:b/>
          <w:color w:val="000000"/>
        </w:rPr>
        <w:t>SUJETO OBLIGADO</w:t>
      </w:r>
      <w:r w:rsidRPr="003A787D">
        <w:rPr>
          <w:rFonts w:ascii="Palatino Linotype" w:eastAsia="MS Mincho" w:hAnsi="Palatino Linotype" w:cs="Times New Roman"/>
          <w:bCs/>
          <w:color w:val="000000"/>
        </w:rPr>
        <w:t xml:space="preserve"> podrá solicitar una ampliación de plazo para el cumplimiento de la presente resolución.</w:t>
      </w:r>
    </w:p>
    <w:p w14:paraId="069D0FA1" w14:textId="77777777" w:rsidR="00F17282" w:rsidRPr="003A787D" w:rsidRDefault="00F17282" w:rsidP="00F17282">
      <w:pPr>
        <w:spacing w:line="360" w:lineRule="auto"/>
        <w:jc w:val="both"/>
        <w:rPr>
          <w:rFonts w:ascii="Palatino Linotype" w:eastAsia="MS Mincho" w:hAnsi="Palatino Linotype" w:cs="Times New Roman"/>
          <w:color w:val="000000"/>
        </w:rPr>
      </w:pPr>
    </w:p>
    <w:p w14:paraId="526D3A27" w14:textId="7B058199" w:rsidR="00F17282" w:rsidRPr="003A787D" w:rsidRDefault="00F17282" w:rsidP="00F17282">
      <w:pPr>
        <w:spacing w:line="360" w:lineRule="auto"/>
        <w:jc w:val="both"/>
        <w:rPr>
          <w:rFonts w:ascii="Palatino Linotype" w:eastAsia="MS Mincho" w:hAnsi="Palatino Linotype" w:cs="Times New Roman"/>
          <w:color w:val="000000"/>
        </w:rPr>
      </w:pPr>
      <w:r w:rsidRPr="003A787D">
        <w:rPr>
          <w:rFonts w:ascii="Palatino Linotype" w:eastAsia="MS Mincho" w:hAnsi="Palatino Linotype" w:cs="Times New Roman"/>
          <w:b/>
          <w:color w:val="000000"/>
          <w:sz w:val="28"/>
          <w:szCs w:val="28"/>
        </w:rPr>
        <w:t>QUINTO</w:t>
      </w:r>
      <w:r w:rsidRPr="003A787D">
        <w:rPr>
          <w:rFonts w:ascii="Palatino Linotype" w:eastAsia="MS Mincho" w:hAnsi="Palatino Linotype" w:cs="Times New Roman"/>
          <w:b/>
          <w:color w:val="000000"/>
        </w:rPr>
        <w:t xml:space="preserve">. </w:t>
      </w:r>
      <w:r w:rsidRPr="003A787D">
        <w:rPr>
          <w:rFonts w:ascii="Palatino Linotype" w:eastAsia="MS Mincho" w:hAnsi="Palatino Linotype" w:cs="Times New Roman"/>
          <w:color w:val="000000"/>
        </w:rPr>
        <w:t xml:space="preserve">Notifíquese al </w:t>
      </w:r>
      <w:r w:rsidRPr="003A787D">
        <w:rPr>
          <w:rFonts w:ascii="Palatino Linotype" w:eastAsia="MS Mincho" w:hAnsi="Palatino Linotype" w:cs="Times New Roman"/>
          <w:b/>
          <w:bCs/>
          <w:color w:val="000000"/>
        </w:rPr>
        <w:t>RECURRENTE</w:t>
      </w:r>
      <w:r w:rsidRPr="003A787D">
        <w:rPr>
          <w:rFonts w:ascii="Palatino Linotype" w:eastAsia="MS Mincho" w:hAnsi="Palatino Linotype" w:cs="Times New Roman"/>
          <w:bCs/>
          <w:color w:val="000000"/>
        </w:rPr>
        <w:t>, vía Sistema de Acceso a la Información Mexiquense (SAIMEX),</w:t>
      </w:r>
      <w:r w:rsidRPr="003A787D">
        <w:rPr>
          <w:rFonts w:ascii="Palatino Linotype" w:eastAsia="MS Mincho" w:hAnsi="Palatino Linotype" w:cs="Times New Roman"/>
          <w:color w:val="000000"/>
        </w:rPr>
        <w:t xml:space="preserve"> </w:t>
      </w:r>
      <w:r w:rsidR="009B1EE5" w:rsidRPr="003A787D">
        <w:rPr>
          <w:rFonts w:ascii="Palatino Linotype" w:eastAsia="MS Mincho" w:hAnsi="Palatino Linotype" w:cs="Times New Roman"/>
          <w:color w:val="000000"/>
        </w:rPr>
        <w:t xml:space="preserve">y correo electrónico, </w:t>
      </w:r>
      <w:r w:rsidRPr="003A787D">
        <w:rPr>
          <w:rFonts w:ascii="Palatino Linotype" w:eastAsia="MS Mincho" w:hAnsi="Palatino Linotype" w:cs="Times New Roman"/>
          <w:color w:val="000000"/>
        </w:rPr>
        <w:t>la presente resolución.</w:t>
      </w:r>
    </w:p>
    <w:p w14:paraId="435CB984" w14:textId="77777777" w:rsidR="00F17282" w:rsidRPr="003A787D" w:rsidRDefault="00F17282" w:rsidP="00F17282">
      <w:pPr>
        <w:spacing w:line="360" w:lineRule="auto"/>
        <w:jc w:val="both"/>
        <w:rPr>
          <w:rFonts w:ascii="Palatino Linotype" w:hAnsi="Palatino Linotype"/>
          <w:b/>
        </w:rPr>
      </w:pPr>
    </w:p>
    <w:p w14:paraId="5745E481" w14:textId="2AA298D8" w:rsidR="00F17282" w:rsidRPr="003A787D" w:rsidRDefault="00F17282" w:rsidP="00F17282">
      <w:pPr>
        <w:spacing w:line="360" w:lineRule="auto"/>
        <w:jc w:val="both"/>
        <w:rPr>
          <w:rFonts w:ascii="Palatino Linotype" w:eastAsia="MS Mincho" w:hAnsi="Palatino Linotype" w:cs="Times New Roman"/>
          <w:color w:val="000000"/>
          <w:lang w:val="es-ES"/>
        </w:rPr>
      </w:pPr>
      <w:r w:rsidRPr="003A787D">
        <w:rPr>
          <w:rFonts w:ascii="Palatino Linotype" w:eastAsia="MS Mincho" w:hAnsi="Palatino Linotype" w:cs="Times New Roman"/>
          <w:b/>
          <w:sz w:val="28"/>
          <w:szCs w:val="28"/>
        </w:rPr>
        <w:t>SEXTO</w:t>
      </w:r>
      <w:r w:rsidRPr="003A787D">
        <w:rPr>
          <w:rFonts w:ascii="Palatino Linotype" w:eastAsia="MS Mincho" w:hAnsi="Palatino Linotype" w:cs="Times New Roman"/>
          <w:b/>
          <w:color w:val="000000"/>
        </w:rPr>
        <w:t xml:space="preserve">. </w:t>
      </w:r>
      <w:r w:rsidRPr="003A787D">
        <w:rPr>
          <w:rFonts w:ascii="Palatino Linotype" w:eastAsia="MS Mincho" w:hAnsi="Palatino Linotype" w:cs="Times New Roman"/>
          <w:color w:val="000000"/>
        </w:rPr>
        <w:t xml:space="preserve">Se hace del conocimiento del </w:t>
      </w:r>
      <w:r w:rsidRPr="003A787D">
        <w:rPr>
          <w:rFonts w:ascii="Palatino Linotype" w:eastAsia="MS Mincho" w:hAnsi="Palatino Linotype" w:cs="Times New Roman"/>
          <w:b/>
          <w:bCs/>
          <w:color w:val="000000"/>
        </w:rPr>
        <w:t>RECURRENTE</w:t>
      </w:r>
      <w:r w:rsidRPr="003A787D">
        <w:rPr>
          <w:rFonts w:ascii="Palatino Linotype" w:hAnsi="Palatino Linotype"/>
          <w:b/>
        </w:rPr>
        <w:t xml:space="preserve"> </w:t>
      </w:r>
      <w:r w:rsidRPr="003A787D">
        <w:rPr>
          <w:rFonts w:ascii="Palatino Linotype" w:eastAsia="MS Mincho" w:hAnsi="Palatino Linotype" w:cs="Times New Roman"/>
          <w:color w:val="000000"/>
        </w:rPr>
        <w:t xml:space="preserve">que, </w:t>
      </w:r>
      <w:bookmarkEnd w:id="34"/>
      <w:r w:rsidRPr="003A787D">
        <w:rPr>
          <w:rFonts w:ascii="Palatino Linotype" w:eastAsia="MS Mincho" w:hAnsi="Palatino Linotype" w:cs="Times New Roman"/>
          <w:color w:val="000000"/>
        </w:rPr>
        <w:t xml:space="preserve">de conformidad con lo establecido en el artículo 196 de la Ley de Transparencia y Acceso a la Información Pública del Estado de México y Municipios, en caso de que considere que la resolución le cause algún perjuicio podrá impugnarla vía </w:t>
      </w:r>
      <w:r w:rsidRPr="003A787D">
        <w:rPr>
          <w:rFonts w:ascii="Palatino Linotype" w:eastAsia="MS Mincho" w:hAnsi="Palatino Linotype" w:cs="Times New Roman"/>
          <w:bCs/>
          <w:color w:val="000000"/>
          <w:lang w:val="es-ES"/>
        </w:rPr>
        <w:t xml:space="preserve">juicio de amparo </w:t>
      </w:r>
      <w:r w:rsidRPr="003A787D">
        <w:rPr>
          <w:rFonts w:ascii="Palatino Linotype" w:eastAsia="MS Mincho" w:hAnsi="Palatino Linotype" w:cs="Times New Roman"/>
          <w:color w:val="000000"/>
          <w:lang w:val="es-ES"/>
        </w:rPr>
        <w:t>en los términos de las Leyes aplicables.</w:t>
      </w:r>
    </w:p>
    <w:bookmarkEnd w:id="33"/>
    <w:p w14:paraId="4AE4B9C6" w14:textId="77777777" w:rsidR="003A787D" w:rsidRDefault="003A787D" w:rsidP="003A787D">
      <w:pPr>
        <w:spacing w:before="240" w:after="240" w:line="360" w:lineRule="auto"/>
        <w:ind w:firstLine="1"/>
        <w:jc w:val="both"/>
        <w:rPr>
          <w:rFonts w:ascii="Palatino Linotype" w:hAnsi="Palatino Linotype"/>
        </w:rPr>
      </w:pPr>
      <w:r w:rsidRPr="003A787D">
        <w:rPr>
          <w:rFonts w:ascii="Palatino Linotype" w:hAnsi="Palatino Linotype"/>
        </w:rPr>
        <w:t>ASÍ LO RESUELVE, POR UNANIMIDAD DE VOTOS, EL PLENO DEL INSTITUTO DE TRANSPARENCIA, ACCESO A LA INFORMACIÓN PÚBLICA Y PROTECCIÓN DE DATOS PERSONALES DEL ESTADO DE MÉXICO Y MUNICIPIOS, CONFORMADO POR LOS COMISIONADOS JOSÉ MARTÍNEZ VILCHIS; MARÍA DEL ROSARIO MEJÍA AYALA; SHARON CRISTINA MORALES MARTÍNEZ; LUIS GUSTAVO PARRA NORIEGA Y GUADALUPE RAMÍREZ PEÑA EN LA DÉCIMA SÉPTIMA SESIÓN ORDINARIA CELEBRADA EL ONCE (11) DE MAYO DE DOS MIL VEINTIDÓS, ANTE EL SECRETARIO TÉCNICO DEL PLENO ALEXIS TAPIA RAMÍREZ.</w:t>
      </w:r>
      <w:r w:rsidRPr="00624AAD">
        <w:rPr>
          <w:rFonts w:ascii="Palatino Linotype" w:hAnsi="Palatino Linotype"/>
        </w:rPr>
        <w:t xml:space="preserve"> </w:t>
      </w:r>
    </w:p>
    <w:p w14:paraId="7EFA4F21" w14:textId="77777777" w:rsidR="00895335" w:rsidRDefault="00895335">
      <w:pPr>
        <w:rPr>
          <w:rFonts w:ascii="Palatino Linotype" w:hAnsi="Palatino Linotype" w:cs="Arial"/>
          <w:color w:val="000000" w:themeColor="text1"/>
        </w:rPr>
      </w:pPr>
      <w:r>
        <w:rPr>
          <w:rFonts w:ascii="Palatino Linotype" w:hAnsi="Palatino Linotype" w:cs="Arial"/>
          <w:color w:val="000000" w:themeColor="text1"/>
        </w:rPr>
        <w:br w:type="page"/>
      </w:r>
    </w:p>
    <w:sectPr w:rsidR="00895335" w:rsidSect="00472C41">
      <w:headerReference w:type="default" r:id="rId40"/>
      <w:footerReference w:type="default" r:id="rId41"/>
      <w:headerReference w:type="first" r:id="rId42"/>
      <w:footerReference w:type="first" r:id="rId43"/>
      <w:pgSz w:w="12240" w:h="15840"/>
      <w:pgMar w:top="1417" w:right="1701" w:bottom="1417" w:left="1701" w:header="708" w:footer="708"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65B515E3" w14:textId="77777777" w:rsidR="003C4B3F" w:rsidRDefault="003C4B3F" w:rsidP="00587366">
      <w:r>
        <w:separator/>
      </w:r>
    </w:p>
  </w:endnote>
  <w:endnote w:type="continuationSeparator" w:id="0">
    <w:p w14:paraId="28C70DBB" w14:textId="77777777" w:rsidR="003C4B3F" w:rsidRDefault="003C4B3F" w:rsidP="0058736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Palatino Linotype">
    <w:panose1 w:val="02040502050505030304"/>
    <w:charset w:val="00"/>
    <w:family w:val="roman"/>
    <w:pitch w:val="variable"/>
    <w:sig w:usb0="E0000287" w:usb1="40000013" w:usb2="00000000" w:usb3="00000000" w:csb0="0000019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mbria">
    <w:panose1 w:val="02040503050406030204"/>
    <w:charset w:val="00"/>
    <w:family w:val="roman"/>
    <w:pitch w:val="variable"/>
    <w:sig w:usb0="E00006FF" w:usb1="420024FF" w:usb2="02000000" w:usb3="00000000" w:csb0="0000019F" w:csb1="00000000"/>
  </w:font>
  <w:font w:name="MS Mincho">
    <w:altName w:val="MS Gothic"/>
    <w:panose1 w:val="02020609040205080304"/>
    <w:charset w:val="80"/>
    <w:family w:val="roman"/>
    <w:notTrueType/>
    <w:pitch w:val="fixed"/>
    <w:sig w:usb0="00000000" w:usb1="08070000" w:usb2="00000010" w:usb3="00000000" w:csb0="00020000" w:csb1="00000000"/>
  </w:font>
  <w:font w:name="MS Gothic">
    <w:altName w:val="ＭＳ ゴシック"/>
    <w:panose1 w:val="020B0609070205080204"/>
    <w:charset w:val="80"/>
    <w:family w:val="modern"/>
    <w:pitch w:val="fixed"/>
    <w:sig w:usb0="E00002FF" w:usb1="6AC7FDFB" w:usb2="08000012" w:usb3="00000000" w:csb0="0002009F" w:csb1="00000000"/>
  </w:font>
  <w:font w:name="Calibri">
    <w:panose1 w:val="020F0502020204030204"/>
    <w:charset w:val="00"/>
    <w:family w:val="swiss"/>
    <w:pitch w:val="variable"/>
    <w:sig w:usb0="E4002EFF" w:usb1="C000247B" w:usb2="00000009" w:usb3="00000000" w:csb0="000001FF" w:csb1="00000000"/>
  </w:font>
  <w:font w:name="Lucida Grande">
    <w:charset w:val="00"/>
    <w:family w:val="auto"/>
    <w:pitch w:val="variable"/>
    <w:sig w:usb0="00000000" w:usb1="5000A1FF" w:usb2="00000000" w:usb3="00000000" w:csb0="000001BF" w:csb1="00000000"/>
  </w:font>
  <w:font w:name="Arial">
    <w:panose1 w:val="020B0604020202020204"/>
    <w:charset w:val="00"/>
    <w:family w:val="swiss"/>
    <w:pitch w:val="variable"/>
    <w:sig w:usb0="E0002EFF" w:usb1="C000785B" w:usb2="00000009" w:usb3="00000000" w:csb0="000001FF" w:csb1="00000000"/>
  </w:font>
  <w:font w:name="Bookman Old Style">
    <w:panose1 w:val="02050604050505020204"/>
    <w:charset w:val="00"/>
    <w:family w:val="roman"/>
    <w:pitch w:val="variable"/>
    <w:sig w:usb0="00000287" w:usb1="00000000" w:usb2="00000000" w:usb3="00000000" w:csb0="0000009F" w:csb1="00000000"/>
  </w:font>
  <w:font w:name="Times">
    <w:panose1 w:val="02020603050405020304"/>
    <w:charset w:val="00"/>
    <w:family w:val="auto"/>
    <w:pitch w:val="variable"/>
    <w:sig w:usb0="E00002FF" w:usb1="5000205A" w:usb2="00000000" w:usb3="00000000" w:csb0="0000019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rFonts w:ascii="Palatino Linotype" w:hAnsi="Palatino Linotype"/>
        <w:sz w:val="28"/>
      </w:rPr>
      <w:id w:val="-733850643"/>
      <w:docPartObj>
        <w:docPartGallery w:val="Page Numbers (Bottom of Page)"/>
        <w:docPartUnique/>
      </w:docPartObj>
    </w:sdtPr>
    <w:sdtEndPr/>
    <w:sdtContent>
      <w:sdt>
        <w:sdtPr>
          <w:rPr>
            <w:rFonts w:ascii="Palatino Linotype" w:hAnsi="Palatino Linotype"/>
            <w:sz w:val="28"/>
          </w:rPr>
          <w:id w:val="284547370"/>
          <w:docPartObj>
            <w:docPartGallery w:val="Page Numbers (Top of Page)"/>
            <w:docPartUnique/>
          </w:docPartObj>
        </w:sdtPr>
        <w:sdtEndPr/>
        <w:sdtContent>
          <w:p w14:paraId="187818B4" w14:textId="10661408" w:rsidR="000B5036" w:rsidRPr="00883450" w:rsidRDefault="000B5036">
            <w:pPr>
              <w:pStyle w:val="Piedepgina"/>
              <w:jc w:val="right"/>
              <w:rPr>
                <w:rFonts w:ascii="Palatino Linotype" w:hAnsi="Palatino Linotype"/>
                <w:sz w:val="28"/>
              </w:rPr>
            </w:pPr>
            <w:r w:rsidRPr="00883450">
              <w:rPr>
                <w:rFonts w:ascii="Palatino Linotype" w:hAnsi="Palatino Linotype"/>
                <w:sz w:val="22"/>
                <w:szCs w:val="20"/>
                <w:lang w:val="es-ES"/>
              </w:rPr>
              <w:t xml:space="preserve">Página </w:t>
            </w:r>
            <w:r w:rsidRPr="00883450">
              <w:rPr>
                <w:rFonts w:ascii="Palatino Linotype" w:hAnsi="Palatino Linotype"/>
                <w:b/>
                <w:bCs/>
                <w:sz w:val="22"/>
                <w:szCs w:val="20"/>
              </w:rPr>
              <w:fldChar w:fldCharType="begin"/>
            </w:r>
            <w:r w:rsidRPr="00883450">
              <w:rPr>
                <w:rFonts w:ascii="Palatino Linotype" w:hAnsi="Palatino Linotype"/>
                <w:b/>
                <w:bCs/>
                <w:sz w:val="22"/>
                <w:szCs w:val="20"/>
              </w:rPr>
              <w:instrText>PAGE</w:instrText>
            </w:r>
            <w:r w:rsidRPr="00883450">
              <w:rPr>
                <w:rFonts w:ascii="Palatino Linotype" w:hAnsi="Palatino Linotype"/>
                <w:b/>
                <w:bCs/>
                <w:sz w:val="22"/>
                <w:szCs w:val="20"/>
              </w:rPr>
              <w:fldChar w:fldCharType="separate"/>
            </w:r>
            <w:r w:rsidR="00F34AAE">
              <w:rPr>
                <w:rFonts w:ascii="Palatino Linotype" w:hAnsi="Palatino Linotype"/>
                <w:b/>
                <w:bCs/>
                <w:noProof/>
                <w:sz w:val="22"/>
                <w:szCs w:val="20"/>
              </w:rPr>
              <w:t>21</w:t>
            </w:r>
            <w:r w:rsidRPr="00883450">
              <w:rPr>
                <w:rFonts w:ascii="Palatino Linotype" w:hAnsi="Palatino Linotype"/>
                <w:b/>
                <w:bCs/>
                <w:sz w:val="22"/>
                <w:szCs w:val="20"/>
              </w:rPr>
              <w:fldChar w:fldCharType="end"/>
            </w:r>
            <w:r w:rsidRPr="00883450">
              <w:rPr>
                <w:rFonts w:ascii="Palatino Linotype" w:hAnsi="Palatino Linotype"/>
                <w:sz w:val="22"/>
                <w:szCs w:val="20"/>
                <w:lang w:val="es-ES"/>
              </w:rPr>
              <w:t xml:space="preserve"> de </w:t>
            </w:r>
            <w:r w:rsidRPr="00883450">
              <w:rPr>
                <w:rFonts w:ascii="Palatino Linotype" w:hAnsi="Palatino Linotype"/>
                <w:b/>
                <w:bCs/>
                <w:sz w:val="22"/>
                <w:szCs w:val="20"/>
              </w:rPr>
              <w:fldChar w:fldCharType="begin"/>
            </w:r>
            <w:r w:rsidRPr="00883450">
              <w:rPr>
                <w:rFonts w:ascii="Palatino Linotype" w:hAnsi="Palatino Linotype"/>
                <w:b/>
                <w:bCs/>
                <w:sz w:val="22"/>
                <w:szCs w:val="20"/>
              </w:rPr>
              <w:instrText>NUMPAGES</w:instrText>
            </w:r>
            <w:r w:rsidRPr="00883450">
              <w:rPr>
                <w:rFonts w:ascii="Palatino Linotype" w:hAnsi="Palatino Linotype"/>
                <w:b/>
                <w:bCs/>
                <w:sz w:val="22"/>
                <w:szCs w:val="20"/>
              </w:rPr>
              <w:fldChar w:fldCharType="separate"/>
            </w:r>
            <w:r w:rsidR="00F34AAE">
              <w:rPr>
                <w:rFonts w:ascii="Palatino Linotype" w:hAnsi="Palatino Linotype"/>
                <w:b/>
                <w:bCs/>
                <w:noProof/>
                <w:sz w:val="22"/>
                <w:szCs w:val="20"/>
              </w:rPr>
              <w:t>65</w:t>
            </w:r>
            <w:r w:rsidRPr="00883450">
              <w:rPr>
                <w:rFonts w:ascii="Palatino Linotype" w:hAnsi="Palatino Linotype"/>
                <w:b/>
                <w:bCs/>
                <w:sz w:val="22"/>
                <w:szCs w:val="20"/>
              </w:rPr>
              <w:fldChar w:fldCharType="end"/>
            </w:r>
          </w:p>
        </w:sdtContent>
      </w:sdt>
    </w:sdtContent>
  </w:sdt>
  <w:p w14:paraId="6243EC1B" w14:textId="47B193F0" w:rsidR="000B5036" w:rsidRDefault="000B5036">
    <w:pPr>
      <w:pStyle w:val="Piedep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AB882B7" w14:textId="72A420DD" w:rsidR="000B5036" w:rsidRPr="00883450" w:rsidRDefault="000B5036" w:rsidP="00883450">
    <w:pPr>
      <w:pStyle w:val="Piedepgina"/>
      <w:jc w:val="right"/>
      <w:rPr>
        <w:rFonts w:ascii="Palatino Linotype" w:hAnsi="Palatino Linotype"/>
        <w:sz w:val="22"/>
        <w:szCs w:val="22"/>
      </w:rPr>
    </w:pPr>
    <w:r w:rsidRPr="00883450">
      <w:rPr>
        <w:rFonts w:ascii="Palatino Linotype" w:hAnsi="Palatino Linotype"/>
        <w:sz w:val="22"/>
        <w:szCs w:val="22"/>
        <w:lang w:val="es-ES"/>
      </w:rPr>
      <w:t xml:space="preserve">Página </w:t>
    </w:r>
    <w:r w:rsidRPr="00883450">
      <w:rPr>
        <w:rFonts w:ascii="Palatino Linotype" w:hAnsi="Palatino Linotype"/>
        <w:sz w:val="22"/>
        <w:szCs w:val="22"/>
      </w:rPr>
      <w:fldChar w:fldCharType="begin"/>
    </w:r>
    <w:r w:rsidRPr="00883450">
      <w:rPr>
        <w:rFonts w:ascii="Palatino Linotype" w:hAnsi="Palatino Linotype"/>
        <w:sz w:val="22"/>
        <w:szCs w:val="22"/>
      </w:rPr>
      <w:instrText>PAGE  \* Arabic  \* MERGEFORMAT</w:instrText>
    </w:r>
    <w:r w:rsidRPr="00883450">
      <w:rPr>
        <w:rFonts w:ascii="Palatino Linotype" w:hAnsi="Palatino Linotype"/>
        <w:sz w:val="22"/>
        <w:szCs w:val="22"/>
      </w:rPr>
      <w:fldChar w:fldCharType="separate"/>
    </w:r>
    <w:r w:rsidR="00F34AAE" w:rsidRPr="00F34AAE">
      <w:rPr>
        <w:rFonts w:ascii="Palatino Linotype" w:hAnsi="Palatino Linotype"/>
        <w:noProof/>
        <w:sz w:val="22"/>
        <w:szCs w:val="22"/>
        <w:lang w:val="es-ES"/>
      </w:rPr>
      <w:t>1</w:t>
    </w:r>
    <w:r w:rsidRPr="00883450">
      <w:rPr>
        <w:rFonts w:ascii="Palatino Linotype" w:hAnsi="Palatino Linotype"/>
        <w:sz w:val="22"/>
        <w:szCs w:val="22"/>
      </w:rPr>
      <w:fldChar w:fldCharType="end"/>
    </w:r>
    <w:r w:rsidRPr="00883450">
      <w:rPr>
        <w:rFonts w:ascii="Palatino Linotype" w:hAnsi="Palatino Linotype"/>
        <w:sz w:val="22"/>
        <w:szCs w:val="22"/>
        <w:lang w:val="es-ES"/>
      </w:rPr>
      <w:t xml:space="preserve"> de </w:t>
    </w:r>
    <w:r w:rsidRPr="00883450">
      <w:rPr>
        <w:rFonts w:ascii="Palatino Linotype" w:hAnsi="Palatino Linotype"/>
        <w:sz w:val="22"/>
        <w:szCs w:val="22"/>
      </w:rPr>
      <w:fldChar w:fldCharType="begin"/>
    </w:r>
    <w:r w:rsidRPr="00883450">
      <w:rPr>
        <w:rFonts w:ascii="Palatino Linotype" w:hAnsi="Palatino Linotype"/>
        <w:sz w:val="22"/>
        <w:szCs w:val="22"/>
      </w:rPr>
      <w:instrText>NUMPAGES  \* Arabic  \* MERGEFORMAT</w:instrText>
    </w:r>
    <w:r w:rsidRPr="00883450">
      <w:rPr>
        <w:rFonts w:ascii="Palatino Linotype" w:hAnsi="Palatino Linotype"/>
        <w:sz w:val="22"/>
        <w:szCs w:val="22"/>
      </w:rPr>
      <w:fldChar w:fldCharType="separate"/>
    </w:r>
    <w:r w:rsidR="00F34AAE" w:rsidRPr="00F34AAE">
      <w:rPr>
        <w:rFonts w:ascii="Palatino Linotype" w:hAnsi="Palatino Linotype"/>
        <w:noProof/>
        <w:sz w:val="22"/>
        <w:szCs w:val="22"/>
        <w:lang w:val="es-ES"/>
      </w:rPr>
      <w:t>65</w:t>
    </w:r>
    <w:r w:rsidRPr="00883450">
      <w:rPr>
        <w:rFonts w:ascii="Palatino Linotype" w:hAnsi="Palatino Linotype"/>
        <w:sz w:val="22"/>
        <w:szCs w:val="22"/>
      </w:rPr>
      <w:fldChar w:fldCharType="end"/>
    </w:r>
  </w:p>
  <w:p w14:paraId="5F5C4865" w14:textId="0A9A2B26" w:rsidR="000B5036" w:rsidRPr="00883450" w:rsidRDefault="000B5036">
    <w:pPr>
      <w:pStyle w:val="Piedepgina"/>
      <w:rPr>
        <w:rFonts w:ascii="Palatino Linotype" w:hAnsi="Palatino Linotype"/>
        <w:sz w:val="22"/>
        <w:szCs w:val="22"/>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6F1A01C" w14:textId="77777777" w:rsidR="003C4B3F" w:rsidRDefault="003C4B3F" w:rsidP="00587366">
      <w:r>
        <w:separator/>
      </w:r>
    </w:p>
  </w:footnote>
  <w:footnote w:type="continuationSeparator" w:id="0">
    <w:p w14:paraId="2903A424" w14:textId="77777777" w:rsidR="003C4B3F" w:rsidRDefault="003C4B3F" w:rsidP="00587366">
      <w:r>
        <w:continuationSeparator/>
      </w:r>
    </w:p>
  </w:footnote>
  <w:footnote w:id="1">
    <w:p w14:paraId="3EC297E2" w14:textId="77777777" w:rsidR="000B5036" w:rsidRPr="009C43C2" w:rsidRDefault="000B5036" w:rsidP="00457FBC">
      <w:pPr>
        <w:pStyle w:val="Textonotapie"/>
        <w:rPr>
          <w:rFonts w:ascii="Palatino Linotype" w:hAnsi="Palatino Linotype"/>
          <w:sz w:val="18"/>
        </w:rPr>
      </w:pPr>
      <w:r w:rsidRPr="009C43C2">
        <w:rPr>
          <w:rStyle w:val="Refdenotaalpie"/>
          <w:rFonts w:ascii="Palatino Linotype" w:hAnsi="Palatino Linotype"/>
        </w:rPr>
        <w:footnoteRef/>
      </w:r>
      <w:r w:rsidRPr="009C43C2">
        <w:rPr>
          <w:rFonts w:ascii="Palatino Linotype" w:hAnsi="Palatino Linotype"/>
          <w:sz w:val="18"/>
        </w:rPr>
        <w:t xml:space="preserve"> Convención Americana sobre Derechos Humanos. Artículo 13.</w:t>
      </w:r>
    </w:p>
  </w:footnote>
  <w:footnote w:id="2">
    <w:p w14:paraId="4A49950A" w14:textId="77777777" w:rsidR="000B5036" w:rsidRPr="009C43C2" w:rsidRDefault="000B5036" w:rsidP="00457FBC">
      <w:pPr>
        <w:pStyle w:val="Textonotapie"/>
        <w:rPr>
          <w:rFonts w:ascii="Palatino Linotype" w:hAnsi="Palatino Linotype"/>
          <w:sz w:val="18"/>
        </w:rPr>
      </w:pPr>
      <w:r w:rsidRPr="009C43C2">
        <w:rPr>
          <w:rStyle w:val="Refdenotaalpie"/>
          <w:rFonts w:ascii="Palatino Linotype" w:hAnsi="Palatino Linotype"/>
        </w:rPr>
        <w:footnoteRef/>
      </w:r>
      <w:r w:rsidRPr="009C43C2">
        <w:rPr>
          <w:rFonts w:ascii="Palatino Linotype" w:hAnsi="Palatino Linotype"/>
          <w:sz w:val="18"/>
        </w:rPr>
        <w:t xml:space="preserve"> Constitución Política de los Estados Unidos Mexicanos. Artículo sexto, sección A, fracción I.</w:t>
      </w:r>
    </w:p>
  </w:footnote>
  <w:footnote w:id="3">
    <w:p w14:paraId="03E7759B" w14:textId="77777777" w:rsidR="000B5036" w:rsidRPr="009C43C2" w:rsidRDefault="000B5036" w:rsidP="00457FBC">
      <w:pPr>
        <w:pStyle w:val="Textonotapie"/>
        <w:rPr>
          <w:rFonts w:ascii="Palatino Linotype" w:hAnsi="Palatino Linotype"/>
          <w:sz w:val="18"/>
        </w:rPr>
      </w:pPr>
      <w:r w:rsidRPr="009C43C2">
        <w:rPr>
          <w:rStyle w:val="Refdenotaalpie"/>
          <w:rFonts w:ascii="Palatino Linotype" w:hAnsi="Palatino Linotype"/>
        </w:rPr>
        <w:footnoteRef/>
      </w:r>
      <w:r w:rsidRPr="009C43C2">
        <w:rPr>
          <w:rFonts w:ascii="Palatino Linotype" w:hAnsi="Palatino Linotype"/>
          <w:sz w:val="18"/>
        </w:rPr>
        <w:t xml:space="preserve"> Corte Interamericana de Derechos Humanos. Caso Claude Reyes y otros vs. Chile. Sentencia de 19 de septiembre de 2006. Serie C. No. 151. Párr. 86.</w:t>
      </w:r>
    </w:p>
  </w:footnote>
  <w:footnote w:id="4">
    <w:p w14:paraId="61976E09" w14:textId="77777777" w:rsidR="000B5036" w:rsidRDefault="000B5036" w:rsidP="00457FBC">
      <w:pPr>
        <w:pStyle w:val="Textonotapie"/>
      </w:pPr>
      <w:r w:rsidRPr="009C43C2">
        <w:rPr>
          <w:rStyle w:val="Refdenotaalpie"/>
          <w:rFonts w:ascii="Palatino Linotype" w:hAnsi="Palatino Linotype"/>
        </w:rPr>
        <w:footnoteRef/>
      </w:r>
      <w:r w:rsidRPr="009C43C2">
        <w:rPr>
          <w:rFonts w:ascii="Palatino Linotype" w:hAnsi="Palatino Linotype"/>
          <w:sz w:val="18"/>
        </w:rPr>
        <w:t xml:space="preserve"> Ibídem. </w:t>
      </w:r>
      <w:proofErr w:type="spellStart"/>
      <w:r w:rsidRPr="009C43C2">
        <w:rPr>
          <w:rFonts w:ascii="Palatino Linotype" w:hAnsi="Palatino Linotype"/>
          <w:sz w:val="18"/>
        </w:rPr>
        <w:t>Parr</w:t>
      </w:r>
      <w:proofErr w:type="spellEnd"/>
      <w:r w:rsidRPr="009C43C2">
        <w:rPr>
          <w:rFonts w:ascii="Palatino Linotype" w:hAnsi="Palatino Linotype"/>
          <w:sz w:val="18"/>
        </w:rPr>
        <w:t>. 87.</w:t>
      </w:r>
    </w:p>
  </w:footnote>
  <w:footnote w:id="5">
    <w:p w14:paraId="20CDED0F" w14:textId="77777777" w:rsidR="000B5036" w:rsidRDefault="000B5036" w:rsidP="008764FB">
      <w:pPr>
        <w:pStyle w:val="Textonotapie"/>
      </w:pPr>
      <w:r>
        <w:rPr>
          <w:rStyle w:val="Refdenotaalpie"/>
        </w:rPr>
        <w:footnoteRef/>
      </w:r>
      <w:r>
        <w:t xml:space="preserve"> Artículo 50, Ley de Transparencia y Acceso a la Información Pública del Estado de México y Municipios.</w:t>
      </w:r>
    </w:p>
  </w:footnote>
  <w:footnote w:id="6">
    <w:p w14:paraId="170C1944" w14:textId="77777777" w:rsidR="000B5036" w:rsidRDefault="000B5036" w:rsidP="008764FB">
      <w:pPr>
        <w:pStyle w:val="Textonotapie"/>
      </w:pPr>
      <w:r>
        <w:rPr>
          <w:rStyle w:val="Refdenotaalpie"/>
        </w:rPr>
        <w:footnoteRef/>
      </w:r>
      <w:r>
        <w:t xml:space="preserve"> Artículo 51, Ídem.</w:t>
      </w:r>
    </w:p>
  </w:footnote>
  <w:footnote w:id="7">
    <w:p w14:paraId="4631FDC0" w14:textId="77777777" w:rsidR="000B5036" w:rsidRDefault="000B5036" w:rsidP="008764FB">
      <w:pPr>
        <w:pStyle w:val="Textonotapie"/>
      </w:pPr>
      <w:r>
        <w:rPr>
          <w:rStyle w:val="Refdenotaalpie"/>
        </w:rPr>
        <w:footnoteRef/>
      </w:r>
      <w:r>
        <w:t xml:space="preserve"> Artículo 58, Ley de Transparencia y Acceso a la Información Pública del Estado de México y Municipios.</w:t>
      </w:r>
    </w:p>
  </w:footnote>
  <w:footnote w:id="8">
    <w:p w14:paraId="06E0837F" w14:textId="77777777" w:rsidR="000B5036" w:rsidRDefault="000B5036" w:rsidP="008764FB">
      <w:pPr>
        <w:pStyle w:val="Textonotapie"/>
      </w:pPr>
      <w:r>
        <w:rPr>
          <w:rStyle w:val="Refdenotaalpie"/>
        </w:rPr>
        <w:footnoteRef/>
      </w:r>
      <w:r>
        <w:t xml:space="preserve"> Artículo 59, Ídem.</w:t>
      </w:r>
    </w:p>
  </w:footnote>
  <w:footnote w:id="9">
    <w:p w14:paraId="5AD9A5CD" w14:textId="78BAC740" w:rsidR="00BA23A7" w:rsidRDefault="00BA23A7" w:rsidP="00BA23A7">
      <w:pPr>
        <w:pStyle w:val="Textonotapie"/>
      </w:pPr>
      <w:r>
        <w:rPr>
          <w:rStyle w:val="Refdenotaalpie"/>
        </w:rPr>
        <w:footnoteRef/>
      </w:r>
      <w:r>
        <w:t xml:space="preserve"> Artículo 18, Bando Municipal 2022 de Tenancingo</w:t>
      </w:r>
    </w:p>
  </w:footnote>
  <w:footnote w:id="10">
    <w:p w14:paraId="66093C82" w14:textId="1B123C64" w:rsidR="003746E9" w:rsidRDefault="003746E9">
      <w:pPr>
        <w:pStyle w:val="Textonotapie"/>
      </w:pPr>
      <w:r>
        <w:rPr>
          <w:rStyle w:val="Refdenotaalpie"/>
        </w:rPr>
        <w:footnoteRef/>
      </w:r>
      <w:r>
        <w:t xml:space="preserve"> Antecedentes, Manual General de Organización del Sistema Municipal para el Desarrollo Integral de la Familia de Tenancingo.</w:t>
      </w:r>
    </w:p>
  </w:footnote>
  <w:footnote w:id="11">
    <w:p w14:paraId="45000493" w14:textId="23CB47B4" w:rsidR="003746E9" w:rsidRDefault="003746E9">
      <w:pPr>
        <w:pStyle w:val="Textonotapie"/>
      </w:pPr>
      <w:r>
        <w:rPr>
          <w:rStyle w:val="Refdenotaalpie"/>
        </w:rPr>
        <w:footnoteRef/>
      </w:r>
      <w:r>
        <w:t xml:space="preserve"> Organigrama, Ídem.</w:t>
      </w:r>
    </w:p>
  </w:footnote>
  <w:footnote w:id="12">
    <w:p w14:paraId="35CA2CD2" w14:textId="448D1990" w:rsidR="00773890" w:rsidRDefault="00773890">
      <w:pPr>
        <w:pStyle w:val="Textonotapie"/>
      </w:pPr>
      <w:r>
        <w:rPr>
          <w:rStyle w:val="Refdenotaalpie"/>
        </w:rPr>
        <w:footnoteRef/>
      </w:r>
      <w:r>
        <w:t xml:space="preserve"> Funciones de la Tesorería, Ídem.</w:t>
      </w:r>
    </w:p>
  </w:footnote>
  <w:footnote w:id="13">
    <w:p w14:paraId="3201279D" w14:textId="2D146154" w:rsidR="000B5036" w:rsidRDefault="000B5036" w:rsidP="00D65794">
      <w:pPr>
        <w:pStyle w:val="Textonotapie"/>
        <w:jc w:val="both"/>
      </w:pPr>
      <w:r>
        <w:rPr>
          <w:rStyle w:val="Refdenotaalpie"/>
        </w:rPr>
        <w:footnoteRef/>
      </w:r>
      <w:r>
        <w:t xml:space="preserve"> “</w:t>
      </w:r>
      <w:r w:rsidRPr="00D65794">
        <w:rPr>
          <w:b/>
          <w:bCs/>
        </w:rPr>
        <w:t>Artículo 49.</w:t>
      </w:r>
      <w:r>
        <w:t xml:space="preserve"> Los Comités de Transparencia tendrán las siguientes atribuciones:</w:t>
      </w:r>
    </w:p>
    <w:p w14:paraId="01E69D66" w14:textId="5E6181CF" w:rsidR="000B5036" w:rsidRDefault="000B5036" w:rsidP="00D65794">
      <w:pPr>
        <w:pStyle w:val="Textonotapie"/>
        <w:jc w:val="both"/>
      </w:pPr>
      <w:r>
        <w:t>(…)</w:t>
      </w:r>
    </w:p>
    <w:p w14:paraId="5DBDBC56" w14:textId="27B57E0E" w:rsidR="000B5036" w:rsidRDefault="000B5036" w:rsidP="00D65794">
      <w:pPr>
        <w:pStyle w:val="Textonotapie"/>
        <w:jc w:val="both"/>
      </w:pPr>
      <w:r w:rsidRPr="00D65794">
        <w:rPr>
          <w:b/>
          <w:bCs/>
        </w:rPr>
        <w:t>XIII.</w:t>
      </w:r>
      <w:r>
        <w:t xml:space="preserve"> Dictaminar las declaratorias de inexistencia de </w:t>
      </w:r>
      <w:proofErr w:type="spellStart"/>
      <w:r>
        <w:t>al</w:t>
      </w:r>
      <w:proofErr w:type="spellEnd"/>
      <w:r>
        <w:t xml:space="preserve"> información que les remitan las unidades administrativas y resolver en consecuencia;</w:t>
      </w:r>
    </w:p>
    <w:p w14:paraId="78B1A571" w14:textId="06F8A62C" w:rsidR="000B5036" w:rsidRDefault="000B5036" w:rsidP="00D65794">
      <w:pPr>
        <w:pStyle w:val="Textonotapie"/>
        <w:jc w:val="both"/>
      </w:pPr>
      <w:r>
        <w:t>(…)”</w:t>
      </w:r>
    </w:p>
  </w:footnote>
  <w:footnote w:id="14">
    <w:p w14:paraId="611B3D85" w14:textId="4D26E73C" w:rsidR="000B5036" w:rsidRDefault="000B5036">
      <w:pPr>
        <w:pStyle w:val="Textonotapie"/>
      </w:pPr>
      <w:r>
        <w:rPr>
          <w:rStyle w:val="Refdenotaalpie"/>
        </w:rPr>
        <w:footnoteRef/>
      </w:r>
      <w:r>
        <w:t xml:space="preserve"> Artículo 32-G, Código Fiscal de la Federación</w:t>
      </w:r>
    </w:p>
  </w:footnote>
  <w:footnote w:id="15">
    <w:p w14:paraId="743E144A" w14:textId="144B5574" w:rsidR="000B5036" w:rsidRDefault="000B5036">
      <w:pPr>
        <w:pStyle w:val="Textonotapie"/>
      </w:pPr>
      <w:r>
        <w:rPr>
          <w:rStyle w:val="Refdenotaalpie"/>
        </w:rPr>
        <w:footnoteRef/>
      </w:r>
      <w:r>
        <w:t xml:space="preserve"> Portal disponible en </w:t>
      </w:r>
      <w:r w:rsidRPr="00A8650D">
        <w:t>https://loginda.siat.sat.gob.mx/nidp/wsfed/ep?id=ciec&amp;sid=2&amp;option=credential&amp;sid=2</w:t>
      </w:r>
    </w:p>
  </w:footnote>
  <w:footnote w:id="16">
    <w:p w14:paraId="7E08E71F" w14:textId="76FBF552" w:rsidR="000B5036" w:rsidRDefault="000B5036">
      <w:pPr>
        <w:pStyle w:val="Textonotapie"/>
      </w:pPr>
      <w:r>
        <w:rPr>
          <w:rStyle w:val="Refdenotaalpie"/>
        </w:rPr>
        <w:footnoteRef/>
      </w:r>
      <w:r>
        <w:t xml:space="preserve"> Visor de comprobantes de nómina para el patrón, Introducción, consultable en </w:t>
      </w:r>
      <w:r w:rsidRPr="00A8650D">
        <w:t>https://www.sat.gob.mx/declaracion/90887/consulta-el-visor-de-comprobantes-de-nomina-para-el-patron-</w:t>
      </w:r>
    </w:p>
  </w:footnote>
  <w:footnote w:id="17">
    <w:p w14:paraId="3421F94E" w14:textId="60B18B16" w:rsidR="000B5036" w:rsidRDefault="000B5036">
      <w:pPr>
        <w:pStyle w:val="Textonotapie"/>
      </w:pPr>
      <w:r>
        <w:rPr>
          <w:rStyle w:val="Refdenotaalpie"/>
        </w:rPr>
        <w:footnoteRef/>
      </w:r>
      <w:r>
        <w:t xml:space="preserve"> Consultable en </w:t>
      </w:r>
      <w:r w:rsidRPr="00A8650D">
        <w:t>https://www.youtube.com/watch?v=56OUjG2maSM&amp;t=94s&amp;ab_channel=ServiciodeAdministraci%C3%B3nTributaria</w:t>
      </w:r>
    </w:p>
  </w:footnote>
  <w:footnote w:id="18">
    <w:p w14:paraId="3EEE1568" w14:textId="77777777" w:rsidR="004272F9" w:rsidRDefault="004272F9" w:rsidP="004272F9">
      <w:pPr>
        <w:pStyle w:val="Textonotapie"/>
      </w:pPr>
      <w:r>
        <w:rPr>
          <w:rStyle w:val="Refdenotaalpie"/>
        </w:rPr>
        <w:footnoteRef/>
      </w:r>
      <w:r>
        <w:t xml:space="preserve"> Consultable en </w:t>
      </w:r>
      <w:r w:rsidRPr="00C101C2">
        <w:t>https://www.infoem.org.mx/doc/acuerdos/Acuerdo_Padron_SO.pdf</w:t>
      </w:r>
    </w:p>
  </w:footnote>
  <w:footnote w:id="19">
    <w:p w14:paraId="4EB809F3" w14:textId="77777777" w:rsidR="004272F9" w:rsidRDefault="004272F9" w:rsidP="004272F9">
      <w:pPr>
        <w:pStyle w:val="Textonotapie"/>
        <w:jc w:val="both"/>
      </w:pPr>
      <w:r>
        <w:rPr>
          <w:rStyle w:val="Refdenotaalpie"/>
        </w:rPr>
        <w:footnoteRef/>
      </w:r>
      <w:r>
        <w:t xml:space="preserve"> “</w:t>
      </w:r>
      <w:r>
        <w:rPr>
          <w:b/>
        </w:rPr>
        <w:t>Artículo 49.</w:t>
      </w:r>
      <w:r>
        <w:t xml:space="preserve"> Los Comités de Transparencia tendrán las siguientes atribuciones:</w:t>
      </w:r>
    </w:p>
    <w:p w14:paraId="0562A0F3" w14:textId="77777777" w:rsidR="004272F9" w:rsidRDefault="004272F9" w:rsidP="004272F9">
      <w:pPr>
        <w:pStyle w:val="Textonotapie"/>
        <w:jc w:val="both"/>
      </w:pPr>
      <w:r>
        <w:t>(…)</w:t>
      </w:r>
    </w:p>
    <w:p w14:paraId="33C52C72" w14:textId="77777777" w:rsidR="004272F9" w:rsidRDefault="004272F9" w:rsidP="004272F9">
      <w:pPr>
        <w:pStyle w:val="Textonotapie"/>
        <w:jc w:val="both"/>
      </w:pPr>
      <w:r>
        <w:rPr>
          <w:b/>
        </w:rPr>
        <w:t>II.</w:t>
      </w:r>
      <w:r>
        <w:t xml:space="preserve"> Confirmar, </w:t>
      </w:r>
      <w:r w:rsidRPr="00EF10EB">
        <w:t>modificar o revocar las determinaciones que en materia de ampliación del plazo de respuesta, clasificación de la información y declaración de inexistencia o de incompetencia realicen los titulares de las áreas de los sujetos obligados;</w:t>
      </w:r>
    </w:p>
    <w:p w14:paraId="2E46E4A9" w14:textId="77777777" w:rsidR="004272F9" w:rsidRPr="00EF10EB" w:rsidRDefault="004272F9" w:rsidP="004272F9">
      <w:pPr>
        <w:pStyle w:val="Textonotapie"/>
        <w:jc w:val="both"/>
      </w:pPr>
      <w:r>
        <w:t>(…)”</w:t>
      </w:r>
    </w:p>
  </w:footnote>
  <w:footnote w:id="20">
    <w:p w14:paraId="48CDEFE7" w14:textId="77777777" w:rsidR="000B5036" w:rsidRDefault="000B5036" w:rsidP="00164E0E">
      <w:pPr>
        <w:pStyle w:val="Textonotapie"/>
      </w:pPr>
      <w:r>
        <w:rPr>
          <w:rStyle w:val="Refdenotaalpie"/>
        </w:rPr>
        <w:footnoteRef/>
      </w:r>
      <w:r>
        <w:t xml:space="preserve"> Jurisprudencia 203143, Segundo Tribunal Colegiado del Sexto Circuito, Novena Época.</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Tablaconcuadrcula"/>
      <w:tblW w:w="6950" w:type="dxa"/>
      <w:jc w:val="righ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977"/>
      <w:gridCol w:w="3973"/>
    </w:tblGrid>
    <w:tr w:rsidR="000B5036" w:rsidRPr="00025127" w14:paraId="7630868E" w14:textId="77777777" w:rsidTr="006458C0">
      <w:trPr>
        <w:trHeight w:val="138"/>
        <w:jc w:val="right"/>
      </w:trPr>
      <w:tc>
        <w:tcPr>
          <w:tcW w:w="2977" w:type="dxa"/>
          <w:vAlign w:val="center"/>
        </w:tcPr>
        <w:p w14:paraId="5B5022C4" w14:textId="77777777" w:rsidR="000B5036" w:rsidRPr="006458C0" w:rsidRDefault="000B5036" w:rsidP="006458C0">
          <w:pPr>
            <w:ind w:right="34"/>
            <w:jc w:val="center"/>
            <w:rPr>
              <w:rFonts w:ascii="Palatino Linotype" w:hAnsi="Palatino Linotype"/>
              <w:b/>
              <w:sz w:val="20"/>
              <w:szCs w:val="22"/>
            </w:rPr>
          </w:pPr>
        </w:p>
      </w:tc>
      <w:tc>
        <w:tcPr>
          <w:tcW w:w="3973" w:type="dxa"/>
          <w:vAlign w:val="center"/>
        </w:tcPr>
        <w:p w14:paraId="2C528E79" w14:textId="77777777" w:rsidR="000B5036" w:rsidRDefault="000B5036" w:rsidP="005F1362">
          <w:pPr>
            <w:pStyle w:val="Encabezado"/>
            <w:jc w:val="both"/>
            <w:rPr>
              <w:rFonts w:ascii="Palatino Linotype" w:hAnsi="Palatino Linotype"/>
              <w:b/>
              <w:sz w:val="20"/>
              <w:szCs w:val="22"/>
            </w:rPr>
          </w:pPr>
        </w:p>
      </w:tc>
    </w:tr>
    <w:tr w:rsidR="000B5036" w:rsidRPr="00025127" w14:paraId="07F2896E" w14:textId="77777777" w:rsidTr="006458C0">
      <w:trPr>
        <w:trHeight w:val="138"/>
        <w:jc w:val="right"/>
      </w:trPr>
      <w:tc>
        <w:tcPr>
          <w:tcW w:w="2977" w:type="dxa"/>
          <w:vAlign w:val="center"/>
        </w:tcPr>
        <w:p w14:paraId="4A5B1974" w14:textId="7F56D8C6" w:rsidR="000B5036" w:rsidRPr="006458C0" w:rsidRDefault="000B5036" w:rsidP="006458C0">
          <w:pPr>
            <w:ind w:right="34"/>
            <w:jc w:val="center"/>
            <w:rPr>
              <w:rFonts w:ascii="Palatino Linotype" w:hAnsi="Palatino Linotype"/>
              <w:b/>
              <w:sz w:val="20"/>
              <w:szCs w:val="22"/>
            </w:rPr>
          </w:pPr>
          <w:r w:rsidRPr="006458C0">
            <w:rPr>
              <w:rFonts w:ascii="Palatino Linotype" w:hAnsi="Palatino Linotype"/>
              <w:b/>
              <w:sz w:val="20"/>
              <w:szCs w:val="22"/>
            </w:rPr>
            <w:t>RECURSO DE REVISIÓN:</w:t>
          </w:r>
        </w:p>
      </w:tc>
      <w:tc>
        <w:tcPr>
          <w:tcW w:w="3973" w:type="dxa"/>
          <w:vAlign w:val="center"/>
        </w:tcPr>
        <w:p w14:paraId="3A05B4B6" w14:textId="79A315AB" w:rsidR="000B5036" w:rsidRPr="006458C0" w:rsidRDefault="005A179D" w:rsidP="005F1362">
          <w:pPr>
            <w:pStyle w:val="Encabezado"/>
            <w:jc w:val="both"/>
            <w:rPr>
              <w:rFonts w:ascii="Palatino Linotype" w:hAnsi="Palatino Linotype"/>
              <w:b/>
              <w:sz w:val="20"/>
              <w:szCs w:val="22"/>
            </w:rPr>
          </w:pPr>
          <w:r>
            <w:rPr>
              <w:rFonts w:ascii="Palatino Linotype" w:hAnsi="Palatino Linotype"/>
              <w:b/>
              <w:sz w:val="20"/>
              <w:szCs w:val="22"/>
            </w:rPr>
            <w:t>00978</w:t>
          </w:r>
          <w:r w:rsidR="000B5036" w:rsidRPr="006458C0">
            <w:rPr>
              <w:rFonts w:ascii="Palatino Linotype" w:hAnsi="Palatino Linotype"/>
              <w:b/>
              <w:sz w:val="20"/>
              <w:szCs w:val="22"/>
            </w:rPr>
            <w:t>/INFOEM/IP/RR/2022</w:t>
          </w:r>
        </w:p>
      </w:tc>
    </w:tr>
    <w:tr w:rsidR="005A179D" w:rsidRPr="00025127" w14:paraId="1B5D8690" w14:textId="77777777" w:rsidTr="006458C0">
      <w:trPr>
        <w:trHeight w:val="233"/>
        <w:jc w:val="right"/>
      </w:trPr>
      <w:tc>
        <w:tcPr>
          <w:tcW w:w="2977" w:type="dxa"/>
          <w:vAlign w:val="center"/>
        </w:tcPr>
        <w:p w14:paraId="3903F2C6" w14:textId="22D569F8" w:rsidR="005A179D" w:rsidRPr="006458C0" w:rsidRDefault="005A179D" w:rsidP="005A179D">
          <w:pPr>
            <w:ind w:right="34"/>
            <w:jc w:val="right"/>
            <w:rPr>
              <w:rFonts w:ascii="Palatino Linotype" w:hAnsi="Palatino Linotype"/>
              <w:b/>
              <w:sz w:val="20"/>
              <w:szCs w:val="22"/>
            </w:rPr>
          </w:pPr>
          <w:r w:rsidRPr="006458C0">
            <w:rPr>
              <w:rFonts w:ascii="Palatino Linotype" w:hAnsi="Palatino Linotype"/>
              <w:b/>
              <w:sz w:val="20"/>
              <w:szCs w:val="22"/>
            </w:rPr>
            <w:t>SUJETO OBLIGADO:</w:t>
          </w:r>
        </w:p>
      </w:tc>
      <w:tc>
        <w:tcPr>
          <w:tcW w:w="3973" w:type="dxa"/>
          <w:vAlign w:val="center"/>
        </w:tcPr>
        <w:p w14:paraId="03C799A2" w14:textId="37CD5D3D" w:rsidR="005A179D" w:rsidRPr="006458C0" w:rsidRDefault="005A179D" w:rsidP="005A179D">
          <w:pPr>
            <w:pStyle w:val="Encabezado"/>
            <w:rPr>
              <w:rFonts w:ascii="Palatino Linotype" w:hAnsi="Palatino Linotype"/>
              <w:b/>
              <w:sz w:val="20"/>
              <w:szCs w:val="22"/>
            </w:rPr>
          </w:pPr>
          <w:r>
            <w:rPr>
              <w:rFonts w:ascii="Palatino Linotype" w:hAnsi="Palatino Linotype"/>
              <w:b/>
              <w:bCs/>
              <w:color w:val="000000"/>
              <w:sz w:val="20"/>
              <w:szCs w:val="22"/>
            </w:rPr>
            <w:t>Sistema Municipal para el Desarrollo Integral de la Familia de Tenancingo</w:t>
          </w:r>
        </w:p>
      </w:tc>
    </w:tr>
    <w:tr w:rsidR="000B5036" w:rsidRPr="00025127" w14:paraId="095EB01B" w14:textId="77777777" w:rsidTr="006458C0">
      <w:trPr>
        <w:trHeight w:val="321"/>
        <w:jc w:val="right"/>
      </w:trPr>
      <w:tc>
        <w:tcPr>
          <w:tcW w:w="2977" w:type="dxa"/>
          <w:vAlign w:val="center"/>
        </w:tcPr>
        <w:p w14:paraId="6E000A51" w14:textId="11432CC6" w:rsidR="000B5036" w:rsidRPr="006458C0" w:rsidRDefault="000B5036" w:rsidP="006458C0">
          <w:pPr>
            <w:ind w:right="34"/>
            <w:jc w:val="right"/>
            <w:rPr>
              <w:rFonts w:ascii="Palatino Linotype" w:hAnsi="Palatino Linotype"/>
              <w:b/>
              <w:sz w:val="20"/>
              <w:szCs w:val="22"/>
            </w:rPr>
          </w:pPr>
          <w:r w:rsidRPr="006458C0">
            <w:rPr>
              <w:rFonts w:ascii="Palatino Linotype" w:hAnsi="Palatino Linotype"/>
              <w:b/>
              <w:sz w:val="20"/>
              <w:szCs w:val="22"/>
            </w:rPr>
            <w:t>COMISIONADA</w:t>
          </w:r>
          <w:r>
            <w:rPr>
              <w:rFonts w:ascii="Palatino Linotype" w:hAnsi="Palatino Linotype"/>
              <w:b/>
              <w:sz w:val="20"/>
              <w:szCs w:val="22"/>
            </w:rPr>
            <w:t xml:space="preserve"> </w:t>
          </w:r>
          <w:r w:rsidRPr="006458C0">
            <w:rPr>
              <w:rFonts w:ascii="Palatino Linotype" w:hAnsi="Palatino Linotype"/>
              <w:b/>
              <w:sz w:val="20"/>
              <w:szCs w:val="22"/>
            </w:rPr>
            <w:t>PONENTE:</w:t>
          </w:r>
        </w:p>
      </w:tc>
      <w:tc>
        <w:tcPr>
          <w:tcW w:w="3973" w:type="dxa"/>
          <w:vAlign w:val="center"/>
        </w:tcPr>
        <w:p w14:paraId="07560085" w14:textId="64DC8836" w:rsidR="000B5036" w:rsidRPr="006458C0" w:rsidRDefault="000B5036" w:rsidP="00472C41">
          <w:pPr>
            <w:pStyle w:val="Encabezado"/>
            <w:rPr>
              <w:rFonts w:ascii="Palatino Linotype" w:hAnsi="Palatino Linotype"/>
              <w:b/>
              <w:sz w:val="20"/>
              <w:szCs w:val="22"/>
            </w:rPr>
          </w:pPr>
          <w:r w:rsidRPr="006458C0">
            <w:rPr>
              <w:rFonts w:ascii="Palatino Linotype" w:hAnsi="Palatino Linotype"/>
              <w:b/>
              <w:sz w:val="20"/>
              <w:szCs w:val="22"/>
            </w:rPr>
            <w:t>María del Rosario Mejía Ayala</w:t>
          </w:r>
        </w:p>
      </w:tc>
    </w:tr>
  </w:tbl>
  <w:p w14:paraId="1096C1B8" w14:textId="1B4064AC" w:rsidR="000B5036" w:rsidRDefault="000B5036" w:rsidP="00472C41">
    <w:pPr>
      <w:pStyle w:val="Encabezado"/>
    </w:pPr>
    <w:r>
      <w:rPr>
        <w:noProof/>
        <w:lang w:eastAsia="es-MX"/>
      </w:rPr>
      <w:drawing>
        <wp:anchor distT="0" distB="0" distL="114300" distR="114300" simplePos="0" relativeHeight="251657216" behindDoc="1" locked="0" layoutInCell="0" allowOverlap="1" wp14:anchorId="1A29E15A" wp14:editId="444E9F88">
          <wp:simplePos x="0" y="0"/>
          <wp:positionH relativeFrom="page">
            <wp:posOffset>12700</wp:posOffset>
          </wp:positionH>
          <wp:positionV relativeFrom="page">
            <wp:posOffset>19524</wp:posOffset>
          </wp:positionV>
          <wp:extent cx="7695210" cy="10020839"/>
          <wp:effectExtent l="0" t="0" r="1270" b="0"/>
          <wp:wrapNone/>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695210" cy="10020839"/>
                  </a:xfrm>
                  <a:prstGeom prst="rect">
                    <a:avLst/>
                  </a:prstGeom>
                  <a:noFill/>
                </pic:spPr>
              </pic:pic>
            </a:graphicData>
          </a:graphic>
          <wp14:sizeRelH relativeFrom="page">
            <wp14:pctWidth>0</wp14:pctWidth>
          </wp14:sizeRelH>
          <wp14:sizeRelV relativeFrom="page">
            <wp14:pctHeight>0</wp14:pctHeight>
          </wp14:sizeRelV>
        </wp:anchor>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Tablaconcuadrcula"/>
      <w:tblW w:w="7093" w:type="dxa"/>
      <w:jc w:val="righ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397"/>
      <w:gridCol w:w="3696"/>
    </w:tblGrid>
    <w:tr w:rsidR="000B5036" w:rsidRPr="006458C0" w14:paraId="0A3256F2" w14:textId="77777777" w:rsidTr="006458C0">
      <w:trPr>
        <w:trHeight w:val="138"/>
        <w:jc w:val="right"/>
      </w:trPr>
      <w:tc>
        <w:tcPr>
          <w:tcW w:w="3397" w:type="dxa"/>
          <w:vAlign w:val="center"/>
        </w:tcPr>
        <w:p w14:paraId="3D80769D" w14:textId="5060398B" w:rsidR="000B5036" w:rsidRPr="006458C0" w:rsidRDefault="000B5036" w:rsidP="006458C0">
          <w:pPr>
            <w:jc w:val="right"/>
            <w:rPr>
              <w:rFonts w:ascii="Palatino Linotype" w:hAnsi="Palatino Linotype"/>
              <w:b/>
              <w:sz w:val="20"/>
              <w:szCs w:val="22"/>
            </w:rPr>
          </w:pPr>
          <w:r w:rsidRPr="006458C0">
            <w:rPr>
              <w:rFonts w:ascii="Palatino Linotype" w:hAnsi="Palatino Linotype"/>
              <w:b/>
              <w:sz w:val="20"/>
              <w:szCs w:val="22"/>
            </w:rPr>
            <w:t>RECURSO DE REVISIÓN:</w:t>
          </w:r>
        </w:p>
      </w:tc>
      <w:tc>
        <w:tcPr>
          <w:tcW w:w="3696" w:type="dxa"/>
          <w:vAlign w:val="center"/>
        </w:tcPr>
        <w:p w14:paraId="0453495E" w14:textId="24F1438B" w:rsidR="000B5036" w:rsidRPr="006458C0" w:rsidRDefault="005A179D" w:rsidP="005F1362">
          <w:pPr>
            <w:pStyle w:val="Encabezado"/>
            <w:rPr>
              <w:rFonts w:ascii="Palatino Linotype" w:hAnsi="Palatino Linotype"/>
              <w:b/>
              <w:sz w:val="20"/>
              <w:szCs w:val="22"/>
            </w:rPr>
          </w:pPr>
          <w:r>
            <w:rPr>
              <w:rFonts w:ascii="Palatino Linotype" w:hAnsi="Palatino Linotype"/>
              <w:b/>
              <w:sz w:val="20"/>
              <w:szCs w:val="22"/>
            </w:rPr>
            <w:t>00978</w:t>
          </w:r>
          <w:r w:rsidR="000B5036" w:rsidRPr="006458C0">
            <w:rPr>
              <w:rFonts w:ascii="Palatino Linotype" w:hAnsi="Palatino Linotype"/>
              <w:b/>
              <w:sz w:val="20"/>
              <w:szCs w:val="22"/>
            </w:rPr>
            <w:t>/INFOEM/IP/RR/2022</w:t>
          </w:r>
        </w:p>
      </w:tc>
    </w:tr>
    <w:tr w:rsidR="000B5036" w:rsidRPr="006458C0" w14:paraId="128C8B3C" w14:textId="77777777" w:rsidTr="006458C0">
      <w:trPr>
        <w:trHeight w:val="233"/>
        <w:jc w:val="right"/>
      </w:trPr>
      <w:tc>
        <w:tcPr>
          <w:tcW w:w="3397" w:type="dxa"/>
          <w:vAlign w:val="center"/>
        </w:tcPr>
        <w:p w14:paraId="483E3371" w14:textId="66B1BC74" w:rsidR="000B5036" w:rsidRPr="006458C0" w:rsidRDefault="000B5036" w:rsidP="00472C41">
          <w:pPr>
            <w:jc w:val="right"/>
            <w:rPr>
              <w:rFonts w:ascii="Palatino Linotype" w:hAnsi="Palatino Linotype"/>
              <w:b/>
              <w:sz w:val="20"/>
              <w:szCs w:val="22"/>
            </w:rPr>
          </w:pPr>
          <w:r w:rsidRPr="006458C0">
            <w:rPr>
              <w:rFonts w:ascii="Palatino Linotype" w:hAnsi="Palatino Linotype"/>
              <w:b/>
              <w:sz w:val="20"/>
              <w:szCs w:val="22"/>
            </w:rPr>
            <w:t>RECURRENTE:</w:t>
          </w:r>
        </w:p>
      </w:tc>
      <w:tc>
        <w:tcPr>
          <w:tcW w:w="3696" w:type="dxa"/>
        </w:tcPr>
        <w:p w14:paraId="1548525E" w14:textId="03C54FB7" w:rsidR="000B5036" w:rsidRPr="006458C0" w:rsidRDefault="00F34AAE" w:rsidP="0058757A">
          <w:pPr>
            <w:pStyle w:val="Encabezado"/>
            <w:rPr>
              <w:rFonts w:ascii="Palatino Linotype" w:hAnsi="Palatino Linotype"/>
              <w:b/>
              <w:sz w:val="20"/>
              <w:szCs w:val="22"/>
            </w:rPr>
          </w:pPr>
          <w:r>
            <w:rPr>
              <w:rFonts w:ascii="Palatino Linotype" w:hAnsi="Palatino Linotype"/>
              <w:b/>
              <w:sz w:val="20"/>
              <w:szCs w:val="22"/>
            </w:rPr>
            <w:t>XXXX XXXXX XXXX</w:t>
          </w:r>
        </w:p>
      </w:tc>
    </w:tr>
    <w:tr w:rsidR="000B5036" w:rsidRPr="006458C0" w14:paraId="41BE0704" w14:textId="77777777" w:rsidTr="006458C0">
      <w:trPr>
        <w:trHeight w:val="321"/>
        <w:jc w:val="right"/>
      </w:trPr>
      <w:tc>
        <w:tcPr>
          <w:tcW w:w="3397" w:type="dxa"/>
          <w:vAlign w:val="center"/>
        </w:tcPr>
        <w:p w14:paraId="34C64148" w14:textId="10C6C8A9" w:rsidR="000B5036" w:rsidRPr="006458C0" w:rsidRDefault="000B5036" w:rsidP="005F1362">
          <w:pPr>
            <w:jc w:val="right"/>
            <w:rPr>
              <w:rFonts w:ascii="Palatino Linotype" w:hAnsi="Palatino Linotype"/>
              <w:b/>
              <w:sz w:val="20"/>
              <w:szCs w:val="22"/>
            </w:rPr>
          </w:pPr>
          <w:r w:rsidRPr="006458C0">
            <w:rPr>
              <w:rFonts w:ascii="Palatino Linotype" w:hAnsi="Palatino Linotype"/>
              <w:b/>
              <w:sz w:val="20"/>
              <w:szCs w:val="22"/>
            </w:rPr>
            <w:t>SUJETO OBLIGADO:</w:t>
          </w:r>
        </w:p>
      </w:tc>
      <w:tc>
        <w:tcPr>
          <w:tcW w:w="3696" w:type="dxa"/>
          <w:vAlign w:val="center"/>
        </w:tcPr>
        <w:p w14:paraId="34C341BF" w14:textId="7490061C" w:rsidR="000B5036" w:rsidRPr="006458C0" w:rsidRDefault="005A179D" w:rsidP="000A675D">
          <w:pPr>
            <w:pStyle w:val="Encabezado"/>
            <w:rPr>
              <w:rFonts w:ascii="Palatino Linotype" w:hAnsi="Palatino Linotype"/>
              <w:b/>
              <w:sz w:val="20"/>
              <w:szCs w:val="22"/>
            </w:rPr>
          </w:pPr>
          <w:r>
            <w:rPr>
              <w:rFonts w:ascii="Palatino Linotype" w:hAnsi="Palatino Linotype"/>
              <w:b/>
              <w:bCs/>
              <w:color w:val="000000"/>
              <w:sz w:val="20"/>
              <w:szCs w:val="22"/>
            </w:rPr>
            <w:t>Sistema Municipal para el Desarrollo Integral de la Familia de Tenancingo</w:t>
          </w:r>
        </w:p>
      </w:tc>
    </w:tr>
    <w:tr w:rsidR="000B5036" w:rsidRPr="006458C0" w14:paraId="0C8B6193" w14:textId="77777777" w:rsidTr="006458C0">
      <w:trPr>
        <w:trHeight w:val="321"/>
        <w:jc w:val="right"/>
      </w:trPr>
      <w:tc>
        <w:tcPr>
          <w:tcW w:w="3397" w:type="dxa"/>
          <w:vAlign w:val="center"/>
        </w:tcPr>
        <w:p w14:paraId="321FFAFF" w14:textId="0E8C2CE7" w:rsidR="000B5036" w:rsidRPr="006458C0" w:rsidRDefault="000B5036" w:rsidP="00472C41">
          <w:pPr>
            <w:jc w:val="right"/>
            <w:rPr>
              <w:rFonts w:ascii="Palatino Linotype" w:hAnsi="Palatino Linotype"/>
              <w:b/>
              <w:sz w:val="20"/>
              <w:szCs w:val="22"/>
            </w:rPr>
          </w:pPr>
          <w:r w:rsidRPr="006458C0">
            <w:rPr>
              <w:rFonts w:ascii="Palatino Linotype" w:hAnsi="Palatino Linotype"/>
              <w:b/>
              <w:sz w:val="20"/>
              <w:szCs w:val="22"/>
            </w:rPr>
            <w:t>COMISIONADA PONENTE:</w:t>
          </w:r>
        </w:p>
      </w:tc>
      <w:tc>
        <w:tcPr>
          <w:tcW w:w="3696" w:type="dxa"/>
          <w:vAlign w:val="center"/>
        </w:tcPr>
        <w:p w14:paraId="0FECDA9D" w14:textId="6D336FD0" w:rsidR="000B5036" w:rsidRPr="006458C0" w:rsidRDefault="000B5036" w:rsidP="00B44F9F">
          <w:pPr>
            <w:pStyle w:val="Encabezado"/>
            <w:ind w:left="33"/>
            <w:rPr>
              <w:rFonts w:ascii="Palatino Linotype" w:hAnsi="Palatino Linotype"/>
              <w:b/>
              <w:sz w:val="20"/>
              <w:szCs w:val="22"/>
            </w:rPr>
          </w:pPr>
          <w:r w:rsidRPr="006458C0">
            <w:rPr>
              <w:rFonts w:ascii="Palatino Linotype" w:hAnsi="Palatino Linotype"/>
              <w:b/>
              <w:sz w:val="20"/>
              <w:szCs w:val="22"/>
            </w:rPr>
            <w:t>María del Rosario Mejía Ayala</w:t>
          </w:r>
        </w:p>
      </w:tc>
    </w:tr>
  </w:tbl>
  <w:p w14:paraId="156B5574" w14:textId="0743D31D" w:rsidR="000B5036" w:rsidRDefault="003C4B3F" w:rsidP="00472C41">
    <w:pPr>
      <w:pStyle w:val="Encabezado"/>
      <w:tabs>
        <w:tab w:val="clear" w:pos="4252"/>
        <w:tab w:val="clear" w:pos="8504"/>
        <w:tab w:val="left" w:pos="3103"/>
      </w:tabs>
    </w:pPr>
    <w:r>
      <w:rPr>
        <w:noProof/>
      </w:rPr>
      <w:pict w14:anchorId="1A29E15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905505343" o:spid="_x0000_s2049" type="#_x0000_t75" style="position:absolute;margin-left:-100.4pt;margin-top:-123.7pt;width:663.5pt;height:12in;z-index:-251658240;mso-position-horizontal-relative:margin;mso-position-vertical-relative:margin" o:allowincell="f">
          <v:imagedata r:id="rId1" o:title="PHOTO-2020-08-13-10-14-39"/>
          <w10:wrap anchorx="margin" anchory="margin"/>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FFFFFF83"/>
    <w:multiLevelType w:val="singleLevel"/>
    <w:tmpl w:val="7816848E"/>
    <w:lvl w:ilvl="0">
      <w:start w:val="1"/>
      <w:numFmt w:val="bullet"/>
      <w:pStyle w:val="Listaconvietas2"/>
      <w:lvlText w:val=""/>
      <w:lvlJc w:val="left"/>
      <w:pPr>
        <w:tabs>
          <w:tab w:val="num" w:pos="643"/>
        </w:tabs>
        <w:ind w:left="643" w:hanging="360"/>
      </w:pPr>
      <w:rPr>
        <w:rFonts w:ascii="Symbol" w:hAnsi="Symbol" w:hint="default"/>
      </w:rPr>
    </w:lvl>
  </w:abstractNum>
  <w:abstractNum w:abstractNumId="1">
    <w:nsid w:val="037C575E"/>
    <w:multiLevelType w:val="hybridMultilevel"/>
    <w:tmpl w:val="F2483A08"/>
    <w:lvl w:ilvl="0" w:tplc="FFFFFFFF">
      <w:start w:val="1"/>
      <w:numFmt w:val="decimal"/>
      <w:lvlText w:val="%1."/>
      <w:lvlJc w:val="left"/>
      <w:pPr>
        <w:ind w:left="0" w:firstLine="0"/>
      </w:pPr>
      <w:rPr>
        <w:rFonts w:ascii="Palatino Linotype" w:hAnsi="Palatino Linotype" w:hint="default"/>
        <w:b/>
        <w:i w:val="0"/>
        <w:sz w:val="24"/>
      </w:rPr>
    </w:lvl>
    <w:lvl w:ilvl="1" w:tplc="93F6CA2A">
      <w:start w:val="1"/>
      <w:numFmt w:val="upperRoman"/>
      <w:lvlText w:val="%2."/>
      <w:lvlJc w:val="right"/>
      <w:pPr>
        <w:ind w:left="1440" w:hanging="360"/>
      </w:pPr>
      <w:rPr>
        <w:b/>
        <w:bCs/>
      </w:rPr>
    </w:lvl>
    <w:lvl w:ilvl="2" w:tplc="FFFFFFFF">
      <w:start w:val="1"/>
      <w:numFmt w:val="bullet"/>
      <w:lvlText w:val=""/>
      <w:lvlJc w:val="left"/>
      <w:pPr>
        <w:ind w:left="2340" w:hanging="360"/>
      </w:pPr>
      <w:rPr>
        <w:rFonts w:ascii="Wingdings" w:hAnsi="Wingdings" w:cs="Wingdings" w:hint="default"/>
        <w:strike w:val="0"/>
      </w:r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
    <w:nsid w:val="09703260"/>
    <w:multiLevelType w:val="hybridMultilevel"/>
    <w:tmpl w:val="5BF2E7EE"/>
    <w:lvl w:ilvl="0" w:tplc="080A000B">
      <w:start w:val="1"/>
      <w:numFmt w:val="bullet"/>
      <w:lvlText w:val=""/>
      <w:lvlJc w:val="left"/>
      <w:pPr>
        <w:ind w:left="720" w:hanging="360"/>
      </w:pPr>
      <w:rPr>
        <w:rFonts w:ascii="Wingdings" w:hAnsi="Wingdings" w:cs="Wingdings" w:hint="default"/>
        <w:b/>
        <w:bCs/>
      </w:rPr>
    </w:lvl>
    <w:lvl w:ilvl="1" w:tplc="FFFFFFFF">
      <w:start w:val="1"/>
      <w:numFmt w:val="lowerRoman"/>
      <w:lvlText w:val="%2."/>
      <w:lvlJc w:val="right"/>
      <w:pPr>
        <w:ind w:left="1440" w:hanging="360"/>
      </w:pPr>
      <w:rPr>
        <w:rFonts w:hint="default"/>
        <w:b/>
        <w:bCs/>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
    <w:nsid w:val="0A940C54"/>
    <w:multiLevelType w:val="hybridMultilevel"/>
    <w:tmpl w:val="61883B54"/>
    <w:lvl w:ilvl="0" w:tplc="7EE0C6EC">
      <w:start w:val="1"/>
      <w:numFmt w:val="decimal"/>
      <w:lvlText w:val="%1."/>
      <w:lvlJc w:val="left"/>
      <w:pPr>
        <w:ind w:left="0" w:firstLine="0"/>
      </w:pPr>
      <w:rPr>
        <w:rFonts w:ascii="Palatino Linotype" w:hAnsi="Palatino Linotype" w:hint="default"/>
        <w:b/>
        <w:i w:val="0"/>
        <w:sz w:val="24"/>
      </w:rPr>
    </w:lvl>
    <w:lvl w:ilvl="1" w:tplc="080A0013">
      <w:start w:val="1"/>
      <w:numFmt w:val="upperRoman"/>
      <w:lvlText w:val="%2."/>
      <w:lvlJc w:val="right"/>
      <w:pPr>
        <w:ind w:left="1440" w:hanging="360"/>
      </w:pPr>
      <w:rPr>
        <w:rFonts w:hint="default"/>
        <w:b/>
        <w:bCs/>
        <w:i w:val="0"/>
        <w:iCs w:val="0"/>
      </w:rPr>
    </w:lvl>
    <w:lvl w:ilvl="2" w:tplc="080A000B">
      <w:start w:val="1"/>
      <w:numFmt w:val="bullet"/>
      <w:lvlText w:val=""/>
      <w:lvlJc w:val="left"/>
      <w:pPr>
        <w:ind w:left="2340" w:hanging="360"/>
      </w:pPr>
      <w:rPr>
        <w:rFonts w:ascii="Wingdings" w:hAnsi="Wingdings" w:cs="Wingdings" w:hint="default"/>
        <w:strike w:val="0"/>
      </w:r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
    <w:nsid w:val="17275851"/>
    <w:multiLevelType w:val="hybridMultilevel"/>
    <w:tmpl w:val="B6043252"/>
    <w:lvl w:ilvl="0" w:tplc="7EE0C6EC">
      <w:start w:val="1"/>
      <w:numFmt w:val="decimal"/>
      <w:lvlText w:val="%1."/>
      <w:lvlJc w:val="left"/>
      <w:pPr>
        <w:ind w:left="0" w:firstLine="0"/>
      </w:pPr>
      <w:rPr>
        <w:rFonts w:ascii="Palatino Linotype" w:hAnsi="Palatino Linotype" w:hint="default"/>
        <w:b/>
        <w:i w:val="0"/>
        <w:sz w:val="24"/>
      </w:rPr>
    </w:lvl>
    <w:lvl w:ilvl="1" w:tplc="080A000B">
      <w:start w:val="1"/>
      <w:numFmt w:val="bullet"/>
      <w:lvlText w:val=""/>
      <w:lvlJc w:val="left"/>
      <w:pPr>
        <w:ind w:left="1440" w:hanging="360"/>
      </w:pPr>
      <w:rPr>
        <w:rFonts w:ascii="Wingdings" w:hAnsi="Wingdings" w:hint="default"/>
        <w:b/>
        <w:bCs/>
        <w:i w:val="0"/>
        <w:iCs w:val="0"/>
      </w:rPr>
    </w:lvl>
    <w:lvl w:ilvl="2" w:tplc="080A000B">
      <w:start w:val="1"/>
      <w:numFmt w:val="bullet"/>
      <w:lvlText w:val=""/>
      <w:lvlJc w:val="left"/>
      <w:pPr>
        <w:ind w:left="2340" w:hanging="360"/>
      </w:pPr>
      <w:rPr>
        <w:rFonts w:ascii="Wingdings" w:hAnsi="Wingdings" w:cs="Wingdings" w:hint="default"/>
        <w:strike w:val="0"/>
      </w:r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
    <w:nsid w:val="1A3D4920"/>
    <w:multiLevelType w:val="hybridMultilevel"/>
    <w:tmpl w:val="4ADE8EEA"/>
    <w:lvl w:ilvl="0" w:tplc="080A0017">
      <w:start w:val="1"/>
      <w:numFmt w:val="lowerLetter"/>
      <w:lvlText w:val="%1)"/>
      <w:lvlJc w:val="left"/>
      <w:pPr>
        <w:ind w:left="720" w:hanging="360"/>
      </w:pPr>
      <w:rPr>
        <w:rFonts w:hint="default"/>
        <w:b/>
        <w:bCs/>
      </w:rPr>
    </w:lvl>
    <w:lvl w:ilvl="1" w:tplc="080A001B">
      <w:start w:val="1"/>
      <w:numFmt w:val="lowerRoman"/>
      <w:lvlText w:val="%2."/>
      <w:lvlJc w:val="right"/>
      <w:pPr>
        <w:ind w:left="1440" w:hanging="360"/>
      </w:pPr>
      <w:rPr>
        <w:rFonts w:hint="default"/>
        <w:b/>
        <w:bCs/>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
    <w:nsid w:val="1CE22DD5"/>
    <w:multiLevelType w:val="hybridMultilevel"/>
    <w:tmpl w:val="FBCA1A26"/>
    <w:lvl w:ilvl="0" w:tplc="7EE0C6EC">
      <w:start w:val="1"/>
      <w:numFmt w:val="decimal"/>
      <w:lvlText w:val="%1."/>
      <w:lvlJc w:val="left"/>
      <w:pPr>
        <w:ind w:left="0" w:firstLine="0"/>
      </w:pPr>
      <w:rPr>
        <w:rFonts w:ascii="Palatino Linotype" w:hAnsi="Palatino Linotype" w:hint="default"/>
        <w:b/>
        <w:i w:val="0"/>
        <w:sz w:val="24"/>
      </w:rPr>
    </w:lvl>
    <w:lvl w:ilvl="1" w:tplc="080A0013">
      <w:start w:val="1"/>
      <w:numFmt w:val="upperRoman"/>
      <w:lvlText w:val="%2."/>
      <w:lvlJc w:val="right"/>
      <w:pPr>
        <w:ind w:left="1440" w:hanging="360"/>
      </w:pPr>
      <w:rPr>
        <w:rFonts w:hint="default"/>
        <w:b/>
        <w:bCs/>
        <w:i w:val="0"/>
        <w:iCs w:val="0"/>
      </w:rPr>
    </w:lvl>
    <w:lvl w:ilvl="2" w:tplc="080A000B">
      <w:start w:val="1"/>
      <w:numFmt w:val="bullet"/>
      <w:lvlText w:val=""/>
      <w:lvlJc w:val="left"/>
      <w:pPr>
        <w:ind w:left="2340" w:hanging="360"/>
      </w:pPr>
      <w:rPr>
        <w:rFonts w:ascii="Wingdings" w:hAnsi="Wingdings" w:cs="Wingdings" w:hint="default"/>
        <w:strike w:val="0"/>
      </w:r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7">
    <w:nsid w:val="1E9D33DD"/>
    <w:multiLevelType w:val="hybridMultilevel"/>
    <w:tmpl w:val="D2A2256C"/>
    <w:lvl w:ilvl="0" w:tplc="FFFFFFFF">
      <w:start w:val="1"/>
      <w:numFmt w:val="decimal"/>
      <w:lvlText w:val="%1."/>
      <w:lvlJc w:val="left"/>
      <w:pPr>
        <w:ind w:left="0" w:firstLine="0"/>
      </w:pPr>
      <w:rPr>
        <w:rFonts w:ascii="Palatino Linotype" w:hAnsi="Palatino Linotype" w:hint="default"/>
        <w:b/>
        <w:i w:val="0"/>
        <w:sz w:val="24"/>
      </w:rPr>
    </w:lvl>
    <w:lvl w:ilvl="1" w:tplc="1BE234C0">
      <w:start w:val="1"/>
      <w:numFmt w:val="upperRoman"/>
      <w:lvlText w:val="%2."/>
      <w:lvlJc w:val="right"/>
      <w:pPr>
        <w:ind w:left="1440" w:hanging="360"/>
      </w:pPr>
      <w:rPr>
        <w:b/>
        <w:bCs/>
      </w:rPr>
    </w:lvl>
    <w:lvl w:ilvl="2" w:tplc="FFFFFFFF">
      <w:start w:val="1"/>
      <w:numFmt w:val="bullet"/>
      <w:lvlText w:val=""/>
      <w:lvlJc w:val="left"/>
      <w:pPr>
        <w:ind w:left="2340" w:hanging="360"/>
      </w:pPr>
      <w:rPr>
        <w:rFonts w:ascii="Wingdings" w:hAnsi="Wingdings" w:cs="Wingdings" w:hint="default"/>
        <w:strike w:val="0"/>
      </w:r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
    <w:nsid w:val="1ED50269"/>
    <w:multiLevelType w:val="hybridMultilevel"/>
    <w:tmpl w:val="6B0C0246"/>
    <w:lvl w:ilvl="0" w:tplc="7EE0C6EC">
      <w:start w:val="1"/>
      <w:numFmt w:val="decimal"/>
      <w:lvlText w:val="%1."/>
      <w:lvlJc w:val="left"/>
      <w:pPr>
        <w:ind w:left="0" w:firstLine="0"/>
      </w:pPr>
      <w:rPr>
        <w:rFonts w:ascii="Palatino Linotype" w:hAnsi="Palatino Linotype" w:hint="default"/>
        <w:b/>
        <w:i w:val="0"/>
        <w:sz w:val="24"/>
      </w:rPr>
    </w:lvl>
    <w:lvl w:ilvl="1" w:tplc="080A0017">
      <w:start w:val="1"/>
      <w:numFmt w:val="lowerLetter"/>
      <w:lvlText w:val="%2)"/>
      <w:lvlJc w:val="left"/>
      <w:pPr>
        <w:ind w:left="1440" w:hanging="360"/>
      </w:pPr>
      <w:rPr>
        <w:rFonts w:hint="default"/>
        <w:b/>
        <w:bCs/>
        <w:i w:val="0"/>
        <w:iCs w:val="0"/>
      </w:rPr>
    </w:lvl>
    <w:lvl w:ilvl="2" w:tplc="080A000B">
      <w:start w:val="1"/>
      <w:numFmt w:val="bullet"/>
      <w:lvlText w:val=""/>
      <w:lvlJc w:val="left"/>
      <w:pPr>
        <w:ind w:left="2340" w:hanging="360"/>
      </w:pPr>
      <w:rPr>
        <w:rFonts w:ascii="Wingdings" w:hAnsi="Wingdings" w:cs="Wingdings" w:hint="default"/>
        <w:strike w:val="0"/>
      </w:r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9">
    <w:nsid w:val="20FF1C05"/>
    <w:multiLevelType w:val="hybridMultilevel"/>
    <w:tmpl w:val="4F525B42"/>
    <w:lvl w:ilvl="0" w:tplc="FFFFFFFF">
      <w:start w:val="1"/>
      <w:numFmt w:val="decimal"/>
      <w:lvlText w:val="%1."/>
      <w:lvlJc w:val="left"/>
      <w:pPr>
        <w:ind w:left="0" w:firstLine="0"/>
      </w:pPr>
      <w:rPr>
        <w:rFonts w:ascii="Palatino Linotype" w:hAnsi="Palatino Linotype" w:hint="default"/>
        <w:b/>
        <w:i w:val="0"/>
        <w:sz w:val="24"/>
      </w:rPr>
    </w:lvl>
    <w:lvl w:ilvl="1" w:tplc="080A0013">
      <w:start w:val="1"/>
      <w:numFmt w:val="upperRoman"/>
      <w:lvlText w:val="%2."/>
      <w:lvlJc w:val="right"/>
      <w:pPr>
        <w:ind w:left="1440" w:hanging="360"/>
      </w:pPr>
    </w:lvl>
    <w:lvl w:ilvl="2" w:tplc="FFFFFFFF">
      <w:start w:val="1"/>
      <w:numFmt w:val="bullet"/>
      <w:lvlText w:val=""/>
      <w:lvlJc w:val="left"/>
      <w:pPr>
        <w:ind w:left="2340" w:hanging="360"/>
      </w:pPr>
      <w:rPr>
        <w:rFonts w:ascii="Wingdings" w:hAnsi="Wingdings" w:cs="Wingdings" w:hint="default"/>
        <w:strike w:val="0"/>
      </w:r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
    <w:nsid w:val="21BE2802"/>
    <w:multiLevelType w:val="hybridMultilevel"/>
    <w:tmpl w:val="3A0E7504"/>
    <w:lvl w:ilvl="0" w:tplc="7EE0C6EC">
      <w:start w:val="1"/>
      <w:numFmt w:val="decimal"/>
      <w:lvlText w:val="%1."/>
      <w:lvlJc w:val="left"/>
      <w:pPr>
        <w:ind w:left="0" w:firstLine="0"/>
      </w:pPr>
      <w:rPr>
        <w:rFonts w:ascii="Palatino Linotype" w:hAnsi="Palatino Linotype" w:hint="default"/>
        <w:b/>
        <w:i w:val="0"/>
        <w:sz w:val="24"/>
      </w:rPr>
    </w:lvl>
    <w:lvl w:ilvl="1" w:tplc="080A0013">
      <w:start w:val="1"/>
      <w:numFmt w:val="upperRoman"/>
      <w:lvlText w:val="%2."/>
      <w:lvlJc w:val="right"/>
      <w:pPr>
        <w:ind w:left="1440" w:hanging="360"/>
      </w:pPr>
      <w:rPr>
        <w:rFonts w:hint="default"/>
        <w:b/>
        <w:bCs/>
        <w:i w:val="0"/>
        <w:iCs w:val="0"/>
      </w:rPr>
    </w:lvl>
    <w:lvl w:ilvl="2" w:tplc="080A000B">
      <w:start w:val="1"/>
      <w:numFmt w:val="bullet"/>
      <w:lvlText w:val=""/>
      <w:lvlJc w:val="left"/>
      <w:pPr>
        <w:ind w:left="2340" w:hanging="360"/>
      </w:pPr>
      <w:rPr>
        <w:rFonts w:ascii="Wingdings" w:hAnsi="Wingdings" w:cs="Wingdings" w:hint="default"/>
        <w:strike w:val="0"/>
      </w:r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1">
    <w:nsid w:val="239E19F6"/>
    <w:multiLevelType w:val="hybridMultilevel"/>
    <w:tmpl w:val="1472A9DA"/>
    <w:lvl w:ilvl="0" w:tplc="959AD46A">
      <w:start w:val="1"/>
      <w:numFmt w:val="bullet"/>
      <w:lvlText w:val=""/>
      <w:lvlJc w:val="left"/>
      <w:pPr>
        <w:ind w:left="720" w:hanging="360"/>
      </w:pPr>
      <w:rPr>
        <w:rFonts w:ascii="Symbol" w:hAnsi="Symbol" w:hint="default"/>
        <w:sz w:val="20"/>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2">
    <w:nsid w:val="26E83BF1"/>
    <w:multiLevelType w:val="hybridMultilevel"/>
    <w:tmpl w:val="A17EEE68"/>
    <w:lvl w:ilvl="0" w:tplc="FFFFFFFF">
      <w:start w:val="1"/>
      <w:numFmt w:val="bullet"/>
      <w:lvlText w:val=""/>
      <w:lvlJc w:val="left"/>
      <w:pPr>
        <w:ind w:left="720" w:hanging="360"/>
      </w:pPr>
      <w:rPr>
        <w:rFonts w:ascii="Wingdings" w:hAnsi="Wingdings" w:cs="Wingdings" w:hint="default"/>
        <w:b/>
        <w:bCs/>
      </w:rPr>
    </w:lvl>
    <w:lvl w:ilvl="1" w:tplc="944E1230">
      <w:start w:val="1"/>
      <w:numFmt w:val="upperRoman"/>
      <w:lvlText w:val="%2."/>
      <w:lvlJc w:val="right"/>
      <w:pPr>
        <w:ind w:left="1440" w:hanging="360"/>
      </w:pPr>
      <w:rPr>
        <w:b/>
        <w:bCs/>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3">
    <w:nsid w:val="280C14E0"/>
    <w:multiLevelType w:val="hybridMultilevel"/>
    <w:tmpl w:val="2ABE0F26"/>
    <w:lvl w:ilvl="0" w:tplc="FFFFFFFF">
      <w:start w:val="1"/>
      <w:numFmt w:val="decimal"/>
      <w:lvlText w:val="%1."/>
      <w:lvlJc w:val="left"/>
      <w:pPr>
        <w:ind w:left="0" w:firstLine="0"/>
      </w:pPr>
      <w:rPr>
        <w:rFonts w:ascii="Palatino Linotype" w:hAnsi="Palatino Linotype" w:hint="default"/>
        <w:b/>
        <w:i w:val="0"/>
        <w:sz w:val="24"/>
      </w:rPr>
    </w:lvl>
    <w:lvl w:ilvl="1" w:tplc="9F7E368C">
      <w:start w:val="1"/>
      <w:numFmt w:val="upperRoman"/>
      <w:lvlText w:val="%2."/>
      <w:lvlJc w:val="right"/>
      <w:pPr>
        <w:ind w:left="1440" w:hanging="360"/>
      </w:pPr>
      <w:rPr>
        <w:b/>
        <w:bCs w:val="0"/>
      </w:rPr>
    </w:lvl>
    <w:lvl w:ilvl="2" w:tplc="FFFFFFFF">
      <w:start w:val="1"/>
      <w:numFmt w:val="bullet"/>
      <w:lvlText w:val=""/>
      <w:lvlJc w:val="left"/>
      <w:pPr>
        <w:ind w:left="2340" w:hanging="360"/>
      </w:pPr>
      <w:rPr>
        <w:rFonts w:ascii="Wingdings" w:hAnsi="Wingdings" w:cs="Wingdings" w:hint="default"/>
        <w:strike w:val="0"/>
      </w:r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
    <w:nsid w:val="2FBB64DB"/>
    <w:multiLevelType w:val="hybridMultilevel"/>
    <w:tmpl w:val="894A41B4"/>
    <w:lvl w:ilvl="0" w:tplc="FFFFFFFF">
      <w:start w:val="1"/>
      <w:numFmt w:val="decimal"/>
      <w:lvlText w:val="%1."/>
      <w:lvlJc w:val="left"/>
      <w:pPr>
        <w:ind w:left="0" w:firstLine="0"/>
      </w:pPr>
      <w:rPr>
        <w:rFonts w:ascii="Palatino Linotype" w:hAnsi="Palatino Linotype" w:hint="default"/>
        <w:b/>
        <w:i w:val="0"/>
        <w:sz w:val="24"/>
      </w:rPr>
    </w:lvl>
    <w:lvl w:ilvl="1" w:tplc="080A0013">
      <w:start w:val="1"/>
      <w:numFmt w:val="upperRoman"/>
      <w:lvlText w:val="%2."/>
      <w:lvlJc w:val="right"/>
      <w:pPr>
        <w:ind w:left="1440" w:hanging="360"/>
      </w:pPr>
    </w:lvl>
    <w:lvl w:ilvl="2" w:tplc="FFFFFFFF">
      <w:start w:val="1"/>
      <w:numFmt w:val="bullet"/>
      <w:lvlText w:val=""/>
      <w:lvlJc w:val="left"/>
      <w:pPr>
        <w:ind w:left="2340" w:hanging="360"/>
      </w:pPr>
      <w:rPr>
        <w:rFonts w:ascii="Wingdings" w:hAnsi="Wingdings" w:cs="Wingdings" w:hint="default"/>
        <w:strike w:val="0"/>
      </w:r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5">
    <w:nsid w:val="31AD7C1B"/>
    <w:multiLevelType w:val="hybridMultilevel"/>
    <w:tmpl w:val="B29A4F96"/>
    <w:lvl w:ilvl="0" w:tplc="7EE0C6EC">
      <w:start w:val="1"/>
      <w:numFmt w:val="decimal"/>
      <w:lvlText w:val="%1."/>
      <w:lvlJc w:val="left"/>
      <w:pPr>
        <w:ind w:left="0" w:firstLine="0"/>
      </w:pPr>
      <w:rPr>
        <w:rFonts w:ascii="Palatino Linotype" w:hAnsi="Palatino Linotype" w:hint="default"/>
        <w:b/>
        <w:i w:val="0"/>
        <w:sz w:val="24"/>
      </w:rPr>
    </w:lvl>
    <w:lvl w:ilvl="1" w:tplc="080A0013">
      <w:start w:val="1"/>
      <w:numFmt w:val="upperRoman"/>
      <w:lvlText w:val="%2."/>
      <w:lvlJc w:val="right"/>
      <w:pPr>
        <w:ind w:left="1440" w:hanging="360"/>
      </w:pPr>
      <w:rPr>
        <w:rFonts w:hint="default"/>
        <w:b/>
        <w:bCs/>
        <w:i w:val="0"/>
        <w:iCs w:val="0"/>
      </w:rPr>
    </w:lvl>
    <w:lvl w:ilvl="2" w:tplc="080A000B">
      <w:start w:val="1"/>
      <w:numFmt w:val="bullet"/>
      <w:lvlText w:val=""/>
      <w:lvlJc w:val="left"/>
      <w:pPr>
        <w:ind w:left="2340" w:hanging="360"/>
      </w:pPr>
      <w:rPr>
        <w:rFonts w:ascii="Wingdings" w:hAnsi="Wingdings" w:cs="Wingdings" w:hint="default"/>
        <w:strike w:val="0"/>
      </w:r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6">
    <w:nsid w:val="34317490"/>
    <w:multiLevelType w:val="hybridMultilevel"/>
    <w:tmpl w:val="BC66450E"/>
    <w:lvl w:ilvl="0" w:tplc="7EE0C6EC">
      <w:start w:val="1"/>
      <w:numFmt w:val="decimal"/>
      <w:lvlText w:val="%1."/>
      <w:lvlJc w:val="left"/>
      <w:pPr>
        <w:ind w:left="0" w:firstLine="0"/>
      </w:pPr>
      <w:rPr>
        <w:rFonts w:ascii="Palatino Linotype" w:hAnsi="Palatino Linotype" w:hint="default"/>
        <w:b/>
        <w:i w:val="0"/>
        <w:sz w:val="24"/>
      </w:rPr>
    </w:lvl>
    <w:lvl w:ilvl="1" w:tplc="080A0017">
      <w:start w:val="1"/>
      <w:numFmt w:val="lowerLetter"/>
      <w:lvlText w:val="%2)"/>
      <w:lvlJc w:val="left"/>
      <w:pPr>
        <w:ind w:left="1440" w:hanging="360"/>
      </w:pPr>
      <w:rPr>
        <w:rFonts w:hint="default"/>
        <w:b/>
        <w:bCs/>
        <w:i w:val="0"/>
        <w:iCs w:val="0"/>
      </w:rPr>
    </w:lvl>
    <w:lvl w:ilvl="2" w:tplc="080A000B">
      <w:start w:val="1"/>
      <w:numFmt w:val="bullet"/>
      <w:lvlText w:val=""/>
      <w:lvlJc w:val="left"/>
      <w:pPr>
        <w:ind w:left="2340" w:hanging="360"/>
      </w:pPr>
      <w:rPr>
        <w:rFonts w:ascii="Wingdings" w:hAnsi="Wingdings" w:cs="Wingdings" w:hint="default"/>
        <w:strike w:val="0"/>
      </w:r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7">
    <w:nsid w:val="3BBF4F88"/>
    <w:multiLevelType w:val="hybridMultilevel"/>
    <w:tmpl w:val="8F8C8C7A"/>
    <w:lvl w:ilvl="0" w:tplc="7EE0C6EC">
      <w:start w:val="1"/>
      <w:numFmt w:val="decimal"/>
      <w:lvlText w:val="%1."/>
      <w:lvlJc w:val="left"/>
      <w:pPr>
        <w:ind w:left="0" w:firstLine="0"/>
      </w:pPr>
      <w:rPr>
        <w:rFonts w:ascii="Palatino Linotype" w:hAnsi="Palatino Linotype" w:hint="default"/>
        <w:b/>
        <w:i w:val="0"/>
        <w:sz w:val="24"/>
      </w:rPr>
    </w:lvl>
    <w:lvl w:ilvl="1" w:tplc="080A0017">
      <w:start w:val="1"/>
      <w:numFmt w:val="lowerLetter"/>
      <w:lvlText w:val="%2)"/>
      <w:lvlJc w:val="left"/>
      <w:pPr>
        <w:ind w:left="1440" w:hanging="360"/>
      </w:pPr>
      <w:rPr>
        <w:rFonts w:hint="default"/>
        <w:b/>
        <w:bCs/>
        <w:i w:val="0"/>
        <w:iCs w:val="0"/>
      </w:rPr>
    </w:lvl>
    <w:lvl w:ilvl="2" w:tplc="080A000B">
      <w:start w:val="1"/>
      <w:numFmt w:val="bullet"/>
      <w:lvlText w:val=""/>
      <w:lvlJc w:val="left"/>
      <w:pPr>
        <w:ind w:left="2340" w:hanging="360"/>
      </w:pPr>
      <w:rPr>
        <w:rFonts w:ascii="Wingdings" w:hAnsi="Wingdings" w:cs="Wingdings" w:hint="default"/>
        <w:strike w:val="0"/>
      </w:r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8">
    <w:nsid w:val="3BF90E0D"/>
    <w:multiLevelType w:val="hybridMultilevel"/>
    <w:tmpl w:val="844A799C"/>
    <w:lvl w:ilvl="0" w:tplc="7EE0C6EC">
      <w:start w:val="1"/>
      <w:numFmt w:val="decimal"/>
      <w:lvlText w:val="%1."/>
      <w:lvlJc w:val="left"/>
      <w:pPr>
        <w:ind w:left="0" w:firstLine="0"/>
      </w:pPr>
      <w:rPr>
        <w:rFonts w:ascii="Palatino Linotype" w:hAnsi="Palatino Linotype" w:hint="default"/>
        <w:b/>
        <w:i w:val="0"/>
        <w:sz w:val="24"/>
      </w:rPr>
    </w:lvl>
    <w:lvl w:ilvl="1" w:tplc="080A0013">
      <w:start w:val="1"/>
      <w:numFmt w:val="upperRoman"/>
      <w:lvlText w:val="%2."/>
      <w:lvlJc w:val="right"/>
      <w:pPr>
        <w:ind w:left="1440" w:hanging="360"/>
      </w:pPr>
      <w:rPr>
        <w:rFonts w:hint="default"/>
        <w:b/>
        <w:bCs/>
        <w:i w:val="0"/>
        <w:iCs w:val="0"/>
      </w:rPr>
    </w:lvl>
    <w:lvl w:ilvl="2" w:tplc="080A000B">
      <w:start w:val="1"/>
      <w:numFmt w:val="bullet"/>
      <w:lvlText w:val=""/>
      <w:lvlJc w:val="left"/>
      <w:pPr>
        <w:ind w:left="2340" w:hanging="360"/>
      </w:pPr>
      <w:rPr>
        <w:rFonts w:ascii="Wingdings" w:hAnsi="Wingdings" w:cs="Wingdings" w:hint="default"/>
        <w:strike w:val="0"/>
      </w:r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9">
    <w:nsid w:val="3C8A2EDF"/>
    <w:multiLevelType w:val="hybridMultilevel"/>
    <w:tmpl w:val="B91AA74E"/>
    <w:lvl w:ilvl="0" w:tplc="7EE0C6EC">
      <w:start w:val="1"/>
      <w:numFmt w:val="decimal"/>
      <w:lvlText w:val="%1."/>
      <w:lvlJc w:val="left"/>
      <w:pPr>
        <w:ind w:left="0" w:firstLine="0"/>
      </w:pPr>
      <w:rPr>
        <w:rFonts w:ascii="Palatino Linotype" w:hAnsi="Palatino Linotype" w:hint="default"/>
        <w:b/>
        <w:i w:val="0"/>
        <w:sz w:val="24"/>
      </w:rPr>
    </w:lvl>
    <w:lvl w:ilvl="1" w:tplc="080A0013">
      <w:start w:val="1"/>
      <w:numFmt w:val="upperRoman"/>
      <w:lvlText w:val="%2."/>
      <w:lvlJc w:val="right"/>
      <w:pPr>
        <w:ind w:left="1440" w:hanging="360"/>
      </w:pPr>
      <w:rPr>
        <w:rFonts w:hint="default"/>
        <w:b/>
        <w:bCs/>
        <w:i w:val="0"/>
        <w:iCs w:val="0"/>
      </w:rPr>
    </w:lvl>
    <w:lvl w:ilvl="2" w:tplc="080A000B">
      <w:start w:val="1"/>
      <w:numFmt w:val="bullet"/>
      <w:lvlText w:val=""/>
      <w:lvlJc w:val="left"/>
      <w:pPr>
        <w:ind w:left="2340" w:hanging="360"/>
      </w:pPr>
      <w:rPr>
        <w:rFonts w:ascii="Wingdings" w:hAnsi="Wingdings" w:cs="Wingdings" w:hint="default"/>
        <w:strike w:val="0"/>
      </w:r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0">
    <w:nsid w:val="3D896D4B"/>
    <w:multiLevelType w:val="hybridMultilevel"/>
    <w:tmpl w:val="F32C67A6"/>
    <w:lvl w:ilvl="0" w:tplc="FFFFFFFF">
      <w:start w:val="1"/>
      <w:numFmt w:val="decimal"/>
      <w:lvlText w:val="%1."/>
      <w:lvlJc w:val="left"/>
      <w:pPr>
        <w:ind w:left="0" w:firstLine="0"/>
      </w:pPr>
      <w:rPr>
        <w:rFonts w:ascii="Palatino Linotype" w:hAnsi="Palatino Linotype" w:hint="default"/>
        <w:b/>
        <w:i w:val="0"/>
        <w:sz w:val="24"/>
      </w:rPr>
    </w:lvl>
    <w:lvl w:ilvl="1" w:tplc="D76A7592">
      <w:start w:val="1"/>
      <w:numFmt w:val="upperRoman"/>
      <w:lvlText w:val="%2."/>
      <w:lvlJc w:val="right"/>
      <w:pPr>
        <w:ind w:left="1440" w:hanging="360"/>
      </w:pPr>
      <w:rPr>
        <w:b/>
        <w:bCs/>
      </w:rPr>
    </w:lvl>
    <w:lvl w:ilvl="2" w:tplc="FFFFFFFF">
      <w:start w:val="1"/>
      <w:numFmt w:val="bullet"/>
      <w:lvlText w:val=""/>
      <w:lvlJc w:val="left"/>
      <w:pPr>
        <w:ind w:left="2340" w:hanging="360"/>
      </w:pPr>
      <w:rPr>
        <w:rFonts w:ascii="Wingdings" w:hAnsi="Wingdings" w:cs="Wingdings" w:hint="default"/>
        <w:strike w:val="0"/>
      </w:r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1">
    <w:nsid w:val="3F3346BD"/>
    <w:multiLevelType w:val="hybridMultilevel"/>
    <w:tmpl w:val="0D64FFC6"/>
    <w:lvl w:ilvl="0" w:tplc="7EE0C6EC">
      <w:start w:val="1"/>
      <w:numFmt w:val="decimal"/>
      <w:lvlText w:val="%1."/>
      <w:lvlJc w:val="left"/>
      <w:pPr>
        <w:ind w:left="0" w:firstLine="0"/>
      </w:pPr>
      <w:rPr>
        <w:rFonts w:ascii="Palatino Linotype" w:hAnsi="Palatino Linotype" w:hint="default"/>
        <w:b/>
        <w:i w:val="0"/>
        <w:sz w:val="24"/>
      </w:rPr>
    </w:lvl>
    <w:lvl w:ilvl="1" w:tplc="080A0013">
      <w:start w:val="1"/>
      <w:numFmt w:val="upperRoman"/>
      <w:lvlText w:val="%2."/>
      <w:lvlJc w:val="right"/>
      <w:pPr>
        <w:ind w:left="1440" w:hanging="360"/>
      </w:pPr>
      <w:rPr>
        <w:rFonts w:hint="default"/>
        <w:b/>
        <w:bCs/>
        <w:i w:val="0"/>
        <w:iCs w:val="0"/>
      </w:rPr>
    </w:lvl>
    <w:lvl w:ilvl="2" w:tplc="080A000B">
      <w:start w:val="1"/>
      <w:numFmt w:val="bullet"/>
      <w:lvlText w:val=""/>
      <w:lvlJc w:val="left"/>
      <w:pPr>
        <w:ind w:left="2340" w:hanging="360"/>
      </w:pPr>
      <w:rPr>
        <w:rFonts w:ascii="Wingdings" w:hAnsi="Wingdings" w:cs="Wingdings" w:hint="default"/>
        <w:strike w:val="0"/>
      </w:r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2">
    <w:nsid w:val="3F3D5613"/>
    <w:multiLevelType w:val="hybridMultilevel"/>
    <w:tmpl w:val="D5AE2804"/>
    <w:lvl w:ilvl="0" w:tplc="7EE0C6EC">
      <w:start w:val="1"/>
      <w:numFmt w:val="decimal"/>
      <w:lvlText w:val="%1."/>
      <w:lvlJc w:val="left"/>
      <w:pPr>
        <w:ind w:left="0" w:firstLine="0"/>
      </w:pPr>
      <w:rPr>
        <w:rFonts w:ascii="Palatino Linotype" w:hAnsi="Palatino Linotype" w:hint="default"/>
        <w:b/>
        <w:i w:val="0"/>
        <w:sz w:val="24"/>
      </w:rPr>
    </w:lvl>
    <w:lvl w:ilvl="1" w:tplc="080A0013">
      <w:start w:val="1"/>
      <w:numFmt w:val="upperRoman"/>
      <w:lvlText w:val="%2."/>
      <w:lvlJc w:val="right"/>
      <w:pPr>
        <w:ind w:left="1440" w:hanging="360"/>
      </w:pPr>
      <w:rPr>
        <w:rFonts w:hint="default"/>
        <w:b/>
        <w:bCs/>
        <w:i w:val="0"/>
        <w:iCs w:val="0"/>
      </w:rPr>
    </w:lvl>
    <w:lvl w:ilvl="2" w:tplc="080A000B">
      <w:start w:val="1"/>
      <w:numFmt w:val="bullet"/>
      <w:lvlText w:val=""/>
      <w:lvlJc w:val="left"/>
      <w:pPr>
        <w:ind w:left="2340" w:hanging="360"/>
      </w:pPr>
      <w:rPr>
        <w:rFonts w:ascii="Wingdings" w:hAnsi="Wingdings" w:cs="Wingdings" w:hint="default"/>
        <w:strike w:val="0"/>
      </w:r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3">
    <w:nsid w:val="3FFC583A"/>
    <w:multiLevelType w:val="hybridMultilevel"/>
    <w:tmpl w:val="E96EDA3A"/>
    <w:lvl w:ilvl="0" w:tplc="FFFFFFFF">
      <w:start w:val="1"/>
      <w:numFmt w:val="decimal"/>
      <w:lvlText w:val="%1."/>
      <w:lvlJc w:val="left"/>
      <w:pPr>
        <w:ind w:left="0" w:firstLine="0"/>
      </w:pPr>
      <w:rPr>
        <w:rFonts w:ascii="Palatino Linotype" w:hAnsi="Palatino Linotype" w:hint="default"/>
        <w:b/>
        <w:i w:val="0"/>
        <w:sz w:val="24"/>
      </w:rPr>
    </w:lvl>
    <w:lvl w:ilvl="1" w:tplc="632042B0">
      <w:start w:val="1"/>
      <w:numFmt w:val="upperRoman"/>
      <w:lvlText w:val="%2."/>
      <w:lvlJc w:val="right"/>
      <w:pPr>
        <w:ind w:left="1440" w:hanging="360"/>
      </w:pPr>
      <w:rPr>
        <w:b/>
        <w:bCs/>
      </w:rPr>
    </w:lvl>
    <w:lvl w:ilvl="2" w:tplc="FFFFFFFF">
      <w:start w:val="1"/>
      <w:numFmt w:val="bullet"/>
      <w:lvlText w:val=""/>
      <w:lvlJc w:val="left"/>
      <w:pPr>
        <w:ind w:left="2340" w:hanging="360"/>
      </w:pPr>
      <w:rPr>
        <w:rFonts w:ascii="Wingdings" w:hAnsi="Wingdings" w:cs="Wingdings" w:hint="default"/>
        <w:strike w:val="0"/>
      </w:r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4">
    <w:nsid w:val="429B04BF"/>
    <w:multiLevelType w:val="hybridMultilevel"/>
    <w:tmpl w:val="9278B03C"/>
    <w:lvl w:ilvl="0" w:tplc="FFFFFFFF">
      <w:start w:val="1"/>
      <w:numFmt w:val="decimal"/>
      <w:lvlText w:val="%1."/>
      <w:lvlJc w:val="left"/>
      <w:pPr>
        <w:ind w:left="0" w:firstLine="0"/>
      </w:pPr>
      <w:rPr>
        <w:rFonts w:ascii="Palatino Linotype" w:hAnsi="Palatino Linotype" w:hint="default"/>
        <w:b/>
        <w:i w:val="0"/>
        <w:sz w:val="24"/>
      </w:rPr>
    </w:lvl>
    <w:lvl w:ilvl="1" w:tplc="9BE2C272">
      <w:start w:val="1"/>
      <w:numFmt w:val="lowerLetter"/>
      <w:lvlText w:val="%2)"/>
      <w:lvlJc w:val="left"/>
      <w:pPr>
        <w:ind w:left="1440" w:hanging="360"/>
      </w:pPr>
      <w:rPr>
        <w:b/>
        <w:bCs/>
      </w:rPr>
    </w:lvl>
    <w:lvl w:ilvl="2" w:tplc="FFFFFFFF">
      <w:start w:val="1"/>
      <w:numFmt w:val="bullet"/>
      <w:lvlText w:val=""/>
      <w:lvlJc w:val="left"/>
      <w:pPr>
        <w:ind w:left="2340" w:hanging="360"/>
      </w:pPr>
      <w:rPr>
        <w:rFonts w:ascii="Wingdings" w:hAnsi="Wingdings" w:cs="Wingdings" w:hint="default"/>
        <w:strike w:val="0"/>
      </w:r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5">
    <w:nsid w:val="4BCE6718"/>
    <w:multiLevelType w:val="hybridMultilevel"/>
    <w:tmpl w:val="E8744972"/>
    <w:lvl w:ilvl="0" w:tplc="7EE0C6EC">
      <w:start w:val="1"/>
      <w:numFmt w:val="decimal"/>
      <w:lvlText w:val="%1."/>
      <w:lvlJc w:val="left"/>
      <w:pPr>
        <w:ind w:left="0" w:firstLine="0"/>
      </w:pPr>
      <w:rPr>
        <w:rFonts w:ascii="Palatino Linotype" w:hAnsi="Palatino Linotype" w:hint="default"/>
        <w:b/>
        <w:i w:val="0"/>
        <w:sz w:val="24"/>
      </w:rPr>
    </w:lvl>
    <w:lvl w:ilvl="1" w:tplc="080A000B">
      <w:start w:val="1"/>
      <w:numFmt w:val="bullet"/>
      <w:lvlText w:val=""/>
      <w:lvlJc w:val="left"/>
      <w:pPr>
        <w:ind w:left="1440" w:hanging="360"/>
      </w:pPr>
      <w:rPr>
        <w:rFonts w:ascii="Wingdings" w:hAnsi="Wingdings" w:hint="default"/>
        <w:b/>
        <w:bCs/>
        <w:i w:val="0"/>
        <w:iCs w:val="0"/>
      </w:rPr>
    </w:lvl>
    <w:lvl w:ilvl="2" w:tplc="10AE42E6">
      <w:start w:val="1"/>
      <w:numFmt w:val="lowerLetter"/>
      <w:lvlText w:val="%3)"/>
      <w:lvlJc w:val="left"/>
      <w:pPr>
        <w:ind w:left="2340" w:hanging="360"/>
      </w:pPr>
      <w:rPr>
        <w:rFonts w:hint="default"/>
        <w:b/>
        <w:strike w:val="0"/>
      </w:r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6">
    <w:nsid w:val="4CAE63B4"/>
    <w:multiLevelType w:val="hybridMultilevel"/>
    <w:tmpl w:val="175EC428"/>
    <w:lvl w:ilvl="0" w:tplc="FFFFFFFF">
      <w:start w:val="1"/>
      <w:numFmt w:val="decimal"/>
      <w:lvlText w:val="%1."/>
      <w:lvlJc w:val="left"/>
      <w:pPr>
        <w:ind w:left="0" w:firstLine="0"/>
      </w:pPr>
      <w:rPr>
        <w:rFonts w:ascii="Palatino Linotype" w:hAnsi="Palatino Linotype" w:hint="default"/>
        <w:b/>
        <w:i w:val="0"/>
        <w:sz w:val="24"/>
      </w:rPr>
    </w:lvl>
    <w:lvl w:ilvl="1" w:tplc="ACD02C06">
      <w:start w:val="1"/>
      <w:numFmt w:val="upperRoman"/>
      <w:lvlText w:val="%2."/>
      <w:lvlJc w:val="right"/>
      <w:pPr>
        <w:ind w:left="1440" w:hanging="360"/>
      </w:pPr>
      <w:rPr>
        <w:b/>
        <w:bCs/>
        <w:i w:val="0"/>
        <w:iCs w:val="0"/>
      </w:rPr>
    </w:lvl>
    <w:lvl w:ilvl="2" w:tplc="FFFFFFFF">
      <w:start w:val="1"/>
      <w:numFmt w:val="bullet"/>
      <w:lvlText w:val=""/>
      <w:lvlJc w:val="left"/>
      <w:pPr>
        <w:ind w:left="2340" w:hanging="360"/>
      </w:pPr>
      <w:rPr>
        <w:rFonts w:ascii="Wingdings" w:hAnsi="Wingdings" w:cs="Wingdings" w:hint="default"/>
        <w:strike w:val="0"/>
      </w:r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7">
    <w:nsid w:val="50DB3566"/>
    <w:multiLevelType w:val="hybridMultilevel"/>
    <w:tmpl w:val="A7D894D8"/>
    <w:lvl w:ilvl="0" w:tplc="080A000B">
      <w:start w:val="1"/>
      <w:numFmt w:val="bullet"/>
      <w:lvlText w:val=""/>
      <w:lvlJc w:val="left"/>
      <w:pPr>
        <w:ind w:left="1004" w:hanging="360"/>
      </w:pPr>
      <w:rPr>
        <w:rFonts w:ascii="Wingdings" w:hAnsi="Wingdings" w:hint="default"/>
      </w:rPr>
    </w:lvl>
    <w:lvl w:ilvl="1" w:tplc="080A0003" w:tentative="1">
      <w:start w:val="1"/>
      <w:numFmt w:val="bullet"/>
      <w:lvlText w:val="o"/>
      <w:lvlJc w:val="left"/>
      <w:pPr>
        <w:ind w:left="1724" w:hanging="360"/>
      </w:pPr>
      <w:rPr>
        <w:rFonts w:ascii="Courier New" w:hAnsi="Courier New" w:cs="Courier New" w:hint="default"/>
      </w:rPr>
    </w:lvl>
    <w:lvl w:ilvl="2" w:tplc="080A0005" w:tentative="1">
      <w:start w:val="1"/>
      <w:numFmt w:val="bullet"/>
      <w:lvlText w:val=""/>
      <w:lvlJc w:val="left"/>
      <w:pPr>
        <w:ind w:left="2444" w:hanging="360"/>
      </w:pPr>
      <w:rPr>
        <w:rFonts w:ascii="Wingdings" w:hAnsi="Wingdings" w:hint="default"/>
      </w:rPr>
    </w:lvl>
    <w:lvl w:ilvl="3" w:tplc="080A0001" w:tentative="1">
      <w:start w:val="1"/>
      <w:numFmt w:val="bullet"/>
      <w:lvlText w:val=""/>
      <w:lvlJc w:val="left"/>
      <w:pPr>
        <w:ind w:left="3164" w:hanging="360"/>
      </w:pPr>
      <w:rPr>
        <w:rFonts w:ascii="Symbol" w:hAnsi="Symbol" w:hint="default"/>
      </w:rPr>
    </w:lvl>
    <w:lvl w:ilvl="4" w:tplc="080A0003" w:tentative="1">
      <w:start w:val="1"/>
      <w:numFmt w:val="bullet"/>
      <w:lvlText w:val="o"/>
      <w:lvlJc w:val="left"/>
      <w:pPr>
        <w:ind w:left="3884" w:hanging="360"/>
      </w:pPr>
      <w:rPr>
        <w:rFonts w:ascii="Courier New" w:hAnsi="Courier New" w:cs="Courier New" w:hint="default"/>
      </w:rPr>
    </w:lvl>
    <w:lvl w:ilvl="5" w:tplc="080A0005" w:tentative="1">
      <w:start w:val="1"/>
      <w:numFmt w:val="bullet"/>
      <w:lvlText w:val=""/>
      <w:lvlJc w:val="left"/>
      <w:pPr>
        <w:ind w:left="4604" w:hanging="360"/>
      </w:pPr>
      <w:rPr>
        <w:rFonts w:ascii="Wingdings" w:hAnsi="Wingdings" w:hint="default"/>
      </w:rPr>
    </w:lvl>
    <w:lvl w:ilvl="6" w:tplc="080A0001" w:tentative="1">
      <w:start w:val="1"/>
      <w:numFmt w:val="bullet"/>
      <w:lvlText w:val=""/>
      <w:lvlJc w:val="left"/>
      <w:pPr>
        <w:ind w:left="5324" w:hanging="360"/>
      </w:pPr>
      <w:rPr>
        <w:rFonts w:ascii="Symbol" w:hAnsi="Symbol" w:hint="default"/>
      </w:rPr>
    </w:lvl>
    <w:lvl w:ilvl="7" w:tplc="080A0003" w:tentative="1">
      <w:start w:val="1"/>
      <w:numFmt w:val="bullet"/>
      <w:lvlText w:val="o"/>
      <w:lvlJc w:val="left"/>
      <w:pPr>
        <w:ind w:left="6044" w:hanging="360"/>
      </w:pPr>
      <w:rPr>
        <w:rFonts w:ascii="Courier New" w:hAnsi="Courier New" w:cs="Courier New" w:hint="default"/>
      </w:rPr>
    </w:lvl>
    <w:lvl w:ilvl="8" w:tplc="080A0005" w:tentative="1">
      <w:start w:val="1"/>
      <w:numFmt w:val="bullet"/>
      <w:lvlText w:val=""/>
      <w:lvlJc w:val="left"/>
      <w:pPr>
        <w:ind w:left="6764" w:hanging="360"/>
      </w:pPr>
      <w:rPr>
        <w:rFonts w:ascii="Wingdings" w:hAnsi="Wingdings" w:hint="default"/>
      </w:rPr>
    </w:lvl>
  </w:abstractNum>
  <w:abstractNum w:abstractNumId="28">
    <w:nsid w:val="511E3F50"/>
    <w:multiLevelType w:val="hybridMultilevel"/>
    <w:tmpl w:val="13B8BB9E"/>
    <w:lvl w:ilvl="0" w:tplc="7EE0C6EC">
      <w:start w:val="1"/>
      <w:numFmt w:val="decimal"/>
      <w:lvlText w:val="%1."/>
      <w:lvlJc w:val="left"/>
      <w:pPr>
        <w:ind w:left="0" w:firstLine="0"/>
      </w:pPr>
      <w:rPr>
        <w:rFonts w:ascii="Palatino Linotype" w:hAnsi="Palatino Linotype" w:hint="default"/>
        <w:b/>
        <w:i w:val="0"/>
        <w:sz w:val="24"/>
      </w:rPr>
    </w:lvl>
    <w:lvl w:ilvl="1" w:tplc="080A0013">
      <w:start w:val="1"/>
      <w:numFmt w:val="upperRoman"/>
      <w:lvlText w:val="%2."/>
      <w:lvlJc w:val="right"/>
      <w:pPr>
        <w:ind w:left="1440" w:hanging="360"/>
      </w:pPr>
      <w:rPr>
        <w:rFonts w:hint="default"/>
        <w:b/>
        <w:bCs/>
        <w:i w:val="0"/>
        <w:iCs w:val="0"/>
      </w:rPr>
    </w:lvl>
    <w:lvl w:ilvl="2" w:tplc="080A000B">
      <w:start w:val="1"/>
      <w:numFmt w:val="bullet"/>
      <w:lvlText w:val=""/>
      <w:lvlJc w:val="left"/>
      <w:pPr>
        <w:ind w:left="2340" w:hanging="360"/>
      </w:pPr>
      <w:rPr>
        <w:rFonts w:ascii="Wingdings" w:hAnsi="Wingdings" w:cs="Wingdings" w:hint="default"/>
        <w:strike w:val="0"/>
      </w:r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9">
    <w:nsid w:val="520D79DE"/>
    <w:multiLevelType w:val="hybridMultilevel"/>
    <w:tmpl w:val="0A54AB26"/>
    <w:lvl w:ilvl="0" w:tplc="7EE0C6EC">
      <w:start w:val="1"/>
      <w:numFmt w:val="decimal"/>
      <w:lvlText w:val="%1."/>
      <w:lvlJc w:val="left"/>
      <w:pPr>
        <w:ind w:left="0" w:firstLine="0"/>
      </w:pPr>
      <w:rPr>
        <w:rFonts w:ascii="Palatino Linotype" w:hAnsi="Palatino Linotype" w:hint="default"/>
        <w:b/>
        <w:i w:val="0"/>
        <w:sz w:val="24"/>
      </w:rPr>
    </w:lvl>
    <w:lvl w:ilvl="1" w:tplc="080A0013">
      <w:start w:val="1"/>
      <w:numFmt w:val="upperRoman"/>
      <w:lvlText w:val="%2."/>
      <w:lvlJc w:val="right"/>
      <w:pPr>
        <w:ind w:left="1440" w:hanging="360"/>
      </w:pPr>
      <w:rPr>
        <w:rFonts w:hint="default"/>
        <w:b/>
        <w:bCs/>
        <w:i w:val="0"/>
        <w:iCs w:val="0"/>
      </w:rPr>
    </w:lvl>
    <w:lvl w:ilvl="2" w:tplc="515E1D10">
      <w:start w:val="1"/>
      <w:numFmt w:val="lowerLetter"/>
      <w:lvlText w:val="%3)"/>
      <w:lvlJc w:val="left"/>
      <w:pPr>
        <w:ind w:left="2340" w:hanging="360"/>
      </w:pPr>
      <w:rPr>
        <w:rFonts w:hint="default"/>
        <w:b/>
        <w:strike w:val="0"/>
      </w:r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0">
    <w:nsid w:val="52194A82"/>
    <w:multiLevelType w:val="hybridMultilevel"/>
    <w:tmpl w:val="9ED8626A"/>
    <w:lvl w:ilvl="0" w:tplc="FFFFFFFF">
      <w:start w:val="1"/>
      <w:numFmt w:val="decimal"/>
      <w:lvlText w:val="%1."/>
      <w:lvlJc w:val="left"/>
      <w:pPr>
        <w:ind w:left="0" w:firstLine="0"/>
      </w:pPr>
      <w:rPr>
        <w:rFonts w:ascii="Palatino Linotype" w:hAnsi="Palatino Linotype" w:hint="default"/>
        <w:b/>
        <w:i w:val="0"/>
        <w:sz w:val="24"/>
      </w:rPr>
    </w:lvl>
    <w:lvl w:ilvl="1" w:tplc="E086EFD6">
      <w:start w:val="1"/>
      <w:numFmt w:val="upperRoman"/>
      <w:lvlText w:val="%2."/>
      <w:lvlJc w:val="right"/>
      <w:pPr>
        <w:ind w:left="1440" w:hanging="360"/>
      </w:pPr>
      <w:rPr>
        <w:b/>
        <w:bCs/>
      </w:rPr>
    </w:lvl>
    <w:lvl w:ilvl="2" w:tplc="FFFFFFFF">
      <w:start w:val="1"/>
      <w:numFmt w:val="bullet"/>
      <w:lvlText w:val=""/>
      <w:lvlJc w:val="left"/>
      <w:pPr>
        <w:ind w:left="2340" w:hanging="360"/>
      </w:pPr>
      <w:rPr>
        <w:rFonts w:ascii="Wingdings" w:hAnsi="Wingdings" w:cs="Wingdings" w:hint="default"/>
        <w:strike w:val="0"/>
      </w:r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1">
    <w:nsid w:val="54DF2CA3"/>
    <w:multiLevelType w:val="hybridMultilevel"/>
    <w:tmpl w:val="55AAD188"/>
    <w:lvl w:ilvl="0" w:tplc="080A0013">
      <w:start w:val="1"/>
      <w:numFmt w:val="upperRoman"/>
      <w:lvlText w:val="%1."/>
      <w:lvlJc w:val="right"/>
      <w:pPr>
        <w:ind w:left="720" w:hanging="360"/>
      </w:pPr>
      <w:rPr>
        <w:rFonts w:hint="default"/>
        <w:b/>
        <w:bCs/>
      </w:rPr>
    </w:lvl>
    <w:lvl w:ilvl="1" w:tplc="080A001B">
      <w:start w:val="1"/>
      <w:numFmt w:val="lowerRoman"/>
      <w:lvlText w:val="%2."/>
      <w:lvlJc w:val="right"/>
      <w:pPr>
        <w:ind w:left="1440" w:hanging="360"/>
      </w:pPr>
      <w:rPr>
        <w:rFonts w:hint="default"/>
        <w:b/>
        <w:bCs/>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2">
    <w:nsid w:val="555433AF"/>
    <w:multiLevelType w:val="hybridMultilevel"/>
    <w:tmpl w:val="0D584A3E"/>
    <w:lvl w:ilvl="0" w:tplc="FFFFFFFF">
      <w:start w:val="1"/>
      <w:numFmt w:val="decimal"/>
      <w:lvlText w:val="%1."/>
      <w:lvlJc w:val="left"/>
      <w:pPr>
        <w:ind w:left="0" w:firstLine="0"/>
      </w:pPr>
      <w:rPr>
        <w:rFonts w:ascii="Palatino Linotype" w:hAnsi="Palatino Linotype" w:hint="default"/>
        <w:b/>
        <w:i w:val="0"/>
        <w:sz w:val="24"/>
      </w:rPr>
    </w:lvl>
    <w:lvl w:ilvl="1" w:tplc="FFFFFFFF">
      <w:start w:val="1"/>
      <w:numFmt w:val="upperRoman"/>
      <w:lvlText w:val="%2."/>
      <w:lvlJc w:val="right"/>
      <w:pPr>
        <w:ind w:left="1440" w:hanging="360"/>
      </w:pPr>
      <w:rPr>
        <w:rFonts w:hint="default"/>
        <w:b/>
        <w:bCs/>
        <w:i w:val="0"/>
        <w:iCs w:val="0"/>
      </w:rPr>
    </w:lvl>
    <w:lvl w:ilvl="2" w:tplc="080A001B">
      <w:start w:val="1"/>
      <w:numFmt w:val="lowerRoman"/>
      <w:lvlText w:val="%3."/>
      <w:lvlJc w:val="right"/>
      <w:pPr>
        <w:ind w:left="1440" w:hanging="360"/>
      </w:pPr>
      <w:rPr>
        <w:rFonts w:hint="default"/>
        <w:b/>
        <w:bCs/>
      </w:r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3">
    <w:nsid w:val="563C0557"/>
    <w:multiLevelType w:val="hybridMultilevel"/>
    <w:tmpl w:val="13BE9D7C"/>
    <w:lvl w:ilvl="0" w:tplc="080A0013">
      <w:start w:val="1"/>
      <w:numFmt w:val="upperRoman"/>
      <w:lvlText w:val="%1."/>
      <w:lvlJc w:val="right"/>
      <w:pPr>
        <w:ind w:left="1287" w:hanging="360"/>
      </w:pPr>
      <w:rPr>
        <w:rFonts w:hint="default"/>
        <w:b/>
        <w:bCs/>
        <w:i w:val="0"/>
        <w:iCs w:val="0"/>
        <w:sz w:val="22"/>
        <w:szCs w:val="22"/>
      </w:rPr>
    </w:lvl>
    <w:lvl w:ilvl="1" w:tplc="080A0017">
      <w:start w:val="1"/>
      <w:numFmt w:val="lowerLetter"/>
      <w:lvlText w:val="%2)"/>
      <w:lvlJc w:val="left"/>
      <w:pPr>
        <w:ind w:left="2007" w:hanging="360"/>
      </w:pPr>
      <w:rPr>
        <w:b/>
        <w:bCs/>
        <w:i w:val="0"/>
        <w:iCs w:val="0"/>
        <w:sz w:val="22"/>
        <w:szCs w:val="22"/>
      </w:rPr>
    </w:lvl>
    <w:lvl w:ilvl="2" w:tplc="080A001B" w:tentative="1">
      <w:start w:val="1"/>
      <w:numFmt w:val="lowerRoman"/>
      <w:lvlText w:val="%3."/>
      <w:lvlJc w:val="right"/>
      <w:pPr>
        <w:ind w:left="2727" w:hanging="180"/>
      </w:pPr>
    </w:lvl>
    <w:lvl w:ilvl="3" w:tplc="080A000F" w:tentative="1">
      <w:start w:val="1"/>
      <w:numFmt w:val="decimal"/>
      <w:lvlText w:val="%4."/>
      <w:lvlJc w:val="left"/>
      <w:pPr>
        <w:ind w:left="3447" w:hanging="360"/>
      </w:pPr>
    </w:lvl>
    <w:lvl w:ilvl="4" w:tplc="080A0019" w:tentative="1">
      <w:start w:val="1"/>
      <w:numFmt w:val="lowerLetter"/>
      <w:lvlText w:val="%5."/>
      <w:lvlJc w:val="left"/>
      <w:pPr>
        <w:ind w:left="4167" w:hanging="360"/>
      </w:pPr>
    </w:lvl>
    <w:lvl w:ilvl="5" w:tplc="080A001B" w:tentative="1">
      <w:start w:val="1"/>
      <w:numFmt w:val="lowerRoman"/>
      <w:lvlText w:val="%6."/>
      <w:lvlJc w:val="right"/>
      <w:pPr>
        <w:ind w:left="4887" w:hanging="180"/>
      </w:pPr>
    </w:lvl>
    <w:lvl w:ilvl="6" w:tplc="080A000F" w:tentative="1">
      <w:start w:val="1"/>
      <w:numFmt w:val="decimal"/>
      <w:lvlText w:val="%7."/>
      <w:lvlJc w:val="left"/>
      <w:pPr>
        <w:ind w:left="5607" w:hanging="360"/>
      </w:pPr>
    </w:lvl>
    <w:lvl w:ilvl="7" w:tplc="080A0019" w:tentative="1">
      <w:start w:val="1"/>
      <w:numFmt w:val="lowerLetter"/>
      <w:lvlText w:val="%8."/>
      <w:lvlJc w:val="left"/>
      <w:pPr>
        <w:ind w:left="6327" w:hanging="360"/>
      </w:pPr>
    </w:lvl>
    <w:lvl w:ilvl="8" w:tplc="080A001B" w:tentative="1">
      <w:start w:val="1"/>
      <w:numFmt w:val="lowerRoman"/>
      <w:lvlText w:val="%9."/>
      <w:lvlJc w:val="right"/>
      <w:pPr>
        <w:ind w:left="7047" w:hanging="180"/>
      </w:pPr>
    </w:lvl>
  </w:abstractNum>
  <w:abstractNum w:abstractNumId="34">
    <w:nsid w:val="5AA004F7"/>
    <w:multiLevelType w:val="hybridMultilevel"/>
    <w:tmpl w:val="63B21726"/>
    <w:lvl w:ilvl="0" w:tplc="7EE0C6EC">
      <w:start w:val="1"/>
      <w:numFmt w:val="decimal"/>
      <w:lvlText w:val="%1."/>
      <w:lvlJc w:val="left"/>
      <w:pPr>
        <w:ind w:left="0" w:firstLine="0"/>
      </w:pPr>
      <w:rPr>
        <w:rFonts w:ascii="Palatino Linotype" w:hAnsi="Palatino Linotype" w:hint="default"/>
        <w:b/>
        <w:i w:val="0"/>
        <w:sz w:val="24"/>
      </w:rPr>
    </w:lvl>
    <w:lvl w:ilvl="1" w:tplc="080A0013">
      <w:start w:val="1"/>
      <w:numFmt w:val="upperRoman"/>
      <w:lvlText w:val="%2."/>
      <w:lvlJc w:val="right"/>
      <w:pPr>
        <w:ind w:left="1440" w:hanging="360"/>
      </w:pPr>
      <w:rPr>
        <w:rFonts w:hint="default"/>
        <w:b/>
        <w:bCs/>
        <w:i w:val="0"/>
        <w:iCs w:val="0"/>
      </w:rPr>
    </w:lvl>
    <w:lvl w:ilvl="2" w:tplc="7DB0308C">
      <w:start w:val="1"/>
      <w:numFmt w:val="lowerLetter"/>
      <w:lvlText w:val="%3)"/>
      <w:lvlJc w:val="left"/>
      <w:pPr>
        <w:ind w:left="2340" w:hanging="360"/>
      </w:pPr>
      <w:rPr>
        <w:rFonts w:hint="default"/>
        <w:b/>
        <w:strike w:val="0"/>
      </w:r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5">
    <w:nsid w:val="5E5661F4"/>
    <w:multiLevelType w:val="hybridMultilevel"/>
    <w:tmpl w:val="37FC488C"/>
    <w:lvl w:ilvl="0" w:tplc="7EE0C6EC">
      <w:start w:val="1"/>
      <w:numFmt w:val="decimal"/>
      <w:lvlText w:val="%1."/>
      <w:lvlJc w:val="left"/>
      <w:pPr>
        <w:ind w:left="0" w:firstLine="0"/>
      </w:pPr>
      <w:rPr>
        <w:rFonts w:ascii="Palatino Linotype" w:hAnsi="Palatino Linotype" w:hint="default"/>
        <w:b/>
        <w:i w:val="0"/>
        <w:sz w:val="24"/>
      </w:rPr>
    </w:lvl>
    <w:lvl w:ilvl="1" w:tplc="080A000B">
      <w:start w:val="1"/>
      <w:numFmt w:val="bullet"/>
      <w:lvlText w:val=""/>
      <w:lvlJc w:val="left"/>
      <w:pPr>
        <w:ind w:left="1440" w:hanging="360"/>
      </w:pPr>
      <w:rPr>
        <w:rFonts w:ascii="Wingdings" w:hAnsi="Wingdings" w:hint="default"/>
        <w:b/>
        <w:bCs/>
        <w:i w:val="0"/>
        <w:iCs w:val="0"/>
      </w:rPr>
    </w:lvl>
    <w:lvl w:ilvl="2" w:tplc="080A000B">
      <w:start w:val="1"/>
      <w:numFmt w:val="bullet"/>
      <w:lvlText w:val=""/>
      <w:lvlJc w:val="left"/>
      <w:pPr>
        <w:ind w:left="2340" w:hanging="360"/>
      </w:pPr>
      <w:rPr>
        <w:rFonts w:ascii="Wingdings" w:hAnsi="Wingdings" w:cs="Wingdings" w:hint="default"/>
        <w:strike w:val="0"/>
      </w:r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6">
    <w:nsid w:val="660B7308"/>
    <w:multiLevelType w:val="hybridMultilevel"/>
    <w:tmpl w:val="F9AAB80C"/>
    <w:lvl w:ilvl="0" w:tplc="7EE0C6EC">
      <w:start w:val="1"/>
      <w:numFmt w:val="decimal"/>
      <w:lvlText w:val="%1."/>
      <w:lvlJc w:val="left"/>
      <w:pPr>
        <w:ind w:left="0" w:firstLine="0"/>
      </w:pPr>
      <w:rPr>
        <w:rFonts w:ascii="Palatino Linotype" w:hAnsi="Palatino Linotype" w:hint="default"/>
        <w:b/>
        <w:i w:val="0"/>
        <w:sz w:val="24"/>
      </w:rPr>
    </w:lvl>
    <w:lvl w:ilvl="1" w:tplc="080A000B">
      <w:start w:val="1"/>
      <w:numFmt w:val="bullet"/>
      <w:lvlText w:val=""/>
      <w:lvlJc w:val="left"/>
      <w:pPr>
        <w:ind w:left="1440" w:hanging="360"/>
      </w:pPr>
      <w:rPr>
        <w:rFonts w:ascii="Wingdings" w:hAnsi="Wingdings" w:cs="Wingdings" w:hint="default"/>
        <w:b/>
        <w:bCs/>
        <w:i w:val="0"/>
        <w:iCs w:val="0"/>
      </w:rPr>
    </w:lvl>
    <w:lvl w:ilvl="2" w:tplc="397E2ABE">
      <w:start w:val="1"/>
      <w:numFmt w:val="lowerLetter"/>
      <w:lvlText w:val="%3)"/>
      <w:lvlJc w:val="left"/>
      <w:pPr>
        <w:ind w:left="2340" w:hanging="360"/>
      </w:pPr>
      <w:rPr>
        <w:rFonts w:hint="default"/>
        <w:b/>
        <w:strike w:val="0"/>
      </w:r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7">
    <w:nsid w:val="678C3A0A"/>
    <w:multiLevelType w:val="hybridMultilevel"/>
    <w:tmpl w:val="17324A18"/>
    <w:lvl w:ilvl="0" w:tplc="FFFFFFFF">
      <w:start w:val="1"/>
      <w:numFmt w:val="decimal"/>
      <w:lvlText w:val="%1."/>
      <w:lvlJc w:val="left"/>
      <w:pPr>
        <w:ind w:left="0" w:firstLine="0"/>
      </w:pPr>
      <w:rPr>
        <w:rFonts w:ascii="Palatino Linotype" w:hAnsi="Palatino Linotype" w:hint="default"/>
        <w:b/>
        <w:i w:val="0"/>
        <w:sz w:val="24"/>
      </w:rPr>
    </w:lvl>
    <w:lvl w:ilvl="1" w:tplc="CE0C5BB0">
      <w:start w:val="1"/>
      <w:numFmt w:val="lowerLetter"/>
      <w:lvlText w:val="%2)"/>
      <w:lvlJc w:val="left"/>
      <w:pPr>
        <w:ind w:left="1440" w:hanging="360"/>
      </w:pPr>
      <w:rPr>
        <w:b/>
        <w:bCs/>
      </w:rPr>
    </w:lvl>
    <w:lvl w:ilvl="2" w:tplc="FFFFFFFF">
      <w:start w:val="1"/>
      <w:numFmt w:val="bullet"/>
      <w:lvlText w:val=""/>
      <w:lvlJc w:val="left"/>
      <w:pPr>
        <w:ind w:left="2340" w:hanging="360"/>
      </w:pPr>
      <w:rPr>
        <w:rFonts w:ascii="Wingdings" w:hAnsi="Wingdings" w:cs="Wingdings" w:hint="default"/>
        <w:strike w:val="0"/>
      </w:r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8">
    <w:nsid w:val="6894417C"/>
    <w:multiLevelType w:val="hybridMultilevel"/>
    <w:tmpl w:val="C20CCC4A"/>
    <w:lvl w:ilvl="0" w:tplc="7EE0C6EC">
      <w:start w:val="1"/>
      <w:numFmt w:val="decimal"/>
      <w:lvlText w:val="%1."/>
      <w:lvlJc w:val="left"/>
      <w:pPr>
        <w:ind w:left="0" w:firstLine="0"/>
      </w:pPr>
      <w:rPr>
        <w:rFonts w:ascii="Palatino Linotype" w:hAnsi="Palatino Linotype" w:hint="default"/>
        <w:b/>
        <w:i w:val="0"/>
        <w:sz w:val="24"/>
      </w:rPr>
    </w:lvl>
    <w:lvl w:ilvl="1" w:tplc="080A0013">
      <w:start w:val="1"/>
      <w:numFmt w:val="upperRoman"/>
      <w:lvlText w:val="%2."/>
      <w:lvlJc w:val="right"/>
      <w:pPr>
        <w:ind w:left="1440" w:hanging="360"/>
      </w:pPr>
      <w:rPr>
        <w:rFonts w:hint="default"/>
        <w:b/>
        <w:bCs/>
        <w:i w:val="0"/>
        <w:iCs w:val="0"/>
      </w:rPr>
    </w:lvl>
    <w:lvl w:ilvl="2" w:tplc="080A000B">
      <w:start w:val="1"/>
      <w:numFmt w:val="bullet"/>
      <w:lvlText w:val=""/>
      <w:lvlJc w:val="left"/>
      <w:pPr>
        <w:ind w:left="2340" w:hanging="360"/>
      </w:pPr>
      <w:rPr>
        <w:rFonts w:ascii="Wingdings" w:hAnsi="Wingdings" w:cs="Wingdings" w:hint="default"/>
        <w:strike w:val="0"/>
      </w:r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9">
    <w:nsid w:val="699B3631"/>
    <w:multiLevelType w:val="hybridMultilevel"/>
    <w:tmpl w:val="7040E8CA"/>
    <w:lvl w:ilvl="0" w:tplc="5030D26A">
      <w:start w:val="1"/>
      <w:numFmt w:val="upperRoman"/>
      <w:lvlText w:val="%1."/>
      <w:lvlJc w:val="right"/>
      <w:pPr>
        <w:ind w:left="1287" w:hanging="360"/>
      </w:pPr>
      <w:rPr>
        <w:rFonts w:hint="default"/>
        <w:b/>
        <w:bCs/>
        <w:i w:val="0"/>
        <w:iCs w:val="0"/>
        <w:sz w:val="22"/>
        <w:szCs w:val="22"/>
      </w:rPr>
    </w:lvl>
    <w:lvl w:ilvl="1" w:tplc="080A0017">
      <w:start w:val="1"/>
      <w:numFmt w:val="lowerLetter"/>
      <w:lvlText w:val="%2)"/>
      <w:lvlJc w:val="left"/>
      <w:pPr>
        <w:ind w:left="2007" w:hanging="360"/>
      </w:pPr>
      <w:rPr>
        <w:b/>
        <w:bCs/>
        <w:i w:val="0"/>
        <w:iCs w:val="0"/>
        <w:sz w:val="22"/>
        <w:szCs w:val="22"/>
      </w:rPr>
    </w:lvl>
    <w:lvl w:ilvl="2" w:tplc="080A001B" w:tentative="1">
      <w:start w:val="1"/>
      <w:numFmt w:val="lowerRoman"/>
      <w:lvlText w:val="%3."/>
      <w:lvlJc w:val="right"/>
      <w:pPr>
        <w:ind w:left="2727" w:hanging="180"/>
      </w:pPr>
    </w:lvl>
    <w:lvl w:ilvl="3" w:tplc="080A000F" w:tentative="1">
      <w:start w:val="1"/>
      <w:numFmt w:val="decimal"/>
      <w:lvlText w:val="%4."/>
      <w:lvlJc w:val="left"/>
      <w:pPr>
        <w:ind w:left="3447" w:hanging="360"/>
      </w:pPr>
    </w:lvl>
    <w:lvl w:ilvl="4" w:tplc="080A0019" w:tentative="1">
      <w:start w:val="1"/>
      <w:numFmt w:val="lowerLetter"/>
      <w:lvlText w:val="%5."/>
      <w:lvlJc w:val="left"/>
      <w:pPr>
        <w:ind w:left="4167" w:hanging="360"/>
      </w:pPr>
    </w:lvl>
    <w:lvl w:ilvl="5" w:tplc="080A001B" w:tentative="1">
      <w:start w:val="1"/>
      <w:numFmt w:val="lowerRoman"/>
      <w:lvlText w:val="%6."/>
      <w:lvlJc w:val="right"/>
      <w:pPr>
        <w:ind w:left="4887" w:hanging="180"/>
      </w:pPr>
    </w:lvl>
    <w:lvl w:ilvl="6" w:tplc="080A000F" w:tentative="1">
      <w:start w:val="1"/>
      <w:numFmt w:val="decimal"/>
      <w:lvlText w:val="%7."/>
      <w:lvlJc w:val="left"/>
      <w:pPr>
        <w:ind w:left="5607" w:hanging="360"/>
      </w:pPr>
    </w:lvl>
    <w:lvl w:ilvl="7" w:tplc="080A0019" w:tentative="1">
      <w:start w:val="1"/>
      <w:numFmt w:val="lowerLetter"/>
      <w:lvlText w:val="%8."/>
      <w:lvlJc w:val="left"/>
      <w:pPr>
        <w:ind w:left="6327" w:hanging="360"/>
      </w:pPr>
    </w:lvl>
    <w:lvl w:ilvl="8" w:tplc="080A001B" w:tentative="1">
      <w:start w:val="1"/>
      <w:numFmt w:val="lowerRoman"/>
      <w:lvlText w:val="%9."/>
      <w:lvlJc w:val="right"/>
      <w:pPr>
        <w:ind w:left="7047" w:hanging="180"/>
      </w:pPr>
    </w:lvl>
  </w:abstractNum>
  <w:abstractNum w:abstractNumId="40">
    <w:nsid w:val="77716F57"/>
    <w:multiLevelType w:val="hybridMultilevel"/>
    <w:tmpl w:val="0A025F6E"/>
    <w:lvl w:ilvl="0" w:tplc="7EE0C6EC">
      <w:start w:val="1"/>
      <w:numFmt w:val="decimal"/>
      <w:lvlText w:val="%1."/>
      <w:lvlJc w:val="left"/>
      <w:pPr>
        <w:ind w:left="0" w:firstLine="0"/>
      </w:pPr>
      <w:rPr>
        <w:rFonts w:ascii="Palatino Linotype" w:hAnsi="Palatino Linotype" w:hint="default"/>
        <w:b/>
        <w:i w:val="0"/>
        <w:sz w:val="24"/>
      </w:rPr>
    </w:lvl>
    <w:lvl w:ilvl="1" w:tplc="080A0013">
      <w:start w:val="1"/>
      <w:numFmt w:val="upperRoman"/>
      <w:lvlText w:val="%2."/>
      <w:lvlJc w:val="right"/>
      <w:pPr>
        <w:ind w:left="1440" w:hanging="360"/>
      </w:pPr>
      <w:rPr>
        <w:rFonts w:hint="default"/>
        <w:b/>
        <w:bCs/>
        <w:i w:val="0"/>
        <w:iCs w:val="0"/>
      </w:rPr>
    </w:lvl>
    <w:lvl w:ilvl="2" w:tplc="5A1EC414">
      <w:start w:val="1"/>
      <w:numFmt w:val="lowerLetter"/>
      <w:lvlText w:val="%3)"/>
      <w:lvlJc w:val="left"/>
      <w:pPr>
        <w:ind w:left="2340" w:hanging="360"/>
      </w:pPr>
      <w:rPr>
        <w:rFonts w:hint="default"/>
        <w:b/>
        <w:i w:val="0"/>
        <w:strike w:val="0"/>
      </w:r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1">
    <w:nsid w:val="77F661A5"/>
    <w:multiLevelType w:val="hybridMultilevel"/>
    <w:tmpl w:val="78DE6162"/>
    <w:lvl w:ilvl="0" w:tplc="7EE0C6EC">
      <w:start w:val="1"/>
      <w:numFmt w:val="decimal"/>
      <w:lvlText w:val="%1."/>
      <w:lvlJc w:val="left"/>
      <w:pPr>
        <w:ind w:left="0" w:firstLine="0"/>
      </w:pPr>
      <w:rPr>
        <w:rFonts w:ascii="Palatino Linotype" w:hAnsi="Palatino Linotype" w:hint="default"/>
        <w:b/>
        <w:i w:val="0"/>
        <w:sz w:val="24"/>
      </w:rPr>
    </w:lvl>
    <w:lvl w:ilvl="1" w:tplc="080A0013">
      <w:start w:val="1"/>
      <w:numFmt w:val="upperRoman"/>
      <w:lvlText w:val="%2."/>
      <w:lvlJc w:val="right"/>
      <w:pPr>
        <w:ind w:left="1440" w:hanging="360"/>
      </w:pPr>
      <w:rPr>
        <w:rFonts w:hint="default"/>
        <w:b/>
        <w:bCs/>
        <w:i w:val="0"/>
        <w:iCs w:val="0"/>
      </w:rPr>
    </w:lvl>
    <w:lvl w:ilvl="2" w:tplc="080A000B">
      <w:start w:val="1"/>
      <w:numFmt w:val="bullet"/>
      <w:lvlText w:val=""/>
      <w:lvlJc w:val="left"/>
      <w:pPr>
        <w:ind w:left="2340" w:hanging="360"/>
      </w:pPr>
      <w:rPr>
        <w:rFonts w:ascii="Wingdings" w:hAnsi="Wingdings" w:cs="Wingdings" w:hint="default"/>
        <w:strike w:val="0"/>
      </w:r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2">
    <w:nsid w:val="7DE16AB5"/>
    <w:multiLevelType w:val="hybridMultilevel"/>
    <w:tmpl w:val="5EEC12F8"/>
    <w:lvl w:ilvl="0" w:tplc="FFFFFFFF">
      <w:start w:val="1"/>
      <w:numFmt w:val="decimal"/>
      <w:lvlText w:val="%1."/>
      <w:lvlJc w:val="left"/>
      <w:pPr>
        <w:ind w:left="0" w:firstLine="0"/>
      </w:pPr>
      <w:rPr>
        <w:rFonts w:ascii="Palatino Linotype" w:hAnsi="Palatino Linotype" w:hint="default"/>
        <w:b/>
        <w:i w:val="0"/>
        <w:sz w:val="24"/>
      </w:rPr>
    </w:lvl>
    <w:lvl w:ilvl="1" w:tplc="FD86BDAA">
      <w:start w:val="1"/>
      <w:numFmt w:val="upperRoman"/>
      <w:lvlText w:val="%2."/>
      <w:lvlJc w:val="right"/>
      <w:pPr>
        <w:ind w:left="1440" w:hanging="360"/>
      </w:pPr>
      <w:rPr>
        <w:b/>
        <w:bCs/>
      </w:rPr>
    </w:lvl>
    <w:lvl w:ilvl="2" w:tplc="FFFFFFFF">
      <w:start w:val="1"/>
      <w:numFmt w:val="bullet"/>
      <w:lvlText w:val=""/>
      <w:lvlJc w:val="left"/>
      <w:pPr>
        <w:ind w:left="2340" w:hanging="360"/>
      </w:pPr>
      <w:rPr>
        <w:rFonts w:ascii="Wingdings" w:hAnsi="Wingdings" w:cs="Wingdings" w:hint="default"/>
        <w:strike w:val="0"/>
      </w:r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num w:numId="1">
    <w:abstractNumId w:val="16"/>
  </w:num>
  <w:num w:numId="2">
    <w:abstractNumId w:val="27"/>
  </w:num>
  <w:num w:numId="3">
    <w:abstractNumId w:val="0"/>
  </w:num>
  <w:num w:numId="4">
    <w:abstractNumId w:val="5"/>
  </w:num>
  <w:num w:numId="5">
    <w:abstractNumId w:val="17"/>
  </w:num>
  <w:num w:numId="6">
    <w:abstractNumId w:val="36"/>
  </w:num>
  <w:num w:numId="7">
    <w:abstractNumId w:val="35"/>
  </w:num>
  <w:num w:numId="8">
    <w:abstractNumId w:val="15"/>
  </w:num>
  <w:num w:numId="9">
    <w:abstractNumId w:val="33"/>
  </w:num>
  <w:num w:numId="10">
    <w:abstractNumId w:val="39"/>
  </w:num>
  <w:num w:numId="11">
    <w:abstractNumId w:val="21"/>
  </w:num>
  <w:num w:numId="12">
    <w:abstractNumId w:val="40"/>
  </w:num>
  <w:num w:numId="13">
    <w:abstractNumId w:val="30"/>
  </w:num>
  <w:num w:numId="14">
    <w:abstractNumId w:val="42"/>
  </w:num>
  <w:num w:numId="15">
    <w:abstractNumId w:val="7"/>
  </w:num>
  <w:num w:numId="16">
    <w:abstractNumId w:val="23"/>
  </w:num>
  <w:num w:numId="17">
    <w:abstractNumId w:val="1"/>
  </w:num>
  <w:num w:numId="18">
    <w:abstractNumId w:val="11"/>
  </w:num>
  <w:num w:numId="19">
    <w:abstractNumId w:val="37"/>
  </w:num>
  <w:num w:numId="20">
    <w:abstractNumId w:val="32"/>
  </w:num>
  <w:num w:numId="21">
    <w:abstractNumId w:val="31"/>
  </w:num>
  <w:num w:numId="22">
    <w:abstractNumId w:val="24"/>
  </w:num>
  <w:num w:numId="23">
    <w:abstractNumId w:val="9"/>
  </w:num>
  <w:num w:numId="24">
    <w:abstractNumId w:val="13"/>
  </w:num>
  <w:num w:numId="25">
    <w:abstractNumId w:val="8"/>
  </w:num>
  <w:num w:numId="26">
    <w:abstractNumId w:val="6"/>
  </w:num>
  <w:num w:numId="27">
    <w:abstractNumId w:val="3"/>
  </w:num>
  <w:num w:numId="28">
    <w:abstractNumId w:val="38"/>
  </w:num>
  <w:num w:numId="29">
    <w:abstractNumId w:val="22"/>
  </w:num>
  <w:num w:numId="30">
    <w:abstractNumId w:val="10"/>
  </w:num>
  <w:num w:numId="31">
    <w:abstractNumId w:val="18"/>
  </w:num>
  <w:num w:numId="32">
    <w:abstractNumId w:val="4"/>
  </w:num>
  <w:num w:numId="33">
    <w:abstractNumId w:val="28"/>
  </w:num>
  <w:num w:numId="34">
    <w:abstractNumId w:val="25"/>
  </w:num>
  <w:num w:numId="35">
    <w:abstractNumId w:val="34"/>
  </w:num>
  <w:num w:numId="36">
    <w:abstractNumId w:val="29"/>
  </w:num>
  <w:num w:numId="37">
    <w:abstractNumId w:val="20"/>
  </w:num>
  <w:num w:numId="38">
    <w:abstractNumId w:val="19"/>
  </w:num>
  <w:num w:numId="39">
    <w:abstractNumId w:val="41"/>
  </w:num>
  <w:num w:numId="40">
    <w:abstractNumId w:val="2"/>
  </w:num>
  <w:num w:numId="41">
    <w:abstractNumId w:val="12"/>
  </w:num>
  <w:num w:numId="42">
    <w:abstractNumId w:val="26"/>
  </w:num>
  <w:num w:numId="43">
    <w:abstractNumId w:val="14"/>
  </w:num>
  <w:numIdMacAtCleanup w:val="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20"/>
  <w:displayBackgroundShape/>
  <w:proofState w:spelling="clean" w:grammar="clean"/>
  <w:defaultTabStop w:val="708"/>
  <w:hyphenationZone w:val="425"/>
  <w:characterSpacingControl w:val="doNotCompress"/>
  <w:hdrShapeDefaults>
    <o:shapedefaults v:ext="edit" spidmax="2050"/>
    <o:shapelayout v:ext="edit">
      <o:idmap v:ext="edit" data="2"/>
    </o:shapelayout>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87366"/>
    <w:rsid w:val="000001EC"/>
    <w:rsid w:val="0000310F"/>
    <w:rsid w:val="0000381E"/>
    <w:rsid w:val="00003A05"/>
    <w:rsid w:val="0000407F"/>
    <w:rsid w:val="000058E3"/>
    <w:rsid w:val="0000797D"/>
    <w:rsid w:val="00007E8A"/>
    <w:rsid w:val="000100D7"/>
    <w:rsid w:val="0001106B"/>
    <w:rsid w:val="000117A3"/>
    <w:rsid w:val="00012472"/>
    <w:rsid w:val="000125A8"/>
    <w:rsid w:val="00013025"/>
    <w:rsid w:val="0001398B"/>
    <w:rsid w:val="000203D3"/>
    <w:rsid w:val="000204A6"/>
    <w:rsid w:val="000211F8"/>
    <w:rsid w:val="0002146F"/>
    <w:rsid w:val="00022D89"/>
    <w:rsid w:val="000236A3"/>
    <w:rsid w:val="00024F35"/>
    <w:rsid w:val="00025127"/>
    <w:rsid w:val="00025266"/>
    <w:rsid w:val="0003063D"/>
    <w:rsid w:val="00030D9E"/>
    <w:rsid w:val="00031D37"/>
    <w:rsid w:val="00031F10"/>
    <w:rsid w:val="00031F98"/>
    <w:rsid w:val="00032493"/>
    <w:rsid w:val="00033B7D"/>
    <w:rsid w:val="0004072A"/>
    <w:rsid w:val="0004193F"/>
    <w:rsid w:val="00042380"/>
    <w:rsid w:val="000427D6"/>
    <w:rsid w:val="00044DB9"/>
    <w:rsid w:val="0004606D"/>
    <w:rsid w:val="0004686A"/>
    <w:rsid w:val="000468E2"/>
    <w:rsid w:val="00046CEE"/>
    <w:rsid w:val="000478BA"/>
    <w:rsid w:val="0005237C"/>
    <w:rsid w:val="00052A3C"/>
    <w:rsid w:val="00054A03"/>
    <w:rsid w:val="00056A79"/>
    <w:rsid w:val="0005777B"/>
    <w:rsid w:val="00061344"/>
    <w:rsid w:val="000622ED"/>
    <w:rsid w:val="0006247F"/>
    <w:rsid w:val="00062648"/>
    <w:rsid w:val="000631D9"/>
    <w:rsid w:val="0006381D"/>
    <w:rsid w:val="00063D06"/>
    <w:rsid w:val="0006407E"/>
    <w:rsid w:val="00064577"/>
    <w:rsid w:val="00064A37"/>
    <w:rsid w:val="00064B95"/>
    <w:rsid w:val="00067281"/>
    <w:rsid w:val="0007221E"/>
    <w:rsid w:val="00074573"/>
    <w:rsid w:val="00075258"/>
    <w:rsid w:val="000800AC"/>
    <w:rsid w:val="0008230A"/>
    <w:rsid w:val="00082D11"/>
    <w:rsid w:val="00082E28"/>
    <w:rsid w:val="000834FE"/>
    <w:rsid w:val="0008465D"/>
    <w:rsid w:val="00084E31"/>
    <w:rsid w:val="0008542A"/>
    <w:rsid w:val="00085E22"/>
    <w:rsid w:val="00090D6F"/>
    <w:rsid w:val="00091C2C"/>
    <w:rsid w:val="00092565"/>
    <w:rsid w:val="00093FC7"/>
    <w:rsid w:val="000953E2"/>
    <w:rsid w:val="00095BB9"/>
    <w:rsid w:val="000A26B8"/>
    <w:rsid w:val="000A3B12"/>
    <w:rsid w:val="000A3F90"/>
    <w:rsid w:val="000A4554"/>
    <w:rsid w:val="000A45FD"/>
    <w:rsid w:val="000A4E44"/>
    <w:rsid w:val="000A556A"/>
    <w:rsid w:val="000A675D"/>
    <w:rsid w:val="000A77ED"/>
    <w:rsid w:val="000B0370"/>
    <w:rsid w:val="000B5036"/>
    <w:rsid w:val="000B5AB1"/>
    <w:rsid w:val="000B5D79"/>
    <w:rsid w:val="000B6D31"/>
    <w:rsid w:val="000B7C4F"/>
    <w:rsid w:val="000C0061"/>
    <w:rsid w:val="000C0663"/>
    <w:rsid w:val="000C0BBB"/>
    <w:rsid w:val="000C10B9"/>
    <w:rsid w:val="000C1D19"/>
    <w:rsid w:val="000C2E5F"/>
    <w:rsid w:val="000C3423"/>
    <w:rsid w:val="000C3861"/>
    <w:rsid w:val="000C48CA"/>
    <w:rsid w:val="000C4A8E"/>
    <w:rsid w:val="000C5A04"/>
    <w:rsid w:val="000C5AF7"/>
    <w:rsid w:val="000D0855"/>
    <w:rsid w:val="000D11CC"/>
    <w:rsid w:val="000D1E0F"/>
    <w:rsid w:val="000D2DC2"/>
    <w:rsid w:val="000D3275"/>
    <w:rsid w:val="000D5A1D"/>
    <w:rsid w:val="000D62FF"/>
    <w:rsid w:val="000D69DF"/>
    <w:rsid w:val="000D7369"/>
    <w:rsid w:val="000D7394"/>
    <w:rsid w:val="000E07DC"/>
    <w:rsid w:val="000E0F9E"/>
    <w:rsid w:val="000E1389"/>
    <w:rsid w:val="000E2665"/>
    <w:rsid w:val="000E2A46"/>
    <w:rsid w:val="000E44C3"/>
    <w:rsid w:val="000E5176"/>
    <w:rsid w:val="000E67FC"/>
    <w:rsid w:val="000E77B8"/>
    <w:rsid w:val="000F1731"/>
    <w:rsid w:val="000F1B9F"/>
    <w:rsid w:val="000F2739"/>
    <w:rsid w:val="000F2EDD"/>
    <w:rsid w:val="000F3457"/>
    <w:rsid w:val="000F37A8"/>
    <w:rsid w:val="000F6D7E"/>
    <w:rsid w:val="000F7112"/>
    <w:rsid w:val="00100187"/>
    <w:rsid w:val="00100DDD"/>
    <w:rsid w:val="00102B33"/>
    <w:rsid w:val="00102D65"/>
    <w:rsid w:val="00103662"/>
    <w:rsid w:val="00103888"/>
    <w:rsid w:val="00107499"/>
    <w:rsid w:val="00107557"/>
    <w:rsid w:val="0011167C"/>
    <w:rsid w:val="00111F02"/>
    <w:rsid w:val="0011279B"/>
    <w:rsid w:val="00112B02"/>
    <w:rsid w:val="0011436C"/>
    <w:rsid w:val="00114A21"/>
    <w:rsid w:val="00117441"/>
    <w:rsid w:val="0012006D"/>
    <w:rsid w:val="00121F4A"/>
    <w:rsid w:val="00122E4B"/>
    <w:rsid w:val="0012380D"/>
    <w:rsid w:val="00124015"/>
    <w:rsid w:val="00124CF1"/>
    <w:rsid w:val="001250B4"/>
    <w:rsid w:val="001253D1"/>
    <w:rsid w:val="00127E68"/>
    <w:rsid w:val="001318D2"/>
    <w:rsid w:val="00131B80"/>
    <w:rsid w:val="00131C54"/>
    <w:rsid w:val="00132C06"/>
    <w:rsid w:val="00133B79"/>
    <w:rsid w:val="00133CE5"/>
    <w:rsid w:val="00134AEC"/>
    <w:rsid w:val="001352E5"/>
    <w:rsid w:val="00135DD5"/>
    <w:rsid w:val="00136007"/>
    <w:rsid w:val="0013673A"/>
    <w:rsid w:val="00136E3F"/>
    <w:rsid w:val="0013752C"/>
    <w:rsid w:val="00140D44"/>
    <w:rsid w:val="00142648"/>
    <w:rsid w:val="00143219"/>
    <w:rsid w:val="001436BB"/>
    <w:rsid w:val="001437CC"/>
    <w:rsid w:val="00143BD1"/>
    <w:rsid w:val="001459C8"/>
    <w:rsid w:val="001468E9"/>
    <w:rsid w:val="00147864"/>
    <w:rsid w:val="00151114"/>
    <w:rsid w:val="0015233C"/>
    <w:rsid w:val="00152F19"/>
    <w:rsid w:val="001534BC"/>
    <w:rsid w:val="00153833"/>
    <w:rsid w:val="00153FA4"/>
    <w:rsid w:val="00154304"/>
    <w:rsid w:val="0015466E"/>
    <w:rsid w:val="00154765"/>
    <w:rsid w:val="001548CB"/>
    <w:rsid w:val="00154EF0"/>
    <w:rsid w:val="00155472"/>
    <w:rsid w:val="00156A23"/>
    <w:rsid w:val="001611E5"/>
    <w:rsid w:val="0016161C"/>
    <w:rsid w:val="00161E95"/>
    <w:rsid w:val="00163780"/>
    <w:rsid w:val="00163B1F"/>
    <w:rsid w:val="001648EE"/>
    <w:rsid w:val="00164B65"/>
    <w:rsid w:val="00164E0E"/>
    <w:rsid w:val="001656F2"/>
    <w:rsid w:val="00166794"/>
    <w:rsid w:val="00166C70"/>
    <w:rsid w:val="0017273C"/>
    <w:rsid w:val="001732E3"/>
    <w:rsid w:val="00174E02"/>
    <w:rsid w:val="0017653A"/>
    <w:rsid w:val="001775DF"/>
    <w:rsid w:val="00185460"/>
    <w:rsid w:val="001862A3"/>
    <w:rsid w:val="00192E4B"/>
    <w:rsid w:val="00194D62"/>
    <w:rsid w:val="00196407"/>
    <w:rsid w:val="00197091"/>
    <w:rsid w:val="001972CC"/>
    <w:rsid w:val="001A032D"/>
    <w:rsid w:val="001A138D"/>
    <w:rsid w:val="001A2857"/>
    <w:rsid w:val="001A2A89"/>
    <w:rsid w:val="001A3634"/>
    <w:rsid w:val="001A3DC0"/>
    <w:rsid w:val="001A4D5D"/>
    <w:rsid w:val="001A5150"/>
    <w:rsid w:val="001A58B9"/>
    <w:rsid w:val="001A61E1"/>
    <w:rsid w:val="001A6C1E"/>
    <w:rsid w:val="001B30F9"/>
    <w:rsid w:val="001B3659"/>
    <w:rsid w:val="001B40F3"/>
    <w:rsid w:val="001B53A0"/>
    <w:rsid w:val="001B5F70"/>
    <w:rsid w:val="001B6845"/>
    <w:rsid w:val="001C0AED"/>
    <w:rsid w:val="001C13B1"/>
    <w:rsid w:val="001C147D"/>
    <w:rsid w:val="001C1C2A"/>
    <w:rsid w:val="001C1CDE"/>
    <w:rsid w:val="001C263B"/>
    <w:rsid w:val="001C2713"/>
    <w:rsid w:val="001C28D5"/>
    <w:rsid w:val="001C2D08"/>
    <w:rsid w:val="001C2EF3"/>
    <w:rsid w:val="001C34D6"/>
    <w:rsid w:val="001C54A9"/>
    <w:rsid w:val="001C6012"/>
    <w:rsid w:val="001C67B0"/>
    <w:rsid w:val="001C6FAC"/>
    <w:rsid w:val="001C79FA"/>
    <w:rsid w:val="001D07C9"/>
    <w:rsid w:val="001D1156"/>
    <w:rsid w:val="001D3AB5"/>
    <w:rsid w:val="001D7D8F"/>
    <w:rsid w:val="001D7DF0"/>
    <w:rsid w:val="001D7E82"/>
    <w:rsid w:val="001E018C"/>
    <w:rsid w:val="001E0AD2"/>
    <w:rsid w:val="001E3596"/>
    <w:rsid w:val="001E3F91"/>
    <w:rsid w:val="001E4152"/>
    <w:rsid w:val="001E489D"/>
    <w:rsid w:val="001E5C94"/>
    <w:rsid w:val="001E6495"/>
    <w:rsid w:val="001E6822"/>
    <w:rsid w:val="001E74A5"/>
    <w:rsid w:val="001E7B9E"/>
    <w:rsid w:val="001E7EDB"/>
    <w:rsid w:val="001F025B"/>
    <w:rsid w:val="001F2B8C"/>
    <w:rsid w:val="001F783F"/>
    <w:rsid w:val="001F7AFD"/>
    <w:rsid w:val="001F7C7F"/>
    <w:rsid w:val="001F7DE2"/>
    <w:rsid w:val="002001BE"/>
    <w:rsid w:val="002031F3"/>
    <w:rsid w:val="002054AA"/>
    <w:rsid w:val="002058A7"/>
    <w:rsid w:val="00205A1A"/>
    <w:rsid w:val="00207665"/>
    <w:rsid w:val="00211229"/>
    <w:rsid w:val="00211E8C"/>
    <w:rsid w:val="00212C9C"/>
    <w:rsid w:val="00212FCA"/>
    <w:rsid w:val="00213108"/>
    <w:rsid w:val="0021453E"/>
    <w:rsid w:val="0021475E"/>
    <w:rsid w:val="00214D96"/>
    <w:rsid w:val="002176FD"/>
    <w:rsid w:val="002179AC"/>
    <w:rsid w:val="00220ADB"/>
    <w:rsid w:val="0022178A"/>
    <w:rsid w:val="002217BA"/>
    <w:rsid w:val="00221AFF"/>
    <w:rsid w:val="00221E74"/>
    <w:rsid w:val="002226FB"/>
    <w:rsid w:val="00223507"/>
    <w:rsid w:val="00223ACC"/>
    <w:rsid w:val="0022448D"/>
    <w:rsid w:val="002275DE"/>
    <w:rsid w:val="00230170"/>
    <w:rsid w:val="002305CF"/>
    <w:rsid w:val="002326B1"/>
    <w:rsid w:val="00233E08"/>
    <w:rsid w:val="002345FF"/>
    <w:rsid w:val="00236D3E"/>
    <w:rsid w:val="00237611"/>
    <w:rsid w:val="002408D7"/>
    <w:rsid w:val="002426EA"/>
    <w:rsid w:val="00244476"/>
    <w:rsid w:val="002457CF"/>
    <w:rsid w:val="002507D8"/>
    <w:rsid w:val="00252A20"/>
    <w:rsid w:val="00252B41"/>
    <w:rsid w:val="0025524F"/>
    <w:rsid w:val="00257E5F"/>
    <w:rsid w:val="00260C1D"/>
    <w:rsid w:val="00261001"/>
    <w:rsid w:val="00261A42"/>
    <w:rsid w:val="00261D84"/>
    <w:rsid w:val="002629A6"/>
    <w:rsid w:val="00263F23"/>
    <w:rsid w:val="00264D02"/>
    <w:rsid w:val="0026500D"/>
    <w:rsid w:val="00265376"/>
    <w:rsid w:val="00265CD7"/>
    <w:rsid w:val="00266588"/>
    <w:rsid w:val="002665BD"/>
    <w:rsid w:val="00270A67"/>
    <w:rsid w:val="00271B06"/>
    <w:rsid w:val="00272FEC"/>
    <w:rsid w:val="00273013"/>
    <w:rsid w:val="00273C37"/>
    <w:rsid w:val="0027430D"/>
    <w:rsid w:val="002746D9"/>
    <w:rsid w:val="00274ED2"/>
    <w:rsid w:val="002763BA"/>
    <w:rsid w:val="002765F2"/>
    <w:rsid w:val="00277A35"/>
    <w:rsid w:val="00280994"/>
    <w:rsid w:val="00280E3F"/>
    <w:rsid w:val="00280F05"/>
    <w:rsid w:val="0028248C"/>
    <w:rsid w:val="00286DDB"/>
    <w:rsid w:val="002871EB"/>
    <w:rsid w:val="002948C4"/>
    <w:rsid w:val="00294CC2"/>
    <w:rsid w:val="00295F8B"/>
    <w:rsid w:val="00297E45"/>
    <w:rsid w:val="002A2099"/>
    <w:rsid w:val="002A229B"/>
    <w:rsid w:val="002A35B6"/>
    <w:rsid w:val="002A4172"/>
    <w:rsid w:val="002A4516"/>
    <w:rsid w:val="002A54DE"/>
    <w:rsid w:val="002A7FAB"/>
    <w:rsid w:val="002B085C"/>
    <w:rsid w:val="002B1AE9"/>
    <w:rsid w:val="002B2278"/>
    <w:rsid w:val="002B284F"/>
    <w:rsid w:val="002B2A2E"/>
    <w:rsid w:val="002B2F59"/>
    <w:rsid w:val="002B309C"/>
    <w:rsid w:val="002B4277"/>
    <w:rsid w:val="002B46CB"/>
    <w:rsid w:val="002B4D21"/>
    <w:rsid w:val="002C0074"/>
    <w:rsid w:val="002C0159"/>
    <w:rsid w:val="002C057E"/>
    <w:rsid w:val="002C0804"/>
    <w:rsid w:val="002C0DC5"/>
    <w:rsid w:val="002C1007"/>
    <w:rsid w:val="002C2D44"/>
    <w:rsid w:val="002C4715"/>
    <w:rsid w:val="002C4780"/>
    <w:rsid w:val="002C47ED"/>
    <w:rsid w:val="002C484A"/>
    <w:rsid w:val="002C5542"/>
    <w:rsid w:val="002C570D"/>
    <w:rsid w:val="002C6561"/>
    <w:rsid w:val="002C6DB3"/>
    <w:rsid w:val="002D0E3D"/>
    <w:rsid w:val="002D10C8"/>
    <w:rsid w:val="002D1A38"/>
    <w:rsid w:val="002D1AA7"/>
    <w:rsid w:val="002D28CB"/>
    <w:rsid w:val="002D2E16"/>
    <w:rsid w:val="002D35AE"/>
    <w:rsid w:val="002D373C"/>
    <w:rsid w:val="002D57BA"/>
    <w:rsid w:val="002E126F"/>
    <w:rsid w:val="002E160F"/>
    <w:rsid w:val="002E191E"/>
    <w:rsid w:val="002E1C05"/>
    <w:rsid w:val="002E1E5D"/>
    <w:rsid w:val="002E3FAE"/>
    <w:rsid w:val="002E482C"/>
    <w:rsid w:val="002E5399"/>
    <w:rsid w:val="002E5A0B"/>
    <w:rsid w:val="002E6295"/>
    <w:rsid w:val="002E6531"/>
    <w:rsid w:val="002E66CA"/>
    <w:rsid w:val="002E689B"/>
    <w:rsid w:val="002E6CFE"/>
    <w:rsid w:val="002E74CE"/>
    <w:rsid w:val="002E76FD"/>
    <w:rsid w:val="002E7AD0"/>
    <w:rsid w:val="002F1871"/>
    <w:rsid w:val="002F3672"/>
    <w:rsid w:val="002F37C1"/>
    <w:rsid w:val="002F72FA"/>
    <w:rsid w:val="002F7D11"/>
    <w:rsid w:val="003007E0"/>
    <w:rsid w:val="0030150B"/>
    <w:rsid w:val="00301B41"/>
    <w:rsid w:val="00301D47"/>
    <w:rsid w:val="003030B1"/>
    <w:rsid w:val="00303717"/>
    <w:rsid w:val="00304013"/>
    <w:rsid w:val="00304137"/>
    <w:rsid w:val="003046AA"/>
    <w:rsid w:val="003049F3"/>
    <w:rsid w:val="00304CDF"/>
    <w:rsid w:val="00305BB3"/>
    <w:rsid w:val="00305F6D"/>
    <w:rsid w:val="003064B8"/>
    <w:rsid w:val="00306E7D"/>
    <w:rsid w:val="00307227"/>
    <w:rsid w:val="0030794F"/>
    <w:rsid w:val="00307EB6"/>
    <w:rsid w:val="003105D0"/>
    <w:rsid w:val="003105D6"/>
    <w:rsid w:val="00310B1D"/>
    <w:rsid w:val="00310D66"/>
    <w:rsid w:val="003111C5"/>
    <w:rsid w:val="00311481"/>
    <w:rsid w:val="003116A6"/>
    <w:rsid w:val="00311863"/>
    <w:rsid w:val="00312733"/>
    <w:rsid w:val="0031578C"/>
    <w:rsid w:val="00316065"/>
    <w:rsid w:val="003161C0"/>
    <w:rsid w:val="00317883"/>
    <w:rsid w:val="00317EFF"/>
    <w:rsid w:val="00321AA3"/>
    <w:rsid w:val="00321AE9"/>
    <w:rsid w:val="00321D1B"/>
    <w:rsid w:val="00321EEE"/>
    <w:rsid w:val="00323895"/>
    <w:rsid w:val="0032586C"/>
    <w:rsid w:val="00326579"/>
    <w:rsid w:val="00327D79"/>
    <w:rsid w:val="00332E6B"/>
    <w:rsid w:val="003337F3"/>
    <w:rsid w:val="00333BE8"/>
    <w:rsid w:val="003344DB"/>
    <w:rsid w:val="00335898"/>
    <w:rsid w:val="00335BFE"/>
    <w:rsid w:val="00335E9C"/>
    <w:rsid w:val="0033608B"/>
    <w:rsid w:val="0033675D"/>
    <w:rsid w:val="00337941"/>
    <w:rsid w:val="003407D0"/>
    <w:rsid w:val="0034181B"/>
    <w:rsid w:val="00342C51"/>
    <w:rsid w:val="00345856"/>
    <w:rsid w:val="0034595C"/>
    <w:rsid w:val="00345B79"/>
    <w:rsid w:val="00345D0F"/>
    <w:rsid w:val="0034614E"/>
    <w:rsid w:val="00346885"/>
    <w:rsid w:val="003472B3"/>
    <w:rsid w:val="0035104F"/>
    <w:rsid w:val="003522BF"/>
    <w:rsid w:val="00352901"/>
    <w:rsid w:val="00355AEE"/>
    <w:rsid w:val="00355D3B"/>
    <w:rsid w:val="0035606B"/>
    <w:rsid w:val="0036073F"/>
    <w:rsid w:val="003615A3"/>
    <w:rsid w:val="003629EE"/>
    <w:rsid w:val="003643B3"/>
    <w:rsid w:val="003708DD"/>
    <w:rsid w:val="00370B8E"/>
    <w:rsid w:val="00370BB1"/>
    <w:rsid w:val="003721B2"/>
    <w:rsid w:val="00372328"/>
    <w:rsid w:val="003738EA"/>
    <w:rsid w:val="003746E9"/>
    <w:rsid w:val="00374CE8"/>
    <w:rsid w:val="003762FD"/>
    <w:rsid w:val="00376AB8"/>
    <w:rsid w:val="00376FD2"/>
    <w:rsid w:val="00377278"/>
    <w:rsid w:val="0038132B"/>
    <w:rsid w:val="00383E66"/>
    <w:rsid w:val="00384AE2"/>
    <w:rsid w:val="00385699"/>
    <w:rsid w:val="00387DC9"/>
    <w:rsid w:val="00390D23"/>
    <w:rsid w:val="0039142B"/>
    <w:rsid w:val="0039193E"/>
    <w:rsid w:val="00391ADA"/>
    <w:rsid w:val="003926CC"/>
    <w:rsid w:val="00392CDB"/>
    <w:rsid w:val="0039380F"/>
    <w:rsid w:val="00393B71"/>
    <w:rsid w:val="00394095"/>
    <w:rsid w:val="003940F6"/>
    <w:rsid w:val="003955D3"/>
    <w:rsid w:val="003958B8"/>
    <w:rsid w:val="00396545"/>
    <w:rsid w:val="0039671B"/>
    <w:rsid w:val="00396F5D"/>
    <w:rsid w:val="00396F71"/>
    <w:rsid w:val="003A03D0"/>
    <w:rsid w:val="003A04FF"/>
    <w:rsid w:val="003A1B01"/>
    <w:rsid w:val="003A2029"/>
    <w:rsid w:val="003A6417"/>
    <w:rsid w:val="003A65FE"/>
    <w:rsid w:val="003A6A5A"/>
    <w:rsid w:val="003A7221"/>
    <w:rsid w:val="003A730E"/>
    <w:rsid w:val="003A787D"/>
    <w:rsid w:val="003B1262"/>
    <w:rsid w:val="003B1CEE"/>
    <w:rsid w:val="003B2199"/>
    <w:rsid w:val="003B2856"/>
    <w:rsid w:val="003B2A0D"/>
    <w:rsid w:val="003B31FA"/>
    <w:rsid w:val="003B4B0A"/>
    <w:rsid w:val="003B55AD"/>
    <w:rsid w:val="003B7EC4"/>
    <w:rsid w:val="003C183D"/>
    <w:rsid w:val="003C4B3F"/>
    <w:rsid w:val="003C7282"/>
    <w:rsid w:val="003D00D5"/>
    <w:rsid w:val="003D0A29"/>
    <w:rsid w:val="003D0BC7"/>
    <w:rsid w:val="003D181D"/>
    <w:rsid w:val="003D20C4"/>
    <w:rsid w:val="003D4163"/>
    <w:rsid w:val="003D46D0"/>
    <w:rsid w:val="003D5661"/>
    <w:rsid w:val="003D792A"/>
    <w:rsid w:val="003E1087"/>
    <w:rsid w:val="003E2E98"/>
    <w:rsid w:val="003E4701"/>
    <w:rsid w:val="003E6079"/>
    <w:rsid w:val="003E6128"/>
    <w:rsid w:val="003E6679"/>
    <w:rsid w:val="003E6D0F"/>
    <w:rsid w:val="003E712E"/>
    <w:rsid w:val="003E7278"/>
    <w:rsid w:val="003F0DDA"/>
    <w:rsid w:val="003F140F"/>
    <w:rsid w:val="003F15DB"/>
    <w:rsid w:val="003F2702"/>
    <w:rsid w:val="003F2778"/>
    <w:rsid w:val="003F2959"/>
    <w:rsid w:val="003F36A4"/>
    <w:rsid w:val="003F4900"/>
    <w:rsid w:val="003F70CA"/>
    <w:rsid w:val="003F7823"/>
    <w:rsid w:val="00400E76"/>
    <w:rsid w:val="0040137F"/>
    <w:rsid w:val="00402179"/>
    <w:rsid w:val="0040278D"/>
    <w:rsid w:val="00403249"/>
    <w:rsid w:val="00406DC5"/>
    <w:rsid w:val="004078C8"/>
    <w:rsid w:val="004102DE"/>
    <w:rsid w:val="00410AB2"/>
    <w:rsid w:val="00411614"/>
    <w:rsid w:val="00412696"/>
    <w:rsid w:val="00412E24"/>
    <w:rsid w:val="004147B1"/>
    <w:rsid w:val="00416727"/>
    <w:rsid w:val="0042068A"/>
    <w:rsid w:val="0042267F"/>
    <w:rsid w:val="0042437A"/>
    <w:rsid w:val="00424992"/>
    <w:rsid w:val="00424E72"/>
    <w:rsid w:val="00425F0D"/>
    <w:rsid w:val="00426D7C"/>
    <w:rsid w:val="004272F9"/>
    <w:rsid w:val="00427621"/>
    <w:rsid w:val="004300ED"/>
    <w:rsid w:val="00431687"/>
    <w:rsid w:val="00432B72"/>
    <w:rsid w:val="00433016"/>
    <w:rsid w:val="004342F1"/>
    <w:rsid w:val="004349C0"/>
    <w:rsid w:val="00437702"/>
    <w:rsid w:val="00437909"/>
    <w:rsid w:val="004401B5"/>
    <w:rsid w:val="00440800"/>
    <w:rsid w:val="004413DD"/>
    <w:rsid w:val="00442393"/>
    <w:rsid w:val="004436D7"/>
    <w:rsid w:val="00443DCB"/>
    <w:rsid w:val="00443DEB"/>
    <w:rsid w:val="0044535B"/>
    <w:rsid w:val="00445FDA"/>
    <w:rsid w:val="004466B2"/>
    <w:rsid w:val="004473B2"/>
    <w:rsid w:val="00447F0D"/>
    <w:rsid w:val="00450A5F"/>
    <w:rsid w:val="00451514"/>
    <w:rsid w:val="00453BB4"/>
    <w:rsid w:val="00454B9D"/>
    <w:rsid w:val="00456317"/>
    <w:rsid w:val="00456348"/>
    <w:rsid w:val="004572A1"/>
    <w:rsid w:val="00457F74"/>
    <w:rsid w:val="00457FBC"/>
    <w:rsid w:val="004613B1"/>
    <w:rsid w:val="00461F2A"/>
    <w:rsid w:val="00462061"/>
    <w:rsid w:val="0046231E"/>
    <w:rsid w:val="0046340E"/>
    <w:rsid w:val="004635E2"/>
    <w:rsid w:val="00463B0F"/>
    <w:rsid w:val="00464CB6"/>
    <w:rsid w:val="0046532D"/>
    <w:rsid w:val="0046566E"/>
    <w:rsid w:val="004669D1"/>
    <w:rsid w:val="00470027"/>
    <w:rsid w:val="0047025A"/>
    <w:rsid w:val="00471B65"/>
    <w:rsid w:val="00472C41"/>
    <w:rsid w:val="00473115"/>
    <w:rsid w:val="004738D8"/>
    <w:rsid w:val="00473BD2"/>
    <w:rsid w:val="00474477"/>
    <w:rsid w:val="004745CE"/>
    <w:rsid w:val="004764CB"/>
    <w:rsid w:val="00476730"/>
    <w:rsid w:val="004769A5"/>
    <w:rsid w:val="004773A3"/>
    <w:rsid w:val="004773E6"/>
    <w:rsid w:val="00481A7B"/>
    <w:rsid w:val="00482DC9"/>
    <w:rsid w:val="0048386B"/>
    <w:rsid w:val="00483C14"/>
    <w:rsid w:val="004858CD"/>
    <w:rsid w:val="00485DB6"/>
    <w:rsid w:val="0048628A"/>
    <w:rsid w:val="0048658E"/>
    <w:rsid w:val="00490571"/>
    <w:rsid w:val="004911B6"/>
    <w:rsid w:val="00491C96"/>
    <w:rsid w:val="004923B6"/>
    <w:rsid w:val="00494294"/>
    <w:rsid w:val="00495611"/>
    <w:rsid w:val="004961DA"/>
    <w:rsid w:val="00496359"/>
    <w:rsid w:val="00497926"/>
    <w:rsid w:val="004A115C"/>
    <w:rsid w:val="004A134A"/>
    <w:rsid w:val="004A14BE"/>
    <w:rsid w:val="004A2BF5"/>
    <w:rsid w:val="004A3085"/>
    <w:rsid w:val="004A3C58"/>
    <w:rsid w:val="004A4178"/>
    <w:rsid w:val="004A4BD5"/>
    <w:rsid w:val="004A4CFD"/>
    <w:rsid w:val="004A677C"/>
    <w:rsid w:val="004A6C04"/>
    <w:rsid w:val="004B05A5"/>
    <w:rsid w:val="004B0EB6"/>
    <w:rsid w:val="004B176B"/>
    <w:rsid w:val="004B293C"/>
    <w:rsid w:val="004B3A2A"/>
    <w:rsid w:val="004B3D59"/>
    <w:rsid w:val="004B4561"/>
    <w:rsid w:val="004B50F8"/>
    <w:rsid w:val="004B58EA"/>
    <w:rsid w:val="004B73EF"/>
    <w:rsid w:val="004C09B4"/>
    <w:rsid w:val="004C20F2"/>
    <w:rsid w:val="004C251E"/>
    <w:rsid w:val="004C38EA"/>
    <w:rsid w:val="004C3F25"/>
    <w:rsid w:val="004C45F5"/>
    <w:rsid w:val="004C4E77"/>
    <w:rsid w:val="004C525E"/>
    <w:rsid w:val="004C5FCF"/>
    <w:rsid w:val="004C678A"/>
    <w:rsid w:val="004C6796"/>
    <w:rsid w:val="004C67E2"/>
    <w:rsid w:val="004C7263"/>
    <w:rsid w:val="004C7A27"/>
    <w:rsid w:val="004D0490"/>
    <w:rsid w:val="004D12F1"/>
    <w:rsid w:val="004D1805"/>
    <w:rsid w:val="004D1CB6"/>
    <w:rsid w:val="004D2229"/>
    <w:rsid w:val="004D257A"/>
    <w:rsid w:val="004D2676"/>
    <w:rsid w:val="004D3142"/>
    <w:rsid w:val="004D36A1"/>
    <w:rsid w:val="004D37D7"/>
    <w:rsid w:val="004D4509"/>
    <w:rsid w:val="004D52DD"/>
    <w:rsid w:val="004D5A36"/>
    <w:rsid w:val="004D68F8"/>
    <w:rsid w:val="004D6D19"/>
    <w:rsid w:val="004E11D8"/>
    <w:rsid w:val="004E69B3"/>
    <w:rsid w:val="004E6E3A"/>
    <w:rsid w:val="004F0C96"/>
    <w:rsid w:val="004F0F98"/>
    <w:rsid w:val="004F28A0"/>
    <w:rsid w:val="004F39A4"/>
    <w:rsid w:val="004F3A90"/>
    <w:rsid w:val="004F44C7"/>
    <w:rsid w:val="004F489F"/>
    <w:rsid w:val="004F4958"/>
    <w:rsid w:val="004F766F"/>
    <w:rsid w:val="004F785F"/>
    <w:rsid w:val="004F78B7"/>
    <w:rsid w:val="004F7944"/>
    <w:rsid w:val="00500224"/>
    <w:rsid w:val="00500A07"/>
    <w:rsid w:val="00501B93"/>
    <w:rsid w:val="005041C2"/>
    <w:rsid w:val="00505CA0"/>
    <w:rsid w:val="00507043"/>
    <w:rsid w:val="00507C08"/>
    <w:rsid w:val="00507D18"/>
    <w:rsid w:val="0051016E"/>
    <w:rsid w:val="00511A30"/>
    <w:rsid w:val="00512F22"/>
    <w:rsid w:val="005140E4"/>
    <w:rsid w:val="00514343"/>
    <w:rsid w:val="00514426"/>
    <w:rsid w:val="00515DEC"/>
    <w:rsid w:val="00516603"/>
    <w:rsid w:val="005166F9"/>
    <w:rsid w:val="005167B1"/>
    <w:rsid w:val="00517A46"/>
    <w:rsid w:val="00517D20"/>
    <w:rsid w:val="00520763"/>
    <w:rsid w:val="005215EE"/>
    <w:rsid w:val="00521F15"/>
    <w:rsid w:val="00522599"/>
    <w:rsid w:val="00522F5F"/>
    <w:rsid w:val="005237CA"/>
    <w:rsid w:val="005248B9"/>
    <w:rsid w:val="00525348"/>
    <w:rsid w:val="005255D3"/>
    <w:rsid w:val="00525C4F"/>
    <w:rsid w:val="00526446"/>
    <w:rsid w:val="005272EC"/>
    <w:rsid w:val="00527495"/>
    <w:rsid w:val="00527E7A"/>
    <w:rsid w:val="00531594"/>
    <w:rsid w:val="005346D3"/>
    <w:rsid w:val="00537E2C"/>
    <w:rsid w:val="00540208"/>
    <w:rsid w:val="00542797"/>
    <w:rsid w:val="00542B3A"/>
    <w:rsid w:val="00544ADC"/>
    <w:rsid w:val="00544B9C"/>
    <w:rsid w:val="00544E13"/>
    <w:rsid w:val="00544EC9"/>
    <w:rsid w:val="00545889"/>
    <w:rsid w:val="00546FBD"/>
    <w:rsid w:val="0055070A"/>
    <w:rsid w:val="0055159A"/>
    <w:rsid w:val="005516E0"/>
    <w:rsid w:val="00551A9B"/>
    <w:rsid w:val="005520BF"/>
    <w:rsid w:val="00552213"/>
    <w:rsid w:val="005526F4"/>
    <w:rsid w:val="0055544F"/>
    <w:rsid w:val="00556B04"/>
    <w:rsid w:val="00556F72"/>
    <w:rsid w:val="00556F82"/>
    <w:rsid w:val="00560C00"/>
    <w:rsid w:val="00561ED1"/>
    <w:rsid w:val="00562B0A"/>
    <w:rsid w:val="00562CCE"/>
    <w:rsid w:val="00563FC3"/>
    <w:rsid w:val="00564C9F"/>
    <w:rsid w:val="00565210"/>
    <w:rsid w:val="0056555A"/>
    <w:rsid w:val="005669D6"/>
    <w:rsid w:val="0056788F"/>
    <w:rsid w:val="00567998"/>
    <w:rsid w:val="00573BC6"/>
    <w:rsid w:val="005759CD"/>
    <w:rsid w:val="00575D39"/>
    <w:rsid w:val="00575F2C"/>
    <w:rsid w:val="00577884"/>
    <w:rsid w:val="00581C0F"/>
    <w:rsid w:val="00582919"/>
    <w:rsid w:val="00583D94"/>
    <w:rsid w:val="005849B2"/>
    <w:rsid w:val="00585172"/>
    <w:rsid w:val="00587366"/>
    <w:rsid w:val="0058757A"/>
    <w:rsid w:val="00590037"/>
    <w:rsid w:val="00590892"/>
    <w:rsid w:val="005930F8"/>
    <w:rsid w:val="00593476"/>
    <w:rsid w:val="005937BC"/>
    <w:rsid w:val="00594C52"/>
    <w:rsid w:val="00595511"/>
    <w:rsid w:val="00596514"/>
    <w:rsid w:val="0059679B"/>
    <w:rsid w:val="00597456"/>
    <w:rsid w:val="00597651"/>
    <w:rsid w:val="00597B44"/>
    <w:rsid w:val="00597D18"/>
    <w:rsid w:val="005A179D"/>
    <w:rsid w:val="005A1FAB"/>
    <w:rsid w:val="005A228F"/>
    <w:rsid w:val="005A2A65"/>
    <w:rsid w:val="005A2F65"/>
    <w:rsid w:val="005A3513"/>
    <w:rsid w:val="005A3581"/>
    <w:rsid w:val="005A3BD7"/>
    <w:rsid w:val="005A60E1"/>
    <w:rsid w:val="005A6447"/>
    <w:rsid w:val="005A6788"/>
    <w:rsid w:val="005A786F"/>
    <w:rsid w:val="005B169C"/>
    <w:rsid w:val="005B2DD1"/>
    <w:rsid w:val="005B3A49"/>
    <w:rsid w:val="005B6ADF"/>
    <w:rsid w:val="005B773D"/>
    <w:rsid w:val="005B7C5D"/>
    <w:rsid w:val="005C02B5"/>
    <w:rsid w:val="005C0821"/>
    <w:rsid w:val="005C1A74"/>
    <w:rsid w:val="005C3294"/>
    <w:rsid w:val="005C347F"/>
    <w:rsid w:val="005C3B63"/>
    <w:rsid w:val="005C450C"/>
    <w:rsid w:val="005C6961"/>
    <w:rsid w:val="005C6F55"/>
    <w:rsid w:val="005C7F3D"/>
    <w:rsid w:val="005D0EB4"/>
    <w:rsid w:val="005D18A6"/>
    <w:rsid w:val="005D27DD"/>
    <w:rsid w:val="005D3493"/>
    <w:rsid w:val="005D622E"/>
    <w:rsid w:val="005D6617"/>
    <w:rsid w:val="005D6FF0"/>
    <w:rsid w:val="005E0AAF"/>
    <w:rsid w:val="005E11D5"/>
    <w:rsid w:val="005E34D4"/>
    <w:rsid w:val="005E3716"/>
    <w:rsid w:val="005E3AE2"/>
    <w:rsid w:val="005E3FDE"/>
    <w:rsid w:val="005E55F2"/>
    <w:rsid w:val="005E68FC"/>
    <w:rsid w:val="005E7271"/>
    <w:rsid w:val="005E7CC9"/>
    <w:rsid w:val="005F0007"/>
    <w:rsid w:val="005F0E6C"/>
    <w:rsid w:val="005F1362"/>
    <w:rsid w:val="005F1BAD"/>
    <w:rsid w:val="005F3E8E"/>
    <w:rsid w:val="005F487C"/>
    <w:rsid w:val="005F53A4"/>
    <w:rsid w:val="005F5FE1"/>
    <w:rsid w:val="005F62B2"/>
    <w:rsid w:val="005F715E"/>
    <w:rsid w:val="006010DA"/>
    <w:rsid w:val="006017AB"/>
    <w:rsid w:val="006024BB"/>
    <w:rsid w:val="00604AC3"/>
    <w:rsid w:val="00605865"/>
    <w:rsid w:val="00611DC1"/>
    <w:rsid w:val="00613655"/>
    <w:rsid w:val="006144EE"/>
    <w:rsid w:val="00614A9B"/>
    <w:rsid w:val="006167AB"/>
    <w:rsid w:val="00617125"/>
    <w:rsid w:val="00617813"/>
    <w:rsid w:val="006206CC"/>
    <w:rsid w:val="00622B06"/>
    <w:rsid w:val="00624425"/>
    <w:rsid w:val="00624A5E"/>
    <w:rsid w:val="00624D4A"/>
    <w:rsid w:val="0062518A"/>
    <w:rsid w:val="006257C2"/>
    <w:rsid w:val="00627163"/>
    <w:rsid w:val="0063034E"/>
    <w:rsid w:val="00633663"/>
    <w:rsid w:val="00634476"/>
    <w:rsid w:val="00635062"/>
    <w:rsid w:val="00637475"/>
    <w:rsid w:val="006403BE"/>
    <w:rsid w:val="00642CAB"/>
    <w:rsid w:val="0064393B"/>
    <w:rsid w:val="006439A1"/>
    <w:rsid w:val="00644375"/>
    <w:rsid w:val="00644A5C"/>
    <w:rsid w:val="006458C0"/>
    <w:rsid w:val="00646A08"/>
    <w:rsid w:val="0064716C"/>
    <w:rsid w:val="00650392"/>
    <w:rsid w:val="0065061D"/>
    <w:rsid w:val="00651701"/>
    <w:rsid w:val="00655146"/>
    <w:rsid w:val="0065715E"/>
    <w:rsid w:val="00657670"/>
    <w:rsid w:val="00657DBF"/>
    <w:rsid w:val="00657DE0"/>
    <w:rsid w:val="00662C69"/>
    <w:rsid w:val="006633C0"/>
    <w:rsid w:val="00663470"/>
    <w:rsid w:val="00663CC7"/>
    <w:rsid w:val="0066458B"/>
    <w:rsid w:val="00664805"/>
    <w:rsid w:val="00664FB5"/>
    <w:rsid w:val="006674A0"/>
    <w:rsid w:val="00667F62"/>
    <w:rsid w:val="006718FB"/>
    <w:rsid w:val="006720F3"/>
    <w:rsid w:val="00672744"/>
    <w:rsid w:val="00673695"/>
    <w:rsid w:val="00673DB5"/>
    <w:rsid w:val="00674701"/>
    <w:rsid w:val="00674A46"/>
    <w:rsid w:val="006752B0"/>
    <w:rsid w:val="00675A65"/>
    <w:rsid w:val="00675F80"/>
    <w:rsid w:val="00676959"/>
    <w:rsid w:val="00676C6B"/>
    <w:rsid w:val="00677358"/>
    <w:rsid w:val="00680F25"/>
    <w:rsid w:val="00682100"/>
    <w:rsid w:val="00682297"/>
    <w:rsid w:val="006842C0"/>
    <w:rsid w:val="00685689"/>
    <w:rsid w:val="0068594B"/>
    <w:rsid w:val="00686B04"/>
    <w:rsid w:val="00687CAD"/>
    <w:rsid w:val="006901FA"/>
    <w:rsid w:val="006904D3"/>
    <w:rsid w:val="006906D8"/>
    <w:rsid w:val="00690ED0"/>
    <w:rsid w:val="00691BAD"/>
    <w:rsid w:val="00692D5E"/>
    <w:rsid w:val="00693427"/>
    <w:rsid w:val="00693FA4"/>
    <w:rsid w:val="00694C00"/>
    <w:rsid w:val="006958A7"/>
    <w:rsid w:val="00695F94"/>
    <w:rsid w:val="006964F5"/>
    <w:rsid w:val="00696EF8"/>
    <w:rsid w:val="00697159"/>
    <w:rsid w:val="00697365"/>
    <w:rsid w:val="006A1047"/>
    <w:rsid w:val="006A11C8"/>
    <w:rsid w:val="006A19EF"/>
    <w:rsid w:val="006A2CF3"/>
    <w:rsid w:val="006A2D34"/>
    <w:rsid w:val="006A2EDE"/>
    <w:rsid w:val="006A2EFB"/>
    <w:rsid w:val="006A32B6"/>
    <w:rsid w:val="006A3D7A"/>
    <w:rsid w:val="006A5374"/>
    <w:rsid w:val="006A79C3"/>
    <w:rsid w:val="006B004E"/>
    <w:rsid w:val="006B0170"/>
    <w:rsid w:val="006B0198"/>
    <w:rsid w:val="006B12E8"/>
    <w:rsid w:val="006B1C19"/>
    <w:rsid w:val="006B31D1"/>
    <w:rsid w:val="006B31E7"/>
    <w:rsid w:val="006B4CA9"/>
    <w:rsid w:val="006B4D86"/>
    <w:rsid w:val="006B65D4"/>
    <w:rsid w:val="006B6ECB"/>
    <w:rsid w:val="006B7A58"/>
    <w:rsid w:val="006C26B3"/>
    <w:rsid w:val="006C2FEE"/>
    <w:rsid w:val="006C3314"/>
    <w:rsid w:val="006C50B1"/>
    <w:rsid w:val="006C50C2"/>
    <w:rsid w:val="006C563A"/>
    <w:rsid w:val="006C6C8C"/>
    <w:rsid w:val="006C6E1A"/>
    <w:rsid w:val="006C7657"/>
    <w:rsid w:val="006D24C4"/>
    <w:rsid w:val="006D27EF"/>
    <w:rsid w:val="006D425C"/>
    <w:rsid w:val="006D52D1"/>
    <w:rsid w:val="006D77A2"/>
    <w:rsid w:val="006E013D"/>
    <w:rsid w:val="006E1056"/>
    <w:rsid w:val="006E3A2A"/>
    <w:rsid w:val="006E3C4C"/>
    <w:rsid w:val="006E4BD4"/>
    <w:rsid w:val="006E4E2A"/>
    <w:rsid w:val="006E5950"/>
    <w:rsid w:val="006E6B65"/>
    <w:rsid w:val="006E6C14"/>
    <w:rsid w:val="006E7CC5"/>
    <w:rsid w:val="006F1E31"/>
    <w:rsid w:val="006F2C12"/>
    <w:rsid w:val="006F2F92"/>
    <w:rsid w:val="006F3266"/>
    <w:rsid w:val="006F500E"/>
    <w:rsid w:val="006F51AA"/>
    <w:rsid w:val="006F69E5"/>
    <w:rsid w:val="00700B9B"/>
    <w:rsid w:val="007050B1"/>
    <w:rsid w:val="00705527"/>
    <w:rsid w:val="00707096"/>
    <w:rsid w:val="007127BB"/>
    <w:rsid w:val="007136BC"/>
    <w:rsid w:val="00714576"/>
    <w:rsid w:val="00714FEC"/>
    <w:rsid w:val="0071522B"/>
    <w:rsid w:val="00715A04"/>
    <w:rsid w:val="00715B7D"/>
    <w:rsid w:val="00721335"/>
    <w:rsid w:val="00721924"/>
    <w:rsid w:val="00721F66"/>
    <w:rsid w:val="00722B93"/>
    <w:rsid w:val="0072445A"/>
    <w:rsid w:val="00731F1F"/>
    <w:rsid w:val="0073324B"/>
    <w:rsid w:val="007337E6"/>
    <w:rsid w:val="00735A75"/>
    <w:rsid w:val="007365AD"/>
    <w:rsid w:val="00740BA4"/>
    <w:rsid w:val="00742486"/>
    <w:rsid w:val="00742B1A"/>
    <w:rsid w:val="0074433B"/>
    <w:rsid w:val="007446C2"/>
    <w:rsid w:val="0074573F"/>
    <w:rsid w:val="0074628D"/>
    <w:rsid w:val="007473D2"/>
    <w:rsid w:val="007479C2"/>
    <w:rsid w:val="00750A80"/>
    <w:rsid w:val="00751061"/>
    <w:rsid w:val="0075151E"/>
    <w:rsid w:val="007517A8"/>
    <w:rsid w:val="0075265E"/>
    <w:rsid w:val="0075287E"/>
    <w:rsid w:val="0075440D"/>
    <w:rsid w:val="00754EF8"/>
    <w:rsid w:val="00755364"/>
    <w:rsid w:val="00755369"/>
    <w:rsid w:val="0075604A"/>
    <w:rsid w:val="00756175"/>
    <w:rsid w:val="0075650E"/>
    <w:rsid w:val="00757995"/>
    <w:rsid w:val="00760BAE"/>
    <w:rsid w:val="00762511"/>
    <w:rsid w:val="00762697"/>
    <w:rsid w:val="007644E6"/>
    <w:rsid w:val="007652EA"/>
    <w:rsid w:val="00766CDD"/>
    <w:rsid w:val="007674F3"/>
    <w:rsid w:val="00767CD2"/>
    <w:rsid w:val="00770859"/>
    <w:rsid w:val="007731B5"/>
    <w:rsid w:val="00773890"/>
    <w:rsid w:val="00774663"/>
    <w:rsid w:val="00774A5F"/>
    <w:rsid w:val="00774DFD"/>
    <w:rsid w:val="007753FA"/>
    <w:rsid w:val="0077544D"/>
    <w:rsid w:val="00775D67"/>
    <w:rsid w:val="00776C78"/>
    <w:rsid w:val="0078079A"/>
    <w:rsid w:val="0078249C"/>
    <w:rsid w:val="00783CCF"/>
    <w:rsid w:val="00784AA0"/>
    <w:rsid w:val="00784F3D"/>
    <w:rsid w:val="00785321"/>
    <w:rsid w:val="00785CAB"/>
    <w:rsid w:val="00785E63"/>
    <w:rsid w:val="007860B9"/>
    <w:rsid w:val="00786DD5"/>
    <w:rsid w:val="00787184"/>
    <w:rsid w:val="007909AE"/>
    <w:rsid w:val="007914E4"/>
    <w:rsid w:val="00791E58"/>
    <w:rsid w:val="0079388C"/>
    <w:rsid w:val="0079427C"/>
    <w:rsid w:val="00794C2B"/>
    <w:rsid w:val="007A0692"/>
    <w:rsid w:val="007A082B"/>
    <w:rsid w:val="007A0A0E"/>
    <w:rsid w:val="007A1303"/>
    <w:rsid w:val="007A2C90"/>
    <w:rsid w:val="007A3A6F"/>
    <w:rsid w:val="007A4419"/>
    <w:rsid w:val="007A65E0"/>
    <w:rsid w:val="007A70B9"/>
    <w:rsid w:val="007A729D"/>
    <w:rsid w:val="007A7602"/>
    <w:rsid w:val="007A7A58"/>
    <w:rsid w:val="007A7E06"/>
    <w:rsid w:val="007B02B9"/>
    <w:rsid w:val="007B1AED"/>
    <w:rsid w:val="007B233D"/>
    <w:rsid w:val="007B2587"/>
    <w:rsid w:val="007B26B2"/>
    <w:rsid w:val="007B30F3"/>
    <w:rsid w:val="007B3C14"/>
    <w:rsid w:val="007B47A2"/>
    <w:rsid w:val="007B53DB"/>
    <w:rsid w:val="007B5AF0"/>
    <w:rsid w:val="007B6317"/>
    <w:rsid w:val="007B694D"/>
    <w:rsid w:val="007B79A9"/>
    <w:rsid w:val="007C0013"/>
    <w:rsid w:val="007C099C"/>
    <w:rsid w:val="007C0CBC"/>
    <w:rsid w:val="007C255D"/>
    <w:rsid w:val="007C37D2"/>
    <w:rsid w:val="007C3985"/>
    <w:rsid w:val="007C6110"/>
    <w:rsid w:val="007C6AE2"/>
    <w:rsid w:val="007C7154"/>
    <w:rsid w:val="007D0C01"/>
    <w:rsid w:val="007D0F28"/>
    <w:rsid w:val="007D26D2"/>
    <w:rsid w:val="007D3FBD"/>
    <w:rsid w:val="007D49A0"/>
    <w:rsid w:val="007D7EF3"/>
    <w:rsid w:val="007E0553"/>
    <w:rsid w:val="007E0C40"/>
    <w:rsid w:val="007E5125"/>
    <w:rsid w:val="007E5DB4"/>
    <w:rsid w:val="007E6334"/>
    <w:rsid w:val="007E64B6"/>
    <w:rsid w:val="007E6DA4"/>
    <w:rsid w:val="007E72DF"/>
    <w:rsid w:val="007F0617"/>
    <w:rsid w:val="007F0E48"/>
    <w:rsid w:val="007F313E"/>
    <w:rsid w:val="007F372C"/>
    <w:rsid w:val="007F3993"/>
    <w:rsid w:val="007F3A5A"/>
    <w:rsid w:val="007F5AD6"/>
    <w:rsid w:val="007F6F57"/>
    <w:rsid w:val="007F729E"/>
    <w:rsid w:val="00800BEA"/>
    <w:rsid w:val="00800E69"/>
    <w:rsid w:val="00800EFF"/>
    <w:rsid w:val="00802BFE"/>
    <w:rsid w:val="00802D9A"/>
    <w:rsid w:val="00803827"/>
    <w:rsid w:val="0080391F"/>
    <w:rsid w:val="008039C2"/>
    <w:rsid w:val="008046E4"/>
    <w:rsid w:val="00804992"/>
    <w:rsid w:val="008055FF"/>
    <w:rsid w:val="00806782"/>
    <w:rsid w:val="00810302"/>
    <w:rsid w:val="00810F94"/>
    <w:rsid w:val="008118AF"/>
    <w:rsid w:val="00812B45"/>
    <w:rsid w:val="00814A17"/>
    <w:rsid w:val="00815FE6"/>
    <w:rsid w:val="008167F5"/>
    <w:rsid w:val="0081794B"/>
    <w:rsid w:val="00817D8E"/>
    <w:rsid w:val="008200A3"/>
    <w:rsid w:val="00820BF2"/>
    <w:rsid w:val="00824C4E"/>
    <w:rsid w:val="00826125"/>
    <w:rsid w:val="00826F38"/>
    <w:rsid w:val="00830D70"/>
    <w:rsid w:val="00831969"/>
    <w:rsid w:val="00833E4C"/>
    <w:rsid w:val="00834316"/>
    <w:rsid w:val="00836224"/>
    <w:rsid w:val="008374E9"/>
    <w:rsid w:val="008376CD"/>
    <w:rsid w:val="00837BE4"/>
    <w:rsid w:val="00840559"/>
    <w:rsid w:val="00843153"/>
    <w:rsid w:val="008433C1"/>
    <w:rsid w:val="00843908"/>
    <w:rsid w:val="008443E1"/>
    <w:rsid w:val="00845D12"/>
    <w:rsid w:val="00846713"/>
    <w:rsid w:val="00846D48"/>
    <w:rsid w:val="008473FA"/>
    <w:rsid w:val="00847830"/>
    <w:rsid w:val="00851A81"/>
    <w:rsid w:val="00851F4C"/>
    <w:rsid w:val="0085224B"/>
    <w:rsid w:val="008523BA"/>
    <w:rsid w:val="00852B26"/>
    <w:rsid w:val="0085480B"/>
    <w:rsid w:val="00855985"/>
    <w:rsid w:val="008560F4"/>
    <w:rsid w:val="0085670F"/>
    <w:rsid w:val="008568B1"/>
    <w:rsid w:val="008570EB"/>
    <w:rsid w:val="00860A1E"/>
    <w:rsid w:val="00861622"/>
    <w:rsid w:val="00863125"/>
    <w:rsid w:val="0086416C"/>
    <w:rsid w:val="008662C0"/>
    <w:rsid w:val="008705E1"/>
    <w:rsid w:val="00870A63"/>
    <w:rsid w:val="0087153F"/>
    <w:rsid w:val="00872938"/>
    <w:rsid w:val="00873ABF"/>
    <w:rsid w:val="0087459A"/>
    <w:rsid w:val="00875167"/>
    <w:rsid w:val="00875DF8"/>
    <w:rsid w:val="008764FB"/>
    <w:rsid w:val="008765E3"/>
    <w:rsid w:val="00876DCE"/>
    <w:rsid w:val="00876FBF"/>
    <w:rsid w:val="00880F33"/>
    <w:rsid w:val="00881572"/>
    <w:rsid w:val="00882584"/>
    <w:rsid w:val="00882E82"/>
    <w:rsid w:val="00882FEA"/>
    <w:rsid w:val="0088320F"/>
    <w:rsid w:val="00883450"/>
    <w:rsid w:val="0088398C"/>
    <w:rsid w:val="00885A71"/>
    <w:rsid w:val="00885C6E"/>
    <w:rsid w:val="00886AF2"/>
    <w:rsid w:val="0088743F"/>
    <w:rsid w:val="0089067B"/>
    <w:rsid w:val="00890700"/>
    <w:rsid w:val="00892AB9"/>
    <w:rsid w:val="00893857"/>
    <w:rsid w:val="0089412A"/>
    <w:rsid w:val="00895335"/>
    <w:rsid w:val="00895536"/>
    <w:rsid w:val="008965EF"/>
    <w:rsid w:val="00896AD4"/>
    <w:rsid w:val="00897752"/>
    <w:rsid w:val="008A2811"/>
    <w:rsid w:val="008A3797"/>
    <w:rsid w:val="008A3FC8"/>
    <w:rsid w:val="008A52F3"/>
    <w:rsid w:val="008A5456"/>
    <w:rsid w:val="008A7536"/>
    <w:rsid w:val="008A7F7D"/>
    <w:rsid w:val="008B1A5A"/>
    <w:rsid w:val="008B382F"/>
    <w:rsid w:val="008B38BC"/>
    <w:rsid w:val="008B4590"/>
    <w:rsid w:val="008B5AB4"/>
    <w:rsid w:val="008B66A6"/>
    <w:rsid w:val="008B6849"/>
    <w:rsid w:val="008B7FFE"/>
    <w:rsid w:val="008C0446"/>
    <w:rsid w:val="008C2B3C"/>
    <w:rsid w:val="008C41A7"/>
    <w:rsid w:val="008C6F34"/>
    <w:rsid w:val="008C7108"/>
    <w:rsid w:val="008C75C8"/>
    <w:rsid w:val="008D02A3"/>
    <w:rsid w:val="008D22D8"/>
    <w:rsid w:val="008D2542"/>
    <w:rsid w:val="008D259C"/>
    <w:rsid w:val="008D2BCD"/>
    <w:rsid w:val="008D406E"/>
    <w:rsid w:val="008D4E99"/>
    <w:rsid w:val="008D5066"/>
    <w:rsid w:val="008D5A97"/>
    <w:rsid w:val="008D6697"/>
    <w:rsid w:val="008D728C"/>
    <w:rsid w:val="008E0674"/>
    <w:rsid w:val="008E11CC"/>
    <w:rsid w:val="008E1B8F"/>
    <w:rsid w:val="008E2B17"/>
    <w:rsid w:val="008E3E12"/>
    <w:rsid w:val="008E4DCD"/>
    <w:rsid w:val="008E5767"/>
    <w:rsid w:val="008E580D"/>
    <w:rsid w:val="008F12E6"/>
    <w:rsid w:val="008F1558"/>
    <w:rsid w:val="008F2B44"/>
    <w:rsid w:val="008F57FB"/>
    <w:rsid w:val="008F5927"/>
    <w:rsid w:val="008F5F96"/>
    <w:rsid w:val="008F7273"/>
    <w:rsid w:val="008F7752"/>
    <w:rsid w:val="0090174A"/>
    <w:rsid w:val="00902E52"/>
    <w:rsid w:val="009036B3"/>
    <w:rsid w:val="009044AE"/>
    <w:rsid w:val="0090620F"/>
    <w:rsid w:val="009071FE"/>
    <w:rsid w:val="00907761"/>
    <w:rsid w:val="00907A46"/>
    <w:rsid w:val="00910076"/>
    <w:rsid w:val="0091242A"/>
    <w:rsid w:val="00912E53"/>
    <w:rsid w:val="0091395C"/>
    <w:rsid w:val="00913AA4"/>
    <w:rsid w:val="00915778"/>
    <w:rsid w:val="009164DD"/>
    <w:rsid w:val="009210C9"/>
    <w:rsid w:val="00921371"/>
    <w:rsid w:val="00921DA5"/>
    <w:rsid w:val="00923E6F"/>
    <w:rsid w:val="00925C68"/>
    <w:rsid w:val="009315B0"/>
    <w:rsid w:val="009316E9"/>
    <w:rsid w:val="00931C93"/>
    <w:rsid w:val="00931EE2"/>
    <w:rsid w:val="00931FD8"/>
    <w:rsid w:val="0093282F"/>
    <w:rsid w:val="0093416D"/>
    <w:rsid w:val="0093652D"/>
    <w:rsid w:val="00937309"/>
    <w:rsid w:val="00937D66"/>
    <w:rsid w:val="0094065A"/>
    <w:rsid w:val="00940FE2"/>
    <w:rsid w:val="00943E62"/>
    <w:rsid w:val="00945A61"/>
    <w:rsid w:val="00950154"/>
    <w:rsid w:val="00950C6E"/>
    <w:rsid w:val="00951ECA"/>
    <w:rsid w:val="00953054"/>
    <w:rsid w:val="009531D6"/>
    <w:rsid w:val="00953610"/>
    <w:rsid w:val="0095382C"/>
    <w:rsid w:val="00953B03"/>
    <w:rsid w:val="009548C1"/>
    <w:rsid w:val="00956219"/>
    <w:rsid w:val="009563A5"/>
    <w:rsid w:val="00956868"/>
    <w:rsid w:val="009572EE"/>
    <w:rsid w:val="0095765F"/>
    <w:rsid w:val="009606E6"/>
    <w:rsid w:val="009609D2"/>
    <w:rsid w:val="00960CFA"/>
    <w:rsid w:val="0096234B"/>
    <w:rsid w:val="00962F40"/>
    <w:rsid w:val="00963968"/>
    <w:rsid w:val="009670E9"/>
    <w:rsid w:val="00970461"/>
    <w:rsid w:val="00970F70"/>
    <w:rsid w:val="00971056"/>
    <w:rsid w:val="0097210F"/>
    <w:rsid w:val="0097252B"/>
    <w:rsid w:val="00972668"/>
    <w:rsid w:val="009727B4"/>
    <w:rsid w:val="00972C36"/>
    <w:rsid w:val="00972DF8"/>
    <w:rsid w:val="009750AA"/>
    <w:rsid w:val="00977D37"/>
    <w:rsid w:val="009813EA"/>
    <w:rsid w:val="009830D3"/>
    <w:rsid w:val="00983B8F"/>
    <w:rsid w:val="0098595E"/>
    <w:rsid w:val="00986073"/>
    <w:rsid w:val="00990EE2"/>
    <w:rsid w:val="009916D2"/>
    <w:rsid w:val="009917E9"/>
    <w:rsid w:val="009918B7"/>
    <w:rsid w:val="009918C6"/>
    <w:rsid w:val="0099229C"/>
    <w:rsid w:val="00994E5F"/>
    <w:rsid w:val="009959DB"/>
    <w:rsid w:val="00995C9F"/>
    <w:rsid w:val="0099752D"/>
    <w:rsid w:val="00997C2A"/>
    <w:rsid w:val="009A0358"/>
    <w:rsid w:val="009A0461"/>
    <w:rsid w:val="009A0E2A"/>
    <w:rsid w:val="009A28A2"/>
    <w:rsid w:val="009A2A08"/>
    <w:rsid w:val="009A5191"/>
    <w:rsid w:val="009A593A"/>
    <w:rsid w:val="009A5FBB"/>
    <w:rsid w:val="009B0F5C"/>
    <w:rsid w:val="009B11D6"/>
    <w:rsid w:val="009B1EE5"/>
    <w:rsid w:val="009B2EE9"/>
    <w:rsid w:val="009B3771"/>
    <w:rsid w:val="009B4864"/>
    <w:rsid w:val="009B5504"/>
    <w:rsid w:val="009B5D1A"/>
    <w:rsid w:val="009B5DE8"/>
    <w:rsid w:val="009B649B"/>
    <w:rsid w:val="009B6F16"/>
    <w:rsid w:val="009C0940"/>
    <w:rsid w:val="009C0950"/>
    <w:rsid w:val="009C1D99"/>
    <w:rsid w:val="009C1F8B"/>
    <w:rsid w:val="009C20A8"/>
    <w:rsid w:val="009C5057"/>
    <w:rsid w:val="009D1378"/>
    <w:rsid w:val="009D1525"/>
    <w:rsid w:val="009D1780"/>
    <w:rsid w:val="009D2384"/>
    <w:rsid w:val="009D2F7F"/>
    <w:rsid w:val="009D3240"/>
    <w:rsid w:val="009D3804"/>
    <w:rsid w:val="009D3A6E"/>
    <w:rsid w:val="009D61D9"/>
    <w:rsid w:val="009D624D"/>
    <w:rsid w:val="009D6AD5"/>
    <w:rsid w:val="009E0AB4"/>
    <w:rsid w:val="009E10C7"/>
    <w:rsid w:val="009E360A"/>
    <w:rsid w:val="009E38A4"/>
    <w:rsid w:val="009E3D82"/>
    <w:rsid w:val="009E3E98"/>
    <w:rsid w:val="009E4942"/>
    <w:rsid w:val="009E6E48"/>
    <w:rsid w:val="009F0B67"/>
    <w:rsid w:val="009F1566"/>
    <w:rsid w:val="009F1E4B"/>
    <w:rsid w:val="009F307E"/>
    <w:rsid w:val="009F37D5"/>
    <w:rsid w:val="009F3C81"/>
    <w:rsid w:val="009F4494"/>
    <w:rsid w:val="009F50DE"/>
    <w:rsid w:val="009F5F3E"/>
    <w:rsid w:val="009F6D34"/>
    <w:rsid w:val="009F74A2"/>
    <w:rsid w:val="009F7BB0"/>
    <w:rsid w:val="00A0179F"/>
    <w:rsid w:val="00A01B7D"/>
    <w:rsid w:val="00A036C5"/>
    <w:rsid w:val="00A03AD2"/>
    <w:rsid w:val="00A04A94"/>
    <w:rsid w:val="00A05DA0"/>
    <w:rsid w:val="00A073A0"/>
    <w:rsid w:val="00A07D84"/>
    <w:rsid w:val="00A10336"/>
    <w:rsid w:val="00A10CE2"/>
    <w:rsid w:val="00A13703"/>
    <w:rsid w:val="00A13811"/>
    <w:rsid w:val="00A15C42"/>
    <w:rsid w:val="00A16DF1"/>
    <w:rsid w:val="00A17302"/>
    <w:rsid w:val="00A17A17"/>
    <w:rsid w:val="00A20B1F"/>
    <w:rsid w:val="00A21050"/>
    <w:rsid w:val="00A225BF"/>
    <w:rsid w:val="00A235D0"/>
    <w:rsid w:val="00A24131"/>
    <w:rsid w:val="00A25320"/>
    <w:rsid w:val="00A25CB8"/>
    <w:rsid w:val="00A27A7F"/>
    <w:rsid w:val="00A27D6E"/>
    <w:rsid w:val="00A3276A"/>
    <w:rsid w:val="00A32883"/>
    <w:rsid w:val="00A346B7"/>
    <w:rsid w:val="00A349D2"/>
    <w:rsid w:val="00A34C05"/>
    <w:rsid w:val="00A35492"/>
    <w:rsid w:val="00A36F1A"/>
    <w:rsid w:val="00A4044E"/>
    <w:rsid w:val="00A42475"/>
    <w:rsid w:val="00A42869"/>
    <w:rsid w:val="00A4379F"/>
    <w:rsid w:val="00A4434D"/>
    <w:rsid w:val="00A45039"/>
    <w:rsid w:val="00A454E0"/>
    <w:rsid w:val="00A45546"/>
    <w:rsid w:val="00A4585A"/>
    <w:rsid w:val="00A459B3"/>
    <w:rsid w:val="00A459D6"/>
    <w:rsid w:val="00A45B12"/>
    <w:rsid w:val="00A462D5"/>
    <w:rsid w:val="00A4650A"/>
    <w:rsid w:val="00A46E79"/>
    <w:rsid w:val="00A46F7C"/>
    <w:rsid w:val="00A471A7"/>
    <w:rsid w:val="00A47279"/>
    <w:rsid w:val="00A50720"/>
    <w:rsid w:val="00A50922"/>
    <w:rsid w:val="00A50B8A"/>
    <w:rsid w:val="00A51F40"/>
    <w:rsid w:val="00A55D2B"/>
    <w:rsid w:val="00A572BC"/>
    <w:rsid w:val="00A57A82"/>
    <w:rsid w:val="00A60516"/>
    <w:rsid w:val="00A62B7B"/>
    <w:rsid w:val="00A654A2"/>
    <w:rsid w:val="00A66149"/>
    <w:rsid w:val="00A66AE9"/>
    <w:rsid w:val="00A67428"/>
    <w:rsid w:val="00A702D2"/>
    <w:rsid w:val="00A70CF3"/>
    <w:rsid w:val="00A7155E"/>
    <w:rsid w:val="00A74EDE"/>
    <w:rsid w:val="00A763AE"/>
    <w:rsid w:val="00A76619"/>
    <w:rsid w:val="00A766D5"/>
    <w:rsid w:val="00A76B0D"/>
    <w:rsid w:val="00A80223"/>
    <w:rsid w:val="00A816EE"/>
    <w:rsid w:val="00A81AB5"/>
    <w:rsid w:val="00A82724"/>
    <w:rsid w:val="00A82A2F"/>
    <w:rsid w:val="00A82C5A"/>
    <w:rsid w:val="00A83FF6"/>
    <w:rsid w:val="00A85CB7"/>
    <w:rsid w:val="00A8620F"/>
    <w:rsid w:val="00A8650D"/>
    <w:rsid w:val="00A8652F"/>
    <w:rsid w:val="00A86AAB"/>
    <w:rsid w:val="00A86D49"/>
    <w:rsid w:val="00A8769A"/>
    <w:rsid w:val="00A87B22"/>
    <w:rsid w:val="00A90FF4"/>
    <w:rsid w:val="00A91B67"/>
    <w:rsid w:val="00A92E9F"/>
    <w:rsid w:val="00A92EC0"/>
    <w:rsid w:val="00A92EED"/>
    <w:rsid w:val="00A9563B"/>
    <w:rsid w:val="00A975D5"/>
    <w:rsid w:val="00A9772B"/>
    <w:rsid w:val="00AA0660"/>
    <w:rsid w:val="00AA1409"/>
    <w:rsid w:val="00AA3875"/>
    <w:rsid w:val="00AA404A"/>
    <w:rsid w:val="00AA40DC"/>
    <w:rsid w:val="00AA6228"/>
    <w:rsid w:val="00AA69A4"/>
    <w:rsid w:val="00AB09DB"/>
    <w:rsid w:val="00AB1131"/>
    <w:rsid w:val="00AB133D"/>
    <w:rsid w:val="00AB1B91"/>
    <w:rsid w:val="00AB2744"/>
    <w:rsid w:val="00AB274F"/>
    <w:rsid w:val="00AB5F30"/>
    <w:rsid w:val="00AB61E4"/>
    <w:rsid w:val="00AB6BE3"/>
    <w:rsid w:val="00AB7AAA"/>
    <w:rsid w:val="00AC2197"/>
    <w:rsid w:val="00AC37C3"/>
    <w:rsid w:val="00AC3AA8"/>
    <w:rsid w:val="00AC3C7B"/>
    <w:rsid w:val="00AC3E65"/>
    <w:rsid w:val="00AC535B"/>
    <w:rsid w:val="00AC5607"/>
    <w:rsid w:val="00AC5F6A"/>
    <w:rsid w:val="00AD0B3C"/>
    <w:rsid w:val="00AD0FC3"/>
    <w:rsid w:val="00AD15D9"/>
    <w:rsid w:val="00AD1CC0"/>
    <w:rsid w:val="00AD22B5"/>
    <w:rsid w:val="00AD2718"/>
    <w:rsid w:val="00AD2871"/>
    <w:rsid w:val="00AD2CE9"/>
    <w:rsid w:val="00AD33D3"/>
    <w:rsid w:val="00AD366A"/>
    <w:rsid w:val="00AD3DB4"/>
    <w:rsid w:val="00AD5133"/>
    <w:rsid w:val="00AD5712"/>
    <w:rsid w:val="00AD6AC5"/>
    <w:rsid w:val="00AD76A1"/>
    <w:rsid w:val="00AE0699"/>
    <w:rsid w:val="00AE48E8"/>
    <w:rsid w:val="00AE7F20"/>
    <w:rsid w:val="00AF0E7C"/>
    <w:rsid w:val="00AF1F04"/>
    <w:rsid w:val="00AF31FE"/>
    <w:rsid w:val="00AF3B55"/>
    <w:rsid w:val="00AF3D59"/>
    <w:rsid w:val="00AF648D"/>
    <w:rsid w:val="00AF6794"/>
    <w:rsid w:val="00AF681D"/>
    <w:rsid w:val="00AF6F48"/>
    <w:rsid w:val="00AF717E"/>
    <w:rsid w:val="00B016F7"/>
    <w:rsid w:val="00B02BDD"/>
    <w:rsid w:val="00B03F1F"/>
    <w:rsid w:val="00B04E10"/>
    <w:rsid w:val="00B055B9"/>
    <w:rsid w:val="00B06140"/>
    <w:rsid w:val="00B13243"/>
    <w:rsid w:val="00B13511"/>
    <w:rsid w:val="00B13760"/>
    <w:rsid w:val="00B13D85"/>
    <w:rsid w:val="00B16296"/>
    <w:rsid w:val="00B16CC7"/>
    <w:rsid w:val="00B1786A"/>
    <w:rsid w:val="00B206D8"/>
    <w:rsid w:val="00B20C75"/>
    <w:rsid w:val="00B230E5"/>
    <w:rsid w:val="00B23E88"/>
    <w:rsid w:val="00B23EFA"/>
    <w:rsid w:val="00B267A4"/>
    <w:rsid w:val="00B26D36"/>
    <w:rsid w:val="00B27550"/>
    <w:rsid w:val="00B312C7"/>
    <w:rsid w:val="00B316B9"/>
    <w:rsid w:val="00B31E90"/>
    <w:rsid w:val="00B32E58"/>
    <w:rsid w:val="00B335A2"/>
    <w:rsid w:val="00B342D1"/>
    <w:rsid w:val="00B34371"/>
    <w:rsid w:val="00B357DD"/>
    <w:rsid w:val="00B3697F"/>
    <w:rsid w:val="00B36BEC"/>
    <w:rsid w:val="00B37104"/>
    <w:rsid w:val="00B406E3"/>
    <w:rsid w:val="00B41516"/>
    <w:rsid w:val="00B433EB"/>
    <w:rsid w:val="00B447D7"/>
    <w:rsid w:val="00B44F9F"/>
    <w:rsid w:val="00B451F7"/>
    <w:rsid w:val="00B452A3"/>
    <w:rsid w:val="00B4545E"/>
    <w:rsid w:val="00B47889"/>
    <w:rsid w:val="00B47D0D"/>
    <w:rsid w:val="00B52B7D"/>
    <w:rsid w:val="00B531D2"/>
    <w:rsid w:val="00B537D8"/>
    <w:rsid w:val="00B53CCA"/>
    <w:rsid w:val="00B54441"/>
    <w:rsid w:val="00B54A5F"/>
    <w:rsid w:val="00B560C2"/>
    <w:rsid w:val="00B56409"/>
    <w:rsid w:val="00B56F9B"/>
    <w:rsid w:val="00B64099"/>
    <w:rsid w:val="00B643D6"/>
    <w:rsid w:val="00B64919"/>
    <w:rsid w:val="00B667C6"/>
    <w:rsid w:val="00B66BC8"/>
    <w:rsid w:val="00B71F08"/>
    <w:rsid w:val="00B73838"/>
    <w:rsid w:val="00B7421A"/>
    <w:rsid w:val="00B74366"/>
    <w:rsid w:val="00B75F20"/>
    <w:rsid w:val="00B762FD"/>
    <w:rsid w:val="00B808A4"/>
    <w:rsid w:val="00B81371"/>
    <w:rsid w:val="00B818B8"/>
    <w:rsid w:val="00B81E78"/>
    <w:rsid w:val="00B836F0"/>
    <w:rsid w:val="00B83E2E"/>
    <w:rsid w:val="00B855AA"/>
    <w:rsid w:val="00B85DB5"/>
    <w:rsid w:val="00B8600A"/>
    <w:rsid w:val="00B8780A"/>
    <w:rsid w:val="00B902E7"/>
    <w:rsid w:val="00B90BCE"/>
    <w:rsid w:val="00B922D9"/>
    <w:rsid w:val="00B92605"/>
    <w:rsid w:val="00B926D6"/>
    <w:rsid w:val="00B93351"/>
    <w:rsid w:val="00B93CBA"/>
    <w:rsid w:val="00B945F2"/>
    <w:rsid w:val="00B95670"/>
    <w:rsid w:val="00B959FD"/>
    <w:rsid w:val="00B966BF"/>
    <w:rsid w:val="00B96A5B"/>
    <w:rsid w:val="00B974B4"/>
    <w:rsid w:val="00B976F3"/>
    <w:rsid w:val="00BA0012"/>
    <w:rsid w:val="00BA0458"/>
    <w:rsid w:val="00BA120A"/>
    <w:rsid w:val="00BA1798"/>
    <w:rsid w:val="00BA23A7"/>
    <w:rsid w:val="00BA3BB7"/>
    <w:rsid w:val="00BA4F66"/>
    <w:rsid w:val="00BA54A2"/>
    <w:rsid w:val="00BA6573"/>
    <w:rsid w:val="00BA65BE"/>
    <w:rsid w:val="00BA6D15"/>
    <w:rsid w:val="00BA7987"/>
    <w:rsid w:val="00BA7CFA"/>
    <w:rsid w:val="00BB1309"/>
    <w:rsid w:val="00BB2592"/>
    <w:rsid w:val="00BB3156"/>
    <w:rsid w:val="00BB5ADB"/>
    <w:rsid w:val="00BB5CA9"/>
    <w:rsid w:val="00BB6662"/>
    <w:rsid w:val="00BB7E0C"/>
    <w:rsid w:val="00BC0CE4"/>
    <w:rsid w:val="00BC22CD"/>
    <w:rsid w:val="00BC260A"/>
    <w:rsid w:val="00BC30BF"/>
    <w:rsid w:val="00BC3150"/>
    <w:rsid w:val="00BC3972"/>
    <w:rsid w:val="00BC4307"/>
    <w:rsid w:val="00BC4C44"/>
    <w:rsid w:val="00BC61B2"/>
    <w:rsid w:val="00BC7970"/>
    <w:rsid w:val="00BC7E69"/>
    <w:rsid w:val="00BD025A"/>
    <w:rsid w:val="00BD02D5"/>
    <w:rsid w:val="00BD0A1C"/>
    <w:rsid w:val="00BD0DA4"/>
    <w:rsid w:val="00BD1B67"/>
    <w:rsid w:val="00BD2E8E"/>
    <w:rsid w:val="00BD335B"/>
    <w:rsid w:val="00BD33B6"/>
    <w:rsid w:val="00BD3D7F"/>
    <w:rsid w:val="00BD4097"/>
    <w:rsid w:val="00BD4163"/>
    <w:rsid w:val="00BD4E41"/>
    <w:rsid w:val="00BD4F95"/>
    <w:rsid w:val="00BD517B"/>
    <w:rsid w:val="00BD650E"/>
    <w:rsid w:val="00BD6560"/>
    <w:rsid w:val="00BD687D"/>
    <w:rsid w:val="00BE00FA"/>
    <w:rsid w:val="00BE0C95"/>
    <w:rsid w:val="00BE2028"/>
    <w:rsid w:val="00BE213E"/>
    <w:rsid w:val="00BE293E"/>
    <w:rsid w:val="00BE31BD"/>
    <w:rsid w:val="00BE462E"/>
    <w:rsid w:val="00BE4E03"/>
    <w:rsid w:val="00BE545A"/>
    <w:rsid w:val="00BE57A2"/>
    <w:rsid w:val="00BE5E11"/>
    <w:rsid w:val="00BE6C95"/>
    <w:rsid w:val="00BE74FA"/>
    <w:rsid w:val="00BE7783"/>
    <w:rsid w:val="00BF0A54"/>
    <w:rsid w:val="00BF0F1C"/>
    <w:rsid w:val="00BF1278"/>
    <w:rsid w:val="00BF1B7F"/>
    <w:rsid w:val="00BF2346"/>
    <w:rsid w:val="00BF3B85"/>
    <w:rsid w:val="00BF485E"/>
    <w:rsid w:val="00BF6B5B"/>
    <w:rsid w:val="00BF6D83"/>
    <w:rsid w:val="00BF704D"/>
    <w:rsid w:val="00BF7365"/>
    <w:rsid w:val="00BF7824"/>
    <w:rsid w:val="00C020F8"/>
    <w:rsid w:val="00C02535"/>
    <w:rsid w:val="00C04666"/>
    <w:rsid w:val="00C04D22"/>
    <w:rsid w:val="00C04E74"/>
    <w:rsid w:val="00C06C02"/>
    <w:rsid w:val="00C101C2"/>
    <w:rsid w:val="00C11482"/>
    <w:rsid w:val="00C1254E"/>
    <w:rsid w:val="00C12E38"/>
    <w:rsid w:val="00C14CDF"/>
    <w:rsid w:val="00C150E0"/>
    <w:rsid w:val="00C150F6"/>
    <w:rsid w:val="00C15498"/>
    <w:rsid w:val="00C15F97"/>
    <w:rsid w:val="00C16762"/>
    <w:rsid w:val="00C17637"/>
    <w:rsid w:val="00C179FC"/>
    <w:rsid w:val="00C203F6"/>
    <w:rsid w:val="00C20EB1"/>
    <w:rsid w:val="00C2139F"/>
    <w:rsid w:val="00C24101"/>
    <w:rsid w:val="00C24FF3"/>
    <w:rsid w:val="00C2575E"/>
    <w:rsid w:val="00C26121"/>
    <w:rsid w:val="00C27ABF"/>
    <w:rsid w:val="00C3086E"/>
    <w:rsid w:val="00C309D0"/>
    <w:rsid w:val="00C315FB"/>
    <w:rsid w:val="00C31713"/>
    <w:rsid w:val="00C317BD"/>
    <w:rsid w:val="00C31E8F"/>
    <w:rsid w:val="00C33279"/>
    <w:rsid w:val="00C34B8F"/>
    <w:rsid w:val="00C35332"/>
    <w:rsid w:val="00C37421"/>
    <w:rsid w:val="00C40375"/>
    <w:rsid w:val="00C41015"/>
    <w:rsid w:val="00C41131"/>
    <w:rsid w:val="00C411C1"/>
    <w:rsid w:val="00C422BD"/>
    <w:rsid w:val="00C42ED3"/>
    <w:rsid w:val="00C43A3B"/>
    <w:rsid w:val="00C44847"/>
    <w:rsid w:val="00C45581"/>
    <w:rsid w:val="00C45BF0"/>
    <w:rsid w:val="00C46213"/>
    <w:rsid w:val="00C4712A"/>
    <w:rsid w:val="00C47468"/>
    <w:rsid w:val="00C47CDC"/>
    <w:rsid w:val="00C50A2B"/>
    <w:rsid w:val="00C51671"/>
    <w:rsid w:val="00C5280A"/>
    <w:rsid w:val="00C5401F"/>
    <w:rsid w:val="00C54922"/>
    <w:rsid w:val="00C55FE8"/>
    <w:rsid w:val="00C601EF"/>
    <w:rsid w:val="00C60AF2"/>
    <w:rsid w:val="00C6220B"/>
    <w:rsid w:val="00C62658"/>
    <w:rsid w:val="00C634D6"/>
    <w:rsid w:val="00C63CF2"/>
    <w:rsid w:val="00C6440A"/>
    <w:rsid w:val="00C648FC"/>
    <w:rsid w:val="00C663BE"/>
    <w:rsid w:val="00C70AB7"/>
    <w:rsid w:val="00C71858"/>
    <w:rsid w:val="00C71FE6"/>
    <w:rsid w:val="00C722C5"/>
    <w:rsid w:val="00C74346"/>
    <w:rsid w:val="00C744AE"/>
    <w:rsid w:val="00C74781"/>
    <w:rsid w:val="00C76B87"/>
    <w:rsid w:val="00C80034"/>
    <w:rsid w:val="00C828E8"/>
    <w:rsid w:val="00C83579"/>
    <w:rsid w:val="00C83EA7"/>
    <w:rsid w:val="00C83EF5"/>
    <w:rsid w:val="00C84559"/>
    <w:rsid w:val="00C84E31"/>
    <w:rsid w:val="00C85A48"/>
    <w:rsid w:val="00C862C4"/>
    <w:rsid w:val="00C86977"/>
    <w:rsid w:val="00C86B34"/>
    <w:rsid w:val="00C86FFF"/>
    <w:rsid w:val="00C871C7"/>
    <w:rsid w:val="00C91060"/>
    <w:rsid w:val="00C9187A"/>
    <w:rsid w:val="00C928FD"/>
    <w:rsid w:val="00C95593"/>
    <w:rsid w:val="00CA0640"/>
    <w:rsid w:val="00CA12DB"/>
    <w:rsid w:val="00CA2022"/>
    <w:rsid w:val="00CA4741"/>
    <w:rsid w:val="00CA7A78"/>
    <w:rsid w:val="00CA7F49"/>
    <w:rsid w:val="00CB2FC0"/>
    <w:rsid w:val="00CB3C69"/>
    <w:rsid w:val="00CB403F"/>
    <w:rsid w:val="00CB57BF"/>
    <w:rsid w:val="00CB58C6"/>
    <w:rsid w:val="00CB5AEC"/>
    <w:rsid w:val="00CB7F82"/>
    <w:rsid w:val="00CC0B3A"/>
    <w:rsid w:val="00CC10A6"/>
    <w:rsid w:val="00CC10B3"/>
    <w:rsid w:val="00CC27BA"/>
    <w:rsid w:val="00CC2DE4"/>
    <w:rsid w:val="00CC360E"/>
    <w:rsid w:val="00CC3B04"/>
    <w:rsid w:val="00CC3D18"/>
    <w:rsid w:val="00CC3FC7"/>
    <w:rsid w:val="00CC48D6"/>
    <w:rsid w:val="00CD32FE"/>
    <w:rsid w:val="00CD3E7D"/>
    <w:rsid w:val="00CD5036"/>
    <w:rsid w:val="00CD6866"/>
    <w:rsid w:val="00CD76D4"/>
    <w:rsid w:val="00CD7893"/>
    <w:rsid w:val="00CE03CC"/>
    <w:rsid w:val="00CE0F94"/>
    <w:rsid w:val="00CE1668"/>
    <w:rsid w:val="00CE6D82"/>
    <w:rsid w:val="00CE7E6A"/>
    <w:rsid w:val="00CF030B"/>
    <w:rsid w:val="00CF23A2"/>
    <w:rsid w:val="00CF5D77"/>
    <w:rsid w:val="00CF6EB2"/>
    <w:rsid w:val="00D00269"/>
    <w:rsid w:val="00D02F72"/>
    <w:rsid w:val="00D07816"/>
    <w:rsid w:val="00D10AB0"/>
    <w:rsid w:val="00D12EE7"/>
    <w:rsid w:val="00D1373C"/>
    <w:rsid w:val="00D16B19"/>
    <w:rsid w:val="00D16BAD"/>
    <w:rsid w:val="00D172B8"/>
    <w:rsid w:val="00D1735B"/>
    <w:rsid w:val="00D17702"/>
    <w:rsid w:val="00D17C3D"/>
    <w:rsid w:val="00D20E91"/>
    <w:rsid w:val="00D225CB"/>
    <w:rsid w:val="00D23CD2"/>
    <w:rsid w:val="00D24179"/>
    <w:rsid w:val="00D25492"/>
    <w:rsid w:val="00D25A9F"/>
    <w:rsid w:val="00D266ED"/>
    <w:rsid w:val="00D2734A"/>
    <w:rsid w:val="00D276CF"/>
    <w:rsid w:val="00D27F25"/>
    <w:rsid w:val="00D30003"/>
    <w:rsid w:val="00D306AB"/>
    <w:rsid w:val="00D31B93"/>
    <w:rsid w:val="00D31D5F"/>
    <w:rsid w:val="00D32293"/>
    <w:rsid w:val="00D33323"/>
    <w:rsid w:val="00D33F79"/>
    <w:rsid w:val="00D3469A"/>
    <w:rsid w:val="00D3478C"/>
    <w:rsid w:val="00D34A5C"/>
    <w:rsid w:val="00D35986"/>
    <w:rsid w:val="00D36CE3"/>
    <w:rsid w:val="00D37494"/>
    <w:rsid w:val="00D3789A"/>
    <w:rsid w:val="00D407B7"/>
    <w:rsid w:val="00D409B3"/>
    <w:rsid w:val="00D41B84"/>
    <w:rsid w:val="00D41E2D"/>
    <w:rsid w:val="00D42588"/>
    <w:rsid w:val="00D4287D"/>
    <w:rsid w:val="00D42957"/>
    <w:rsid w:val="00D4329F"/>
    <w:rsid w:val="00D446E7"/>
    <w:rsid w:val="00D47265"/>
    <w:rsid w:val="00D47500"/>
    <w:rsid w:val="00D4793C"/>
    <w:rsid w:val="00D5247A"/>
    <w:rsid w:val="00D524E2"/>
    <w:rsid w:val="00D57FDA"/>
    <w:rsid w:val="00D60582"/>
    <w:rsid w:val="00D60C22"/>
    <w:rsid w:val="00D61222"/>
    <w:rsid w:val="00D63800"/>
    <w:rsid w:val="00D63990"/>
    <w:rsid w:val="00D641DC"/>
    <w:rsid w:val="00D65068"/>
    <w:rsid w:val="00D65243"/>
    <w:rsid w:val="00D65794"/>
    <w:rsid w:val="00D658A1"/>
    <w:rsid w:val="00D65BBD"/>
    <w:rsid w:val="00D67E99"/>
    <w:rsid w:val="00D70BE1"/>
    <w:rsid w:val="00D71057"/>
    <w:rsid w:val="00D730F6"/>
    <w:rsid w:val="00D73418"/>
    <w:rsid w:val="00D73747"/>
    <w:rsid w:val="00D738F0"/>
    <w:rsid w:val="00D75E6C"/>
    <w:rsid w:val="00D82CB3"/>
    <w:rsid w:val="00D82FC0"/>
    <w:rsid w:val="00D8322A"/>
    <w:rsid w:val="00D83B2A"/>
    <w:rsid w:val="00D83C17"/>
    <w:rsid w:val="00D8541E"/>
    <w:rsid w:val="00D85885"/>
    <w:rsid w:val="00D8720F"/>
    <w:rsid w:val="00D87527"/>
    <w:rsid w:val="00D87652"/>
    <w:rsid w:val="00D9009F"/>
    <w:rsid w:val="00D905C2"/>
    <w:rsid w:val="00D92D08"/>
    <w:rsid w:val="00D9372E"/>
    <w:rsid w:val="00D938BE"/>
    <w:rsid w:val="00D9392E"/>
    <w:rsid w:val="00D947F0"/>
    <w:rsid w:val="00D963CC"/>
    <w:rsid w:val="00DA22D8"/>
    <w:rsid w:val="00DA2D95"/>
    <w:rsid w:val="00DA3A4F"/>
    <w:rsid w:val="00DA42C0"/>
    <w:rsid w:val="00DA4F1C"/>
    <w:rsid w:val="00DA52A2"/>
    <w:rsid w:val="00DA57B0"/>
    <w:rsid w:val="00DA7E2F"/>
    <w:rsid w:val="00DB09E9"/>
    <w:rsid w:val="00DB0C0B"/>
    <w:rsid w:val="00DB2446"/>
    <w:rsid w:val="00DB31E7"/>
    <w:rsid w:val="00DB3A66"/>
    <w:rsid w:val="00DB4BEF"/>
    <w:rsid w:val="00DB546B"/>
    <w:rsid w:val="00DB5AC6"/>
    <w:rsid w:val="00DB74A4"/>
    <w:rsid w:val="00DB78B2"/>
    <w:rsid w:val="00DC073A"/>
    <w:rsid w:val="00DC0A7B"/>
    <w:rsid w:val="00DC1539"/>
    <w:rsid w:val="00DC2022"/>
    <w:rsid w:val="00DC230C"/>
    <w:rsid w:val="00DC27E7"/>
    <w:rsid w:val="00DC2CE7"/>
    <w:rsid w:val="00DC301A"/>
    <w:rsid w:val="00DC470B"/>
    <w:rsid w:val="00DC5188"/>
    <w:rsid w:val="00DC6294"/>
    <w:rsid w:val="00DC6AEA"/>
    <w:rsid w:val="00DC7377"/>
    <w:rsid w:val="00DD2912"/>
    <w:rsid w:val="00DD2D98"/>
    <w:rsid w:val="00DD353B"/>
    <w:rsid w:val="00DD3902"/>
    <w:rsid w:val="00DD3B02"/>
    <w:rsid w:val="00DD417A"/>
    <w:rsid w:val="00DD45C1"/>
    <w:rsid w:val="00DD4849"/>
    <w:rsid w:val="00DD4A21"/>
    <w:rsid w:val="00DE0FC0"/>
    <w:rsid w:val="00DE190A"/>
    <w:rsid w:val="00DE1A76"/>
    <w:rsid w:val="00DE31D8"/>
    <w:rsid w:val="00DE3A31"/>
    <w:rsid w:val="00DE4F75"/>
    <w:rsid w:val="00DE5F76"/>
    <w:rsid w:val="00DF09A4"/>
    <w:rsid w:val="00DF0DF7"/>
    <w:rsid w:val="00DF13A5"/>
    <w:rsid w:val="00DF1C93"/>
    <w:rsid w:val="00DF1E5D"/>
    <w:rsid w:val="00DF2ABA"/>
    <w:rsid w:val="00DF391A"/>
    <w:rsid w:val="00DF419C"/>
    <w:rsid w:val="00DF51C5"/>
    <w:rsid w:val="00DF72C7"/>
    <w:rsid w:val="00E00D6F"/>
    <w:rsid w:val="00E03246"/>
    <w:rsid w:val="00E03508"/>
    <w:rsid w:val="00E03C0E"/>
    <w:rsid w:val="00E0618C"/>
    <w:rsid w:val="00E066DF"/>
    <w:rsid w:val="00E07128"/>
    <w:rsid w:val="00E073C2"/>
    <w:rsid w:val="00E10AC3"/>
    <w:rsid w:val="00E10C25"/>
    <w:rsid w:val="00E1123F"/>
    <w:rsid w:val="00E12D1C"/>
    <w:rsid w:val="00E14266"/>
    <w:rsid w:val="00E14307"/>
    <w:rsid w:val="00E15911"/>
    <w:rsid w:val="00E16412"/>
    <w:rsid w:val="00E165DD"/>
    <w:rsid w:val="00E16A98"/>
    <w:rsid w:val="00E227C3"/>
    <w:rsid w:val="00E22843"/>
    <w:rsid w:val="00E23111"/>
    <w:rsid w:val="00E24C79"/>
    <w:rsid w:val="00E26881"/>
    <w:rsid w:val="00E26DFE"/>
    <w:rsid w:val="00E2713B"/>
    <w:rsid w:val="00E274D7"/>
    <w:rsid w:val="00E3177E"/>
    <w:rsid w:val="00E32652"/>
    <w:rsid w:val="00E32DDF"/>
    <w:rsid w:val="00E33108"/>
    <w:rsid w:val="00E34622"/>
    <w:rsid w:val="00E34657"/>
    <w:rsid w:val="00E34706"/>
    <w:rsid w:val="00E35537"/>
    <w:rsid w:val="00E36C79"/>
    <w:rsid w:val="00E36F7D"/>
    <w:rsid w:val="00E405E0"/>
    <w:rsid w:val="00E43ABE"/>
    <w:rsid w:val="00E44057"/>
    <w:rsid w:val="00E445BD"/>
    <w:rsid w:val="00E46673"/>
    <w:rsid w:val="00E47363"/>
    <w:rsid w:val="00E47A5F"/>
    <w:rsid w:val="00E506E7"/>
    <w:rsid w:val="00E507A5"/>
    <w:rsid w:val="00E51A57"/>
    <w:rsid w:val="00E528D2"/>
    <w:rsid w:val="00E54E89"/>
    <w:rsid w:val="00E57E0F"/>
    <w:rsid w:val="00E601CE"/>
    <w:rsid w:val="00E602CF"/>
    <w:rsid w:val="00E60B1D"/>
    <w:rsid w:val="00E612B6"/>
    <w:rsid w:val="00E61EE8"/>
    <w:rsid w:val="00E62061"/>
    <w:rsid w:val="00E62441"/>
    <w:rsid w:val="00E63879"/>
    <w:rsid w:val="00E647FF"/>
    <w:rsid w:val="00E650C6"/>
    <w:rsid w:val="00E66A80"/>
    <w:rsid w:val="00E66EE6"/>
    <w:rsid w:val="00E7063D"/>
    <w:rsid w:val="00E71329"/>
    <w:rsid w:val="00E71633"/>
    <w:rsid w:val="00E7218C"/>
    <w:rsid w:val="00E72689"/>
    <w:rsid w:val="00E730AA"/>
    <w:rsid w:val="00E74C7A"/>
    <w:rsid w:val="00E76F52"/>
    <w:rsid w:val="00E80C3D"/>
    <w:rsid w:val="00E82B54"/>
    <w:rsid w:val="00E8380C"/>
    <w:rsid w:val="00E838B2"/>
    <w:rsid w:val="00E84521"/>
    <w:rsid w:val="00E84D6B"/>
    <w:rsid w:val="00E856B0"/>
    <w:rsid w:val="00E85D85"/>
    <w:rsid w:val="00E86868"/>
    <w:rsid w:val="00E86C2A"/>
    <w:rsid w:val="00E86CA1"/>
    <w:rsid w:val="00E87F07"/>
    <w:rsid w:val="00E91E35"/>
    <w:rsid w:val="00E937B5"/>
    <w:rsid w:val="00E9428D"/>
    <w:rsid w:val="00E9442F"/>
    <w:rsid w:val="00E94495"/>
    <w:rsid w:val="00E9486B"/>
    <w:rsid w:val="00E95534"/>
    <w:rsid w:val="00E96326"/>
    <w:rsid w:val="00E969D2"/>
    <w:rsid w:val="00E97537"/>
    <w:rsid w:val="00E97D83"/>
    <w:rsid w:val="00EA0B80"/>
    <w:rsid w:val="00EA0CA1"/>
    <w:rsid w:val="00EA1D8B"/>
    <w:rsid w:val="00EA3249"/>
    <w:rsid w:val="00EA3C59"/>
    <w:rsid w:val="00EA4CEB"/>
    <w:rsid w:val="00EA509D"/>
    <w:rsid w:val="00EA5118"/>
    <w:rsid w:val="00EA6C56"/>
    <w:rsid w:val="00EB02F9"/>
    <w:rsid w:val="00EB0909"/>
    <w:rsid w:val="00EB0C63"/>
    <w:rsid w:val="00EB0DF0"/>
    <w:rsid w:val="00EB1A2C"/>
    <w:rsid w:val="00EB2513"/>
    <w:rsid w:val="00EB2849"/>
    <w:rsid w:val="00EB3DF7"/>
    <w:rsid w:val="00EB40DC"/>
    <w:rsid w:val="00EB4A53"/>
    <w:rsid w:val="00EB5616"/>
    <w:rsid w:val="00EB743F"/>
    <w:rsid w:val="00EC064C"/>
    <w:rsid w:val="00EC0BFA"/>
    <w:rsid w:val="00EC0D38"/>
    <w:rsid w:val="00EC115D"/>
    <w:rsid w:val="00EC152A"/>
    <w:rsid w:val="00EC3328"/>
    <w:rsid w:val="00EC34A9"/>
    <w:rsid w:val="00EC3934"/>
    <w:rsid w:val="00EC6F0E"/>
    <w:rsid w:val="00EC7352"/>
    <w:rsid w:val="00ED2270"/>
    <w:rsid w:val="00ED3818"/>
    <w:rsid w:val="00ED512E"/>
    <w:rsid w:val="00ED5655"/>
    <w:rsid w:val="00EE0293"/>
    <w:rsid w:val="00EE03EC"/>
    <w:rsid w:val="00EE048D"/>
    <w:rsid w:val="00EE0568"/>
    <w:rsid w:val="00EE0ACB"/>
    <w:rsid w:val="00EE107C"/>
    <w:rsid w:val="00EE280E"/>
    <w:rsid w:val="00EE35EA"/>
    <w:rsid w:val="00EE3E9C"/>
    <w:rsid w:val="00EE4975"/>
    <w:rsid w:val="00EE4D4C"/>
    <w:rsid w:val="00EE4FBE"/>
    <w:rsid w:val="00EE7726"/>
    <w:rsid w:val="00EF014A"/>
    <w:rsid w:val="00EF01CE"/>
    <w:rsid w:val="00EF0558"/>
    <w:rsid w:val="00EF10EB"/>
    <w:rsid w:val="00EF1D84"/>
    <w:rsid w:val="00EF1DC8"/>
    <w:rsid w:val="00EF1F30"/>
    <w:rsid w:val="00EF26CB"/>
    <w:rsid w:val="00EF2E2B"/>
    <w:rsid w:val="00EF34D2"/>
    <w:rsid w:val="00EF4C26"/>
    <w:rsid w:val="00EF4DE0"/>
    <w:rsid w:val="00EF5CC0"/>
    <w:rsid w:val="00EF7540"/>
    <w:rsid w:val="00EF75DE"/>
    <w:rsid w:val="00F00649"/>
    <w:rsid w:val="00F00A25"/>
    <w:rsid w:val="00F01443"/>
    <w:rsid w:val="00F01801"/>
    <w:rsid w:val="00F02412"/>
    <w:rsid w:val="00F026B4"/>
    <w:rsid w:val="00F0292D"/>
    <w:rsid w:val="00F02E9D"/>
    <w:rsid w:val="00F04044"/>
    <w:rsid w:val="00F046C8"/>
    <w:rsid w:val="00F047AB"/>
    <w:rsid w:val="00F05DE1"/>
    <w:rsid w:val="00F06D58"/>
    <w:rsid w:val="00F07353"/>
    <w:rsid w:val="00F104AB"/>
    <w:rsid w:val="00F10D6B"/>
    <w:rsid w:val="00F12C08"/>
    <w:rsid w:val="00F12CDC"/>
    <w:rsid w:val="00F13E45"/>
    <w:rsid w:val="00F147C6"/>
    <w:rsid w:val="00F17282"/>
    <w:rsid w:val="00F20933"/>
    <w:rsid w:val="00F21705"/>
    <w:rsid w:val="00F2227E"/>
    <w:rsid w:val="00F231FC"/>
    <w:rsid w:val="00F24AB7"/>
    <w:rsid w:val="00F2567E"/>
    <w:rsid w:val="00F25E84"/>
    <w:rsid w:val="00F26068"/>
    <w:rsid w:val="00F2706D"/>
    <w:rsid w:val="00F2723F"/>
    <w:rsid w:val="00F27ADB"/>
    <w:rsid w:val="00F31178"/>
    <w:rsid w:val="00F32971"/>
    <w:rsid w:val="00F3400B"/>
    <w:rsid w:val="00F34AAE"/>
    <w:rsid w:val="00F35C44"/>
    <w:rsid w:val="00F37B6F"/>
    <w:rsid w:val="00F40C05"/>
    <w:rsid w:val="00F40E86"/>
    <w:rsid w:val="00F42168"/>
    <w:rsid w:val="00F425B3"/>
    <w:rsid w:val="00F44C78"/>
    <w:rsid w:val="00F44F38"/>
    <w:rsid w:val="00F452C0"/>
    <w:rsid w:val="00F459E6"/>
    <w:rsid w:val="00F46B41"/>
    <w:rsid w:val="00F517FF"/>
    <w:rsid w:val="00F53C70"/>
    <w:rsid w:val="00F55309"/>
    <w:rsid w:val="00F562A9"/>
    <w:rsid w:val="00F56E0D"/>
    <w:rsid w:val="00F60C62"/>
    <w:rsid w:val="00F62C00"/>
    <w:rsid w:val="00F6300E"/>
    <w:rsid w:val="00F6301A"/>
    <w:rsid w:val="00F6387F"/>
    <w:rsid w:val="00F645AF"/>
    <w:rsid w:val="00F66BC9"/>
    <w:rsid w:val="00F67946"/>
    <w:rsid w:val="00F71035"/>
    <w:rsid w:val="00F72B99"/>
    <w:rsid w:val="00F72CCD"/>
    <w:rsid w:val="00F72E9F"/>
    <w:rsid w:val="00F73166"/>
    <w:rsid w:val="00F736F9"/>
    <w:rsid w:val="00F739E9"/>
    <w:rsid w:val="00F81620"/>
    <w:rsid w:val="00F84185"/>
    <w:rsid w:val="00F84240"/>
    <w:rsid w:val="00F85237"/>
    <w:rsid w:val="00F8564F"/>
    <w:rsid w:val="00F87DAE"/>
    <w:rsid w:val="00F9000A"/>
    <w:rsid w:val="00F9002A"/>
    <w:rsid w:val="00F906D0"/>
    <w:rsid w:val="00F90CC8"/>
    <w:rsid w:val="00F92EF0"/>
    <w:rsid w:val="00F93903"/>
    <w:rsid w:val="00F93FEB"/>
    <w:rsid w:val="00F94E43"/>
    <w:rsid w:val="00F96156"/>
    <w:rsid w:val="00F96460"/>
    <w:rsid w:val="00F97AFE"/>
    <w:rsid w:val="00F97E65"/>
    <w:rsid w:val="00FA0128"/>
    <w:rsid w:val="00FA0F09"/>
    <w:rsid w:val="00FA1786"/>
    <w:rsid w:val="00FA17C2"/>
    <w:rsid w:val="00FA215F"/>
    <w:rsid w:val="00FA3191"/>
    <w:rsid w:val="00FA3FA6"/>
    <w:rsid w:val="00FA5AE3"/>
    <w:rsid w:val="00FA6563"/>
    <w:rsid w:val="00FA73DD"/>
    <w:rsid w:val="00FB0AD7"/>
    <w:rsid w:val="00FB13C2"/>
    <w:rsid w:val="00FB27FA"/>
    <w:rsid w:val="00FB35D3"/>
    <w:rsid w:val="00FB380D"/>
    <w:rsid w:val="00FB3FB7"/>
    <w:rsid w:val="00FB5507"/>
    <w:rsid w:val="00FB76C5"/>
    <w:rsid w:val="00FB7FBE"/>
    <w:rsid w:val="00FC0824"/>
    <w:rsid w:val="00FC0C57"/>
    <w:rsid w:val="00FC1565"/>
    <w:rsid w:val="00FC16B9"/>
    <w:rsid w:val="00FC1DA7"/>
    <w:rsid w:val="00FC2414"/>
    <w:rsid w:val="00FC2C4D"/>
    <w:rsid w:val="00FC2E20"/>
    <w:rsid w:val="00FC44A1"/>
    <w:rsid w:val="00FC4DEB"/>
    <w:rsid w:val="00FC50CE"/>
    <w:rsid w:val="00FC62AC"/>
    <w:rsid w:val="00FC6AC7"/>
    <w:rsid w:val="00FC77FF"/>
    <w:rsid w:val="00FC7E40"/>
    <w:rsid w:val="00FD1351"/>
    <w:rsid w:val="00FD4644"/>
    <w:rsid w:val="00FD4B65"/>
    <w:rsid w:val="00FD6729"/>
    <w:rsid w:val="00FD7996"/>
    <w:rsid w:val="00FD7B5E"/>
    <w:rsid w:val="00FD7EFE"/>
    <w:rsid w:val="00FE2025"/>
    <w:rsid w:val="00FE2D9D"/>
    <w:rsid w:val="00FE3280"/>
    <w:rsid w:val="00FE38A6"/>
    <w:rsid w:val="00FE3931"/>
    <w:rsid w:val="00FE45B9"/>
    <w:rsid w:val="00FE4790"/>
    <w:rsid w:val="00FE49E3"/>
    <w:rsid w:val="00FE4E1B"/>
    <w:rsid w:val="00FE562B"/>
    <w:rsid w:val="00FE7171"/>
    <w:rsid w:val="00FE7904"/>
    <w:rsid w:val="00FE79C6"/>
    <w:rsid w:val="00FF0AD1"/>
    <w:rsid w:val="00FF1502"/>
    <w:rsid w:val="00FF2F56"/>
    <w:rsid w:val="00FF3373"/>
    <w:rsid w:val="00FF3B7B"/>
    <w:rsid w:val="00FF3FF6"/>
    <w:rsid w:val="00FF7333"/>
    <w:rsid w:val="00FF7602"/>
    <w:rsid w:val="00FF7A5B"/>
  </w:rsids>
  <m:mathPr>
    <m:mathFont m:val="Cambria Math"/>
    <m:brkBin m:val="before"/>
    <m:brkBinSub m:val="--"/>
    <m:smallFrac m:val="0"/>
    <m:dispDef/>
    <m:lMargin m:val="0"/>
    <m:rMargin m:val="0"/>
    <m:defJc m:val="centerGroup"/>
    <m:wrapIndent m:val="1440"/>
    <m:intLim m:val="subSup"/>
    <m:naryLim m:val="undOvr"/>
  </m:mathPr>
  <w:themeFontLang w:val="es-ES_tradnl"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1"/>
    </o:shapelayout>
  </w:shapeDefaults>
  <w:decimalSymbol w:val="."/>
  <w:listSeparator w:val=","/>
  <w14:docId w14:val="7A4418CD"/>
  <w14:defaultImageDpi w14:val="300"/>
  <w15:docId w15:val="{CB887431-E0A3-4D96-A126-060828FD74F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4"/>
        <w:szCs w:val="24"/>
        <w:lang w:val="es-ES_tradnl" w:eastAsia="es-E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154765"/>
    <w:rPr>
      <w:lang w:val="es-MX"/>
    </w:rPr>
  </w:style>
  <w:style w:type="paragraph" w:styleId="Ttulo1">
    <w:name w:val="heading 1"/>
    <w:basedOn w:val="Normal"/>
    <w:next w:val="Normal"/>
    <w:link w:val="Ttulo1Car"/>
    <w:uiPriority w:val="9"/>
    <w:qFormat/>
    <w:rsid w:val="005E55F2"/>
    <w:pPr>
      <w:keepNext/>
      <w:keepLines/>
      <w:spacing w:before="240" w:line="259" w:lineRule="auto"/>
      <w:outlineLvl w:val="0"/>
    </w:pPr>
    <w:rPr>
      <w:rFonts w:ascii="Palatino Linotype" w:eastAsiaTheme="majorEastAsia" w:hAnsi="Palatino Linotype" w:cstheme="majorBidi"/>
      <w:szCs w:val="32"/>
      <w:lang w:eastAsia="en-US"/>
    </w:rPr>
  </w:style>
  <w:style w:type="paragraph" w:styleId="Ttulo2">
    <w:name w:val="heading 2"/>
    <w:basedOn w:val="Normal"/>
    <w:next w:val="Normal"/>
    <w:link w:val="Ttulo2Car"/>
    <w:uiPriority w:val="9"/>
    <w:unhideWhenUsed/>
    <w:qFormat/>
    <w:rsid w:val="00A349D2"/>
    <w:pPr>
      <w:keepNext/>
      <w:keepLines/>
      <w:spacing w:before="40" w:line="259" w:lineRule="auto"/>
      <w:outlineLvl w:val="1"/>
    </w:pPr>
    <w:rPr>
      <w:rFonts w:asciiTheme="majorHAnsi" w:eastAsiaTheme="majorEastAsia" w:hAnsiTheme="majorHAnsi" w:cstheme="majorBidi"/>
      <w:color w:val="365F91" w:themeColor="accent1" w:themeShade="BF"/>
      <w:sz w:val="26"/>
      <w:szCs w:val="26"/>
      <w:lang w:eastAsia="en-U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587366"/>
    <w:pPr>
      <w:tabs>
        <w:tab w:val="center" w:pos="4252"/>
        <w:tab w:val="right" w:pos="8504"/>
      </w:tabs>
    </w:pPr>
  </w:style>
  <w:style w:type="character" w:customStyle="1" w:styleId="EncabezadoCar">
    <w:name w:val="Encabezado Car"/>
    <w:basedOn w:val="Fuentedeprrafopredeter"/>
    <w:link w:val="Encabezado"/>
    <w:uiPriority w:val="99"/>
    <w:rsid w:val="00587366"/>
  </w:style>
  <w:style w:type="paragraph" w:styleId="Piedepgina">
    <w:name w:val="footer"/>
    <w:basedOn w:val="Normal"/>
    <w:link w:val="PiedepginaCar"/>
    <w:uiPriority w:val="99"/>
    <w:unhideWhenUsed/>
    <w:rsid w:val="00587366"/>
    <w:pPr>
      <w:tabs>
        <w:tab w:val="center" w:pos="4252"/>
        <w:tab w:val="right" w:pos="8504"/>
      </w:tabs>
    </w:pPr>
  </w:style>
  <w:style w:type="character" w:customStyle="1" w:styleId="PiedepginaCar">
    <w:name w:val="Pie de página Car"/>
    <w:basedOn w:val="Fuentedeprrafopredeter"/>
    <w:link w:val="Piedepgina"/>
    <w:uiPriority w:val="99"/>
    <w:rsid w:val="00587366"/>
  </w:style>
  <w:style w:type="table" w:styleId="Tablaconcuadrcula">
    <w:name w:val="Table Grid"/>
    <w:basedOn w:val="Tablanormal"/>
    <w:uiPriority w:val="39"/>
    <w:rsid w:val="00587366"/>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extodeglobo">
    <w:name w:val="Balloon Text"/>
    <w:basedOn w:val="Normal"/>
    <w:link w:val="TextodegloboCar"/>
    <w:uiPriority w:val="99"/>
    <w:semiHidden/>
    <w:unhideWhenUsed/>
    <w:rsid w:val="00587366"/>
    <w:rPr>
      <w:rFonts w:ascii="Lucida Grande" w:hAnsi="Lucida Grande" w:cs="Lucida Grande"/>
      <w:sz w:val="18"/>
      <w:szCs w:val="18"/>
    </w:rPr>
  </w:style>
  <w:style w:type="character" w:customStyle="1" w:styleId="TextodegloboCar">
    <w:name w:val="Texto de globo Car"/>
    <w:basedOn w:val="Fuentedeprrafopredeter"/>
    <w:link w:val="Textodeglobo"/>
    <w:uiPriority w:val="99"/>
    <w:semiHidden/>
    <w:rsid w:val="00587366"/>
    <w:rPr>
      <w:rFonts w:ascii="Lucida Grande" w:hAnsi="Lucida Grande" w:cs="Lucida Grande"/>
      <w:sz w:val="18"/>
      <w:szCs w:val="18"/>
    </w:rPr>
  </w:style>
  <w:style w:type="paragraph" w:styleId="Prrafodelista">
    <w:name w:val="List Paragraph"/>
    <w:aliases w:val="lp1,List Paragraph1,Lista de nivel 1,4 Párrafo de lista,Figuras,Dot pt,No Spacing1,List Paragraph Char Char Char,Indicator Text,Numbered Para 1,DH1,Listas,Light Grid - Accent 31,Colorful List - Accent 11,Bullet 1,F5 List Paragraph,5.9.1"/>
    <w:basedOn w:val="Normal"/>
    <w:link w:val="PrrafodelistaCar"/>
    <w:uiPriority w:val="34"/>
    <w:qFormat/>
    <w:rsid w:val="00662C69"/>
    <w:pPr>
      <w:ind w:left="720"/>
      <w:contextualSpacing/>
    </w:pPr>
  </w:style>
  <w:style w:type="paragraph" w:styleId="Sinespaciado">
    <w:name w:val="No Spacing"/>
    <w:aliases w:val="Francesa,INAI"/>
    <w:link w:val="SinespaciadoCar"/>
    <w:uiPriority w:val="1"/>
    <w:qFormat/>
    <w:rsid w:val="00166794"/>
  </w:style>
  <w:style w:type="character" w:customStyle="1" w:styleId="PrrafodelistaCar">
    <w:name w:val="Párrafo de lista Car"/>
    <w:aliases w:val="lp1 Car,List Paragraph1 Car,Lista de nivel 1 Car,4 Párrafo de lista Car,Figuras Car,Dot pt Car,No Spacing1 Car,List Paragraph Char Char Char Car,Indicator Text Car,Numbered Para 1 Car,DH1 Car,Listas Car,Light Grid - Accent 31 Car"/>
    <w:link w:val="Prrafodelista"/>
    <w:uiPriority w:val="34"/>
    <w:qFormat/>
    <w:locked/>
    <w:rsid w:val="005A3513"/>
  </w:style>
  <w:style w:type="character" w:styleId="Hipervnculo">
    <w:name w:val="Hyperlink"/>
    <w:aliases w:val="Hipervínculo1,Hipervínculo11,Hipervínculo12,Hipervínculo13,Hipervínculo14,Hipervínculo15"/>
    <w:basedOn w:val="Fuentedeprrafopredeter"/>
    <w:uiPriority w:val="99"/>
    <w:unhideWhenUsed/>
    <w:rsid w:val="008167F5"/>
    <w:rPr>
      <w:color w:val="0000FF" w:themeColor="hyperlink"/>
      <w:u w:val="single"/>
    </w:rPr>
  </w:style>
  <w:style w:type="paragraph" w:styleId="TDC1">
    <w:name w:val="toc 1"/>
    <w:basedOn w:val="Normal"/>
    <w:next w:val="Normal"/>
    <w:autoRedefine/>
    <w:uiPriority w:val="39"/>
    <w:unhideWhenUsed/>
    <w:rsid w:val="00E34622"/>
    <w:pPr>
      <w:tabs>
        <w:tab w:val="left" w:pos="440"/>
        <w:tab w:val="right" w:leader="dot" w:pos="8828"/>
      </w:tabs>
      <w:spacing w:after="100" w:line="480" w:lineRule="auto"/>
      <w:ind w:left="440"/>
      <w:jc w:val="both"/>
    </w:pPr>
  </w:style>
  <w:style w:type="paragraph" w:styleId="TDC2">
    <w:name w:val="toc 2"/>
    <w:basedOn w:val="Normal"/>
    <w:next w:val="Normal"/>
    <w:autoRedefine/>
    <w:uiPriority w:val="39"/>
    <w:unhideWhenUsed/>
    <w:rsid w:val="004413DD"/>
    <w:pPr>
      <w:tabs>
        <w:tab w:val="right" w:leader="dot" w:pos="9676"/>
      </w:tabs>
      <w:spacing w:after="100" w:line="480" w:lineRule="auto"/>
      <w:ind w:left="720" w:hanging="240"/>
    </w:pPr>
  </w:style>
  <w:style w:type="character" w:styleId="Refdecomentario">
    <w:name w:val="annotation reference"/>
    <w:basedOn w:val="Fuentedeprrafopredeter"/>
    <w:uiPriority w:val="99"/>
    <w:semiHidden/>
    <w:unhideWhenUsed/>
    <w:rsid w:val="00750A80"/>
    <w:rPr>
      <w:sz w:val="16"/>
      <w:szCs w:val="16"/>
    </w:rPr>
  </w:style>
  <w:style w:type="paragraph" w:styleId="Textocomentario">
    <w:name w:val="annotation text"/>
    <w:basedOn w:val="Normal"/>
    <w:link w:val="TextocomentarioCar"/>
    <w:uiPriority w:val="99"/>
    <w:semiHidden/>
    <w:unhideWhenUsed/>
    <w:rsid w:val="00750A80"/>
    <w:rPr>
      <w:sz w:val="20"/>
      <w:szCs w:val="20"/>
    </w:rPr>
  </w:style>
  <w:style w:type="character" w:customStyle="1" w:styleId="TextocomentarioCar">
    <w:name w:val="Texto comentario Car"/>
    <w:basedOn w:val="Fuentedeprrafopredeter"/>
    <w:link w:val="Textocomentario"/>
    <w:uiPriority w:val="99"/>
    <w:semiHidden/>
    <w:rsid w:val="00750A80"/>
    <w:rPr>
      <w:sz w:val="20"/>
      <w:szCs w:val="20"/>
    </w:rPr>
  </w:style>
  <w:style w:type="paragraph" w:styleId="Asuntodelcomentario">
    <w:name w:val="annotation subject"/>
    <w:basedOn w:val="Textocomentario"/>
    <w:next w:val="Textocomentario"/>
    <w:link w:val="AsuntodelcomentarioCar"/>
    <w:uiPriority w:val="99"/>
    <w:semiHidden/>
    <w:unhideWhenUsed/>
    <w:rsid w:val="00750A80"/>
    <w:rPr>
      <w:b/>
      <w:bCs/>
    </w:rPr>
  </w:style>
  <w:style w:type="character" w:customStyle="1" w:styleId="AsuntodelcomentarioCar">
    <w:name w:val="Asunto del comentario Car"/>
    <w:basedOn w:val="TextocomentarioCar"/>
    <w:link w:val="Asuntodelcomentario"/>
    <w:uiPriority w:val="99"/>
    <w:semiHidden/>
    <w:rsid w:val="00750A80"/>
    <w:rPr>
      <w:b/>
      <w:bCs/>
      <w:sz w:val="20"/>
      <w:szCs w:val="20"/>
    </w:rPr>
  </w:style>
  <w:style w:type="character" w:customStyle="1" w:styleId="Ttulo1Car">
    <w:name w:val="Título 1 Car"/>
    <w:basedOn w:val="Fuentedeprrafopredeter"/>
    <w:link w:val="Ttulo1"/>
    <w:uiPriority w:val="9"/>
    <w:rsid w:val="005E55F2"/>
    <w:rPr>
      <w:rFonts w:ascii="Palatino Linotype" w:eastAsiaTheme="majorEastAsia" w:hAnsi="Palatino Linotype" w:cstheme="majorBidi"/>
      <w:szCs w:val="32"/>
      <w:lang w:val="es-MX" w:eastAsia="en-US"/>
    </w:rPr>
  </w:style>
  <w:style w:type="character" w:customStyle="1" w:styleId="Ttulo2Car">
    <w:name w:val="Título 2 Car"/>
    <w:basedOn w:val="Fuentedeprrafopredeter"/>
    <w:link w:val="Ttulo2"/>
    <w:uiPriority w:val="9"/>
    <w:rsid w:val="00A349D2"/>
    <w:rPr>
      <w:rFonts w:asciiTheme="majorHAnsi" w:eastAsiaTheme="majorEastAsia" w:hAnsiTheme="majorHAnsi" w:cstheme="majorBidi"/>
      <w:color w:val="365F91" w:themeColor="accent1" w:themeShade="BF"/>
      <w:sz w:val="26"/>
      <w:szCs w:val="26"/>
      <w:lang w:val="es-MX" w:eastAsia="en-US"/>
    </w:rPr>
  </w:style>
  <w:style w:type="character" w:customStyle="1" w:styleId="apple-converted-space">
    <w:name w:val="apple-converted-space"/>
    <w:basedOn w:val="Fuentedeprrafopredeter"/>
    <w:rsid w:val="00E43ABE"/>
  </w:style>
  <w:style w:type="paragraph" w:styleId="Textoindependiente">
    <w:name w:val="Body Text"/>
    <w:basedOn w:val="Normal"/>
    <w:link w:val="TextoindependienteCar"/>
    <w:rsid w:val="00A8769A"/>
    <w:pPr>
      <w:jc w:val="both"/>
    </w:pPr>
    <w:rPr>
      <w:rFonts w:ascii="Arial" w:eastAsia="Times New Roman" w:hAnsi="Arial" w:cs="Times New Roman"/>
      <w:szCs w:val="20"/>
    </w:rPr>
  </w:style>
  <w:style w:type="character" w:customStyle="1" w:styleId="TextoindependienteCar">
    <w:name w:val="Texto independiente Car"/>
    <w:basedOn w:val="Fuentedeprrafopredeter"/>
    <w:link w:val="Textoindependiente"/>
    <w:rsid w:val="00A8769A"/>
    <w:rPr>
      <w:rFonts w:ascii="Arial" w:eastAsia="Times New Roman" w:hAnsi="Arial" w:cs="Times New Roman"/>
      <w:szCs w:val="20"/>
    </w:rPr>
  </w:style>
  <w:style w:type="paragraph" w:styleId="Textonotapie">
    <w:name w:val="footnote text"/>
    <w:aliases w:val="Footnote Text Char Char Char Char Char,Footnote Text Char Char Char Char,Footnote reference,FA Fu,Footnote Text Char Char Char,Footnote Text Cha,FA Fußnotentext,FA Fu?notentext,Footnote Text Char Char,FA Fuﬂnotentext,Ca,FA Fu?notente,ADB"/>
    <w:basedOn w:val="Normal"/>
    <w:link w:val="TextonotapieCar"/>
    <w:uiPriority w:val="99"/>
    <w:unhideWhenUsed/>
    <w:qFormat/>
    <w:rsid w:val="006C563A"/>
    <w:rPr>
      <w:rFonts w:eastAsiaTheme="minorHAnsi"/>
      <w:sz w:val="20"/>
      <w:szCs w:val="20"/>
      <w:lang w:eastAsia="en-US"/>
    </w:rPr>
  </w:style>
  <w:style w:type="character" w:customStyle="1" w:styleId="TextonotapieCar">
    <w:name w:val="Texto nota pie Car"/>
    <w:aliases w:val="Footnote Text Char Char Char Char Char Car,Footnote Text Char Char Char Char Car,Footnote reference Car,FA Fu Car,Footnote Text Char Char Char Car,Footnote Text Cha Car,FA Fußnotentext Car,FA Fu?notentext Car,FA Fuﬂnotentext Car"/>
    <w:basedOn w:val="Fuentedeprrafopredeter"/>
    <w:link w:val="Textonotapie"/>
    <w:uiPriority w:val="99"/>
    <w:qFormat/>
    <w:rsid w:val="006C563A"/>
    <w:rPr>
      <w:rFonts w:eastAsiaTheme="minorHAnsi"/>
      <w:sz w:val="20"/>
      <w:szCs w:val="20"/>
      <w:lang w:val="es-MX" w:eastAsia="en-US"/>
    </w:rPr>
  </w:style>
  <w:style w:type="character" w:styleId="Refdenotaalpie">
    <w:name w:val="footnote reference"/>
    <w:aliases w:val="Footnotes refss,Texto de nota al pie,Ref. de nota al pie 2,Appel note de bas de page,referencia nota al pie,BVI fnr,Footnote number,4_G,16 Point,Superscript 6 Point,Texto nota al pie,Footnote Reference Char3,Ref,de nota al pie,註腳內容"/>
    <w:basedOn w:val="Fuentedeprrafopredeter"/>
    <w:uiPriority w:val="99"/>
    <w:unhideWhenUsed/>
    <w:qFormat/>
    <w:rsid w:val="006C563A"/>
    <w:rPr>
      <w:vertAlign w:val="superscript"/>
    </w:rPr>
  </w:style>
  <w:style w:type="paragraph" w:customStyle="1" w:styleId="p">
    <w:name w:val="p"/>
    <w:basedOn w:val="Normal"/>
    <w:rsid w:val="006C563A"/>
    <w:pPr>
      <w:spacing w:before="100" w:beforeAutospacing="1" w:after="100" w:afterAutospacing="1"/>
    </w:pPr>
    <w:rPr>
      <w:rFonts w:ascii="Times New Roman" w:eastAsia="Times New Roman" w:hAnsi="Times New Roman" w:cs="Times New Roman"/>
      <w:lang w:eastAsia="es-MX"/>
    </w:rPr>
  </w:style>
  <w:style w:type="character" w:customStyle="1" w:styleId="f">
    <w:name w:val="f"/>
    <w:basedOn w:val="Fuentedeprrafopredeter"/>
    <w:rsid w:val="006C563A"/>
  </w:style>
  <w:style w:type="character" w:customStyle="1" w:styleId="a">
    <w:name w:val="a"/>
    <w:basedOn w:val="Fuentedeprrafopredeter"/>
    <w:rsid w:val="006C563A"/>
  </w:style>
  <w:style w:type="character" w:customStyle="1" w:styleId="d">
    <w:name w:val="d"/>
    <w:basedOn w:val="Fuentedeprrafopredeter"/>
    <w:rsid w:val="006C563A"/>
  </w:style>
  <w:style w:type="character" w:customStyle="1" w:styleId="b">
    <w:name w:val="b"/>
    <w:basedOn w:val="Fuentedeprrafopredeter"/>
    <w:rsid w:val="006C563A"/>
  </w:style>
  <w:style w:type="character" w:customStyle="1" w:styleId="g">
    <w:name w:val="g"/>
    <w:basedOn w:val="Fuentedeprrafopredeter"/>
    <w:rsid w:val="006C563A"/>
  </w:style>
  <w:style w:type="table" w:customStyle="1" w:styleId="Tablaconcuadrcula1">
    <w:name w:val="Tabla con cuadrícula1"/>
    <w:basedOn w:val="Tablanormal"/>
    <w:next w:val="Tablaconcuadrcula"/>
    <w:uiPriority w:val="59"/>
    <w:rsid w:val="00E03246"/>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tulodeTDC">
    <w:name w:val="TOC Heading"/>
    <w:basedOn w:val="Ttulo1"/>
    <w:next w:val="Normal"/>
    <w:uiPriority w:val="39"/>
    <w:unhideWhenUsed/>
    <w:qFormat/>
    <w:rsid w:val="00CD7893"/>
    <w:pPr>
      <w:outlineLvl w:val="9"/>
    </w:pPr>
    <w:rPr>
      <w:lang w:eastAsia="es-MX"/>
    </w:rPr>
  </w:style>
  <w:style w:type="character" w:customStyle="1" w:styleId="normaltextrun">
    <w:name w:val="normaltextrun"/>
    <w:basedOn w:val="Fuentedeprrafopredeter"/>
    <w:rsid w:val="00E22843"/>
  </w:style>
  <w:style w:type="paragraph" w:styleId="NormalWeb">
    <w:name w:val="Normal (Web)"/>
    <w:basedOn w:val="Normal"/>
    <w:uiPriority w:val="99"/>
    <w:rsid w:val="00810F94"/>
    <w:pPr>
      <w:spacing w:before="100" w:beforeAutospacing="1" w:after="100" w:afterAutospacing="1"/>
    </w:pPr>
    <w:rPr>
      <w:rFonts w:ascii="Times New Roman" w:eastAsia="Times New Roman" w:hAnsi="Times New Roman" w:cs="Times New Roman"/>
      <w:lang w:val="es-ES"/>
    </w:rPr>
  </w:style>
  <w:style w:type="character" w:styleId="Textoennegrita">
    <w:name w:val="Strong"/>
    <w:uiPriority w:val="22"/>
    <w:qFormat/>
    <w:rsid w:val="00007E8A"/>
    <w:rPr>
      <w:b/>
      <w:bCs/>
    </w:rPr>
  </w:style>
  <w:style w:type="paragraph" w:customStyle="1" w:styleId="Default">
    <w:name w:val="Default"/>
    <w:rsid w:val="00007E8A"/>
    <w:pPr>
      <w:autoSpaceDE w:val="0"/>
      <w:autoSpaceDN w:val="0"/>
      <w:adjustRightInd w:val="0"/>
    </w:pPr>
    <w:rPr>
      <w:rFonts w:ascii="Arial" w:eastAsiaTheme="minorHAnsi" w:hAnsi="Arial" w:cs="Arial"/>
      <w:color w:val="000000"/>
      <w:lang w:val="es-MX" w:eastAsia="en-US"/>
    </w:rPr>
  </w:style>
  <w:style w:type="character" w:customStyle="1" w:styleId="SinespaciadoCar">
    <w:name w:val="Sin espaciado Car"/>
    <w:aliases w:val="Francesa Car,INAI Car"/>
    <w:link w:val="Sinespaciado"/>
    <w:uiPriority w:val="1"/>
    <w:locked/>
    <w:rsid w:val="009C0940"/>
  </w:style>
  <w:style w:type="table" w:customStyle="1" w:styleId="Tablanormal11">
    <w:name w:val="Tabla normal 11"/>
    <w:basedOn w:val="Tablanormal"/>
    <w:uiPriority w:val="41"/>
    <w:rsid w:val="00BD02D5"/>
    <w:rPr>
      <w:rFonts w:eastAsiaTheme="minorHAnsi"/>
      <w:sz w:val="22"/>
      <w:szCs w:val="22"/>
      <w:lang w:val="es-MX" w:eastAsia="en-US"/>
    </w:rPr>
    <w:tblPr>
      <w:tblStyleRowBandSize w:val="1"/>
      <w:tblStyleColBandSize w:val="1"/>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customStyle="1" w:styleId="j">
    <w:name w:val="j"/>
    <w:basedOn w:val="Normal"/>
    <w:rsid w:val="00BD02D5"/>
    <w:pPr>
      <w:spacing w:before="100" w:beforeAutospacing="1" w:after="100" w:afterAutospacing="1"/>
    </w:pPr>
    <w:rPr>
      <w:rFonts w:ascii="Times New Roman" w:eastAsiaTheme="minorHAnsi" w:hAnsi="Times New Roman" w:cs="Times New Roman"/>
      <w:lang w:eastAsia="es-ES_tradnl"/>
    </w:rPr>
  </w:style>
  <w:style w:type="character" w:customStyle="1" w:styleId="apple-style-span">
    <w:name w:val="apple-style-span"/>
    <w:rsid w:val="00847830"/>
  </w:style>
  <w:style w:type="paragraph" w:customStyle="1" w:styleId="Texto">
    <w:name w:val="Texto"/>
    <w:basedOn w:val="Normal"/>
    <w:link w:val="TextoCar"/>
    <w:rsid w:val="009959DB"/>
    <w:pPr>
      <w:spacing w:after="101" w:line="216" w:lineRule="exact"/>
      <w:ind w:firstLine="288"/>
      <w:jc w:val="both"/>
    </w:pPr>
    <w:rPr>
      <w:rFonts w:ascii="Arial" w:eastAsia="Times New Roman" w:hAnsi="Arial" w:cs="Arial"/>
      <w:sz w:val="18"/>
      <w:szCs w:val="20"/>
      <w:lang w:val="es-ES"/>
    </w:rPr>
  </w:style>
  <w:style w:type="paragraph" w:styleId="Textosinformato">
    <w:name w:val="Plain Text"/>
    <w:basedOn w:val="Normal"/>
    <w:link w:val="TextosinformatoCar"/>
    <w:rsid w:val="009959DB"/>
    <w:rPr>
      <w:rFonts w:ascii="Courier New" w:eastAsia="Times New Roman" w:hAnsi="Courier New" w:cs="Courier New"/>
      <w:sz w:val="20"/>
      <w:szCs w:val="20"/>
      <w:lang w:val="es-ES"/>
    </w:rPr>
  </w:style>
  <w:style w:type="character" w:customStyle="1" w:styleId="TextosinformatoCar">
    <w:name w:val="Texto sin formato Car"/>
    <w:basedOn w:val="Fuentedeprrafopredeter"/>
    <w:link w:val="Textosinformato"/>
    <w:rsid w:val="009959DB"/>
    <w:rPr>
      <w:rFonts w:ascii="Courier New" w:eastAsia="Times New Roman" w:hAnsi="Courier New" w:cs="Courier New"/>
      <w:sz w:val="20"/>
      <w:szCs w:val="20"/>
      <w:lang w:val="es-ES"/>
    </w:rPr>
  </w:style>
  <w:style w:type="character" w:customStyle="1" w:styleId="TextoCar">
    <w:name w:val="Texto Car"/>
    <w:link w:val="Texto"/>
    <w:locked/>
    <w:rsid w:val="009959DB"/>
    <w:rPr>
      <w:rFonts w:ascii="Arial" w:eastAsia="Times New Roman" w:hAnsi="Arial" w:cs="Arial"/>
      <w:sz w:val="18"/>
      <w:szCs w:val="20"/>
      <w:lang w:val="es-ES"/>
    </w:rPr>
  </w:style>
  <w:style w:type="paragraph" w:styleId="TDC3">
    <w:name w:val="toc 3"/>
    <w:basedOn w:val="Normal"/>
    <w:next w:val="Normal"/>
    <w:autoRedefine/>
    <w:uiPriority w:val="39"/>
    <w:unhideWhenUsed/>
    <w:rsid w:val="00F01801"/>
    <w:pPr>
      <w:spacing w:after="100"/>
      <w:ind w:left="480"/>
    </w:pPr>
  </w:style>
  <w:style w:type="table" w:styleId="Tabladecuadrcula6concolores">
    <w:name w:val="Grid Table 6 Colorful"/>
    <w:basedOn w:val="Tablanormal"/>
    <w:uiPriority w:val="51"/>
    <w:rsid w:val="005C02B5"/>
    <w:rPr>
      <w:rFonts w:eastAsiaTheme="minorHAnsi"/>
      <w:color w:val="000000" w:themeColor="text1"/>
      <w:sz w:val="22"/>
      <w:szCs w:val="22"/>
      <w:lang w:val="es-MX" w:eastAsia="en-US"/>
    </w:rPr>
    <w:tblPr>
      <w:tblStyleRowBandSize w:val="1"/>
      <w:tblStyleColBandSize w:val="1"/>
      <w:tblInd w:w="0" w:type="dxa"/>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CellMar>
        <w:top w:w="0" w:type="dxa"/>
        <w:left w:w="108" w:type="dxa"/>
        <w:bottom w:w="0" w:type="dxa"/>
        <w:right w:w="108" w:type="dxa"/>
      </w:tblCellMar>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character" w:customStyle="1" w:styleId="Mencinsinresolver1">
    <w:name w:val="Mención sin resolver1"/>
    <w:basedOn w:val="Fuentedeprrafopredeter"/>
    <w:uiPriority w:val="99"/>
    <w:semiHidden/>
    <w:unhideWhenUsed/>
    <w:rsid w:val="007A729D"/>
    <w:rPr>
      <w:color w:val="605E5C"/>
      <w:shd w:val="clear" w:color="auto" w:fill="E1DFDD"/>
    </w:rPr>
  </w:style>
  <w:style w:type="character" w:styleId="Hipervnculovisitado">
    <w:name w:val="FollowedHyperlink"/>
    <w:basedOn w:val="Fuentedeprrafopredeter"/>
    <w:uiPriority w:val="99"/>
    <w:semiHidden/>
    <w:unhideWhenUsed/>
    <w:rsid w:val="007A729D"/>
    <w:rPr>
      <w:color w:val="800080" w:themeColor="followedHyperlink"/>
      <w:u w:val="single"/>
    </w:rPr>
  </w:style>
  <w:style w:type="character" w:customStyle="1" w:styleId="Mencinsinresolver2">
    <w:name w:val="Mención sin resolver2"/>
    <w:basedOn w:val="Fuentedeprrafopredeter"/>
    <w:uiPriority w:val="99"/>
    <w:semiHidden/>
    <w:unhideWhenUsed/>
    <w:rsid w:val="006C6C8C"/>
    <w:rPr>
      <w:color w:val="605E5C"/>
      <w:shd w:val="clear" w:color="auto" w:fill="E1DFDD"/>
    </w:rPr>
  </w:style>
  <w:style w:type="character" w:customStyle="1" w:styleId="Mencinsinresolver3">
    <w:name w:val="Mención sin resolver3"/>
    <w:basedOn w:val="Fuentedeprrafopredeter"/>
    <w:uiPriority w:val="99"/>
    <w:semiHidden/>
    <w:unhideWhenUsed/>
    <w:rsid w:val="006439A1"/>
    <w:rPr>
      <w:color w:val="605E5C"/>
      <w:shd w:val="clear" w:color="auto" w:fill="E1DFDD"/>
    </w:rPr>
  </w:style>
  <w:style w:type="paragraph" w:styleId="Listaconvietas2">
    <w:name w:val="List Bullet 2"/>
    <w:basedOn w:val="Normal"/>
    <w:uiPriority w:val="99"/>
    <w:unhideWhenUsed/>
    <w:rsid w:val="00D00269"/>
    <w:pPr>
      <w:numPr>
        <w:numId w:val="3"/>
      </w:numPr>
      <w:contextualSpacing/>
    </w:pPr>
    <w:rPr>
      <w:rFonts w:ascii="Times New Roman" w:eastAsia="Times New Roman" w:hAnsi="Times New Roman" w:cs="Times New Roman"/>
      <w:sz w:val="20"/>
      <w:szCs w:val="20"/>
    </w:rPr>
  </w:style>
  <w:style w:type="character" w:customStyle="1" w:styleId="UnresolvedMention">
    <w:name w:val="Unresolved Mention"/>
    <w:basedOn w:val="Fuentedeprrafopredeter"/>
    <w:uiPriority w:val="99"/>
    <w:semiHidden/>
    <w:unhideWhenUsed/>
    <w:rsid w:val="00FE3931"/>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89545121">
      <w:bodyDiv w:val="1"/>
      <w:marLeft w:val="0"/>
      <w:marRight w:val="0"/>
      <w:marTop w:val="0"/>
      <w:marBottom w:val="0"/>
      <w:divBdr>
        <w:top w:val="none" w:sz="0" w:space="0" w:color="auto"/>
        <w:left w:val="none" w:sz="0" w:space="0" w:color="auto"/>
        <w:bottom w:val="none" w:sz="0" w:space="0" w:color="auto"/>
        <w:right w:val="none" w:sz="0" w:space="0" w:color="auto"/>
      </w:divBdr>
    </w:div>
    <w:div w:id="123544718">
      <w:bodyDiv w:val="1"/>
      <w:marLeft w:val="0"/>
      <w:marRight w:val="0"/>
      <w:marTop w:val="0"/>
      <w:marBottom w:val="0"/>
      <w:divBdr>
        <w:top w:val="none" w:sz="0" w:space="0" w:color="auto"/>
        <w:left w:val="none" w:sz="0" w:space="0" w:color="auto"/>
        <w:bottom w:val="none" w:sz="0" w:space="0" w:color="auto"/>
        <w:right w:val="none" w:sz="0" w:space="0" w:color="auto"/>
      </w:divBdr>
    </w:div>
    <w:div w:id="128480642">
      <w:bodyDiv w:val="1"/>
      <w:marLeft w:val="0"/>
      <w:marRight w:val="0"/>
      <w:marTop w:val="0"/>
      <w:marBottom w:val="0"/>
      <w:divBdr>
        <w:top w:val="none" w:sz="0" w:space="0" w:color="auto"/>
        <w:left w:val="none" w:sz="0" w:space="0" w:color="auto"/>
        <w:bottom w:val="none" w:sz="0" w:space="0" w:color="auto"/>
        <w:right w:val="none" w:sz="0" w:space="0" w:color="auto"/>
      </w:divBdr>
    </w:div>
    <w:div w:id="159007640">
      <w:bodyDiv w:val="1"/>
      <w:marLeft w:val="0"/>
      <w:marRight w:val="0"/>
      <w:marTop w:val="0"/>
      <w:marBottom w:val="0"/>
      <w:divBdr>
        <w:top w:val="none" w:sz="0" w:space="0" w:color="auto"/>
        <w:left w:val="none" w:sz="0" w:space="0" w:color="auto"/>
        <w:bottom w:val="none" w:sz="0" w:space="0" w:color="auto"/>
        <w:right w:val="none" w:sz="0" w:space="0" w:color="auto"/>
      </w:divBdr>
    </w:div>
    <w:div w:id="178928491">
      <w:bodyDiv w:val="1"/>
      <w:marLeft w:val="0"/>
      <w:marRight w:val="0"/>
      <w:marTop w:val="0"/>
      <w:marBottom w:val="0"/>
      <w:divBdr>
        <w:top w:val="none" w:sz="0" w:space="0" w:color="auto"/>
        <w:left w:val="none" w:sz="0" w:space="0" w:color="auto"/>
        <w:bottom w:val="none" w:sz="0" w:space="0" w:color="auto"/>
        <w:right w:val="none" w:sz="0" w:space="0" w:color="auto"/>
      </w:divBdr>
    </w:div>
    <w:div w:id="199906510">
      <w:bodyDiv w:val="1"/>
      <w:marLeft w:val="0"/>
      <w:marRight w:val="0"/>
      <w:marTop w:val="0"/>
      <w:marBottom w:val="0"/>
      <w:divBdr>
        <w:top w:val="none" w:sz="0" w:space="0" w:color="auto"/>
        <w:left w:val="none" w:sz="0" w:space="0" w:color="auto"/>
        <w:bottom w:val="none" w:sz="0" w:space="0" w:color="auto"/>
        <w:right w:val="none" w:sz="0" w:space="0" w:color="auto"/>
      </w:divBdr>
    </w:div>
    <w:div w:id="229468170">
      <w:bodyDiv w:val="1"/>
      <w:marLeft w:val="0"/>
      <w:marRight w:val="0"/>
      <w:marTop w:val="0"/>
      <w:marBottom w:val="0"/>
      <w:divBdr>
        <w:top w:val="none" w:sz="0" w:space="0" w:color="auto"/>
        <w:left w:val="none" w:sz="0" w:space="0" w:color="auto"/>
        <w:bottom w:val="none" w:sz="0" w:space="0" w:color="auto"/>
        <w:right w:val="none" w:sz="0" w:space="0" w:color="auto"/>
      </w:divBdr>
    </w:div>
    <w:div w:id="233662111">
      <w:bodyDiv w:val="1"/>
      <w:marLeft w:val="0"/>
      <w:marRight w:val="0"/>
      <w:marTop w:val="0"/>
      <w:marBottom w:val="0"/>
      <w:divBdr>
        <w:top w:val="none" w:sz="0" w:space="0" w:color="auto"/>
        <w:left w:val="none" w:sz="0" w:space="0" w:color="auto"/>
        <w:bottom w:val="none" w:sz="0" w:space="0" w:color="auto"/>
        <w:right w:val="none" w:sz="0" w:space="0" w:color="auto"/>
      </w:divBdr>
    </w:div>
    <w:div w:id="244846823">
      <w:bodyDiv w:val="1"/>
      <w:marLeft w:val="0"/>
      <w:marRight w:val="0"/>
      <w:marTop w:val="0"/>
      <w:marBottom w:val="0"/>
      <w:divBdr>
        <w:top w:val="none" w:sz="0" w:space="0" w:color="auto"/>
        <w:left w:val="none" w:sz="0" w:space="0" w:color="auto"/>
        <w:bottom w:val="none" w:sz="0" w:space="0" w:color="auto"/>
        <w:right w:val="none" w:sz="0" w:space="0" w:color="auto"/>
      </w:divBdr>
    </w:div>
    <w:div w:id="299307674">
      <w:bodyDiv w:val="1"/>
      <w:marLeft w:val="0"/>
      <w:marRight w:val="0"/>
      <w:marTop w:val="0"/>
      <w:marBottom w:val="0"/>
      <w:divBdr>
        <w:top w:val="none" w:sz="0" w:space="0" w:color="auto"/>
        <w:left w:val="none" w:sz="0" w:space="0" w:color="auto"/>
        <w:bottom w:val="none" w:sz="0" w:space="0" w:color="auto"/>
        <w:right w:val="none" w:sz="0" w:space="0" w:color="auto"/>
      </w:divBdr>
    </w:div>
    <w:div w:id="336422383">
      <w:bodyDiv w:val="1"/>
      <w:marLeft w:val="0"/>
      <w:marRight w:val="0"/>
      <w:marTop w:val="0"/>
      <w:marBottom w:val="0"/>
      <w:divBdr>
        <w:top w:val="none" w:sz="0" w:space="0" w:color="auto"/>
        <w:left w:val="none" w:sz="0" w:space="0" w:color="auto"/>
        <w:bottom w:val="none" w:sz="0" w:space="0" w:color="auto"/>
        <w:right w:val="none" w:sz="0" w:space="0" w:color="auto"/>
      </w:divBdr>
    </w:div>
    <w:div w:id="359934883">
      <w:bodyDiv w:val="1"/>
      <w:marLeft w:val="0"/>
      <w:marRight w:val="0"/>
      <w:marTop w:val="0"/>
      <w:marBottom w:val="0"/>
      <w:divBdr>
        <w:top w:val="none" w:sz="0" w:space="0" w:color="auto"/>
        <w:left w:val="none" w:sz="0" w:space="0" w:color="auto"/>
        <w:bottom w:val="none" w:sz="0" w:space="0" w:color="auto"/>
        <w:right w:val="none" w:sz="0" w:space="0" w:color="auto"/>
      </w:divBdr>
    </w:div>
    <w:div w:id="410587037">
      <w:bodyDiv w:val="1"/>
      <w:marLeft w:val="0"/>
      <w:marRight w:val="0"/>
      <w:marTop w:val="0"/>
      <w:marBottom w:val="0"/>
      <w:divBdr>
        <w:top w:val="none" w:sz="0" w:space="0" w:color="auto"/>
        <w:left w:val="none" w:sz="0" w:space="0" w:color="auto"/>
        <w:bottom w:val="none" w:sz="0" w:space="0" w:color="auto"/>
        <w:right w:val="none" w:sz="0" w:space="0" w:color="auto"/>
      </w:divBdr>
    </w:div>
    <w:div w:id="455678494">
      <w:bodyDiv w:val="1"/>
      <w:marLeft w:val="0"/>
      <w:marRight w:val="0"/>
      <w:marTop w:val="0"/>
      <w:marBottom w:val="0"/>
      <w:divBdr>
        <w:top w:val="none" w:sz="0" w:space="0" w:color="auto"/>
        <w:left w:val="none" w:sz="0" w:space="0" w:color="auto"/>
        <w:bottom w:val="none" w:sz="0" w:space="0" w:color="auto"/>
        <w:right w:val="none" w:sz="0" w:space="0" w:color="auto"/>
      </w:divBdr>
    </w:div>
    <w:div w:id="458299988">
      <w:bodyDiv w:val="1"/>
      <w:marLeft w:val="0"/>
      <w:marRight w:val="0"/>
      <w:marTop w:val="0"/>
      <w:marBottom w:val="0"/>
      <w:divBdr>
        <w:top w:val="none" w:sz="0" w:space="0" w:color="auto"/>
        <w:left w:val="none" w:sz="0" w:space="0" w:color="auto"/>
        <w:bottom w:val="none" w:sz="0" w:space="0" w:color="auto"/>
        <w:right w:val="none" w:sz="0" w:space="0" w:color="auto"/>
      </w:divBdr>
    </w:div>
    <w:div w:id="458692762">
      <w:bodyDiv w:val="1"/>
      <w:marLeft w:val="0"/>
      <w:marRight w:val="0"/>
      <w:marTop w:val="0"/>
      <w:marBottom w:val="0"/>
      <w:divBdr>
        <w:top w:val="none" w:sz="0" w:space="0" w:color="auto"/>
        <w:left w:val="none" w:sz="0" w:space="0" w:color="auto"/>
        <w:bottom w:val="none" w:sz="0" w:space="0" w:color="auto"/>
        <w:right w:val="none" w:sz="0" w:space="0" w:color="auto"/>
      </w:divBdr>
    </w:div>
    <w:div w:id="515507803">
      <w:bodyDiv w:val="1"/>
      <w:marLeft w:val="0"/>
      <w:marRight w:val="0"/>
      <w:marTop w:val="0"/>
      <w:marBottom w:val="0"/>
      <w:divBdr>
        <w:top w:val="none" w:sz="0" w:space="0" w:color="auto"/>
        <w:left w:val="none" w:sz="0" w:space="0" w:color="auto"/>
        <w:bottom w:val="none" w:sz="0" w:space="0" w:color="auto"/>
        <w:right w:val="none" w:sz="0" w:space="0" w:color="auto"/>
      </w:divBdr>
      <w:divsChild>
        <w:div w:id="96409479">
          <w:marLeft w:val="0"/>
          <w:marRight w:val="0"/>
          <w:marTop w:val="0"/>
          <w:marBottom w:val="0"/>
          <w:divBdr>
            <w:top w:val="none" w:sz="0" w:space="0" w:color="auto"/>
            <w:left w:val="none" w:sz="0" w:space="0" w:color="auto"/>
            <w:bottom w:val="none" w:sz="0" w:space="0" w:color="auto"/>
            <w:right w:val="none" w:sz="0" w:space="0" w:color="auto"/>
          </w:divBdr>
          <w:divsChild>
            <w:div w:id="1325667516">
              <w:marLeft w:val="0"/>
              <w:marRight w:val="0"/>
              <w:marTop w:val="0"/>
              <w:marBottom w:val="0"/>
              <w:divBdr>
                <w:top w:val="none" w:sz="0" w:space="0" w:color="auto"/>
                <w:left w:val="none" w:sz="0" w:space="0" w:color="auto"/>
                <w:bottom w:val="none" w:sz="0" w:space="0" w:color="auto"/>
                <w:right w:val="none" w:sz="0" w:space="0" w:color="auto"/>
              </w:divBdr>
              <w:divsChild>
                <w:div w:id="10360823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35050367">
      <w:bodyDiv w:val="1"/>
      <w:marLeft w:val="0"/>
      <w:marRight w:val="0"/>
      <w:marTop w:val="0"/>
      <w:marBottom w:val="0"/>
      <w:divBdr>
        <w:top w:val="none" w:sz="0" w:space="0" w:color="auto"/>
        <w:left w:val="none" w:sz="0" w:space="0" w:color="auto"/>
        <w:bottom w:val="none" w:sz="0" w:space="0" w:color="auto"/>
        <w:right w:val="none" w:sz="0" w:space="0" w:color="auto"/>
      </w:divBdr>
    </w:div>
    <w:div w:id="587153094">
      <w:bodyDiv w:val="1"/>
      <w:marLeft w:val="0"/>
      <w:marRight w:val="0"/>
      <w:marTop w:val="0"/>
      <w:marBottom w:val="0"/>
      <w:divBdr>
        <w:top w:val="none" w:sz="0" w:space="0" w:color="auto"/>
        <w:left w:val="none" w:sz="0" w:space="0" w:color="auto"/>
        <w:bottom w:val="none" w:sz="0" w:space="0" w:color="auto"/>
        <w:right w:val="none" w:sz="0" w:space="0" w:color="auto"/>
      </w:divBdr>
    </w:div>
    <w:div w:id="607202878">
      <w:bodyDiv w:val="1"/>
      <w:marLeft w:val="0"/>
      <w:marRight w:val="0"/>
      <w:marTop w:val="0"/>
      <w:marBottom w:val="0"/>
      <w:divBdr>
        <w:top w:val="none" w:sz="0" w:space="0" w:color="auto"/>
        <w:left w:val="none" w:sz="0" w:space="0" w:color="auto"/>
        <w:bottom w:val="none" w:sz="0" w:space="0" w:color="auto"/>
        <w:right w:val="none" w:sz="0" w:space="0" w:color="auto"/>
      </w:divBdr>
    </w:div>
    <w:div w:id="608317878">
      <w:bodyDiv w:val="1"/>
      <w:marLeft w:val="0"/>
      <w:marRight w:val="0"/>
      <w:marTop w:val="0"/>
      <w:marBottom w:val="0"/>
      <w:divBdr>
        <w:top w:val="none" w:sz="0" w:space="0" w:color="auto"/>
        <w:left w:val="none" w:sz="0" w:space="0" w:color="auto"/>
        <w:bottom w:val="none" w:sz="0" w:space="0" w:color="auto"/>
        <w:right w:val="none" w:sz="0" w:space="0" w:color="auto"/>
      </w:divBdr>
    </w:div>
    <w:div w:id="613173790">
      <w:bodyDiv w:val="1"/>
      <w:marLeft w:val="0"/>
      <w:marRight w:val="0"/>
      <w:marTop w:val="0"/>
      <w:marBottom w:val="0"/>
      <w:divBdr>
        <w:top w:val="none" w:sz="0" w:space="0" w:color="auto"/>
        <w:left w:val="none" w:sz="0" w:space="0" w:color="auto"/>
        <w:bottom w:val="none" w:sz="0" w:space="0" w:color="auto"/>
        <w:right w:val="none" w:sz="0" w:space="0" w:color="auto"/>
      </w:divBdr>
    </w:div>
    <w:div w:id="615066028">
      <w:bodyDiv w:val="1"/>
      <w:marLeft w:val="0"/>
      <w:marRight w:val="0"/>
      <w:marTop w:val="0"/>
      <w:marBottom w:val="0"/>
      <w:divBdr>
        <w:top w:val="none" w:sz="0" w:space="0" w:color="auto"/>
        <w:left w:val="none" w:sz="0" w:space="0" w:color="auto"/>
        <w:bottom w:val="none" w:sz="0" w:space="0" w:color="auto"/>
        <w:right w:val="none" w:sz="0" w:space="0" w:color="auto"/>
      </w:divBdr>
    </w:div>
    <w:div w:id="623538688">
      <w:bodyDiv w:val="1"/>
      <w:marLeft w:val="0"/>
      <w:marRight w:val="0"/>
      <w:marTop w:val="0"/>
      <w:marBottom w:val="0"/>
      <w:divBdr>
        <w:top w:val="none" w:sz="0" w:space="0" w:color="auto"/>
        <w:left w:val="none" w:sz="0" w:space="0" w:color="auto"/>
        <w:bottom w:val="none" w:sz="0" w:space="0" w:color="auto"/>
        <w:right w:val="none" w:sz="0" w:space="0" w:color="auto"/>
      </w:divBdr>
    </w:div>
    <w:div w:id="632255553">
      <w:bodyDiv w:val="1"/>
      <w:marLeft w:val="0"/>
      <w:marRight w:val="0"/>
      <w:marTop w:val="0"/>
      <w:marBottom w:val="0"/>
      <w:divBdr>
        <w:top w:val="none" w:sz="0" w:space="0" w:color="auto"/>
        <w:left w:val="none" w:sz="0" w:space="0" w:color="auto"/>
        <w:bottom w:val="none" w:sz="0" w:space="0" w:color="auto"/>
        <w:right w:val="none" w:sz="0" w:space="0" w:color="auto"/>
      </w:divBdr>
    </w:div>
    <w:div w:id="705906966">
      <w:bodyDiv w:val="1"/>
      <w:marLeft w:val="0"/>
      <w:marRight w:val="0"/>
      <w:marTop w:val="0"/>
      <w:marBottom w:val="0"/>
      <w:divBdr>
        <w:top w:val="none" w:sz="0" w:space="0" w:color="auto"/>
        <w:left w:val="none" w:sz="0" w:space="0" w:color="auto"/>
        <w:bottom w:val="none" w:sz="0" w:space="0" w:color="auto"/>
        <w:right w:val="none" w:sz="0" w:space="0" w:color="auto"/>
      </w:divBdr>
    </w:div>
    <w:div w:id="709308793">
      <w:bodyDiv w:val="1"/>
      <w:marLeft w:val="0"/>
      <w:marRight w:val="0"/>
      <w:marTop w:val="0"/>
      <w:marBottom w:val="0"/>
      <w:divBdr>
        <w:top w:val="none" w:sz="0" w:space="0" w:color="auto"/>
        <w:left w:val="none" w:sz="0" w:space="0" w:color="auto"/>
        <w:bottom w:val="none" w:sz="0" w:space="0" w:color="auto"/>
        <w:right w:val="none" w:sz="0" w:space="0" w:color="auto"/>
      </w:divBdr>
    </w:div>
    <w:div w:id="721639954">
      <w:bodyDiv w:val="1"/>
      <w:marLeft w:val="0"/>
      <w:marRight w:val="0"/>
      <w:marTop w:val="0"/>
      <w:marBottom w:val="0"/>
      <w:divBdr>
        <w:top w:val="none" w:sz="0" w:space="0" w:color="auto"/>
        <w:left w:val="none" w:sz="0" w:space="0" w:color="auto"/>
        <w:bottom w:val="none" w:sz="0" w:space="0" w:color="auto"/>
        <w:right w:val="none" w:sz="0" w:space="0" w:color="auto"/>
      </w:divBdr>
    </w:div>
    <w:div w:id="734930689">
      <w:bodyDiv w:val="1"/>
      <w:marLeft w:val="0"/>
      <w:marRight w:val="0"/>
      <w:marTop w:val="0"/>
      <w:marBottom w:val="0"/>
      <w:divBdr>
        <w:top w:val="none" w:sz="0" w:space="0" w:color="auto"/>
        <w:left w:val="none" w:sz="0" w:space="0" w:color="auto"/>
        <w:bottom w:val="none" w:sz="0" w:space="0" w:color="auto"/>
        <w:right w:val="none" w:sz="0" w:space="0" w:color="auto"/>
      </w:divBdr>
    </w:div>
    <w:div w:id="742147525">
      <w:bodyDiv w:val="1"/>
      <w:marLeft w:val="0"/>
      <w:marRight w:val="0"/>
      <w:marTop w:val="0"/>
      <w:marBottom w:val="0"/>
      <w:divBdr>
        <w:top w:val="none" w:sz="0" w:space="0" w:color="auto"/>
        <w:left w:val="none" w:sz="0" w:space="0" w:color="auto"/>
        <w:bottom w:val="none" w:sz="0" w:space="0" w:color="auto"/>
        <w:right w:val="none" w:sz="0" w:space="0" w:color="auto"/>
      </w:divBdr>
    </w:div>
    <w:div w:id="825440502">
      <w:bodyDiv w:val="1"/>
      <w:marLeft w:val="0"/>
      <w:marRight w:val="0"/>
      <w:marTop w:val="0"/>
      <w:marBottom w:val="0"/>
      <w:divBdr>
        <w:top w:val="none" w:sz="0" w:space="0" w:color="auto"/>
        <w:left w:val="none" w:sz="0" w:space="0" w:color="auto"/>
        <w:bottom w:val="none" w:sz="0" w:space="0" w:color="auto"/>
        <w:right w:val="none" w:sz="0" w:space="0" w:color="auto"/>
      </w:divBdr>
      <w:divsChild>
        <w:div w:id="431822537">
          <w:marLeft w:val="0"/>
          <w:marRight w:val="0"/>
          <w:marTop w:val="0"/>
          <w:marBottom w:val="0"/>
          <w:divBdr>
            <w:top w:val="none" w:sz="0" w:space="0" w:color="auto"/>
            <w:left w:val="none" w:sz="0" w:space="0" w:color="auto"/>
            <w:bottom w:val="none" w:sz="0" w:space="0" w:color="auto"/>
            <w:right w:val="none" w:sz="0" w:space="0" w:color="auto"/>
          </w:divBdr>
          <w:divsChild>
            <w:div w:id="1490945959">
              <w:marLeft w:val="0"/>
              <w:marRight w:val="0"/>
              <w:marTop w:val="0"/>
              <w:marBottom w:val="0"/>
              <w:divBdr>
                <w:top w:val="none" w:sz="0" w:space="0" w:color="auto"/>
                <w:left w:val="none" w:sz="0" w:space="0" w:color="auto"/>
                <w:bottom w:val="none" w:sz="0" w:space="0" w:color="auto"/>
                <w:right w:val="none" w:sz="0" w:space="0" w:color="auto"/>
              </w:divBdr>
              <w:divsChild>
                <w:div w:id="1129862155">
                  <w:marLeft w:val="0"/>
                  <w:marRight w:val="0"/>
                  <w:marTop w:val="0"/>
                  <w:marBottom w:val="0"/>
                  <w:divBdr>
                    <w:top w:val="none" w:sz="0" w:space="0" w:color="auto"/>
                    <w:left w:val="none" w:sz="0" w:space="0" w:color="auto"/>
                    <w:bottom w:val="none" w:sz="0" w:space="0" w:color="auto"/>
                    <w:right w:val="none" w:sz="0" w:space="0" w:color="auto"/>
                  </w:divBdr>
                  <w:divsChild>
                    <w:div w:id="1361979587">
                      <w:marLeft w:val="0"/>
                      <w:marRight w:val="0"/>
                      <w:marTop w:val="0"/>
                      <w:marBottom w:val="0"/>
                      <w:divBdr>
                        <w:top w:val="none" w:sz="0" w:space="0" w:color="auto"/>
                        <w:left w:val="none" w:sz="0" w:space="0" w:color="auto"/>
                        <w:bottom w:val="none" w:sz="0" w:space="0" w:color="auto"/>
                        <w:right w:val="none" w:sz="0" w:space="0" w:color="auto"/>
                      </w:divBdr>
                      <w:divsChild>
                        <w:div w:id="820656658">
                          <w:marLeft w:val="0"/>
                          <w:marRight w:val="0"/>
                          <w:marTop w:val="0"/>
                          <w:marBottom w:val="0"/>
                          <w:divBdr>
                            <w:top w:val="none" w:sz="0" w:space="0" w:color="auto"/>
                            <w:left w:val="none" w:sz="0" w:space="0" w:color="auto"/>
                            <w:bottom w:val="none" w:sz="0" w:space="0" w:color="auto"/>
                            <w:right w:val="none" w:sz="0" w:space="0" w:color="auto"/>
                          </w:divBdr>
                          <w:divsChild>
                            <w:div w:id="1541090839">
                              <w:marLeft w:val="0"/>
                              <w:marRight w:val="0"/>
                              <w:marTop w:val="0"/>
                              <w:marBottom w:val="0"/>
                              <w:divBdr>
                                <w:top w:val="none" w:sz="0" w:space="0" w:color="auto"/>
                                <w:left w:val="none" w:sz="0" w:space="0" w:color="auto"/>
                                <w:bottom w:val="none" w:sz="0" w:space="0" w:color="auto"/>
                                <w:right w:val="none" w:sz="0" w:space="0" w:color="auto"/>
                              </w:divBdr>
                              <w:divsChild>
                                <w:div w:id="651564776">
                                  <w:marLeft w:val="0"/>
                                  <w:marRight w:val="0"/>
                                  <w:marTop w:val="0"/>
                                  <w:marBottom w:val="0"/>
                                  <w:divBdr>
                                    <w:top w:val="none" w:sz="0" w:space="0" w:color="auto"/>
                                    <w:left w:val="none" w:sz="0" w:space="0" w:color="auto"/>
                                    <w:bottom w:val="none" w:sz="0" w:space="0" w:color="auto"/>
                                    <w:right w:val="none" w:sz="0" w:space="0" w:color="auto"/>
                                  </w:divBdr>
                                  <w:divsChild>
                                    <w:div w:id="1808088803">
                                      <w:marLeft w:val="0"/>
                                      <w:marRight w:val="0"/>
                                      <w:marTop w:val="0"/>
                                      <w:marBottom w:val="0"/>
                                      <w:divBdr>
                                        <w:top w:val="none" w:sz="0" w:space="0" w:color="auto"/>
                                        <w:left w:val="none" w:sz="0" w:space="0" w:color="auto"/>
                                        <w:bottom w:val="none" w:sz="0" w:space="0" w:color="auto"/>
                                        <w:right w:val="none" w:sz="0" w:space="0" w:color="auto"/>
                                      </w:divBdr>
                                      <w:divsChild>
                                        <w:div w:id="1280141866">
                                          <w:marLeft w:val="0"/>
                                          <w:marRight w:val="0"/>
                                          <w:marTop w:val="0"/>
                                          <w:marBottom w:val="0"/>
                                          <w:divBdr>
                                            <w:top w:val="none" w:sz="0" w:space="0" w:color="auto"/>
                                            <w:left w:val="none" w:sz="0" w:space="0" w:color="auto"/>
                                            <w:bottom w:val="none" w:sz="0" w:space="0" w:color="auto"/>
                                            <w:right w:val="none" w:sz="0" w:space="0" w:color="auto"/>
                                          </w:divBdr>
                                          <w:divsChild>
                                            <w:div w:id="1943880410">
                                              <w:marLeft w:val="0"/>
                                              <w:marRight w:val="0"/>
                                              <w:marTop w:val="0"/>
                                              <w:marBottom w:val="0"/>
                                              <w:divBdr>
                                                <w:top w:val="single" w:sz="12" w:space="2" w:color="FFFFCC"/>
                                                <w:left w:val="single" w:sz="12" w:space="2" w:color="FFFFCC"/>
                                                <w:bottom w:val="single" w:sz="12" w:space="2" w:color="FFFFCC"/>
                                                <w:right w:val="single" w:sz="12" w:space="0" w:color="FFFFCC"/>
                                              </w:divBdr>
                                              <w:divsChild>
                                                <w:div w:id="1037853559">
                                                  <w:marLeft w:val="0"/>
                                                  <w:marRight w:val="0"/>
                                                  <w:marTop w:val="0"/>
                                                  <w:marBottom w:val="0"/>
                                                  <w:divBdr>
                                                    <w:top w:val="none" w:sz="0" w:space="0" w:color="auto"/>
                                                    <w:left w:val="none" w:sz="0" w:space="0" w:color="auto"/>
                                                    <w:bottom w:val="none" w:sz="0" w:space="0" w:color="auto"/>
                                                    <w:right w:val="none" w:sz="0" w:space="0" w:color="auto"/>
                                                  </w:divBdr>
                                                  <w:divsChild>
                                                    <w:div w:id="237793042">
                                                      <w:marLeft w:val="0"/>
                                                      <w:marRight w:val="0"/>
                                                      <w:marTop w:val="0"/>
                                                      <w:marBottom w:val="0"/>
                                                      <w:divBdr>
                                                        <w:top w:val="none" w:sz="0" w:space="0" w:color="auto"/>
                                                        <w:left w:val="none" w:sz="0" w:space="0" w:color="auto"/>
                                                        <w:bottom w:val="none" w:sz="0" w:space="0" w:color="auto"/>
                                                        <w:right w:val="none" w:sz="0" w:space="0" w:color="auto"/>
                                                      </w:divBdr>
                                                      <w:divsChild>
                                                        <w:div w:id="526220023">
                                                          <w:marLeft w:val="0"/>
                                                          <w:marRight w:val="0"/>
                                                          <w:marTop w:val="0"/>
                                                          <w:marBottom w:val="0"/>
                                                          <w:divBdr>
                                                            <w:top w:val="none" w:sz="0" w:space="0" w:color="auto"/>
                                                            <w:left w:val="none" w:sz="0" w:space="0" w:color="auto"/>
                                                            <w:bottom w:val="none" w:sz="0" w:space="0" w:color="auto"/>
                                                            <w:right w:val="none" w:sz="0" w:space="0" w:color="auto"/>
                                                          </w:divBdr>
                                                          <w:divsChild>
                                                            <w:div w:id="1194615489">
                                                              <w:marLeft w:val="0"/>
                                                              <w:marRight w:val="0"/>
                                                              <w:marTop w:val="0"/>
                                                              <w:marBottom w:val="0"/>
                                                              <w:divBdr>
                                                                <w:top w:val="none" w:sz="0" w:space="0" w:color="auto"/>
                                                                <w:left w:val="none" w:sz="0" w:space="0" w:color="auto"/>
                                                                <w:bottom w:val="none" w:sz="0" w:space="0" w:color="auto"/>
                                                                <w:right w:val="none" w:sz="0" w:space="0" w:color="auto"/>
                                                              </w:divBdr>
                                                              <w:divsChild>
                                                                <w:div w:id="887297614">
                                                                  <w:marLeft w:val="0"/>
                                                                  <w:marRight w:val="0"/>
                                                                  <w:marTop w:val="0"/>
                                                                  <w:marBottom w:val="0"/>
                                                                  <w:divBdr>
                                                                    <w:top w:val="none" w:sz="0" w:space="0" w:color="auto"/>
                                                                    <w:left w:val="none" w:sz="0" w:space="0" w:color="auto"/>
                                                                    <w:bottom w:val="none" w:sz="0" w:space="0" w:color="auto"/>
                                                                    <w:right w:val="none" w:sz="0" w:space="0" w:color="auto"/>
                                                                  </w:divBdr>
                                                                  <w:divsChild>
                                                                    <w:div w:id="199243316">
                                                                      <w:marLeft w:val="0"/>
                                                                      <w:marRight w:val="0"/>
                                                                      <w:marTop w:val="0"/>
                                                                      <w:marBottom w:val="0"/>
                                                                      <w:divBdr>
                                                                        <w:top w:val="none" w:sz="0" w:space="0" w:color="auto"/>
                                                                        <w:left w:val="none" w:sz="0" w:space="0" w:color="auto"/>
                                                                        <w:bottom w:val="none" w:sz="0" w:space="0" w:color="auto"/>
                                                                        <w:right w:val="none" w:sz="0" w:space="0" w:color="auto"/>
                                                                      </w:divBdr>
                                                                      <w:divsChild>
                                                                        <w:div w:id="996499089">
                                                                          <w:marLeft w:val="0"/>
                                                                          <w:marRight w:val="0"/>
                                                                          <w:marTop w:val="0"/>
                                                                          <w:marBottom w:val="0"/>
                                                                          <w:divBdr>
                                                                            <w:top w:val="none" w:sz="0" w:space="0" w:color="auto"/>
                                                                            <w:left w:val="none" w:sz="0" w:space="0" w:color="auto"/>
                                                                            <w:bottom w:val="none" w:sz="0" w:space="0" w:color="auto"/>
                                                                            <w:right w:val="none" w:sz="0" w:space="0" w:color="auto"/>
                                                                          </w:divBdr>
                                                                          <w:divsChild>
                                                                            <w:div w:id="192349002">
                                                                              <w:marLeft w:val="0"/>
                                                                              <w:marRight w:val="0"/>
                                                                              <w:marTop w:val="0"/>
                                                                              <w:marBottom w:val="0"/>
                                                                              <w:divBdr>
                                                                                <w:top w:val="none" w:sz="0" w:space="0" w:color="auto"/>
                                                                                <w:left w:val="none" w:sz="0" w:space="0" w:color="auto"/>
                                                                                <w:bottom w:val="none" w:sz="0" w:space="0" w:color="auto"/>
                                                                                <w:right w:val="none" w:sz="0" w:space="0" w:color="auto"/>
                                                                              </w:divBdr>
                                                                              <w:divsChild>
                                                                                <w:div w:id="268781470">
                                                                                  <w:marLeft w:val="0"/>
                                                                                  <w:marRight w:val="0"/>
                                                                                  <w:marTop w:val="0"/>
                                                                                  <w:marBottom w:val="0"/>
                                                                                  <w:divBdr>
                                                                                    <w:top w:val="none" w:sz="0" w:space="0" w:color="auto"/>
                                                                                    <w:left w:val="none" w:sz="0" w:space="0" w:color="auto"/>
                                                                                    <w:bottom w:val="none" w:sz="0" w:space="0" w:color="auto"/>
                                                                                    <w:right w:val="none" w:sz="0" w:space="0" w:color="auto"/>
                                                                                  </w:divBdr>
                                                                                  <w:divsChild>
                                                                                    <w:div w:id="1675376180">
                                                                                      <w:marLeft w:val="0"/>
                                                                                      <w:marRight w:val="0"/>
                                                                                      <w:marTop w:val="0"/>
                                                                                      <w:marBottom w:val="0"/>
                                                                                      <w:divBdr>
                                                                                        <w:top w:val="none" w:sz="0" w:space="0" w:color="auto"/>
                                                                                        <w:left w:val="none" w:sz="0" w:space="0" w:color="auto"/>
                                                                                        <w:bottom w:val="none" w:sz="0" w:space="0" w:color="auto"/>
                                                                                        <w:right w:val="none" w:sz="0" w:space="0" w:color="auto"/>
                                                                                      </w:divBdr>
                                                                                      <w:divsChild>
                                                                                        <w:div w:id="818958351">
                                                                                          <w:marLeft w:val="0"/>
                                                                                          <w:marRight w:val="120"/>
                                                                                          <w:marTop w:val="0"/>
                                                                                          <w:marBottom w:val="150"/>
                                                                                          <w:divBdr>
                                                                                            <w:top w:val="single" w:sz="2" w:space="0" w:color="EFEFEF"/>
                                                                                            <w:left w:val="single" w:sz="6" w:space="0" w:color="EFEFEF"/>
                                                                                            <w:bottom w:val="single" w:sz="6" w:space="0" w:color="E2E2E2"/>
                                                                                            <w:right w:val="single" w:sz="6" w:space="0" w:color="EFEFEF"/>
                                                                                          </w:divBdr>
                                                                                          <w:divsChild>
                                                                                            <w:div w:id="443884077">
                                                                                              <w:marLeft w:val="0"/>
                                                                                              <w:marRight w:val="0"/>
                                                                                              <w:marTop w:val="0"/>
                                                                                              <w:marBottom w:val="0"/>
                                                                                              <w:divBdr>
                                                                                                <w:top w:val="none" w:sz="0" w:space="0" w:color="auto"/>
                                                                                                <w:left w:val="none" w:sz="0" w:space="0" w:color="auto"/>
                                                                                                <w:bottom w:val="none" w:sz="0" w:space="0" w:color="auto"/>
                                                                                                <w:right w:val="none" w:sz="0" w:space="0" w:color="auto"/>
                                                                                              </w:divBdr>
                                                                                              <w:divsChild>
                                                                                                <w:div w:id="49883887">
                                                                                                  <w:marLeft w:val="0"/>
                                                                                                  <w:marRight w:val="0"/>
                                                                                                  <w:marTop w:val="0"/>
                                                                                                  <w:marBottom w:val="0"/>
                                                                                                  <w:divBdr>
                                                                                                    <w:top w:val="none" w:sz="0" w:space="0" w:color="auto"/>
                                                                                                    <w:left w:val="none" w:sz="0" w:space="0" w:color="auto"/>
                                                                                                    <w:bottom w:val="none" w:sz="0" w:space="0" w:color="auto"/>
                                                                                                    <w:right w:val="none" w:sz="0" w:space="0" w:color="auto"/>
                                                                                                  </w:divBdr>
                                                                                                  <w:divsChild>
                                                                                                    <w:div w:id="1645088632">
                                                                                                      <w:marLeft w:val="0"/>
                                                                                                      <w:marRight w:val="0"/>
                                                                                                      <w:marTop w:val="0"/>
                                                                                                      <w:marBottom w:val="0"/>
                                                                                                      <w:divBdr>
                                                                                                        <w:top w:val="none" w:sz="0" w:space="0" w:color="auto"/>
                                                                                                        <w:left w:val="none" w:sz="0" w:space="0" w:color="auto"/>
                                                                                                        <w:bottom w:val="none" w:sz="0" w:space="0" w:color="auto"/>
                                                                                                        <w:right w:val="none" w:sz="0" w:space="0" w:color="auto"/>
                                                                                                      </w:divBdr>
                                                                                                      <w:divsChild>
                                                                                                        <w:div w:id="888154538">
                                                                                                          <w:marLeft w:val="0"/>
                                                                                                          <w:marRight w:val="0"/>
                                                                                                          <w:marTop w:val="0"/>
                                                                                                          <w:marBottom w:val="0"/>
                                                                                                          <w:divBdr>
                                                                                                            <w:top w:val="none" w:sz="0" w:space="0" w:color="auto"/>
                                                                                                            <w:left w:val="none" w:sz="0" w:space="0" w:color="auto"/>
                                                                                                            <w:bottom w:val="none" w:sz="0" w:space="0" w:color="auto"/>
                                                                                                            <w:right w:val="none" w:sz="0" w:space="0" w:color="auto"/>
                                                                                                          </w:divBdr>
                                                                                                          <w:divsChild>
                                                                                                            <w:div w:id="438187754">
                                                                                                              <w:marLeft w:val="0"/>
                                                                                                              <w:marRight w:val="0"/>
                                                                                                              <w:marTop w:val="0"/>
                                                                                                              <w:marBottom w:val="0"/>
                                                                                                              <w:divBdr>
                                                                                                                <w:top w:val="single" w:sz="2" w:space="4" w:color="D8D8D8"/>
                                                                                                                <w:left w:val="single" w:sz="2" w:space="0" w:color="D8D8D8"/>
                                                                                                                <w:bottom w:val="single" w:sz="2" w:space="4" w:color="D8D8D8"/>
                                                                                                                <w:right w:val="single" w:sz="2" w:space="0" w:color="D8D8D8"/>
                                                                                                              </w:divBdr>
                                                                                                              <w:divsChild>
                                                                                                                <w:div w:id="964654766">
                                                                                                                  <w:marLeft w:val="225"/>
                                                                                                                  <w:marRight w:val="225"/>
                                                                                                                  <w:marTop w:val="75"/>
                                                                                                                  <w:marBottom w:val="75"/>
                                                                                                                  <w:divBdr>
                                                                                                                    <w:top w:val="none" w:sz="0" w:space="0" w:color="auto"/>
                                                                                                                    <w:left w:val="none" w:sz="0" w:space="0" w:color="auto"/>
                                                                                                                    <w:bottom w:val="none" w:sz="0" w:space="0" w:color="auto"/>
                                                                                                                    <w:right w:val="none" w:sz="0" w:space="0" w:color="auto"/>
                                                                                                                  </w:divBdr>
                                                                                                                  <w:divsChild>
                                                                                                                    <w:div w:id="531114085">
                                                                                                                      <w:marLeft w:val="0"/>
                                                                                                                      <w:marRight w:val="0"/>
                                                                                                                      <w:marTop w:val="0"/>
                                                                                                                      <w:marBottom w:val="0"/>
                                                                                                                      <w:divBdr>
                                                                                                                        <w:top w:val="single" w:sz="6" w:space="0" w:color="auto"/>
                                                                                                                        <w:left w:val="single" w:sz="6" w:space="0" w:color="auto"/>
                                                                                                                        <w:bottom w:val="single" w:sz="6" w:space="0" w:color="auto"/>
                                                                                                                        <w:right w:val="single" w:sz="6" w:space="0" w:color="auto"/>
                                                                                                                      </w:divBdr>
                                                                                                                      <w:divsChild>
                                                                                                                        <w:div w:id="15477931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849101349">
      <w:bodyDiv w:val="1"/>
      <w:marLeft w:val="0"/>
      <w:marRight w:val="0"/>
      <w:marTop w:val="0"/>
      <w:marBottom w:val="0"/>
      <w:divBdr>
        <w:top w:val="none" w:sz="0" w:space="0" w:color="auto"/>
        <w:left w:val="none" w:sz="0" w:space="0" w:color="auto"/>
        <w:bottom w:val="none" w:sz="0" w:space="0" w:color="auto"/>
        <w:right w:val="none" w:sz="0" w:space="0" w:color="auto"/>
      </w:divBdr>
    </w:div>
    <w:div w:id="864292642">
      <w:bodyDiv w:val="1"/>
      <w:marLeft w:val="0"/>
      <w:marRight w:val="0"/>
      <w:marTop w:val="0"/>
      <w:marBottom w:val="0"/>
      <w:divBdr>
        <w:top w:val="none" w:sz="0" w:space="0" w:color="auto"/>
        <w:left w:val="none" w:sz="0" w:space="0" w:color="auto"/>
        <w:bottom w:val="none" w:sz="0" w:space="0" w:color="auto"/>
        <w:right w:val="none" w:sz="0" w:space="0" w:color="auto"/>
      </w:divBdr>
    </w:div>
    <w:div w:id="889271280">
      <w:bodyDiv w:val="1"/>
      <w:marLeft w:val="0"/>
      <w:marRight w:val="0"/>
      <w:marTop w:val="0"/>
      <w:marBottom w:val="0"/>
      <w:divBdr>
        <w:top w:val="none" w:sz="0" w:space="0" w:color="auto"/>
        <w:left w:val="none" w:sz="0" w:space="0" w:color="auto"/>
        <w:bottom w:val="none" w:sz="0" w:space="0" w:color="auto"/>
        <w:right w:val="none" w:sz="0" w:space="0" w:color="auto"/>
      </w:divBdr>
    </w:div>
    <w:div w:id="907113895">
      <w:bodyDiv w:val="1"/>
      <w:marLeft w:val="0"/>
      <w:marRight w:val="0"/>
      <w:marTop w:val="0"/>
      <w:marBottom w:val="0"/>
      <w:divBdr>
        <w:top w:val="none" w:sz="0" w:space="0" w:color="auto"/>
        <w:left w:val="none" w:sz="0" w:space="0" w:color="auto"/>
        <w:bottom w:val="none" w:sz="0" w:space="0" w:color="auto"/>
        <w:right w:val="none" w:sz="0" w:space="0" w:color="auto"/>
      </w:divBdr>
    </w:div>
    <w:div w:id="911232922">
      <w:bodyDiv w:val="1"/>
      <w:marLeft w:val="0"/>
      <w:marRight w:val="0"/>
      <w:marTop w:val="0"/>
      <w:marBottom w:val="0"/>
      <w:divBdr>
        <w:top w:val="none" w:sz="0" w:space="0" w:color="auto"/>
        <w:left w:val="none" w:sz="0" w:space="0" w:color="auto"/>
        <w:bottom w:val="none" w:sz="0" w:space="0" w:color="auto"/>
        <w:right w:val="none" w:sz="0" w:space="0" w:color="auto"/>
      </w:divBdr>
    </w:div>
    <w:div w:id="912467891">
      <w:bodyDiv w:val="1"/>
      <w:marLeft w:val="0"/>
      <w:marRight w:val="0"/>
      <w:marTop w:val="0"/>
      <w:marBottom w:val="0"/>
      <w:divBdr>
        <w:top w:val="none" w:sz="0" w:space="0" w:color="auto"/>
        <w:left w:val="none" w:sz="0" w:space="0" w:color="auto"/>
        <w:bottom w:val="none" w:sz="0" w:space="0" w:color="auto"/>
        <w:right w:val="none" w:sz="0" w:space="0" w:color="auto"/>
      </w:divBdr>
      <w:divsChild>
        <w:div w:id="1806240640">
          <w:marLeft w:val="0"/>
          <w:marRight w:val="0"/>
          <w:marTop w:val="0"/>
          <w:marBottom w:val="0"/>
          <w:divBdr>
            <w:top w:val="none" w:sz="0" w:space="0" w:color="auto"/>
            <w:left w:val="none" w:sz="0" w:space="0" w:color="auto"/>
            <w:bottom w:val="none" w:sz="0" w:space="0" w:color="auto"/>
            <w:right w:val="none" w:sz="0" w:space="0" w:color="auto"/>
          </w:divBdr>
        </w:div>
      </w:divsChild>
    </w:div>
    <w:div w:id="931008869">
      <w:bodyDiv w:val="1"/>
      <w:marLeft w:val="0"/>
      <w:marRight w:val="0"/>
      <w:marTop w:val="0"/>
      <w:marBottom w:val="0"/>
      <w:divBdr>
        <w:top w:val="none" w:sz="0" w:space="0" w:color="auto"/>
        <w:left w:val="none" w:sz="0" w:space="0" w:color="auto"/>
        <w:bottom w:val="none" w:sz="0" w:space="0" w:color="auto"/>
        <w:right w:val="none" w:sz="0" w:space="0" w:color="auto"/>
      </w:divBdr>
    </w:div>
    <w:div w:id="960647787">
      <w:bodyDiv w:val="1"/>
      <w:marLeft w:val="0"/>
      <w:marRight w:val="0"/>
      <w:marTop w:val="0"/>
      <w:marBottom w:val="0"/>
      <w:divBdr>
        <w:top w:val="none" w:sz="0" w:space="0" w:color="auto"/>
        <w:left w:val="none" w:sz="0" w:space="0" w:color="auto"/>
        <w:bottom w:val="none" w:sz="0" w:space="0" w:color="auto"/>
        <w:right w:val="none" w:sz="0" w:space="0" w:color="auto"/>
      </w:divBdr>
    </w:div>
    <w:div w:id="988553983">
      <w:bodyDiv w:val="1"/>
      <w:marLeft w:val="0"/>
      <w:marRight w:val="0"/>
      <w:marTop w:val="0"/>
      <w:marBottom w:val="0"/>
      <w:divBdr>
        <w:top w:val="none" w:sz="0" w:space="0" w:color="auto"/>
        <w:left w:val="none" w:sz="0" w:space="0" w:color="auto"/>
        <w:bottom w:val="none" w:sz="0" w:space="0" w:color="auto"/>
        <w:right w:val="none" w:sz="0" w:space="0" w:color="auto"/>
      </w:divBdr>
    </w:div>
    <w:div w:id="1076434733">
      <w:bodyDiv w:val="1"/>
      <w:marLeft w:val="0"/>
      <w:marRight w:val="0"/>
      <w:marTop w:val="0"/>
      <w:marBottom w:val="0"/>
      <w:divBdr>
        <w:top w:val="none" w:sz="0" w:space="0" w:color="auto"/>
        <w:left w:val="none" w:sz="0" w:space="0" w:color="auto"/>
        <w:bottom w:val="none" w:sz="0" w:space="0" w:color="auto"/>
        <w:right w:val="none" w:sz="0" w:space="0" w:color="auto"/>
      </w:divBdr>
    </w:div>
    <w:div w:id="1084187191">
      <w:bodyDiv w:val="1"/>
      <w:marLeft w:val="0"/>
      <w:marRight w:val="0"/>
      <w:marTop w:val="0"/>
      <w:marBottom w:val="0"/>
      <w:divBdr>
        <w:top w:val="none" w:sz="0" w:space="0" w:color="auto"/>
        <w:left w:val="none" w:sz="0" w:space="0" w:color="auto"/>
        <w:bottom w:val="none" w:sz="0" w:space="0" w:color="auto"/>
        <w:right w:val="none" w:sz="0" w:space="0" w:color="auto"/>
      </w:divBdr>
    </w:div>
    <w:div w:id="1100950171">
      <w:bodyDiv w:val="1"/>
      <w:marLeft w:val="0"/>
      <w:marRight w:val="0"/>
      <w:marTop w:val="0"/>
      <w:marBottom w:val="0"/>
      <w:divBdr>
        <w:top w:val="none" w:sz="0" w:space="0" w:color="auto"/>
        <w:left w:val="none" w:sz="0" w:space="0" w:color="auto"/>
        <w:bottom w:val="none" w:sz="0" w:space="0" w:color="auto"/>
        <w:right w:val="none" w:sz="0" w:space="0" w:color="auto"/>
      </w:divBdr>
    </w:div>
    <w:div w:id="1107774790">
      <w:bodyDiv w:val="1"/>
      <w:marLeft w:val="0"/>
      <w:marRight w:val="0"/>
      <w:marTop w:val="0"/>
      <w:marBottom w:val="0"/>
      <w:divBdr>
        <w:top w:val="none" w:sz="0" w:space="0" w:color="auto"/>
        <w:left w:val="none" w:sz="0" w:space="0" w:color="auto"/>
        <w:bottom w:val="none" w:sz="0" w:space="0" w:color="auto"/>
        <w:right w:val="none" w:sz="0" w:space="0" w:color="auto"/>
      </w:divBdr>
    </w:div>
    <w:div w:id="1205866358">
      <w:bodyDiv w:val="1"/>
      <w:marLeft w:val="0"/>
      <w:marRight w:val="0"/>
      <w:marTop w:val="0"/>
      <w:marBottom w:val="0"/>
      <w:divBdr>
        <w:top w:val="none" w:sz="0" w:space="0" w:color="auto"/>
        <w:left w:val="none" w:sz="0" w:space="0" w:color="auto"/>
        <w:bottom w:val="none" w:sz="0" w:space="0" w:color="auto"/>
        <w:right w:val="none" w:sz="0" w:space="0" w:color="auto"/>
      </w:divBdr>
    </w:div>
    <w:div w:id="1232420507">
      <w:bodyDiv w:val="1"/>
      <w:marLeft w:val="0"/>
      <w:marRight w:val="0"/>
      <w:marTop w:val="0"/>
      <w:marBottom w:val="0"/>
      <w:divBdr>
        <w:top w:val="none" w:sz="0" w:space="0" w:color="auto"/>
        <w:left w:val="none" w:sz="0" w:space="0" w:color="auto"/>
        <w:bottom w:val="none" w:sz="0" w:space="0" w:color="auto"/>
        <w:right w:val="none" w:sz="0" w:space="0" w:color="auto"/>
      </w:divBdr>
    </w:div>
    <w:div w:id="1244220483">
      <w:bodyDiv w:val="1"/>
      <w:marLeft w:val="0"/>
      <w:marRight w:val="0"/>
      <w:marTop w:val="0"/>
      <w:marBottom w:val="0"/>
      <w:divBdr>
        <w:top w:val="none" w:sz="0" w:space="0" w:color="auto"/>
        <w:left w:val="none" w:sz="0" w:space="0" w:color="auto"/>
        <w:bottom w:val="none" w:sz="0" w:space="0" w:color="auto"/>
        <w:right w:val="none" w:sz="0" w:space="0" w:color="auto"/>
      </w:divBdr>
    </w:div>
    <w:div w:id="1251309565">
      <w:bodyDiv w:val="1"/>
      <w:marLeft w:val="0"/>
      <w:marRight w:val="0"/>
      <w:marTop w:val="0"/>
      <w:marBottom w:val="0"/>
      <w:divBdr>
        <w:top w:val="none" w:sz="0" w:space="0" w:color="auto"/>
        <w:left w:val="none" w:sz="0" w:space="0" w:color="auto"/>
        <w:bottom w:val="none" w:sz="0" w:space="0" w:color="auto"/>
        <w:right w:val="none" w:sz="0" w:space="0" w:color="auto"/>
      </w:divBdr>
    </w:div>
    <w:div w:id="1262496299">
      <w:bodyDiv w:val="1"/>
      <w:marLeft w:val="0"/>
      <w:marRight w:val="0"/>
      <w:marTop w:val="0"/>
      <w:marBottom w:val="0"/>
      <w:divBdr>
        <w:top w:val="none" w:sz="0" w:space="0" w:color="auto"/>
        <w:left w:val="none" w:sz="0" w:space="0" w:color="auto"/>
        <w:bottom w:val="none" w:sz="0" w:space="0" w:color="auto"/>
        <w:right w:val="none" w:sz="0" w:space="0" w:color="auto"/>
      </w:divBdr>
    </w:div>
    <w:div w:id="1279557300">
      <w:bodyDiv w:val="1"/>
      <w:marLeft w:val="0"/>
      <w:marRight w:val="0"/>
      <w:marTop w:val="0"/>
      <w:marBottom w:val="0"/>
      <w:divBdr>
        <w:top w:val="none" w:sz="0" w:space="0" w:color="auto"/>
        <w:left w:val="none" w:sz="0" w:space="0" w:color="auto"/>
        <w:bottom w:val="none" w:sz="0" w:space="0" w:color="auto"/>
        <w:right w:val="none" w:sz="0" w:space="0" w:color="auto"/>
      </w:divBdr>
    </w:div>
    <w:div w:id="1310359080">
      <w:bodyDiv w:val="1"/>
      <w:marLeft w:val="0"/>
      <w:marRight w:val="0"/>
      <w:marTop w:val="0"/>
      <w:marBottom w:val="0"/>
      <w:divBdr>
        <w:top w:val="none" w:sz="0" w:space="0" w:color="auto"/>
        <w:left w:val="none" w:sz="0" w:space="0" w:color="auto"/>
        <w:bottom w:val="none" w:sz="0" w:space="0" w:color="auto"/>
        <w:right w:val="none" w:sz="0" w:space="0" w:color="auto"/>
      </w:divBdr>
    </w:div>
    <w:div w:id="1348289089">
      <w:bodyDiv w:val="1"/>
      <w:marLeft w:val="0"/>
      <w:marRight w:val="0"/>
      <w:marTop w:val="0"/>
      <w:marBottom w:val="0"/>
      <w:divBdr>
        <w:top w:val="none" w:sz="0" w:space="0" w:color="auto"/>
        <w:left w:val="none" w:sz="0" w:space="0" w:color="auto"/>
        <w:bottom w:val="none" w:sz="0" w:space="0" w:color="auto"/>
        <w:right w:val="none" w:sz="0" w:space="0" w:color="auto"/>
      </w:divBdr>
    </w:div>
    <w:div w:id="1353796273">
      <w:bodyDiv w:val="1"/>
      <w:marLeft w:val="0"/>
      <w:marRight w:val="0"/>
      <w:marTop w:val="0"/>
      <w:marBottom w:val="0"/>
      <w:divBdr>
        <w:top w:val="none" w:sz="0" w:space="0" w:color="auto"/>
        <w:left w:val="none" w:sz="0" w:space="0" w:color="auto"/>
        <w:bottom w:val="none" w:sz="0" w:space="0" w:color="auto"/>
        <w:right w:val="none" w:sz="0" w:space="0" w:color="auto"/>
      </w:divBdr>
    </w:div>
    <w:div w:id="1389766614">
      <w:bodyDiv w:val="1"/>
      <w:marLeft w:val="0"/>
      <w:marRight w:val="0"/>
      <w:marTop w:val="0"/>
      <w:marBottom w:val="0"/>
      <w:divBdr>
        <w:top w:val="none" w:sz="0" w:space="0" w:color="auto"/>
        <w:left w:val="none" w:sz="0" w:space="0" w:color="auto"/>
        <w:bottom w:val="none" w:sz="0" w:space="0" w:color="auto"/>
        <w:right w:val="none" w:sz="0" w:space="0" w:color="auto"/>
      </w:divBdr>
    </w:div>
    <w:div w:id="1416970715">
      <w:bodyDiv w:val="1"/>
      <w:marLeft w:val="0"/>
      <w:marRight w:val="0"/>
      <w:marTop w:val="0"/>
      <w:marBottom w:val="0"/>
      <w:divBdr>
        <w:top w:val="none" w:sz="0" w:space="0" w:color="auto"/>
        <w:left w:val="none" w:sz="0" w:space="0" w:color="auto"/>
        <w:bottom w:val="none" w:sz="0" w:space="0" w:color="auto"/>
        <w:right w:val="none" w:sz="0" w:space="0" w:color="auto"/>
      </w:divBdr>
    </w:div>
    <w:div w:id="1437098458">
      <w:bodyDiv w:val="1"/>
      <w:marLeft w:val="0"/>
      <w:marRight w:val="0"/>
      <w:marTop w:val="0"/>
      <w:marBottom w:val="0"/>
      <w:divBdr>
        <w:top w:val="none" w:sz="0" w:space="0" w:color="auto"/>
        <w:left w:val="none" w:sz="0" w:space="0" w:color="auto"/>
        <w:bottom w:val="none" w:sz="0" w:space="0" w:color="auto"/>
        <w:right w:val="none" w:sz="0" w:space="0" w:color="auto"/>
      </w:divBdr>
    </w:div>
    <w:div w:id="1455446053">
      <w:bodyDiv w:val="1"/>
      <w:marLeft w:val="0"/>
      <w:marRight w:val="0"/>
      <w:marTop w:val="0"/>
      <w:marBottom w:val="0"/>
      <w:divBdr>
        <w:top w:val="none" w:sz="0" w:space="0" w:color="auto"/>
        <w:left w:val="none" w:sz="0" w:space="0" w:color="auto"/>
        <w:bottom w:val="none" w:sz="0" w:space="0" w:color="auto"/>
        <w:right w:val="none" w:sz="0" w:space="0" w:color="auto"/>
      </w:divBdr>
    </w:div>
    <w:div w:id="1492330971">
      <w:bodyDiv w:val="1"/>
      <w:marLeft w:val="0"/>
      <w:marRight w:val="0"/>
      <w:marTop w:val="0"/>
      <w:marBottom w:val="0"/>
      <w:divBdr>
        <w:top w:val="none" w:sz="0" w:space="0" w:color="auto"/>
        <w:left w:val="none" w:sz="0" w:space="0" w:color="auto"/>
        <w:bottom w:val="none" w:sz="0" w:space="0" w:color="auto"/>
        <w:right w:val="none" w:sz="0" w:space="0" w:color="auto"/>
      </w:divBdr>
    </w:div>
    <w:div w:id="1518959552">
      <w:bodyDiv w:val="1"/>
      <w:marLeft w:val="0"/>
      <w:marRight w:val="0"/>
      <w:marTop w:val="0"/>
      <w:marBottom w:val="0"/>
      <w:divBdr>
        <w:top w:val="none" w:sz="0" w:space="0" w:color="auto"/>
        <w:left w:val="none" w:sz="0" w:space="0" w:color="auto"/>
        <w:bottom w:val="none" w:sz="0" w:space="0" w:color="auto"/>
        <w:right w:val="none" w:sz="0" w:space="0" w:color="auto"/>
      </w:divBdr>
    </w:div>
    <w:div w:id="1521361269">
      <w:bodyDiv w:val="1"/>
      <w:marLeft w:val="0"/>
      <w:marRight w:val="0"/>
      <w:marTop w:val="0"/>
      <w:marBottom w:val="0"/>
      <w:divBdr>
        <w:top w:val="none" w:sz="0" w:space="0" w:color="auto"/>
        <w:left w:val="none" w:sz="0" w:space="0" w:color="auto"/>
        <w:bottom w:val="none" w:sz="0" w:space="0" w:color="auto"/>
        <w:right w:val="none" w:sz="0" w:space="0" w:color="auto"/>
      </w:divBdr>
    </w:div>
    <w:div w:id="1617714388">
      <w:bodyDiv w:val="1"/>
      <w:marLeft w:val="0"/>
      <w:marRight w:val="0"/>
      <w:marTop w:val="0"/>
      <w:marBottom w:val="0"/>
      <w:divBdr>
        <w:top w:val="none" w:sz="0" w:space="0" w:color="auto"/>
        <w:left w:val="none" w:sz="0" w:space="0" w:color="auto"/>
        <w:bottom w:val="none" w:sz="0" w:space="0" w:color="auto"/>
        <w:right w:val="none" w:sz="0" w:space="0" w:color="auto"/>
      </w:divBdr>
    </w:div>
    <w:div w:id="1643776418">
      <w:bodyDiv w:val="1"/>
      <w:marLeft w:val="0"/>
      <w:marRight w:val="0"/>
      <w:marTop w:val="0"/>
      <w:marBottom w:val="0"/>
      <w:divBdr>
        <w:top w:val="none" w:sz="0" w:space="0" w:color="auto"/>
        <w:left w:val="none" w:sz="0" w:space="0" w:color="auto"/>
        <w:bottom w:val="none" w:sz="0" w:space="0" w:color="auto"/>
        <w:right w:val="none" w:sz="0" w:space="0" w:color="auto"/>
      </w:divBdr>
    </w:div>
    <w:div w:id="1688094976">
      <w:bodyDiv w:val="1"/>
      <w:marLeft w:val="0"/>
      <w:marRight w:val="0"/>
      <w:marTop w:val="0"/>
      <w:marBottom w:val="0"/>
      <w:divBdr>
        <w:top w:val="none" w:sz="0" w:space="0" w:color="auto"/>
        <w:left w:val="none" w:sz="0" w:space="0" w:color="auto"/>
        <w:bottom w:val="none" w:sz="0" w:space="0" w:color="auto"/>
        <w:right w:val="none" w:sz="0" w:space="0" w:color="auto"/>
      </w:divBdr>
    </w:div>
    <w:div w:id="1704162287">
      <w:bodyDiv w:val="1"/>
      <w:marLeft w:val="0"/>
      <w:marRight w:val="0"/>
      <w:marTop w:val="0"/>
      <w:marBottom w:val="0"/>
      <w:divBdr>
        <w:top w:val="none" w:sz="0" w:space="0" w:color="auto"/>
        <w:left w:val="none" w:sz="0" w:space="0" w:color="auto"/>
        <w:bottom w:val="none" w:sz="0" w:space="0" w:color="auto"/>
        <w:right w:val="none" w:sz="0" w:space="0" w:color="auto"/>
      </w:divBdr>
    </w:div>
    <w:div w:id="1716805315">
      <w:bodyDiv w:val="1"/>
      <w:marLeft w:val="0"/>
      <w:marRight w:val="0"/>
      <w:marTop w:val="0"/>
      <w:marBottom w:val="0"/>
      <w:divBdr>
        <w:top w:val="none" w:sz="0" w:space="0" w:color="auto"/>
        <w:left w:val="none" w:sz="0" w:space="0" w:color="auto"/>
        <w:bottom w:val="none" w:sz="0" w:space="0" w:color="auto"/>
        <w:right w:val="none" w:sz="0" w:space="0" w:color="auto"/>
      </w:divBdr>
    </w:div>
    <w:div w:id="1717925839">
      <w:bodyDiv w:val="1"/>
      <w:marLeft w:val="0"/>
      <w:marRight w:val="0"/>
      <w:marTop w:val="0"/>
      <w:marBottom w:val="0"/>
      <w:divBdr>
        <w:top w:val="none" w:sz="0" w:space="0" w:color="auto"/>
        <w:left w:val="none" w:sz="0" w:space="0" w:color="auto"/>
        <w:bottom w:val="none" w:sz="0" w:space="0" w:color="auto"/>
        <w:right w:val="none" w:sz="0" w:space="0" w:color="auto"/>
      </w:divBdr>
    </w:div>
    <w:div w:id="1737318851">
      <w:bodyDiv w:val="1"/>
      <w:marLeft w:val="0"/>
      <w:marRight w:val="0"/>
      <w:marTop w:val="0"/>
      <w:marBottom w:val="0"/>
      <w:divBdr>
        <w:top w:val="none" w:sz="0" w:space="0" w:color="auto"/>
        <w:left w:val="none" w:sz="0" w:space="0" w:color="auto"/>
        <w:bottom w:val="none" w:sz="0" w:space="0" w:color="auto"/>
        <w:right w:val="none" w:sz="0" w:space="0" w:color="auto"/>
      </w:divBdr>
    </w:div>
    <w:div w:id="1763338745">
      <w:bodyDiv w:val="1"/>
      <w:marLeft w:val="0"/>
      <w:marRight w:val="0"/>
      <w:marTop w:val="0"/>
      <w:marBottom w:val="0"/>
      <w:divBdr>
        <w:top w:val="none" w:sz="0" w:space="0" w:color="auto"/>
        <w:left w:val="none" w:sz="0" w:space="0" w:color="auto"/>
        <w:bottom w:val="none" w:sz="0" w:space="0" w:color="auto"/>
        <w:right w:val="none" w:sz="0" w:space="0" w:color="auto"/>
      </w:divBdr>
    </w:div>
    <w:div w:id="1777630800">
      <w:bodyDiv w:val="1"/>
      <w:marLeft w:val="0"/>
      <w:marRight w:val="0"/>
      <w:marTop w:val="0"/>
      <w:marBottom w:val="0"/>
      <w:divBdr>
        <w:top w:val="none" w:sz="0" w:space="0" w:color="auto"/>
        <w:left w:val="none" w:sz="0" w:space="0" w:color="auto"/>
        <w:bottom w:val="none" w:sz="0" w:space="0" w:color="auto"/>
        <w:right w:val="none" w:sz="0" w:space="0" w:color="auto"/>
      </w:divBdr>
    </w:div>
    <w:div w:id="1789079227">
      <w:bodyDiv w:val="1"/>
      <w:marLeft w:val="0"/>
      <w:marRight w:val="0"/>
      <w:marTop w:val="0"/>
      <w:marBottom w:val="0"/>
      <w:divBdr>
        <w:top w:val="none" w:sz="0" w:space="0" w:color="auto"/>
        <w:left w:val="none" w:sz="0" w:space="0" w:color="auto"/>
        <w:bottom w:val="none" w:sz="0" w:space="0" w:color="auto"/>
        <w:right w:val="none" w:sz="0" w:space="0" w:color="auto"/>
      </w:divBdr>
    </w:div>
    <w:div w:id="1861504442">
      <w:bodyDiv w:val="1"/>
      <w:marLeft w:val="0"/>
      <w:marRight w:val="0"/>
      <w:marTop w:val="0"/>
      <w:marBottom w:val="0"/>
      <w:divBdr>
        <w:top w:val="none" w:sz="0" w:space="0" w:color="auto"/>
        <w:left w:val="none" w:sz="0" w:space="0" w:color="auto"/>
        <w:bottom w:val="none" w:sz="0" w:space="0" w:color="auto"/>
        <w:right w:val="none" w:sz="0" w:space="0" w:color="auto"/>
      </w:divBdr>
    </w:div>
    <w:div w:id="1862434349">
      <w:bodyDiv w:val="1"/>
      <w:marLeft w:val="0"/>
      <w:marRight w:val="0"/>
      <w:marTop w:val="0"/>
      <w:marBottom w:val="0"/>
      <w:divBdr>
        <w:top w:val="none" w:sz="0" w:space="0" w:color="auto"/>
        <w:left w:val="none" w:sz="0" w:space="0" w:color="auto"/>
        <w:bottom w:val="none" w:sz="0" w:space="0" w:color="auto"/>
        <w:right w:val="none" w:sz="0" w:space="0" w:color="auto"/>
      </w:divBdr>
    </w:div>
    <w:div w:id="1863860609">
      <w:bodyDiv w:val="1"/>
      <w:marLeft w:val="0"/>
      <w:marRight w:val="0"/>
      <w:marTop w:val="0"/>
      <w:marBottom w:val="0"/>
      <w:divBdr>
        <w:top w:val="none" w:sz="0" w:space="0" w:color="auto"/>
        <w:left w:val="none" w:sz="0" w:space="0" w:color="auto"/>
        <w:bottom w:val="none" w:sz="0" w:space="0" w:color="auto"/>
        <w:right w:val="none" w:sz="0" w:space="0" w:color="auto"/>
      </w:divBdr>
    </w:div>
    <w:div w:id="1874418103">
      <w:bodyDiv w:val="1"/>
      <w:marLeft w:val="0"/>
      <w:marRight w:val="0"/>
      <w:marTop w:val="0"/>
      <w:marBottom w:val="0"/>
      <w:divBdr>
        <w:top w:val="none" w:sz="0" w:space="0" w:color="auto"/>
        <w:left w:val="none" w:sz="0" w:space="0" w:color="auto"/>
        <w:bottom w:val="none" w:sz="0" w:space="0" w:color="auto"/>
        <w:right w:val="none" w:sz="0" w:space="0" w:color="auto"/>
      </w:divBdr>
    </w:div>
    <w:div w:id="1889409637">
      <w:bodyDiv w:val="1"/>
      <w:marLeft w:val="0"/>
      <w:marRight w:val="0"/>
      <w:marTop w:val="0"/>
      <w:marBottom w:val="0"/>
      <w:divBdr>
        <w:top w:val="none" w:sz="0" w:space="0" w:color="auto"/>
        <w:left w:val="none" w:sz="0" w:space="0" w:color="auto"/>
        <w:bottom w:val="none" w:sz="0" w:space="0" w:color="auto"/>
        <w:right w:val="none" w:sz="0" w:space="0" w:color="auto"/>
      </w:divBdr>
    </w:div>
    <w:div w:id="1901093116">
      <w:bodyDiv w:val="1"/>
      <w:marLeft w:val="0"/>
      <w:marRight w:val="0"/>
      <w:marTop w:val="0"/>
      <w:marBottom w:val="0"/>
      <w:divBdr>
        <w:top w:val="none" w:sz="0" w:space="0" w:color="auto"/>
        <w:left w:val="none" w:sz="0" w:space="0" w:color="auto"/>
        <w:bottom w:val="none" w:sz="0" w:space="0" w:color="auto"/>
        <w:right w:val="none" w:sz="0" w:space="0" w:color="auto"/>
      </w:divBdr>
    </w:div>
    <w:div w:id="1927811481">
      <w:bodyDiv w:val="1"/>
      <w:marLeft w:val="0"/>
      <w:marRight w:val="0"/>
      <w:marTop w:val="0"/>
      <w:marBottom w:val="0"/>
      <w:divBdr>
        <w:top w:val="none" w:sz="0" w:space="0" w:color="auto"/>
        <w:left w:val="none" w:sz="0" w:space="0" w:color="auto"/>
        <w:bottom w:val="none" w:sz="0" w:space="0" w:color="auto"/>
        <w:right w:val="none" w:sz="0" w:space="0" w:color="auto"/>
      </w:divBdr>
      <w:divsChild>
        <w:div w:id="462310498">
          <w:marLeft w:val="60"/>
          <w:marRight w:val="0"/>
          <w:marTop w:val="0"/>
          <w:marBottom w:val="0"/>
          <w:divBdr>
            <w:top w:val="none" w:sz="0" w:space="0" w:color="auto"/>
            <w:left w:val="none" w:sz="0" w:space="0" w:color="auto"/>
            <w:bottom w:val="none" w:sz="0" w:space="0" w:color="auto"/>
            <w:right w:val="none" w:sz="0" w:space="0" w:color="auto"/>
          </w:divBdr>
          <w:divsChild>
            <w:div w:id="367880437">
              <w:marLeft w:val="0"/>
              <w:marRight w:val="0"/>
              <w:marTop w:val="0"/>
              <w:marBottom w:val="0"/>
              <w:divBdr>
                <w:top w:val="none" w:sz="0" w:space="0" w:color="auto"/>
                <w:left w:val="none" w:sz="0" w:space="0" w:color="auto"/>
                <w:bottom w:val="none" w:sz="0" w:space="0" w:color="auto"/>
                <w:right w:val="none" w:sz="0" w:space="0" w:color="auto"/>
              </w:divBdr>
              <w:divsChild>
                <w:div w:id="157111172">
                  <w:marLeft w:val="135"/>
                  <w:marRight w:val="135"/>
                  <w:marTop w:val="0"/>
                  <w:marBottom w:val="90"/>
                  <w:divBdr>
                    <w:top w:val="none" w:sz="0" w:space="0" w:color="auto"/>
                    <w:left w:val="none" w:sz="0" w:space="0" w:color="auto"/>
                    <w:bottom w:val="none" w:sz="0" w:space="0" w:color="auto"/>
                    <w:right w:val="none" w:sz="0" w:space="0" w:color="auto"/>
                  </w:divBdr>
                </w:div>
              </w:divsChild>
            </w:div>
          </w:divsChild>
        </w:div>
      </w:divsChild>
    </w:div>
    <w:div w:id="1964730763">
      <w:bodyDiv w:val="1"/>
      <w:marLeft w:val="0"/>
      <w:marRight w:val="0"/>
      <w:marTop w:val="0"/>
      <w:marBottom w:val="0"/>
      <w:divBdr>
        <w:top w:val="none" w:sz="0" w:space="0" w:color="auto"/>
        <w:left w:val="none" w:sz="0" w:space="0" w:color="auto"/>
        <w:bottom w:val="none" w:sz="0" w:space="0" w:color="auto"/>
        <w:right w:val="none" w:sz="0" w:space="0" w:color="auto"/>
      </w:divBdr>
    </w:div>
    <w:div w:id="1978026850">
      <w:bodyDiv w:val="1"/>
      <w:marLeft w:val="0"/>
      <w:marRight w:val="0"/>
      <w:marTop w:val="0"/>
      <w:marBottom w:val="0"/>
      <w:divBdr>
        <w:top w:val="none" w:sz="0" w:space="0" w:color="auto"/>
        <w:left w:val="none" w:sz="0" w:space="0" w:color="auto"/>
        <w:bottom w:val="none" w:sz="0" w:space="0" w:color="auto"/>
        <w:right w:val="none" w:sz="0" w:space="0" w:color="auto"/>
      </w:divBdr>
    </w:div>
    <w:div w:id="2066174424">
      <w:bodyDiv w:val="1"/>
      <w:marLeft w:val="0"/>
      <w:marRight w:val="0"/>
      <w:marTop w:val="0"/>
      <w:marBottom w:val="0"/>
      <w:divBdr>
        <w:top w:val="none" w:sz="0" w:space="0" w:color="auto"/>
        <w:left w:val="none" w:sz="0" w:space="0" w:color="auto"/>
        <w:bottom w:val="none" w:sz="0" w:space="0" w:color="auto"/>
        <w:right w:val="none" w:sz="0" w:space="0" w:color="auto"/>
      </w:divBdr>
    </w:div>
    <w:div w:id="2086758063">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oleObject" Target="embeddings/oleObject3.bin"/><Relationship Id="rId18" Type="http://schemas.openxmlformats.org/officeDocument/2006/relationships/image" Target="media/image6.png"/><Relationship Id="rId26" Type="http://schemas.openxmlformats.org/officeDocument/2006/relationships/image" Target="media/image10.png"/><Relationship Id="rId39" Type="http://schemas.openxmlformats.org/officeDocument/2006/relationships/image" Target="media/image17.png"/><Relationship Id="rId21" Type="http://schemas.openxmlformats.org/officeDocument/2006/relationships/oleObject" Target="embeddings/oleObject7.bin"/><Relationship Id="rId34" Type="http://schemas.openxmlformats.org/officeDocument/2006/relationships/image" Target="media/image14.png"/><Relationship Id="rId42" Type="http://schemas.openxmlformats.org/officeDocument/2006/relationships/header" Target="header2.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5.png"/><Relationship Id="rId29" Type="http://schemas.openxmlformats.org/officeDocument/2006/relationships/oleObject" Target="embeddings/oleObject11.bin"/><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oleObject" Target="embeddings/oleObject2.bin"/><Relationship Id="rId24" Type="http://schemas.openxmlformats.org/officeDocument/2006/relationships/image" Target="media/image9.png"/><Relationship Id="rId32" Type="http://schemas.openxmlformats.org/officeDocument/2006/relationships/image" Target="media/image13.png"/><Relationship Id="rId37" Type="http://schemas.openxmlformats.org/officeDocument/2006/relationships/oleObject" Target="embeddings/oleObject15.bin"/><Relationship Id="rId40" Type="http://schemas.openxmlformats.org/officeDocument/2006/relationships/header" Target="header1.xml"/><Relationship Id="rId45"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oleObject" Target="embeddings/oleObject4.bin"/><Relationship Id="rId23" Type="http://schemas.openxmlformats.org/officeDocument/2006/relationships/oleObject" Target="embeddings/oleObject8.bin"/><Relationship Id="rId28" Type="http://schemas.openxmlformats.org/officeDocument/2006/relationships/image" Target="media/image11.png"/><Relationship Id="rId36" Type="http://schemas.openxmlformats.org/officeDocument/2006/relationships/image" Target="media/image15.png"/><Relationship Id="rId10" Type="http://schemas.openxmlformats.org/officeDocument/2006/relationships/image" Target="media/image2.png"/><Relationship Id="rId19" Type="http://schemas.openxmlformats.org/officeDocument/2006/relationships/oleObject" Target="embeddings/oleObject6.bin"/><Relationship Id="rId31" Type="http://schemas.openxmlformats.org/officeDocument/2006/relationships/oleObject" Target="embeddings/oleObject12.bin"/><Relationship Id="rId4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oleObject" Target="embeddings/oleObject1.bin"/><Relationship Id="rId14" Type="http://schemas.openxmlformats.org/officeDocument/2006/relationships/image" Target="media/image4.png"/><Relationship Id="rId22" Type="http://schemas.openxmlformats.org/officeDocument/2006/relationships/image" Target="media/image8.png"/><Relationship Id="rId27" Type="http://schemas.openxmlformats.org/officeDocument/2006/relationships/oleObject" Target="embeddings/oleObject10.bin"/><Relationship Id="rId30" Type="http://schemas.openxmlformats.org/officeDocument/2006/relationships/image" Target="media/image12.png"/><Relationship Id="rId35" Type="http://schemas.openxmlformats.org/officeDocument/2006/relationships/oleObject" Target="embeddings/oleObject14.bin"/><Relationship Id="rId43" Type="http://schemas.openxmlformats.org/officeDocument/2006/relationships/footer" Target="footer2.xml"/><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oleObject" Target="embeddings/oleObject5.bin"/><Relationship Id="rId25" Type="http://schemas.openxmlformats.org/officeDocument/2006/relationships/oleObject" Target="embeddings/oleObject9.bin"/><Relationship Id="rId33" Type="http://schemas.openxmlformats.org/officeDocument/2006/relationships/oleObject" Target="embeddings/oleObject13.bin"/><Relationship Id="rId38" Type="http://schemas.openxmlformats.org/officeDocument/2006/relationships/image" Target="media/image16.png"/><Relationship Id="rId20" Type="http://schemas.openxmlformats.org/officeDocument/2006/relationships/image" Target="media/image7.png"/><Relationship Id="rId41" Type="http://schemas.openxmlformats.org/officeDocument/2006/relationships/footer" Target="footer1.xml"/></Relationships>
</file>

<file path=word/_rels/header1.xml.rels><?xml version="1.0" encoding="UTF-8" standalone="yes"?>
<Relationships xmlns="http://schemas.openxmlformats.org/package/2006/relationships"><Relationship Id="rId1" Type="http://schemas.openxmlformats.org/officeDocument/2006/relationships/image" Target="media/image18.jpeg"/></Relationships>
</file>

<file path=word/_rels/header2.xml.rels><?xml version="1.0" encoding="UTF-8" standalone="yes"?>
<Relationships xmlns="http://schemas.openxmlformats.org/package/2006/relationships"><Relationship Id="rId1" Type="http://schemas.openxmlformats.org/officeDocument/2006/relationships/image" Target="media/image19.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4E82A95-D9D5-401B-9CF5-366E2DCF9EE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208</TotalTime>
  <Pages>65</Pages>
  <Words>14096</Words>
  <Characters>77534</Characters>
  <Application>Microsoft Office Word</Application>
  <DocSecurity>0</DocSecurity>
  <Lines>646</Lines>
  <Paragraphs>182</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91448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iMac</dc:creator>
  <cp:keywords/>
  <dc:description/>
  <cp:lastModifiedBy>Usuario</cp:lastModifiedBy>
  <cp:revision>8</cp:revision>
  <cp:lastPrinted>2019-12-11T01:19:00Z</cp:lastPrinted>
  <dcterms:created xsi:type="dcterms:W3CDTF">2022-05-06T01:57:00Z</dcterms:created>
  <dcterms:modified xsi:type="dcterms:W3CDTF">2022-05-27T21:10:00Z</dcterms:modified>
</cp:coreProperties>
</file>