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DF654A"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de fecha treinta de noviembre de dos mil veintidós. </w:t>
      </w:r>
    </w:p>
    <w:p w14:paraId="393DBBF3" w14:textId="77777777" w:rsidR="00577EBA" w:rsidRPr="006E412F" w:rsidRDefault="00577EBA">
      <w:pPr>
        <w:spacing w:after="0" w:line="360" w:lineRule="auto"/>
        <w:ind w:right="49"/>
        <w:jc w:val="center"/>
        <w:rPr>
          <w:rFonts w:ascii="Palatino Linotype" w:eastAsia="Palatino Linotype" w:hAnsi="Palatino Linotype" w:cs="Palatino Linotype"/>
          <w:sz w:val="24"/>
          <w:szCs w:val="24"/>
        </w:rPr>
      </w:pPr>
    </w:p>
    <w:p w14:paraId="10601AB1" w14:textId="3BDE9B2D"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Visto el expediente relativo al recurso de revisión </w:t>
      </w:r>
      <w:r w:rsidRPr="006E412F">
        <w:rPr>
          <w:rFonts w:ascii="Palatino Linotype" w:eastAsia="Palatino Linotype" w:hAnsi="Palatino Linotype" w:cs="Palatino Linotype"/>
          <w:b/>
          <w:sz w:val="24"/>
          <w:szCs w:val="24"/>
        </w:rPr>
        <w:t>09264/INFOEM/IP/RR/2022</w:t>
      </w:r>
      <w:r w:rsidRPr="006E412F">
        <w:rPr>
          <w:rFonts w:ascii="Palatino Linotype" w:eastAsia="Palatino Linotype" w:hAnsi="Palatino Linotype" w:cs="Palatino Linotype"/>
          <w:sz w:val="24"/>
          <w:szCs w:val="24"/>
        </w:rPr>
        <w:t xml:space="preserve">, interpuesto por </w:t>
      </w:r>
      <w:r w:rsidR="0008464B">
        <w:rPr>
          <w:rFonts w:ascii="Palatino Linotype" w:eastAsia="Palatino Linotype" w:hAnsi="Palatino Linotype" w:cs="Palatino Linotype"/>
          <w:b/>
          <w:sz w:val="24"/>
          <w:szCs w:val="24"/>
        </w:rPr>
        <w:t>XXXXXX XXXXXXXX,</w:t>
      </w:r>
      <w:bookmarkStart w:id="0" w:name="_GoBack"/>
      <w:bookmarkEnd w:id="0"/>
      <w:r w:rsidRPr="006E412F">
        <w:rPr>
          <w:rFonts w:ascii="Palatino Linotype" w:eastAsia="Palatino Linotype" w:hAnsi="Palatino Linotype" w:cs="Palatino Linotype"/>
          <w:sz w:val="24"/>
          <w:szCs w:val="24"/>
        </w:rPr>
        <w:t xml:space="preserve"> al cual en lo sucesivo se le denominará el </w:t>
      </w:r>
      <w:r w:rsidRPr="006E412F">
        <w:rPr>
          <w:rFonts w:ascii="Palatino Linotype" w:eastAsia="Palatino Linotype" w:hAnsi="Palatino Linotype" w:cs="Palatino Linotype"/>
          <w:b/>
          <w:sz w:val="24"/>
          <w:szCs w:val="24"/>
        </w:rPr>
        <w:t>RECURRENTE</w:t>
      </w:r>
      <w:r w:rsidRPr="006E412F">
        <w:rPr>
          <w:rFonts w:ascii="Palatino Linotype" w:eastAsia="Palatino Linotype" w:hAnsi="Palatino Linotype" w:cs="Palatino Linotype"/>
          <w:sz w:val="24"/>
          <w:szCs w:val="24"/>
        </w:rPr>
        <w:t xml:space="preserve">, en contra de la respuesta a su solicitud de información identificada con número de folio </w:t>
      </w:r>
      <w:r w:rsidRPr="006E412F">
        <w:rPr>
          <w:rFonts w:ascii="Palatino Linotype" w:eastAsia="Palatino Linotype" w:hAnsi="Palatino Linotype" w:cs="Palatino Linotype"/>
          <w:b/>
          <w:sz w:val="24"/>
          <w:szCs w:val="24"/>
        </w:rPr>
        <w:t>00184/COACALCO/IP/2022</w:t>
      </w:r>
      <w:r w:rsidRPr="006E412F">
        <w:rPr>
          <w:rFonts w:ascii="Palatino Linotype" w:eastAsia="Palatino Linotype" w:hAnsi="Palatino Linotype" w:cs="Palatino Linotype"/>
          <w:sz w:val="24"/>
          <w:szCs w:val="24"/>
        </w:rPr>
        <w:t xml:space="preserve"> proporcionada por parte del Ayuntamiento de Coacalco de Berriozábal, en lo sucesivo el </w:t>
      </w:r>
      <w:r w:rsidRPr="006E412F">
        <w:rPr>
          <w:rFonts w:ascii="Palatino Linotype" w:eastAsia="Palatino Linotype" w:hAnsi="Palatino Linotype" w:cs="Palatino Linotype"/>
          <w:b/>
          <w:sz w:val="24"/>
          <w:szCs w:val="24"/>
        </w:rPr>
        <w:t>SUJETO OBLIGADO</w:t>
      </w:r>
      <w:r w:rsidRPr="006E412F">
        <w:rPr>
          <w:rFonts w:ascii="Palatino Linotype" w:eastAsia="Palatino Linotype" w:hAnsi="Palatino Linotype" w:cs="Palatino Linotype"/>
          <w:sz w:val="24"/>
          <w:szCs w:val="24"/>
        </w:rPr>
        <w:t>; se procede a dictar la presente resolución, con base en los siguientes:</w:t>
      </w:r>
    </w:p>
    <w:p w14:paraId="51ECC1BB"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02D0FD14" w14:textId="77777777" w:rsidR="00577EBA" w:rsidRPr="006E412F" w:rsidRDefault="007A63D9">
      <w:pPr>
        <w:spacing w:after="0" w:line="360" w:lineRule="auto"/>
        <w:ind w:right="49"/>
        <w:jc w:val="center"/>
        <w:rPr>
          <w:rFonts w:ascii="Palatino Linotype" w:eastAsia="Palatino Linotype" w:hAnsi="Palatino Linotype" w:cs="Palatino Linotype"/>
          <w:b/>
          <w:sz w:val="24"/>
          <w:szCs w:val="24"/>
        </w:rPr>
      </w:pPr>
      <w:r w:rsidRPr="006E412F">
        <w:rPr>
          <w:rFonts w:ascii="Palatino Linotype" w:eastAsia="Palatino Linotype" w:hAnsi="Palatino Linotype" w:cs="Palatino Linotype"/>
          <w:b/>
          <w:sz w:val="24"/>
          <w:szCs w:val="24"/>
        </w:rPr>
        <w:t>I.</w:t>
      </w:r>
      <w:r w:rsidRPr="006E412F">
        <w:rPr>
          <w:rFonts w:ascii="Palatino Linotype" w:eastAsia="Palatino Linotype" w:hAnsi="Palatino Linotype" w:cs="Palatino Linotype"/>
          <w:b/>
          <w:sz w:val="24"/>
          <w:szCs w:val="24"/>
        </w:rPr>
        <w:tab/>
        <w:t>A N T E C E D E N T E S</w:t>
      </w:r>
    </w:p>
    <w:p w14:paraId="26898916"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055CD9E7" w14:textId="77777777" w:rsidR="00577EBA" w:rsidRPr="006E412F" w:rsidRDefault="007A63D9">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b/>
          <w:sz w:val="24"/>
          <w:szCs w:val="24"/>
        </w:rPr>
        <w:t>Solicitud de acceso a la información.</w:t>
      </w:r>
      <w:r w:rsidRPr="006E412F">
        <w:rPr>
          <w:rFonts w:ascii="Palatino Linotype" w:eastAsia="Palatino Linotype" w:hAnsi="Palatino Linotype" w:cs="Palatino Linotype"/>
          <w:sz w:val="24"/>
          <w:szCs w:val="24"/>
        </w:rPr>
        <w:t xml:space="preserve"> Con fecha </w:t>
      </w:r>
      <w:r w:rsidRPr="006E412F">
        <w:rPr>
          <w:rFonts w:ascii="Palatino Linotype" w:eastAsia="Palatino Linotype" w:hAnsi="Palatino Linotype" w:cs="Palatino Linotype"/>
          <w:b/>
          <w:sz w:val="24"/>
          <w:szCs w:val="24"/>
        </w:rPr>
        <w:t>veintinueve de abril de dos mil veintidós</w:t>
      </w:r>
      <w:r w:rsidRPr="006E412F">
        <w:rPr>
          <w:rFonts w:ascii="Palatino Linotype" w:eastAsia="Palatino Linotype" w:hAnsi="Palatino Linotype" w:cs="Palatino Linotype"/>
          <w:sz w:val="24"/>
          <w:szCs w:val="24"/>
        </w:rPr>
        <w:t xml:space="preserve">, la parte </w:t>
      </w:r>
      <w:r w:rsidRPr="006E412F">
        <w:rPr>
          <w:rFonts w:ascii="Palatino Linotype" w:eastAsia="Palatino Linotype" w:hAnsi="Palatino Linotype" w:cs="Palatino Linotype"/>
          <w:b/>
          <w:sz w:val="24"/>
          <w:szCs w:val="24"/>
        </w:rPr>
        <w:t>RECURRENTE</w:t>
      </w:r>
      <w:r w:rsidRPr="006E412F">
        <w:rPr>
          <w:rFonts w:ascii="Palatino Linotype" w:eastAsia="Palatino Linotype" w:hAnsi="Palatino Linotype" w:cs="Palatino Linotype"/>
          <w:sz w:val="24"/>
          <w:szCs w:val="24"/>
        </w:rPr>
        <w:t xml:space="preserve"> formuló solicitud de acceso a información pública al</w:t>
      </w:r>
      <w:r w:rsidRPr="006E412F">
        <w:rPr>
          <w:rFonts w:ascii="Palatino Linotype" w:eastAsia="Palatino Linotype" w:hAnsi="Palatino Linotype" w:cs="Palatino Linotype"/>
          <w:b/>
          <w:sz w:val="24"/>
          <w:szCs w:val="24"/>
        </w:rPr>
        <w:t xml:space="preserve"> SUJETO OBLIGADO</w:t>
      </w:r>
      <w:r w:rsidRPr="006E412F">
        <w:rPr>
          <w:rFonts w:ascii="Palatino Linotype" w:eastAsia="Palatino Linotype" w:hAnsi="Palatino Linotype" w:cs="Palatino Linotype"/>
          <w:sz w:val="24"/>
          <w:szCs w:val="24"/>
        </w:rPr>
        <w:t xml:space="preserve"> a través del Sistema de Acceso a la Información Mexiquense, en adelante SAIMEX, en la que requirió lo siguiente: </w:t>
      </w:r>
    </w:p>
    <w:p w14:paraId="56203348"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2C5C2C1F" w14:textId="77777777" w:rsidR="00577EBA" w:rsidRPr="006E412F" w:rsidRDefault="007A63D9">
      <w:pPr>
        <w:spacing w:after="0" w:line="360"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“Solicito que me hagan entrega de un listado de los CONTRATOS DE OBRAS, BIENES Y SERVICIOS licitados en su municipio, tanto en adjudicación directa, licitación pública e invitación a cuando meses tres personas, de 2012 a la fecha más reciente, con los siguientes datos: A.-Institución B.-Nombre de la UC C.-Responsable de la UC D.-Código del expediente E.-Referencia del expediente F.-Título del expediente G.-Fundamento legal H.-</w:t>
      </w:r>
      <w:r w:rsidRPr="006E412F">
        <w:rPr>
          <w:rFonts w:ascii="Palatino Linotype" w:eastAsia="Palatino Linotype" w:hAnsi="Palatino Linotype" w:cs="Palatino Linotype"/>
          <w:i/>
        </w:rPr>
        <w:lastRenderedPageBreak/>
        <w:t xml:space="preserve">Número del procedimiento I.-Fecha de fallo J.-Fecha de publicación K.-Tipo de contratación L.-Tipo de procedimiento M.-Título del contrato N.-Descripción del contrato O.-Importe del contrato P.-Convenio modificatorio Q.-RFC </w:t>
      </w:r>
      <w:proofErr w:type="spellStart"/>
      <w:r w:rsidRPr="006E412F">
        <w:rPr>
          <w:rFonts w:ascii="Palatino Linotype" w:eastAsia="Palatino Linotype" w:hAnsi="Palatino Linotype" w:cs="Palatino Linotype"/>
          <w:i/>
        </w:rPr>
        <w:t>R.Proveedor</w:t>
      </w:r>
      <w:proofErr w:type="spellEnd"/>
      <w:r w:rsidRPr="006E412F">
        <w:rPr>
          <w:rFonts w:ascii="Palatino Linotype" w:eastAsia="Palatino Linotype" w:hAnsi="Palatino Linotype" w:cs="Palatino Linotype"/>
          <w:i/>
        </w:rPr>
        <w:t xml:space="preserve"> o contratista S.-Dirección del anuncio . } También la lista de proveedores de 2012 a la fecha más reciente.”.</w:t>
      </w:r>
    </w:p>
    <w:p w14:paraId="6715685E" w14:textId="77777777" w:rsidR="00577EBA" w:rsidRPr="006E412F" w:rsidRDefault="00577EBA">
      <w:pPr>
        <w:spacing w:after="0" w:line="360" w:lineRule="auto"/>
        <w:ind w:left="567" w:right="560"/>
        <w:jc w:val="both"/>
        <w:rPr>
          <w:rFonts w:ascii="Palatino Linotype" w:eastAsia="Palatino Linotype" w:hAnsi="Palatino Linotype" w:cs="Palatino Linotype"/>
          <w:i/>
        </w:rPr>
      </w:pPr>
    </w:p>
    <w:p w14:paraId="3B51C673"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b/>
          <w:sz w:val="24"/>
          <w:szCs w:val="24"/>
        </w:rPr>
        <w:t>Modalidad elegida para la entrega de la información:</w:t>
      </w:r>
      <w:r w:rsidRPr="006E412F">
        <w:rPr>
          <w:rFonts w:ascii="Palatino Linotype" w:eastAsia="Palatino Linotype" w:hAnsi="Palatino Linotype" w:cs="Palatino Linotype"/>
          <w:sz w:val="24"/>
          <w:szCs w:val="24"/>
        </w:rPr>
        <w:t xml:space="preserve"> a través del Sistema de Acceso a la Información Mexiquense (SAIMEX). </w:t>
      </w:r>
    </w:p>
    <w:p w14:paraId="4B36FD9F"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17ACA06B" w14:textId="77777777" w:rsidR="00577EBA" w:rsidRPr="006E412F" w:rsidRDefault="007A63D9">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b/>
          <w:sz w:val="24"/>
          <w:szCs w:val="24"/>
        </w:rPr>
        <w:t>Respuesta.</w:t>
      </w:r>
      <w:r w:rsidRPr="006E412F">
        <w:rPr>
          <w:rFonts w:ascii="Palatino Linotype" w:eastAsia="Palatino Linotype" w:hAnsi="Palatino Linotype" w:cs="Palatino Linotype"/>
          <w:sz w:val="24"/>
          <w:szCs w:val="24"/>
        </w:rPr>
        <w:t xml:space="preserve"> Con fecha </w:t>
      </w:r>
      <w:r w:rsidRPr="006E412F">
        <w:rPr>
          <w:rFonts w:ascii="Palatino Linotype" w:eastAsia="Palatino Linotype" w:hAnsi="Palatino Linotype" w:cs="Palatino Linotype"/>
          <w:b/>
          <w:sz w:val="24"/>
          <w:szCs w:val="24"/>
        </w:rPr>
        <w:t>veintitrés de mayo de dos mil veintidós</w:t>
      </w:r>
      <w:r w:rsidRPr="006E412F">
        <w:rPr>
          <w:rFonts w:ascii="Palatino Linotype" w:eastAsia="Palatino Linotype" w:hAnsi="Palatino Linotype" w:cs="Palatino Linotype"/>
          <w:sz w:val="24"/>
          <w:szCs w:val="24"/>
        </w:rPr>
        <w:t xml:space="preserve">, el </w:t>
      </w:r>
      <w:r w:rsidRPr="006E412F">
        <w:rPr>
          <w:rFonts w:ascii="Palatino Linotype" w:eastAsia="Palatino Linotype" w:hAnsi="Palatino Linotype" w:cs="Palatino Linotype"/>
          <w:b/>
          <w:sz w:val="24"/>
          <w:szCs w:val="24"/>
        </w:rPr>
        <w:t>SUJETO OBLIGADO</w:t>
      </w:r>
      <w:r w:rsidRPr="006E412F">
        <w:rPr>
          <w:rFonts w:ascii="Palatino Linotype" w:eastAsia="Palatino Linotype" w:hAnsi="Palatino Linotype" w:cs="Palatino Linotype"/>
          <w:sz w:val="24"/>
          <w:szCs w:val="24"/>
        </w:rPr>
        <w:t xml:space="preserve"> envió su respuesta a la solicitud de acceso a la información a través del SAIMEX, la cual versa como sigue:</w:t>
      </w:r>
    </w:p>
    <w:p w14:paraId="5492F2AD"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2474AD77"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B2F872C" w14:textId="77777777" w:rsidR="00577EBA" w:rsidRPr="006E412F" w:rsidRDefault="00577EBA">
      <w:pPr>
        <w:spacing w:after="0" w:line="276" w:lineRule="auto"/>
        <w:ind w:left="567" w:right="560"/>
        <w:jc w:val="both"/>
        <w:rPr>
          <w:rFonts w:ascii="Palatino Linotype" w:eastAsia="Palatino Linotype" w:hAnsi="Palatino Linotype" w:cs="Palatino Linotype"/>
          <w:i/>
        </w:rPr>
      </w:pPr>
    </w:p>
    <w:p w14:paraId="59616DC3"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 xml:space="preserve">Con fundamento en el artículo 53 Fracción II y 163 de la Ley de Transparencia y Acceso a la Información Pública del Estado de México y Municipios, se da respuesta a la presente solicitud con el oficio que emiten la Dirección de </w:t>
      </w:r>
      <w:proofErr w:type="spellStart"/>
      <w:r w:rsidRPr="006E412F">
        <w:rPr>
          <w:rFonts w:ascii="Palatino Linotype" w:eastAsia="Palatino Linotype" w:hAnsi="Palatino Linotype" w:cs="Palatino Linotype"/>
          <w:i/>
        </w:rPr>
        <w:t>Administraciòn</w:t>
      </w:r>
      <w:proofErr w:type="spellEnd"/>
      <w:r w:rsidRPr="006E412F">
        <w:rPr>
          <w:rFonts w:ascii="Palatino Linotype" w:eastAsia="Palatino Linotype" w:hAnsi="Palatino Linotype" w:cs="Palatino Linotype"/>
          <w:i/>
        </w:rPr>
        <w:t xml:space="preserve"> del cual se anexa copia, así como la respuesta integradora por parte de la Unidad de Transparencia cumpliendo en tiempo y forma con lo solicitado.”. </w:t>
      </w:r>
    </w:p>
    <w:p w14:paraId="09BCB653" w14:textId="77777777" w:rsidR="00577EBA" w:rsidRPr="006E412F" w:rsidRDefault="00577EBA">
      <w:pPr>
        <w:spacing w:after="0" w:line="360" w:lineRule="auto"/>
        <w:ind w:left="567" w:right="560"/>
        <w:jc w:val="both"/>
        <w:rPr>
          <w:rFonts w:ascii="Palatino Linotype" w:eastAsia="Palatino Linotype" w:hAnsi="Palatino Linotype" w:cs="Palatino Linotype"/>
          <w:sz w:val="24"/>
          <w:szCs w:val="24"/>
        </w:rPr>
      </w:pPr>
    </w:p>
    <w:p w14:paraId="27AB3185"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El Sujeto Obligado a su respuesta adjuntó los documentos que se describen a continuación: </w:t>
      </w:r>
    </w:p>
    <w:p w14:paraId="6D978AF6"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69BB02CA" w14:textId="77777777" w:rsidR="00577EBA" w:rsidRPr="006E412F" w:rsidRDefault="007A63D9">
      <w:pPr>
        <w:numPr>
          <w:ilvl w:val="0"/>
          <w:numId w:val="3"/>
        </w:numPr>
        <w:pBdr>
          <w:top w:val="nil"/>
          <w:left w:val="nil"/>
          <w:bottom w:val="nil"/>
          <w:right w:val="nil"/>
          <w:between w:val="nil"/>
        </w:pBdr>
        <w:tabs>
          <w:tab w:val="left" w:pos="993"/>
        </w:tabs>
        <w:spacing w:after="0" w:line="360" w:lineRule="auto"/>
        <w:ind w:left="567" w:right="560" w:firstLine="0"/>
        <w:jc w:val="both"/>
        <w:rPr>
          <w:rFonts w:ascii="Palatino Linotype" w:eastAsia="Palatino Linotype" w:hAnsi="Palatino Linotype" w:cs="Palatino Linotype"/>
        </w:rPr>
      </w:pPr>
      <w:r w:rsidRPr="006E412F">
        <w:rPr>
          <w:rFonts w:ascii="Palatino Linotype" w:eastAsia="Palatino Linotype" w:hAnsi="Palatino Linotype" w:cs="Palatino Linotype"/>
        </w:rPr>
        <w:t xml:space="preserve">Oficio de fecha dieciocho de mayo de dos mil veintidós, signado por la Directora de Administración, mediante el cual informa que desde el inicio de la </w:t>
      </w:r>
      <w:r w:rsidRPr="006E412F">
        <w:rPr>
          <w:rFonts w:ascii="Palatino Linotype" w:eastAsia="Palatino Linotype" w:hAnsi="Palatino Linotype" w:cs="Palatino Linotype"/>
        </w:rPr>
        <w:lastRenderedPageBreak/>
        <w:t xml:space="preserve">presente administración 2022-2024 a la fecha se han suscrito un total de 170 contratos para la adquisición de diversos bienes y servicios; respecto a los años anteriores 2012-2018, en los archivos que obran en la Subdirección de Recursos Materiales, no se encontró información al respecto; en relación con los años 2019, 2020 y 2021 refiere que actualmente existen diversos contratos que derivan de procedimientos con vicios de irregularidades al momento de la integración, en donde se han hecho observaciones a los mismos y se están llevando procedimientos administrativos. </w:t>
      </w:r>
    </w:p>
    <w:p w14:paraId="4666F04D" w14:textId="77777777" w:rsidR="006C7BEE" w:rsidRPr="006E412F" w:rsidRDefault="006C7BEE" w:rsidP="006C7BEE">
      <w:pPr>
        <w:pBdr>
          <w:top w:val="nil"/>
          <w:left w:val="nil"/>
          <w:bottom w:val="nil"/>
          <w:right w:val="nil"/>
          <w:between w:val="nil"/>
        </w:pBdr>
        <w:tabs>
          <w:tab w:val="left" w:pos="993"/>
        </w:tabs>
        <w:spacing w:after="0" w:line="360" w:lineRule="auto"/>
        <w:ind w:left="567" w:right="560"/>
        <w:jc w:val="both"/>
        <w:rPr>
          <w:rFonts w:ascii="Palatino Linotype" w:eastAsia="Palatino Linotype" w:hAnsi="Palatino Linotype" w:cs="Palatino Linotype"/>
        </w:rPr>
      </w:pPr>
    </w:p>
    <w:p w14:paraId="761D898B" w14:textId="77777777" w:rsidR="00577EBA" w:rsidRPr="006E412F" w:rsidRDefault="007A63D9">
      <w:pPr>
        <w:numPr>
          <w:ilvl w:val="0"/>
          <w:numId w:val="3"/>
        </w:numPr>
        <w:pBdr>
          <w:top w:val="nil"/>
          <w:left w:val="nil"/>
          <w:bottom w:val="nil"/>
          <w:right w:val="nil"/>
          <w:between w:val="nil"/>
        </w:pBdr>
        <w:tabs>
          <w:tab w:val="left" w:pos="993"/>
        </w:tabs>
        <w:spacing w:after="0" w:line="360" w:lineRule="auto"/>
        <w:ind w:left="567" w:right="560" w:firstLine="0"/>
        <w:jc w:val="both"/>
        <w:rPr>
          <w:rFonts w:ascii="Palatino Linotype" w:eastAsia="Palatino Linotype" w:hAnsi="Palatino Linotype" w:cs="Palatino Linotype"/>
        </w:rPr>
      </w:pPr>
      <w:r w:rsidRPr="006E412F">
        <w:rPr>
          <w:rFonts w:ascii="Palatino Linotype" w:eastAsia="Palatino Linotype" w:hAnsi="Palatino Linotype" w:cs="Palatino Linotype"/>
        </w:rPr>
        <w:t xml:space="preserve">Oficio de fecha siete de octubre de dos mil veintidós, signado por el Director de Administración, el cual refiere las observaciones derivadas de la revisión de las Actas Entrega. </w:t>
      </w:r>
    </w:p>
    <w:p w14:paraId="663295F3" w14:textId="77777777" w:rsidR="006C7BEE" w:rsidRPr="006E412F" w:rsidRDefault="006C7BEE" w:rsidP="006C7BEE">
      <w:pPr>
        <w:pBdr>
          <w:top w:val="nil"/>
          <w:left w:val="nil"/>
          <w:bottom w:val="nil"/>
          <w:right w:val="nil"/>
          <w:between w:val="nil"/>
        </w:pBdr>
        <w:tabs>
          <w:tab w:val="left" w:pos="993"/>
        </w:tabs>
        <w:spacing w:after="0" w:line="360" w:lineRule="auto"/>
        <w:ind w:right="560"/>
        <w:jc w:val="both"/>
        <w:rPr>
          <w:rFonts w:ascii="Palatino Linotype" w:eastAsia="Palatino Linotype" w:hAnsi="Palatino Linotype" w:cs="Palatino Linotype"/>
        </w:rPr>
      </w:pPr>
    </w:p>
    <w:p w14:paraId="3DAF803E" w14:textId="77777777" w:rsidR="00577EBA" w:rsidRPr="006E412F" w:rsidRDefault="007A63D9">
      <w:pPr>
        <w:numPr>
          <w:ilvl w:val="0"/>
          <w:numId w:val="3"/>
        </w:numPr>
        <w:pBdr>
          <w:top w:val="nil"/>
          <w:left w:val="nil"/>
          <w:bottom w:val="nil"/>
          <w:right w:val="nil"/>
          <w:between w:val="nil"/>
        </w:pBdr>
        <w:tabs>
          <w:tab w:val="left" w:pos="993"/>
        </w:tabs>
        <w:spacing w:after="0" w:line="360" w:lineRule="auto"/>
        <w:ind w:left="567" w:right="560" w:firstLine="0"/>
        <w:jc w:val="both"/>
        <w:rPr>
          <w:rFonts w:ascii="Palatino Linotype" w:eastAsia="Palatino Linotype" w:hAnsi="Palatino Linotype" w:cs="Palatino Linotype"/>
        </w:rPr>
      </w:pPr>
      <w:r w:rsidRPr="006E412F">
        <w:rPr>
          <w:rFonts w:ascii="Palatino Linotype" w:eastAsia="Palatino Linotype" w:hAnsi="Palatino Linotype" w:cs="Palatino Linotype"/>
        </w:rPr>
        <w:t xml:space="preserve">Oficio de fecha veintitrés de mayo de dos mil veintidós, signado por el Titular de la Unidad de Transparencia, mediante el cual informa que envía la respuesta de la Dirección de Administración. </w:t>
      </w:r>
    </w:p>
    <w:p w14:paraId="10D792C2" w14:textId="77777777" w:rsidR="00577EBA" w:rsidRPr="006E412F" w:rsidRDefault="00577EBA">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3925D3D9" w14:textId="77777777" w:rsidR="00577EBA" w:rsidRPr="006E412F" w:rsidRDefault="007A63D9">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El Particular, derivado de la respuesta del </w:t>
      </w:r>
      <w:r w:rsidRPr="006E412F">
        <w:rPr>
          <w:rFonts w:ascii="Palatino Linotype" w:eastAsia="Palatino Linotype" w:hAnsi="Palatino Linotype" w:cs="Palatino Linotype"/>
          <w:b/>
          <w:sz w:val="24"/>
          <w:szCs w:val="24"/>
        </w:rPr>
        <w:t>SUJETO OBLIGADO</w:t>
      </w:r>
      <w:r w:rsidRPr="006E412F">
        <w:rPr>
          <w:rFonts w:ascii="Palatino Linotype" w:eastAsia="Palatino Linotype" w:hAnsi="Palatino Linotype" w:cs="Palatino Linotype"/>
          <w:sz w:val="24"/>
          <w:szCs w:val="24"/>
        </w:rPr>
        <w:t xml:space="preserve"> interpuso Recurso de Revisión a través del </w:t>
      </w:r>
      <w:r w:rsidRPr="006E412F">
        <w:rPr>
          <w:rFonts w:ascii="Palatino Linotype" w:eastAsia="Palatino Linotype" w:hAnsi="Palatino Linotype" w:cs="Palatino Linotype"/>
          <w:b/>
          <w:sz w:val="24"/>
          <w:szCs w:val="24"/>
        </w:rPr>
        <w:t>SAIMEX</w:t>
      </w:r>
      <w:r w:rsidRPr="006E412F">
        <w:rPr>
          <w:rFonts w:ascii="Palatino Linotype" w:eastAsia="Palatino Linotype" w:hAnsi="Palatino Linotype" w:cs="Palatino Linotype"/>
          <w:sz w:val="24"/>
          <w:szCs w:val="24"/>
        </w:rPr>
        <w:t xml:space="preserve"> en fecha </w:t>
      </w:r>
      <w:r w:rsidRPr="006E412F">
        <w:rPr>
          <w:rFonts w:ascii="Palatino Linotype" w:eastAsia="Palatino Linotype" w:hAnsi="Palatino Linotype" w:cs="Palatino Linotype"/>
          <w:b/>
          <w:sz w:val="24"/>
          <w:szCs w:val="24"/>
        </w:rPr>
        <w:t>veinticinco de mayo de dos mil veintidós</w:t>
      </w:r>
      <w:r w:rsidRPr="006E412F">
        <w:rPr>
          <w:rFonts w:ascii="Palatino Linotype" w:eastAsia="Palatino Linotype" w:hAnsi="Palatino Linotype" w:cs="Palatino Linotype"/>
          <w:sz w:val="24"/>
          <w:szCs w:val="24"/>
        </w:rPr>
        <w:t>, a través del cual expresó lo siguiente:</w:t>
      </w:r>
    </w:p>
    <w:p w14:paraId="7B3D0E96" w14:textId="77777777" w:rsidR="00577EBA" w:rsidRPr="006E412F" w:rsidRDefault="00577EBA">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706579C4" w14:textId="77777777" w:rsidR="00577EBA" w:rsidRPr="006E412F" w:rsidRDefault="007A63D9">
      <w:pPr>
        <w:numPr>
          <w:ilvl w:val="0"/>
          <w:numId w:val="2"/>
        </w:numPr>
        <w:pBdr>
          <w:top w:val="nil"/>
          <w:left w:val="nil"/>
          <w:bottom w:val="nil"/>
          <w:right w:val="nil"/>
          <w:between w:val="nil"/>
        </w:pBdr>
        <w:tabs>
          <w:tab w:val="left" w:pos="993"/>
        </w:tabs>
        <w:spacing w:after="0" w:line="360" w:lineRule="auto"/>
        <w:ind w:left="567" w:right="701" w:firstLine="0"/>
        <w:jc w:val="both"/>
        <w:rPr>
          <w:rFonts w:ascii="Palatino Linotype" w:eastAsia="Palatino Linotype" w:hAnsi="Palatino Linotype" w:cs="Palatino Linotype"/>
          <w:b/>
          <w:sz w:val="24"/>
          <w:szCs w:val="24"/>
        </w:rPr>
      </w:pPr>
      <w:r w:rsidRPr="006E412F">
        <w:rPr>
          <w:rFonts w:ascii="Palatino Linotype" w:eastAsia="Palatino Linotype" w:hAnsi="Palatino Linotype" w:cs="Palatino Linotype"/>
          <w:b/>
          <w:sz w:val="24"/>
          <w:szCs w:val="24"/>
        </w:rPr>
        <w:t xml:space="preserve">Acto impugnado. </w:t>
      </w:r>
      <w:r w:rsidRPr="006E412F">
        <w:rPr>
          <w:rFonts w:ascii="Palatino Linotype" w:eastAsia="Palatino Linotype" w:hAnsi="Palatino Linotype" w:cs="Palatino Linotype"/>
        </w:rPr>
        <w:t>“</w:t>
      </w:r>
      <w:r w:rsidRPr="006E412F">
        <w:rPr>
          <w:rFonts w:ascii="Palatino Linotype" w:eastAsia="Palatino Linotype" w:hAnsi="Palatino Linotype" w:cs="Palatino Linotype"/>
          <w:i/>
        </w:rPr>
        <w:t>No se ha satisfecho mi derecho a la información ya que no han entregado la información solicitada, faltan partes y deberían estar en sus archivos.”.</w:t>
      </w:r>
    </w:p>
    <w:p w14:paraId="7FFD35FB" w14:textId="77777777" w:rsidR="00577EBA" w:rsidRPr="006E412F" w:rsidRDefault="00577EBA">
      <w:pPr>
        <w:pBdr>
          <w:top w:val="nil"/>
          <w:left w:val="nil"/>
          <w:bottom w:val="nil"/>
          <w:right w:val="nil"/>
          <w:between w:val="nil"/>
        </w:pBdr>
        <w:tabs>
          <w:tab w:val="left" w:pos="993"/>
        </w:tabs>
        <w:spacing w:after="0" w:line="360" w:lineRule="auto"/>
        <w:ind w:left="567" w:right="701"/>
        <w:jc w:val="both"/>
        <w:rPr>
          <w:rFonts w:ascii="Palatino Linotype" w:eastAsia="Palatino Linotype" w:hAnsi="Palatino Linotype" w:cs="Palatino Linotype"/>
          <w:b/>
          <w:sz w:val="24"/>
          <w:szCs w:val="24"/>
        </w:rPr>
      </w:pPr>
    </w:p>
    <w:p w14:paraId="300CE009" w14:textId="77777777" w:rsidR="00577EBA" w:rsidRPr="006E412F" w:rsidRDefault="007A63D9">
      <w:pPr>
        <w:numPr>
          <w:ilvl w:val="0"/>
          <w:numId w:val="2"/>
        </w:numPr>
        <w:pBdr>
          <w:top w:val="nil"/>
          <w:left w:val="nil"/>
          <w:bottom w:val="nil"/>
          <w:right w:val="nil"/>
          <w:between w:val="nil"/>
        </w:pBdr>
        <w:tabs>
          <w:tab w:val="left" w:pos="993"/>
        </w:tabs>
        <w:spacing w:after="0" w:line="360" w:lineRule="auto"/>
        <w:ind w:left="567" w:right="701" w:firstLine="0"/>
        <w:jc w:val="both"/>
        <w:rPr>
          <w:rFonts w:ascii="Palatino Linotype" w:eastAsia="Palatino Linotype" w:hAnsi="Palatino Linotype" w:cs="Palatino Linotype"/>
          <w:b/>
          <w:sz w:val="24"/>
          <w:szCs w:val="24"/>
        </w:rPr>
      </w:pPr>
      <w:r w:rsidRPr="006E412F">
        <w:rPr>
          <w:rFonts w:ascii="Palatino Linotype" w:eastAsia="Palatino Linotype" w:hAnsi="Palatino Linotype" w:cs="Palatino Linotype"/>
          <w:b/>
          <w:sz w:val="24"/>
          <w:szCs w:val="24"/>
        </w:rPr>
        <w:lastRenderedPageBreak/>
        <w:t xml:space="preserve">Razones o motivos de la inconformidad: </w:t>
      </w:r>
      <w:r w:rsidRPr="006E412F">
        <w:rPr>
          <w:rFonts w:ascii="Palatino Linotype" w:eastAsia="Palatino Linotype" w:hAnsi="Palatino Linotype" w:cs="Palatino Linotype"/>
        </w:rPr>
        <w:t>“</w:t>
      </w:r>
      <w:r w:rsidRPr="006E412F">
        <w:rPr>
          <w:rFonts w:ascii="Palatino Linotype" w:eastAsia="Palatino Linotype" w:hAnsi="Palatino Linotype" w:cs="Palatino Linotype"/>
          <w:i/>
        </w:rPr>
        <w:t>No se ha satisfecho mi derecho a la información ya que no han entregado la información solicitada, faltan partes y deberían estar en sus archivos.”.</w:t>
      </w:r>
    </w:p>
    <w:p w14:paraId="78FB8ADD"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650B3911" w14:textId="77777777" w:rsidR="00577EBA" w:rsidRPr="006E412F" w:rsidRDefault="007A63D9">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b/>
          <w:sz w:val="24"/>
          <w:szCs w:val="24"/>
        </w:rPr>
        <w:t>Turno.</w:t>
      </w:r>
      <w:r w:rsidRPr="006E412F">
        <w:rPr>
          <w:rFonts w:ascii="Palatino Linotype" w:eastAsia="Palatino Linotype" w:hAnsi="Palatino Linotype" w:cs="Palatino Linotype"/>
          <w:sz w:val="24"/>
          <w:szCs w:val="24"/>
        </w:rPr>
        <w:t xml:space="preserve"> De conformidad con el artículo 185, fracción I de la Ley de Transparencia y Acceso a la Información Pública del Estado de México y Municipios, el recurso de revisión número </w:t>
      </w:r>
      <w:r w:rsidRPr="006E412F">
        <w:rPr>
          <w:rFonts w:ascii="Palatino Linotype" w:eastAsia="Palatino Linotype" w:hAnsi="Palatino Linotype" w:cs="Palatino Linotype"/>
          <w:b/>
          <w:sz w:val="24"/>
          <w:szCs w:val="24"/>
        </w:rPr>
        <w:t>09264/INFOEM/IP/RR/2022</w:t>
      </w:r>
      <w:r w:rsidRPr="006E412F">
        <w:rPr>
          <w:rFonts w:ascii="Palatino Linotype" w:eastAsia="Palatino Linotype" w:hAnsi="Palatino Linotype" w:cs="Palatino Linotype"/>
          <w:sz w:val="24"/>
          <w:szCs w:val="24"/>
        </w:rPr>
        <w:t>,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7A9939E2" w14:textId="77777777" w:rsidR="00577EBA" w:rsidRPr="006E412F" w:rsidRDefault="00577EBA">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634E84D7" w14:textId="77777777" w:rsidR="00577EBA" w:rsidRPr="006E412F" w:rsidRDefault="007A63D9">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b/>
          <w:sz w:val="24"/>
          <w:szCs w:val="24"/>
        </w:rPr>
        <w:t>Admisión del recurso de revisión</w:t>
      </w:r>
      <w:r w:rsidRPr="006E412F">
        <w:rPr>
          <w:rFonts w:ascii="Palatino Linotype" w:eastAsia="Palatino Linotype" w:hAnsi="Palatino Linotype" w:cs="Palatino Linotype"/>
          <w:sz w:val="24"/>
          <w:szCs w:val="24"/>
        </w:rPr>
        <w:t xml:space="preserve">: En fecha </w:t>
      </w:r>
      <w:r w:rsidRPr="006E412F">
        <w:rPr>
          <w:rFonts w:ascii="Palatino Linotype" w:eastAsia="Palatino Linotype" w:hAnsi="Palatino Linotype" w:cs="Palatino Linotype"/>
          <w:b/>
          <w:sz w:val="24"/>
          <w:szCs w:val="24"/>
        </w:rPr>
        <w:t>treinta y uno de mayo de dos mil veintidós</w:t>
      </w:r>
      <w:r w:rsidRPr="006E412F">
        <w:rPr>
          <w:rFonts w:ascii="Palatino Linotype" w:eastAsia="Palatino Linotype" w:hAnsi="Palatino Linotype" w:cs="Palatino Linotype"/>
          <w:sz w:val="24"/>
          <w:szCs w:val="24"/>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564B221E" w14:textId="77777777" w:rsidR="00577EBA" w:rsidRPr="006E412F" w:rsidRDefault="00577EBA">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1B68B5F6" w14:textId="77777777" w:rsidR="00577EBA" w:rsidRPr="006E412F" w:rsidRDefault="007A63D9">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b/>
          <w:sz w:val="24"/>
          <w:szCs w:val="24"/>
        </w:rPr>
        <w:t xml:space="preserve">Informe Justificado. </w:t>
      </w:r>
      <w:r w:rsidRPr="006E412F">
        <w:rPr>
          <w:rFonts w:ascii="Palatino Linotype" w:eastAsia="Palatino Linotype" w:hAnsi="Palatino Linotype" w:cs="Palatino Linotype"/>
          <w:sz w:val="24"/>
          <w:szCs w:val="24"/>
        </w:rPr>
        <w:t xml:space="preserve">En fecha </w:t>
      </w:r>
      <w:r w:rsidRPr="006E412F">
        <w:rPr>
          <w:rFonts w:ascii="Palatino Linotype" w:eastAsia="Palatino Linotype" w:hAnsi="Palatino Linotype" w:cs="Palatino Linotype"/>
          <w:b/>
          <w:sz w:val="24"/>
          <w:szCs w:val="24"/>
        </w:rPr>
        <w:t>ocho de junio de dos mil veintidós</w:t>
      </w:r>
      <w:r w:rsidRPr="006E412F">
        <w:rPr>
          <w:rFonts w:ascii="Palatino Linotype" w:eastAsia="Palatino Linotype" w:hAnsi="Palatino Linotype" w:cs="Palatino Linotype"/>
          <w:sz w:val="24"/>
          <w:szCs w:val="24"/>
        </w:rPr>
        <w:t xml:space="preserve">, el Sujeto Obligado rindió su informe justificado, en razón de lo siguiente: </w:t>
      </w:r>
    </w:p>
    <w:p w14:paraId="1B1968C6" w14:textId="77777777" w:rsidR="00577EBA" w:rsidRPr="006E412F" w:rsidRDefault="00577EBA">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38D53591" w14:textId="77777777" w:rsidR="00577EBA" w:rsidRPr="006E412F" w:rsidRDefault="007A63D9">
      <w:pPr>
        <w:numPr>
          <w:ilvl w:val="0"/>
          <w:numId w:val="4"/>
        </w:numPr>
        <w:pBdr>
          <w:top w:val="nil"/>
          <w:left w:val="nil"/>
          <w:bottom w:val="nil"/>
          <w:right w:val="nil"/>
          <w:between w:val="nil"/>
        </w:pBdr>
        <w:tabs>
          <w:tab w:val="left" w:pos="851"/>
        </w:tabs>
        <w:spacing w:after="0" w:line="360" w:lineRule="auto"/>
        <w:ind w:left="567" w:right="49" w:firstLine="0"/>
        <w:jc w:val="both"/>
        <w:rPr>
          <w:rFonts w:ascii="Palatino Linotype" w:eastAsia="Palatino Linotype" w:hAnsi="Palatino Linotype" w:cs="Palatino Linotype"/>
        </w:rPr>
      </w:pPr>
      <w:r w:rsidRPr="006E412F">
        <w:rPr>
          <w:rFonts w:ascii="Palatino Linotype" w:eastAsia="Palatino Linotype" w:hAnsi="Palatino Linotype" w:cs="Palatino Linotype"/>
        </w:rPr>
        <w:t xml:space="preserve">Oficio de fecha ocho de junio de dos mil veintidós, signado por el Titular de la Unidad de Transparencia, mediante el cual ratificó su respuesta inicial. </w:t>
      </w:r>
    </w:p>
    <w:p w14:paraId="6674DA02" w14:textId="77777777" w:rsidR="00577EBA" w:rsidRPr="006E412F" w:rsidRDefault="007A63D9">
      <w:pPr>
        <w:numPr>
          <w:ilvl w:val="0"/>
          <w:numId w:val="4"/>
        </w:numPr>
        <w:pBdr>
          <w:top w:val="nil"/>
          <w:left w:val="nil"/>
          <w:bottom w:val="nil"/>
          <w:right w:val="nil"/>
          <w:between w:val="nil"/>
        </w:pBdr>
        <w:tabs>
          <w:tab w:val="left" w:pos="851"/>
        </w:tabs>
        <w:spacing w:after="0" w:line="360" w:lineRule="auto"/>
        <w:ind w:left="567" w:right="49" w:firstLine="0"/>
        <w:jc w:val="both"/>
        <w:rPr>
          <w:rFonts w:ascii="Palatino Linotype" w:eastAsia="Palatino Linotype" w:hAnsi="Palatino Linotype" w:cs="Palatino Linotype"/>
        </w:rPr>
      </w:pPr>
      <w:r w:rsidRPr="006E412F">
        <w:rPr>
          <w:rFonts w:ascii="Palatino Linotype" w:eastAsia="Palatino Linotype" w:hAnsi="Palatino Linotype" w:cs="Palatino Linotype"/>
        </w:rPr>
        <w:t xml:space="preserve">Oficio de fecha seis de junio de dos mil veintidós, signado por la Directora de Administración, mediante el cual refiere que se anexa la respuesta enviada por la Subdirección de Recursos Materiales. </w:t>
      </w:r>
    </w:p>
    <w:p w14:paraId="2BDC72DE" w14:textId="77777777" w:rsidR="006C7BEE" w:rsidRPr="006E412F" w:rsidRDefault="006C7BEE" w:rsidP="006C7BEE">
      <w:pPr>
        <w:pBdr>
          <w:top w:val="nil"/>
          <w:left w:val="nil"/>
          <w:bottom w:val="nil"/>
          <w:right w:val="nil"/>
          <w:between w:val="nil"/>
        </w:pBdr>
        <w:tabs>
          <w:tab w:val="left" w:pos="851"/>
        </w:tabs>
        <w:spacing w:after="0" w:line="360" w:lineRule="auto"/>
        <w:ind w:left="567" w:right="49"/>
        <w:jc w:val="both"/>
        <w:rPr>
          <w:rFonts w:ascii="Palatino Linotype" w:eastAsia="Palatino Linotype" w:hAnsi="Palatino Linotype" w:cs="Palatino Linotype"/>
        </w:rPr>
      </w:pPr>
    </w:p>
    <w:p w14:paraId="432F76F4" w14:textId="77777777" w:rsidR="00577EBA" w:rsidRPr="006E412F" w:rsidRDefault="007A63D9">
      <w:pPr>
        <w:numPr>
          <w:ilvl w:val="0"/>
          <w:numId w:val="4"/>
        </w:numPr>
        <w:pBdr>
          <w:top w:val="nil"/>
          <w:left w:val="nil"/>
          <w:bottom w:val="nil"/>
          <w:right w:val="nil"/>
          <w:between w:val="nil"/>
        </w:pBdr>
        <w:tabs>
          <w:tab w:val="left" w:pos="851"/>
        </w:tabs>
        <w:spacing w:after="0" w:line="360" w:lineRule="auto"/>
        <w:ind w:left="567" w:right="49" w:firstLine="0"/>
        <w:jc w:val="both"/>
        <w:rPr>
          <w:rFonts w:ascii="Palatino Linotype" w:eastAsia="Palatino Linotype" w:hAnsi="Palatino Linotype" w:cs="Palatino Linotype"/>
          <w:b/>
        </w:rPr>
      </w:pPr>
      <w:r w:rsidRPr="006E412F">
        <w:rPr>
          <w:rFonts w:ascii="Palatino Linotype" w:eastAsia="Palatino Linotype" w:hAnsi="Palatino Linotype" w:cs="Palatino Linotype"/>
        </w:rPr>
        <w:t xml:space="preserve">Oficio de fecha seis de junio de dos mil veintidós, signado por el Subdirector de Recursos Materiales, </w:t>
      </w:r>
      <w:r w:rsidRPr="006E412F">
        <w:rPr>
          <w:rFonts w:ascii="Palatino Linotype" w:eastAsia="Palatino Linotype" w:hAnsi="Palatino Linotype" w:cs="Palatino Linotype"/>
          <w:b/>
        </w:rPr>
        <w:t xml:space="preserve">mediante el cual refiere que la información solicitada se pondrá a disposición en consulta directa. </w:t>
      </w:r>
    </w:p>
    <w:p w14:paraId="0EF35359"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27D1359B" w14:textId="77777777" w:rsidR="00577EBA" w:rsidRPr="006E412F" w:rsidRDefault="007A63D9">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b/>
          <w:sz w:val="24"/>
          <w:szCs w:val="24"/>
        </w:rPr>
      </w:pPr>
      <w:r w:rsidRPr="006E412F">
        <w:rPr>
          <w:rFonts w:ascii="Palatino Linotype" w:eastAsia="Palatino Linotype" w:hAnsi="Palatino Linotype" w:cs="Palatino Linotype"/>
          <w:b/>
          <w:sz w:val="24"/>
          <w:szCs w:val="24"/>
        </w:rPr>
        <w:t xml:space="preserve">Vista del Informe Justificado. </w:t>
      </w:r>
      <w:r w:rsidRPr="006E412F">
        <w:rPr>
          <w:rFonts w:ascii="Palatino Linotype" w:eastAsia="Palatino Linotype" w:hAnsi="Palatino Linotype" w:cs="Palatino Linotype"/>
          <w:sz w:val="24"/>
          <w:szCs w:val="24"/>
        </w:rPr>
        <w:t xml:space="preserve">El informe justificado se hizo del conocimiento del Particular en fecha </w:t>
      </w:r>
      <w:r w:rsidRPr="006E412F">
        <w:rPr>
          <w:rFonts w:ascii="Palatino Linotype" w:eastAsia="Palatino Linotype" w:hAnsi="Palatino Linotype" w:cs="Palatino Linotype"/>
          <w:b/>
          <w:sz w:val="24"/>
          <w:szCs w:val="24"/>
        </w:rPr>
        <w:t>veinticuatro de agosto de dos mil veintidós</w:t>
      </w:r>
      <w:r w:rsidRPr="006E412F">
        <w:rPr>
          <w:rFonts w:ascii="Palatino Linotype" w:eastAsia="Palatino Linotype" w:hAnsi="Palatino Linotype" w:cs="Palatino Linotype"/>
          <w:sz w:val="24"/>
          <w:szCs w:val="24"/>
        </w:rPr>
        <w:t xml:space="preserve">, quien no realizó manifestación alguna. </w:t>
      </w:r>
    </w:p>
    <w:p w14:paraId="20023E99" w14:textId="77777777" w:rsidR="00577EBA" w:rsidRPr="006E412F" w:rsidRDefault="00577EBA">
      <w:p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rPr>
      </w:pPr>
    </w:p>
    <w:p w14:paraId="11282B68" w14:textId="77777777" w:rsidR="00577EBA" w:rsidRPr="006E412F" w:rsidRDefault="007A63D9">
      <w:pPr>
        <w:numPr>
          <w:ilvl w:val="0"/>
          <w:numId w:val="1"/>
        </w:numPr>
        <w:pBdr>
          <w:top w:val="nil"/>
          <w:left w:val="nil"/>
          <w:bottom w:val="nil"/>
          <w:right w:val="nil"/>
          <w:between w:val="nil"/>
        </w:pBdr>
        <w:tabs>
          <w:tab w:val="left" w:pos="360"/>
        </w:tabs>
        <w:spacing w:after="0" w:line="360" w:lineRule="auto"/>
        <w:ind w:left="0" w:right="49" w:firstLine="0"/>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b/>
          <w:sz w:val="24"/>
          <w:szCs w:val="24"/>
        </w:rPr>
        <w:t>Ampliación de plazo:</w:t>
      </w:r>
      <w:r w:rsidRPr="006E412F">
        <w:rPr>
          <w:rFonts w:ascii="Palatino Linotype" w:eastAsia="Palatino Linotype" w:hAnsi="Palatino Linotype" w:cs="Palatino Linotype"/>
          <w:sz w:val="24"/>
          <w:szCs w:val="24"/>
        </w:rPr>
        <w:t xml:space="preserve"> El </w:t>
      </w:r>
      <w:r w:rsidRPr="006E412F">
        <w:rPr>
          <w:rFonts w:ascii="Palatino Linotype" w:eastAsia="Palatino Linotype" w:hAnsi="Palatino Linotype" w:cs="Palatino Linotype"/>
          <w:b/>
          <w:sz w:val="24"/>
          <w:szCs w:val="24"/>
        </w:rPr>
        <w:t>veinticuatro de agosto de dos mil veintidós</w:t>
      </w:r>
      <w:r w:rsidRPr="006E412F">
        <w:rPr>
          <w:rFonts w:ascii="Palatino Linotype" w:eastAsia="Palatino Linotype" w:hAnsi="Palatino Linotype" w:cs="Palatino Linotype"/>
          <w:sz w:val="24"/>
          <w:szCs w:val="24"/>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4D15F49F"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5E56484F"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F20E2A8"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 </w:t>
      </w:r>
    </w:p>
    <w:p w14:paraId="1BA40659"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E944A76"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 </w:t>
      </w:r>
    </w:p>
    <w:p w14:paraId="19F991AC"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6563041"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0385ED02"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3E20C77"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5205078C"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25FF694B"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52771725" w14:textId="77777777" w:rsidR="00577EBA" w:rsidRPr="006E412F" w:rsidRDefault="007A63D9">
      <w:pPr>
        <w:tabs>
          <w:tab w:val="left" w:pos="709"/>
        </w:tabs>
        <w:spacing w:after="0" w:line="360" w:lineRule="auto"/>
        <w:ind w:left="567" w:right="560"/>
        <w:jc w:val="both"/>
        <w:rPr>
          <w:rFonts w:ascii="Palatino Linotype" w:eastAsia="Palatino Linotype" w:hAnsi="Palatino Linotype" w:cs="Palatino Linotype"/>
        </w:rPr>
      </w:pPr>
      <w:r w:rsidRPr="006E412F">
        <w:rPr>
          <w:rFonts w:ascii="Palatino Linotype" w:eastAsia="Palatino Linotype" w:hAnsi="Palatino Linotype" w:cs="Palatino Linotype"/>
          <w:b/>
          <w:sz w:val="24"/>
          <w:szCs w:val="24"/>
        </w:rPr>
        <w:t>a</w:t>
      </w:r>
      <w:r w:rsidRPr="006E412F">
        <w:rPr>
          <w:rFonts w:ascii="Palatino Linotype" w:eastAsia="Palatino Linotype" w:hAnsi="Palatino Linotype" w:cs="Palatino Linotype"/>
          <w:b/>
        </w:rPr>
        <w:t>)    Complejidad del asunto:</w:t>
      </w:r>
      <w:r w:rsidRPr="006E412F">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3DBFC96C" w14:textId="77777777" w:rsidR="00577EBA" w:rsidRPr="006E412F" w:rsidRDefault="007A63D9">
      <w:pPr>
        <w:tabs>
          <w:tab w:val="left" w:pos="709"/>
        </w:tabs>
        <w:spacing w:after="0" w:line="360" w:lineRule="auto"/>
        <w:ind w:left="567" w:right="560"/>
        <w:jc w:val="both"/>
        <w:rPr>
          <w:rFonts w:ascii="Palatino Linotype" w:eastAsia="Palatino Linotype" w:hAnsi="Palatino Linotype" w:cs="Palatino Linotype"/>
        </w:rPr>
      </w:pPr>
      <w:r w:rsidRPr="006E412F">
        <w:rPr>
          <w:rFonts w:ascii="Palatino Linotype" w:eastAsia="Palatino Linotype" w:hAnsi="Palatino Linotype" w:cs="Palatino Linotype"/>
          <w:b/>
        </w:rPr>
        <w:t>b)   Actividad Procesal del interesado</w:t>
      </w:r>
      <w:r w:rsidRPr="006E412F">
        <w:rPr>
          <w:rFonts w:ascii="Palatino Linotype" w:eastAsia="Palatino Linotype" w:hAnsi="Palatino Linotype" w:cs="Palatino Linotype"/>
        </w:rPr>
        <w:t>: Acciones u omisiones del interesado.</w:t>
      </w:r>
    </w:p>
    <w:p w14:paraId="019F0C0E" w14:textId="77777777" w:rsidR="00577EBA" w:rsidRPr="006E412F" w:rsidRDefault="007A63D9">
      <w:pPr>
        <w:tabs>
          <w:tab w:val="left" w:pos="851"/>
        </w:tabs>
        <w:spacing w:after="0" w:line="360" w:lineRule="auto"/>
        <w:ind w:left="567" w:right="560"/>
        <w:jc w:val="both"/>
        <w:rPr>
          <w:rFonts w:ascii="Palatino Linotype" w:eastAsia="Palatino Linotype" w:hAnsi="Palatino Linotype" w:cs="Palatino Linotype"/>
        </w:rPr>
      </w:pPr>
      <w:r w:rsidRPr="006E412F">
        <w:rPr>
          <w:rFonts w:ascii="Palatino Linotype" w:eastAsia="Palatino Linotype" w:hAnsi="Palatino Linotype" w:cs="Palatino Linotype"/>
          <w:b/>
        </w:rPr>
        <w:t>c)  Conducta de la Autoridad:</w:t>
      </w:r>
      <w:r w:rsidRPr="006E412F">
        <w:rPr>
          <w:rFonts w:ascii="Palatino Linotype" w:eastAsia="Palatino Linotype" w:hAnsi="Palatino Linotype" w:cs="Palatino Linotype"/>
        </w:rPr>
        <w:t xml:space="preserve"> Las Acciones u omisiones realizadas en el procedimiento. Así como si la autoridad actuó con la debida diligencia.</w:t>
      </w:r>
    </w:p>
    <w:p w14:paraId="4D9E2411" w14:textId="77777777" w:rsidR="00577EBA" w:rsidRPr="006E412F" w:rsidRDefault="007A63D9">
      <w:pPr>
        <w:tabs>
          <w:tab w:val="left" w:pos="851"/>
        </w:tabs>
        <w:spacing w:after="0" w:line="360" w:lineRule="auto"/>
        <w:ind w:left="567" w:right="560"/>
        <w:jc w:val="both"/>
        <w:rPr>
          <w:rFonts w:ascii="Palatino Linotype" w:eastAsia="Palatino Linotype" w:hAnsi="Palatino Linotype" w:cs="Palatino Linotype"/>
        </w:rPr>
      </w:pPr>
      <w:r w:rsidRPr="006E412F">
        <w:rPr>
          <w:rFonts w:ascii="Palatino Linotype" w:eastAsia="Palatino Linotype" w:hAnsi="Palatino Linotype" w:cs="Palatino Linotype"/>
          <w:b/>
        </w:rPr>
        <w:t>d) La afectación generada en la situación jurídica de la persona involucrada en el proceso:</w:t>
      </w:r>
      <w:r w:rsidRPr="006E412F">
        <w:rPr>
          <w:rFonts w:ascii="Palatino Linotype" w:eastAsia="Palatino Linotype" w:hAnsi="Palatino Linotype" w:cs="Palatino Linotype"/>
        </w:rPr>
        <w:t xml:space="preserve"> Violación a sus derechos humanos.</w:t>
      </w:r>
    </w:p>
    <w:p w14:paraId="46DA75BF"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45E3EFF6"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4798675"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 </w:t>
      </w:r>
    </w:p>
    <w:p w14:paraId="55282B64"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Argumento que encuentra sustento en la jurisprudencia P</w:t>
      </w:r>
      <w:proofErr w:type="gramStart"/>
      <w:r w:rsidRPr="006E412F">
        <w:rPr>
          <w:rFonts w:ascii="Palatino Linotype" w:eastAsia="Palatino Linotype" w:hAnsi="Palatino Linotype" w:cs="Palatino Linotype"/>
          <w:sz w:val="24"/>
          <w:szCs w:val="24"/>
        </w:rPr>
        <w:t>./</w:t>
      </w:r>
      <w:proofErr w:type="gramEnd"/>
      <w:r w:rsidRPr="006E412F">
        <w:rPr>
          <w:rFonts w:ascii="Palatino Linotype" w:eastAsia="Palatino Linotype" w:hAnsi="Palatino Linotype" w:cs="Palatino Linotype"/>
          <w:sz w:val="24"/>
          <w:szCs w:val="24"/>
        </w:rPr>
        <w:t>J. 32/92 emitida por el Pleno de la Suprema Corte de Justicia de la Nación de rubro “</w:t>
      </w:r>
      <w:r w:rsidRPr="006E412F">
        <w:rPr>
          <w:rFonts w:ascii="Palatino Linotype" w:eastAsia="Palatino Linotype" w:hAnsi="Palatino Linotype" w:cs="Palatino Linotype"/>
          <w:b/>
          <w:sz w:val="24"/>
          <w:szCs w:val="24"/>
        </w:rPr>
        <w:t>TÉRMINOS PROCESALES. PARA DETERMINAR SI UN FUNCIONARIO JUDICIAL ACTUÓ INDEBIDAMENTE POR NO RESPETARLOS SE DEBE ATENDER AL PRESUPUESTO QUE CONSIDERÓ EL LEGISLADOR AL FIJARLOS Y LAS CARACTERÍSTICAS DEL CASO.”</w:t>
      </w:r>
      <w:r w:rsidRPr="006E412F">
        <w:rPr>
          <w:rFonts w:ascii="Palatino Linotype" w:eastAsia="Palatino Linotype" w:hAnsi="Palatino Linotype" w:cs="Palatino Linotype"/>
          <w:sz w:val="24"/>
          <w:szCs w:val="24"/>
        </w:rPr>
        <w:t>, visible en la Gaceta del Seminario Judicial de la Federación con el registro digital 205635.</w:t>
      </w:r>
    </w:p>
    <w:p w14:paraId="011582F5"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 </w:t>
      </w:r>
    </w:p>
    <w:p w14:paraId="314DAC80"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BDF6686"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146CCE41"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2D314BD9"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 </w:t>
      </w:r>
    </w:p>
    <w:p w14:paraId="573796D0" w14:textId="77777777" w:rsidR="00577EBA" w:rsidRPr="006E412F" w:rsidRDefault="007A63D9">
      <w:pPr>
        <w:spacing w:after="0" w:line="360" w:lineRule="auto"/>
        <w:ind w:left="567" w:right="560"/>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b/>
          <w:sz w:val="24"/>
          <w:szCs w:val="24"/>
        </w:rPr>
        <w:t xml:space="preserve"> “PLAZO RAZONABLE PARA RESOLVER. DIMENSIÓN Y EFECTOS DE ESTE CONCEPTO CUANDO SE ADUCE EXCESIVA CARGA DE TRABAJO.”</w:t>
      </w:r>
      <w:r w:rsidRPr="006E412F">
        <w:rPr>
          <w:rFonts w:ascii="Palatino Linotype" w:eastAsia="Palatino Linotype" w:hAnsi="Palatino Linotype" w:cs="Palatino Linotype"/>
          <w:sz w:val="24"/>
          <w:szCs w:val="24"/>
        </w:rPr>
        <w:t xml:space="preserve"> consultable en el Seminario Judicial de la Federación y su gaceta, con el registro digital 2002351.</w:t>
      </w:r>
    </w:p>
    <w:p w14:paraId="0AA19CFE" w14:textId="77777777" w:rsidR="00577EBA" w:rsidRPr="006E412F" w:rsidRDefault="007A63D9">
      <w:pPr>
        <w:spacing w:after="0" w:line="360" w:lineRule="auto"/>
        <w:ind w:left="567" w:right="560"/>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 </w:t>
      </w:r>
    </w:p>
    <w:p w14:paraId="75107BF6" w14:textId="77777777" w:rsidR="00577EBA" w:rsidRPr="006E412F" w:rsidRDefault="007A63D9">
      <w:pPr>
        <w:spacing w:after="0" w:line="360" w:lineRule="auto"/>
        <w:ind w:left="567" w:right="560"/>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b/>
          <w:sz w:val="24"/>
          <w:szCs w:val="24"/>
        </w:rPr>
        <w:t>“PLAZO RAZONABLE PARA RESOLVER. CONCEPTO Y ELEMENTOS QUE LO INTEGRAN A LA LUZ DEL DERECHO INTERNACIONAL DE LOS DERECHOS HUMANOS.”,</w:t>
      </w:r>
      <w:r w:rsidRPr="006E412F">
        <w:rPr>
          <w:rFonts w:ascii="Palatino Linotype" w:eastAsia="Palatino Linotype" w:hAnsi="Palatino Linotype" w:cs="Palatino Linotype"/>
          <w:sz w:val="24"/>
          <w:szCs w:val="24"/>
        </w:rPr>
        <w:t xml:space="preserve"> visible en el Seminario Judicial de la Federación y su gaceta, con el registro digital 2002350.</w:t>
      </w:r>
    </w:p>
    <w:p w14:paraId="14707558" w14:textId="77777777" w:rsidR="00577EBA" w:rsidRPr="006E412F" w:rsidRDefault="00577EBA">
      <w:pPr>
        <w:spacing w:after="0" w:line="360" w:lineRule="auto"/>
        <w:ind w:left="567" w:right="560"/>
        <w:jc w:val="both"/>
        <w:rPr>
          <w:rFonts w:ascii="Palatino Linotype" w:eastAsia="Palatino Linotype" w:hAnsi="Palatino Linotype" w:cs="Palatino Linotype"/>
          <w:sz w:val="24"/>
          <w:szCs w:val="24"/>
        </w:rPr>
      </w:pPr>
    </w:p>
    <w:p w14:paraId="395276E1" w14:textId="77777777" w:rsidR="00577EBA" w:rsidRPr="006E412F" w:rsidRDefault="007A63D9">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2BA75B46"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4E65557C" w14:textId="77777777" w:rsidR="00577EBA" w:rsidRPr="006E412F" w:rsidRDefault="007A63D9">
      <w:pPr>
        <w:widowControl w:val="0"/>
        <w:numPr>
          <w:ilvl w:val="0"/>
          <w:numId w:val="1"/>
        </w:numPr>
        <w:pBdr>
          <w:top w:val="nil"/>
          <w:left w:val="nil"/>
          <w:bottom w:val="nil"/>
          <w:right w:val="nil"/>
          <w:between w:val="nil"/>
        </w:pBdr>
        <w:tabs>
          <w:tab w:val="left" w:pos="426"/>
        </w:tabs>
        <w:spacing w:after="0" w:line="360" w:lineRule="auto"/>
        <w:ind w:left="0" w:firstLine="0"/>
        <w:jc w:val="both"/>
        <w:rPr>
          <w:rFonts w:ascii="Palatino Linotype" w:eastAsia="Palatino Linotype" w:hAnsi="Palatino Linotype" w:cs="Palatino Linotype"/>
        </w:rPr>
      </w:pPr>
      <w:r w:rsidRPr="006E412F">
        <w:rPr>
          <w:rFonts w:ascii="Palatino Linotype" w:eastAsia="Palatino Linotype" w:hAnsi="Palatino Linotype" w:cs="Palatino Linotype"/>
          <w:b/>
          <w:sz w:val="24"/>
          <w:szCs w:val="24"/>
        </w:rPr>
        <w:t xml:space="preserve">Requerimiento de Información Adicional: </w:t>
      </w:r>
      <w:r w:rsidRPr="006E412F">
        <w:rPr>
          <w:rFonts w:ascii="Palatino Linotype" w:eastAsia="Palatino Linotype" w:hAnsi="Palatino Linotype" w:cs="Palatino Linotype"/>
          <w:sz w:val="24"/>
          <w:szCs w:val="24"/>
        </w:rPr>
        <w:t xml:space="preserve">En fecha </w:t>
      </w:r>
      <w:r w:rsidRPr="006E412F">
        <w:rPr>
          <w:rFonts w:ascii="Palatino Linotype" w:eastAsia="Palatino Linotype" w:hAnsi="Palatino Linotype" w:cs="Palatino Linotype"/>
          <w:b/>
          <w:sz w:val="24"/>
          <w:szCs w:val="24"/>
        </w:rPr>
        <w:t>ocho de noviembre de dos mil veintidós</w:t>
      </w:r>
      <w:r w:rsidRPr="006E412F">
        <w:rPr>
          <w:rFonts w:ascii="Palatino Linotype" w:eastAsia="Palatino Linotype" w:hAnsi="Palatino Linotype" w:cs="Palatino Linotype"/>
          <w:sz w:val="24"/>
          <w:szCs w:val="24"/>
        </w:rPr>
        <w:t xml:space="preserve">, este Instituto solicitó al </w:t>
      </w:r>
      <w:r w:rsidRPr="006E412F">
        <w:rPr>
          <w:rFonts w:ascii="Palatino Linotype" w:eastAsia="Palatino Linotype" w:hAnsi="Palatino Linotype" w:cs="Palatino Linotype"/>
          <w:b/>
          <w:sz w:val="24"/>
          <w:szCs w:val="24"/>
        </w:rPr>
        <w:t xml:space="preserve">Ayuntamiento de Coacalco de Berriozábal </w:t>
      </w:r>
      <w:r w:rsidRPr="006E412F">
        <w:rPr>
          <w:rFonts w:ascii="Palatino Linotype" w:eastAsia="Palatino Linotype" w:hAnsi="Palatino Linotype" w:cs="Palatino Linotype"/>
          <w:sz w:val="24"/>
          <w:szCs w:val="24"/>
        </w:rPr>
        <w:t xml:space="preserve">el desahogo del requerimiento de información adicional con el objeto de contar con los elementos necesarios para la elaboración del proyecto de resolución correspondiente, esto de conformidad con el artículo 14, fracciones I, II, V y XVI del Reglamento Interior del Instituto de Transparencia, Acceso a la Información Pública y Protección de Datos Personales del Estado de México y Municipios, el cual versó en lo siguiente: </w:t>
      </w:r>
    </w:p>
    <w:p w14:paraId="208D53B6" w14:textId="77777777" w:rsidR="00577EBA" w:rsidRPr="006E412F" w:rsidRDefault="007A63D9">
      <w:pPr>
        <w:widowControl w:val="0"/>
        <w:pBdr>
          <w:top w:val="nil"/>
          <w:left w:val="nil"/>
          <w:bottom w:val="nil"/>
          <w:right w:val="nil"/>
          <w:between w:val="nil"/>
        </w:pBdr>
        <w:tabs>
          <w:tab w:val="left" w:pos="709"/>
        </w:tabs>
        <w:spacing w:after="0" w:line="360" w:lineRule="auto"/>
        <w:jc w:val="center"/>
        <w:rPr>
          <w:rFonts w:ascii="Palatino Linotype" w:eastAsia="Palatino Linotype" w:hAnsi="Palatino Linotype" w:cs="Palatino Linotype"/>
          <w:i/>
        </w:rPr>
      </w:pPr>
      <w:r w:rsidRPr="006E412F">
        <w:rPr>
          <w:rFonts w:ascii="Palatino Linotype" w:eastAsia="Palatino Linotype" w:hAnsi="Palatino Linotype" w:cs="Palatino Linotype"/>
          <w:i/>
        </w:rPr>
        <w:t>…</w:t>
      </w:r>
    </w:p>
    <w:p w14:paraId="68D1228A" w14:textId="77777777" w:rsidR="00577EBA" w:rsidRPr="006E412F" w:rsidRDefault="007A63D9">
      <w:pPr>
        <w:widowControl w:val="0"/>
        <w:pBdr>
          <w:top w:val="nil"/>
          <w:left w:val="nil"/>
          <w:bottom w:val="nil"/>
          <w:right w:val="nil"/>
          <w:between w:val="nil"/>
        </w:pBdr>
        <w:tabs>
          <w:tab w:val="left" w:pos="709"/>
        </w:tabs>
        <w:spacing w:after="0" w:line="360" w:lineRule="auto"/>
        <w:ind w:left="567" w:right="567"/>
        <w:jc w:val="both"/>
        <w:rPr>
          <w:rFonts w:ascii="Palatino Linotype" w:eastAsia="Palatino Linotype" w:hAnsi="Palatino Linotype" w:cs="Palatino Linotype"/>
        </w:rPr>
      </w:pPr>
      <w:r w:rsidRPr="006E412F">
        <w:rPr>
          <w:rFonts w:ascii="Palatino Linotype" w:eastAsia="Palatino Linotype" w:hAnsi="Palatino Linotype" w:cs="Palatino Linotype"/>
        </w:rPr>
        <w:t xml:space="preserve">Por tanto, con fundamento en el artículo 14, fracciones I, II, V y XVI del Reglamento Interior del Instituto de Transparencia, Acceso a la Información Pública y Protección de Datos Personales del Estado de México y Municipios publicado en la Gaceta del Gobierno el 17 de noviembre de 2020; con el objeto de contar con los elementos necesarios para la elaboración del proyecto de resolución correspondiente, se requiere informe lo siguiente: </w:t>
      </w:r>
    </w:p>
    <w:p w14:paraId="3A26F587" w14:textId="77777777" w:rsidR="00577EBA" w:rsidRPr="006E412F" w:rsidRDefault="00577EBA">
      <w:pPr>
        <w:widowControl w:val="0"/>
        <w:pBdr>
          <w:top w:val="nil"/>
          <w:left w:val="nil"/>
          <w:bottom w:val="nil"/>
          <w:right w:val="nil"/>
          <w:between w:val="nil"/>
        </w:pBdr>
        <w:tabs>
          <w:tab w:val="left" w:pos="709"/>
        </w:tabs>
        <w:spacing w:after="0" w:line="360" w:lineRule="auto"/>
        <w:ind w:left="567" w:right="567"/>
        <w:jc w:val="both"/>
        <w:rPr>
          <w:rFonts w:ascii="Palatino Linotype" w:eastAsia="Palatino Linotype" w:hAnsi="Palatino Linotype" w:cs="Palatino Linotype"/>
        </w:rPr>
      </w:pPr>
    </w:p>
    <w:p w14:paraId="03A61D61" w14:textId="77777777" w:rsidR="00577EBA" w:rsidRPr="006E412F" w:rsidRDefault="007A63D9">
      <w:pPr>
        <w:widowControl w:val="0"/>
        <w:pBdr>
          <w:top w:val="nil"/>
          <w:left w:val="nil"/>
          <w:bottom w:val="nil"/>
          <w:right w:val="nil"/>
          <w:between w:val="nil"/>
        </w:pBdr>
        <w:tabs>
          <w:tab w:val="left" w:pos="709"/>
        </w:tabs>
        <w:spacing w:after="0" w:line="360" w:lineRule="auto"/>
        <w:ind w:left="567" w:right="567"/>
        <w:jc w:val="both"/>
        <w:rPr>
          <w:rFonts w:ascii="Palatino Linotype" w:eastAsia="Palatino Linotype" w:hAnsi="Palatino Linotype" w:cs="Palatino Linotype"/>
        </w:rPr>
      </w:pPr>
      <w:r w:rsidRPr="006E412F">
        <w:rPr>
          <w:rFonts w:ascii="Palatino Linotype" w:eastAsia="Palatino Linotype" w:hAnsi="Palatino Linotype" w:cs="Palatino Linotype"/>
        </w:rPr>
        <w:t xml:space="preserve">1. Razones y motivos para no entregar la información a través del Sistema de Acceso a la Información Mexiquense. </w:t>
      </w:r>
    </w:p>
    <w:p w14:paraId="16C1C3D8" w14:textId="77777777" w:rsidR="00577EBA" w:rsidRPr="006E412F" w:rsidRDefault="007A63D9">
      <w:pPr>
        <w:widowControl w:val="0"/>
        <w:pBdr>
          <w:top w:val="nil"/>
          <w:left w:val="nil"/>
          <w:bottom w:val="nil"/>
          <w:right w:val="nil"/>
          <w:between w:val="nil"/>
        </w:pBdr>
        <w:tabs>
          <w:tab w:val="left" w:pos="709"/>
        </w:tabs>
        <w:spacing w:after="0" w:line="360" w:lineRule="auto"/>
        <w:ind w:left="567" w:right="567"/>
        <w:jc w:val="both"/>
        <w:rPr>
          <w:rFonts w:ascii="Palatino Linotype" w:eastAsia="Palatino Linotype" w:hAnsi="Palatino Linotype" w:cs="Palatino Linotype"/>
        </w:rPr>
      </w:pPr>
      <w:r w:rsidRPr="006E412F">
        <w:rPr>
          <w:rFonts w:ascii="Palatino Linotype" w:eastAsia="Palatino Linotype" w:hAnsi="Palatino Linotype" w:cs="Palatino Linotype"/>
        </w:rPr>
        <w:t xml:space="preserve">2. Indique si la cantidad de información excede las capacidades del Sistema de Acceso a la Información Mexiquense, esto mediante el reporte de incidencias realizado ante la Dirección General de Informática del INFOEM, para lo cual se invita dé trámite al mismo. </w:t>
      </w:r>
    </w:p>
    <w:p w14:paraId="2282F263" w14:textId="77777777" w:rsidR="00577EBA" w:rsidRPr="006E412F" w:rsidRDefault="007A63D9">
      <w:pPr>
        <w:widowControl w:val="0"/>
        <w:pBdr>
          <w:top w:val="nil"/>
          <w:left w:val="nil"/>
          <w:bottom w:val="nil"/>
          <w:right w:val="nil"/>
          <w:between w:val="nil"/>
        </w:pBdr>
        <w:tabs>
          <w:tab w:val="left" w:pos="709"/>
        </w:tabs>
        <w:spacing w:after="0" w:line="360" w:lineRule="auto"/>
        <w:ind w:left="567" w:right="567"/>
        <w:jc w:val="both"/>
        <w:rPr>
          <w:rFonts w:ascii="Palatino Linotype" w:eastAsia="Palatino Linotype" w:hAnsi="Palatino Linotype" w:cs="Palatino Linotype"/>
        </w:rPr>
      </w:pPr>
      <w:r w:rsidRPr="006E412F">
        <w:rPr>
          <w:rFonts w:ascii="Palatino Linotype" w:eastAsia="Palatino Linotype" w:hAnsi="Palatino Linotype" w:cs="Palatino Linotype"/>
        </w:rPr>
        <w:t xml:space="preserve">3. Indique si la información solicitada sobrepasa sus capacidades administrativas y humanas. </w:t>
      </w:r>
    </w:p>
    <w:p w14:paraId="14998D4B" w14:textId="77777777" w:rsidR="00577EBA" w:rsidRPr="006E412F" w:rsidRDefault="007A63D9">
      <w:pPr>
        <w:widowControl w:val="0"/>
        <w:pBdr>
          <w:top w:val="nil"/>
          <w:left w:val="nil"/>
          <w:bottom w:val="nil"/>
          <w:right w:val="nil"/>
          <w:between w:val="nil"/>
        </w:pBdr>
        <w:tabs>
          <w:tab w:val="left" w:pos="709"/>
        </w:tabs>
        <w:spacing w:after="0" w:line="360" w:lineRule="auto"/>
        <w:ind w:left="567" w:right="567"/>
        <w:jc w:val="both"/>
        <w:rPr>
          <w:rFonts w:ascii="Palatino Linotype" w:eastAsia="Palatino Linotype" w:hAnsi="Palatino Linotype" w:cs="Palatino Linotype"/>
        </w:rPr>
      </w:pPr>
      <w:r w:rsidRPr="006E412F">
        <w:rPr>
          <w:rFonts w:ascii="Palatino Linotype" w:eastAsia="Palatino Linotype" w:hAnsi="Palatino Linotype" w:cs="Palatino Linotype"/>
        </w:rPr>
        <w:t>4. En caso afirmativo, indique las razones o motivos por las cuales la información solicitada sobrepasa las capacidades administrativas y humanas para ser proporcionada vía Sistema de Acceso a la Información Mexiquense</w:t>
      </w:r>
    </w:p>
    <w:p w14:paraId="61CE3B1A" w14:textId="77777777" w:rsidR="00577EBA" w:rsidRPr="006E412F" w:rsidRDefault="007A63D9">
      <w:pPr>
        <w:widowControl w:val="0"/>
        <w:pBdr>
          <w:top w:val="nil"/>
          <w:left w:val="nil"/>
          <w:bottom w:val="nil"/>
          <w:right w:val="nil"/>
          <w:between w:val="nil"/>
        </w:pBdr>
        <w:tabs>
          <w:tab w:val="left" w:pos="709"/>
        </w:tabs>
        <w:spacing w:line="360" w:lineRule="auto"/>
        <w:ind w:left="567" w:right="567"/>
        <w:jc w:val="center"/>
        <w:rPr>
          <w:rFonts w:ascii="Palatino Linotype" w:eastAsia="Palatino Linotype" w:hAnsi="Palatino Linotype" w:cs="Palatino Linotype"/>
        </w:rPr>
      </w:pPr>
      <w:r w:rsidRPr="006E412F">
        <w:rPr>
          <w:rFonts w:ascii="Palatino Linotype" w:eastAsia="Palatino Linotype" w:hAnsi="Palatino Linotype" w:cs="Palatino Linotype"/>
        </w:rPr>
        <w:t>…</w:t>
      </w:r>
    </w:p>
    <w:p w14:paraId="3FBE51E0" w14:textId="77777777" w:rsidR="00577EBA" w:rsidRPr="006E412F" w:rsidRDefault="007A63D9">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b/>
          <w:sz w:val="24"/>
          <w:szCs w:val="24"/>
        </w:rPr>
        <w:t>Cierre de instrucción</w:t>
      </w:r>
      <w:r w:rsidRPr="006E412F">
        <w:rPr>
          <w:rFonts w:ascii="Palatino Linotype" w:eastAsia="Palatino Linotype" w:hAnsi="Palatino Linotype" w:cs="Palatino Linotype"/>
          <w:sz w:val="24"/>
          <w:szCs w:val="24"/>
        </w:rPr>
        <w:t xml:space="preserve">. En fecha </w:t>
      </w:r>
      <w:r w:rsidRPr="006E412F">
        <w:rPr>
          <w:rFonts w:ascii="Palatino Linotype" w:eastAsia="Palatino Linotype" w:hAnsi="Palatino Linotype" w:cs="Palatino Linotype"/>
          <w:b/>
          <w:sz w:val="24"/>
          <w:szCs w:val="24"/>
        </w:rPr>
        <w:t>nueve de noviembre de dos mil veintidós</w:t>
      </w:r>
      <w:r w:rsidRPr="006E412F">
        <w:rPr>
          <w:rFonts w:ascii="Palatino Linotype" w:eastAsia="Palatino Linotype" w:hAnsi="Palatino Linotype" w:cs="Palatino Linotype"/>
          <w:sz w:val="24"/>
          <w:szCs w:val="24"/>
        </w:rPr>
        <w:t>, la Comisionada Ponente determinó el cierre de instrucción en términos de la fracción VI del artículo 185 de la Ley de Transparencia y Acceso a la Información Pública del Estado de México y Municipios.</w:t>
      </w:r>
    </w:p>
    <w:p w14:paraId="0357DAC4" w14:textId="77777777" w:rsidR="00577EBA" w:rsidRPr="006E412F" w:rsidRDefault="00577EBA">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5C704341" w14:textId="77777777" w:rsidR="00577EBA" w:rsidRPr="006E412F" w:rsidRDefault="007A63D9">
      <w:pPr>
        <w:widowControl w:val="0"/>
        <w:numPr>
          <w:ilvl w:val="0"/>
          <w:numId w:val="1"/>
        </w:numPr>
        <w:pBdr>
          <w:top w:val="nil"/>
          <w:left w:val="nil"/>
          <w:bottom w:val="nil"/>
          <w:right w:val="nil"/>
          <w:between w:val="nil"/>
        </w:pBdr>
        <w:tabs>
          <w:tab w:val="left" w:pos="567"/>
        </w:tabs>
        <w:spacing w:after="0" w:line="360" w:lineRule="auto"/>
        <w:ind w:left="0" w:firstLine="0"/>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b/>
          <w:sz w:val="24"/>
          <w:szCs w:val="24"/>
        </w:rPr>
        <w:t xml:space="preserve">Desahogo del Requerimiento de Información: </w:t>
      </w:r>
      <w:r w:rsidRPr="006E412F">
        <w:rPr>
          <w:rFonts w:ascii="Palatino Linotype" w:eastAsia="Palatino Linotype" w:hAnsi="Palatino Linotype" w:cs="Palatino Linotype"/>
          <w:sz w:val="24"/>
          <w:szCs w:val="24"/>
        </w:rPr>
        <w:t xml:space="preserve">El Sujeto Obligado en fecha </w:t>
      </w:r>
      <w:r w:rsidRPr="006E412F">
        <w:rPr>
          <w:rFonts w:ascii="Palatino Linotype" w:eastAsia="Palatino Linotype" w:hAnsi="Palatino Linotype" w:cs="Palatino Linotype"/>
          <w:b/>
          <w:sz w:val="24"/>
          <w:szCs w:val="24"/>
        </w:rPr>
        <w:t>once de noviembre dos mil veintidós</w:t>
      </w:r>
      <w:r w:rsidRPr="006E412F">
        <w:rPr>
          <w:rFonts w:ascii="Palatino Linotype" w:eastAsia="Palatino Linotype" w:hAnsi="Palatino Linotype" w:cs="Palatino Linotype"/>
          <w:sz w:val="24"/>
          <w:szCs w:val="24"/>
        </w:rPr>
        <w:t xml:space="preserve">, desahogó el requerimiento de información adicional, al tenor de lo siguiente:  </w:t>
      </w:r>
    </w:p>
    <w:p w14:paraId="59D0FB57" w14:textId="77777777" w:rsidR="00577EBA" w:rsidRPr="006E412F" w:rsidRDefault="00577EBA">
      <w:pPr>
        <w:widowControl w:val="0"/>
        <w:tabs>
          <w:tab w:val="left" w:pos="567"/>
        </w:tabs>
        <w:spacing w:after="0" w:line="360" w:lineRule="auto"/>
        <w:jc w:val="both"/>
        <w:rPr>
          <w:rFonts w:ascii="Palatino Linotype" w:eastAsia="Palatino Linotype" w:hAnsi="Palatino Linotype" w:cs="Palatino Linotype"/>
          <w:sz w:val="24"/>
          <w:szCs w:val="24"/>
        </w:rPr>
      </w:pPr>
    </w:p>
    <w:p w14:paraId="41471392" w14:textId="77777777" w:rsidR="00577EBA" w:rsidRPr="006E412F" w:rsidRDefault="007A63D9">
      <w:pPr>
        <w:widowControl w:val="0"/>
        <w:numPr>
          <w:ilvl w:val="0"/>
          <w:numId w:val="8"/>
        </w:numPr>
        <w:pBdr>
          <w:top w:val="nil"/>
          <w:left w:val="nil"/>
          <w:bottom w:val="nil"/>
          <w:right w:val="nil"/>
          <w:between w:val="nil"/>
        </w:pBdr>
        <w:tabs>
          <w:tab w:val="left" w:pos="851"/>
        </w:tabs>
        <w:spacing w:after="0" w:line="360" w:lineRule="auto"/>
        <w:ind w:left="567" w:firstLine="0"/>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Oficio de fecha diez de noviembre de dos mil veintidós, signado por la Directora de Administración, mediante el cual informa que se envía la respuesta emitida por la Subdirección de Adquisiciones y Recursos Materiales. </w:t>
      </w:r>
    </w:p>
    <w:p w14:paraId="5EC68F25" w14:textId="77777777" w:rsidR="00577EBA" w:rsidRPr="006E412F" w:rsidRDefault="007A63D9">
      <w:pPr>
        <w:widowControl w:val="0"/>
        <w:numPr>
          <w:ilvl w:val="0"/>
          <w:numId w:val="8"/>
        </w:numPr>
        <w:pBdr>
          <w:top w:val="nil"/>
          <w:left w:val="nil"/>
          <w:bottom w:val="nil"/>
          <w:right w:val="nil"/>
          <w:between w:val="nil"/>
        </w:pBdr>
        <w:tabs>
          <w:tab w:val="left" w:pos="851"/>
        </w:tabs>
        <w:spacing w:after="0" w:line="360" w:lineRule="auto"/>
        <w:ind w:left="567" w:firstLine="0"/>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Oficio de fecha nueve de noviembre de dos mil veintidós, signado por el Subdirector de Recursos Materiales, mediante el cual precisa que:</w:t>
      </w:r>
    </w:p>
    <w:p w14:paraId="026E66BF" w14:textId="77777777" w:rsidR="00577EBA" w:rsidRPr="006E412F" w:rsidRDefault="00577EBA">
      <w:pPr>
        <w:widowControl w:val="0"/>
        <w:pBdr>
          <w:top w:val="nil"/>
          <w:left w:val="nil"/>
          <w:bottom w:val="nil"/>
          <w:right w:val="nil"/>
          <w:between w:val="nil"/>
        </w:pBdr>
        <w:tabs>
          <w:tab w:val="left" w:pos="567"/>
        </w:tabs>
        <w:spacing w:after="0" w:line="360" w:lineRule="auto"/>
        <w:ind w:left="720"/>
        <w:jc w:val="center"/>
        <w:rPr>
          <w:rFonts w:ascii="Palatino Linotype" w:eastAsia="Palatino Linotype" w:hAnsi="Palatino Linotype" w:cs="Palatino Linotype"/>
          <w:sz w:val="24"/>
          <w:szCs w:val="24"/>
        </w:rPr>
      </w:pPr>
    </w:p>
    <w:p w14:paraId="60685ADE" w14:textId="77777777" w:rsidR="00577EBA" w:rsidRPr="006E412F" w:rsidRDefault="007A63D9">
      <w:pPr>
        <w:widowControl w:val="0"/>
        <w:pBdr>
          <w:top w:val="nil"/>
          <w:left w:val="nil"/>
          <w:bottom w:val="nil"/>
          <w:right w:val="nil"/>
          <w:between w:val="nil"/>
        </w:pBdr>
        <w:tabs>
          <w:tab w:val="left" w:pos="567"/>
        </w:tabs>
        <w:spacing w:after="0" w:line="360" w:lineRule="auto"/>
        <w:ind w:left="720"/>
        <w:jc w:val="center"/>
        <w:rPr>
          <w:rFonts w:ascii="Palatino Linotype" w:eastAsia="Palatino Linotype" w:hAnsi="Palatino Linotype" w:cs="Palatino Linotype"/>
          <w:i/>
          <w:sz w:val="24"/>
          <w:szCs w:val="24"/>
        </w:rPr>
      </w:pPr>
      <w:r w:rsidRPr="006E412F">
        <w:rPr>
          <w:rFonts w:ascii="Palatino Linotype" w:eastAsia="Palatino Linotype" w:hAnsi="Palatino Linotype" w:cs="Palatino Linotype"/>
          <w:i/>
          <w:noProof/>
          <w:sz w:val="24"/>
          <w:szCs w:val="24"/>
        </w:rPr>
        <w:drawing>
          <wp:inline distT="0" distB="0" distL="0" distR="0" wp14:anchorId="37FFA062" wp14:editId="64B8A099">
            <wp:extent cx="4648849" cy="1762371"/>
            <wp:effectExtent l="0" t="0" r="0" b="0"/>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648849" cy="1762371"/>
                    </a:xfrm>
                    <a:prstGeom prst="rect">
                      <a:avLst/>
                    </a:prstGeom>
                    <a:ln/>
                  </pic:spPr>
                </pic:pic>
              </a:graphicData>
            </a:graphic>
          </wp:inline>
        </w:drawing>
      </w:r>
    </w:p>
    <w:p w14:paraId="1E72DA4F" w14:textId="77777777" w:rsidR="00577EBA" w:rsidRPr="006E412F" w:rsidRDefault="007A63D9">
      <w:pPr>
        <w:widowControl w:val="0"/>
        <w:pBdr>
          <w:top w:val="nil"/>
          <w:left w:val="nil"/>
          <w:bottom w:val="nil"/>
          <w:right w:val="nil"/>
          <w:between w:val="nil"/>
        </w:pBdr>
        <w:tabs>
          <w:tab w:val="left" w:pos="567"/>
        </w:tabs>
        <w:spacing w:after="0" w:line="360" w:lineRule="auto"/>
        <w:ind w:left="720"/>
        <w:jc w:val="center"/>
        <w:rPr>
          <w:rFonts w:ascii="Palatino Linotype" w:eastAsia="Palatino Linotype" w:hAnsi="Palatino Linotype" w:cs="Palatino Linotype"/>
          <w:i/>
          <w:sz w:val="24"/>
          <w:szCs w:val="24"/>
        </w:rPr>
      </w:pPr>
      <w:r w:rsidRPr="006E412F">
        <w:rPr>
          <w:rFonts w:ascii="Palatino Linotype" w:eastAsia="Palatino Linotype" w:hAnsi="Palatino Linotype" w:cs="Palatino Linotype"/>
          <w:i/>
          <w:noProof/>
          <w:sz w:val="24"/>
          <w:szCs w:val="24"/>
        </w:rPr>
        <w:drawing>
          <wp:inline distT="0" distB="0" distL="0" distR="0" wp14:anchorId="19F5F4FC" wp14:editId="0BC43480">
            <wp:extent cx="4629796" cy="2229161"/>
            <wp:effectExtent l="0" t="0" r="0" b="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629796" cy="2229161"/>
                    </a:xfrm>
                    <a:prstGeom prst="rect">
                      <a:avLst/>
                    </a:prstGeom>
                    <a:ln/>
                  </pic:spPr>
                </pic:pic>
              </a:graphicData>
            </a:graphic>
          </wp:inline>
        </w:drawing>
      </w:r>
    </w:p>
    <w:p w14:paraId="372DC325" w14:textId="77777777" w:rsidR="00577EBA" w:rsidRPr="006E412F" w:rsidRDefault="007A63D9">
      <w:pPr>
        <w:widowControl w:val="0"/>
        <w:pBdr>
          <w:top w:val="nil"/>
          <w:left w:val="nil"/>
          <w:bottom w:val="nil"/>
          <w:right w:val="nil"/>
          <w:between w:val="nil"/>
        </w:pBdr>
        <w:tabs>
          <w:tab w:val="left" w:pos="567"/>
        </w:tabs>
        <w:spacing w:after="0" w:line="360" w:lineRule="auto"/>
        <w:ind w:left="720"/>
        <w:jc w:val="center"/>
        <w:rPr>
          <w:rFonts w:ascii="Palatino Linotype" w:eastAsia="Palatino Linotype" w:hAnsi="Palatino Linotype" w:cs="Palatino Linotype"/>
          <w:i/>
          <w:sz w:val="24"/>
          <w:szCs w:val="24"/>
        </w:rPr>
      </w:pPr>
      <w:r w:rsidRPr="006E412F">
        <w:rPr>
          <w:rFonts w:ascii="Palatino Linotype" w:eastAsia="Palatino Linotype" w:hAnsi="Palatino Linotype" w:cs="Palatino Linotype"/>
          <w:i/>
          <w:noProof/>
          <w:sz w:val="24"/>
          <w:szCs w:val="24"/>
        </w:rPr>
        <w:drawing>
          <wp:inline distT="0" distB="0" distL="0" distR="0" wp14:anchorId="011EDAE3" wp14:editId="17BFD56A">
            <wp:extent cx="4639322" cy="4372585"/>
            <wp:effectExtent l="0" t="0" r="0" b="0"/>
            <wp:docPr id="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4639322" cy="4372585"/>
                    </a:xfrm>
                    <a:prstGeom prst="rect">
                      <a:avLst/>
                    </a:prstGeom>
                    <a:ln/>
                  </pic:spPr>
                </pic:pic>
              </a:graphicData>
            </a:graphic>
          </wp:inline>
        </w:drawing>
      </w:r>
    </w:p>
    <w:p w14:paraId="71A42FFD" w14:textId="77777777" w:rsidR="00577EBA" w:rsidRPr="006E412F" w:rsidRDefault="00577EBA">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42D1FD0A"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Debido a que fue debidamente sustanciado el expediente electrónico y no existe diligencia pendiente de desahogo, se emite la Resolución que conforme a Derecho proceda, de acuerdo con los siguientes: </w:t>
      </w:r>
    </w:p>
    <w:p w14:paraId="0CE5337D"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4FF5077E" w14:textId="77777777" w:rsidR="00577EBA" w:rsidRPr="006E412F" w:rsidRDefault="007A63D9">
      <w:pPr>
        <w:spacing w:after="0" w:line="360" w:lineRule="auto"/>
        <w:ind w:right="49"/>
        <w:jc w:val="center"/>
        <w:rPr>
          <w:rFonts w:ascii="Palatino Linotype" w:eastAsia="Palatino Linotype" w:hAnsi="Palatino Linotype" w:cs="Palatino Linotype"/>
          <w:b/>
          <w:sz w:val="24"/>
          <w:szCs w:val="24"/>
        </w:rPr>
      </w:pPr>
      <w:r w:rsidRPr="006E412F">
        <w:rPr>
          <w:rFonts w:ascii="Palatino Linotype" w:eastAsia="Palatino Linotype" w:hAnsi="Palatino Linotype" w:cs="Palatino Linotype"/>
          <w:b/>
          <w:sz w:val="24"/>
          <w:szCs w:val="24"/>
        </w:rPr>
        <w:t>II.</w:t>
      </w:r>
      <w:r w:rsidRPr="006E412F">
        <w:rPr>
          <w:rFonts w:ascii="Palatino Linotype" w:eastAsia="Palatino Linotype" w:hAnsi="Palatino Linotype" w:cs="Palatino Linotype"/>
          <w:b/>
          <w:sz w:val="24"/>
          <w:szCs w:val="24"/>
        </w:rPr>
        <w:tab/>
        <w:t>C O N S I D E R A N D O:</w:t>
      </w:r>
    </w:p>
    <w:p w14:paraId="062D58C0"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14B2676A"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b/>
          <w:sz w:val="24"/>
          <w:szCs w:val="24"/>
        </w:rPr>
        <w:t>Primero. Competencia.</w:t>
      </w:r>
      <w:r w:rsidRPr="006E412F">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B3600B0"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01C515BD"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b/>
          <w:sz w:val="24"/>
          <w:szCs w:val="24"/>
        </w:rPr>
        <w:t xml:space="preserve">Segundo. Oportunidad y </w:t>
      </w:r>
      <w:proofErr w:type="spellStart"/>
      <w:r w:rsidRPr="006E412F">
        <w:rPr>
          <w:rFonts w:ascii="Palatino Linotype" w:eastAsia="Palatino Linotype" w:hAnsi="Palatino Linotype" w:cs="Palatino Linotype"/>
          <w:b/>
          <w:sz w:val="24"/>
          <w:szCs w:val="24"/>
        </w:rPr>
        <w:t>Procedibilidad</w:t>
      </w:r>
      <w:proofErr w:type="spellEnd"/>
      <w:r w:rsidRPr="006E412F">
        <w:rPr>
          <w:rFonts w:ascii="Palatino Linotype" w:eastAsia="Palatino Linotype" w:hAnsi="Palatino Linotype" w:cs="Palatino Linotype"/>
          <w:b/>
          <w:sz w:val="24"/>
          <w:szCs w:val="24"/>
        </w:rPr>
        <w:t xml:space="preserve"> del Recurso de Revisión.</w:t>
      </w:r>
      <w:r w:rsidRPr="006E412F">
        <w:rPr>
          <w:rFonts w:ascii="Palatino Linotype" w:eastAsia="Palatino Linotype" w:hAnsi="Palatino Linotype" w:cs="Palatino Linotype"/>
          <w:sz w:val="24"/>
          <w:szCs w:val="24"/>
        </w:rPr>
        <w:t xml:space="preserve"> Previo al estudio del fondo del asunto, se procede a analizar los requisitos de oportunidad y </w:t>
      </w:r>
      <w:proofErr w:type="spellStart"/>
      <w:r w:rsidRPr="006E412F">
        <w:rPr>
          <w:rFonts w:ascii="Palatino Linotype" w:eastAsia="Palatino Linotype" w:hAnsi="Palatino Linotype" w:cs="Palatino Linotype"/>
          <w:sz w:val="24"/>
          <w:szCs w:val="24"/>
        </w:rPr>
        <w:t>procedibilidad</w:t>
      </w:r>
      <w:proofErr w:type="spellEnd"/>
      <w:r w:rsidRPr="006E412F">
        <w:rPr>
          <w:rFonts w:ascii="Palatino Linotype" w:eastAsia="Palatino Linotype" w:hAnsi="Palatino Linotype" w:cs="Palatino Linotype"/>
          <w:sz w:val="24"/>
          <w:szCs w:val="24"/>
        </w:rPr>
        <w:t xml:space="preserve"> que deben reunir el recurso de revisión interpuesto, previstos en los artículos 178 y 180 de la Ley de Transparencia y Acceso a la Información Pública del Estado de México y Municipios. </w:t>
      </w:r>
    </w:p>
    <w:p w14:paraId="00DFB72D"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2182DFB7"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El recurso de revisión fue interpuesto dentro del plazo de quince días hábiles previstos en el artículo 178 de la Ley de Transparencia y Acceso a la Información Pública del Estado de México y Municipios, toda vez que el </w:t>
      </w:r>
      <w:r w:rsidRPr="006E412F">
        <w:rPr>
          <w:rFonts w:ascii="Palatino Linotype" w:eastAsia="Palatino Linotype" w:hAnsi="Palatino Linotype" w:cs="Palatino Linotype"/>
          <w:b/>
          <w:sz w:val="24"/>
          <w:szCs w:val="24"/>
        </w:rPr>
        <w:t>SUJETO OBLIGADO</w:t>
      </w:r>
      <w:r w:rsidRPr="006E412F">
        <w:rPr>
          <w:rFonts w:ascii="Palatino Linotype" w:eastAsia="Palatino Linotype" w:hAnsi="Palatino Linotype" w:cs="Palatino Linotype"/>
          <w:sz w:val="24"/>
          <w:szCs w:val="24"/>
        </w:rPr>
        <w:t xml:space="preserve"> remitió la respuesta a la solicitud de información el </w:t>
      </w:r>
      <w:r w:rsidRPr="006E412F">
        <w:rPr>
          <w:rFonts w:ascii="Palatino Linotype" w:eastAsia="Palatino Linotype" w:hAnsi="Palatino Linotype" w:cs="Palatino Linotype"/>
          <w:b/>
          <w:sz w:val="24"/>
          <w:szCs w:val="24"/>
        </w:rPr>
        <w:t>veintitrés de mayo de dos mil veintidós</w:t>
      </w:r>
      <w:r w:rsidRPr="006E412F">
        <w:rPr>
          <w:rFonts w:ascii="Palatino Linotype" w:eastAsia="Palatino Linotype" w:hAnsi="Palatino Linotype" w:cs="Palatino Linotype"/>
          <w:sz w:val="24"/>
          <w:szCs w:val="24"/>
        </w:rPr>
        <w:t xml:space="preserve">, mientras que el recurso de revisión interpuesto por la parte </w:t>
      </w:r>
      <w:r w:rsidRPr="006E412F">
        <w:rPr>
          <w:rFonts w:ascii="Palatino Linotype" w:eastAsia="Palatino Linotype" w:hAnsi="Palatino Linotype" w:cs="Palatino Linotype"/>
          <w:b/>
          <w:sz w:val="24"/>
          <w:szCs w:val="24"/>
        </w:rPr>
        <w:t xml:space="preserve">RECURRENTE </w:t>
      </w:r>
      <w:r w:rsidRPr="006E412F">
        <w:rPr>
          <w:rFonts w:ascii="Palatino Linotype" w:eastAsia="Palatino Linotype" w:hAnsi="Palatino Linotype" w:cs="Palatino Linotype"/>
          <w:sz w:val="24"/>
          <w:szCs w:val="24"/>
        </w:rPr>
        <w:t xml:space="preserve">se tuvo por presentado el </w:t>
      </w:r>
      <w:r w:rsidRPr="006E412F">
        <w:rPr>
          <w:rFonts w:ascii="Palatino Linotype" w:eastAsia="Palatino Linotype" w:hAnsi="Palatino Linotype" w:cs="Palatino Linotype"/>
          <w:b/>
          <w:sz w:val="24"/>
          <w:szCs w:val="24"/>
        </w:rPr>
        <w:t>veinticinco de mayo de dos mil veintidós</w:t>
      </w:r>
      <w:r w:rsidRPr="006E412F">
        <w:rPr>
          <w:rFonts w:ascii="Palatino Linotype" w:eastAsia="Palatino Linotype" w:hAnsi="Palatino Linotype" w:cs="Palatino Linotype"/>
          <w:sz w:val="24"/>
          <w:szCs w:val="24"/>
        </w:rPr>
        <w:t xml:space="preserve">. </w:t>
      </w:r>
    </w:p>
    <w:p w14:paraId="34CD39F4"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40352177"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En este sentido, al considerar la fecha en que se formuló la solicitud y la fecha en que respondió a esta el </w:t>
      </w:r>
      <w:r w:rsidRPr="006E412F">
        <w:rPr>
          <w:rFonts w:ascii="Palatino Linotype" w:eastAsia="Palatino Linotype" w:hAnsi="Palatino Linotype" w:cs="Palatino Linotype"/>
          <w:b/>
          <w:sz w:val="24"/>
          <w:szCs w:val="24"/>
        </w:rPr>
        <w:t>SUJETO OBLIGADO</w:t>
      </w:r>
      <w:r w:rsidRPr="006E412F">
        <w:rPr>
          <w:rFonts w:ascii="Palatino Linotype" w:eastAsia="Palatino Linotype" w:hAnsi="Palatino Linotype" w:cs="Palatino Linotype"/>
          <w:sz w:val="24"/>
          <w:szCs w:val="24"/>
        </w:rPr>
        <w:t xml:space="preserve">; así como la fecha en que se interpuso el recurso de revisión, se concluye que el presente recurso de revisión se encuentra dentro de los márgenes temporales previstos en las disposiciones legales referidas. </w:t>
      </w:r>
    </w:p>
    <w:p w14:paraId="5151AFED"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45D70997"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6E412F">
        <w:rPr>
          <w:rFonts w:ascii="Palatino Linotype" w:eastAsia="Palatino Linotype" w:hAnsi="Palatino Linotype" w:cs="Palatino Linotype"/>
          <w:b/>
          <w:sz w:val="24"/>
          <w:szCs w:val="24"/>
        </w:rPr>
        <w:t>SAIMEX</w:t>
      </w:r>
      <w:r w:rsidRPr="006E412F">
        <w:rPr>
          <w:rFonts w:ascii="Palatino Linotype" w:eastAsia="Palatino Linotype" w:hAnsi="Palatino Linotype" w:cs="Palatino Linotype"/>
          <w:sz w:val="24"/>
          <w:szCs w:val="24"/>
        </w:rPr>
        <w:t xml:space="preserve">.  </w:t>
      </w:r>
    </w:p>
    <w:p w14:paraId="6597AE4F"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0706FF58"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Finalmente, resulta procedente la interposición del recurso de revisión al rubro anotado, toda vez que se actualizan la hipótesis de procedencia previstas en el artículo 179, fracciones I y V de la Ley de la materia, que a la letra dice:</w:t>
      </w:r>
    </w:p>
    <w:p w14:paraId="327E8300"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3A745B09"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w:t>
      </w:r>
      <w:r w:rsidRPr="006E412F">
        <w:rPr>
          <w:rFonts w:ascii="Palatino Linotype" w:eastAsia="Palatino Linotype" w:hAnsi="Palatino Linotype" w:cs="Palatino Linotype"/>
          <w:b/>
          <w:i/>
        </w:rPr>
        <w:t>Artículo 179.</w:t>
      </w:r>
      <w:r w:rsidRPr="006E412F">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1CD53F6A"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w:t>
      </w:r>
    </w:p>
    <w:p w14:paraId="3BEE8280"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I. La negativa a la información solicitada</w:t>
      </w:r>
    </w:p>
    <w:p w14:paraId="48113CCB"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w:t>
      </w:r>
    </w:p>
    <w:p w14:paraId="58561ED9"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V. La entrega de información incompleta;” (Sic)</w:t>
      </w:r>
    </w:p>
    <w:p w14:paraId="7AEA4245"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07FD504C"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b/>
          <w:sz w:val="24"/>
          <w:szCs w:val="24"/>
        </w:rPr>
        <w:t>Tercero. Materia de la revisión</w:t>
      </w:r>
      <w:r w:rsidRPr="006E412F">
        <w:rPr>
          <w:rFonts w:ascii="Palatino Linotype" w:eastAsia="Palatino Linotype" w:hAnsi="Palatino Linotype" w:cs="Palatino Linotype"/>
          <w:sz w:val="24"/>
          <w:szCs w:val="24"/>
        </w:rPr>
        <w:t>. De la revisión a las constancias y documentos que obran en el expediente electrónico se advierte, que el tema sobre el que este Organismo Garante de Transparencia y Acceso a la Información se pronunciará será en determinar, si se actualizan las hipótesis previstas en las fracciones I y V del artículo 179 de la Ley en la materia, es decir; si el sujeto obligado negó la información solicitada por el Recurrente de manera fundada y motivada.</w:t>
      </w:r>
    </w:p>
    <w:p w14:paraId="1BFE3792"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02A6AC37"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b/>
          <w:sz w:val="24"/>
          <w:szCs w:val="24"/>
        </w:rPr>
        <w:t>Cuarto.</w:t>
      </w:r>
      <w:r w:rsidRPr="006E412F">
        <w:rPr>
          <w:rFonts w:ascii="Palatino Linotype" w:eastAsia="Palatino Linotype" w:hAnsi="Palatino Linotype" w:cs="Palatino Linotype"/>
          <w:sz w:val="24"/>
          <w:szCs w:val="24"/>
        </w:rPr>
        <w:t xml:space="preserve"> </w:t>
      </w:r>
      <w:r w:rsidRPr="006E412F">
        <w:rPr>
          <w:rFonts w:ascii="Palatino Linotype" w:eastAsia="Palatino Linotype" w:hAnsi="Palatino Linotype" w:cs="Palatino Linotype"/>
          <w:b/>
          <w:sz w:val="24"/>
          <w:szCs w:val="24"/>
        </w:rPr>
        <w:t>Estudio de fondo del asunto.</w:t>
      </w:r>
      <w:r w:rsidRPr="006E412F">
        <w:rPr>
          <w:rFonts w:ascii="Palatino Linotype" w:eastAsia="Palatino Linotype" w:hAnsi="Palatino Linotype" w:cs="Palatino Linotype"/>
          <w:sz w:val="24"/>
          <w:szCs w:val="24"/>
        </w:rPr>
        <w:t xml:space="preserve">  Antes de entrar al análisis de los pronunciamientos del Sujeto Obligado en la respuesta proporcionada, así como en el informe justificado,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F297B18" w14:textId="77777777" w:rsidR="00577EBA" w:rsidRPr="006E412F" w:rsidRDefault="00577EBA">
      <w:pPr>
        <w:spacing w:after="0" w:line="276" w:lineRule="auto"/>
        <w:ind w:left="567" w:right="560"/>
        <w:jc w:val="both"/>
        <w:rPr>
          <w:rFonts w:ascii="Palatino Linotype" w:eastAsia="Palatino Linotype" w:hAnsi="Palatino Linotype" w:cs="Palatino Linotype"/>
          <w:i/>
        </w:rPr>
      </w:pPr>
    </w:p>
    <w:p w14:paraId="05641BA5"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b/>
          <w:i/>
        </w:rPr>
        <w:t>Artículo 1o.</w:t>
      </w:r>
      <w:r w:rsidRPr="006E412F">
        <w:rPr>
          <w:rFonts w:ascii="Palatino Linotype" w:eastAsia="Palatino Linotype" w:hAnsi="Palatino Linotype" w:cs="Palatino Linotype"/>
          <w:i/>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C853DD7"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14:paraId="4EA24416"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421AD7E2"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w:t>
      </w:r>
    </w:p>
    <w:p w14:paraId="1AD8D56A" w14:textId="77777777" w:rsidR="00577EBA" w:rsidRPr="006E412F" w:rsidRDefault="007A63D9">
      <w:pPr>
        <w:spacing w:after="0" w:line="276" w:lineRule="auto"/>
        <w:ind w:left="567" w:right="560"/>
        <w:jc w:val="both"/>
        <w:rPr>
          <w:rFonts w:ascii="Palatino Linotype" w:eastAsia="Palatino Linotype" w:hAnsi="Palatino Linotype" w:cs="Palatino Linotype"/>
          <w:b/>
          <w:i/>
        </w:rPr>
      </w:pPr>
      <w:r w:rsidRPr="006E412F">
        <w:rPr>
          <w:rFonts w:ascii="Palatino Linotype" w:eastAsia="Palatino Linotype" w:hAnsi="Palatino Linotype" w:cs="Palatino Linotype"/>
          <w:b/>
          <w:i/>
        </w:rPr>
        <w:t>“Artículo 6o.</w:t>
      </w:r>
    </w:p>
    <w:p w14:paraId="0B8014F5"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w:t>
      </w:r>
    </w:p>
    <w:p w14:paraId="4BB0BF7D"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A. Para el ejercicio del derecho de acceso a la información, la Federación y las entidades federativas, en el ámbito de sus respectivas competencias, se regirán por los siguientes principios y bases:</w:t>
      </w:r>
    </w:p>
    <w:p w14:paraId="56AEF8FF"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 xml:space="preserve">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1933FA2"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 xml:space="preserve"> II. La información que se refiere a la vida privada y los datos personales será protegida en los términos y con las excepciones que fijen las leyes.</w:t>
      </w:r>
    </w:p>
    <w:p w14:paraId="58FCDA07"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 xml:space="preserve"> III. Toda persona, sin necesidad de acreditar interés alguno o justificar su utilización, tendrá acceso gratuito a la información pública, a sus datos personales o a la rectificación de éstos.</w:t>
      </w:r>
    </w:p>
    <w:p w14:paraId="774536E0"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 xml:space="preserve"> IV. Se establecerán mecanismos de acceso a la información y procedimientos de revisión expeditos que se sustanciarán ante los organismos autónomos especializados e imparciales que establece esta Constitución.</w:t>
      </w:r>
    </w:p>
    <w:p w14:paraId="355724A4"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B256564"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 xml:space="preserve"> VI. Las leyes determinarán la manera en que los sujetos obligados deberán hacer pública la información relativa a los recursos públicos que entreguen a personas físicas o morales.</w:t>
      </w:r>
    </w:p>
    <w:p w14:paraId="14AFA7EA"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 xml:space="preserve"> VII. La inobservancia a las disposiciones en materia de acceso a la información pública será sancionada en los términos que dispongan las leyes. [...]</w:t>
      </w:r>
    </w:p>
    <w:p w14:paraId="31C975C7"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18B82EDC"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CEA600C"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76739A0D"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w:t>
      </w:r>
      <w:r w:rsidRPr="006E412F">
        <w:rPr>
          <w:rFonts w:ascii="Palatino Linotype" w:eastAsia="Palatino Linotype" w:hAnsi="Palatino Linotype" w:cs="Palatino Linotype"/>
          <w:b/>
          <w:i/>
        </w:rPr>
        <w:t>Artículo 4.</w:t>
      </w:r>
      <w:r w:rsidRPr="006E412F">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BE9E1ED"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68D2F04"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w:t>
      </w:r>
    </w:p>
    <w:p w14:paraId="51519833" w14:textId="77777777" w:rsidR="00577EBA" w:rsidRPr="006E412F" w:rsidRDefault="00577EBA">
      <w:pPr>
        <w:spacing w:after="0" w:line="360" w:lineRule="auto"/>
        <w:ind w:left="567" w:right="560"/>
        <w:jc w:val="both"/>
        <w:rPr>
          <w:rFonts w:ascii="Palatino Linotype" w:eastAsia="Palatino Linotype" w:hAnsi="Palatino Linotype" w:cs="Palatino Linotype"/>
          <w:i/>
          <w:sz w:val="24"/>
          <w:szCs w:val="24"/>
        </w:rPr>
      </w:pPr>
    </w:p>
    <w:p w14:paraId="4248BE02"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7BAE38A0"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65BF5386"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w:t>
      </w:r>
      <w:r w:rsidRPr="006E412F">
        <w:rPr>
          <w:rFonts w:ascii="Palatino Linotype" w:eastAsia="Palatino Linotype" w:hAnsi="Palatino Linotype" w:cs="Palatino Linotype"/>
          <w:b/>
          <w:i/>
        </w:rPr>
        <w:t>Artículo 12.</w:t>
      </w:r>
      <w:r w:rsidRPr="006E412F">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77F43031"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DE9B2F2"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3982E487" w14:textId="26066E5A"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Instituto Nacional de Transparencia, Acceso a la Información Pública y Protección de Datos Personales, el cual señala lo siguiente:</w:t>
      </w:r>
    </w:p>
    <w:p w14:paraId="5FC4372E" w14:textId="77777777" w:rsidR="005E7A07" w:rsidRPr="006E412F" w:rsidRDefault="005E7A07">
      <w:pPr>
        <w:spacing w:after="0" w:line="360" w:lineRule="auto"/>
        <w:ind w:right="49"/>
        <w:jc w:val="both"/>
        <w:rPr>
          <w:rFonts w:ascii="Palatino Linotype" w:eastAsia="Palatino Linotype" w:hAnsi="Palatino Linotype" w:cs="Palatino Linotype"/>
          <w:sz w:val="24"/>
          <w:szCs w:val="24"/>
        </w:rPr>
      </w:pPr>
    </w:p>
    <w:p w14:paraId="6D85D732" w14:textId="77777777" w:rsidR="00577EBA" w:rsidRPr="006E412F" w:rsidRDefault="007A63D9">
      <w:pPr>
        <w:spacing w:after="0" w:line="276" w:lineRule="auto"/>
        <w:ind w:left="567" w:right="560"/>
        <w:jc w:val="both"/>
        <w:rPr>
          <w:rFonts w:ascii="Palatino Linotype" w:eastAsia="Palatino Linotype" w:hAnsi="Palatino Linotype" w:cs="Palatino Linotype"/>
          <w:b/>
          <w:i/>
        </w:rPr>
      </w:pPr>
      <w:r w:rsidRPr="006E412F">
        <w:rPr>
          <w:rFonts w:ascii="Palatino Linotype" w:eastAsia="Palatino Linotype" w:hAnsi="Palatino Linotype" w:cs="Palatino Linotype"/>
          <w:b/>
          <w:i/>
        </w:rPr>
        <w:t>Criterio 03/17</w:t>
      </w:r>
    </w:p>
    <w:p w14:paraId="429D964B"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b/>
          <w:i/>
        </w:rPr>
        <w:t xml:space="preserve">“NO EXISTE OBLIGACIÓN DE ELABORAR DOCUMENTOS AD HOC PARA ATENDER LAS SOLICITUDES DE ACCESO A LA INFORMACIÓN. </w:t>
      </w:r>
      <w:r w:rsidRPr="006E412F">
        <w:rPr>
          <w:rFonts w:ascii="Palatino Linotype" w:eastAsia="Palatino Linotype" w:hAnsi="Palatino Linotype" w:cs="Palatino Linotype"/>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29BA246" w14:textId="77777777" w:rsidR="00577EBA" w:rsidRPr="006E412F" w:rsidRDefault="00577EBA">
      <w:pPr>
        <w:spacing w:after="0" w:line="360" w:lineRule="auto"/>
        <w:ind w:left="567" w:right="560"/>
        <w:jc w:val="both"/>
        <w:rPr>
          <w:rFonts w:ascii="Palatino Linotype" w:eastAsia="Palatino Linotype" w:hAnsi="Palatino Linotype" w:cs="Palatino Linotype"/>
          <w:b/>
          <w:i/>
          <w:sz w:val="24"/>
          <w:szCs w:val="24"/>
        </w:rPr>
      </w:pPr>
    </w:p>
    <w:p w14:paraId="17AD27E8"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8E0A5E7"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0D4978B8"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6A8F09A"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2A2321E8"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0D89295" w14:textId="77777777" w:rsidR="00577EBA" w:rsidRPr="006E412F" w:rsidRDefault="00577EBA">
      <w:pPr>
        <w:spacing w:after="0" w:line="276" w:lineRule="auto"/>
        <w:ind w:left="567" w:right="560"/>
        <w:jc w:val="both"/>
        <w:rPr>
          <w:rFonts w:ascii="Palatino Linotype" w:eastAsia="Palatino Linotype" w:hAnsi="Palatino Linotype" w:cs="Palatino Linotype"/>
          <w:i/>
        </w:rPr>
      </w:pPr>
    </w:p>
    <w:p w14:paraId="2F7C14AE"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w:t>
      </w:r>
      <w:r w:rsidRPr="006E412F">
        <w:rPr>
          <w:rFonts w:ascii="Palatino Linotype" w:eastAsia="Palatino Linotype" w:hAnsi="Palatino Linotype" w:cs="Palatino Linotype"/>
          <w:b/>
          <w:i/>
        </w:rPr>
        <w:t>Artículo 3.</w:t>
      </w:r>
      <w:r w:rsidRPr="006E412F">
        <w:rPr>
          <w:rFonts w:ascii="Palatino Linotype" w:eastAsia="Palatino Linotype" w:hAnsi="Palatino Linotype" w:cs="Palatino Linotype"/>
          <w:i/>
        </w:rPr>
        <w:t xml:space="preserve"> Para los efectos de la presente Ley se entenderá por:</w:t>
      </w:r>
    </w:p>
    <w:p w14:paraId="463213AE"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w:t>
      </w:r>
    </w:p>
    <w:p w14:paraId="0A29C418"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b/>
          <w:i/>
        </w:rPr>
        <w:t>XI. Documento:</w:t>
      </w:r>
      <w:r w:rsidRPr="006E412F">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7F5483F0"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6856895E"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AE0CCAA"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7D1876B6"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2E8F25F8" w14:textId="77777777" w:rsidR="00577EBA" w:rsidRPr="006E412F" w:rsidRDefault="007A63D9">
      <w:pPr>
        <w:spacing w:after="0" w:line="276" w:lineRule="auto"/>
        <w:ind w:left="567" w:right="560"/>
        <w:jc w:val="both"/>
        <w:rPr>
          <w:rFonts w:ascii="Palatino Linotype" w:eastAsia="Palatino Linotype" w:hAnsi="Palatino Linotype" w:cs="Palatino Linotype"/>
          <w:b/>
          <w:i/>
        </w:rPr>
      </w:pPr>
      <w:r w:rsidRPr="006E412F">
        <w:rPr>
          <w:rFonts w:ascii="Palatino Linotype" w:eastAsia="Palatino Linotype" w:hAnsi="Palatino Linotype" w:cs="Palatino Linotype"/>
          <w:i/>
        </w:rPr>
        <w:t>“</w:t>
      </w:r>
      <w:r w:rsidRPr="006E412F">
        <w:rPr>
          <w:rFonts w:ascii="Palatino Linotype" w:eastAsia="Palatino Linotype" w:hAnsi="Palatino Linotype" w:cs="Palatino Linotype"/>
          <w:b/>
          <w:i/>
        </w:rPr>
        <w:t>CRITERIO 0002-11</w:t>
      </w:r>
    </w:p>
    <w:p w14:paraId="44B06CB1"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6E412F">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F4694B9"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En consecuencia el acceso a la información se refiere a que se cumplan cualquiera de los siguientes tres supuestos:</w:t>
      </w:r>
    </w:p>
    <w:p w14:paraId="11C44F8E"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1)</w:t>
      </w:r>
      <w:r w:rsidRPr="006E412F">
        <w:rPr>
          <w:rFonts w:ascii="Palatino Linotype" w:eastAsia="Palatino Linotype" w:hAnsi="Palatino Linotype" w:cs="Palatino Linotype"/>
          <w:i/>
        </w:rPr>
        <w:tab/>
        <w:t>Que se trate de información registrada en cualquier soporte documental, que en ejercicio de las atribuciones conferidas, sea generada por los Sujetos Obligados;</w:t>
      </w:r>
    </w:p>
    <w:p w14:paraId="332CC5F7"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2)</w:t>
      </w:r>
      <w:r w:rsidRPr="006E412F">
        <w:rPr>
          <w:rFonts w:ascii="Palatino Linotype" w:eastAsia="Palatino Linotype" w:hAnsi="Palatino Linotype" w:cs="Palatino Linotype"/>
          <w:i/>
        </w:rPr>
        <w:tab/>
        <w:t>Que se trate de información registrada en cualquier soporte documental, que en ejercicio de las atribuciones conferidas, sea administrada por los Sujetos Obligados, y</w:t>
      </w:r>
    </w:p>
    <w:p w14:paraId="57B3643A"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14:paraId="1818FA90"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11511299"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14:paraId="6E433878"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23DA38F9"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De las actuaciones que integran el expediente electrónico, se procede al análisis de los agravios hechos valer por el Recurrente, relativos a la negativa de la información solicitada y la entrega de información incompleta, lo que actualiza las causales de procedencia previstas en las fracciones I y V del artículo 179 de la Ley de Transparencia y Acceso a la Información Pública del Estado de México y Municipios. </w:t>
      </w:r>
    </w:p>
    <w:p w14:paraId="05C87929"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76DCBF0E"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Para ello, en principio resulta recordar que la pretensión del ahora Recurrente es obtener la siguiente información: </w:t>
      </w:r>
    </w:p>
    <w:p w14:paraId="0D9A7FE3"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7B28EE6B" w14:textId="77777777" w:rsidR="00577EBA" w:rsidRPr="006E412F" w:rsidRDefault="007A63D9">
      <w:pPr>
        <w:numPr>
          <w:ilvl w:val="0"/>
          <w:numId w:val="6"/>
        </w:numPr>
        <w:pBdr>
          <w:top w:val="nil"/>
          <w:left w:val="nil"/>
          <w:bottom w:val="nil"/>
          <w:right w:val="nil"/>
          <w:between w:val="nil"/>
        </w:pBdr>
        <w:tabs>
          <w:tab w:val="left" w:pos="993"/>
        </w:tabs>
        <w:spacing w:after="0" w:line="360" w:lineRule="auto"/>
        <w:ind w:left="567" w:right="49" w:firstLine="0"/>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b/>
        </w:rPr>
        <w:t xml:space="preserve">Listado de los contratos de obras, bienes y servicios, tanto en adjudicación directa, licitación pública e invitación a cuando menos tres personas, del dos mil doce al veintinueve de abril de dos mil veintidós, con los siguientes datos: </w:t>
      </w:r>
    </w:p>
    <w:p w14:paraId="6C4F7F98" w14:textId="77777777" w:rsidR="00577EBA" w:rsidRPr="006E412F" w:rsidRDefault="00577EBA">
      <w:pPr>
        <w:pBdr>
          <w:top w:val="nil"/>
          <w:left w:val="nil"/>
          <w:bottom w:val="nil"/>
          <w:right w:val="nil"/>
          <w:between w:val="nil"/>
        </w:pBdr>
        <w:tabs>
          <w:tab w:val="left" w:pos="993"/>
        </w:tabs>
        <w:spacing w:after="0" w:line="360" w:lineRule="auto"/>
        <w:ind w:left="567" w:right="49"/>
        <w:jc w:val="both"/>
        <w:rPr>
          <w:rFonts w:ascii="Palatino Linotype" w:eastAsia="Palatino Linotype" w:hAnsi="Palatino Linotype" w:cs="Palatino Linotype"/>
          <w:sz w:val="24"/>
          <w:szCs w:val="24"/>
        </w:rPr>
      </w:pPr>
    </w:p>
    <w:p w14:paraId="40DEECD2" w14:textId="77777777" w:rsidR="00577EBA" w:rsidRPr="006E412F" w:rsidRDefault="007A63D9">
      <w:pPr>
        <w:pBdr>
          <w:top w:val="nil"/>
          <w:left w:val="nil"/>
          <w:bottom w:val="nil"/>
          <w:right w:val="nil"/>
          <w:between w:val="nil"/>
        </w:pBdr>
        <w:tabs>
          <w:tab w:val="left" w:pos="993"/>
        </w:tabs>
        <w:spacing w:after="0" w:line="360" w:lineRule="auto"/>
        <w:ind w:left="993" w:right="49"/>
        <w:jc w:val="both"/>
        <w:rPr>
          <w:rFonts w:ascii="Palatino Linotype" w:eastAsia="Palatino Linotype" w:hAnsi="Palatino Linotype" w:cs="Palatino Linotype"/>
          <w:b/>
        </w:rPr>
      </w:pPr>
      <w:r w:rsidRPr="006E412F">
        <w:rPr>
          <w:rFonts w:ascii="Palatino Linotype" w:eastAsia="Palatino Linotype" w:hAnsi="Palatino Linotype" w:cs="Palatino Linotype"/>
          <w:b/>
        </w:rPr>
        <w:t>A.-Institución B.-Nombre de la UC C.-Responsable de la UC D.-Código del expediente E.-Referencia del expediente F.-Título del expediente G.-Fundamento legal H.-Número del procedimiento I.-Fecha de fallo J.-Fecha de publicación K.-Tipo de contratación L.-Tipo de procedimiento M.-Título del contrato N.-Descripción del contrato O.-Importe del contrato P.-Convenio modificatorio Q.-RFC R. Proveedor o contratista S.-Dirección del anuncio y;</w:t>
      </w:r>
    </w:p>
    <w:p w14:paraId="432FFED8" w14:textId="77777777" w:rsidR="00577EBA" w:rsidRPr="006E412F" w:rsidRDefault="00577EBA">
      <w:pPr>
        <w:pBdr>
          <w:top w:val="nil"/>
          <w:left w:val="nil"/>
          <w:bottom w:val="nil"/>
          <w:right w:val="nil"/>
          <w:between w:val="nil"/>
        </w:pBdr>
        <w:tabs>
          <w:tab w:val="left" w:pos="993"/>
        </w:tabs>
        <w:spacing w:after="0" w:line="360" w:lineRule="auto"/>
        <w:ind w:left="1287" w:right="49"/>
        <w:jc w:val="both"/>
        <w:rPr>
          <w:rFonts w:ascii="Palatino Linotype" w:eastAsia="Palatino Linotype" w:hAnsi="Palatino Linotype" w:cs="Palatino Linotype"/>
          <w:b/>
        </w:rPr>
      </w:pPr>
    </w:p>
    <w:p w14:paraId="2350740B" w14:textId="77777777" w:rsidR="00577EBA" w:rsidRPr="006E412F" w:rsidRDefault="007A63D9">
      <w:pPr>
        <w:numPr>
          <w:ilvl w:val="0"/>
          <w:numId w:val="6"/>
        </w:numPr>
        <w:pBdr>
          <w:top w:val="nil"/>
          <w:left w:val="nil"/>
          <w:bottom w:val="nil"/>
          <w:right w:val="nil"/>
          <w:between w:val="nil"/>
        </w:pBdr>
        <w:tabs>
          <w:tab w:val="left" w:pos="851"/>
          <w:tab w:val="left" w:pos="993"/>
        </w:tabs>
        <w:spacing w:after="0" w:line="360" w:lineRule="auto"/>
        <w:ind w:left="567" w:right="49" w:firstLine="0"/>
        <w:jc w:val="both"/>
        <w:rPr>
          <w:rFonts w:ascii="Palatino Linotype" w:eastAsia="Palatino Linotype" w:hAnsi="Palatino Linotype" w:cs="Palatino Linotype"/>
          <w:b/>
        </w:rPr>
      </w:pPr>
      <w:r w:rsidRPr="006E412F">
        <w:rPr>
          <w:rFonts w:ascii="Palatino Linotype" w:eastAsia="Palatino Linotype" w:hAnsi="Palatino Linotype" w:cs="Palatino Linotype"/>
          <w:b/>
        </w:rPr>
        <w:t>Lista de proveedores del dos mil doce  a la fecha más reciente.</w:t>
      </w:r>
    </w:p>
    <w:p w14:paraId="6080A016" w14:textId="77777777" w:rsidR="00577EBA" w:rsidRPr="006E412F" w:rsidRDefault="00577EBA">
      <w:pPr>
        <w:pBdr>
          <w:top w:val="nil"/>
          <w:left w:val="nil"/>
          <w:bottom w:val="nil"/>
          <w:right w:val="nil"/>
          <w:between w:val="nil"/>
        </w:pBdr>
        <w:tabs>
          <w:tab w:val="left" w:pos="993"/>
        </w:tabs>
        <w:spacing w:after="0" w:line="360" w:lineRule="auto"/>
        <w:ind w:left="1287" w:right="49"/>
        <w:jc w:val="both"/>
        <w:rPr>
          <w:rFonts w:ascii="Palatino Linotype" w:eastAsia="Palatino Linotype" w:hAnsi="Palatino Linotype" w:cs="Palatino Linotype"/>
          <w:sz w:val="24"/>
          <w:szCs w:val="24"/>
        </w:rPr>
      </w:pPr>
    </w:p>
    <w:p w14:paraId="418A60E1"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En respuesta, el Sujeto Obligado a través de la Directora de Administración informó que desde el inicio de la presente administración a la fecha de respuesta, se han suscrito un total de 170 contratos para la adquisición de diversos bienes y servicios; respecto a los años 2012-2018 en los archivos que obran en la Subdirección de Recursos Materiales, no se encontró información al respecto, en relación con los años 2019, 2020 y 2021 que existen diversos contratos que derivan de procedimientos con vicios de irregularidades al momento de la integración, en donde se han hecho observaciones y se están llevando procedimientos administrativos, asimismo, a su respuesta proporcionó un oficio que contienen las observaciones derivadas de la Entrega-Recepción. </w:t>
      </w:r>
    </w:p>
    <w:p w14:paraId="74B37F5C"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2529F4A5"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Por lo anterior, el Particular se inconformó refiriendo que no se había proporcionado la información solicitada, ya que faltaba información que debería estar en los archivos del Sujeto Obligado, en consecuencia, mediante informe justificado, el Ayuntamiento de Coacalco precisó que la información sería puesta a disposición del Particular en Consulta Directa. </w:t>
      </w:r>
    </w:p>
    <w:p w14:paraId="559B1A1C"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3A45788B"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En ese contexto, de conformidad con lo que establecen los artículos 26 y 27 de la Ley de Contratación Pública del Estado de México y Municipios, las adquisiciones, arrendamientos y servicios se adjudicarán a través de licitaciones públicas mediante convocatoria pública o bien, a través de las excepciones a dicho procedimiento, como se observa a continuación: </w:t>
      </w:r>
    </w:p>
    <w:p w14:paraId="162E3435" w14:textId="77777777" w:rsidR="00577EBA" w:rsidRPr="006E412F" w:rsidRDefault="00577EBA">
      <w:pPr>
        <w:spacing w:after="0" w:line="360" w:lineRule="auto"/>
        <w:ind w:left="567" w:right="560"/>
        <w:jc w:val="both"/>
        <w:rPr>
          <w:rFonts w:ascii="Palatino Linotype" w:eastAsia="Palatino Linotype" w:hAnsi="Palatino Linotype" w:cs="Palatino Linotype"/>
          <w:i/>
          <w:sz w:val="24"/>
          <w:szCs w:val="24"/>
        </w:rPr>
      </w:pPr>
    </w:p>
    <w:p w14:paraId="05958237" w14:textId="77777777" w:rsidR="00577EBA" w:rsidRPr="006E412F" w:rsidRDefault="007A63D9">
      <w:pPr>
        <w:spacing w:after="0" w:line="276" w:lineRule="auto"/>
        <w:ind w:left="567" w:right="560"/>
        <w:jc w:val="center"/>
        <w:rPr>
          <w:rFonts w:ascii="Palatino Linotype" w:eastAsia="Palatino Linotype" w:hAnsi="Palatino Linotype" w:cs="Palatino Linotype"/>
          <w:b/>
          <w:i/>
        </w:rPr>
      </w:pPr>
      <w:r w:rsidRPr="006E412F">
        <w:rPr>
          <w:rFonts w:ascii="Palatino Linotype" w:eastAsia="Palatino Linotype" w:hAnsi="Palatino Linotype" w:cs="Palatino Linotype"/>
          <w:b/>
          <w:i/>
        </w:rPr>
        <w:t>LEY DE CONTRATACIÓN PÚBLICA DEL ESTADO DE MÉXICO Y MUNICIPIO</w:t>
      </w:r>
    </w:p>
    <w:p w14:paraId="53B12ADB" w14:textId="77777777" w:rsidR="00577EBA" w:rsidRPr="006E412F" w:rsidRDefault="00577EBA">
      <w:pPr>
        <w:spacing w:after="0" w:line="276" w:lineRule="auto"/>
        <w:ind w:left="567" w:right="560"/>
        <w:jc w:val="both"/>
        <w:rPr>
          <w:rFonts w:ascii="Palatino Linotype" w:eastAsia="Palatino Linotype" w:hAnsi="Palatino Linotype" w:cs="Palatino Linotype"/>
          <w:i/>
          <w:sz w:val="24"/>
          <w:szCs w:val="24"/>
        </w:rPr>
      </w:pPr>
    </w:p>
    <w:p w14:paraId="4EC5FA36"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b/>
          <w:i/>
        </w:rPr>
        <w:t>Artículo 26.-</w:t>
      </w:r>
      <w:r w:rsidRPr="006E412F">
        <w:rPr>
          <w:rFonts w:ascii="Palatino Linotype" w:eastAsia="Palatino Linotype" w:hAnsi="Palatino Linotype" w:cs="Palatino Linotype"/>
          <w:i/>
        </w:rPr>
        <w:t xml:space="preserve"> Las adquisiciones, arrendamientos y servicios se adjudicarán a través de licitaciones públicas, mediante convocatoria pública. </w:t>
      </w:r>
    </w:p>
    <w:p w14:paraId="1C1CBD9D" w14:textId="77777777" w:rsidR="00577EBA" w:rsidRPr="006E412F" w:rsidRDefault="00577EBA">
      <w:pPr>
        <w:spacing w:after="0" w:line="276" w:lineRule="auto"/>
        <w:ind w:left="567" w:right="560"/>
        <w:jc w:val="both"/>
        <w:rPr>
          <w:rFonts w:ascii="Palatino Linotype" w:eastAsia="Palatino Linotype" w:hAnsi="Palatino Linotype" w:cs="Palatino Linotype"/>
          <w:i/>
        </w:rPr>
      </w:pPr>
    </w:p>
    <w:p w14:paraId="15A2FB44"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b/>
          <w:i/>
        </w:rPr>
        <w:t>Artículo 27.-</w:t>
      </w:r>
      <w:r w:rsidRPr="006E412F">
        <w:rPr>
          <w:rFonts w:ascii="Palatino Linotype" w:eastAsia="Palatino Linotype" w:hAnsi="Palatino Linotype" w:cs="Palatino Linotype"/>
          <w:i/>
        </w:rPr>
        <w:t xml:space="preserve"> La Secretaría, las entidades, los tribunales administrativos y los ayuntamientos podrán adjudicar adquisiciones, arrendamientos y servicios, mediante las excepciones al procedimiento de licitación que a continuación se señalan: I. Invitación restringida. II. Adjudicación directa.</w:t>
      </w:r>
    </w:p>
    <w:p w14:paraId="288E2144" w14:textId="77777777" w:rsidR="004326BE" w:rsidRPr="006E412F" w:rsidRDefault="004326BE">
      <w:pPr>
        <w:spacing w:after="0" w:line="276" w:lineRule="auto"/>
        <w:ind w:left="567" w:right="560"/>
        <w:jc w:val="both"/>
        <w:rPr>
          <w:rFonts w:ascii="Palatino Linotype" w:eastAsia="Palatino Linotype" w:hAnsi="Palatino Linotype" w:cs="Palatino Linotype"/>
          <w:i/>
          <w:sz w:val="24"/>
          <w:szCs w:val="24"/>
        </w:rPr>
      </w:pPr>
    </w:p>
    <w:p w14:paraId="6F9F0511"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Respecto al procedimiento de </w:t>
      </w:r>
      <w:r w:rsidRPr="006E412F">
        <w:rPr>
          <w:rFonts w:ascii="Palatino Linotype" w:eastAsia="Palatino Linotype" w:hAnsi="Palatino Linotype" w:cs="Palatino Linotype"/>
          <w:b/>
          <w:sz w:val="24"/>
          <w:szCs w:val="24"/>
        </w:rPr>
        <w:t>licitación pública</w:t>
      </w:r>
      <w:r w:rsidRPr="006E412F">
        <w:rPr>
          <w:rFonts w:ascii="Palatino Linotype" w:eastAsia="Palatino Linotype" w:hAnsi="Palatino Linotype" w:cs="Palatino Linotype"/>
          <w:sz w:val="24"/>
          <w:szCs w:val="24"/>
        </w:rPr>
        <w:t>, es de mencionar que de acuerdo con el Banco Interamericano de Desarrollo, la licitación es un procedimiento formal y competitivo de adquisiciones, mediante el cual se solicitan, reciben y evalúan ofertas para la adquisición de bienes, obras o servicios y se adjudica el contrato correspondiente al licitador que ofrezca la propuesta más ventajosa. (Desarrollo, 1995)</w:t>
      </w:r>
    </w:p>
    <w:p w14:paraId="42925570"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02E471B3"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En cuando hace a la </w:t>
      </w:r>
      <w:r w:rsidRPr="006E412F">
        <w:rPr>
          <w:rFonts w:ascii="Palatino Linotype" w:eastAsia="Palatino Linotype" w:hAnsi="Palatino Linotype" w:cs="Palatino Linotype"/>
          <w:b/>
          <w:sz w:val="24"/>
          <w:szCs w:val="24"/>
        </w:rPr>
        <w:t>adjudicación directa</w:t>
      </w:r>
      <w:r w:rsidRPr="006E412F">
        <w:rPr>
          <w:rFonts w:ascii="Palatino Linotype" w:eastAsia="Palatino Linotype" w:hAnsi="Palatino Linotype" w:cs="Palatino Linotype"/>
          <w:sz w:val="24"/>
          <w:szCs w:val="24"/>
        </w:rPr>
        <w:t xml:space="preserve">, la Secretaría de la Función Pública, </w:t>
      </w:r>
      <w:r w:rsidRPr="006E412F">
        <w:rPr>
          <w:rFonts w:ascii="Palatino Linotype" w:eastAsia="Palatino Linotype" w:hAnsi="Palatino Linotype" w:cs="Palatino Linotype"/>
        </w:rPr>
        <w:t xml:space="preserve">(consultable en </w:t>
      </w:r>
      <w:hyperlink r:id="rId11">
        <w:r w:rsidRPr="006E412F">
          <w:rPr>
            <w:rFonts w:ascii="Palatino Linotype" w:eastAsia="Palatino Linotype" w:hAnsi="Palatino Linotype" w:cs="Palatino Linotype"/>
            <w:u w:val="single"/>
          </w:rPr>
          <w:t>https://www.gob.mx/sfp/acciones-y-programas/1-3-3-adjudicacion-directa</w:t>
        </w:r>
      </w:hyperlink>
      <w:r w:rsidRPr="006E412F">
        <w:rPr>
          <w:rFonts w:ascii="Palatino Linotype" w:eastAsia="Palatino Linotype" w:hAnsi="Palatino Linotype" w:cs="Palatino Linotype"/>
        </w:rPr>
        <w:t xml:space="preserve">), </w:t>
      </w:r>
      <w:proofErr w:type="spellStart"/>
      <w:r w:rsidRPr="006E412F">
        <w:rPr>
          <w:rFonts w:ascii="Palatino Linotype" w:eastAsia="Palatino Linotype" w:hAnsi="Palatino Linotype" w:cs="Palatino Linotype"/>
          <w:sz w:val="24"/>
          <w:szCs w:val="24"/>
        </w:rPr>
        <w:t>establece</w:t>
      </w:r>
      <w:proofErr w:type="spellEnd"/>
      <w:r w:rsidRPr="006E412F">
        <w:rPr>
          <w:rFonts w:ascii="Palatino Linotype" w:eastAsia="Palatino Linotype" w:hAnsi="Palatino Linotype" w:cs="Palatino Linotype"/>
          <w:sz w:val="24"/>
          <w:szCs w:val="24"/>
        </w:rPr>
        <w:t xml:space="preserve"> que es un procedimiento que se realiza sin puesta en concurrencia y por ende, sin que exista competencia, adjudicándose el contrato a un proveedor que ha sido preseleccionado para tales efectos por la dependencia o entidad. </w:t>
      </w:r>
    </w:p>
    <w:p w14:paraId="10EA827F"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0F9D0AE6"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Por último, respecto a la </w:t>
      </w:r>
      <w:r w:rsidRPr="006E412F">
        <w:rPr>
          <w:rFonts w:ascii="Palatino Linotype" w:eastAsia="Palatino Linotype" w:hAnsi="Palatino Linotype" w:cs="Palatino Linotype"/>
          <w:b/>
          <w:sz w:val="24"/>
          <w:szCs w:val="24"/>
        </w:rPr>
        <w:t>invitación restringida a cuando menos tres proveedores</w:t>
      </w:r>
      <w:r w:rsidRPr="006E412F">
        <w:rPr>
          <w:rFonts w:ascii="Palatino Linotype" w:eastAsia="Palatino Linotype" w:hAnsi="Palatino Linotype" w:cs="Palatino Linotype"/>
          <w:sz w:val="24"/>
          <w:szCs w:val="24"/>
        </w:rPr>
        <w:t xml:space="preserve">, la Secretaría de la Contraloría </w:t>
      </w:r>
      <w:r w:rsidRPr="006E412F">
        <w:rPr>
          <w:rFonts w:ascii="Palatino Linotype" w:eastAsia="Palatino Linotype" w:hAnsi="Palatino Linotype" w:cs="Palatino Linotype"/>
        </w:rPr>
        <w:t xml:space="preserve">(consultable en </w:t>
      </w:r>
      <w:hyperlink r:id="rId12" w:anchor=":~:text=Es%20un%20procedimiento%20administrativo%2C%20de,tres%20oferentes%20a%20presentar%20propuestas%2C">
        <w:r w:rsidRPr="006E412F">
          <w:rPr>
            <w:rFonts w:ascii="Palatino Linotype" w:eastAsia="Palatino Linotype" w:hAnsi="Palatino Linotype" w:cs="Palatino Linotype"/>
            <w:u w:val="single"/>
          </w:rPr>
          <w:t>http://www.contraloriadf.gob.mx/contraloria/cursos/ADQUISICIONES/paginas/32.php#:~:text=Es%20un%20procedimiento%20administrativo%2C%20de,tres%20oferentes%20a%20presentar%20propuestas%2C</w:t>
        </w:r>
      </w:hyperlink>
      <w:r w:rsidRPr="006E412F">
        <w:rPr>
          <w:rFonts w:ascii="Palatino Linotype" w:eastAsia="Palatino Linotype" w:hAnsi="Palatino Linotype" w:cs="Palatino Linotype"/>
        </w:rPr>
        <w:t xml:space="preserve">) </w:t>
      </w:r>
      <w:r w:rsidRPr="006E412F">
        <w:rPr>
          <w:rFonts w:ascii="Palatino Linotype" w:eastAsia="Palatino Linotype" w:hAnsi="Palatino Linotype" w:cs="Palatino Linotype"/>
          <w:sz w:val="24"/>
          <w:szCs w:val="24"/>
        </w:rPr>
        <w:t>precisa que es un procedimiento de excepción a la licitación pública que permite a las dependencias, unidades administrativas, órganos desconcentrados y entidades, en forma discrecional, realizar un procedimiento para adquirir, arrendar o contratar, invitando a por lo menos tres oferentes a presentar propuestas.</w:t>
      </w:r>
    </w:p>
    <w:p w14:paraId="16B7CBFC"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24193F64"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Ahora bien, es de precisar que la Ley Orgánica Municipal del Estado de México en su artículo 31 señala que son atribuciones de los ayuntamientos, las siguientes: </w:t>
      </w:r>
    </w:p>
    <w:p w14:paraId="77A1A5AF"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0F5E19EC"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b/>
          <w:i/>
        </w:rPr>
        <w:t>Artículo 31.-</w:t>
      </w:r>
      <w:r w:rsidRPr="006E412F">
        <w:rPr>
          <w:rFonts w:ascii="Palatino Linotype" w:eastAsia="Palatino Linotype" w:hAnsi="Palatino Linotype" w:cs="Palatino Linotype"/>
          <w:i/>
        </w:rPr>
        <w:t xml:space="preserve"> Son atribuciones de los ayuntamientos:</w:t>
      </w:r>
    </w:p>
    <w:p w14:paraId="28152337"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w:t>
      </w:r>
    </w:p>
    <w:p w14:paraId="4DF4BC76"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VII. Convenir, contratar o concesionar, en términos de ley, la ejecución de obras y la prestación de servicios públicos, con el Estado, con otros municipios de la entidad o con particulares, recabando, cuando proceda, la autorización de la Legislatura del Estado;</w:t>
      </w:r>
    </w:p>
    <w:p w14:paraId="40EEDFA5"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w:t>
      </w:r>
    </w:p>
    <w:p w14:paraId="2706A28C"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44969406"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En ese sentido, de acuerdo con lo que establece el artículo 54 del Bando Municipal de Coacalco de Berriozábal, corresponde a la Dirección de Administración planear, establecer y difundir entre las Dependencias las políticas y procedimientos necesarios para el control eficiente de los recursos materiales, tecnológicos, de servicios generales y capital humano, como se observa a continuación: </w:t>
      </w:r>
    </w:p>
    <w:p w14:paraId="5FB988BD"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6BBF9D57" w14:textId="77777777" w:rsidR="00577EBA" w:rsidRPr="006E412F" w:rsidRDefault="007A63D9">
      <w:pPr>
        <w:spacing w:after="0" w:line="276" w:lineRule="auto"/>
        <w:ind w:left="567" w:right="560"/>
        <w:jc w:val="both"/>
        <w:rPr>
          <w:rFonts w:ascii="Palatino Linotype" w:eastAsia="Palatino Linotype" w:hAnsi="Palatino Linotype" w:cs="Palatino Linotype"/>
          <w:i/>
          <w:sz w:val="24"/>
          <w:szCs w:val="24"/>
        </w:rPr>
      </w:pPr>
      <w:r w:rsidRPr="006E412F">
        <w:rPr>
          <w:rFonts w:ascii="Palatino Linotype" w:eastAsia="Palatino Linotype" w:hAnsi="Palatino Linotype" w:cs="Palatino Linotype"/>
          <w:b/>
          <w:i/>
        </w:rPr>
        <w:t>Artículo 54.</w:t>
      </w:r>
      <w:r w:rsidRPr="006E412F">
        <w:rPr>
          <w:rFonts w:ascii="Palatino Linotype" w:eastAsia="Palatino Linotype" w:hAnsi="Palatino Linotype" w:cs="Palatino Linotype"/>
          <w:i/>
        </w:rPr>
        <w:t xml:space="preserve"> Corresponde a la Dirección de Administración planear, establecer y difundir entre las Dependencias de la Administración Pública Municipal, las políticas y procedimientos necesarios para el control eficiente de los recursos materiales, tecnológicos, de servicios generales y capital humano que se proporcionan a las Dependencias y Unidades Administrativas en todas sus modalidades; asignará el personal que las áreas requieran, facilitará los programas y cursos correspondientes para la certificación, profesionalización y capacitación de los servidores públicos, para el debido cumplimiento de sus funciones y atribuciones y, satisfacer las sociedades generales que constituyen el objeto de los servicios y funciones públicas; todas aquellas que contienen superior jerárquico, las leyes y demás disposiciones jurídicas aplicables.</w:t>
      </w:r>
    </w:p>
    <w:p w14:paraId="3103F4EA"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079C1A08" w14:textId="7D3B9406" w:rsidR="00577EBA" w:rsidRPr="006E412F" w:rsidRDefault="007A63D9" w:rsidP="005E7A07">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Por otra parte, el Reglamento Interno de la Administración Pública Municipal de Coacalco de Berriozábal, precisa que la Dirección de Administración, tendrá las siguientes atribuciones y se auxiliará de diversas unidades administrativas que son: </w:t>
      </w:r>
    </w:p>
    <w:p w14:paraId="0A9F50E5"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b/>
          <w:i/>
        </w:rPr>
        <w:t>Artículo 52.</w:t>
      </w:r>
      <w:r w:rsidRPr="006E412F">
        <w:rPr>
          <w:rFonts w:ascii="Palatino Linotype" w:eastAsia="Palatino Linotype" w:hAnsi="Palatino Linotype" w:cs="Palatino Linotype"/>
          <w:i/>
        </w:rPr>
        <w:t xml:space="preserve"> La Dirección de Administración tendrá las atribuciones siguientes: </w:t>
      </w:r>
    </w:p>
    <w:p w14:paraId="1CEF0635" w14:textId="77777777" w:rsidR="00577EBA" w:rsidRPr="006E412F" w:rsidRDefault="00577EBA">
      <w:pPr>
        <w:spacing w:after="0" w:line="276" w:lineRule="auto"/>
        <w:ind w:left="567" w:right="560"/>
        <w:jc w:val="both"/>
        <w:rPr>
          <w:rFonts w:ascii="Palatino Linotype" w:eastAsia="Palatino Linotype" w:hAnsi="Palatino Linotype" w:cs="Palatino Linotype"/>
          <w:i/>
        </w:rPr>
      </w:pPr>
    </w:p>
    <w:p w14:paraId="18CDEEC1"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w:t>
      </w:r>
    </w:p>
    <w:p w14:paraId="2F4D313D"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 xml:space="preserve">XVII. Realizar la adquisición de bienes y la contratación de servicios, a través de los procedimientos de adjudicación establecidos en las disposiciones legales aplicables y vigentes. </w:t>
      </w:r>
    </w:p>
    <w:p w14:paraId="3F66C3CE"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w:t>
      </w:r>
    </w:p>
    <w:p w14:paraId="64729D16"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XX. Mantener actualizado el catálogo de proveedores y prestadores de servicios;</w:t>
      </w:r>
    </w:p>
    <w:p w14:paraId="1C013A5F"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 xml:space="preserve">XXI. Informar a la Secretaría del Ayuntamiento la adquisición de bienes de activo fijo. </w:t>
      </w:r>
    </w:p>
    <w:p w14:paraId="76291F22"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 xml:space="preserve">XXIV. Suscribir contratos de adquisiciones de bienes muebles y servicios; </w:t>
      </w:r>
    </w:p>
    <w:p w14:paraId="229C4647"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w:t>
      </w:r>
    </w:p>
    <w:p w14:paraId="6040CD0F"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 xml:space="preserve">XXVIII. Formar parte del comité de adquisiciones de bienes y servicios del Ayuntamiento; </w:t>
      </w:r>
    </w:p>
    <w:p w14:paraId="3107AC4A"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w:t>
      </w:r>
    </w:p>
    <w:p w14:paraId="0E6965AF"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b/>
          <w:i/>
        </w:rPr>
        <w:t>Artículo 53.</w:t>
      </w:r>
      <w:r w:rsidRPr="006E412F">
        <w:rPr>
          <w:rFonts w:ascii="Palatino Linotype" w:eastAsia="Palatino Linotype" w:hAnsi="Palatino Linotype" w:cs="Palatino Linotype"/>
          <w:i/>
        </w:rPr>
        <w:t xml:space="preserve"> Para el despacho de los asuntos de su competencia, la Dirección de Administración se auxiliará de las siguientes unidades administrativas: </w:t>
      </w:r>
    </w:p>
    <w:p w14:paraId="7C6E9308"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 xml:space="preserve">I. Enlace Administrativo. </w:t>
      </w:r>
    </w:p>
    <w:p w14:paraId="390B9D68"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 xml:space="preserve">1. Subdirección de Capital Humano. </w:t>
      </w:r>
    </w:p>
    <w:p w14:paraId="0DA2703B"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 xml:space="preserve">I. Coordinación de Capital Humano y Relaciones Laborales. </w:t>
      </w:r>
    </w:p>
    <w:p w14:paraId="2BB84BEB"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 xml:space="preserve">II. Coordinación de Capacitación, Profesionalización y Capital Humano. </w:t>
      </w:r>
    </w:p>
    <w:p w14:paraId="584550F5" w14:textId="77777777" w:rsidR="00577EBA" w:rsidRPr="006E412F" w:rsidRDefault="007A63D9">
      <w:pPr>
        <w:spacing w:after="0" w:line="276" w:lineRule="auto"/>
        <w:ind w:left="567" w:right="560"/>
        <w:jc w:val="both"/>
        <w:rPr>
          <w:rFonts w:ascii="Palatino Linotype" w:eastAsia="Palatino Linotype" w:hAnsi="Palatino Linotype" w:cs="Palatino Linotype"/>
          <w:b/>
          <w:i/>
        </w:rPr>
      </w:pPr>
      <w:r w:rsidRPr="006E412F">
        <w:rPr>
          <w:rFonts w:ascii="Palatino Linotype" w:eastAsia="Palatino Linotype" w:hAnsi="Palatino Linotype" w:cs="Palatino Linotype"/>
          <w:b/>
          <w:i/>
        </w:rPr>
        <w:t xml:space="preserve">2. Subdirección de Adquisiciones y Recursos Materiales. </w:t>
      </w:r>
    </w:p>
    <w:p w14:paraId="763FB7FE"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 xml:space="preserve">I. Coordinación de Control de Taller Vehicular y Combustible. </w:t>
      </w:r>
    </w:p>
    <w:p w14:paraId="0582882F"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 xml:space="preserve">II. Coordinación de Servicios Generales y Almacén. </w:t>
      </w:r>
    </w:p>
    <w:p w14:paraId="7BAF1EC1" w14:textId="77777777" w:rsidR="00577EBA" w:rsidRPr="006E412F" w:rsidRDefault="007A63D9">
      <w:pPr>
        <w:spacing w:after="0" w:line="276" w:lineRule="auto"/>
        <w:ind w:left="567" w:right="560"/>
        <w:jc w:val="both"/>
        <w:rPr>
          <w:rFonts w:ascii="Palatino Linotype" w:eastAsia="Palatino Linotype" w:hAnsi="Palatino Linotype" w:cs="Palatino Linotype"/>
          <w:b/>
          <w:i/>
        </w:rPr>
      </w:pPr>
      <w:r w:rsidRPr="006E412F">
        <w:rPr>
          <w:rFonts w:ascii="Palatino Linotype" w:eastAsia="Palatino Linotype" w:hAnsi="Palatino Linotype" w:cs="Palatino Linotype"/>
          <w:b/>
          <w:i/>
        </w:rPr>
        <w:t xml:space="preserve">III. Coordinación de Contratos y Licitaciones. </w:t>
      </w:r>
    </w:p>
    <w:p w14:paraId="083BCE59"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7967E619"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Por otro lado, en lo que respecta a nuestra materia, la Ley de Transparencia y Acceso a la Información Pública del Estado de México y Municipios, precisa en su artículo 92, fracción XXIX que la información relacionada con dichos procedimientos, incluyendo la versión pública del expediente respectivo y de los contratos celebrados, debe ser puesta a disposición de los particulares de manera actualizada y permanente, tal como se observa a continuación: </w:t>
      </w:r>
    </w:p>
    <w:p w14:paraId="21F34F03"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0E2AD85F"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b/>
          <w:i/>
        </w:rPr>
        <w:t>Artículo 92.</w:t>
      </w:r>
      <w:r w:rsidRPr="006E412F">
        <w:rPr>
          <w:rFonts w:ascii="Palatino Linotype" w:eastAsia="Palatino Linotype" w:hAnsi="Palatino Linotype" w:cs="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CBB636B" w14:textId="77777777" w:rsidR="00577EBA" w:rsidRPr="006E412F" w:rsidRDefault="007A63D9">
      <w:pPr>
        <w:spacing w:after="0" w:line="276" w:lineRule="auto"/>
        <w:ind w:left="567" w:right="560"/>
        <w:jc w:val="both"/>
        <w:rPr>
          <w:rFonts w:ascii="Palatino Linotype" w:eastAsia="Palatino Linotype" w:hAnsi="Palatino Linotype" w:cs="Palatino Linotype"/>
          <w:i/>
          <w:sz w:val="24"/>
          <w:szCs w:val="24"/>
        </w:rPr>
      </w:pPr>
      <w:r w:rsidRPr="006E412F">
        <w:rPr>
          <w:rFonts w:ascii="Palatino Linotype" w:eastAsia="Palatino Linotype" w:hAnsi="Palatino Linotype" w:cs="Palatino Linotype"/>
          <w:i/>
        </w:rPr>
        <w:t>…</w:t>
      </w:r>
    </w:p>
    <w:p w14:paraId="5BE1CE78"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b/>
          <w:i/>
        </w:rPr>
        <w:t>XXIX.</w:t>
      </w:r>
      <w:r w:rsidRPr="006E412F">
        <w:rPr>
          <w:rFonts w:ascii="Palatino Linotype" w:eastAsia="Palatino Linotype" w:hAnsi="Palatino Linotype" w:cs="Palatino Linotype"/>
          <w:i/>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00BAC031" w14:textId="77777777" w:rsidR="00577EBA" w:rsidRPr="006E412F" w:rsidRDefault="00577EBA">
      <w:pPr>
        <w:spacing w:after="0" w:line="276" w:lineRule="auto"/>
        <w:ind w:left="567" w:right="560"/>
        <w:jc w:val="both"/>
        <w:rPr>
          <w:rFonts w:ascii="Palatino Linotype" w:eastAsia="Palatino Linotype" w:hAnsi="Palatino Linotype" w:cs="Palatino Linotype"/>
          <w:i/>
        </w:rPr>
      </w:pPr>
    </w:p>
    <w:p w14:paraId="176BCF2D" w14:textId="77777777" w:rsidR="00577EBA" w:rsidRPr="006E412F" w:rsidRDefault="007A63D9">
      <w:pPr>
        <w:spacing w:after="0" w:line="276" w:lineRule="auto"/>
        <w:ind w:left="567" w:right="560"/>
        <w:jc w:val="both"/>
        <w:rPr>
          <w:rFonts w:ascii="Palatino Linotype" w:eastAsia="Palatino Linotype" w:hAnsi="Palatino Linotype" w:cs="Palatino Linotype"/>
          <w:b/>
          <w:i/>
        </w:rPr>
      </w:pPr>
      <w:r w:rsidRPr="006E412F">
        <w:rPr>
          <w:rFonts w:ascii="Palatino Linotype" w:eastAsia="Palatino Linotype" w:hAnsi="Palatino Linotype" w:cs="Palatino Linotype"/>
          <w:b/>
          <w:i/>
        </w:rPr>
        <w:t xml:space="preserve">a) De licitaciones públicas o procedimientos de invitación restringida: </w:t>
      </w:r>
    </w:p>
    <w:p w14:paraId="1DF7ADBE"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 xml:space="preserve">1) La convocatoria o invitación emitida, así como los fundamentos legales aplicados para llevarla a cabo; </w:t>
      </w:r>
    </w:p>
    <w:p w14:paraId="41D12070"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 xml:space="preserve">2) Los nombres de los participantes o invitados; </w:t>
      </w:r>
    </w:p>
    <w:p w14:paraId="0ED632AF"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 xml:space="preserve">3) El nombre del ganador y las razones que lo justifican; </w:t>
      </w:r>
    </w:p>
    <w:p w14:paraId="4A631208"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 xml:space="preserve">4) El área solicitante y la responsable de su ejecución; </w:t>
      </w:r>
    </w:p>
    <w:p w14:paraId="55B7880F"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5) Las convocatorias e invitaciones emitidas;</w:t>
      </w:r>
    </w:p>
    <w:p w14:paraId="7CEB8867"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 xml:space="preserve">6) Los dictámenes y fallo de adjudicación; </w:t>
      </w:r>
    </w:p>
    <w:p w14:paraId="72DCD944" w14:textId="77777777" w:rsidR="00577EBA" w:rsidRPr="006E412F" w:rsidRDefault="007A63D9">
      <w:pPr>
        <w:spacing w:after="0" w:line="276" w:lineRule="auto"/>
        <w:ind w:left="567" w:right="560"/>
        <w:jc w:val="both"/>
        <w:rPr>
          <w:rFonts w:ascii="Palatino Linotype" w:eastAsia="Palatino Linotype" w:hAnsi="Palatino Linotype" w:cs="Palatino Linotype"/>
          <w:b/>
          <w:i/>
        </w:rPr>
      </w:pPr>
      <w:r w:rsidRPr="006E412F">
        <w:rPr>
          <w:rFonts w:ascii="Palatino Linotype" w:eastAsia="Palatino Linotype" w:hAnsi="Palatino Linotype" w:cs="Palatino Linotype"/>
          <w:b/>
          <w:i/>
        </w:rPr>
        <w:t xml:space="preserve">7) El contrato y, en su caso, sus anexos; </w:t>
      </w:r>
    </w:p>
    <w:p w14:paraId="1D87FDAA"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 xml:space="preserve">8) Los mecanismos de vigilancia y supervisión, incluyendo en su caso, los estudios de impacto urbano y ambiental, según corresponda; </w:t>
      </w:r>
    </w:p>
    <w:p w14:paraId="051B3542"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 xml:space="preserve">9) La partida presupuestal, de conformidad con el clasificador por objeto del gasto, en el caso de ser aplicable; </w:t>
      </w:r>
    </w:p>
    <w:p w14:paraId="7FD6D7ED"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 xml:space="preserve">10) Origen de los recursos especificando si son federales, estatales o municipales, así como el tipo de fondo de participación o aportación respectiva; </w:t>
      </w:r>
    </w:p>
    <w:p w14:paraId="70268CB7"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 xml:space="preserve">11) Los convenios modificatorios que, en su caso, sean firmados, precisando el objeto y la fecha de celebración; </w:t>
      </w:r>
    </w:p>
    <w:p w14:paraId="11F13ECC" w14:textId="77777777" w:rsidR="00577EBA" w:rsidRPr="006E412F" w:rsidRDefault="007A63D9">
      <w:pPr>
        <w:spacing w:after="0" w:line="276" w:lineRule="auto"/>
        <w:ind w:left="567" w:right="560"/>
        <w:jc w:val="both"/>
        <w:rPr>
          <w:rFonts w:ascii="Palatino Linotype" w:eastAsia="Palatino Linotype" w:hAnsi="Palatino Linotype" w:cs="Palatino Linotype"/>
          <w:b/>
          <w:i/>
          <w:u w:val="single"/>
        </w:rPr>
      </w:pPr>
      <w:r w:rsidRPr="006E412F">
        <w:rPr>
          <w:rFonts w:ascii="Palatino Linotype" w:eastAsia="Palatino Linotype" w:hAnsi="Palatino Linotype" w:cs="Palatino Linotype"/>
          <w:b/>
          <w:i/>
          <w:u w:val="single"/>
        </w:rPr>
        <w:t xml:space="preserve">12) Los informes de avance físico y financiero sobre las obras o servicios contratados; </w:t>
      </w:r>
    </w:p>
    <w:p w14:paraId="6F02C464"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 xml:space="preserve">13) El convenio de terminación; y </w:t>
      </w:r>
    </w:p>
    <w:p w14:paraId="58351794"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 xml:space="preserve">14) El finiquito. </w:t>
      </w:r>
    </w:p>
    <w:p w14:paraId="07D66E4C" w14:textId="77777777" w:rsidR="00577EBA" w:rsidRPr="006E412F" w:rsidRDefault="00577EBA">
      <w:pPr>
        <w:spacing w:after="0" w:line="276" w:lineRule="auto"/>
        <w:ind w:left="567" w:right="560"/>
        <w:jc w:val="both"/>
        <w:rPr>
          <w:rFonts w:ascii="Palatino Linotype" w:eastAsia="Palatino Linotype" w:hAnsi="Palatino Linotype" w:cs="Palatino Linotype"/>
          <w:b/>
          <w:i/>
        </w:rPr>
      </w:pPr>
    </w:p>
    <w:p w14:paraId="485211CE" w14:textId="77777777" w:rsidR="00577EBA" w:rsidRPr="006E412F" w:rsidRDefault="007A63D9">
      <w:pPr>
        <w:spacing w:after="0" w:line="276" w:lineRule="auto"/>
        <w:ind w:left="567" w:right="560"/>
        <w:jc w:val="both"/>
        <w:rPr>
          <w:rFonts w:ascii="Palatino Linotype" w:eastAsia="Palatino Linotype" w:hAnsi="Palatino Linotype" w:cs="Palatino Linotype"/>
          <w:b/>
          <w:i/>
        </w:rPr>
      </w:pPr>
      <w:r w:rsidRPr="006E412F">
        <w:rPr>
          <w:rFonts w:ascii="Palatino Linotype" w:eastAsia="Palatino Linotype" w:hAnsi="Palatino Linotype" w:cs="Palatino Linotype"/>
          <w:b/>
          <w:i/>
        </w:rPr>
        <w:t xml:space="preserve">b) De las adjudicaciones directas: </w:t>
      </w:r>
    </w:p>
    <w:p w14:paraId="0F81EE85"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 xml:space="preserve">1) La propuesta enviada por el participante; </w:t>
      </w:r>
    </w:p>
    <w:p w14:paraId="06A82043"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 xml:space="preserve">2) Los motivos y fundamentos legales aplicados para llevarla a cabo; </w:t>
      </w:r>
    </w:p>
    <w:p w14:paraId="7AEA69CD"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 xml:space="preserve">3) La autorización del ejercicio de la opción; </w:t>
      </w:r>
    </w:p>
    <w:p w14:paraId="0DE9D7E9"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 xml:space="preserve">4) En su caso, las cotizaciones consideradas, especificando los nombres de los proveedores y sus montos; </w:t>
      </w:r>
    </w:p>
    <w:p w14:paraId="5F0CB1A0"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 xml:space="preserve">5) El nombre de la persona física o jurídica colectiva adjudicada; </w:t>
      </w:r>
    </w:p>
    <w:p w14:paraId="050738DF"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 xml:space="preserve">6) La unidad administrativa solicitante y la responsable de su ejecución; </w:t>
      </w:r>
    </w:p>
    <w:p w14:paraId="011D6C27" w14:textId="77777777" w:rsidR="00577EBA" w:rsidRPr="006E412F" w:rsidRDefault="007A63D9">
      <w:pPr>
        <w:spacing w:after="0" w:line="276" w:lineRule="auto"/>
        <w:ind w:left="567" w:right="560"/>
        <w:jc w:val="both"/>
        <w:rPr>
          <w:rFonts w:ascii="Palatino Linotype" w:eastAsia="Palatino Linotype" w:hAnsi="Palatino Linotype" w:cs="Palatino Linotype"/>
          <w:b/>
          <w:i/>
        </w:rPr>
      </w:pPr>
      <w:r w:rsidRPr="006E412F">
        <w:rPr>
          <w:rFonts w:ascii="Palatino Linotype" w:eastAsia="Palatino Linotype" w:hAnsi="Palatino Linotype" w:cs="Palatino Linotype"/>
          <w:b/>
          <w:i/>
        </w:rPr>
        <w:t xml:space="preserve">7) El número, fecha, el monto del contrato y el plazo de entrega o de ejecución de los servicios u obra; </w:t>
      </w:r>
    </w:p>
    <w:p w14:paraId="60CABCED"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 xml:space="preserve">8) Los mecanismos de vigilancia y supervisión, incluyendo, en su caso, los estudios de impacto urbano y ambiental, según corresponda; </w:t>
      </w:r>
    </w:p>
    <w:p w14:paraId="5CBEC91B" w14:textId="77777777" w:rsidR="00577EBA" w:rsidRPr="006E412F" w:rsidRDefault="007A63D9">
      <w:pPr>
        <w:spacing w:after="0" w:line="276" w:lineRule="auto"/>
        <w:ind w:left="567" w:right="560"/>
        <w:jc w:val="both"/>
        <w:rPr>
          <w:rFonts w:ascii="Palatino Linotype" w:eastAsia="Palatino Linotype" w:hAnsi="Palatino Linotype" w:cs="Palatino Linotype"/>
          <w:b/>
          <w:i/>
        </w:rPr>
      </w:pPr>
      <w:r w:rsidRPr="006E412F">
        <w:rPr>
          <w:rFonts w:ascii="Palatino Linotype" w:eastAsia="Palatino Linotype" w:hAnsi="Palatino Linotype" w:cs="Palatino Linotype"/>
          <w:b/>
          <w:i/>
        </w:rPr>
        <w:t xml:space="preserve">9) Los informes de avance sobre las obras o servicios contratados; </w:t>
      </w:r>
    </w:p>
    <w:p w14:paraId="1E360387"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 xml:space="preserve">10) El convenio de terminación; y </w:t>
      </w:r>
    </w:p>
    <w:p w14:paraId="1932090B" w14:textId="77777777" w:rsidR="00577EBA" w:rsidRPr="006E412F" w:rsidRDefault="007A63D9">
      <w:pPr>
        <w:spacing w:after="0" w:line="276" w:lineRule="auto"/>
        <w:ind w:left="567" w:right="560"/>
        <w:jc w:val="both"/>
        <w:rPr>
          <w:rFonts w:ascii="Palatino Linotype" w:eastAsia="Palatino Linotype" w:hAnsi="Palatino Linotype" w:cs="Palatino Linotype"/>
          <w:i/>
          <w:sz w:val="24"/>
          <w:szCs w:val="24"/>
        </w:rPr>
      </w:pPr>
      <w:r w:rsidRPr="006E412F">
        <w:rPr>
          <w:rFonts w:ascii="Palatino Linotype" w:eastAsia="Palatino Linotype" w:hAnsi="Palatino Linotype" w:cs="Palatino Linotype"/>
          <w:i/>
        </w:rPr>
        <w:t>11) El finiquito.</w:t>
      </w:r>
    </w:p>
    <w:p w14:paraId="2F91AAE9" w14:textId="77777777" w:rsidR="00577EBA" w:rsidRPr="006E412F" w:rsidRDefault="007A63D9">
      <w:pPr>
        <w:spacing w:after="0" w:line="276" w:lineRule="auto"/>
        <w:ind w:left="567" w:right="560"/>
        <w:jc w:val="both"/>
        <w:rPr>
          <w:rFonts w:ascii="Palatino Linotype" w:eastAsia="Palatino Linotype" w:hAnsi="Palatino Linotype" w:cs="Palatino Linotype"/>
          <w:i/>
          <w:sz w:val="24"/>
          <w:szCs w:val="24"/>
        </w:rPr>
      </w:pPr>
      <w:r w:rsidRPr="006E412F">
        <w:rPr>
          <w:rFonts w:ascii="Palatino Linotype" w:eastAsia="Palatino Linotype" w:hAnsi="Palatino Linotype" w:cs="Palatino Linotype"/>
          <w:i/>
          <w:sz w:val="24"/>
          <w:szCs w:val="24"/>
        </w:rPr>
        <w:t>…</w:t>
      </w:r>
    </w:p>
    <w:p w14:paraId="0256842A" w14:textId="77777777" w:rsidR="00577EBA" w:rsidRPr="006E412F" w:rsidRDefault="007A63D9">
      <w:pPr>
        <w:spacing w:after="0" w:line="276" w:lineRule="auto"/>
        <w:ind w:left="567" w:right="560"/>
        <w:jc w:val="both"/>
        <w:rPr>
          <w:rFonts w:ascii="Palatino Linotype" w:eastAsia="Palatino Linotype" w:hAnsi="Palatino Linotype" w:cs="Palatino Linotype"/>
          <w:i/>
          <w:sz w:val="24"/>
          <w:szCs w:val="24"/>
        </w:rPr>
      </w:pPr>
      <w:r w:rsidRPr="006E412F">
        <w:rPr>
          <w:rFonts w:ascii="Palatino Linotype" w:eastAsia="Palatino Linotype" w:hAnsi="Palatino Linotype" w:cs="Palatino Linotype"/>
          <w:b/>
          <w:i/>
          <w:sz w:val="24"/>
          <w:szCs w:val="24"/>
        </w:rPr>
        <w:t>XXXVI. Padrón de proveedores y contratistas;</w:t>
      </w:r>
      <w:r w:rsidRPr="006E412F">
        <w:rPr>
          <w:rFonts w:ascii="Palatino Linotype" w:eastAsia="Palatino Linotype" w:hAnsi="Palatino Linotype" w:cs="Palatino Linotype"/>
          <w:b/>
          <w:i/>
          <w:sz w:val="24"/>
          <w:szCs w:val="24"/>
        </w:rPr>
        <w:br/>
      </w:r>
      <w:r w:rsidRPr="006E412F">
        <w:rPr>
          <w:rFonts w:ascii="Palatino Linotype" w:eastAsia="Palatino Linotype" w:hAnsi="Palatino Linotype" w:cs="Palatino Linotype"/>
          <w:i/>
          <w:sz w:val="24"/>
          <w:szCs w:val="24"/>
        </w:rPr>
        <w:t>…</w:t>
      </w:r>
    </w:p>
    <w:p w14:paraId="4C18F8BA" w14:textId="77777777" w:rsidR="00577EBA" w:rsidRPr="006E412F" w:rsidRDefault="00577EBA">
      <w:pPr>
        <w:spacing w:after="0" w:line="276" w:lineRule="auto"/>
        <w:ind w:left="567" w:right="560"/>
        <w:jc w:val="both"/>
        <w:rPr>
          <w:rFonts w:ascii="Palatino Linotype" w:eastAsia="Palatino Linotype" w:hAnsi="Palatino Linotype" w:cs="Palatino Linotype"/>
          <w:i/>
          <w:sz w:val="24"/>
          <w:szCs w:val="24"/>
        </w:rPr>
      </w:pPr>
    </w:p>
    <w:p w14:paraId="750ADD9F"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De lo anterior, se advierte que el Sujete Obligado es competente para conocer, generar y administrar la información solicitada, toda vez que esta forma parte de las atribuciones que tiene encomendadas, además de son obligaciones de transparencia, previstas en la Ley en la materia. </w:t>
      </w:r>
    </w:p>
    <w:p w14:paraId="3CE51CBD"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3C8C61CA"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Ahora bien, es importante mencionar que el Particular al solicitar un </w:t>
      </w:r>
      <w:r w:rsidRPr="006E412F">
        <w:rPr>
          <w:rFonts w:ascii="Palatino Linotype" w:eastAsia="Palatino Linotype" w:hAnsi="Palatino Linotype" w:cs="Palatino Linotype"/>
          <w:b/>
          <w:sz w:val="24"/>
          <w:szCs w:val="24"/>
        </w:rPr>
        <w:t>listado de los contratos celebrados en donde se precise diversa información</w:t>
      </w:r>
      <w:r w:rsidRPr="006E412F">
        <w:rPr>
          <w:rFonts w:ascii="Palatino Linotype" w:eastAsia="Palatino Linotype" w:hAnsi="Palatino Linotype" w:cs="Palatino Linotype"/>
          <w:sz w:val="24"/>
          <w:szCs w:val="24"/>
        </w:rPr>
        <w:t xml:space="preserve">, su pretensión, es obtener un documento </w:t>
      </w:r>
      <w:r w:rsidRPr="006E412F">
        <w:rPr>
          <w:rFonts w:ascii="Palatino Linotype" w:eastAsia="Palatino Linotype" w:hAnsi="Palatino Linotype" w:cs="Palatino Linotype"/>
          <w:i/>
          <w:sz w:val="24"/>
          <w:szCs w:val="24"/>
        </w:rPr>
        <w:t xml:space="preserve">“ad hoc”, </w:t>
      </w:r>
      <w:r w:rsidRPr="006E412F">
        <w:rPr>
          <w:rFonts w:ascii="Palatino Linotype" w:eastAsia="Palatino Linotype" w:hAnsi="Palatino Linotype" w:cs="Palatino Linotype"/>
          <w:sz w:val="24"/>
          <w:szCs w:val="24"/>
        </w:rPr>
        <w:t xml:space="preserve">esto es que, el Sujeto Obligado realice un documento en el que se identifiquen los contratos  que ha celebrado, por ello, resulta necesario traer a colación lo que establece el Criterio 01/21 emitido por el Instituto Nacional de Transparencia, Acceso a la Información y Protección de Datos Personales, el cual precisa lo siguiente: </w:t>
      </w:r>
    </w:p>
    <w:p w14:paraId="70906822"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6EF7D3D0" w14:textId="77777777" w:rsidR="00577EBA" w:rsidRPr="006E412F" w:rsidRDefault="007A63D9">
      <w:pPr>
        <w:spacing w:after="0" w:line="240"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b/>
          <w:i/>
        </w:rPr>
        <w:t xml:space="preserve">No existe obligación de elaborar documentos ad hoc para la atención de solicitudes de acceso a datos personales. </w:t>
      </w:r>
      <w:r w:rsidRPr="006E412F">
        <w:rPr>
          <w:rFonts w:ascii="Palatino Linotype" w:eastAsia="Palatino Linotype" w:hAnsi="Palatino Linotype" w:cs="Palatino Linotype"/>
          <w:i/>
        </w:rPr>
        <w:t xml:space="preserve">Se tendrá por satisfecha la solicitud de acceso a datos personales cuando el sujeto obligado proporcione la expresión documental que los contenga en el formato en el que los mismos obren en sus archivos, sin necesidad de elaborar documentos ad hoc para la respuesta de las solicitudes. </w:t>
      </w:r>
    </w:p>
    <w:p w14:paraId="3485CF52"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0C6F40E7"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Robustece lo anterior, lo que señala el artículo 12 de la Ley de Transparencia y Acceso a la Información Pública del Estado de México y Municipios, que señala que los sujetos obligados permitirán el acceso a la información que obre en sus archivos, en el estado en que se encuentre y en formato en que se haya generado, lo que comprende que la obligación de generar un documento para colmar la pretensión de los solicitantes, no forma parte de sus obligaciones. </w:t>
      </w:r>
    </w:p>
    <w:p w14:paraId="231995AB"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278F79FE"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En ese sentido, el Sujeto Obligado, únicamente deberá otorgar el acceso a los documentos que den cuenta de la información solicitada, tal como obre en sus archivos, sin generar un documento que cumpla con la pretensión del Particular. </w:t>
      </w:r>
    </w:p>
    <w:p w14:paraId="4647D9F1"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4D80D621"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Referido lo anterior, se procede al análisis de los agravios hechos valer por el Solicitante, consistentes en la negativa de acceso a la información e información incompleta, por lo que, es menester recordar que el Sujeto Obligado en respuesta, medularmente precisó lo siguiente: </w:t>
      </w:r>
    </w:p>
    <w:p w14:paraId="62A39930"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3938A12D" w14:textId="77777777" w:rsidR="00577EBA" w:rsidRPr="006E412F" w:rsidRDefault="007A63D9">
      <w:pPr>
        <w:numPr>
          <w:ilvl w:val="0"/>
          <w:numId w:val="5"/>
        </w:numPr>
        <w:pBdr>
          <w:top w:val="nil"/>
          <w:left w:val="nil"/>
          <w:bottom w:val="nil"/>
          <w:right w:val="nil"/>
          <w:between w:val="nil"/>
        </w:pBdr>
        <w:tabs>
          <w:tab w:val="left" w:pos="851"/>
        </w:tabs>
        <w:spacing w:after="0" w:line="360" w:lineRule="auto"/>
        <w:ind w:left="567" w:right="843" w:firstLine="0"/>
        <w:jc w:val="both"/>
        <w:rPr>
          <w:rFonts w:ascii="Palatino Linotype" w:eastAsia="Palatino Linotype" w:hAnsi="Palatino Linotype" w:cs="Palatino Linotype"/>
        </w:rPr>
      </w:pPr>
      <w:r w:rsidRPr="006E412F">
        <w:rPr>
          <w:rFonts w:ascii="Palatino Linotype" w:eastAsia="Palatino Linotype" w:hAnsi="Palatino Linotype" w:cs="Palatino Linotype"/>
        </w:rPr>
        <w:t xml:space="preserve">Del </w:t>
      </w:r>
      <w:r w:rsidRPr="006E412F">
        <w:rPr>
          <w:rFonts w:ascii="Palatino Linotype" w:eastAsia="Palatino Linotype" w:hAnsi="Palatino Linotype" w:cs="Palatino Linotype"/>
          <w:b/>
        </w:rPr>
        <w:t>2012 al 2018</w:t>
      </w:r>
      <w:r w:rsidRPr="006E412F">
        <w:rPr>
          <w:rFonts w:ascii="Palatino Linotype" w:eastAsia="Palatino Linotype" w:hAnsi="Palatino Linotype" w:cs="Palatino Linotype"/>
        </w:rPr>
        <w:t xml:space="preserve">, no se encontró información al respecto, porque en el acto entrega-recepción no se recibió información relacionada con el padrón de proveedores y los expedientes de adquisiciones en todas sus modalidades estaban incompletos. </w:t>
      </w:r>
    </w:p>
    <w:p w14:paraId="4C8C13EA" w14:textId="77777777" w:rsidR="00577EBA" w:rsidRPr="006E412F" w:rsidRDefault="007A63D9">
      <w:pPr>
        <w:numPr>
          <w:ilvl w:val="0"/>
          <w:numId w:val="5"/>
        </w:numPr>
        <w:pBdr>
          <w:top w:val="nil"/>
          <w:left w:val="nil"/>
          <w:bottom w:val="nil"/>
          <w:right w:val="nil"/>
          <w:between w:val="nil"/>
        </w:pBdr>
        <w:tabs>
          <w:tab w:val="left" w:pos="851"/>
        </w:tabs>
        <w:spacing w:after="0" w:line="360" w:lineRule="auto"/>
        <w:ind w:left="567" w:right="843" w:firstLine="0"/>
        <w:jc w:val="both"/>
        <w:rPr>
          <w:rFonts w:ascii="Palatino Linotype" w:eastAsia="Palatino Linotype" w:hAnsi="Palatino Linotype" w:cs="Palatino Linotype"/>
        </w:rPr>
      </w:pPr>
      <w:r w:rsidRPr="006E412F">
        <w:rPr>
          <w:rFonts w:ascii="Palatino Linotype" w:eastAsia="Palatino Linotype" w:hAnsi="Palatino Linotype" w:cs="Palatino Linotype"/>
        </w:rPr>
        <w:t xml:space="preserve">Del </w:t>
      </w:r>
      <w:r w:rsidRPr="006E412F">
        <w:rPr>
          <w:rFonts w:ascii="Palatino Linotype" w:eastAsia="Palatino Linotype" w:hAnsi="Palatino Linotype" w:cs="Palatino Linotype"/>
          <w:b/>
        </w:rPr>
        <w:t>2019 al 2021</w:t>
      </w:r>
      <w:r w:rsidRPr="006E412F">
        <w:rPr>
          <w:rFonts w:ascii="Palatino Linotype" w:eastAsia="Palatino Linotype" w:hAnsi="Palatino Linotype" w:cs="Palatino Linotype"/>
        </w:rPr>
        <w:t xml:space="preserve">, existen diversos contratos que derivan de procedimientos con vicios de irregularidades al momento de la integración, por lo que se están llevando los procedimientos administrativos correspondientes a efecto de integrar debidamente los expedientes y en su momento procesal resolver lo que derecho corresponda, por lo que se está en imposibilidad de proporcionar la información. </w:t>
      </w:r>
    </w:p>
    <w:p w14:paraId="34E4C64F" w14:textId="77777777" w:rsidR="00577EBA" w:rsidRPr="006E412F" w:rsidRDefault="007A63D9">
      <w:pPr>
        <w:numPr>
          <w:ilvl w:val="0"/>
          <w:numId w:val="5"/>
        </w:numPr>
        <w:pBdr>
          <w:top w:val="nil"/>
          <w:left w:val="nil"/>
          <w:bottom w:val="nil"/>
          <w:right w:val="nil"/>
          <w:between w:val="nil"/>
        </w:pBdr>
        <w:tabs>
          <w:tab w:val="left" w:pos="851"/>
        </w:tabs>
        <w:spacing w:after="0" w:line="360" w:lineRule="auto"/>
        <w:ind w:left="567" w:right="843" w:firstLine="0"/>
        <w:jc w:val="both"/>
        <w:rPr>
          <w:rFonts w:ascii="Palatino Linotype" w:eastAsia="Palatino Linotype" w:hAnsi="Palatino Linotype" w:cs="Palatino Linotype"/>
        </w:rPr>
      </w:pPr>
      <w:r w:rsidRPr="006E412F">
        <w:rPr>
          <w:rFonts w:ascii="Palatino Linotype" w:eastAsia="Palatino Linotype" w:hAnsi="Palatino Linotype" w:cs="Palatino Linotype"/>
        </w:rPr>
        <w:t xml:space="preserve">Del </w:t>
      </w:r>
      <w:r w:rsidRPr="006E412F">
        <w:rPr>
          <w:rFonts w:ascii="Palatino Linotype" w:eastAsia="Palatino Linotype" w:hAnsi="Palatino Linotype" w:cs="Palatino Linotype"/>
          <w:b/>
        </w:rPr>
        <w:t>uno de enero al veintinueve de abril de dos mil veintidós</w:t>
      </w:r>
      <w:r w:rsidRPr="006E412F">
        <w:rPr>
          <w:rFonts w:ascii="Palatino Linotype" w:eastAsia="Palatino Linotype" w:hAnsi="Palatino Linotype" w:cs="Palatino Linotype"/>
        </w:rPr>
        <w:t xml:space="preserve">, se han suscrito ciento setenta contratos para la adquisición de diversos bienes y servicios. </w:t>
      </w:r>
    </w:p>
    <w:p w14:paraId="4798976B"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43F5D217"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De lo anterior, se desprende que el Sujeto Obligado alude a tres cuestiones, las cuales son: </w:t>
      </w:r>
    </w:p>
    <w:p w14:paraId="48899D9D"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62706108" w14:textId="77777777" w:rsidR="00577EBA" w:rsidRPr="006E412F" w:rsidRDefault="007A63D9">
      <w:pPr>
        <w:numPr>
          <w:ilvl w:val="0"/>
          <w:numId w:val="7"/>
        </w:numPr>
        <w:pBdr>
          <w:top w:val="nil"/>
          <w:left w:val="nil"/>
          <w:bottom w:val="nil"/>
          <w:right w:val="nil"/>
          <w:between w:val="nil"/>
        </w:pBdr>
        <w:spacing w:after="0" w:line="360" w:lineRule="auto"/>
        <w:ind w:right="560"/>
        <w:jc w:val="both"/>
        <w:rPr>
          <w:rFonts w:ascii="Palatino Linotype" w:eastAsia="Palatino Linotype" w:hAnsi="Palatino Linotype" w:cs="Palatino Linotype"/>
        </w:rPr>
      </w:pPr>
      <w:r w:rsidRPr="006E412F">
        <w:rPr>
          <w:rFonts w:ascii="Palatino Linotype" w:eastAsia="Palatino Linotype" w:hAnsi="Palatino Linotype" w:cs="Palatino Linotype"/>
        </w:rPr>
        <w:t>La información solicitada no obra en sus archivos (inexistencia);</w:t>
      </w:r>
    </w:p>
    <w:p w14:paraId="0C475750" w14:textId="77777777" w:rsidR="00577EBA" w:rsidRPr="006E412F" w:rsidRDefault="007A63D9">
      <w:pPr>
        <w:numPr>
          <w:ilvl w:val="0"/>
          <w:numId w:val="7"/>
        </w:numPr>
        <w:pBdr>
          <w:top w:val="nil"/>
          <w:left w:val="nil"/>
          <w:bottom w:val="nil"/>
          <w:right w:val="nil"/>
          <w:between w:val="nil"/>
        </w:pBdr>
        <w:spacing w:after="0" w:line="360" w:lineRule="auto"/>
        <w:ind w:right="560"/>
        <w:jc w:val="both"/>
        <w:rPr>
          <w:rFonts w:ascii="Palatino Linotype" w:eastAsia="Palatino Linotype" w:hAnsi="Palatino Linotype" w:cs="Palatino Linotype"/>
        </w:rPr>
      </w:pPr>
      <w:r w:rsidRPr="006E412F">
        <w:rPr>
          <w:rFonts w:ascii="Palatino Linotype" w:eastAsia="Palatino Linotype" w:hAnsi="Palatino Linotype" w:cs="Palatino Linotype"/>
        </w:rPr>
        <w:t>La información solicitada puede encuadrar en un supuesto de clasificación, toda vez que se relaciona con procedimientos que se están sustanciando y;</w:t>
      </w:r>
    </w:p>
    <w:p w14:paraId="27ED3EA7" w14:textId="77777777" w:rsidR="00577EBA" w:rsidRPr="006E412F" w:rsidRDefault="007A63D9">
      <w:pPr>
        <w:numPr>
          <w:ilvl w:val="0"/>
          <w:numId w:val="7"/>
        </w:numPr>
        <w:pBdr>
          <w:top w:val="nil"/>
          <w:left w:val="nil"/>
          <w:bottom w:val="nil"/>
          <w:right w:val="nil"/>
          <w:between w:val="nil"/>
        </w:pBdr>
        <w:spacing w:after="0" w:line="360" w:lineRule="auto"/>
        <w:ind w:right="560"/>
        <w:jc w:val="both"/>
        <w:rPr>
          <w:rFonts w:ascii="Palatino Linotype" w:eastAsia="Palatino Linotype" w:hAnsi="Palatino Linotype" w:cs="Palatino Linotype"/>
        </w:rPr>
      </w:pPr>
      <w:r w:rsidRPr="006E412F">
        <w:rPr>
          <w:rFonts w:ascii="Palatino Linotype" w:eastAsia="Palatino Linotype" w:hAnsi="Palatino Linotype" w:cs="Palatino Linotype"/>
        </w:rPr>
        <w:t xml:space="preserve">Se han llevado diversos contratos de adquisición de servicios, no obstante no se entregó el documento que dé cuenta de lo solicitado. </w:t>
      </w:r>
    </w:p>
    <w:p w14:paraId="5389550C"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56909908"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Respecto al </w:t>
      </w:r>
      <w:r w:rsidRPr="006E412F">
        <w:rPr>
          <w:rFonts w:ascii="Palatino Linotype" w:eastAsia="Palatino Linotype" w:hAnsi="Palatino Linotype" w:cs="Palatino Linotype"/>
          <w:b/>
          <w:sz w:val="24"/>
          <w:szCs w:val="24"/>
        </w:rPr>
        <w:t>primer punto</w:t>
      </w:r>
      <w:r w:rsidRPr="006E412F">
        <w:rPr>
          <w:rFonts w:ascii="Palatino Linotype" w:eastAsia="Palatino Linotype" w:hAnsi="Palatino Linotype" w:cs="Palatino Linotype"/>
          <w:sz w:val="24"/>
          <w:szCs w:val="24"/>
        </w:rPr>
        <w:t>, es indispensable mencionar que para el caso de que efectuada la búsqueda en los archivos de las unidades administrativas que pudieran contar con la información, no se hallen los documentos que den cuenta de lo solicitado, el Sujeto Obligado deberá emitir la declaratoria de inexistencia en términos de lo establecido en el artículo 19, párrafo tercero, 169 y 170 de la Ley de Transparencia y Acceso a la Información Pública del Estado de México y Municipios.</w:t>
      </w:r>
    </w:p>
    <w:p w14:paraId="044BA26C"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64A2CCE5" w14:textId="77777777" w:rsidR="00577EBA" w:rsidRPr="006E412F" w:rsidRDefault="007A63D9">
      <w:pPr>
        <w:spacing w:after="0" w:line="360" w:lineRule="auto"/>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Lo anterior, debido a que de acuerdo con el Criterio 14/17, emitido por el Instituto Nacional de Transparencia, Acceso a la Información Pública y Protección de Datos Personales en el Estado de México y Municipios, la inexistencia de la información se refiere a lo siguiente:</w:t>
      </w:r>
    </w:p>
    <w:p w14:paraId="549B47DB" w14:textId="77777777" w:rsidR="00577EBA" w:rsidRPr="006E412F" w:rsidRDefault="00577EBA">
      <w:pPr>
        <w:spacing w:after="0" w:line="360" w:lineRule="auto"/>
        <w:jc w:val="both"/>
        <w:rPr>
          <w:rFonts w:ascii="Palatino Linotype" w:eastAsia="Palatino Linotype" w:hAnsi="Palatino Linotype" w:cs="Palatino Linotype"/>
          <w:sz w:val="24"/>
          <w:szCs w:val="24"/>
        </w:rPr>
      </w:pPr>
    </w:p>
    <w:p w14:paraId="64206E27" w14:textId="77777777" w:rsidR="00577EBA" w:rsidRPr="006E412F" w:rsidRDefault="007A63D9">
      <w:pPr>
        <w:spacing w:after="0" w:line="276" w:lineRule="auto"/>
        <w:ind w:left="567" w:right="567"/>
        <w:jc w:val="both"/>
        <w:rPr>
          <w:rFonts w:ascii="Palatino Linotype" w:eastAsia="Palatino Linotype" w:hAnsi="Palatino Linotype" w:cs="Palatino Linotype"/>
          <w:i/>
        </w:rPr>
      </w:pPr>
      <w:r w:rsidRPr="006E412F">
        <w:rPr>
          <w:rFonts w:ascii="Palatino Linotype" w:eastAsia="Palatino Linotype" w:hAnsi="Palatino Linotype" w:cs="Palatino Linotype"/>
          <w:i/>
        </w:rPr>
        <w:t>“</w:t>
      </w:r>
      <w:r w:rsidRPr="006E412F">
        <w:rPr>
          <w:rFonts w:ascii="Palatino Linotype" w:eastAsia="Palatino Linotype" w:hAnsi="Palatino Linotype" w:cs="Palatino Linotype"/>
          <w:b/>
          <w:i/>
        </w:rPr>
        <w:t xml:space="preserve">Inexistencia. </w:t>
      </w:r>
      <w:r w:rsidRPr="006E412F">
        <w:rPr>
          <w:rFonts w:ascii="Palatino Linotype" w:eastAsia="Palatino Linotype" w:hAnsi="Palatino Linotype" w:cs="Palatino Linotype"/>
          <w:i/>
        </w:rPr>
        <w:t>La inexistencia es una cuestión de hecho que se atribuye a la información solicitada e implica que ésta no se encuentra en los archivos del sujeto obligado, no obstante que cuenta con facultades para poseerla.”</w:t>
      </w:r>
    </w:p>
    <w:p w14:paraId="4B2EC6F4" w14:textId="77777777" w:rsidR="00577EBA" w:rsidRPr="006E412F" w:rsidRDefault="00577EBA">
      <w:pPr>
        <w:spacing w:after="0" w:line="360" w:lineRule="auto"/>
        <w:jc w:val="both"/>
        <w:rPr>
          <w:rFonts w:ascii="Palatino Linotype" w:eastAsia="Palatino Linotype" w:hAnsi="Palatino Linotype" w:cs="Palatino Linotype"/>
          <w:sz w:val="24"/>
          <w:szCs w:val="24"/>
        </w:rPr>
      </w:pPr>
    </w:p>
    <w:p w14:paraId="5C9350FC" w14:textId="77777777" w:rsidR="00577EBA" w:rsidRPr="006E412F" w:rsidRDefault="007A63D9">
      <w:pPr>
        <w:spacing w:after="0" w:line="360" w:lineRule="auto"/>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Es decir, la </w:t>
      </w:r>
      <w:r w:rsidRPr="006E412F">
        <w:rPr>
          <w:rFonts w:ascii="Palatino Linotype" w:eastAsia="Palatino Linotype" w:hAnsi="Palatino Linotype" w:cs="Palatino Linotype"/>
          <w:b/>
          <w:sz w:val="24"/>
          <w:szCs w:val="24"/>
        </w:rPr>
        <w:t>inexistencia</w:t>
      </w:r>
      <w:r w:rsidRPr="006E412F">
        <w:rPr>
          <w:rFonts w:ascii="Palatino Linotype" w:eastAsia="Palatino Linotype" w:hAnsi="Palatino Linotype" w:cs="Palatino Linotype"/>
          <w:sz w:val="24"/>
          <w:szCs w:val="24"/>
        </w:rPr>
        <w:t xml:space="preserve"> presupone la competencia del sujeto obligado para conocer de la información, pero por alguna circunstancia, la documentación solicitada no obra en sus archivos, por lo que, de conformidad con el artículo 19, párrafo tercero de la Ley de Transparencia y Acceso a la Información Pública del Estado de México y Municipios, se establece </w:t>
      </w:r>
      <w:r w:rsidRPr="006E412F">
        <w:rPr>
          <w:rFonts w:ascii="Palatino Linotype" w:eastAsia="Palatino Linotype" w:hAnsi="Palatino Linotype" w:cs="Palatino Linotype"/>
          <w:b/>
          <w:sz w:val="24"/>
          <w:szCs w:val="24"/>
          <w:u w:val="single"/>
        </w:rPr>
        <w:t>que cuando los sujetos obligados, en el ejercicio de sus atribuciones, debía generar, poseer, administrar la información, pero está no se encuentra, el Comité de Transparencia, deberá emitir el acuerdo de inexistencia.</w:t>
      </w:r>
    </w:p>
    <w:p w14:paraId="1A96C54A" w14:textId="77777777" w:rsidR="00577EBA" w:rsidRPr="006E412F" w:rsidRDefault="00577EBA">
      <w:pPr>
        <w:shd w:val="clear" w:color="auto" w:fill="FFFFFF"/>
        <w:spacing w:after="0" w:line="360" w:lineRule="auto"/>
        <w:jc w:val="both"/>
        <w:rPr>
          <w:rFonts w:ascii="Palatino Linotype" w:eastAsia="Palatino Linotype" w:hAnsi="Palatino Linotype" w:cs="Palatino Linotype"/>
          <w:sz w:val="24"/>
          <w:szCs w:val="24"/>
        </w:rPr>
      </w:pPr>
    </w:p>
    <w:p w14:paraId="29BFB9BA" w14:textId="00BF7E50" w:rsidR="002349FE" w:rsidRPr="006E412F" w:rsidRDefault="007A63D9">
      <w:pPr>
        <w:spacing w:after="0" w:line="360" w:lineRule="auto"/>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En ese orden de ideas, el Criterio 12/10 emitido por el Pleno del Instituto Nacional de Transparencia, Acceso a la Información y Protección de Datos Personales, mismo que se cita por analogía, en el que se establece lo siguiente:</w:t>
      </w:r>
    </w:p>
    <w:p w14:paraId="3B44E738" w14:textId="77777777" w:rsidR="00577EBA" w:rsidRPr="006E412F" w:rsidRDefault="007A63D9">
      <w:pPr>
        <w:tabs>
          <w:tab w:val="left" w:pos="4253"/>
        </w:tabs>
        <w:spacing w:after="0" w:line="276" w:lineRule="auto"/>
        <w:ind w:left="567" w:right="559"/>
        <w:jc w:val="both"/>
        <w:rPr>
          <w:rFonts w:ascii="Palatino Linotype" w:eastAsia="Palatino Linotype" w:hAnsi="Palatino Linotype" w:cs="Palatino Linotype"/>
          <w:b/>
          <w:i/>
        </w:rPr>
      </w:pPr>
      <w:r w:rsidRPr="006E412F">
        <w:rPr>
          <w:rFonts w:ascii="Palatino Linotype" w:eastAsia="Palatino Linotype" w:hAnsi="Palatino Linotype" w:cs="Palatino Linotype"/>
          <w:b/>
          <w:i/>
        </w:rPr>
        <w:t xml:space="preserve">“Propósito de la declaración formal de inexistencia. </w:t>
      </w:r>
      <w:r w:rsidRPr="006E412F">
        <w:rPr>
          <w:rFonts w:ascii="Palatino Linotype" w:eastAsia="Palatino Linotype" w:hAnsi="Palatino Linotype" w:cs="Palatino Linotype"/>
          <w:i/>
        </w:rPr>
        <w:t xml:space="preserve">Atendiendo a lo dispuesto por los artículos 43, 46 de la Ley Federal de Transparencia y Acceso a la Información Pública Gubernamental y 70 de su Reglamento, en los que se prevé el procedimiento a seguir para declarar la inexistencia de la información, el propósito de que los Comités de Información de los sujetos obligados por la Ley Federal de Transparencia y Acceso a la Información Pública Gubernamental emitan una declaración que confirme, en su caso, la inexistencia de la información solicitada, </w:t>
      </w:r>
      <w:r w:rsidRPr="006E412F">
        <w:rPr>
          <w:rFonts w:ascii="Palatino Linotype" w:eastAsia="Palatino Linotype" w:hAnsi="Palatino Linotype" w:cs="Palatino Linotype"/>
          <w:b/>
          <w:i/>
        </w:rPr>
        <w:t xml:space="preserve">es garantizar al solicitante que efectivamente se realizaron las gestiones necesarias para la ubicación de la información de su interés, y que éstas fueron las adecuadas para atender a la particularidad del caso concreto. En ese sentido, las declaraciones de inexistencia de los Comités de Información deben contener los elementos suficientes para generar en los solicitantes la certeza del carácter exhaustivo de la búsqueda de la información solicitada y de que su solicitud fue atendida debidamente; es decir, deben motivar o precisar las razones por las que se buscó la información en determinada(s) unidad(es) administrativa(s), los criterios de búsqueda utilizados, y las demás circunstancias que fueron tomadas en cuenta.” </w:t>
      </w:r>
    </w:p>
    <w:p w14:paraId="5D67103B" w14:textId="77777777" w:rsidR="00577EBA" w:rsidRPr="006E412F" w:rsidRDefault="00577EBA">
      <w:pPr>
        <w:tabs>
          <w:tab w:val="left" w:pos="4667"/>
        </w:tabs>
        <w:spacing w:after="0" w:line="360" w:lineRule="auto"/>
        <w:jc w:val="both"/>
        <w:rPr>
          <w:rFonts w:ascii="Palatino Linotype" w:eastAsia="Palatino Linotype" w:hAnsi="Palatino Linotype" w:cs="Palatino Linotype"/>
          <w:sz w:val="24"/>
          <w:szCs w:val="24"/>
        </w:rPr>
      </w:pPr>
    </w:p>
    <w:p w14:paraId="55E68CD0" w14:textId="77777777" w:rsidR="00577EBA" w:rsidRPr="006E412F" w:rsidRDefault="007A63D9">
      <w:pPr>
        <w:tabs>
          <w:tab w:val="left" w:pos="4667"/>
        </w:tabs>
        <w:spacing w:after="0" w:line="360" w:lineRule="auto"/>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De la misma manera, el Criterio 14/19 emitido por el Instituto de Transparencia, Acceso a la Información y Protección de Datos Personales, establece lo siguiente:</w:t>
      </w:r>
    </w:p>
    <w:p w14:paraId="08B4D830" w14:textId="77777777" w:rsidR="00577EBA" w:rsidRPr="006E412F" w:rsidRDefault="00577EBA">
      <w:pPr>
        <w:tabs>
          <w:tab w:val="left" w:pos="4667"/>
        </w:tabs>
        <w:spacing w:after="0" w:line="360" w:lineRule="auto"/>
        <w:jc w:val="both"/>
        <w:rPr>
          <w:rFonts w:ascii="Palatino Linotype" w:eastAsia="Palatino Linotype" w:hAnsi="Palatino Linotype" w:cs="Palatino Linotype"/>
          <w:sz w:val="24"/>
          <w:szCs w:val="24"/>
        </w:rPr>
      </w:pPr>
    </w:p>
    <w:p w14:paraId="1CD66E00" w14:textId="77777777" w:rsidR="00577EBA" w:rsidRPr="006E412F" w:rsidRDefault="007A63D9">
      <w:pPr>
        <w:tabs>
          <w:tab w:val="left" w:pos="4667"/>
        </w:tabs>
        <w:spacing w:after="0" w:line="276" w:lineRule="auto"/>
        <w:ind w:left="567" w:right="567"/>
        <w:jc w:val="both"/>
        <w:rPr>
          <w:rFonts w:ascii="Palatino Linotype" w:eastAsia="Palatino Linotype" w:hAnsi="Palatino Linotype" w:cs="Palatino Linotype"/>
          <w:i/>
        </w:rPr>
      </w:pPr>
      <w:r w:rsidRPr="006E412F">
        <w:rPr>
          <w:rFonts w:ascii="Palatino Linotype" w:eastAsia="Palatino Linotype" w:hAnsi="Palatino Linotype" w:cs="Palatino Linotype"/>
          <w:b/>
          <w:i/>
        </w:rPr>
        <w:t>“Propósito de la declaración formal de inexistencia.</w:t>
      </w:r>
      <w:r w:rsidRPr="006E412F">
        <w:rPr>
          <w:rFonts w:ascii="Palatino Linotype" w:eastAsia="Palatino Linotype" w:hAnsi="Palatino Linotype" w:cs="Palatino Linotype"/>
          <w:i/>
        </w:rPr>
        <w:t xml:space="preserve"> 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w:t>
      </w:r>
    </w:p>
    <w:p w14:paraId="6946B131" w14:textId="77777777" w:rsidR="00577EBA" w:rsidRPr="006E412F" w:rsidRDefault="00577EBA">
      <w:pPr>
        <w:tabs>
          <w:tab w:val="left" w:pos="4667"/>
        </w:tabs>
        <w:spacing w:after="0" w:line="360" w:lineRule="auto"/>
        <w:jc w:val="both"/>
        <w:rPr>
          <w:rFonts w:ascii="Palatino Linotype" w:eastAsia="Palatino Linotype" w:hAnsi="Palatino Linotype" w:cs="Palatino Linotype"/>
          <w:sz w:val="24"/>
          <w:szCs w:val="24"/>
        </w:rPr>
      </w:pPr>
    </w:p>
    <w:p w14:paraId="580891AC" w14:textId="77777777" w:rsidR="00577EBA" w:rsidRPr="006E412F" w:rsidRDefault="007A63D9">
      <w:pPr>
        <w:tabs>
          <w:tab w:val="left" w:pos="4667"/>
        </w:tabs>
        <w:spacing w:after="0" w:line="360" w:lineRule="auto"/>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De los criterios citados, se tiene que las declaraciones de inexistencia que emitan los Comités de Transparencia, deben contener los elementos suficientes que permitan que los solicitantes tengan certeza de la búsqueda de la información, esto es, que la declaratoria debe estar debidamente fundada y motivada, es decir; además de señalar los preceptos normativos aplicables, se deben especificar los criterios de búsqueda, las unidades en las que se buscó la información, y demás circunstancias tomadas en cuenta, con el fin de garantizar al solicitante que efectivamente se hicieron las gestiones necesarias para localizar la documentación de su interés.</w:t>
      </w:r>
    </w:p>
    <w:p w14:paraId="5BC94A66" w14:textId="77777777" w:rsidR="00577EBA" w:rsidRPr="006E412F" w:rsidRDefault="00577EBA">
      <w:pPr>
        <w:tabs>
          <w:tab w:val="left" w:pos="4667"/>
        </w:tabs>
        <w:spacing w:after="0" w:line="360" w:lineRule="auto"/>
        <w:jc w:val="both"/>
        <w:rPr>
          <w:rFonts w:ascii="Palatino Linotype" w:eastAsia="Palatino Linotype" w:hAnsi="Palatino Linotype" w:cs="Palatino Linotype"/>
          <w:sz w:val="24"/>
          <w:szCs w:val="24"/>
        </w:rPr>
      </w:pPr>
    </w:p>
    <w:p w14:paraId="54381FDE" w14:textId="77777777" w:rsidR="00577EBA" w:rsidRPr="006E412F" w:rsidRDefault="007A63D9">
      <w:pPr>
        <w:tabs>
          <w:tab w:val="left" w:pos="4667"/>
        </w:tabs>
        <w:spacing w:after="0" w:line="360" w:lineRule="auto"/>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En ese sentido, de lo que se advierte en los oficios enviados en respuesta por el Sujeto Obligado, se tiene que tal como lo establece el numeral 3, incisos a) y b) del oficio DA/EAFC/2728/2019, la Dirección de Administración no recibió la siguiente información: </w:t>
      </w:r>
    </w:p>
    <w:p w14:paraId="082B684F" w14:textId="77777777" w:rsidR="00577EBA" w:rsidRPr="006E412F" w:rsidRDefault="00577EBA">
      <w:pPr>
        <w:tabs>
          <w:tab w:val="left" w:pos="4667"/>
        </w:tabs>
        <w:spacing w:after="0" w:line="360" w:lineRule="auto"/>
        <w:jc w:val="both"/>
        <w:rPr>
          <w:rFonts w:ascii="Palatino Linotype" w:eastAsia="Palatino Linotype" w:hAnsi="Palatino Linotype" w:cs="Palatino Linotype"/>
          <w:sz w:val="24"/>
          <w:szCs w:val="24"/>
        </w:rPr>
      </w:pPr>
    </w:p>
    <w:p w14:paraId="45574D7E" w14:textId="2FE03E54" w:rsidR="00577EBA" w:rsidRPr="006E412F" w:rsidRDefault="007A63D9" w:rsidP="007C0925">
      <w:pPr>
        <w:tabs>
          <w:tab w:val="left" w:pos="4667"/>
        </w:tabs>
        <w:spacing w:after="0" w:line="360" w:lineRule="auto"/>
        <w:jc w:val="center"/>
        <w:rPr>
          <w:rFonts w:ascii="Palatino Linotype" w:eastAsia="Palatino Linotype" w:hAnsi="Palatino Linotype" w:cs="Palatino Linotype"/>
          <w:sz w:val="24"/>
          <w:szCs w:val="24"/>
        </w:rPr>
      </w:pPr>
      <w:r w:rsidRPr="006E412F">
        <w:rPr>
          <w:rFonts w:ascii="Palatino Linotype" w:eastAsia="Palatino Linotype" w:hAnsi="Palatino Linotype" w:cs="Palatino Linotype"/>
          <w:noProof/>
          <w:sz w:val="24"/>
          <w:szCs w:val="24"/>
        </w:rPr>
        <w:drawing>
          <wp:inline distT="0" distB="0" distL="0" distR="0" wp14:anchorId="356AF7A9" wp14:editId="63ABDD8E">
            <wp:extent cx="5622358" cy="3222699"/>
            <wp:effectExtent l="0" t="0" r="0" b="0"/>
            <wp:docPr id="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622358" cy="3222699"/>
                    </a:xfrm>
                    <a:prstGeom prst="rect">
                      <a:avLst/>
                    </a:prstGeom>
                    <a:ln/>
                  </pic:spPr>
                </pic:pic>
              </a:graphicData>
            </a:graphic>
          </wp:inline>
        </w:drawing>
      </w:r>
      <w:r w:rsidRPr="006E412F">
        <w:rPr>
          <w:noProof/>
        </w:rPr>
        <mc:AlternateContent>
          <mc:Choice Requires="wps">
            <w:drawing>
              <wp:anchor distT="0" distB="0" distL="114300" distR="114300" simplePos="0" relativeHeight="251658240" behindDoc="0" locked="0" layoutInCell="1" hidden="0" allowOverlap="1" wp14:anchorId="535F79EF" wp14:editId="10D5AE81">
                <wp:simplePos x="0" y="0"/>
                <wp:positionH relativeFrom="column">
                  <wp:posOffset>101601</wp:posOffset>
                </wp:positionH>
                <wp:positionV relativeFrom="paragraph">
                  <wp:posOffset>1511300</wp:posOffset>
                </wp:positionV>
                <wp:extent cx="5141727" cy="378342"/>
                <wp:effectExtent l="0" t="0" r="0" b="0"/>
                <wp:wrapNone/>
                <wp:docPr id="30" name="Rectángulo 30"/>
                <wp:cNvGraphicFramePr/>
                <a:graphic xmlns:a="http://schemas.openxmlformats.org/drawingml/2006/main">
                  <a:graphicData uri="http://schemas.microsoft.com/office/word/2010/wordprocessingShape">
                    <wps:wsp>
                      <wps:cNvSpPr/>
                      <wps:spPr>
                        <a:xfrm>
                          <a:off x="2794187" y="3609879"/>
                          <a:ext cx="5103627" cy="340242"/>
                        </a:xfrm>
                        <a:prstGeom prst="rect">
                          <a:avLst/>
                        </a:prstGeom>
                        <a:noFill/>
                        <a:ln w="38100" cap="flat" cmpd="sng">
                          <a:solidFill>
                            <a:srgbClr val="FF0000"/>
                          </a:solidFill>
                          <a:prstDash val="solid"/>
                          <a:miter lim="800000"/>
                          <a:headEnd type="none" w="sm" len="sm"/>
                          <a:tailEnd type="none" w="sm" len="sm"/>
                        </a:ln>
                      </wps:spPr>
                      <wps:txbx>
                        <w:txbxContent>
                          <w:p w14:paraId="35EDFCFC" w14:textId="77777777" w:rsidR="0008464B" w:rsidRDefault="0008464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35F79EF" id="Rectángulo 30" o:spid="_x0000_s1026" style="position:absolute;left:0;text-align:left;margin-left:8pt;margin-top:119pt;width:404.85pt;height:29.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" filled="f" strokecolor="red" strokeweight="3pt">
                <v:stroke startarrowwidth="narrow" startarrowlength="short" endarrowwidth="narrow" endarrowlength="short"/>
                <v:textbox inset="2.53958mm,2.53958mm,2.53958mm,2.53958mm">
                  <w:txbxContent>
                    <w:p w14:paraId="35EDFCFC" w14:textId="77777777" w:rsidR="0008464B" w:rsidRDefault="0008464B">
                      <w:pPr>
                        <w:spacing w:after="0" w:line="240" w:lineRule="auto"/>
                        <w:textDirection w:val="btLr"/>
                      </w:pPr>
                    </w:p>
                  </w:txbxContent>
                </v:textbox>
              </v:rect>
            </w:pict>
          </mc:Fallback>
        </mc:AlternateContent>
      </w:r>
      <w:r w:rsidRPr="006E412F">
        <w:rPr>
          <w:noProof/>
        </w:rPr>
        <mc:AlternateContent>
          <mc:Choice Requires="wps">
            <w:drawing>
              <wp:anchor distT="0" distB="0" distL="114300" distR="114300" simplePos="0" relativeHeight="251659264" behindDoc="0" locked="0" layoutInCell="1" hidden="0" allowOverlap="1" wp14:anchorId="709434D2" wp14:editId="00BB51B5">
                <wp:simplePos x="0" y="0"/>
                <wp:positionH relativeFrom="column">
                  <wp:posOffset>50801</wp:posOffset>
                </wp:positionH>
                <wp:positionV relativeFrom="paragraph">
                  <wp:posOffset>2603500</wp:posOffset>
                </wp:positionV>
                <wp:extent cx="5417835" cy="601625"/>
                <wp:effectExtent l="0" t="0" r="0" b="0"/>
                <wp:wrapNone/>
                <wp:docPr id="29" name="Rectángulo 29"/>
                <wp:cNvGraphicFramePr/>
                <a:graphic xmlns:a="http://schemas.openxmlformats.org/drawingml/2006/main">
                  <a:graphicData uri="http://schemas.microsoft.com/office/word/2010/wordprocessingShape">
                    <wps:wsp>
                      <wps:cNvSpPr/>
                      <wps:spPr>
                        <a:xfrm>
                          <a:off x="2656133" y="3498238"/>
                          <a:ext cx="5379735" cy="563525"/>
                        </a:xfrm>
                        <a:prstGeom prst="rect">
                          <a:avLst/>
                        </a:prstGeom>
                        <a:noFill/>
                        <a:ln w="38100" cap="flat" cmpd="sng">
                          <a:solidFill>
                            <a:srgbClr val="FF0000"/>
                          </a:solidFill>
                          <a:prstDash val="solid"/>
                          <a:miter lim="800000"/>
                          <a:headEnd type="none" w="sm" len="sm"/>
                          <a:tailEnd type="none" w="sm" len="sm"/>
                        </a:ln>
                      </wps:spPr>
                      <wps:txbx>
                        <w:txbxContent>
                          <w:p w14:paraId="101DBC58" w14:textId="77777777" w:rsidR="0008464B" w:rsidRDefault="0008464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09434D2" id="Rectángulo 29" o:spid="_x0000_s1027" style="position:absolute;left:0;text-align:left;margin-left:4pt;margin-top:205pt;width:426.6pt;height:47.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" filled="f" strokecolor="red" strokeweight="3pt">
                <v:stroke startarrowwidth="narrow" startarrowlength="short" endarrowwidth="narrow" endarrowlength="short"/>
                <v:textbox inset="2.53958mm,2.53958mm,2.53958mm,2.53958mm">
                  <w:txbxContent>
                    <w:p w14:paraId="101DBC58" w14:textId="77777777" w:rsidR="0008464B" w:rsidRDefault="0008464B">
                      <w:pPr>
                        <w:spacing w:after="0" w:line="240" w:lineRule="auto"/>
                        <w:textDirection w:val="btLr"/>
                      </w:pPr>
                    </w:p>
                  </w:txbxContent>
                </v:textbox>
              </v:rect>
            </w:pict>
          </mc:Fallback>
        </mc:AlternateContent>
      </w:r>
    </w:p>
    <w:p w14:paraId="1F05C74C" w14:textId="77777777" w:rsidR="007C0925" w:rsidRPr="006E412F" w:rsidRDefault="007C0925">
      <w:pPr>
        <w:spacing w:after="0" w:line="360" w:lineRule="auto"/>
        <w:jc w:val="both"/>
        <w:rPr>
          <w:rFonts w:ascii="Palatino Linotype" w:eastAsia="Palatino Linotype" w:hAnsi="Palatino Linotype" w:cs="Palatino Linotype"/>
          <w:sz w:val="24"/>
          <w:szCs w:val="24"/>
        </w:rPr>
      </w:pPr>
    </w:p>
    <w:p w14:paraId="1F135324" w14:textId="4549A2D4" w:rsidR="007C0925" w:rsidRPr="006E412F" w:rsidRDefault="007C0925">
      <w:pPr>
        <w:spacing w:after="0" w:line="360" w:lineRule="auto"/>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Por lo anterior, se realiza el siguiente análisis: </w:t>
      </w:r>
    </w:p>
    <w:p w14:paraId="79B1F83B" w14:textId="597A22B8" w:rsidR="007C0925" w:rsidRPr="006E412F" w:rsidRDefault="007C0925" w:rsidP="007C0925">
      <w:pPr>
        <w:pStyle w:val="Prrafodelista"/>
        <w:numPr>
          <w:ilvl w:val="0"/>
          <w:numId w:val="15"/>
        </w:numPr>
        <w:spacing w:after="0" w:line="360" w:lineRule="auto"/>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b/>
          <w:bCs/>
          <w:sz w:val="24"/>
          <w:szCs w:val="24"/>
        </w:rPr>
        <w:t xml:space="preserve">Del Padrón de Proveedores. </w:t>
      </w:r>
    </w:p>
    <w:p w14:paraId="529BD035" w14:textId="77777777" w:rsidR="007C0925" w:rsidRPr="006E412F" w:rsidRDefault="007C0925" w:rsidP="007C0925">
      <w:pPr>
        <w:spacing w:after="0" w:line="360" w:lineRule="auto"/>
        <w:jc w:val="both"/>
        <w:rPr>
          <w:rFonts w:ascii="Palatino Linotype" w:eastAsia="Palatino Linotype" w:hAnsi="Palatino Linotype" w:cs="Palatino Linotype"/>
          <w:sz w:val="24"/>
          <w:szCs w:val="24"/>
        </w:rPr>
      </w:pPr>
    </w:p>
    <w:p w14:paraId="7B92EECA" w14:textId="60D8E7F6" w:rsidR="00B033C2" w:rsidRPr="006E412F" w:rsidRDefault="00B033C2" w:rsidP="00B033C2">
      <w:pPr>
        <w:spacing w:after="0" w:line="360" w:lineRule="auto"/>
        <w:jc w:val="both"/>
        <w:rPr>
          <w:rFonts w:ascii="Palatino Linotype" w:eastAsia="Palatino Linotype" w:hAnsi="Palatino Linotype" w:cs="Palatino Linotype"/>
          <w:bCs/>
          <w:sz w:val="24"/>
          <w:szCs w:val="24"/>
        </w:rPr>
      </w:pPr>
      <w:r w:rsidRPr="006E412F">
        <w:rPr>
          <w:rFonts w:ascii="Palatino Linotype" w:eastAsia="Palatino Linotype" w:hAnsi="Palatino Linotype" w:cs="Palatino Linotype"/>
          <w:bCs/>
          <w:sz w:val="24"/>
          <w:szCs w:val="24"/>
        </w:rPr>
        <w:t xml:space="preserve">Respecto al </w:t>
      </w:r>
      <w:r w:rsidRPr="006E412F">
        <w:rPr>
          <w:rFonts w:ascii="Palatino Linotype" w:eastAsia="Palatino Linotype" w:hAnsi="Palatino Linotype" w:cs="Palatino Linotype"/>
          <w:b/>
          <w:sz w:val="24"/>
          <w:szCs w:val="24"/>
        </w:rPr>
        <w:t>padrón de proveedores de los años 2012, 2013, 2014 y 2015</w:t>
      </w:r>
      <w:r w:rsidRPr="006E412F">
        <w:rPr>
          <w:rFonts w:ascii="Palatino Linotype" w:eastAsia="Palatino Linotype" w:hAnsi="Palatino Linotype" w:cs="Palatino Linotype"/>
          <w:bCs/>
          <w:sz w:val="24"/>
          <w:szCs w:val="24"/>
        </w:rPr>
        <w:t xml:space="preserve">, el Sujeto Obligado grosso modo refirió que no se había encontrado la información, no obstante, no proporcionó mayores elementos que acreditaran su dicho, aunado a que, se advierte que no </w:t>
      </w:r>
      <w:r w:rsidR="00B8342C" w:rsidRPr="006E412F">
        <w:rPr>
          <w:rFonts w:ascii="Palatino Linotype" w:eastAsia="Palatino Linotype" w:hAnsi="Palatino Linotype" w:cs="Palatino Linotype"/>
          <w:bCs/>
          <w:sz w:val="24"/>
          <w:szCs w:val="24"/>
        </w:rPr>
        <w:t xml:space="preserve">acreditó la </w:t>
      </w:r>
      <w:r w:rsidRPr="006E412F">
        <w:rPr>
          <w:rFonts w:ascii="Palatino Linotype" w:eastAsia="Palatino Linotype" w:hAnsi="Palatino Linotype" w:cs="Palatino Linotype"/>
          <w:bCs/>
          <w:sz w:val="24"/>
          <w:szCs w:val="24"/>
        </w:rPr>
        <w:t xml:space="preserve">búsqueda de la información solicitada, </w:t>
      </w:r>
      <w:r w:rsidR="00B8342C" w:rsidRPr="006E412F">
        <w:rPr>
          <w:rFonts w:ascii="Palatino Linotype" w:eastAsia="Palatino Linotype" w:hAnsi="Palatino Linotype" w:cs="Palatino Linotype"/>
          <w:bCs/>
          <w:sz w:val="24"/>
          <w:szCs w:val="24"/>
        </w:rPr>
        <w:t xml:space="preserve">en su archivo de concentración, con apoyo de </w:t>
      </w:r>
      <w:r w:rsidRPr="006E412F">
        <w:rPr>
          <w:rFonts w:ascii="Palatino Linotype" w:eastAsia="Palatino Linotype" w:hAnsi="Palatino Linotype" w:cs="Palatino Linotype"/>
          <w:sz w:val="24"/>
          <w:szCs w:val="24"/>
        </w:rPr>
        <w:t>la Secretaría del Ayuntamiento, que de conformidad con el artículo 38, fracción X del Bando del Municipio, esta cuenta con las siguientes atribuciones:</w:t>
      </w:r>
    </w:p>
    <w:p w14:paraId="4EDFC6D3" w14:textId="77777777" w:rsidR="00B033C2" w:rsidRPr="006E412F" w:rsidRDefault="00B033C2" w:rsidP="00B033C2">
      <w:pPr>
        <w:spacing w:after="0" w:line="360" w:lineRule="auto"/>
        <w:jc w:val="both"/>
        <w:rPr>
          <w:rFonts w:ascii="Palatino Linotype" w:eastAsia="Palatino Linotype" w:hAnsi="Palatino Linotype" w:cs="Palatino Linotype"/>
          <w:sz w:val="24"/>
          <w:szCs w:val="24"/>
        </w:rPr>
      </w:pPr>
    </w:p>
    <w:p w14:paraId="79DB67D6" w14:textId="77777777" w:rsidR="00B033C2" w:rsidRPr="006E412F" w:rsidRDefault="00B033C2" w:rsidP="00B033C2">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b/>
          <w:i/>
        </w:rPr>
        <w:t>Artículo 38.</w:t>
      </w:r>
      <w:r w:rsidRPr="006E412F">
        <w:rPr>
          <w:rFonts w:ascii="Palatino Linotype" w:eastAsia="Palatino Linotype" w:hAnsi="Palatino Linotype" w:cs="Palatino Linotype"/>
          <w:i/>
        </w:rPr>
        <w:t xml:space="preserve"> La Secretaría del Ayuntamiento es la Dependencia de la Administración Pública Municipal a cargo de realizar las siguientes funciones:</w:t>
      </w:r>
    </w:p>
    <w:p w14:paraId="712B7F1D" w14:textId="77777777" w:rsidR="00B033C2" w:rsidRPr="006E412F" w:rsidRDefault="00B033C2" w:rsidP="00B033C2">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w:t>
      </w:r>
    </w:p>
    <w:p w14:paraId="2CB87DD6" w14:textId="77777777" w:rsidR="00B033C2" w:rsidRPr="006E412F" w:rsidRDefault="00B033C2" w:rsidP="00B033C2">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 xml:space="preserve">X. </w:t>
      </w:r>
      <w:r w:rsidRPr="006E412F">
        <w:rPr>
          <w:rFonts w:ascii="Palatino Linotype" w:eastAsia="Palatino Linotype" w:hAnsi="Palatino Linotype" w:cs="Palatino Linotype"/>
          <w:b/>
          <w:i/>
          <w:u w:val="single"/>
        </w:rPr>
        <w:t>Manejo y control del archivo general del Municipio,</w:t>
      </w:r>
      <w:r w:rsidRPr="006E412F">
        <w:rPr>
          <w:rFonts w:ascii="Palatino Linotype" w:eastAsia="Palatino Linotype" w:hAnsi="Palatino Linotype" w:cs="Palatino Linotype"/>
          <w:i/>
        </w:rPr>
        <w:t xml:space="preserve"> </w:t>
      </w:r>
      <w:r w:rsidRPr="006E412F">
        <w:rPr>
          <w:rFonts w:ascii="Palatino Linotype" w:eastAsia="Palatino Linotype" w:hAnsi="Palatino Linotype" w:cs="Palatino Linotype"/>
          <w:b/>
          <w:i/>
          <w:u w:val="single"/>
        </w:rPr>
        <w:t>incluyendo el archivo histórico</w:t>
      </w:r>
      <w:r w:rsidRPr="006E412F">
        <w:rPr>
          <w:rFonts w:ascii="Palatino Linotype" w:eastAsia="Palatino Linotype" w:hAnsi="Palatino Linotype" w:cs="Palatino Linotype"/>
          <w:i/>
        </w:rPr>
        <w:t xml:space="preserve"> asegurando las condiciones para su estudio por el Cronista Municipal;...</w:t>
      </w:r>
    </w:p>
    <w:p w14:paraId="3CC04FC9" w14:textId="77777777" w:rsidR="00B033C2" w:rsidRPr="006E412F" w:rsidRDefault="00B033C2" w:rsidP="00B033C2">
      <w:pPr>
        <w:spacing w:after="0" w:line="360" w:lineRule="auto"/>
        <w:jc w:val="both"/>
        <w:rPr>
          <w:rFonts w:ascii="Palatino Linotype" w:eastAsia="Palatino Linotype" w:hAnsi="Palatino Linotype" w:cs="Palatino Linotype"/>
          <w:sz w:val="24"/>
          <w:szCs w:val="24"/>
        </w:rPr>
      </w:pPr>
    </w:p>
    <w:p w14:paraId="38C1B214" w14:textId="7C47A1C1" w:rsidR="00B033C2" w:rsidRPr="006E412F" w:rsidRDefault="00B033C2" w:rsidP="00B033C2">
      <w:pPr>
        <w:spacing w:after="0" w:line="360" w:lineRule="auto"/>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Por lo que, se considera que para el caso de la información solicitada relativa al padrón de proveedores del año </w:t>
      </w:r>
      <w:r w:rsidRPr="006E412F">
        <w:rPr>
          <w:rFonts w:ascii="Palatino Linotype" w:eastAsia="Palatino Linotype" w:hAnsi="Palatino Linotype" w:cs="Palatino Linotype"/>
          <w:b/>
          <w:sz w:val="24"/>
          <w:szCs w:val="24"/>
        </w:rPr>
        <w:t xml:space="preserve">2012 al 2015, </w:t>
      </w:r>
      <w:r w:rsidRPr="006E412F">
        <w:rPr>
          <w:rFonts w:ascii="Palatino Linotype" w:eastAsia="Palatino Linotype" w:hAnsi="Palatino Linotype" w:cs="Palatino Linotype"/>
          <w:sz w:val="24"/>
          <w:szCs w:val="24"/>
        </w:rPr>
        <w:t xml:space="preserve">el Sujeto Obligado deberá realizar una búsqueda exhaustiva y razonable de la información, </w:t>
      </w:r>
      <w:r w:rsidRPr="006E412F">
        <w:rPr>
          <w:rFonts w:ascii="Palatino Linotype" w:eastAsia="Palatino Linotype" w:hAnsi="Palatino Linotype" w:cs="Palatino Linotype"/>
          <w:b/>
          <w:sz w:val="24"/>
          <w:szCs w:val="24"/>
        </w:rPr>
        <w:t xml:space="preserve">con la finalidad de que sea proporcionada al Particular. </w:t>
      </w:r>
    </w:p>
    <w:p w14:paraId="3A4B734C" w14:textId="77777777" w:rsidR="00B033C2" w:rsidRPr="006E412F" w:rsidRDefault="00B033C2">
      <w:pPr>
        <w:spacing w:after="0" w:line="360" w:lineRule="auto"/>
        <w:jc w:val="both"/>
        <w:rPr>
          <w:rFonts w:ascii="Palatino Linotype" w:eastAsia="Palatino Linotype" w:hAnsi="Palatino Linotype" w:cs="Palatino Linotype"/>
          <w:sz w:val="24"/>
          <w:szCs w:val="24"/>
        </w:rPr>
      </w:pPr>
    </w:p>
    <w:p w14:paraId="4144BF54" w14:textId="06BA75F2" w:rsidR="00577EBA" w:rsidRPr="006E412F" w:rsidRDefault="007A63D9">
      <w:pPr>
        <w:spacing w:after="0" w:line="360" w:lineRule="auto"/>
        <w:jc w:val="both"/>
        <w:rPr>
          <w:rFonts w:ascii="Palatino Linotype" w:eastAsia="Palatino Linotype" w:hAnsi="Palatino Linotype" w:cs="Palatino Linotype"/>
          <w:bCs/>
          <w:sz w:val="24"/>
          <w:szCs w:val="24"/>
        </w:rPr>
      </w:pPr>
      <w:r w:rsidRPr="006E412F">
        <w:rPr>
          <w:rFonts w:ascii="Palatino Linotype" w:eastAsia="Palatino Linotype" w:hAnsi="Palatino Linotype" w:cs="Palatino Linotype"/>
          <w:sz w:val="24"/>
          <w:szCs w:val="24"/>
        </w:rPr>
        <w:t xml:space="preserve">Por lo que, en cuanto hace al </w:t>
      </w:r>
      <w:r w:rsidRPr="006E412F">
        <w:rPr>
          <w:rFonts w:ascii="Palatino Linotype" w:eastAsia="Palatino Linotype" w:hAnsi="Palatino Linotype" w:cs="Palatino Linotype"/>
          <w:b/>
          <w:sz w:val="24"/>
          <w:szCs w:val="24"/>
        </w:rPr>
        <w:t>padrón de proveedores de los años 2016, 2017 y 2018</w:t>
      </w:r>
      <w:r w:rsidRPr="006E412F">
        <w:rPr>
          <w:rFonts w:ascii="Palatino Linotype" w:eastAsia="Palatino Linotype" w:hAnsi="Palatino Linotype" w:cs="Palatino Linotype"/>
          <w:sz w:val="24"/>
          <w:szCs w:val="24"/>
        </w:rPr>
        <w:t>, el Sujeto Obligado</w:t>
      </w:r>
      <w:r w:rsidR="007C0925" w:rsidRPr="006E412F">
        <w:rPr>
          <w:rFonts w:ascii="Palatino Linotype" w:eastAsia="Palatino Linotype" w:hAnsi="Palatino Linotype" w:cs="Palatino Linotype"/>
          <w:sz w:val="24"/>
          <w:szCs w:val="24"/>
        </w:rPr>
        <w:t xml:space="preserve"> </w:t>
      </w:r>
      <w:r w:rsidRPr="006E412F">
        <w:rPr>
          <w:rFonts w:ascii="Palatino Linotype" w:eastAsia="Palatino Linotype" w:hAnsi="Palatino Linotype" w:cs="Palatino Linotype"/>
          <w:sz w:val="24"/>
          <w:szCs w:val="24"/>
        </w:rPr>
        <w:t xml:space="preserve">deberá declarar por medio de su Comité de Transparencia la </w:t>
      </w:r>
      <w:r w:rsidRPr="006E412F">
        <w:rPr>
          <w:rFonts w:ascii="Palatino Linotype" w:eastAsia="Palatino Linotype" w:hAnsi="Palatino Linotype" w:cs="Palatino Linotype"/>
          <w:b/>
          <w:sz w:val="24"/>
          <w:szCs w:val="24"/>
        </w:rPr>
        <w:t>inexistencia de la información solicitada</w:t>
      </w:r>
      <w:r w:rsidR="007C0925" w:rsidRPr="006E412F">
        <w:rPr>
          <w:rFonts w:ascii="Palatino Linotype" w:eastAsia="Palatino Linotype" w:hAnsi="Palatino Linotype" w:cs="Palatino Linotype"/>
          <w:bCs/>
          <w:sz w:val="24"/>
          <w:szCs w:val="24"/>
        </w:rPr>
        <w:t xml:space="preserve">, toda vez que en el acta de Entrega y Recepción se establece que no se recibió información de esos años. </w:t>
      </w:r>
    </w:p>
    <w:p w14:paraId="6DBA3710" w14:textId="1BDF61D8" w:rsidR="007C0925" w:rsidRPr="006E412F" w:rsidRDefault="007C0925">
      <w:pPr>
        <w:spacing w:after="0" w:line="360" w:lineRule="auto"/>
        <w:jc w:val="both"/>
        <w:rPr>
          <w:rFonts w:ascii="Palatino Linotype" w:eastAsia="Palatino Linotype" w:hAnsi="Palatino Linotype" w:cs="Palatino Linotype"/>
          <w:bCs/>
          <w:sz w:val="24"/>
          <w:szCs w:val="24"/>
        </w:rPr>
      </w:pPr>
    </w:p>
    <w:p w14:paraId="23D6CE13" w14:textId="5CD7B839" w:rsidR="00B572A6" w:rsidRPr="006E412F" w:rsidRDefault="00B033C2">
      <w:pPr>
        <w:spacing w:after="0" w:line="360" w:lineRule="auto"/>
        <w:jc w:val="both"/>
        <w:rPr>
          <w:rFonts w:ascii="Palatino Linotype" w:eastAsia="Palatino Linotype" w:hAnsi="Palatino Linotype" w:cs="Palatino Linotype"/>
          <w:bCs/>
          <w:sz w:val="24"/>
          <w:szCs w:val="24"/>
        </w:rPr>
      </w:pPr>
      <w:r w:rsidRPr="006E412F">
        <w:rPr>
          <w:rFonts w:ascii="Palatino Linotype" w:eastAsia="Palatino Linotype" w:hAnsi="Palatino Linotype" w:cs="Palatino Linotype"/>
          <w:bCs/>
          <w:sz w:val="24"/>
          <w:szCs w:val="24"/>
        </w:rPr>
        <w:t xml:space="preserve">Respecto al </w:t>
      </w:r>
      <w:r w:rsidRPr="006E412F">
        <w:rPr>
          <w:rFonts w:ascii="Palatino Linotype" w:eastAsia="Palatino Linotype" w:hAnsi="Palatino Linotype" w:cs="Palatino Linotype"/>
          <w:b/>
          <w:sz w:val="24"/>
          <w:szCs w:val="24"/>
        </w:rPr>
        <w:t xml:space="preserve">padrón de proveedores de los años 2019, 2020, 2021 y del uno de enero al veintinueve de abril de 2022 </w:t>
      </w:r>
      <w:r w:rsidRPr="006E412F">
        <w:rPr>
          <w:rFonts w:ascii="Palatino Linotype" w:eastAsia="Palatino Linotype" w:hAnsi="Palatino Linotype" w:cs="Palatino Linotype"/>
          <w:bCs/>
          <w:sz w:val="24"/>
          <w:szCs w:val="24"/>
        </w:rPr>
        <w:t>el Sujeto Obligado no se pronunció al respecto, por lo que, en atención al Criterio 02/17 emitido por el Instituto Nacional de Transparencia, Acceso a la Información y Protección de Datos Personales que establece lo siguiente:</w:t>
      </w:r>
    </w:p>
    <w:p w14:paraId="19722AF0" w14:textId="4BE5FDE5" w:rsidR="00B033C2" w:rsidRPr="006E412F" w:rsidRDefault="00B033C2">
      <w:pPr>
        <w:spacing w:after="0" w:line="360" w:lineRule="auto"/>
        <w:jc w:val="both"/>
        <w:rPr>
          <w:rFonts w:ascii="Palatino Linotype" w:eastAsia="Palatino Linotype" w:hAnsi="Palatino Linotype" w:cs="Palatino Linotype"/>
          <w:bCs/>
          <w:sz w:val="24"/>
          <w:szCs w:val="24"/>
        </w:rPr>
      </w:pPr>
    </w:p>
    <w:p w14:paraId="7530D38D" w14:textId="77777777" w:rsidR="00B033C2" w:rsidRPr="006E412F" w:rsidRDefault="00B033C2" w:rsidP="00B033C2">
      <w:pPr>
        <w:spacing w:after="0" w:line="360" w:lineRule="auto"/>
        <w:ind w:left="567" w:right="843"/>
        <w:jc w:val="both"/>
        <w:rPr>
          <w:rFonts w:ascii="Palatino Linotype" w:hAnsi="Palatino Linotype" w:cs="Arial"/>
          <w:i/>
          <w:iCs/>
        </w:rPr>
      </w:pPr>
      <w:r w:rsidRPr="006E412F">
        <w:rPr>
          <w:rStyle w:val="normaltextrun"/>
          <w:rFonts w:ascii="Palatino Linotype" w:hAnsi="Palatino Linotype" w:cs="Arial"/>
          <w:b/>
          <w:bCs/>
          <w:i/>
          <w:iCs/>
          <w:shd w:val="clear" w:color="auto" w:fill="FFFFFF"/>
        </w:rPr>
        <w:t xml:space="preserve">Congruencia y exhaustividad. Sus alcances para garantizar el derecho de acceso a la información. </w:t>
      </w:r>
      <w:r w:rsidRPr="006E412F">
        <w:rPr>
          <w:rStyle w:val="normaltextrun"/>
          <w:rFonts w:ascii="Palatino Linotype" w:hAnsi="Palatino Linotype" w:cs="Arial"/>
          <w:i/>
          <w:iCs/>
          <w:shd w:val="clear" w:color="auto" w:fill="FFFFFF"/>
        </w:rPr>
        <w:t>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514A29AF" w14:textId="77777777" w:rsidR="00B033C2" w:rsidRPr="006E412F" w:rsidRDefault="00B033C2">
      <w:pPr>
        <w:spacing w:after="0" w:line="360" w:lineRule="auto"/>
        <w:jc w:val="both"/>
        <w:rPr>
          <w:rFonts w:ascii="Palatino Linotype" w:eastAsia="Palatino Linotype" w:hAnsi="Palatino Linotype" w:cs="Palatino Linotype"/>
          <w:bCs/>
          <w:sz w:val="24"/>
          <w:szCs w:val="24"/>
        </w:rPr>
      </w:pPr>
    </w:p>
    <w:p w14:paraId="117E79B8" w14:textId="4489D076" w:rsidR="007C0925" w:rsidRPr="006E412F" w:rsidRDefault="00B033C2">
      <w:pPr>
        <w:spacing w:after="0" w:line="360" w:lineRule="auto"/>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El Sujeto Obligado, no cumplió con el principio de exhaustividad que señala que el Ente Recurrido debe dar respuesta expresa a cada uno de los puntos solicitados, de tal forma que, se determina </w:t>
      </w:r>
      <w:r w:rsidRPr="006E412F">
        <w:rPr>
          <w:rFonts w:ascii="Palatino Linotype" w:eastAsia="Palatino Linotype" w:hAnsi="Palatino Linotype" w:cs="Palatino Linotype"/>
          <w:b/>
          <w:bCs/>
          <w:sz w:val="24"/>
          <w:szCs w:val="24"/>
        </w:rPr>
        <w:t>ordenar una búsqueda exhaustiva y razonable de la información de este periodo y</w:t>
      </w:r>
      <w:r w:rsidRPr="006E412F">
        <w:rPr>
          <w:rFonts w:ascii="Palatino Linotype" w:eastAsia="Palatino Linotype" w:hAnsi="Palatino Linotype" w:cs="Palatino Linotype"/>
          <w:sz w:val="24"/>
          <w:szCs w:val="24"/>
        </w:rPr>
        <w:t xml:space="preserve"> </w:t>
      </w:r>
      <w:r w:rsidRPr="006E412F">
        <w:rPr>
          <w:rFonts w:ascii="Palatino Linotype" w:eastAsia="Palatino Linotype" w:hAnsi="Palatino Linotype" w:cs="Palatino Linotype"/>
          <w:b/>
          <w:bCs/>
          <w:sz w:val="24"/>
          <w:szCs w:val="24"/>
        </w:rPr>
        <w:t>hacer entrega de los padrones de proveedores, de ser el caso, en versión pública.</w:t>
      </w:r>
      <w:r w:rsidRPr="006E412F">
        <w:rPr>
          <w:rFonts w:ascii="Palatino Linotype" w:eastAsia="Palatino Linotype" w:hAnsi="Palatino Linotype" w:cs="Palatino Linotype"/>
          <w:sz w:val="24"/>
          <w:szCs w:val="24"/>
        </w:rPr>
        <w:t xml:space="preserve"> </w:t>
      </w:r>
    </w:p>
    <w:p w14:paraId="1AA5E9F7" w14:textId="6A0D63B2" w:rsidR="00B033C2" w:rsidRPr="006E412F" w:rsidRDefault="00B033C2">
      <w:pPr>
        <w:spacing w:after="0" w:line="360" w:lineRule="auto"/>
        <w:jc w:val="both"/>
        <w:rPr>
          <w:rFonts w:ascii="Palatino Linotype" w:eastAsia="Palatino Linotype" w:hAnsi="Palatino Linotype" w:cs="Palatino Linotype"/>
          <w:sz w:val="24"/>
          <w:szCs w:val="24"/>
        </w:rPr>
      </w:pPr>
    </w:p>
    <w:p w14:paraId="1EB6A1FF" w14:textId="66E9E90A" w:rsidR="00B033C2" w:rsidRPr="006E412F" w:rsidRDefault="00B033C2" w:rsidP="00B033C2">
      <w:pPr>
        <w:pStyle w:val="Prrafodelista"/>
        <w:numPr>
          <w:ilvl w:val="0"/>
          <w:numId w:val="15"/>
        </w:numPr>
        <w:spacing w:after="0" w:line="360" w:lineRule="auto"/>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b/>
          <w:bCs/>
          <w:sz w:val="24"/>
          <w:szCs w:val="24"/>
        </w:rPr>
        <w:t xml:space="preserve">De los expedientes de licitación pública, adjudicación directa e invitación restringida. </w:t>
      </w:r>
    </w:p>
    <w:p w14:paraId="369E22E3" w14:textId="77777777" w:rsidR="00B033C2" w:rsidRPr="006E412F" w:rsidRDefault="00B033C2" w:rsidP="00B033C2">
      <w:pPr>
        <w:pStyle w:val="Prrafodelista"/>
        <w:spacing w:after="0" w:line="360" w:lineRule="auto"/>
        <w:jc w:val="both"/>
        <w:rPr>
          <w:rFonts w:ascii="Palatino Linotype" w:eastAsia="Palatino Linotype" w:hAnsi="Palatino Linotype" w:cs="Palatino Linotype"/>
          <w:sz w:val="24"/>
          <w:szCs w:val="24"/>
        </w:rPr>
      </w:pPr>
    </w:p>
    <w:p w14:paraId="1BD7CE3A" w14:textId="45B88E25" w:rsidR="00B033C2" w:rsidRPr="006E412F" w:rsidRDefault="00B033C2" w:rsidP="00B033C2">
      <w:pPr>
        <w:spacing w:after="0" w:line="360" w:lineRule="auto"/>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Relativo a los años </w:t>
      </w:r>
      <w:r w:rsidRPr="006E412F">
        <w:rPr>
          <w:rFonts w:ascii="Palatino Linotype" w:eastAsia="Palatino Linotype" w:hAnsi="Palatino Linotype" w:cs="Palatino Linotype"/>
          <w:b/>
          <w:sz w:val="24"/>
          <w:szCs w:val="24"/>
        </w:rPr>
        <w:t>2012, 2013, 2014 y 2015</w:t>
      </w:r>
      <w:r w:rsidRPr="006E412F">
        <w:rPr>
          <w:rFonts w:ascii="Palatino Linotype" w:eastAsia="Palatino Linotype" w:hAnsi="Palatino Linotype" w:cs="Palatino Linotype"/>
          <w:sz w:val="24"/>
          <w:szCs w:val="24"/>
        </w:rPr>
        <w:t xml:space="preserve">, la Dirección de Administración mencionó que no se había encontrado información, no obstante, </w:t>
      </w:r>
      <w:r w:rsidR="00F6338A" w:rsidRPr="006E412F">
        <w:rPr>
          <w:rFonts w:ascii="Palatino Linotype" w:eastAsia="Palatino Linotype" w:hAnsi="Palatino Linotype" w:cs="Palatino Linotype"/>
          <w:sz w:val="24"/>
          <w:szCs w:val="24"/>
        </w:rPr>
        <w:t>tampoco</w:t>
      </w:r>
      <w:r w:rsidRPr="006E412F">
        <w:rPr>
          <w:rFonts w:ascii="Palatino Linotype" w:eastAsia="Palatino Linotype" w:hAnsi="Palatino Linotype" w:cs="Palatino Linotype"/>
          <w:sz w:val="24"/>
          <w:szCs w:val="24"/>
        </w:rPr>
        <w:t xml:space="preserve"> proporcionó elemento alguno que acreditara su dicho</w:t>
      </w:r>
      <w:r w:rsidR="00F32941" w:rsidRPr="006E412F">
        <w:rPr>
          <w:rFonts w:ascii="Palatino Linotype" w:eastAsia="Palatino Linotype" w:hAnsi="Palatino Linotype" w:cs="Palatino Linotype"/>
          <w:sz w:val="24"/>
          <w:szCs w:val="24"/>
        </w:rPr>
        <w:t xml:space="preserve">, </w:t>
      </w:r>
      <w:r w:rsidR="00B8342C" w:rsidRPr="006E412F">
        <w:rPr>
          <w:rFonts w:ascii="Palatino Linotype" w:eastAsia="Palatino Linotype" w:hAnsi="Palatino Linotype" w:cs="Palatino Linotype"/>
          <w:sz w:val="24"/>
          <w:szCs w:val="24"/>
        </w:rPr>
        <w:t>asimismo,</w:t>
      </w:r>
      <w:r w:rsidR="00F32941" w:rsidRPr="006E412F">
        <w:rPr>
          <w:rFonts w:ascii="Palatino Linotype" w:eastAsia="Palatino Linotype" w:hAnsi="Palatino Linotype" w:cs="Palatino Linotype"/>
          <w:sz w:val="24"/>
          <w:szCs w:val="24"/>
        </w:rPr>
        <w:t xml:space="preserve"> de la búsqueda realizada en el Portal de Información de Oficio Mexiquense (</w:t>
      </w:r>
      <w:proofErr w:type="spellStart"/>
      <w:r w:rsidR="00F32941" w:rsidRPr="006E412F">
        <w:rPr>
          <w:rFonts w:ascii="Palatino Linotype" w:eastAsia="Palatino Linotype" w:hAnsi="Palatino Linotype" w:cs="Palatino Linotype"/>
          <w:sz w:val="24"/>
          <w:szCs w:val="24"/>
        </w:rPr>
        <w:t>Ipomex</w:t>
      </w:r>
      <w:proofErr w:type="spellEnd"/>
      <w:r w:rsidR="00F32941" w:rsidRPr="006E412F">
        <w:rPr>
          <w:rFonts w:ascii="Palatino Linotype" w:eastAsia="Palatino Linotype" w:hAnsi="Palatino Linotype" w:cs="Palatino Linotype"/>
          <w:sz w:val="24"/>
          <w:szCs w:val="24"/>
        </w:rPr>
        <w:t xml:space="preserve">) del Sujeto Obligado respecto a este periodo (consultado en </w:t>
      </w:r>
      <w:hyperlink r:id="rId14" w:history="1">
        <w:r w:rsidR="00F32941" w:rsidRPr="006E412F">
          <w:rPr>
            <w:rStyle w:val="Hipervnculo"/>
            <w:rFonts w:ascii="Palatino Linotype" w:eastAsia="Palatino Linotype" w:hAnsi="Palatino Linotype" w:cs="Palatino Linotype"/>
            <w:color w:val="auto"/>
            <w:sz w:val="24"/>
            <w:szCs w:val="24"/>
          </w:rPr>
          <w:t>https://ipomex2.ipomex.org.mx/ipo/portal/coacalco/licitaciones.web</w:t>
        </w:r>
      </w:hyperlink>
      <w:r w:rsidR="00F32941" w:rsidRPr="006E412F">
        <w:rPr>
          <w:rFonts w:ascii="Palatino Linotype" w:eastAsia="Palatino Linotype" w:hAnsi="Palatino Linotype" w:cs="Palatino Linotype"/>
          <w:sz w:val="24"/>
          <w:szCs w:val="24"/>
        </w:rPr>
        <w:t>), no se encontró información publicada, como se advierte a continuación:</w:t>
      </w:r>
    </w:p>
    <w:p w14:paraId="4C8CFE4D" w14:textId="5804B4FA" w:rsidR="00F32941" w:rsidRPr="006E412F" w:rsidRDefault="00F32941" w:rsidP="00B033C2">
      <w:pPr>
        <w:spacing w:after="0" w:line="360" w:lineRule="auto"/>
        <w:jc w:val="both"/>
        <w:rPr>
          <w:rFonts w:ascii="Palatino Linotype" w:eastAsia="Palatino Linotype" w:hAnsi="Palatino Linotype" w:cs="Palatino Linotype"/>
          <w:sz w:val="24"/>
          <w:szCs w:val="24"/>
        </w:rPr>
      </w:pPr>
    </w:p>
    <w:p w14:paraId="479FAEF7" w14:textId="78D35C40" w:rsidR="00F32941" w:rsidRPr="006E412F" w:rsidRDefault="00F32941" w:rsidP="00B033C2">
      <w:pPr>
        <w:spacing w:after="0" w:line="360" w:lineRule="auto"/>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noProof/>
          <w:sz w:val="24"/>
          <w:szCs w:val="24"/>
        </w:rPr>
        <w:drawing>
          <wp:inline distT="0" distB="0" distL="0" distR="0" wp14:anchorId="4416C213" wp14:editId="409A4199">
            <wp:extent cx="5756275" cy="18713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6275" cy="1871345"/>
                    </a:xfrm>
                    <a:prstGeom prst="rect">
                      <a:avLst/>
                    </a:prstGeom>
                  </pic:spPr>
                </pic:pic>
              </a:graphicData>
            </a:graphic>
          </wp:inline>
        </w:drawing>
      </w:r>
    </w:p>
    <w:p w14:paraId="5F870300" w14:textId="35562557" w:rsidR="00F32941" w:rsidRPr="006E412F" w:rsidRDefault="00F32941" w:rsidP="00B033C2">
      <w:pPr>
        <w:spacing w:after="0" w:line="360" w:lineRule="auto"/>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Por lo que, el Sujeto Obligado, deberá realizar una búsqueda exhaustiva y razonable de la información solicitada y de ser el caso, hacer entrega de esta en versión, siendo que, si de la búsqueda efectuada no encuentra registro alguno de la misma, deberá declarar su formal inexistencia. </w:t>
      </w:r>
    </w:p>
    <w:p w14:paraId="042BB552" w14:textId="77777777" w:rsidR="00B033C2" w:rsidRPr="006E412F" w:rsidRDefault="00B033C2">
      <w:pPr>
        <w:spacing w:after="0" w:line="360" w:lineRule="auto"/>
        <w:jc w:val="both"/>
        <w:rPr>
          <w:rFonts w:ascii="Palatino Linotype" w:eastAsia="Palatino Linotype" w:hAnsi="Palatino Linotype" w:cs="Palatino Linotype"/>
          <w:sz w:val="24"/>
          <w:szCs w:val="24"/>
        </w:rPr>
      </w:pPr>
    </w:p>
    <w:p w14:paraId="39966B82" w14:textId="19EEF7CD" w:rsidR="00577EBA" w:rsidRPr="006E412F" w:rsidRDefault="007A63D9">
      <w:pPr>
        <w:spacing w:after="0" w:line="360" w:lineRule="auto"/>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Respecto a la información contenida en los expedientes relacionados con alguna modalidad de contratación de los años </w:t>
      </w:r>
      <w:r w:rsidRPr="006E412F">
        <w:rPr>
          <w:rFonts w:ascii="Palatino Linotype" w:eastAsia="Palatino Linotype" w:hAnsi="Palatino Linotype" w:cs="Palatino Linotype"/>
          <w:b/>
          <w:bCs/>
          <w:sz w:val="24"/>
          <w:szCs w:val="24"/>
        </w:rPr>
        <w:t>2016, 2017 y 2018</w:t>
      </w:r>
      <w:r w:rsidRPr="006E412F">
        <w:rPr>
          <w:rFonts w:ascii="Palatino Linotype" w:eastAsia="Palatino Linotype" w:hAnsi="Palatino Linotype" w:cs="Palatino Linotype"/>
          <w:sz w:val="24"/>
          <w:szCs w:val="24"/>
        </w:rPr>
        <w:t xml:space="preserve">, el oficio DA/EAFC/2728/2019 </w:t>
      </w:r>
      <w:r w:rsidR="00F32941" w:rsidRPr="006E412F">
        <w:rPr>
          <w:rFonts w:ascii="Palatino Linotype" w:eastAsia="Palatino Linotype" w:hAnsi="Palatino Linotype" w:cs="Palatino Linotype"/>
          <w:sz w:val="24"/>
          <w:szCs w:val="24"/>
        </w:rPr>
        <w:t xml:space="preserve">remitido por el Sujeto Obligado en respuesta, </w:t>
      </w:r>
      <w:r w:rsidRPr="006E412F">
        <w:rPr>
          <w:rFonts w:ascii="Palatino Linotype" w:eastAsia="Palatino Linotype" w:hAnsi="Palatino Linotype" w:cs="Palatino Linotype"/>
          <w:sz w:val="24"/>
          <w:szCs w:val="24"/>
        </w:rPr>
        <w:t>precisa que estos se recibieron incompletos, por lo que, debido a que el Sujeto Obligado no refirió con exactitud qué documentos obran en los expedientes</w:t>
      </w:r>
      <w:r w:rsidR="00F32941" w:rsidRPr="006E412F">
        <w:rPr>
          <w:rFonts w:ascii="Palatino Linotype" w:eastAsia="Palatino Linotype" w:hAnsi="Palatino Linotype" w:cs="Palatino Linotype"/>
          <w:sz w:val="24"/>
          <w:szCs w:val="24"/>
        </w:rPr>
        <w:t xml:space="preserve"> con los que cuenta; en </w:t>
      </w:r>
      <w:r w:rsidRPr="006E412F">
        <w:rPr>
          <w:rFonts w:ascii="Palatino Linotype" w:eastAsia="Palatino Linotype" w:hAnsi="Palatino Linotype" w:cs="Palatino Linotype"/>
          <w:sz w:val="24"/>
          <w:szCs w:val="24"/>
        </w:rPr>
        <w:t xml:space="preserve">el caso, de que la información solicitada si se haya recibido, el Ayuntamiento de Coacalco deberá hacer entrega de esta, por el contrario, </w:t>
      </w:r>
      <w:r w:rsidRPr="006E412F">
        <w:rPr>
          <w:rFonts w:ascii="Palatino Linotype" w:eastAsia="Palatino Linotype" w:hAnsi="Palatino Linotype" w:cs="Palatino Linotype"/>
          <w:b/>
          <w:bCs/>
          <w:sz w:val="24"/>
          <w:szCs w:val="24"/>
        </w:rPr>
        <w:t>en caso de que no se halle documentación que dé cuenta de lo solicitado, se deberá declarar formalmente su inexistencia.</w:t>
      </w:r>
      <w:r w:rsidRPr="006E412F">
        <w:rPr>
          <w:rFonts w:ascii="Palatino Linotype" w:eastAsia="Palatino Linotype" w:hAnsi="Palatino Linotype" w:cs="Palatino Linotype"/>
          <w:sz w:val="24"/>
          <w:szCs w:val="24"/>
        </w:rPr>
        <w:t xml:space="preserve"> </w:t>
      </w:r>
    </w:p>
    <w:p w14:paraId="729ECC09" w14:textId="7FA524C6" w:rsidR="00577EBA" w:rsidRPr="006E412F" w:rsidRDefault="00577EBA">
      <w:pPr>
        <w:spacing w:after="0" w:line="360" w:lineRule="auto"/>
        <w:jc w:val="both"/>
        <w:rPr>
          <w:rFonts w:ascii="Palatino Linotype" w:eastAsia="Palatino Linotype" w:hAnsi="Palatino Linotype" w:cs="Palatino Linotype"/>
          <w:sz w:val="24"/>
          <w:szCs w:val="24"/>
        </w:rPr>
      </w:pPr>
    </w:p>
    <w:p w14:paraId="7D80ADB2" w14:textId="65038D40" w:rsidR="00F32941" w:rsidRPr="006E412F" w:rsidRDefault="00F32941">
      <w:pPr>
        <w:spacing w:after="0" w:line="360" w:lineRule="auto"/>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Aunado a lo anterior, es de referir que de la búsqueda realizada en el Portal de Información de Oficio Mexiquense del Sujeto Obligado se obtuvo lo siguiente: </w:t>
      </w:r>
    </w:p>
    <w:p w14:paraId="544ECD74" w14:textId="6E2CC8FC" w:rsidR="00F32941" w:rsidRPr="006E412F" w:rsidRDefault="00F32941">
      <w:pPr>
        <w:spacing w:after="0" w:line="360" w:lineRule="auto"/>
        <w:jc w:val="both"/>
        <w:rPr>
          <w:rFonts w:ascii="Palatino Linotype" w:eastAsia="Palatino Linotype" w:hAnsi="Palatino Linotype" w:cs="Palatino Linotype"/>
          <w:sz w:val="24"/>
          <w:szCs w:val="24"/>
        </w:rPr>
      </w:pPr>
    </w:p>
    <w:p w14:paraId="24682E95" w14:textId="604F8540" w:rsidR="00431767" w:rsidRPr="006E412F" w:rsidRDefault="00431767" w:rsidP="00431767">
      <w:pPr>
        <w:pStyle w:val="Prrafodelista"/>
        <w:numPr>
          <w:ilvl w:val="0"/>
          <w:numId w:val="15"/>
        </w:numPr>
        <w:spacing w:after="0" w:line="360" w:lineRule="auto"/>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Del año 2016, no se encontraron registros de procesos de licitación, adjudicación o invitación restringida. </w:t>
      </w:r>
    </w:p>
    <w:p w14:paraId="37964BC1" w14:textId="7526ECFA" w:rsidR="00431767" w:rsidRPr="006E412F" w:rsidRDefault="00431767" w:rsidP="00431767">
      <w:pPr>
        <w:pStyle w:val="Prrafodelista"/>
        <w:numPr>
          <w:ilvl w:val="0"/>
          <w:numId w:val="15"/>
        </w:numPr>
        <w:spacing w:after="0" w:line="360" w:lineRule="auto"/>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Del año 2017,</w:t>
      </w:r>
      <w:r w:rsidR="00F32941" w:rsidRPr="006E412F">
        <w:rPr>
          <w:rFonts w:ascii="Palatino Linotype" w:eastAsia="Palatino Linotype" w:hAnsi="Palatino Linotype" w:cs="Palatino Linotype"/>
          <w:sz w:val="24"/>
          <w:szCs w:val="24"/>
        </w:rPr>
        <w:t xml:space="preserve"> se encontraron registros de </w:t>
      </w:r>
      <w:r w:rsidRPr="006E412F">
        <w:rPr>
          <w:rFonts w:ascii="Palatino Linotype" w:eastAsia="Palatino Linotype" w:hAnsi="Palatino Linotype" w:cs="Palatino Linotype"/>
          <w:sz w:val="24"/>
          <w:szCs w:val="24"/>
        </w:rPr>
        <w:t xml:space="preserve">procesos de licitación y contratación, como se advierte a continuación: </w:t>
      </w:r>
    </w:p>
    <w:p w14:paraId="573363E2" w14:textId="5AFD34B1" w:rsidR="00431767" w:rsidRPr="006E412F" w:rsidRDefault="00431767" w:rsidP="00431767">
      <w:pPr>
        <w:pStyle w:val="Prrafodelista"/>
        <w:spacing w:after="0" w:line="360" w:lineRule="auto"/>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noProof/>
          <w:sz w:val="24"/>
          <w:szCs w:val="24"/>
        </w:rPr>
        <w:drawing>
          <wp:inline distT="0" distB="0" distL="0" distR="0" wp14:anchorId="3EDB6376" wp14:editId="19F8A510">
            <wp:extent cx="4286848" cy="2219635"/>
            <wp:effectExtent l="0" t="0" r="0" b="9525"/>
            <wp:docPr id="2"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pic:cNvPicPr/>
                  </pic:nvPicPr>
                  <pic:blipFill>
                    <a:blip r:embed="rId16"/>
                    <a:stretch>
                      <a:fillRect/>
                    </a:stretch>
                  </pic:blipFill>
                  <pic:spPr>
                    <a:xfrm>
                      <a:off x="0" y="0"/>
                      <a:ext cx="4286848" cy="2219635"/>
                    </a:xfrm>
                    <a:prstGeom prst="rect">
                      <a:avLst/>
                    </a:prstGeom>
                  </pic:spPr>
                </pic:pic>
              </a:graphicData>
            </a:graphic>
          </wp:inline>
        </w:drawing>
      </w:r>
    </w:p>
    <w:p w14:paraId="58E5A62B" w14:textId="6FBE7B2C" w:rsidR="00431767" w:rsidRPr="006E412F" w:rsidRDefault="00431767" w:rsidP="00431767">
      <w:pPr>
        <w:pStyle w:val="Prrafodelista"/>
        <w:numPr>
          <w:ilvl w:val="0"/>
          <w:numId w:val="15"/>
        </w:numPr>
        <w:spacing w:after="0" w:line="360" w:lineRule="auto"/>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Del año 2018, se encontraron registros de procesos de licitación y contratación, como se advierte a continuación:</w:t>
      </w:r>
    </w:p>
    <w:p w14:paraId="79411B3A" w14:textId="12BE299D" w:rsidR="00431767" w:rsidRPr="006E412F" w:rsidRDefault="00431767" w:rsidP="00431767">
      <w:pPr>
        <w:pStyle w:val="Prrafodelista"/>
        <w:spacing w:after="0" w:line="360" w:lineRule="auto"/>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noProof/>
          <w:sz w:val="24"/>
          <w:szCs w:val="24"/>
        </w:rPr>
        <w:drawing>
          <wp:inline distT="0" distB="0" distL="0" distR="0" wp14:anchorId="244F2DF9" wp14:editId="75D8A84A">
            <wp:extent cx="5106113" cy="2743583"/>
            <wp:effectExtent l="0" t="0" r="0" b="0"/>
            <wp:docPr id="3"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abla&#10;&#10;Descripción generada automáticamente"/>
                    <pic:cNvPicPr/>
                  </pic:nvPicPr>
                  <pic:blipFill>
                    <a:blip r:embed="rId17"/>
                    <a:stretch>
                      <a:fillRect/>
                    </a:stretch>
                  </pic:blipFill>
                  <pic:spPr>
                    <a:xfrm>
                      <a:off x="0" y="0"/>
                      <a:ext cx="5106113" cy="2743583"/>
                    </a:xfrm>
                    <a:prstGeom prst="rect">
                      <a:avLst/>
                    </a:prstGeom>
                  </pic:spPr>
                </pic:pic>
              </a:graphicData>
            </a:graphic>
          </wp:inline>
        </w:drawing>
      </w:r>
    </w:p>
    <w:p w14:paraId="2C2DBC17" w14:textId="7195829D" w:rsidR="00F32941" w:rsidRPr="006E412F" w:rsidRDefault="00F32941">
      <w:pPr>
        <w:spacing w:after="0" w:line="360" w:lineRule="auto"/>
        <w:jc w:val="both"/>
        <w:rPr>
          <w:rFonts w:ascii="Palatino Linotype" w:eastAsia="Palatino Linotype" w:hAnsi="Palatino Linotype" w:cs="Palatino Linotype"/>
          <w:sz w:val="24"/>
          <w:szCs w:val="24"/>
        </w:rPr>
      </w:pPr>
    </w:p>
    <w:p w14:paraId="0FC0AD16" w14:textId="1A6E02C2" w:rsidR="00F32941" w:rsidRPr="006E412F" w:rsidRDefault="00431767">
      <w:pPr>
        <w:spacing w:after="0" w:line="360" w:lineRule="auto"/>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De tal forma, que deberá hacer entrega de la información solicitada y que se encuentre contenida en los expedientes de los procedimientos que han sido llevados a cabo por el Sujeto Obligado, es de enfatizar que, tal como se señaló anteriormente, la Dirección de Administración refirió que los expedientes que se le habían entregado., estaban incompletos, por lo que, al desconocer los documentos con los que cuenta, para el caso de que </w:t>
      </w:r>
      <w:r w:rsidR="00B8342C" w:rsidRPr="006E412F">
        <w:rPr>
          <w:rFonts w:ascii="Palatino Linotype" w:eastAsia="Palatino Linotype" w:hAnsi="Palatino Linotype" w:cs="Palatino Linotype"/>
          <w:sz w:val="24"/>
          <w:szCs w:val="24"/>
        </w:rPr>
        <w:t>los documentos que den cuenta de lo solicitado</w:t>
      </w:r>
      <w:r w:rsidRPr="006E412F">
        <w:rPr>
          <w:rFonts w:ascii="Palatino Linotype" w:eastAsia="Palatino Linotype" w:hAnsi="Palatino Linotype" w:cs="Palatino Linotype"/>
          <w:sz w:val="24"/>
          <w:szCs w:val="24"/>
        </w:rPr>
        <w:t xml:space="preserve">, no obre en dichos expedientes, </w:t>
      </w:r>
      <w:r w:rsidRPr="006E412F">
        <w:rPr>
          <w:rFonts w:ascii="Palatino Linotype" w:eastAsia="Palatino Linotype" w:hAnsi="Palatino Linotype" w:cs="Palatino Linotype"/>
          <w:b/>
          <w:bCs/>
          <w:sz w:val="24"/>
          <w:szCs w:val="24"/>
        </w:rPr>
        <w:t>deberá emitir su acuerdo de inexistencia.</w:t>
      </w:r>
      <w:r w:rsidRPr="006E412F">
        <w:rPr>
          <w:rFonts w:ascii="Palatino Linotype" w:eastAsia="Palatino Linotype" w:hAnsi="Palatino Linotype" w:cs="Palatino Linotype"/>
          <w:sz w:val="24"/>
          <w:szCs w:val="24"/>
        </w:rPr>
        <w:t xml:space="preserve"> </w:t>
      </w:r>
    </w:p>
    <w:p w14:paraId="54D0AD9F" w14:textId="77777777" w:rsidR="00431767" w:rsidRPr="006E412F" w:rsidRDefault="00431767">
      <w:pPr>
        <w:spacing w:after="0" w:line="360" w:lineRule="auto"/>
        <w:jc w:val="both"/>
        <w:rPr>
          <w:rFonts w:ascii="Palatino Linotype" w:eastAsia="Palatino Linotype" w:hAnsi="Palatino Linotype" w:cs="Palatino Linotype"/>
          <w:sz w:val="24"/>
          <w:szCs w:val="24"/>
        </w:rPr>
      </w:pPr>
    </w:p>
    <w:p w14:paraId="51065D32" w14:textId="5875E98B" w:rsidR="00577EBA" w:rsidRPr="006E412F" w:rsidRDefault="007A63D9">
      <w:pPr>
        <w:spacing w:after="0" w:line="360" w:lineRule="auto"/>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Respecto a</w:t>
      </w:r>
      <w:r w:rsidR="00431767" w:rsidRPr="006E412F">
        <w:rPr>
          <w:rFonts w:ascii="Palatino Linotype" w:eastAsia="Palatino Linotype" w:hAnsi="Palatino Linotype" w:cs="Palatino Linotype"/>
          <w:sz w:val="24"/>
          <w:szCs w:val="24"/>
        </w:rPr>
        <w:t xml:space="preserve"> la información contenida en los expedientes de procedimientos bajo cualquier modalidad de los años </w:t>
      </w:r>
      <w:r w:rsidR="00431767" w:rsidRPr="006E412F">
        <w:rPr>
          <w:rFonts w:ascii="Palatino Linotype" w:eastAsia="Palatino Linotype" w:hAnsi="Palatino Linotype" w:cs="Palatino Linotype"/>
          <w:b/>
          <w:bCs/>
          <w:sz w:val="24"/>
          <w:szCs w:val="24"/>
        </w:rPr>
        <w:t>2019, 2020 y 2021</w:t>
      </w:r>
      <w:r w:rsidRPr="006E412F">
        <w:rPr>
          <w:rFonts w:ascii="Palatino Linotype" w:eastAsia="Palatino Linotype" w:hAnsi="Palatino Linotype" w:cs="Palatino Linotype"/>
          <w:sz w:val="24"/>
          <w:szCs w:val="24"/>
        </w:rPr>
        <w:t xml:space="preserve">, como se precisó, el Sujeto Obligado mencionó que existen diversos contratos que derivan de procedimientos con vicios de irregularidades al momento de la integración, por lo que, se están llevando los procedimientos administrativos correspondientes a efecto de integrar debidamente los expedientes y en su momento procesal resolver lo que derecho corresponda, por lo que se está en imposibilidad de proporcionar la información. </w:t>
      </w:r>
    </w:p>
    <w:p w14:paraId="7C321E9A" w14:textId="77777777" w:rsidR="00577EBA" w:rsidRPr="006E412F" w:rsidRDefault="00577EBA">
      <w:pPr>
        <w:spacing w:after="0" w:line="360" w:lineRule="auto"/>
        <w:jc w:val="both"/>
        <w:rPr>
          <w:rFonts w:ascii="Palatino Linotype" w:eastAsia="Palatino Linotype" w:hAnsi="Palatino Linotype" w:cs="Palatino Linotype"/>
          <w:sz w:val="24"/>
          <w:szCs w:val="24"/>
        </w:rPr>
      </w:pPr>
    </w:p>
    <w:p w14:paraId="29CCF92D" w14:textId="77777777" w:rsidR="00577EBA" w:rsidRPr="006E412F" w:rsidRDefault="007A63D9">
      <w:pPr>
        <w:spacing w:after="0" w:line="360" w:lineRule="auto"/>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En ese sentido, si bien, aquella información que se encuentre relacionada con procedimientos administrativos en trámite, puede actualizar alguna causal de clasificación en términos del artículo 140 de la Ley en la materia, también lo es que, el Sujeto Obligado no proporcionó mayores elementos que sustentaran las razones o motivos por las cuales la información solicitada, pudiera violar los principios rectores del proceso y de los procedimientos administrativos. </w:t>
      </w:r>
    </w:p>
    <w:p w14:paraId="377FF74F" w14:textId="77777777" w:rsidR="00577EBA" w:rsidRPr="006E412F" w:rsidRDefault="00577EBA">
      <w:pPr>
        <w:spacing w:after="0" w:line="360" w:lineRule="auto"/>
        <w:jc w:val="both"/>
        <w:rPr>
          <w:rFonts w:ascii="Palatino Linotype" w:eastAsia="Palatino Linotype" w:hAnsi="Palatino Linotype" w:cs="Palatino Linotype"/>
          <w:sz w:val="24"/>
          <w:szCs w:val="24"/>
        </w:rPr>
      </w:pPr>
    </w:p>
    <w:p w14:paraId="719A8F7C" w14:textId="3E8D5057" w:rsidR="00577EBA" w:rsidRPr="006E412F" w:rsidRDefault="007A63D9">
      <w:pPr>
        <w:spacing w:after="0" w:line="360" w:lineRule="auto"/>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Asimismo, cabe señalar que, como se ha mencionado, los procedimientos de licitación pública, adjudicación directa e invitación restringida, y con ello, los documentos que dan cuenta de estos, es información que forma parte de una obligación de transparencia común establecida en el artículo 92 de la Ley en la materia, por lo que, es de naturaleza pública y por ende, debe ser entregada a los Particulares. </w:t>
      </w:r>
    </w:p>
    <w:p w14:paraId="096C7AA3" w14:textId="77777777" w:rsidR="00B8342C" w:rsidRPr="006E412F" w:rsidRDefault="00B8342C">
      <w:pPr>
        <w:spacing w:after="0" w:line="360" w:lineRule="auto"/>
        <w:jc w:val="both"/>
        <w:rPr>
          <w:rFonts w:ascii="Palatino Linotype" w:eastAsia="Palatino Linotype" w:hAnsi="Palatino Linotype" w:cs="Palatino Linotype"/>
          <w:sz w:val="24"/>
          <w:szCs w:val="24"/>
        </w:rPr>
      </w:pPr>
    </w:p>
    <w:p w14:paraId="517F8254" w14:textId="77777777" w:rsidR="00577EBA" w:rsidRPr="006E412F" w:rsidRDefault="007A63D9">
      <w:pPr>
        <w:spacing w:after="0" w:line="360" w:lineRule="auto"/>
        <w:jc w:val="both"/>
        <w:rPr>
          <w:rFonts w:ascii="Palatino Linotype" w:eastAsia="Palatino Linotype" w:hAnsi="Palatino Linotype" w:cs="Palatino Linotype"/>
          <w:b/>
          <w:sz w:val="24"/>
          <w:szCs w:val="24"/>
        </w:rPr>
      </w:pPr>
      <w:r w:rsidRPr="006E412F">
        <w:rPr>
          <w:rFonts w:ascii="Palatino Linotype" w:eastAsia="Palatino Linotype" w:hAnsi="Palatino Linotype" w:cs="Palatino Linotype"/>
          <w:b/>
          <w:sz w:val="24"/>
          <w:szCs w:val="24"/>
        </w:rPr>
        <w:t>Es así, que al tratarse de información pública y no contar con elementos suficientes para justificar la negativa de entrega de la información, se colige que no es susceptible de ser clasificada y se ordena su entrega, de ser el caso, en versión pública, de los años 2019, 2020 y 2021.</w:t>
      </w:r>
    </w:p>
    <w:p w14:paraId="23B7BB24" w14:textId="77777777" w:rsidR="00577EBA" w:rsidRPr="006E412F" w:rsidRDefault="00577EBA">
      <w:pPr>
        <w:spacing w:after="0" w:line="360" w:lineRule="auto"/>
        <w:jc w:val="both"/>
        <w:rPr>
          <w:rFonts w:ascii="Palatino Linotype" w:eastAsia="Palatino Linotype" w:hAnsi="Palatino Linotype" w:cs="Palatino Linotype"/>
          <w:sz w:val="24"/>
          <w:szCs w:val="24"/>
        </w:rPr>
      </w:pPr>
    </w:p>
    <w:p w14:paraId="5A9319C3" w14:textId="2C00842C" w:rsidR="00577EBA" w:rsidRPr="006E412F" w:rsidRDefault="007A63D9">
      <w:pPr>
        <w:spacing w:after="0" w:line="360" w:lineRule="auto"/>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En cuanto hace </w:t>
      </w:r>
      <w:r w:rsidR="00431767" w:rsidRPr="006E412F">
        <w:rPr>
          <w:rFonts w:ascii="Palatino Linotype" w:eastAsia="Palatino Linotype" w:hAnsi="Palatino Linotype" w:cs="Palatino Linotype"/>
          <w:sz w:val="24"/>
          <w:szCs w:val="24"/>
        </w:rPr>
        <w:t xml:space="preserve">a </w:t>
      </w:r>
      <w:r w:rsidRPr="006E412F">
        <w:rPr>
          <w:rFonts w:ascii="Palatino Linotype" w:eastAsia="Palatino Linotype" w:hAnsi="Palatino Linotype" w:cs="Palatino Linotype"/>
          <w:sz w:val="24"/>
          <w:szCs w:val="24"/>
        </w:rPr>
        <w:t xml:space="preserve">la información del </w:t>
      </w:r>
      <w:r w:rsidRPr="006E412F">
        <w:rPr>
          <w:rFonts w:ascii="Palatino Linotype" w:eastAsia="Palatino Linotype" w:hAnsi="Palatino Linotype" w:cs="Palatino Linotype"/>
          <w:b/>
          <w:sz w:val="24"/>
          <w:szCs w:val="24"/>
        </w:rPr>
        <w:t>uno de enero al veintinueve de abril de 2022</w:t>
      </w:r>
      <w:r w:rsidRPr="006E412F">
        <w:rPr>
          <w:rFonts w:ascii="Palatino Linotype" w:eastAsia="Palatino Linotype" w:hAnsi="Palatino Linotype" w:cs="Palatino Linotype"/>
          <w:sz w:val="24"/>
          <w:szCs w:val="24"/>
        </w:rPr>
        <w:t xml:space="preserve">, en respuesta el Sujeto Obligado precisó que se han suscrito ciento setenta contratos para la adquisición de diversos bienes y servicios, sin embargo, mediante informe justificado, este mencionó que la información sería puesta a disposición del Particular mediante consulta directa, ya que la información se encuentra contenida en ochenta cajas, además de que las capacidades humanas y materiales se encuentran limitadas. </w:t>
      </w:r>
    </w:p>
    <w:p w14:paraId="585024D5" w14:textId="77777777" w:rsidR="00577EBA" w:rsidRPr="006E412F" w:rsidRDefault="00577EBA">
      <w:pPr>
        <w:spacing w:after="0" w:line="360" w:lineRule="auto"/>
        <w:jc w:val="both"/>
        <w:rPr>
          <w:rFonts w:ascii="Palatino Linotype" w:eastAsia="Palatino Linotype" w:hAnsi="Palatino Linotype" w:cs="Palatino Linotype"/>
          <w:sz w:val="24"/>
          <w:szCs w:val="24"/>
        </w:rPr>
      </w:pPr>
    </w:p>
    <w:p w14:paraId="15A1D4CD" w14:textId="77777777" w:rsidR="00577EBA" w:rsidRPr="006E412F" w:rsidRDefault="007A63D9">
      <w:pPr>
        <w:spacing w:after="0" w:line="360" w:lineRule="auto"/>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Lo anterior, fue sostenido por el Sujeto Obligado también en el desahogo del requerimiento de información, en el cual señaló que, la información sobrepasa las capacidades técnicas, administrativas y humanas, toda vez que esta no se encontraba digitalizada, por lo que, resultaba innecesario llevar un reporte de incidencias ante la Dirección General de Informática de este Instituto, así como que, esta constaba aproximadamente de setecientas a mil fojas y esto indubitablemente sobrepasaba la capacidad técnica y administrativa de la Dirección de Recursos Materiales. </w:t>
      </w:r>
    </w:p>
    <w:p w14:paraId="7C6D72A4" w14:textId="77777777" w:rsidR="00577EBA" w:rsidRPr="006E412F" w:rsidRDefault="00577EBA">
      <w:pPr>
        <w:spacing w:after="0" w:line="360" w:lineRule="auto"/>
        <w:jc w:val="both"/>
        <w:rPr>
          <w:rFonts w:ascii="Palatino Linotype" w:eastAsia="Palatino Linotype" w:hAnsi="Palatino Linotype" w:cs="Palatino Linotype"/>
          <w:sz w:val="24"/>
          <w:szCs w:val="24"/>
        </w:rPr>
      </w:pPr>
    </w:p>
    <w:p w14:paraId="0DD40A4C" w14:textId="77777777" w:rsidR="00577EBA" w:rsidRPr="006E412F" w:rsidRDefault="007A63D9">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De lo anterior, es de recordar que el Recurrente al momento de presentar la solicitud de información que dio origen al Recurso de Revisión que nos ocupa, eligió como modalidad de entrega </w:t>
      </w:r>
      <w:r w:rsidRPr="006E412F">
        <w:rPr>
          <w:rFonts w:ascii="Palatino Linotype" w:eastAsia="Palatino Linotype" w:hAnsi="Palatino Linotype" w:cs="Palatino Linotype"/>
          <w:i/>
          <w:sz w:val="24"/>
          <w:szCs w:val="24"/>
        </w:rPr>
        <w:t>“Sistema de Acceso a la Información Pública Mexiquense”</w:t>
      </w:r>
      <w:r w:rsidRPr="006E412F">
        <w:rPr>
          <w:rFonts w:ascii="Palatino Linotype" w:eastAsia="Palatino Linotype" w:hAnsi="Palatino Linotype" w:cs="Palatino Linotype"/>
          <w:sz w:val="24"/>
          <w:szCs w:val="24"/>
        </w:rPr>
        <w:t>, tal como se aprecia a continuación:</w:t>
      </w:r>
    </w:p>
    <w:p w14:paraId="1A9BBDE2" w14:textId="77777777" w:rsidR="00577EBA" w:rsidRPr="006E412F" w:rsidRDefault="007A63D9">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 </w:t>
      </w:r>
    </w:p>
    <w:p w14:paraId="63D04A63" w14:textId="77777777" w:rsidR="00577EBA" w:rsidRPr="006E412F" w:rsidRDefault="007A63D9">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noProof/>
          <w:sz w:val="24"/>
          <w:szCs w:val="24"/>
        </w:rPr>
        <w:drawing>
          <wp:inline distT="0" distB="0" distL="0" distR="0" wp14:anchorId="2D3A3225" wp14:editId="2CA2816C">
            <wp:extent cx="5756275" cy="2214245"/>
            <wp:effectExtent l="0" t="0" r="0" b="0"/>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756275" cy="2214245"/>
                    </a:xfrm>
                    <a:prstGeom prst="rect">
                      <a:avLst/>
                    </a:prstGeom>
                    <a:ln/>
                  </pic:spPr>
                </pic:pic>
              </a:graphicData>
            </a:graphic>
          </wp:inline>
        </w:drawing>
      </w:r>
      <w:r w:rsidRPr="006E412F">
        <w:rPr>
          <w:noProof/>
        </w:rPr>
        <mc:AlternateContent>
          <mc:Choice Requires="wps">
            <w:drawing>
              <wp:anchor distT="0" distB="0" distL="114300" distR="114300" simplePos="0" relativeHeight="251660288" behindDoc="0" locked="0" layoutInCell="1" hidden="0" allowOverlap="1" wp14:anchorId="714BD241" wp14:editId="04CDEAC9">
                <wp:simplePos x="0" y="0"/>
                <wp:positionH relativeFrom="column">
                  <wp:posOffset>-12699</wp:posOffset>
                </wp:positionH>
                <wp:positionV relativeFrom="paragraph">
                  <wp:posOffset>1536700</wp:posOffset>
                </wp:positionV>
                <wp:extent cx="5762625" cy="666750"/>
                <wp:effectExtent l="0" t="0" r="0" b="0"/>
                <wp:wrapNone/>
                <wp:docPr id="28" name="Rectángulo 28"/>
                <wp:cNvGraphicFramePr/>
                <a:graphic xmlns:a="http://schemas.openxmlformats.org/drawingml/2006/main">
                  <a:graphicData uri="http://schemas.microsoft.com/office/word/2010/wordprocessingShape">
                    <wps:wsp>
                      <wps:cNvSpPr/>
                      <wps:spPr>
                        <a:xfrm>
                          <a:off x="2483738" y="3465675"/>
                          <a:ext cx="5724525" cy="628650"/>
                        </a:xfrm>
                        <a:prstGeom prst="rect">
                          <a:avLst/>
                        </a:prstGeom>
                        <a:noFill/>
                        <a:ln w="38100" cap="flat" cmpd="sng">
                          <a:solidFill>
                            <a:srgbClr val="FF0000"/>
                          </a:solidFill>
                          <a:prstDash val="solid"/>
                          <a:miter lim="800000"/>
                          <a:headEnd type="none" w="sm" len="sm"/>
                          <a:tailEnd type="none" w="sm" len="sm"/>
                        </a:ln>
                      </wps:spPr>
                      <wps:txbx>
                        <w:txbxContent>
                          <w:p w14:paraId="2CF6DC15" w14:textId="77777777" w:rsidR="0008464B" w:rsidRDefault="0008464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14BD241" id="Rectángulo 28" o:spid="_x0000_s1028" style="position:absolute;left:0;text-align:left;margin-left:-1pt;margin-top:121pt;width:453.75pt;height:5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" filled="f" strokecolor="red" strokeweight="3pt">
                <v:stroke startarrowwidth="narrow" startarrowlength="short" endarrowwidth="narrow" endarrowlength="short"/>
                <v:textbox inset="2.53958mm,2.53958mm,2.53958mm,2.53958mm">
                  <w:txbxContent>
                    <w:p w14:paraId="2CF6DC15" w14:textId="77777777" w:rsidR="0008464B" w:rsidRDefault="0008464B">
                      <w:pPr>
                        <w:spacing w:after="0" w:line="240" w:lineRule="auto"/>
                        <w:textDirection w:val="btLr"/>
                      </w:pPr>
                    </w:p>
                  </w:txbxContent>
                </v:textbox>
              </v:rect>
            </w:pict>
          </mc:Fallback>
        </mc:AlternateContent>
      </w:r>
    </w:p>
    <w:p w14:paraId="48C29626"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6C071601"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De tal forma, resulta necesario traer a colación que el artículo 155, fracción V de la Ley de Transparencia y Acceso a la Información Pública del Estado de México y Municipios precisa que, para presentar una solicitud de información, el particular podrá señalar la modalidad en la que prefiere se otorgue el acceso a esta, tal como se observa a la literalidad:</w:t>
      </w:r>
    </w:p>
    <w:p w14:paraId="66E41B46"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57F73075" w14:textId="77777777" w:rsidR="00577EBA" w:rsidRPr="006E412F" w:rsidRDefault="007A63D9" w:rsidP="00193440">
      <w:pPr>
        <w:spacing w:after="0" w:line="276" w:lineRule="auto"/>
        <w:ind w:left="567" w:right="567"/>
        <w:jc w:val="both"/>
        <w:rPr>
          <w:rFonts w:ascii="Palatino Linotype" w:eastAsia="Palatino Linotype" w:hAnsi="Palatino Linotype" w:cs="Palatino Linotype"/>
          <w:i/>
        </w:rPr>
      </w:pPr>
      <w:r w:rsidRPr="006E412F">
        <w:rPr>
          <w:rFonts w:ascii="Palatino Linotype" w:eastAsia="Palatino Linotype" w:hAnsi="Palatino Linotype" w:cs="Palatino Linotype"/>
          <w:b/>
          <w:i/>
        </w:rPr>
        <w:t>Artículo 155.</w:t>
      </w:r>
      <w:r w:rsidRPr="006E412F">
        <w:rPr>
          <w:rFonts w:ascii="Palatino Linotype" w:eastAsia="Palatino Linotype" w:hAnsi="Palatino Linotype" w:cs="Palatino Linotype"/>
          <w:i/>
        </w:rPr>
        <w:t xml:space="preserve"> Para presentar una solicitud por escrito, no se podrán exigir mayores requisitos que los siguientes:</w:t>
      </w:r>
    </w:p>
    <w:p w14:paraId="410AE526" w14:textId="77777777" w:rsidR="00577EBA" w:rsidRPr="006E412F" w:rsidRDefault="007A63D9" w:rsidP="00193440">
      <w:pPr>
        <w:spacing w:after="0" w:line="276" w:lineRule="auto"/>
        <w:ind w:left="567" w:right="567"/>
        <w:jc w:val="both"/>
        <w:rPr>
          <w:rFonts w:ascii="Palatino Linotype" w:eastAsia="Palatino Linotype" w:hAnsi="Palatino Linotype" w:cs="Palatino Linotype"/>
          <w:i/>
        </w:rPr>
      </w:pPr>
      <w:r w:rsidRPr="006E412F">
        <w:rPr>
          <w:rFonts w:ascii="Palatino Linotype" w:eastAsia="Palatino Linotype" w:hAnsi="Palatino Linotype" w:cs="Palatino Linotype"/>
          <w:i/>
        </w:rPr>
        <w:t>…</w:t>
      </w:r>
    </w:p>
    <w:p w14:paraId="5A05CB2E" w14:textId="77777777" w:rsidR="00577EBA" w:rsidRPr="006E412F" w:rsidRDefault="007A63D9" w:rsidP="00193440">
      <w:pPr>
        <w:spacing w:after="0" w:line="276" w:lineRule="auto"/>
        <w:ind w:left="567" w:right="567"/>
        <w:jc w:val="both"/>
        <w:rPr>
          <w:rFonts w:ascii="Palatino Linotype" w:eastAsia="Palatino Linotype" w:hAnsi="Palatino Linotype" w:cs="Palatino Linotype"/>
          <w:i/>
        </w:rPr>
      </w:pPr>
      <w:r w:rsidRPr="006E412F">
        <w:rPr>
          <w:rFonts w:ascii="Palatino Linotype" w:eastAsia="Palatino Linotype" w:hAnsi="Palatino Linotype" w:cs="Palatino Linotype"/>
          <w:i/>
        </w:rPr>
        <w:t>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2B507E87" w14:textId="77777777" w:rsidR="00577EBA" w:rsidRPr="006E412F" w:rsidRDefault="007A63D9">
      <w:pPr>
        <w:spacing w:after="0" w:line="360" w:lineRule="auto"/>
        <w:ind w:left="567" w:right="567"/>
        <w:jc w:val="both"/>
        <w:rPr>
          <w:rFonts w:ascii="Palatino Linotype" w:eastAsia="Palatino Linotype" w:hAnsi="Palatino Linotype" w:cs="Palatino Linotype"/>
          <w:i/>
        </w:rPr>
      </w:pPr>
      <w:r w:rsidRPr="006E412F">
        <w:rPr>
          <w:rFonts w:ascii="Palatino Linotype" w:eastAsia="Palatino Linotype" w:hAnsi="Palatino Linotype" w:cs="Palatino Linotype"/>
          <w:i/>
        </w:rPr>
        <w:t>…</w:t>
      </w:r>
    </w:p>
    <w:p w14:paraId="4A12BA37" w14:textId="77777777" w:rsidR="00577EBA" w:rsidRPr="006E412F" w:rsidRDefault="00577EBA">
      <w:pPr>
        <w:spacing w:after="0" w:line="360" w:lineRule="auto"/>
        <w:ind w:left="567" w:right="567"/>
        <w:jc w:val="both"/>
        <w:rPr>
          <w:rFonts w:ascii="Palatino Linotype" w:eastAsia="Palatino Linotype" w:hAnsi="Palatino Linotype" w:cs="Palatino Linotype"/>
          <w:i/>
        </w:rPr>
      </w:pPr>
    </w:p>
    <w:p w14:paraId="4B7E9A29" w14:textId="77777777" w:rsidR="00577EBA" w:rsidRPr="006E412F" w:rsidRDefault="007A63D9">
      <w:pPr>
        <w:spacing w:after="0" w:line="360" w:lineRule="auto"/>
        <w:ind w:right="-28"/>
        <w:jc w:val="both"/>
        <w:rPr>
          <w:rFonts w:ascii="Palatino Linotype" w:eastAsia="Palatino Linotype" w:hAnsi="Palatino Linotype" w:cs="Palatino Linotype"/>
          <w:b/>
          <w:sz w:val="24"/>
          <w:szCs w:val="24"/>
        </w:rPr>
      </w:pPr>
      <w:r w:rsidRPr="006E412F">
        <w:rPr>
          <w:rFonts w:ascii="Palatino Linotype" w:eastAsia="Palatino Linotype" w:hAnsi="Palatino Linotype" w:cs="Palatino Linotype"/>
          <w:sz w:val="24"/>
          <w:szCs w:val="24"/>
        </w:rPr>
        <w:t>El artículo 158, dispone que, de manera excepcional, cuando de manera fundada y motivada lo determine el Sujeto Obligado, 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52ECE9FD"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65D9799B"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En el mismo orden de ideas, el artículo 164 de la Ley en la materia dispone que el acceso, se dará en la modalidad de entrega y, en su caso, de envío elegidos por el solicitante, de tal modo que, para el caso que no pueda entregarse o enviarse en la modalidad elegida, el sujeto obligado deberá ofrecer otra y otras modalidades de entrega, para lo que </w:t>
      </w:r>
      <w:r w:rsidRPr="006E412F">
        <w:rPr>
          <w:rFonts w:ascii="Palatino Linotype" w:eastAsia="Palatino Linotype" w:hAnsi="Palatino Linotype" w:cs="Palatino Linotype"/>
          <w:b/>
          <w:sz w:val="24"/>
          <w:szCs w:val="24"/>
        </w:rPr>
        <w:t>se deberá fundar y motivar dicha necesidad</w:t>
      </w:r>
      <w:r w:rsidRPr="006E412F">
        <w:rPr>
          <w:rFonts w:ascii="Palatino Linotype" w:eastAsia="Palatino Linotype" w:hAnsi="Palatino Linotype" w:cs="Palatino Linotype"/>
          <w:sz w:val="24"/>
          <w:szCs w:val="24"/>
        </w:rPr>
        <w:t xml:space="preserve">, como se advierte a continuación: </w:t>
      </w:r>
    </w:p>
    <w:p w14:paraId="631B2252"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23009D06" w14:textId="77777777" w:rsidR="00577EBA" w:rsidRPr="006E412F" w:rsidRDefault="007A63D9" w:rsidP="00193440">
      <w:pPr>
        <w:spacing w:after="0" w:line="276" w:lineRule="auto"/>
        <w:ind w:left="567" w:right="567"/>
        <w:jc w:val="both"/>
        <w:rPr>
          <w:rFonts w:ascii="Palatino Linotype" w:eastAsia="Palatino Linotype" w:hAnsi="Palatino Linotype" w:cs="Palatino Linotype"/>
          <w:i/>
          <w:sz w:val="24"/>
          <w:szCs w:val="24"/>
        </w:rPr>
      </w:pPr>
      <w:r w:rsidRPr="006E412F">
        <w:rPr>
          <w:rFonts w:ascii="Palatino Linotype" w:eastAsia="Palatino Linotype" w:hAnsi="Palatino Linotype" w:cs="Palatino Linotype"/>
          <w:b/>
          <w:i/>
          <w:sz w:val="24"/>
          <w:szCs w:val="24"/>
        </w:rPr>
        <w:t>Artículo 164.</w:t>
      </w:r>
      <w:r w:rsidRPr="006E412F">
        <w:rPr>
          <w:rFonts w:ascii="Palatino Linotype" w:eastAsia="Palatino Linotype" w:hAnsi="Palatino Linotype" w:cs="Palatino Linotype"/>
          <w:i/>
          <w:sz w:val="24"/>
          <w:szCs w:val="24"/>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6994C4F8" w14:textId="77777777" w:rsidR="00577EBA" w:rsidRPr="006E412F" w:rsidRDefault="00577EBA" w:rsidP="00193440">
      <w:pPr>
        <w:spacing w:after="0" w:line="276" w:lineRule="auto"/>
        <w:ind w:left="567" w:right="567"/>
        <w:jc w:val="both"/>
        <w:rPr>
          <w:rFonts w:ascii="Palatino Linotype" w:eastAsia="Palatino Linotype" w:hAnsi="Palatino Linotype" w:cs="Palatino Linotype"/>
          <w:i/>
          <w:sz w:val="24"/>
          <w:szCs w:val="24"/>
        </w:rPr>
      </w:pPr>
    </w:p>
    <w:p w14:paraId="0B555D7A" w14:textId="77777777" w:rsidR="00577EBA" w:rsidRPr="006E412F" w:rsidRDefault="007A63D9" w:rsidP="00193440">
      <w:pPr>
        <w:spacing w:after="0" w:line="276" w:lineRule="auto"/>
        <w:ind w:left="567" w:right="567"/>
        <w:jc w:val="both"/>
        <w:rPr>
          <w:rFonts w:ascii="Palatino Linotype" w:eastAsia="Palatino Linotype" w:hAnsi="Palatino Linotype" w:cs="Palatino Linotype"/>
          <w:i/>
          <w:sz w:val="24"/>
          <w:szCs w:val="24"/>
        </w:rPr>
      </w:pPr>
      <w:r w:rsidRPr="006E412F">
        <w:rPr>
          <w:rFonts w:ascii="Palatino Linotype" w:eastAsia="Palatino Linotype" w:hAnsi="Palatino Linotype" w:cs="Palatino Linotype"/>
          <w:i/>
          <w:sz w:val="24"/>
          <w:szCs w:val="24"/>
        </w:rPr>
        <w:t>En cualquier caso, se deberá fundar y motivar la necesidad de ofrecer otras modalidades.</w:t>
      </w:r>
    </w:p>
    <w:p w14:paraId="64EFBCB4"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5C2725BF"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w:t>
      </w:r>
    </w:p>
    <w:p w14:paraId="64E000DA" w14:textId="77777777" w:rsidR="00193440" w:rsidRPr="006E412F" w:rsidRDefault="00193440">
      <w:pPr>
        <w:spacing w:after="0" w:line="360" w:lineRule="auto"/>
        <w:ind w:right="49"/>
        <w:jc w:val="both"/>
        <w:rPr>
          <w:rFonts w:ascii="Palatino Linotype" w:eastAsia="Palatino Linotype" w:hAnsi="Palatino Linotype" w:cs="Palatino Linotype"/>
          <w:sz w:val="24"/>
          <w:szCs w:val="24"/>
        </w:rPr>
      </w:pPr>
    </w:p>
    <w:p w14:paraId="008D9DB1" w14:textId="77777777" w:rsidR="00577EBA" w:rsidRPr="006E412F" w:rsidRDefault="007A63D9">
      <w:pPr>
        <w:spacing w:after="0" w:line="360" w:lineRule="auto"/>
        <w:ind w:right="49"/>
        <w:jc w:val="both"/>
        <w:rPr>
          <w:rFonts w:ascii="Palatino Linotype" w:eastAsia="Palatino Linotype" w:hAnsi="Palatino Linotype" w:cs="Palatino Linotype"/>
          <w:b/>
          <w:sz w:val="24"/>
          <w:szCs w:val="24"/>
        </w:rPr>
      </w:pPr>
      <w:r w:rsidRPr="006E412F">
        <w:rPr>
          <w:rFonts w:ascii="Palatino Linotype" w:eastAsia="Palatino Linotype" w:hAnsi="Palatino Linotype" w:cs="Palatino Linotype"/>
          <w:sz w:val="24"/>
          <w:szCs w:val="24"/>
        </w:rPr>
        <w:t>En tales consideraciones, la entrega de la información deberá hacerse, en la medida de lo posible en la forma solicitada por el interesado, salvo que exista un impedimento justificado para atenderla, en cuyo caso, deberán exponerse las razones por las cuales no se es posible utilizar el medio de reproducción solicitado, por lo que, la entrega la modalidad de entrega distinta a la elegida sólo procederán cuando se acredite la imposibilidad de atenderla.</w:t>
      </w:r>
      <w:r w:rsidRPr="006E412F">
        <w:rPr>
          <w:rFonts w:ascii="Palatino Linotype" w:eastAsia="Palatino Linotype" w:hAnsi="Palatino Linotype" w:cs="Palatino Linotype"/>
          <w:b/>
          <w:sz w:val="24"/>
          <w:szCs w:val="24"/>
        </w:rPr>
        <w:t xml:space="preserve"> </w:t>
      </w:r>
    </w:p>
    <w:p w14:paraId="53E73164" w14:textId="77777777" w:rsidR="00577EBA" w:rsidRPr="006E412F" w:rsidRDefault="00577EBA">
      <w:pPr>
        <w:spacing w:after="0" w:line="360" w:lineRule="auto"/>
        <w:ind w:right="49"/>
        <w:jc w:val="both"/>
        <w:rPr>
          <w:rFonts w:ascii="Palatino Linotype" w:eastAsia="Palatino Linotype" w:hAnsi="Palatino Linotype" w:cs="Palatino Linotype"/>
          <w:b/>
          <w:sz w:val="24"/>
          <w:szCs w:val="24"/>
        </w:rPr>
      </w:pPr>
    </w:p>
    <w:p w14:paraId="675EBBF8"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Por lo anterior, en caso de impedimento, los sujetos obligados deberán ofrecer al particular otras modalidades de entrega a la solicitada, tal como lo establece el Criterio 08/17 emitido por el Pleno del Instituto Nacional de Transparencia, Acceso a la Información y Protección de Datos Personales, el cual establece lo siguiente: </w:t>
      </w:r>
    </w:p>
    <w:p w14:paraId="385DFAF3"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08711EA9" w14:textId="77777777" w:rsidR="00577EBA" w:rsidRPr="006E412F" w:rsidRDefault="007A63D9" w:rsidP="00B7552E">
      <w:pPr>
        <w:spacing w:after="0" w:line="276" w:lineRule="auto"/>
        <w:ind w:left="567" w:right="567"/>
        <w:jc w:val="both"/>
        <w:rPr>
          <w:rFonts w:ascii="Palatino Linotype" w:eastAsia="Palatino Linotype" w:hAnsi="Palatino Linotype" w:cs="Palatino Linotype"/>
          <w:i/>
        </w:rPr>
      </w:pPr>
      <w:r w:rsidRPr="006E412F">
        <w:rPr>
          <w:rFonts w:ascii="Palatino Linotype" w:eastAsia="Palatino Linotype" w:hAnsi="Palatino Linotype" w:cs="Palatino Linotype"/>
          <w:b/>
          <w:i/>
        </w:rPr>
        <w:t>Modalidad de entrega. Procedencia de proporcionar la información solicitada en una diversa a la elegida por el solicitante.</w:t>
      </w:r>
      <w:r w:rsidRPr="006E412F">
        <w:rPr>
          <w:rFonts w:ascii="Palatino Linotype" w:eastAsia="Palatino Linotype" w:hAnsi="Palatino Linotype" w:cs="Palatino Linotype"/>
          <w:i/>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w:t>
      </w:r>
      <w:r w:rsidRPr="006E412F">
        <w:rPr>
          <w:rFonts w:ascii="Palatino Linotype" w:eastAsia="Palatino Linotype" w:hAnsi="Palatino Linotype" w:cs="Palatino Linotype"/>
          <w:b/>
          <w:i/>
          <w:u w:val="single"/>
        </w:rPr>
        <w:t>a) justifique el impedimento para atender la misma y b) se notifique al particular la disposición de la información en todas las modalidades que permita el documento de que se trate, procurando reducir, en todo momento, los costos de entrega.</w:t>
      </w:r>
    </w:p>
    <w:p w14:paraId="76B1FFD3"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25B037F7"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Es así que, se desprende que, cuando no sea posible atender la modalidad elegida por los solicitantes, el sujeto obligado deberá justificar el impedimento para atender esta y notificar al particular la puesta a disposición de la información en todas las modalidades que lo permitan, procurando reducir los costos de entrega. </w:t>
      </w:r>
    </w:p>
    <w:p w14:paraId="745FD160"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1AF03721"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En el caso que ahora nos ocupa, pese a que el Sujeto Obligado en respuesta refirió que resultaba innecesario realizar un reporte de incidencias, esta Ponencia solicitó a la Dirección General de Informática tuviera a bien informar si existía algún registro en relación con la presente solicitud; unidad administrativa que refirió que no se había encontrado llamado o el registro correspondiente, tal como se aprecia a continuación:</w:t>
      </w:r>
    </w:p>
    <w:p w14:paraId="0C7FAC28"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18FC32BB" w14:textId="77777777" w:rsidR="00577EBA" w:rsidRPr="006E412F" w:rsidRDefault="007A63D9">
      <w:pPr>
        <w:spacing w:after="0" w:line="360" w:lineRule="auto"/>
        <w:ind w:right="49"/>
        <w:jc w:val="center"/>
        <w:rPr>
          <w:rFonts w:ascii="Palatino Linotype" w:eastAsia="Palatino Linotype" w:hAnsi="Palatino Linotype" w:cs="Palatino Linotype"/>
          <w:sz w:val="24"/>
          <w:szCs w:val="24"/>
        </w:rPr>
      </w:pPr>
      <w:r w:rsidRPr="006E412F">
        <w:rPr>
          <w:rFonts w:ascii="Palatino Linotype" w:eastAsia="Palatino Linotype" w:hAnsi="Palatino Linotype" w:cs="Palatino Linotype"/>
          <w:noProof/>
          <w:sz w:val="24"/>
          <w:szCs w:val="24"/>
        </w:rPr>
        <w:drawing>
          <wp:inline distT="0" distB="0" distL="0" distR="0" wp14:anchorId="6AB4D0BF" wp14:editId="35B92447">
            <wp:extent cx="5756275" cy="2021205"/>
            <wp:effectExtent l="0" t="0" r="0" b="0"/>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756275" cy="2021205"/>
                    </a:xfrm>
                    <a:prstGeom prst="rect">
                      <a:avLst/>
                    </a:prstGeom>
                    <a:ln/>
                  </pic:spPr>
                </pic:pic>
              </a:graphicData>
            </a:graphic>
          </wp:inline>
        </w:drawing>
      </w:r>
    </w:p>
    <w:p w14:paraId="1E32EC41" w14:textId="77777777" w:rsidR="00577EBA" w:rsidRPr="006E412F" w:rsidRDefault="00577EBA">
      <w:pPr>
        <w:spacing w:after="0" w:line="360" w:lineRule="auto"/>
        <w:ind w:right="49"/>
        <w:jc w:val="center"/>
        <w:rPr>
          <w:rFonts w:ascii="Palatino Linotype" w:eastAsia="Palatino Linotype" w:hAnsi="Palatino Linotype" w:cs="Palatino Linotype"/>
          <w:sz w:val="24"/>
          <w:szCs w:val="24"/>
        </w:rPr>
      </w:pPr>
    </w:p>
    <w:p w14:paraId="229E358F"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Es por lo anterior, que se estima que el Sujeto Obligado al no justificar que la información requerida sobrepasaba las capacidades técnicas del Sistema de Acceso a la Información Mexiquense, al no realizar el procedimiento de registro de incidencia correspondiente; se tiene que no acreditó cabalmente una de las hipótesis previstas en el artículo 158 de la Ley en la materia, a saber, que se sobrepasen las capacidades técnicas, además de que no aportó mayores elementos que permitan a este organismo determinar que efectivamente, existen impedimentos para entregar la información requerida a través del sistema de acceso a la información.  </w:t>
      </w:r>
    </w:p>
    <w:p w14:paraId="2A796E6A" w14:textId="77777777" w:rsidR="00577EBA" w:rsidRPr="006E412F" w:rsidRDefault="00577EBA">
      <w:pPr>
        <w:spacing w:after="0" w:line="360" w:lineRule="auto"/>
        <w:jc w:val="both"/>
        <w:rPr>
          <w:rFonts w:ascii="Palatino Linotype" w:eastAsia="Palatino Linotype" w:hAnsi="Palatino Linotype" w:cs="Palatino Linotype"/>
          <w:sz w:val="24"/>
          <w:szCs w:val="24"/>
        </w:rPr>
      </w:pPr>
    </w:p>
    <w:p w14:paraId="0F8DAC95" w14:textId="77777777" w:rsidR="00577EBA" w:rsidRPr="006E412F" w:rsidRDefault="007A63D9">
      <w:pPr>
        <w:widowControl w:val="0"/>
        <w:spacing w:after="0" w:line="360" w:lineRule="auto"/>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Aunado a lo anterior,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49227BF6" w14:textId="77777777" w:rsidR="00577EBA" w:rsidRPr="006E412F" w:rsidRDefault="00577EBA">
      <w:pPr>
        <w:widowControl w:val="0"/>
        <w:spacing w:after="0" w:line="360" w:lineRule="auto"/>
        <w:jc w:val="both"/>
        <w:rPr>
          <w:rFonts w:ascii="Palatino Linotype" w:eastAsia="Palatino Linotype" w:hAnsi="Palatino Linotype" w:cs="Palatino Linotype"/>
        </w:rPr>
      </w:pPr>
    </w:p>
    <w:p w14:paraId="4AFA702C" w14:textId="77777777" w:rsidR="00577EBA" w:rsidRPr="006E412F" w:rsidRDefault="007A63D9">
      <w:pPr>
        <w:numPr>
          <w:ilvl w:val="0"/>
          <w:numId w:val="9"/>
        </w:numPr>
        <w:spacing w:after="0" w:line="360" w:lineRule="auto"/>
        <w:ind w:right="900"/>
        <w:jc w:val="both"/>
        <w:rPr>
          <w:rFonts w:ascii="Palatino Linotype" w:eastAsia="Palatino Linotype" w:hAnsi="Palatino Linotype" w:cs="Palatino Linotype"/>
          <w:b/>
          <w:u w:val="single"/>
        </w:rPr>
      </w:pPr>
      <w:r w:rsidRPr="006E412F">
        <w:rPr>
          <w:rFonts w:ascii="Palatino Linotype" w:eastAsia="Palatino Linotype" w:hAnsi="Palatino Linotype" w:cs="Palatino Linotype"/>
        </w:rPr>
        <w:t xml:space="preserve">Las razones por las cuales la información </w:t>
      </w:r>
      <w:r w:rsidRPr="006E412F">
        <w:rPr>
          <w:rFonts w:ascii="Palatino Linotype" w:eastAsia="Palatino Linotype" w:hAnsi="Palatino Linotype" w:cs="Palatino Linotype"/>
          <w:b/>
          <w:u w:val="single"/>
        </w:rPr>
        <w:t>implicaba un análisis, estudio o procesamiento de datos;</w:t>
      </w:r>
    </w:p>
    <w:p w14:paraId="04AE1FBB" w14:textId="77777777" w:rsidR="00577EBA" w:rsidRPr="006E412F" w:rsidRDefault="007A63D9">
      <w:pPr>
        <w:numPr>
          <w:ilvl w:val="0"/>
          <w:numId w:val="9"/>
        </w:numPr>
        <w:spacing w:after="0" w:line="360" w:lineRule="auto"/>
        <w:ind w:right="900"/>
        <w:jc w:val="both"/>
        <w:rPr>
          <w:rFonts w:ascii="Palatino Linotype" w:eastAsia="Palatino Linotype" w:hAnsi="Palatino Linotype" w:cs="Palatino Linotype"/>
        </w:rPr>
      </w:pPr>
      <w:r w:rsidRPr="006E412F">
        <w:rPr>
          <w:rFonts w:ascii="Palatino Linotype" w:eastAsia="Palatino Linotype" w:hAnsi="Palatino Linotype" w:cs="Palatino Linotype"/>
          <w:b/>
          <w:u w:val="single"/>
        </w:rPr>
        <w:t xml:space="preserve">Por qué motivo el tiempo, que se le otorga al Sujeto Obligado para dar respuesta, </w:t>
      </w:r>
      <w:r w:rsidRPr="006E412F">
        <w:rPr>
          <w:rFonts w:ascii="Palatino Linotype" w:eastAsia="Palatino Linotype" w:hAnsi="Palatino Linotype" w:cs="Palatino Linotype"/>
        </w:rPr>
        <w:t>en la modalidad elegida a la solicitud de información, no le es suficiente, y</w:t>
      </w:r>
    </w:p>
    <w:p w14:paraId="2703F0F2" w14:textId="77777777" w:rsidR="00577EBA" w:rsidRPr="006E412F" w:rsidRDefault="007A63D9">
      <w:pPr>
        <w:numPr>
          <w:ilvl w:val="0"/>
          <w:numId w:val="9"/>
        </w:numPr>
        <w:spacing w:after="0" w:line="360" w:lineRule="auto"/>
        <w:ind w:right="900"/>
        <w:jc w:val="both"/>
        <w:rPr>
          <w:rFonts w:ascii="Palatino Linotype" w:eastAsia="Palatino Linotype" w:hAnsi="Palatino Linotype" w:cs="Palatino Linotype"/>
        </w:rPr>
      </w:pPr>
      <w:r w:rsidRPr="006E412F">
        <w:rPr>
          <w:rFonts w:ascii="Palatino Linotype" w:eastAsia="Palatino Linotype" w:hAnsi="Palatino Linotype" w:cs="Palatino Linotype"/>
          <w:b/>
          <w:u w:val="single"/>
        </w:rPr>
        <w:t>La cantidad de recursos humanos y materiales</w:t>
      </w:r>
      <w:r w:rsidRPr="006E412F">
        <w:rPr>
          <w:rFonts w:ascii="Palatino Linotype" w:eastAsia="Palatino Linotype" w:hAnsi="Palatino Linotype" w:cs="Palatino Linotype"/>
          <w:b/>
        </w:rPr>
        <w:t xml:space="preserve"> </w:t>
      </w:r>
      <w:r w:rsidRPr="006E412F">
        <w:rPr>
          <w:rFonts w:ascii="Palatino Linotype" w:eastAsia="Palatino Linotype" w:hAnsi="Palatino Linotype" w:cs="Palatino Linotype"/>
        </w:rPr>
        <w:t>con los que cuenta el Sujeto Obligado son insuficientes.</w:t>
      </w:r>
    </w:p>
    <w:p w14:paraId="5D3F4D9A" w14:textId="77777777" w:rsidR="00577EBA" w:rsidRPr="006E412F" w:rsidRDefault="00577EBA">
      <w:pPr>
        <w:spacing w:after="0" w:line="360" w:lineRule="auto"/>
        <w:ind w:left="720" w:right="900"/>
        <w:jc w:val="both"/>
        <w:rPr>
          <w:rFonts w:ascii="Palatino Linotype" w:eastAsia="Palatino Linotype" w:hAnsi="Palatino Linotype" w:cs="Palatino Linotype"/>
        </w:rPr>
      </w:pPr>
    </w:p>
    <w:p w14:paraId="6090F70B" w14:textId="77777777" w:rsidR="00577EBA" w:rsidRPr="006E412F" w:rsidRDefault="007A63D9">
      <w:pPr>
        <w:spacing w:after="0" w:line="360" w:lineRule="auto"/>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En ese contexto, es de precisar que el Sujeto Obligado no señaló de manera puntual las imposibilidades para dar atención a la solicitud, esto en observancia a las siguientes circunstancias:</w:t>
      </w:r>
    </w:p>
    <w:p w14:paraId="346242A1" w14:textId="77777777" w:rsidR="00577EBA" w:rsidRPr="006E412F" w:rsidRDefault="00577EBA">
      <w:pPr>
        <w:spacing w:after="0" w:line="360" w:lineRule="auto"/>
        <w:jc w:val="both"/>
        <w:rPr>
          <w:rFonts w:ascii="Palatino Linotype" w:eastAsia="Palatino Linotype" w:hAnsi="Palatino Linotype" w:cs="Palatino Linotype"/>
          <w:sz w:val="24"/>
          <w:szCs w:val="24"/>
        </w:rPr>
      </w:pPr>
    </w:p>
    <w:p w14:paraId="38A2E7F7" w14:textId="77777777" w:rsidR="00577EBA" w:rsidRPr="006E412F" w:rsidRDefault="007A63D9">
      <w:pPr>
        <w:numPr>
          <w:ilvl w:val="0"/>
          <w:numId w:val="10"/>
        </w:numPr>
        <w:pBdr>
          <w:top w:val="nil"/>
          <w:left w:val="nil"/>
          <w:bottom w:val="nil"/>
          <w:right w:val="nil"/>
          <w:between w:val="nil"/>
        </w:pBdr>
        <w:spacing w:after="0" w:line="360" w:lineRule="auto"/>
        <w:ind w:right="900"/>
        <w:jc w:val="both"/>
        <w:rPr>
          <w:rFonts w:ascii="Palatino Linotype" w:eastAsia="Palatino Linotype" w:hAnsi="Palatino Linotype" w:cs="Palatino Linotype"/>
          <w:u w:val="single"/>
        </w:rPr>
      </w:pPr>
      <w:bookmarkStart w:id="1" w:name="_heading=h.2et92p0" w:colFirst="0" w:colLast="0"/>
      <w:bookmarkEnd w:id="1"/>
      <w:r w:rsidRPr="006E412F">
        <w:rPr>
          <w:rFonts w:ascii="Palatino Linotype" w:eastAsia="Palatino Linotype" w:hAnsi="Palatino Linotype" w:cs="Palatino Linotype"/>
        </w:rPr>
        <w:t xml:space="preserve">No acreditó que lo peticionado implicaba un análisis, procesamiento o estudio de documentos cuya reproducción sobrepasará las capacidades técnicas, administrativas y humanas del Sujeto Obligado, pues como se refirió, no se precisó el número de personas que se encontraban en las áreas, ni el formato, o bien, si lo peticionado, se encontraba en uno o varios expedientes; esto es, </w:t>
      </w:r>
      <w:r w:rsidRPr="006E412F">
        <w:rPr>
          <w:rFonts w:ascii="Palatino Linotype" w:eastAsia="Palatino Linotype" w:hAnsi="Palatino Linotype" w:cs="Palatino Linotype"/>
          <w:u w:val="single"/>
        </w:rPr>
        <w:t>no proporcionó los elementos necesarios para acreditar el cambio de modalidad</w:t>
      </w:r>
      <w:r w:rsidRPr="006E412F">
        <w:rPr>
          <w:rFonts w:ascii="Palatino Linotype" w:eastAsia="Palatino Linotype" w:hAnsi="Palatino Linotype" w:cs="Palatino Linotype"/>
        </w:rPr>
        <w:t xml:space="preserve">, pues no justificó dicho cambio, además de que refirió que toda vez que no se encontraba digitalizada la información, </w:t>
      </w:r>
      <w:r w:rsidRPr="006E412F">
        <w:rPr>
          <w:rFonts w:ascii="Palatino Linotype" w:eastAsia="Palatino Linotype" w:hAnsi="Palatino Linotype" w:cs="Palatino Linotype"/>
          <w:u w:val="single"/>
        </w:rPr>
        <w:t>resultaba innecesario seguir el procedimiento establecido para registrar un reporte de incidencias.</w:t>
      </w:r>
      <w:r w:rsidRPr="006E412F">
        <w:rPr>
          <w:rFonts w:ascii="Palatino Linotype" w:eastAsia="Palatino Linotype" w:hAnsi="Palatino Linotype" w:cs="Palatino Linotype"/>
        </w:rPr>
        <w:t xml:space="preserve"> </w:t>
      </w:r>
    </w:p>
    <w:p w14:paraId="5CA9C186" w14:textId="77777777" w:rsidR="00577EBA" w:rsidRPr="006E412F" w:rsidRDefault="00577EBA">
      <w:pPr>
        <w:pBdr>
          <w:top w:val="nil"/>
          <w:left w:val="nil"/>
          <w:bottom w:val="nil"/>
          <w:right w:val="nil"/>
          <w:between w:val="nil"/>
        </w:pBdr>
        <w:spacing w:after="0" w:line="360" w:lineRule="auto"/>
        <w:ind w:left="780" w:right="900"/>
        <w:jc w:val="both"/>
        <w:rPr>
          <w:rFonts w:ascii="Palatino Linotype" w:eastAsia="Palatino Linotype" w:hAnsi="Palatino Linotype" w:cs="Palatino Linotype"/>
          <w:sz w:val="24"/>
          <w:szCs w:val="24"/>
          <w:u w:val="single"/>
        </w:rPr>
      </w:pPr>
    </w:p>
    <w:p w14:paraId="777226DD" w14:textId="77777777" w:rsidR="00577EBA" w:rsidRPr="006E412F" w:rsidRDefault="007A63D9">
      <w:pPr>
        <w:spacing w:after="0" w:line="360" w:lineRule="auto"/>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Aunado a lo anterior, conviene referir que el Organismo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w:t>
      </w:r>
      <w:r w:rsidRPr="006E412F">
        <w:rPr>
          <w:rFonts w:ascii="Palatino Linotype" w:eastAsia="Palatino Linotype" w:hAnsi="Palatino Linotype" w:cs="Palatino Linotype"/>
          <w:b/>
          <w:sz w:val="24"/>
          <w:szCs w:val="24"/>
          <w:u w:val="single"/>
        </w:rPr>
        <w:t>deben de buscar la posibilidad de proporcionarla en las otras formas que establecen en la Ley, ya sean electrónicas o físicas</w:t>
      </w:r>
      <w:r w:rsidRPr="006E412F">
        <w:rPr>
          <w:rFonts w:ascii="Palatino Linotype" w:eastAsia="Palatino Linotype" w:hAnsi="Palatino Linotype" w:cs="Palatino Linotype"/>
          <w:sz w:val="24"/>
          <w:szCs w:val="24"/>
        </w:rPr>
        <w:t xml:space="preserve">. </w:t>
      </w:r>
    </w:p>
    <w:p w14:paraId="7149EFC8" w14:textId="77777777" w:rsidR="00577EBA" w:rsidRPr="006E412F" w:rsidRDefault="00577EBA">
      <w:pPr>
        <w:spacing w:after="0" w:line="360" w:lineRule="auto"/>
        <w:jc w:val="both"/>
        <w:rPr>
          <w:rFonts w:ascii="Palatino Linotype" w:eastAsia="Palatino Linotype" w:hAnsi="Palatino Linotype" w:cs="Palatino Linotype"/>
          <w:sz w:val="24"/>
          <w:szCs w:val="24"/>
        </w:rPr>
      </w:pPr>
    </w:p>
    <w:p w14:paraId="3C80C378" w14:textId="77777777" w:rsidR="00577EBA" w:rsidRPr="006E412F" w:rsidRDefault="007A63D9">
      <w:pPr>
        <w:tabs>
          <w:tab w:val="left" w:pos="975"/>
        </w:tabs>
        <w:spacing w:after="0" w:line="360" w:lineRule="auto"/>
        <w:jc w:val="both"/>
        <w:rPr>
          <w:rFonts w:ascii="Palatino Linotype" w:eastAsia="Palatino Linotype" w:hAnsi="Palatino Linotype" w:cs="Palatino Linotype"/>
          <w:b/>
          <w:sz w:val="24"/>
          <w:szCs w:val="24"/>
        </w:rPr>
      </w:pPr>
      <w:r w:rsidRPr="006E412F">
        <w:rPr>
          <w:rFonts w:ascii="Palatino Linotype" w:eastAsia="Palatino Linotype" w:hAnsi="Palatino Linotype" w:cs="Palatino Linotype"/>
          <w:sz w:val="24"/>
          <w:szCs w:val="24"/>
        </w:rPr>
        <w:t xml:space="preserve">Por lo anterior, se advierte que el Sujeto Obligado además de que no acreditó la imposibilidad humana, técnica y administrativa, establecida en el artículo 158 de la Ley de Transparencia y Acceso a la Información Pública del Estado de México y Municipios, para validar el cambio de modalidad a consulta directa, </w:t>
      </w:r>
      <w:r w:rsidRPr="006E412F">
        <w:rPr>
          <w:rFonts w:ascii="Palatino Linotype" w:eastAsia="Palatino Linotype" w:hAnsi="Palatino Linotype" w:cs="Palatino Linotype"/>
          <w:b/>
          <w:sz w:val="24"/>
          <w:szCs w:val="24"/>
          <w:u w:val="single"/>
        </w:rPr>
        <w:t>tampoco dio la posibilidad de poner a disposición la información, en el resto de modalidades establecidas en la Ley de la materia.</w:t>
      </w:r>
    </w:p>
    <w:p w14:paraId="32D79727" w14:textId="77777777" w:rsidR="00577EBA" w:rsidRPr="006E412F" w:rsidRDefault="00577EBA">
      <w:pPr>
        <w:tabs>
          <w:tab w:val="left" w:pos="975"/>
        </w:tabs>
        <w:spacing w:after="0" w:line="360" w:lineRule="auto"/>
        <w:jc w:val="both"/>
        <w:rPr>
          <w:rFonts w:ascii="Palatino Linotype" w:eastAsia="Palatino Linotype" w:hAnsi="Palatino Linotype" w:cs="Palatino Linotype"/>
          <w:sz w:val="24"/>
          <w:szCs w:val="24"/>
        </w:rPr>
      </w:pPr>
    </w:p>
    <w:p w14:paraId="13CE94BA" w14:textId="77777777" w:rsidR="00577EBA" w:rsidRPr="006E412F" w:rsidRDefault="007A63D9">
      <w:pPr>
        <w:spacing w:after="0" w:line="360" w:lineRule="auto"/>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Siendo las cosas así, cabe invocar el contenido del Capítulo X de Lineamientos Generales en Materia de Clasificación y Desclasificación de la Información, así como para la Elaboración de Versiones Públicas, respecto a la consulta directa, que señala:</w:t>
      </w:r>
    </w:p>
    <w:p w14:paraId="772C6A13" w14:textId="77777777" w:rsidR="00577EBA" w:rsidRPr="006E412F" w:rsidRDefault="00577EBA">
      <w:pPr>
        <w:spacing w:after="0" w:line="360" w:lineRule="auto"/>
        <w:jc w:val="both"/>
        <w:rPr>
          <w:rFonts w:ascii="Palatino Linotype" w:eastAsia="Palatino Linotype" w:hAnsi="Palatino Linotype" w:cs="Palatino Linotype"/>
        </w:rPr>
      </w:pPr>
    </w:p>
    <w:p w14:paraId="7DEE582E" w14:textId="77777777" w:rsidR="00577EBA" w:rsidRPr="006E412F" w:rsidRDefault="007A63D9">
      <w:pPr>
        <w:tabs>
          <w:tab w:val="left" w:pos="993"/>
        </w:tabs>
        <w:spacing w:after="0" w:line="276" w:lineRule="auto"/>
        <w:ind w:left="567" w:right="560"/>
        <w:jc w:val="center"/>
        <w:rPr>
          <w:rFonts w:ascii="Palatino Linotype" w:eastAsia="Palatino Linotype" w:hAnsi="Palatino Linotype" w:cs="Palatino Linotype"/>
          <w:b/>
          <w:i/>
        </w:rPr>
      </w:pPr>
      <w:r w:rsidRPr="006E412F">
        <w:rPr>
          <w:rFonts w:ascii="Palatino Linotype" w:eastAsia="Palatino Linotype" w:hAnsi="Palatino Linotype" w:cs="Palatino Linotype"/>
          <w:i/>
        </w:rPr>
        <w:t>“</w:t>
      </w:r>
      <w:r w:rsidRPr="006E412F">
        <w:rPr>
          <w:rFonts w:ascii="Palatino Linotype" w:eastAsia="Palatino Linotype" w:hAnsi="Palatino Linotype" w:cs="Palatino Linotype"/>
          <w:b/>
          <w:i/>
        </w:rPr>
        <w:t>CAPÍTULO X</w:t>
      </w:r>
    </w:p>
    <w:p w14:paraId="3BB9D186" w14:textId="77777777" w:rsidR="00577EBA" w:rsidRPr="006E412F" w:rsidRDefault="007A63D9">
      <w:pPr>
        <w:tabs>
          <w:tab w:val="left" w:pos="993"/>
        </w:tabs>
        <w:spacing w:after="0" w:line="276" w:lineRule="auto"/>
        <w:ind w:left="567" w:right="560"/>
        <w:jc w:val="center"/>
        <w:rPr>
          <w:rFonts w:ascii="Palatino Linotype" w:eastAsia="Palatino Linotype" w:hAnsi="Palatino Linotype" w:cs="Palatino Linotype"/>
          <w:b/>
          <w:i/>
        </w:rPr>
      </w:pPr>
      <w:r w:rsidRPr="006E412F">
        <w:rPr>
          <w:rFonts w:ascii="Palatino Linotype" w:eastAsia="Palatino Linotype" w:hAnsi="Palatino Linotype" w:cs="Palatino Linotype"/>
          <w:b/>
          <w:i/>
        </w:rPr>
        <w:t>DE LA CONSULTA DIRECTA</w:t>
      </w:r>
    </w:p>
    <w:p w14:paraId="62A7E269" w14:textId="77777777" w:rsidR="00577EBA" w:rsidRPr="006E412F" w:rsidRDefault="007A63D9">
      <w:pPr>
        <w:tabs>
          <w:tab w:val="left" w:pos="993"/>
        </w:tabs>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b/>
          <w:i/>
        </w:rPr>
        <w:t>Sexagésimo séptimo</w:t>
      </w:r>
      <w:r w:rsidRPr="006E412F">
        <w:rPr>
          <w:rFonts w:ascii="Palatino Linotype" w:eastAsia="Palatino Linotype" w:hAnsi="Palatino Linotype" w:cs="Palatino Linotype"/>
          <w:i/>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sidRPr="006E412F">
        <w:rPr>
          <w:rFonts w:ascii="Palatino Linotype" w:eastAsia="Palatino Linotype" w:hAnsi="Palatino Linotype" w:cs="Palatino Linotype"/>
          <w:b/>
          <w:i/>
        </w:rPr>
        <w:t>deberá emitir la resolución en la que funde y motive la clasificación</w:t>
      </w:r>
      <w:r w:rsidRPr="006E412F">
        <w:rPr>
          <w:rFonts w:ascii="Palatino Linotype" w:eastAsia="Palatino Linotype" w:hAnsi="Palatino Linotype" w:cs="Palatino Linotype"/>
          <w:i/>
        </w:rPr>
        <w:t xml:space="preserve"> de las partes o secciones que no podrán dejarse a la vista del solicitante. </w:t>
      </w:r>
    </w:p>
    <w:p w14:paraId="5DA5C317" w14:textId="77777777" w:rsidR="00577EBA" w:rsidRPr="006E412F" w:rsidRDefault="007A63D9">
      <w:pPr>
        <w:tabs>
          <w:tab w:val="left" w:pos="993"/>
        </w:tabs>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b/>
          <w:i/>
        </w:rPr>
        <w:t>Sexagésimo octavo</w:t>
      </w:r>
      <w:r w:rsidRPr="006E412F">
        <w:rPr>
          <w:rFonts w:ascii="Palatino Linotype" w:eastAsia="Palatino Linotype" w:hAnsi="Palatino Linotype" w:cs="Palatino Linotype"/>
          <w:i/>
        </w:rPr>
        <w:t xml:space="preserve">. En la </w:t>
      </w:r>
      <w:r w:rsidRPr="006E412F">
        <w:rPr>
          <w:rFonts w:ascii="Palatino Linotype" w:eastAsia="Palatino Linotype" w:hAnsi="Palatino Linotype" w:cs="Palatino Linotype"/>
          <w:b/>
          <w:i/>
        </w:rPr>
        <w:t>resolución del Comité de Transparencia</w:t>
      </w:r>
      <w:r w:rsidRPr="006E412F">
        <w:rPr>
          <w:rFonts w:ascii="Palatino Linotype" w:eastAsia="Palatino Linotype" w:hAnsi="Palatino Linotype" w:cs="Palatino Linotype"/>
          <w:i/>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3B3A273E" w14:textId="77777777" w:rsidR="00577EBA" w:rsidRPr="006E412F" w:rsidRDefault="007A63D9">
      <w:pPr>
        <w:tabs>
          <w:tab w:val="left" w:pos="993"/>
        </w:tabs>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b/>
          <w:i/>
        </w:rPr>
        <w:t>Sexagésimo noveno</w:t>
      </w:r>
      <w:r w:rsidRPr="006E412F">
        <w:rPr>
          <w:rFonts w:ascii="Palatino Linotype" w:eastAsia="Palatino Linotype" w:hAnsi="Palatino Linotype" w:cs="Palatino Linotype"/>
          <w:i/>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41003FDA" w14:textId="77777777" w:rsidR="00577EBA" w:rsidRPr="006E412F" w:rsidRDefault="007A63D9">
      <w:pPr>
        <w:tabs>
          <w:tab w:val="left" w:pos="993"/>
        </w:tabs>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b/>
          <w:i/>
        </w:rPr>
        <w:t>Septuagésimo</w:t>
      </w:r>
      <w:r w:rsidRPr="006E412F">
        <w:rPr>
          <w:rFonts w:ascii="Palatino Linotype" w:eastAsia="Palatino Linotype" w:hAnsi="Palatino Linotype" w:cs="Palatino Linotype"/>
          <w:i/>
        </w:rPr>
        <w:t xml:space="preserve">. Para el desahogo de las actuaciones tendientes a permitir la consulta directa, en los casos en que ésta resulte procedente, los sujetos obligados deberán observar lo siguiente: </w:t>
      </w:r>
    </w:p>
    <w:p w14:paraId="419E6F3A" w14:textId="77777777" w:rsidR="00577EBA" w:rsidRPr="006E412F" w:rsidRDefault="007A63D9">
      <w:pPr>
        <w:tabs>
          <w:tab w:val="left" w:pos="993"/>
        </w:tabs>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b/>
          <w:i/>
        </w:rPr>
        <w:t>I.</w:t>
      </w:r>
      <w:r w:rsidRPr="006E412F">
        <w:rPr>
          <w:rFonts w:ascii="Palatino Linotype" w:eastAsia="Palatino Linotype" w:hAnsi="Palatino Linotype" w:cs="Palatino Linotype"/>
          <w:i/>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761DE686" w14:textId="77777777" w:rsidR="00577EBA" w:rsidRPr="006E412F" w:rsidRDefault="007A63D9">
      <w:pPr>
        <w:tabs>
          <w:tab w:val="left" w:pos="993"/>
        </w:tabs>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b/>
          <w:i/>
        </w:rPr>
        <w:t>II.</w:t>
      </w:r>
      <w:r w:rsidRPr="006E412F">
        <w:rPr>
          <w:rFonts w:ascii="Palatino Linotype" w:eastAsia="Palatino Linotype" w:hAnsi="Palatino Linotype" w:cs="Palatino Linotype"/>
          <w:i/>
        </w:rPr>
        <w:t xml:space="preserve"> En su caso, la procedencia de los ajustes razonables solicitados y/o la procedencia de acceso en la lengua indígena requerida; </w:t>
      </w:r>
    </w:p>
    <w:p w14:paraId="74219671" w14:textId="77777777" w:rsidR="00577EBA" w:rsidRPr="006E412F" w:rsidRDefault="007A63D9">
      <w:pPr>
        <w:tabs>
          <w:tab w:val="left" w:pos="993"/>
        </w:tabs>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b/>
          <w:i/>
        </w:rPr>
        <w:t>III.</w:t>
      </w:r>
      <w:r w:rsidRPr="006E412F">
        <w:rPr>
          <w:rFonts w:ascii="Palatino Linotype" w:eastAsia="Palatino Linotype" w:hAnsi="Palatino Linotype" w:cs="Palatino Linotype"/>
          <w:i/>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47955F51" w14:textId="77777777" w:rsidR="00577EBA" w:rsidRPr="006E412F" w:rsidRDefault="007A63D9">
      <w:pPr>
        <w:tabs>
          <w:tab w:val="left" w:pos="993"/>
        </w:tabs>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b/>
          <w:i/>
        </w:rPr>
        <w:t>IV.</w:t>
      </w:r>
      <w:r w:rsidRPr="006E412F">
        <w:rPr>
          <w:rFonts w:ascii="Palatino Linotype" w:eastAsia="Palatino Linotype" w:hAnsi="Palatino Linotype" w:cs="Palatino Linotype"/>
          <w:i/>
        </w:rPr>
        <w:t xml:space="preserve"> Proporcionar al solicitante las facilidades y asistencia requerida para la consulta de los documentos;</w:t>
      </w:r>
    </w:p>
    <w:p w14:paraId="4876806A" w14:textId="77777777" w:rsidR="00577EBA" w:rsidRPr="006E412F" w:rsidRDefault="007A63D9">
      <w:pPr>
        <w:tabs>
          <w:tab w:val="left" w:pos="993"/>
        </w:tabs>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b/>
          <w:i/>
        </w:rPr>
        <w:t>V.</w:t>
      </w:r>
      <w:r w:rsidRPr="006E412F">
        <w:rPr>
          <w:rFonts w:ascii="Palatino Linotype" w:eastAsia="Palatino Linotype" w:hAnsi="Palatino Linotype" w:cs="Palatino Linotype"/>
          <w:i/>
        </w:rPr>
        <w:t xml:space="preserve"> Abstenerse de requerir al solicitante que acredite interés alguno; </w:t>
      </w:r>
    </w:p>
    <w:p w14:paraId="0529421F" w14:textId="77777777" w:rsidR="00577EBA" w:rsidRPr="006E412F" w:rsidRDefault="007A63D9">
      <w:pPr>
        <w:tabs>
          <w:tab w:val="left" w:pos="993"/>
        </w:tabs>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b/>
          <w:i/>
        </w:rPr>
        <w:t>VI.</w:t>
      </w:r>
      <w:r w:rsidRPr="006E412F">
        <w:rPr>
          <w:rFonts w:ascii="Palatino Linotype" w:eastAsia="Palatino Linotype" w:hAnsi="Palatino Linotype" w:cs="Palatino Linotype"/>
          <w:i/>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1ADA4A0C" w14:textId="77777777" w:rsidR="00577EBA" w:rsidRPr="006E412F" w:rsidRDefault="007A63D9">
      <w:pPr>
        <w:tabs>
          <w:tab w:val="left" w:pos="993"/>
        </w:tabs>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b/>
          <w:i/>
        </w:rPr>
        <w:t>a)</w:t>
      </w:r>
      <w:r w:rsidRPr="006E412F">
        <w:rPr>
          <w:rFonts w:ascii="Palatino Linotype" w:eastAsia="Palatino Linotype" w:hAnsi="Palatino Linotype" w:cs="Palatino Linotype"/>
          <w:i/>
        </w:rPr>
        <w:t xml:space="preserve"> Contar con instalaciones y mobiliario adecuado para asegurar tanto la integridad del documento consultado, como para proporcionar al solicitante las mejores condiciones para poder llevar a cabo la consulta directa; </w:t>
      </w:r>
    </w:p>
    <w:p w14:paraId="43577D55" w14:textId="77777777" w:rsidR="00577EBA" w:rsidRPr="006E412F" w:rsidRDefault="007A63D9">
      <w:pPr>
        <w:tabs>
          <w:tab w:val="left" w:pos="993"/>
        </w:tabs>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b/>
          <w:i/>
        </w:rPr>
        <w:t>b)</w:t>
      </w:r>
      <w:r w:rsidRPr="006E412F">
        <w:rPr>
          <w:rFonts w:ascii="Palatino Linotype" w:eastAsia="Palatino Linotype" w:hAnsi="Palatino Linotype" w:cs="Palatino Linotype"/>
          <w:i/>
        </w:rPr>
        <w:t xml:space="preserve"> Equipo y personal de vigilancia;</w:t>
      </w:r>
    </w:p>
    <w:p w14:paraId="0E7010F4" w14:textId="77777777" w:rsidR="00577EBA" w:rsidRPr="006E412F" w:rsidRDefault="007A63D9">
      <w:pPr>
        <w:tabs>
          <w:tab w:val="left" w:pos="993"/>
        </w:tabs>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b/>
          <w:i/>
        </w:rPr>
        <w:t>c)</w:t>
      </w:r>
      <w:r w:rsidRPr="006E412F">
        <w:rPr>
          <w:rFonts w:ascii="Palatino Linotype" w:eastAsia="Palatino Linotype" w:hAnsi="Palatino Linotype" w:cs="Palatino Linotype"/>
          <w:i/>
        </w:rPr>
        <w:t xml:space="preserve"> Plan de acción contra robo o vandalismo; </w:t>
      </w:r>
    </w:p>
    <w:p w14:paraId="7C4729C4" w14:textId="77777777" w:rsidR="00577EBA" w:rsidRPr="006E412F" w:rsidRDefault="007A63D9">
      <w:pPr>
        <w:tabs>
          <w:tab w:val="left" w:pos="993"/>
        </w:tabs>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b/>
          <w:i/>
        </w:rPr>
        <w:t>d)</w:t>
      </w:r>
      <w:r w:rsidRPr="006E412F">
        <w:rPr>
          <w:rFonts w:ascii="Palatino Linotype" w:eastAsia="Palatino Linotype" w:hAnsi="Palatino Linotype" w:cs="Palatino Linotype"/>
          <w:i/>
        </w:rPr>
        <w:t xml:space="preserve"> Extintores de fuego de gas inocuo; </w:t>
      </w:r>
    </w:p>
    <w:p w14:paraId="511A4F32" w14:textId="77777777" w:rsidR="00577EBA" w:rsidRPr="006E412F" w:rsidRDefault="007A63D9">
      <w:pPr>
        <w:tabs>
          <w:tab w:val="left" w:pos="993"/>
        </w:tabs>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b/>
          <w:i/>
        </w:rPr>
        <w:t>e)</w:t>
      </w:r>
      <w:r w:rsidRPr="006E412F">
        <w:rPr>
          <w:rFonts w:ascii="Palatino Linotype" w:eastAsia="Palatino Linotype" w:hAnsi="Palatino Linotype" w:cs="Palatino Linotype"/>
          <w:i/>
        </w:rPr>
        <w:t xml:space="preserve"> Registro e identificación del personal autorizado para el tratamiento de los documentos o expedientes a revisar;</w:t>
      </w:r>
    </w:p>
    <w:p w14:paraId="795D08E7" w14:textId="77777777" w:rsidR="00577EBA" w:rsidRPr="006E412F" w:rsidRDefault="007A63D9">
      <w:pPr>
        <w:tabs>
          <w:tab w:val="left" w:pos="993"/>
        </w:tabs>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b/>
          <w:i/>
        </w:rPr>
        <w:t>f)</w:t>
      </w:r>
      <w:r w:rsidRPr="006E412F">
        <w:rPr>
          <w:rFonts w:ascii="Palatino Linotype" w:eastAsia="Palatino Linotype" w:hAnsi="Palatino Linotype" w:cs="Palatino Linotype"/>
          <w:i/>
        </w:rPr>
        <w:t xml:space="preserve"> Registro e identificación de los particulares autorizados para llevar a cabo la consulta directa, y </w:t>
      </w:r>
    </w:p>
    <w:p w14:paraId="012B7AA9" w14:textId="77777777" w:rsidR="00577EBA" w:rsidRPr="006E412F" w:rsidRDefault="007A63D9">
      <w:pPr>
        <w:tabs>
          <w:tab w:val="left" w:pos="993"/>
        </w:tabs>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b/>
          <w:i/>
        </w:rPr>
        <w:t>g)</w:t>
      </w:r>
      <w:r w:rsidRPr="006E412F">
        <w:rPr>
          <w:rFonts w:ascii="Palatino Linotype" w:eastAsia="Palatino Linotype" w:hAnsi="Palatino Linotype" w:cs="Palatino Linotype"/>
          <w:i/>
        </w:rPr>
        <w:t xml:space="preserve"> Las demás que, a criterio de los sujetos obligados, resulten necesarias. </w:t>
      </w:r>
    </w:p>
    <w:p w14:paraId="7C0D58DE" w14:textId="77777777" w:rsidR="00577EBA" w:rsidRPr="006E412F" w:rsidRDefault="007A63D9">
      <w:pPr>
        <w:tabs>
          <w:tab w:val="left" w:pos="993"/>
        </w:tabs>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b/>
          <w:i/>
        </w:rPr>
        <w:t>VII.</w:t>
      </w:r>
      <w:r w:rsidRPr="006E412F">
        <w:rPr>
          <w:rFonts w:ascii="Palatino Linotype" w:eastAsia="Palatino Linotype" w:hAnsi="Palatino Linotype" w:cs="Palatino Linotype"/>
          <w:i/>
        </w:rPr>
        <w:t xml:space="preserve"> Hacer del conocimiento del solicitante, previo al acceso a la información, las reglas a que se sujetará la consulta para garantizar la integridad de los documentos, y</w:t>
      </w:r>
    </w:p>
    <w:p w14:paraId="271734B0" w14:textId="77777777" w:rsidR="00577EBA" w:rsidRPr="006E412F" w:rsidRDefault="007A63D9">
      <w:pPr>
        <w:tabs>
          <w:tab w:val="left" w:pos="993"/>
        </w:tabs>
        <w:spacing w:after="0" w:line="276" w:lineRule="auto"/>
        <w:ind w:left="567" w:right="560"/>
        <w:jc w:val="both"/>
        <w:rPr>
          <w:rFonts w:ascii="Palatino Linotype" w:eastAsia="Palatino Linotype" w:hAnsi="Palatino Linotype" w:cs="Palatino Linotype"/>
          <w:b/>
          <w:i/>
        </w:rPr>
      </w:pPr>
      <w:r w:rsidRPr="006E412F">
        <w:rPr>
          <w:rFonts w:ascii="Palatino Linotype" w:eastAsia="Palatino Linotype" w:hAnsi="Palatino Linotype" w:cs="Palatino Linotype"/>
          <w:b/>
          <w:i/>
        </w:rPr>
        <w:t>VIII.</w:t>
      </w:r>
      <w:r w:rsidRPr="006E412F">
        <w:rPr>
          <w:rFonts w:ascii="Palatino Linotype" w:eastAsia="Palatino Linotype" w:hAnsi="Palatino Linotype" w:cs="Palatino Linotype"/>
          <w:i/>
        </w:rPr>
        <w:t xml:space="preserve"> Para el caso de documentos que contengan partes o secciones clasificadas como reservadas o confidenciales, el sujeto obligado deberá hacer del conocimiento del solicitante, </w:t>
      </w:r>
      <w:r w:rsidRPr="006E412F">
        <w:rPr>
          <w:rFonts w:ascii="Palatino Linotype" w:eastAsia="Palatino Linotype" w:hAnsi="Palatino Linotype" w:cs="Palatino Linotype"/>
          <w:b/>
          <w:i/>
        </w:rPr>
        <w:t xml:space="preserve">previo al acceso a la información, la resolución debidamente fundada y motivada del Comité de Transparencia, en la que se clasificaron las partes o secciones que no podrán dejarse a la vista del solicitante. </w:t>
      </w:r>
    </w:p>
    <w:p w14:paraId="404D0281" w14:textId="77777777" w:rsidR="00577EBA" w:rsidRPr="006E412F" w:rsidRDefault="007A63D9">
      <w:pPr>
        <w:tabs>
          <w:tab w:val="left" w:pos="993"/>
        </w:tabs>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b/>
          <w:i/>
        </w:rPr>
        <w:t xml:space="preserve">Septuagésimo primero. </w:t>
      </w:r>
      <w:r w:rsidRPr="006E412F">
        <w:rPr>
          <w:rFonts w:ascii="Palatino Linotype" w:eastAsia="Palatino Linotype" w:hAnsi="Palatino Linotype" w:cs="Palatino Linotype"/>
          <w:i/>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6565DC0A" w14:textId="77777777" w:rsidR="00577EBA" w:rsidRPr="006E412F" w:rsidRDefault="007A63D9">
      <w:pPr>
        <w:tabs>
          <w:tab w:val="left" w:pos="993"/>
        </w:tabs>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 xml:space="preserve">El solicitante deberá observar en todo momento las reglas que el sujeto obligado haya hecho de su conocimiento para efectos de la conservación de los documentos. </w:t>
      </w:r>
    </w:p>
    <w:p w14:paraId="0FB748EC" w14:textId="77777777" w:rsidR="00577EBA" w:rsidRPr="006E412F" w:rsidRDefault="007A63D9">
      <w:pPr>
        <w:tabs>
          <w:tab w:val="left" w:pos="993"/>
        </w:tabs>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b/>
          <w:i/>
        </w:rPr>
        <w:t>Septuagésimo segundo.</w:t>
      </w:r>
      <w:r w:rsidRPr="006E412F">
        <w:rPr>
          <w:rFonts w:ascii="Palatino Linotype" w:eastAsia="Palatino Linotype" w:hAnsi="Palatino Linotype" w:cs="Palatino Linotype"/>
          <w:i/>
        </w:rPr>
        <w:t xml:space="preserve"> El solicitante deberá realizar la consulta de los documentos requeridos en el lugar, horarios y con la persona destinada para tal efecto. </w:t>
      </w:r>
    </w:p>
    <w:p w14:paraId="05753EAF" w14:textId="77777777" w:rsidR="00577EBA" w:rsidRPr="006E412F" w:rsidRDefault="007A63D9">
      <w:pPr>
        <w:tabs>
          <w:tab w:val="left" w:pos="993"/>
        </w:tabs>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7DF274D8" w14:textId="77777777" w:rsidR="00577EBA" w:rsidRPr="006E412F" w:rsidRDefault="007A63D9">
      <w:pPr>
        <w:tabs>
          <w:tab w:val="left" w:pos="993"/>
        </w:tabs>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b/>
          <w:i/>
        </w:rPr>
        <w:t>Septuagésimo tercero</w:t>
      </w:r>
      <w:r w:rsidRPr="006E412F">
        <w:rPr>
          <w:rFonts w:ascii="Palatino Linotype" w:eastAsia="Palatino Linotype" w:hAnsi="Palatino Linotype" w:cs="Palatino Linotype"/>
          <w:i/>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5979884A" w14:textId="77777777" w:rsidR="00577EBA" w:rsidRPr="006E412F" w:rsidRDefault="007A63D9">
      <w:pPr>
        <w:tabs>
          <w:tab w:val="left" w:pos="993"/>
        </w:tabs>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La información deberá ser entregada sin costo, cuando implique la entrega de no más de veinte hojas simples.”</w:t>
      </w:r>
    </w:p>
    <w:p w14:paraId="266E689C" w14:textId="77777777" w:rsidR="00577EBA" w:rsidRPr="006E412F" w:rsidRDefault="00577EBA">
      <w:pPr>
        <w:spacing w:after="0" w:line="360" w:lineRule="auto"/>
        <w:jc w:val="both"/>
        <w:rPr>
          <w:rFonts w:ascii="Palatino Linotype" w:eastAsia="Palatino Linotype" w:hAnsi="Palatino Linotype" w:cs="Palatino Linotype"/>
          <w:sz w:val="24"/>
          <w:szCs w:val="24"/>
        </w:rPr>
      </w:pPr>
    </w:p>
    <w:p w14:paraId="74AFE775" w14:textId="77777777" w:rsidR="00577EBA" w:rsidRPr="006E412F" w:rsidRDefault="007A63D9">
      <w:pPr>
        <w:spacing w:after="0" w:line="360" w:lineRule="auto"/>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Por lo anterior, este Organismo Garante determina que no es procedente el cambio de modalidad propuesto por el Sujeto Obligado, de tal forma, que la información solicitada y de la que pretendía dicho cambio de modalidad, deberá ser proporcionada a través del Sistema de Acceso a la Información Mexiquense. </w:t>
      </w:r>
    </w:p>
    <w:p w14:paraId="1B4F7BF3" w14:textId="2F0B8530" w:rsidR="00577EBA" w:rsidRPr="006E412F" w:rsidRDefault="00577EBA">
      <w:pPr>
        <w:spacing w:after="0" w:line="360" w:lineRule="auto"/>
        <w:jc w:val="both"/>
        <w:rPr>
          <w:rFonts w:ascii="Palatino Linotype" w:eastAsia="Palatino Linotype" w:hAnsi="Palatino Linotype" w:cs="Palatino Linotype"/>
          <w:sz w:val="24"/>
          <w:szCs w:val="24"/>
        </w:rPr>
      </w:pPr>
    </w:p>
    <w:p w14:paraId="4C415456" w14:textId="295A3DB4" w:rsidR="000B1BDB" w:rsidRPr="006E412F" w:rsidRDefault="000B1BDB">
      <w:pPr>
        <w:spacing w:after="0" w:line="360" w:lineRule="auto"/>
        <w:jc w:val="both"/>
        <w:rPr>
          <w:rFonts w:ascii="Palatino Linotype" w:hAnsi="Palatino Linotype"/>
          <w:iCs/>
          <w:sz w:val="24"/>
          <w:szCs w:val="24"/>
          <w:lang w:val="es-ES_tradnl"/>
        </w:rPr>
      </w:pPr>
      <w:r w:rsidRPr="006E412F">
        <w:rPr>
          <w:rFonts w:ascii="Palatino Linotype" w:eastAsia="Palatino Linotype" w:hAnsi="Palatino Linotype" w:cs="Palatino Linotype"/>
          <w:sz w:val="24"/>
          <w:szCs w:val="24"/>
        </w:rPr>
        <w:t xml:space="preserve">Por último, no está por demás señalar, que el Recurrente, solicitó obtener diversa información relacionada con los procedimientos de contratación y adquisición de bienes y servicios, no obstante, parte de la información que desea obtener, puede o no que se encuentre en posesión del Sujeto Obligado, tal es el caso de </w:t>
      </w:r>
      <w:r w:rsidR="00F65E46" w:rsidRPr="006E412F">
        <w:rPr>
          <w:rFonts w:ascii="Palatino Linotype" w:eastAsia="Palatino Linotype" w:hAnsi="Palatino Linotype" w:cs="Palatino Linotype"/>
          <w:sz w:val="24"/>
          <w:szCs w:val="24"/>
        </w:rPr>
        <w:t xml:space="preserve">la </w:t>
      </w:r>
      <w:r w:rsidR="00F65E46" w:rsidRPr="006E412F">
        <w:rPr>
          <w:rFonts w:ascii="Palatino Linotype" w:hAnsi="Palatino Linotype"/>
          <w:iCs/>
          <w:sz w:val="24"/>
          <w:szCs w:val="24"/>
          <w:lang w:val="es-ES_tradnl"/>
        </w:rPr>
        <w:t xml:space="preserve">referencia del expediente, título de expediente y convenio modificatorio; lo anterior, debido a que, esta información, no corresponde a información que deba estar publicada como parte de las obligaciones de transparencia del Sujeto Obligado, de conformidad con la Ley de Transparencia y Acceso a la Información Pública del Estado de México y Municipios y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p>
    <w:p w14:paraId="507EB885" w14:textId="77777777" w:rsidR="00F65E46" w:rsidRPr="006E412F" w:rsidRDefault="00F65E46">
      <w:pPr>
        <w:spacing w:after="0" w:line="360" w:lineRule="auto"/>
        <w:jc w:val="both"/>
        <w:rPr>
          <w:rFonts w:ascii="Palatino Linotype" w:eastAsia="Palatino Linotype" w:hAnsi="Palatino Linotype" w:cs="Palatino Linotype"/>
          <w:sz w:val="24"/>
          <w:szCs w:val="24"/>
        </w:rPr>
      </w:pPr>
    </w:p>
    <w:p w14:paraId="2EF266D5" w14:textId="7F95639B" w:rsidR="00577EBA" w:rsidRPr="006E412F" w:rsidRDefault="007A63D9" w:rsidP="0082059A">
      <w:pPr>
        <w:spacing w:after="0" w:line="360" w:lineRule="auto"/>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Derivado del estudio realizado a las actuaciones que obran en el expediente electrónico, se colige que, los agravios hechos valer por el Particular son </w:t>
      </w:r>
      <w:r w:rsidRPr="006E412F">
        <w:rPr>
          <w:rFonts w:ascii="Palatino Linotype" w:eastAsia="Palatino Linotype" w:hAnsi="Palatino Linotype" w:cs="Palatino Linotype"/>
          <w:b/>
          <w:sz w:val="24"/>
          <w:szCs w:val="24"/>
        </w:rPr>
        <w:t xml:space="preserve">FUNDADOS </w:t>
      </w:r>
      <w:r w:rsidRPr="006E412F">
        <w:rPr>
          <w:rFonts w:ascii="Palatino Linotype" w:eastAsia="Palatino Linotype" w:hAnsi="Palatino Linotype" w:cs="Palatino Linotype"/>
          <w:sz w:val="24"/>
          <w:szCs w:val="24"/>
        </w:rPr>
        <w:t xml:space="preserve">lo que, se determina </w:t>
      </w:r>
      <w:r w:rsidRPr="006E412F">
        <w:rPr>
          <w:rFonts w:ascii="Palatino Linotype" w:eastAsia="Palatino Linotype" w:hAnsi="Palatino Linotype" w:cs="Palatino Linotype"/>
          <w:b/>
          <w:sz w:val="24"/>
          <w:szCs w:val="24"/>
        </w:rPr>
        <w:t xml:space="preserve">MODIFICAR </w:t>
      </w:r>
      <w:r w:rsidRPr="006E412F">
        <w:rPr>
          <w:rFonts w:ascii="Palatino Linotype" w:eastAsia="Palatino Linotype" w:hAnsi="Palatino Linotype" w:cs="Palatino Linotype"/>
          <w:sz w:val="24"/>
          <w:szCs w:val="24"/>
        </w:rPr>
        <w:t xml:space="preserve">la respuesta del Sujeto Obligado y </w:t>
      </w:r>
      <w:r w:rsidRPr="006E412F">
        <w:rPr>
          <w:rFonts w:ascii="Palatino Linotype" w:eastAsia="Palatino Linotype" w:hAnsi="Palatino Linotype" w:cs="Palatino Linotype"/>
          <w:b/>
          <w:sz w:val="24"/>
          <w:szCs w:val="24"/>
        </w:rPr>
        <w:t xml:space="preserve">ORDENAR </w:t>
      </w:r>
      <w:r w:rsidRPr="006E412F">
        <w:rPr>
          <w:rFonts w:ascii="Palatino Linotype" w:eastAsia="Palatino Linotype" w:hAnsi="Palatino Linotype" w:cs="Palatino Linotype"/>
          <w:sz w:val="24"/>
          <w:szCs w:val="24"/>
        </w:rPr>
        <w:t>la siguiente información, vía Sistema de Acceso a la Información Mexiquense,</w:t>
      </w:r>
    </w:p>
    <w:p w14:paraId="769E58F7" w14:textId="77777777" w:rsidR="0082059A" w:rsidRPr="006E412F" w:rsidRDefault="0082059A" w:rsidP="0082059A">
      <w:pPr>
        <w:spacing w:after="0" w:line="360" w:lineRule="auto"/>
        <w:ind w:right="49"/>
        <w:jc w:val="both"/>
        <w:rPr>
          <w:rFonts w:ascii="Palatino Linotype" w:eastAsia="Palatino Linotype" w:hAnsi="Palatino Linotype" w:cs="Palatino Linotype"/>
          <w:sz w:val="24"/>
          <w:szCs w:val="24"/>
        </w:rPr>
      </w:pPr>
    </w:p>
    <w:p w14:paraId="33C7F471" w14:textId="77777777" w:rsidR="0082059A" w:rsidRPr="006E412F" w:rsidRDefault="0082059A" w:rsidP="0082059A">
      <w:pPr>
        <w:pBdr>
          <w:top w:val="nil"/>
          <w:left w:val="nil"/>
          <w:bottom w:val="nil"/>
          <w:right w:val="nil"/>
          <w:between w:val="nil"/>
        </w:pBdr>
        <w:spacing w:after="0" w:line="360" w:lineRule="auto"/>
        <w:ind w:left="567" w:right="843"/>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a) Acuerdo emitido por el Comité de Transparencia donde confirme la inexistencia del Padrón de Proveedores de los años 2016, 2017 y 2018, conforme a lo establecido en el artículo 19, párrafo tercero, 169 y 170 de la Ley de Transparencia y Acceso a la Información Pública del Estado de México y Municipios</w:t>
      </w:r>
      <w:r w:rsidRPr="006E412F">
        <w:rPr>
          <w:rFonts w:ascii="Palatino Linotype" w:eastAsia="Palatino Linotype" w:hAnsi="Palatino Linotype" w:cs="Palatino Linotype"/>
        </w:rPr>
        <w:t xml:space="preserve">. </w:t>
      </w:r>
    </w:p>
    <w:p w14:paraId="18F95E82" w14:textId="77777777" w:rsidR="0082059A" w:rsidRPr="006E412F" w:rsidRDefault="0082059A" w:rsidP="0082059A">
      <w:pPr>
        <w:pBdr>
          <w:top w:val="nil"/>
          <w:left w:val="nil"/>
          <w:bottom w:val="nil"/>
          <w:right w:val="nil"/>
          <w:between w:val="nil"/>
        </w:pBdr>
        <w:spacing w:after="0" w:line="360" w:lineRule="auto"/>
        <w:ind w:left="567" w:right="843"/>
        <w:jc w:val="both"/>
        <w:rPr>
          <w:rFonts w:ascii="Palatino Linotype" w:eastAsia="Palatino Linotype" w:hAnsi="Palatino Linotype" w:cs="Palatino Linotype"/>
        </w:rPr>
      </w:pPr>
    </w:p>
    <w:p w14:paraId="31AB5155" w14:textId="77777777" w:rsidR="0082059A" w:rsidRPr="006E412F" w:rsidRDefault="0082059A" w:rsidP="0082059A">
      <w:pPr>
        <w:pBdr>
          <w:top w:val="nil"/>
          <w:left w:val="nil"/>
          <w:bottom w:val="nil"/>
          <w:right w:val="nil"/>
          <w:between w:val="nil"/>
        </w:pBdr>
        <w:spacing w:after="0" w:line="360" w:lineRule="auto"/>
        <w:ind w:left="567" w:right="843"/>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b/>
          <w:sz w:val="24"/>
          <w:szCs w:val="24"/>
        </w:rPr>
        <w:t xml:space="preserve">De los procedimientos de licitación pública, invitación restringida y adjudicación directa: </w:t>
      </w:r>
    </w:p>
    <w:p w14:paraId="145BF4E3" w14:textId="77777777" w:rsidR="0082059A" w:rsidRPr="006E412F" w:rsidRDefault="0082059A" w:rsidP="0082059A">
      <w:pPr>
        <w:pBdr>
          <w:top w:val="nil"/>
          <w:left w:val="nil"/>
          <w:bottom w:val="nil"/>
          <w:right w:val="nil"/>
          <w:between w:val="nil"/>
        </w:pBdr>
        <w:spacing w:after="0" w:line="360" w:lineRule="auto"/>
        <w:ind w:left="567" w:right="843"/>
        <w:jc w:val="both"/>
        <w:rPr>
          <w:rFonts w:ascii="Palatino Linotype" w:eastAsia="Palatino Linotype" w:hAnsi="Palatino Linotype" w:cs="Palatino Linotype"/>
          <w:sz w:val="24"/>
          <w:szCs w:val="24"/>
        </w:rPr>
      </w:pPr>
    </w:p>
    <w:p w14:paraId="26CE5520" w14:textId="77777777" w:rsidR="0082059A" w:rsidRPr="006E412F" w:rsidRDefault="0082059A" w:rsidP="0082059A">
      <w:pPr>
        <w:pBdr>
          <w:top w:val="nil"/>
          <w:left w:val="nil"/>
          <w:bottom w:val="nil"/>
          <w:right w:val="nil"/>
          <w:between w:val="nil"/>
        </w:pBdr>
        <w:spacing w:after="0" w:line="360" w:lineRule="auto"/>
        <w:ind w:left="567" w:right="843"/>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b) Documentos donde conste la institución, nombre de la unidad convocante, código del expediente, referencia del expediente, título del expediente, fundamento legal, número del procedimiento, fecha de fallo, fecha de publicación de la convocatoria, tipo de contratación, tipo de procedimiento, título de contrato, descripción del contrato, importe del contrato, convenio modificatorio, Registro Federal de Contribuyentes y nombre de los proveedores y contratista y; dirección del anuncio, de los años 2012, 2013, 2014, 2015, 2016, 2017, 2018, 2019, 2020, 2021 y del uno de enero al veintinueve de abril de 2022.  </w:t>
      </w:r>
    </w:p>
    <w:p w14:paraId="54A469FE" w14:textId="77777777" w:rsidR="0082059A" w:rsidRPr="006E412F" w:rsidRDefault="0082059A" w:rsidP="0082059A">
      <w:pPr>
        <w:pBdr>
          <w:top w:val="nil"/>
          <w:left w:val="nil"/>
          <w:bottom w:val="nil"/>
          <w:right w:val="nil"/>
          <w:between w:val="nil"/>
        </w:pBdr>
        <w:spacing w:after="0" w:line="360" w:lineRule="auto"/>
        <w:ind w:left="567" w:right="843"/>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c) Padrón de Proveedores de los años 2012, 2013, 2014, 2015, 2018, 2019, 2020, 2021 y 2022.  </w:t>
      </w:r>
    </w:p>
    <w:p w14:paraId="4283060C" w14:textId="77777777" w:rsidR="0082059A" w:rsidRPr="006E412F" w:rsidRDefault="0082059A" w:rsidP="0082059A">
      <w:pPr>
        <w:spacing w:after="0" w:line="360" w:lineRule="auto"/>
        <w:ind w:right="49"/>
        <w:jc w:val="both"/>
        <w:rPr>
          <w:rFonts w:ascii="Palatino Linotype" w:eastAsia="Palatino Linotype" w:hAnsi="Palatino Linotype" w:cs="Palatino Linotype"/>
          <w:b/>
        </w:rPr>
      </w:pPr>
    </w:p>
    <w:p w14:paraId="378BCCDB" w14:textId="77777777" w:rsidR="0082059A" w:rsidRPr="006E412F" w:rsidRDefault="0082059A" w:rsidP="0082059A">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093EC6E0" w14:textId="77777777" w:rsidR="0082059A" w:rsidRPr="006E412F" w:rsidRDefault="0082059A" w:rsidP="0082059A">
      <w:pPr>
        <w:spacing w:after="0" w:line="360" w:lineRule="auto"/>
        <w:ind w:right="49"/>
        <w:jc w:val="both"/>
        <w:rPr>
          <w:rFonts w:ascii="Palatino Linotype" w:eastAsia="Palatino Linotype" w:hAnsi="Palatino Linotype" w:cs="Palatino Linotype"/>
          <w:sz w:val="24"/>
          <w:szCs w:val="24"/>
        </w:rPr>
      </w:pPr>
    </w:p>
    <w:p w14:paraId="486046A2" w14:textId="77777777" w:rsidR="0082059A" w:rsidRPr="006E412F" w:rsidRDefault="0082059A" w:rsidP="0082059A">
      <w:pPr>
        <w:tabs>
          <w:tab w:val="left" w:pos="993"/>
        </w:tabs>
        <w:spacing w:line="360" w:lineRule="auto"/>
        <w:ind w:right="-28"/>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De no contar con la información que conforman los expedientes derivados de procedimientos de licitación pública, adjudicación directa e invitación restringida de los años 2012, 2013, 2014 y 2015, el Sujeto Obligado deberá proporcionar el Acuerdo del Comité de Transparencia donde conforme la inexistencia de la información conforme a lo establecido en el artículo 19, párrafo tercero, 169 y 170 de la Ley de Transparencia y Acceso a la Información Pública del Estado de México y Municipios, lo mismo sucederá si derivado de la búsqueda efectuada de los años 2016, 2017 y 2018, el Sujeto Obligado no hallase algún documento solicitado en dichos expedientes. </w:t>
      </w:r>
    </w:p>
    <w:p w14:paraId="308284BA" w14:textId="77777777" w:rsidR="0082059A" w:rsidRPr="006E412F" w:rsidRDefault="0082059A" w:rsidP="0082059A">
      <w:pPr>
        <w:tabs>
          <w:tab w:val="left" w:pos="993"/>
        </w:tabs>
        <w:spacing w:after="0" w:line="360" w:lineRule="auto"/>
        <w:ind w:right="-28"/>
        <w:jc w:val="both"/>
        <w:rPr>
          <w:rFonts w:ascii="Palatino Linotype" w:eastAsia="Palatino Linotype" w:hAnsi="Palatino Linotype" w:cs="Palatino Linotype"/>
          <w:sz w:val="24"/>
          <w:szCs w:val="24"/>
        </w:rPr>
      </w:pPr>
    </w:p>
    <w:p w14:paraId="1A2A9F2D" w14:textId="77777777" w:rsidR="0082059A" w:rsidRPr="006E412F" w:rsidRDefault="0082059A" w:rsidP="0082059A">
      <w:pPr>
        <w:spacing w:line="360" w:lineRule="auto"/>
        <w:contextualSpacing/>
        <w:jc w:val="both"/>
        <w:rPr>
          <w:rFonts w:ascii="Palatino Linotype" w:hAnsi="Palatino Linotype"/>
          <w:sz w:val="24"/>
          <w:szCs w:val="24"/>
        </w:rPr>
      </w:pPr>
      <w:r w:rsidRPr="006E412F">
        <w:rPr>
          <w:rFonts w:ascii="Palatino Linotype" w:hAnsi="Palatino Linotype"/>
          <w:iCs/>
          <w:sz w:val="24"/>
          <w:szCs w:val="24"/>
          <w:lang w:val="es-ES_tradnl"/>
        </w:rPr>
        <w:t xml:space="preserve">En el supuesto de que la información relativa a la referencia del expediente, título de expediente y convenio modificatorio, que se ordena en el inciso b), no obre en los archivos del Sujeto Obligado, deberá hacerlo del conocimiento de la parte Recurrente en términos del segundo párrafo del artículo 19 de la Ley en la materia, para tener por colmado el requerimiento de información. </w:t>
      </w:r>
    </w:p>
    <w:p w14:paraId="582F47C0" w14:textId="77777777" w:rsidR="00577EBA" w:rsidRPr="006E412F" w:rsidRDefault="00577EBA">
      <w:pPr>
        <w:tabs>
          <w:tab w:val="left" w:pos="993"/>
        </w:tabs>
        <w:spacing w:after="0" w:line="360" w:lineRule="auto"/>
        <w:ind w:right="-28"/>
        <w:jc w:val="both"/>
        <w:rPr>
          <w:rFonts w:ascii="Palatino Linotype" w:eastAsia="Palatino Linotype" w:hAnsi="Palatino Linotype" w:cs="Palatino Linotype"/>
          <w:sz w:val="24"/>
          <w:szCs w:val="24"/>
        </w:rPr>
      </w:pPr>
    </w:p>
    <w:p w14:paraId="28E06B61"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b/>
          <w:sz w:val="24"/>
          <w:szCs w:val="24"/>
        </w:rPr>
        <w:t>Quinto. De la versión pública.</w:t>
      </w:r>
      <w:r w:rsidRPr="006E412F">
        <w:rPr>
          <w:rFonts w:ascii="Palatino Linotype" w:eastAsia="Palatino Linotype" w:hAnsi="Palatino Linotype" w:cs="Palatino Linotype"/>
          <w:sz w:val="24"/>
          <w:szCs w:val="24"/>
        </w:rPr>
        <w:t xml:space="preserve"> En atención a las documentales que se determinan ordenar, existe la posibilidad de que en estos obre información que puede ser considerada confidencial o reservada, cuyo acceso debe ser restringido al momento de elaborar la versión pública correspondiente, en atención a ello, es conveniente referir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44842322"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1C44A05A"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De este modo, en armonía entre los principios constitucionales de máxima publicidad y de protección de datos personales, la Ley de Transparencia y Acceso a la Información Pública, permite la elaboración de versiones públicas en las que se suprima aquella información relacionada con la vida privada de las personas, tal como se prevé a continuación:</w:t>
      </w:r>
    </w:p>
    <w:p w14:paraId="0FC85DBD"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14C0C240"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b/>
          <w:sz w:val="24"/>
          <w:szCs w:val="24"/>
        </w:rPr>
        <w:t xml:space="preserve"> </w:t>
      </w:r>
      <w:r w:rsidRPr="006E412F">
        <w:rPr>
          <w:rFonts w:ascii="Palatino Linotype" w:eastAsia="Palatino Linotype" w:hAnsi="Palatino Linotype" w:cs="Palatino Linotype"/>
          <w:b/>
          <w:i/>
        </w:rPr>
        <w:t>Artículo 143.</w:t>
      </w:r>
      <w:r w:rsidRPr="006E412F">
        <w:rPr>
          <w:rFonts w:ascii="Palatino Linotype" w:eastAsia="Palatino Linotype" w:hAnsi="Palatino Linotype" w:cs="Palatino Linotype"/>
          <w:i/>
        </w:rPr>
        <w:t xml:space="preserve"> Para los efectos de esta Ley se considera información confidencial, la clasificada como tal, de manera permanente, por su naturaleza, cuando:</w:t>
      </w:r>
    </w:p>
    <w:p w14:paraId="41E8D9A2"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I.</w:t>
      </w:r>
      <w:r w:rsidRPr="006E412F">
        <w:rPr>
          <w:rFonts w:ascii="Palatino Linotype" w:eastAsia="Palatino Linotype" w:hAnsi="Palatino Linotype" w:cs="Palatino Linotype"/>
          <w:i/>
        </w:rPr>
        <w:tab/>
        <w:t xml:space="preserve">Se refiera a la información privada y los datos personales concernientes a una persona física o </w:t>
      </w:r>
      <w:proofErr w:type="gramStart"/>
      <w:r w:rsidRPr="006E412F">
        <w:rPr>
          <w:rFonts w:ascii="Palatino Linotype" w:eastAsia="Palatino Linotype" w:hAnsi="Palatino Linotype" w:cs="Palatino Linotype"/>
          <w:i/>
        </w:rPr>
        <w:t>jurídico</w:t>
      </w:r>
      <w:proofErr w:type="gramEnd"/>
      <w:r w:rsidRPr="006E412F">
        <w:rPr>
          <w:rFonts w:ascii="Palatino Linotype" w:eastAsia="Palatino Linotype" w:hAnsi="Palatino Linotype" w:cs="Palatino Linotype"/>
          <w:i/>
        </w:rPr>
        <w:t xml:space="preserve"> colectiva identificada o identificable…</w:t>
      </w:r>
    </w:p>
    <w:p w14:paraId="1CF1E12A"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0657BC69"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De los preceptos anteriores se desprende que cuando un documento sea proporcionado vía acceso a la información pública, deberá ser entregado testando las secciones o datos que deban ser clasificados, o en su caso, negar el acceso absoluto, cuando se actualicen los supuestos previstos por la Ley en la materia.</w:t>
      </w:r>
    </w:p>
    <w:p w14:paraId="6EE3CBCD"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340E7880"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Ahora bien, es de señalar que la clasificación de la información no opera con la simple supresión de datos que se haga en los documentos de que se trate, sino que deberá seguirse el proceso que disponen los artículos 49 fracción VIII, 53, fracción X y 59, fracción V, de la Ley en consulta, que refieren lo siguiente:</w:t>
      </w:r>
    </w:p>
    <w:p w14:paraId="2A319840"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4BAA893E"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b/>
          <w:i/>
        </w:rPr>
        <w:t>Artículo 49.</w:t>
      </w:r>
      <w:r w:rsidRPr="006E412F">
        <w:rPr>
          <w:rFonts w:ascii="Palatino Linotype" w:eastAsia="Palatino Linotype" w:hAnsi="Palatino Linotype" w:cs="Palatino Linotype"/>
          <w:i/>
        </w:rPr>
        <w:t xml:space="preserve"> Los Comités de Transparencia tendrán las siguientes atribuciones:</w:t>
      </w:r>
    </w:p>
    <w:p w14:paraId="685FFFFD"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w:t>
      </w:r>
    </w:p>
    <w:p w14:paraId="45EC7F67"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VIII. Aprobar, modificar o revocar la clasificación de la información</w:t>
      </w:r>
    </w:p>
    <w:p w14:paraId="1CE05AE0"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w:t>
      </w:r>
    </w:p>
    <w:p w14:paraId="660B0FA6" w14:textId="77777777" w:rsidR="00577EBA" w:rsidRPr="006E412F" w:rsidRDefault="00577EBA">
      <w:pPr>
        <w:spacing w:after="0" w:line="276" w:lineRule="auto"/>
        <w:ind w:left="567" w:right="560"/>
        <w:jc w:val="both"/>
        <w:rPr>
          <w:rFonts w:ascii="Palatino Linotype" w:eastAsia="Palatino Linotype" w:hAnsi="Palatino Linotype" w:cs="Palatino Linotype"/>
          <w:i/>
        </w:rPr>
      </w:pPr>
    </w:p>
    <w:p w14:paraId="5164500F"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b/>
          <w:i/>
        </w:rPr>
        <w:t>Artículo 53.</w:t>
      </w:r>
      <w:r w:rsidRPr="006E412F">
        <w:rPr>
          <w:rFonts w:ascii="Palatino Linotype" w:eastAsia="Palatino Linotype" w:hAnsi="Palatino Linotype" w:cs="Palatino Linotype"/>
          <w:i/>
        </w:rPr>
        <w:t xml:space="preserve"> Las Unidades de Transparencia tendrán las siguientes funciones:</w:t>
      </w:r>
    </w:p>
    <w:p w14:paraId="106039DA"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w:t>
      </w:r>
    </w:p>
    <w:p w14:paraId="569810F9"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 xml:space="preserve">X. Presentar ante el Comité, el proyecto de clasificación de información…” </w:t>
      </w:r>
    </w:p>
    <w:p w14:paraId="22D003D0"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w:t>
      </w:r>
    </w:p>
    <w:p w14:paraId="212F16DC" w14:textId="77777777" w:rsidR="00577EBA" w:rsidRPr="006E412F" w:rsidRDefault="00577EBA">
      <w:pPr>
        <w:spacing w:after="0" w:line="276" w:lineRule="auto"/>
        <w:ind w:left="567" w:right="560"/>
        <w:jc w:val="both"/>
        <w:rPr>
          <w:rFonts w:ascii="Palatino Linotype" w:eastAsia="Palatino Linotype" w:hAnsi="Palatino Linotype" w:cs="Palatino Linotype"/>
          <w:i/>
        </w:rPr>
      </w:pPr>
    </w:p>
    <w:p w14:paraId="268CB6A9"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b/>
          <w:i/>
        </w:rPr>
        <w:t>Artículo 59.</w:t>
      </w:r>
      <w:r w:rsidRPr="006E412F">
        <w:rPr>
          <w:rFonts w:ascii="Palatino Linotype" w:eastAsia="Palatino Linotype" w:hAnsi="Palatino Linotype" w:cs="Palatino Linotype"/>
          <w:i/>
        </w:rPr>
        <w:t xml:space="preserve"> Los servidores públicos habilitados tendrán las funciones siguientes:</w:t>
      </w:r>
    </w:p>
    <w:p w14:paraId="7F4848D5"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w:t>
      </w:r>
    </w:p>
    <w:p w14:paraId="131F129C"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V. Integrar y presentar al responsable de la Unidad de Transparencia la propuesta de clasificación de información, la cual tendrá los fundamentos y argumentos en que se basa dicha propuesta</w:t>
      </w:r>
    </w:p>
    <w:p w14:paraId="2A19AEA2"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w:t>
      </w:r>
    </w:p>
    <w:p w14:paraId="364D4D07" w14:textId="77777777" w:rsidR="00577EBA" w:rsidRPr="006E412F" w:rsidRDefault="007A63D9">
      <w:pPr>
        <w:spacing w:after="0" w:line="276"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i/>
        </w:rPr>
        <w:t xml:space="preserve"> </w:t>
      </w:r>
    </w:p>
    <w:p w14:paraId="4E90C6A8"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Por último, cabe resaltar que respecto a la versión pública de los documentos que contenga la información solicitada, el Comité de Transparencia del sujeto obligado, deberá emitir el acuerdo de clasificación de información debidamente fundado y motivado, en términos del artículo 149 de la Ley en la materia, que establece: </w:t>
      </w:r>
    </w:p>
    <w:p w14:paraId="2321EEF4"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67D8CAE6" w14:textId="77777777" w:rsidR="00577EBA" w:rsidRPr="006E412F" w:rsidRDefault="007A63D9">
      <w:pPr>
        <w:spacing w:after="0" w:line="360" w:lineRule="auto"/>
        <w:ind w:left="567" w:right="560"/>
        <w:jc w:val="both"/>
        <w:rPr>
          <w:rFonts w:ascii="Palatino Linotype" w:eastAsia="Palatino Linotype" w:hAnsi="Palatino Linotype" w:cs="Palatino Linotype"/>
          <w:i/>
        </w:rPr>
      </w:pPr>
      <w:r w:rsidRPr="006E412F">
        <w:rPr>
          <w:rFonts w:ascii="Palatino Linotype" w:eastAsia="Palatino Linotype" w:hAnsi="Palatino Linotype" w:cs="Palatino Linotype"/>
          <w:b/>
          <w:i/>
        </w:rPr>
        <w:t>Artículo 149.</w:t>
      </w:r>
      <w:r w:rsidRPr="006E412F">
        <w:rPr>
          <w:rFonts w:ascii="Palatino Linotype" w:eastAsia="Palatino Linotype" w:hAnsi="Palatino Linotype" w:cs="Palatino Linotype"/>
          <w:i/>
        </w:rPr>
        <w:t xml:space="preserve"> El acuerdo que clasifique la información como confidencial deberá contener un razonamiento lógico en el que demuestre que la información se encuentra en alguna o algunas de las hipótesis previstas en la presente Ley.</w:t>
      </w:r>
    </w:p>
    <w:p w14:paraId="02ECC59B"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 </w:t>
      </w:r>
    </w:p>
    <w:p w14:paraId="50657BF0"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Asimismo, deberá observar los numerales Quincuagésimo tercero y Quincuagésimo quinto de los Lineamientos Generales en Materia de Clasificación y Desclasificación de la Información </w:t>
      </w:r>
      <w:proofErr w:type="spellStart"/>
      <w:r w:rsidRPr="006E412F">
        <w:rPr>
          <w:rFonts w:ascii="Palatino Linotype" w:eastAsia="Palatino Linotype" w:hAnsi="Palatino Linotype" w:cs="Palatino Linotype"/>
          <w:sz w:val="24"/>
          <w:szCs w:val="24"/>
        </w:rPr>
        <w:t>supraindicados</w:t>
      </w:r>
      <w:proofErr w:type="spellEnd"/>
      <w:r w:rsidRPr="006E412F">
        <w:rPr>
          <w:rFonts w:ascii="Palatino Linotype" w:eastAsia="Palatino Linotype" w:hAnsi="Palatino Linotype" w:cs="Palatino Linotype"/>
          <w:sz w:val="24"/>
          <w:szCs w:val="24"/>
        </w:rPr>
        <w:t xml:space="preserve">, que establecen los formatos para la clasificación parcial y total de los documentos, conforme a lo siguiente: </w:t>
      </w:r>
    </w:p>
    <w:p w14:paraId="60507B9B"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tbl>
      <w:tblPr>
        <w:tblStyle w:val="a2"/>
        <w:tblW w:w="9049" w:type="dxa"/>
        <w:tblInd w:w="-123" w:type="dxa"/>
        <w:tblBorders>
          <w:top w:val="single" w:sz="6" w:space="0" w:color="BFBFBF"/>
          <w:left w:val="single" w:sz="6" w:space="0" w:color="BFBFBF"/>
          <w:bottom w:val="single" w:sz="6" w:space="0" w:color="BFBFBF"/>
          <w:right w:val="single" w:sz="6" w:space="0" w:color="BFBFBF"/>
        </w:tblBorders>
        <w:tblLayout w:type="fixed"/>
        <w:tblLook w:val="0400" w:firstRow="0" w:lastRow="0" w:firstColumn="0" w:lastColumn="0" w:noHBand="0" w:noVBand="1"/>
      </w:tblPr>
      <w:tblGrid>
        <w:gridCol w:w="1386"/>
        <w:gridCol w:w="2848"/>
        <w:gridCol w:w="1501"/>
        <w:gridCol w:w="3314"/>
      </w:tblGrid>
      <w:tr w:rsidR="006E412F" w:rsidRPr="006E412F" w14:paraId="7164B434" w14:textId="77777777">
        <w:tc>
          <w:tcPr>
            <w:tcW w:w="4234" w:type="dxa"/>
            <w:gridSpan w:val="2"/>
            <w:tcBorders>
              <w:top w:val="single" w:sz="6" w:space="0" w:color="BFBFBF"/>
              <w:left w:val="single" w:sz="6" w:space="0" w:color="BFBFBF"/>
              <w:bottom w:val="single" w:sz="6" w:space="0" w:color="BFBFBF"/>
              <w:right w:val="single" w:sz="6" w:space="0" w:color="BFBFBF"/>
            </w:tcBorders>
          </w:tcPr>
          <w:p w14:paraId="0AA2DCDA"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sz w:val="18"/>
                <w:szCs w:val="18"/>
              </w:rPr>
              <w:t>Parcial</w:t>
            </w:r>
          </w:p>
        </w:tc>
        <w:tc>
          <w:tcPr>
            <w:tcW w:w="4815" w:type="dxa"/>
            <w:gridSpan w:val="2"/>
            <w:tcBorders>
              <w:top w:val="single" w:sz="6" w:space="0" w:color="BFBFBF"/>
              <w:left w:val="single" w:sz="6" w:space="0" w:color="BFBFBF"/>
              <w:bottom w:val="single" w:sz="6" w:space="0" w:color="BFBFBF"/>
              <w:right w:val="single" w:sz="6" w:space="0" w:color="BFBFBF"/>
            </w:tcBorders>
          </w:tcPr>
          <w:p w14:paraId="24FF4E1F"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sz w:val="18"/>
                <w:szCs w:val="18"/>
              </w:rPr>
              <w:t>Total</w:t>
            </w:r>
          </w:p>
        </w:tc>
      </w:tr>
      <w:tr w:rsidR="006E412F" w:rsidRPr="006E412F" w14:paraId="31CFEA5A" w14:textId="77777777">
        <w:tc>
          <w:tcPr>
            <w:tcW w:w="1386" w:type="dxa"/>
            <w:tcBorders>
              <w:top w:val="single" w:sz="6" w:space="0" w:color="BFBFBF"/>
              <w:left w:val="single" w:sz="6" w:space="0" w:color="BFBFBF"/>
              <w:bottom w:val="single" w:sz="6" w:space="0" w:color="BFBFBF"/>
              <w:right w:val="single" w:sz="6" w:space="0" w:color="BFBFBF"/>
            </w:tcBorders>
          </w:tcPr>
          <w:p w14:paraId="3F6230E4"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sz w:val="18"/>
                <w:szCs w:val="18"/>
              </w:rPr>
              <w:t>Concepto</w:t>
            </w:r>
          </w:p>
        </w:tc>
        <w:tc>
          <w:tcPr>
            <w:tcW w:w="2848" w:type="dxa"/>
            <w:tcBorders>
              <w:top w:val="single" w:sz="6" w:space="0" w:color="BFBFBF"/>
              <w:left w:val="single" w:sz="6" w:space="0" w:color="BFBFBF"/>
              <w:bottom w:val="single" w:sz="6" w:space="0" w:color="BFBFBF"/>
              <w:right w:val="single" w:sz="6" w:space="0" w:color="BFBFBF"/>
            </w:tcBorders>
          </w:tcPr>
          <w:p w14:paraId="34FA7A5D"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b/>
                <w:sz w:val="18"/>
                <w:szCs w:val="18"/>
              </w:rPr>
              <w:t>Dónde</w:t>
            </w:r>
          </w:p>
        </w:tc>
        <w:tc>
          <w:tcPr>
            <w:tcW w:w="1501" w:type="dxa"/>
            <w:tcBorders>
              <w:top w:val="single" w:sz="6" w:space="0" w:color="BFBFBF"/>
              <w:left w:val="single" w:sz="6" w:space="0" w:color="BFBFBF"/>
              <w:bottom w:val="single" w:sz="6" w:space="0" w:color="BFBFBF"/>
              <w:right w:val="single" w:sz="6" w:space="0" w:color="BFBFBF"/>
            </w:tcBorders>
          </w:tcPr>
          <w:p w14:paraId="08350BF8"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b/>
                <w:sz w:val="18"/>
                <w:szCs w:val="18"/>
              </w:rPr>
              <w:t>Concepto</w:t>
            </w:r>
          </w:p>
        </w:tc>
        <w:tc>
          <w:tcPr>
            <w:tcW w:w="3314" w:type="dxa"/>
            <w:tcBorders>
              <w:top w:val="single" w:sz="6" w:space="0" w:color="BFBFBF"/>
              <w:left w:val="single" w:sz="6" w:space="0" w:color="BFBFBF"/>
              <w:bottom w:val="single" w:sz="6" w:space="0" w:color="BFBFBF"/>
              <w:right w:val="single" w:sz="6" w:space="0" w:color="BFBFBF"/>
            </w:tcBorders>
          </w:tcPr>
          <w:p w14:paraId="7618D5D3"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b/>
                <w:sz w:val="18"/>
                <w:szCs w:val="18"/>
              </w:rPr>
              <w:t>Dónde</w:t>
            </w:r>
          </w:p>
        </w:tc>
      </w:tr>
      <w:tr w:rsidR="006E412F" w:rsidRPr="006E412F" w14:paraId="0C7D6835" w14:textId="77777777">
        <w:tc>
          <w:tcPr>
            <w:tcW w:w="9049" w:type="dxa"/>
            <w:gridSpan w:val="4"/>
            <w:tcBorders>
              <w:top w:val="single" w:sz="6" w:space="0" w:color="BFBFBF"/>
              <w:left w:val="single" w:sz="6" w:space="0" w:color="BFBFBF"/>
              <w:bottom w:val="single" w:sz="6" w:space="0" w:color="BFBFBF"/>
              <w:right w:val="single" w:sz="6" w:space="0" w:color="BFBFBF"/>
            </w:tcBorders>
          </w:tcPr>
          <w:p w14:paraId="105E4B5A"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sz w:val="18"/>
                <w:szCs w:val="18"/>
              </w:rPr>
              <w:t>Sello oficial o logotipo del sujeto obligado</w:t>
            </w:r>
          </w:p>
        </w:tc>
      </w:tr>
      <w:tr w:rsidR="006E412F" w:rsidRPr="006E412F" w14:paraId="79E4C24F" w14:textId="77777777">
        <w:tc>
          <w:tcPr>
            <w:tcW w:w="1386" w:type="dxa"/>
            <w:tcBorders>
              <w:top w:val="single" w:sz="6" w:space="0" w:color="BFBFBF"/>
              <w:left w:val="single" w:sz="6" w:space="0" w:color="BFBFBF"/>
              <w:bottom w:val="single" w:sz="6" w:space="0" w:color="BFBFBF"/>
              <w:right w:val="single" w:sz="6" w:space="0" w:color="BFBFBF"/>
            </w:tcBorders>
          </w:tcPr>
          <w:p w14:paraId="421368AF"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sz w:val="18"/>
                <w:szCs w:val="18"/>
              </w:rPr>
              <w:t>Fecha de clasificación</w:t>
            </w:r>
          </w:p>
        </w:tc>
        <w:tc>
          <w:tcPr>
            <w:tcW w:w="2848" w:type="dxa"/>
            <w:tcBorders>
              <w:top w:val="single" w:sz="6" w:space="0" w:color="BFBFBF"/>
              <w:left w:val="single" w:sz="6" w:space="0" w:color="BFBFBF"/>
              <w:bottom w:val="single" w:sz="6" w:space="0" w:color="BFBFBF"/>
              <w:right w:val="single" w:sz="6" w:space="0" w:color="BFBFBF"/>
            </w:tcBorders>
          </w:tcPr>
          <w:p w14:paraId="7DA3DA96"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sz w:val="18"/>
                <w:szCs w:val="18"/>
              </w:rPr>
              <w:t>Se anotará la fecha en la que el Comité de Transparencia confirmó la clasificación del documento, en su caso.</w:t>
            </w:r>
          </w:p>
        </w:tc>
        <w:tc>
          <w:tcPr>
            <w:tcW w:w="1501" w:type="dxa"/>
            <w:tcBorders>
              <w:top w:val="single" w:sz="6" w:space="0" w:color="BFBFBF"/>
              <w:left w:val="single" w:sz="6" w:space="0" w:color="BFBFBF"/>
              <w:bottom w:val="single" w:sz="6" w:space="0" w:color="BFBFBF"/>
              <w:right w:val="single" w:sz="6" w:space="0" w:color="BFBFBF"/>
            </w:tcBorders>
          </w:tcPr>
          <w:p w14:paraId="1205A49B"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b/>
                <w:sz w:val="18"/>
                <w:szCs w:val="18"/>
              </w:rPr>
              <w:t>Fecha de clasificación</w:t>
            </w:r>
          </w:p>
        </w:tc>
        <w:tc>
          <w:tcPr>
            <w:tcW w:w="3314" w:type="dxa"/>
            <w:tcBorders>
              <w:top w:val="single" w:sz="6" w:space="0" w:color="BFBFBF"/>
              <w:left w:val="single" w:sz="6" w:space="0" w:color="BFBFBF"/>
              <w:bottom w:val="single" w:sz="6" w:space="0" w:color="BFBFBF"/>
              <w:right w:val="single" w:sz="6" w:space="0" w:color="BFBFBF"/>
            </w:tcBorders>
          </w:tcPr>
          <w:p w14:paraId="7D888860"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sz w:val="18"/>
                <w:szCs w:val="18"/>
              </w:rPr>
              <w:t>Se anotará la fecha en la que el Comité de Transparencia confirmó la clasificación del documento, en su caso.</w:t>
            </w:r>
          </w:p>
        </w:tc>
      </w:tr>
      <w:tr w:rsidR="006E412F" w:rsidRPr="006E412F" w14:paraId="50BDD126" w14:textId="77777777">
        <w:tc>
          <w:tcPr>
            <w:tcW w:w="1386" w:type="dxa"/>
            <w:tcBorders>
              <w:top w:val="single" w:sz="6" w:space="0" w:color="BFBFBF"/>
              <w:left w:val="single" w:sz="6" w:space="0" w:color="BFBFBF"/>
              <w:bottom w:val="single" w:sz="6" w:space="0" w:color="BFBFBF"/>
              <w:right w:val="single" w:sz="6" w:space="0" w:color="BFBFBF"/>
            </w:tcBorders>
          </w:tcPr>
          <w:p w14:paraId="57FF3F38"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sz w:val="18"/>
                <w:szCs w:val="18"/>
              </w:rPr>
              <w:t>Área</w:t>
            </w:r>
          </w:p>
        </w:tc>
        <w:tc>
          <w:tcPr>
            <w:tcW w:w="2848" w:type="dxa"/>
            <w:tcBorders>
              <w:top w:val="single" w:sz="6" w:space="0" w:color="BFBFBF"/>
              <w:left w:val="single" w:sz="6" w:space="0" w:color="BFBFBF"/>
              <w:bottom w:val="single" w:sz="6" w:space="0" w:color="BFBFBF"/>
              <w:right w:val="single" w:sz="6" w:space="0" w:color="BFBFBF"/>
            </w:tcBorders>
          </w:tcPr>
          <w:p w14:paraId="76291E2F"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sz w:val="18"/>
                <w:szCs w:val="18"/>
              </w:rPr>
              <w:t>Se señalará el nombre del área del cual es titular quien clasifica.</w:t>
            </w:r>
          </w:p>
        </w:tc>
        <w:tc>
          <w:tcPr>
            <w:tcW w:w="1501" w:type="dxa"/>
            <w:tcBorders>
              <w:top w:val="single" w:sz="6" w:space="0" w:color="BFBFBF"/>
              <w:left w:val="single" w:sz="6" w:space="0" w:color="BFBFBF"/>
              <w:bottom w:val="single" w:sz="6" w:space="0" w:color="BFBFBF"/>
              <w:right w:val="single" w:sz="6" w:space="0" w:color="BFBFBF"/>
            </w:tcBorders>
          </w:tcPr>
          <w:p w14:paraId="2277DEEC"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b/>
                <w:sz w:val="18"/>
                <w:szCs w:val="18"/>
              </w:rPr>
              <w:t>Área</w:t>
            </w:r>
          </w:p>
        </w:tc>
        <w:tc>
          <w:tcPr>
            <w:tcW w:w="3314" w:type="dxa"/>
            <w:tcBorders>
              <w:top w:val="single" w:sz="6" w:space="0" w:color="BFBFBF"/>
              <w:left w:val="single" w:sz="6" w:space="0" w:color="BFBFBF"/>
              <w:bottom w:val="single" w:sz="6" w:space="0" w:color="BFBFBF"/>
              <w:right w:val="single" w:sz="6" w:space="0" w:color="BFBFBF"/>
            </w:tcBorders>
          </w:tcPr>
          <w:p w14:paraId="6BAFC24C"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sz w:val="18"/>
                <w:szCs w:val="18"/>
              </w:rPr>
              <w:t>Se señalará el nombre del área de la cual es el titular quien clasifica.</w:t>
            </w:r>
          </w:p>
        </w:tc>
      </w:tr>
      <w:tr w:rsidR="006E412F" w:rsidRPr="006E412F" w14:paraId="6126921E" w14:textId="77777777">
        <w:tc>
          <w:tcPr>
            <w:tcW w:w="1386" w:type="dxa"/>
            <w:tcBorders>
              <w:top w:val="single" w:sz="6" w:space="0" w:color="BFBFBF"/>
              <w:left w:val="single" w:sz="6" w:space="0" w:color="BFBFBF"/>
              <w:bottom w:val="single" w:sz="6" w:space="0" w:color="BFBFBF"/>
              <w:right w:val="single" w:sz="6" w:space="0" w:color="BFBFBF"/>
            </w:tcBorders>
          </w:tcPr>
          <w:p w14:paraId="1D0D7C3E"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sz w:val="18"/>
                <w:szCs w:val="18"/>
              </w:rPr>
              <w:t>Información reservada</w:t>
            </w:r>
          </w:p>
        </w:tc>
        <w:tc>
          <w:tcPr>
            <w:tcW w:w="2848" w:type="dxa"/>
            <w:tcBorders>
              <w:top w:val="single" w:sz="6" w:space="0" w:color="BFBFBF"/>
              <w:left w:val="single" w:sz="6" w:space="0" w:color="BFBFBF"/>
              <w:bottom w:val="single" w:sz="6" w:space="0" w:color="BFBFBF"/>
              <w:right w:val="single" w:sz="6" w:space="0" w:color="BFBFBF"/>
            </w:tcBorders>
          </w:tcPr>
          <w:p w14:paraId="29641D68"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sz w:val="18"/>
                <w:szCs w:val="18"/>
              </w:rPr>
              <w:t>Se indicarán, en su caso, las partes o páginas del documento que se clasifican como reservadas. Si el documento fuera reservado en su totalidad, se </w:t>
            </w:r>
            <w:proofErr w:type="gramStart"/>
            <w:r w:rsidRPr="006E412F">
              <w:rPr>
                <w:rFonts w:ascii="Palatino Linotype" w:eastAsia="Palatino Linotype" w:hAnsi="Palatino Linotype" w:cs="Palatino Linotype"/>
                <w:sz w:val="18"/>
                <w:szCs w:val="18"/>
              </w:rPr>
              <w:t>anotarán</w:t>
            </w:r>
            <w:proofErr w:type="gramEnd"/>
            <w:r w:rsidRPr="006E412F">
              <w:rPr>
                <w:rFonts w:ascii="Palatino Linotype" w:eastAsia="Palatino Linotype" w:hAnsi="Palatino Linotype" w:cs="Palatino Linotype"/>
                <w:sz w:val="18"/>
                <w:szCs w:val="18"/>
              </w:rPr>
              <w:t> todas las páginas que lo conforman. Si el documento no contiene información reservada, se tachará este apartado.</w:t>
            </w:r>
          </w:p>
        </w:tc>
        <w:tc>
          <w:tcPr>
            <w:tcW w:w="1501" w:type="dxa"/>
            <w:tcBorders>
              <w:top w:val="single" w:sz="6" w:space="0" w:color="BFBFBF"/>
              <w:left w:val="single" w:sz="6" w:space="0" w:color="BFBFBF"/>
              <w:bottom w:val="single" w:sz="6" w:space="0" w:color="BFBFBF"/>
              <w:right w:val="single" w:sz="6" w:space="0" w:color="BFBFBF"/>
            </w:tcBorders>
          </w:tcPr>
          <w:p w14:paraId="00C8F22E"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b/>
                <w:sz w:val="18"/>
                <w:szCs w:val="18"/>
              </w:rPr>
              <w:t>Reservado</w:t>
            </w:r>
          </w:p>
        </w:tc>
        <w:tc>
          <w:tcPr>
            <w:tcW w:w="3314" w:type="dxa"/>
            <w:tcBorders>
              <w:top w:val="single" w:sz="6" w:space="0" w:color="BFBFBF"/>
              <w:left w:val="single" w:sz="6" w:space="0" w:color="BFBFBF"/>
              <w:bottom w:val="single" w:sz="6" w:space="0" w:color="BFBFBF"/>
              <w:right w:val="single" w:sz="6" w:space="0" w:color="BFBFBF"/>
            </w:tcBorders>
          </w:tcPr>
          <w:p w14:paraId="37FF888E"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sz w:val="18"/>
                <w:szCs w:val="18"/>
              </w:rPr>
              <w:t>Leyenda de información RESERVADA.</w:t>
            </w:r>
          </w:p>
        </w:tc>
      </w:tr>
      <w:tr w:rsidR="006E412F" w:rsidRPr="006E412F" w14:paraId="74824384" w14:textId="77777777">
        <w:tc>
          <w:tcPr>
            <w:tcW w:w="1386" w:type="dxa"/>
            <w:tcBorders>
              <w:top w:val="single" w:sz="6" w:space="0" w:color="BFBFBF"/>
              <w:left w:val="single" w:sz="6" w:space="0" w:color="BFBFBF"/>
              <w:bottom w:val="single" w:sz="6" w:space="0" w:color="BFBFBF"/>
              <w:right w:val="single" w:sz="6" w:space="0" w:color="BFBFBF"/>
            </w:tcBorders>
          </w:tcPr>
          <w:p w14:paraId="1FC068BC"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sz w:val="18"/>
                <w:szCs w:val="18"/>
              </w:rPr>
              <w:t>Fundamento legal</w:t>
            </w:r>
          </w:p>
        </w:tc>
        <w:tc>
          <w:tcPr>
            <w:tcW w:w="2848" w:type="dxa"/>
            <w:tcBorders>
              <w:top w:val="single" w:sz="6" w:space="0" w:color="BFBFBF"/>
              <w:left w:val="single" w:sz="6" w:space="0" w:color="BFBFBF"/>
              <w:bottom w:val="single" w:sz="6" w:space="0" w:color="BFBFBF"/>
              <w:right w:val="single" w:sz="6" w:space="0" w:color="BFBFBF"/>
            </w:tcBorders>
          </w:tcPr>
          <w:p w14:paraId="337EB3FD"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sz w:val="18"/>
                <w:szCs w:val="18"/>
              </w:rPr>
              <w:t>Se señalará el nombre del ordenamiento, el o los artículos, fracción(es), párrafo(s) con base en los cuales se sustente la reserva.</w:t>
            </w:r>
          </w:p>
        </w:tc>
        <w:tc>
          <w:tcPr>
            <w:tcW w:w="1501" w:type="dxa"/>
            <w:tcBorders>
              <w:top w:val="single" w:sz="6" w:space="0" w:color="BFBFBF"/>
              <w:left w:val="single" w:sz="6" w:space="0" w:color="BFBFBF"/>
              <w:bottom w:val="single" w:sz="6" w:space="0" w:color="BFBFBF"/>
              <w:right w:val="single" w:sz="6" w:space="0" w:color="BFBFBF"/>
            </w:tcBorders>
          </w:tcPr>
          <w:p w14:paraId="1ECBB386"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b/>
                <w:sz w:val="18"/>
                <w:szCs w:val="18"/>
              </w:rPr>
              <w:t>Periodo de reserva</w:t>
            </w:r>
          </w:p>
        </w:tc>
        <w:tc>
          <w:tcPr>
            <w:tcW w:w="3314" w:type="dxa"/>
            <w:tcBorders>
              <w:top w:val="single" w:sz="6" w:space="0" w:color="BFBFBF"/>
              <w:left w:val="single" w:sz="6" w:space="0" w:color="BFBFBF"/>
              <w:bottom w:val="single" w:sz="6" w:space="0" w:color="BFBFBF"/>
              <w:right w:val="single" w:sz="6" w:space="0" w:color="BFBFBF"/>
            </w:tcBorders>
          </w:tcPr>
          <w:p w14:paraId="07B2E184"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sz w:val="18"/>
                <w:szCs w:val="18"/>
              </w:rPr>
              <w:t>Se anotará el número de años o meses por los que se mantendrá el documento o las partes del mismo como reservado. Si el expediente no es reservado, sino confidencial, deberá tacharse este apartado.</w:t>
            </w:r>
          </w:p>
        </w:tc>
      </w:tr>
      <w:tr w:rsidR="006E412F" w:rsidRPr="006E412F" w14:paraId="05DC0938" w14:textId="77777777">
        <w:tc>
          <w:tcPr>
            <w:tcW w:w="1386" w:type="dxa"/>
            <w:tcBorders>
              <w:top w:val="single" w:sz="6" w:space="0" w:color="BFBFBF"/>
              <w:left w:val="single" w:sz="6" w:space="0" w:color="BFBFBF"/>
              <w:bottom w:val="single" w:sz="6" w:space="0" w:color="BFBFBF"/>
              <w:right w:val="single" w:sz="6" w:space="0" w:color="BFBFBF"/>
            </w:tcBorders>
          </w:tcPr>
          <w:p w14:paraId="4465127E"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sz w:val="18"/>
                <w:szCs w:val="18"/>
              </w:rPr>
              <w:t>Ampliación del periodo de reserva</w:t>
            </w:r>
          </w:p>
        </w:tc>
        <w:tc>
          <w:tcPr>
            <w:tcW w:w="2848" w:type="dxa"/>
            <w:tcBorders>
              <w:top w:val="single" w:sz="6" w:space="0" w:color="BFBFBF"/>
              <w:left w:val="single" w:sz="6" w:space="0" w:color="BFBFBF"/>
              <w:bottom w:val="single" w:sz="6" w:space="0" w:color="BFBFBF"/>
              <w:right w:val="single" w:sz="6" w:space="0" w:color="BFBFBF"/>
            </w:tcBorders>
          </w:tcPr>
          <w:p w14:paraId="74834935"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sz w:val="18"/>
                <w:szCs w:val="18"/>
              </w:rPr>
              <w:t>En caso de haber solicitado la ampliación del periodo de reserva originalmente establecido, se deberá anotar el número de años o meses por los que se amplía la reserva.</w:t>
            </w:r>
          </w:p>
        </w:tc>
        <w:tc>
          <w:tcPr>
            <w:tcW w:w="1501" w:type="dxa"/>
            <w:tcBorders>
              <w:top w:val="single" w:sz="6" w:space="0" w:color="BFBFBF"/>
              <w:left w:val="single" w:sz="6" w:space="0" w:color="BFBFBF"/>
              <w:bottom w:val="single" w:sz="6" w:space="0" w:color="BFBFBF"/>
              <w:right w:val="single" w:sz="6" w:space="0" w:color="BFBFBF"/>
            </w:tcBorders>
          </w:tcPr>
          <w:p w14:paraId="6B9C637F"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b/>
                <w:sz w:val="18"/>
                <w:szCs w:val="18"/>
              </w:rPr>
              <w:t>Fundamento legal</w:t>
            </w:r>
          </w:p>
        </w:tc>
        <w:tc>
          <w:tcPr>
            <w:tcW w:w="3314" w:type="dxa"/>
            <w:tcBorders>
              <w:top w:val="single" w:sz="6" w:space="0" w:color="BFBFBF"/>
              <w:left w:val="single" w:sz="6" w:space="0" w:color="BFBFBF"/>
              <w:bottom w:val="single" w:sz="6" w:space="0" w:color="BFBFBF"/>
              <w:right w:val="single" w:sz="6" w:space="0" w:color="BFBFBF"/>
            </w:tcBorders>
          </w:tcPr>
          <w:p w14:paraId="69A1F90B"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sz w:val="18"/>
                <w:szCs w:val="18"/>
              </w:rPr>
              <w:t>Se señalará el nombre del o de los ordenamientos jurídicos, el o los artículos, fracción(es), párrafo(s) con base en los cuales se sustenta la reserva.</w:t>
            </w:r>
          </w:p>
        </w:tc>
      </w:tr>
      <w:tr w:rsidR="006E412F" w:rsidRPr="006E412F" w14:paraId="7DE5DDAC" w14:textId="77777777">
        <w:tc>
          <w:tcPr>
            <w:tcW w:w="1386" w:type="dxa"/>
            <w:tcBorders>
              <w:top w:val="single" w:sz="6" w:space="0" w:color="BFBFBF"/>
              <w:left w:val="single" w:sz="6" w:space="0" w:color="BFBFBF"/>
              <w:bottom w:val="single" w:sz="6" w:space="0" w:color="BFBFBF"/>
              <w:right w:val="single" w:sz="6" w:space="0" w:color="BFBFBF"/>
            </w:tcBorders>
          </w:tcPr>
          <w:p w14:paraId="655A643C"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sz w:val="18"/>
                <w:szCs w:val="18"/>
              </w:rPr>
              <w:t>Confidencial</w:t>
            </w:r>
          </w:p>
        </w:tc>
        <w:tc>
          <w:tcPr>
            <w:tcW w:w="2848" w:type="dxa"/>
            <w:tcBorders>
              <w:top w:val="single" w:sz="6" w:space="0" w:color="BFBFBF"/>
              <w:left w:val="single" w:sz="6" w:space="0" w:color="BFBFBF"/>
              <w:bottom w:val="single" w:sz="6" w:space="0" w:color="BFBFBF"/>
              <w:right w:val="single" w:sz="6" w:space="0" w:color="BFBFBF"/>
            </w:tcBorders>
          </w:tcPr>
          <w:p w14:paraId="57C44928"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sz w:val="18"/>
                <w:szCs w:val="18"/>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501" w:type="dxa"/>
            <w:tcBorders>
              <w:top w:val="single" w:sz="6" w:space="0" w:color="BFBFBF"/>
              <w:left w:val="single" w:sz="6" w:space="0" w:color="BFBFBF"/>
              <w:bottom w:val="single" w:sz="6" w:space="0" w:color="BFBFBF"/>
              <w:right w:val="single" w:sz="6" w:space="0" w:color="BFBFBF"/>
            </w:tcBorders>
          </w:tcPr>
          <w:p w14:paraId="20376AEF"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b/>
                <w:sz w:val="18"/>
                <w:szCs w:val="18"/>
              </w:rPr>
              <w:t>Ampliación del periodo de reserva</w:t>
            </w:r>
          </w:p>
        </w:tc>
        <w:tc>
          <w:tcPr>
            <w:tcW w:w="3314" w:type="dxa"/>
            <w:tcBorders>
              <w:top w:val="single" w:sz="6" w:space="0" w:color="BFBFBF"/>
              <w:left w:val="single" w:sz="6" w:space="0" w:color="BFBFBF"/>
              <w:bottom w:val="single" w:sz="6" w:space="0" w:color="BFBFBF"/>
              <w:right w:val="single" w:sz="6" w:space="0" w:color="BFBFBF"/>
            </w:tcBorders>
          </w:tcPr>
          <w:p w14:paraId="090E1FC7"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sz w:val="18"/>
                <w:szCs w:val="18"/>
              </w:rPr>
              <w:t>En caso de haber solicitado la ampliación del periodo de reserva originalmente establecido, se deberá anotar el número de años o meses por los que se amplía la reserva.</w:t>
            </w:r>
          </w:p>
        </w:tc>
      </w:tr>
      <w:tr w:rsidR="006E412F" w:rsidRPr="006E412F" w14:paraId="7E73245F" w14:textId="77777777">
        <w:tc>
          <w:tcPr>
            <w:tcW w:w="1386" w:type="dxa"/>
            <w:tcBorders>
              <w:top w:val="single" w:sz="6" w:space="0" w:color="BFBFBF"/>
              <w:left w:val="single" w:sz="6" w:space="0" w:color="BFBFBF"/>
              <w:bottom w:val="single" w:sz="6" w:space="0" w:color="BFBFBF"/>
              <w:right w:val="single" w:sz="6" w:space="0" w:color="BFBFBF"/>
            </w:tcBorders>
          </w:tcPr>
          <w:p w14:paraId="7675FB27"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sz w:val="18"/>
                <w:szCs w:val="18"/>
              </w:rPr>
              <w:t>Fundamento legal</w:t>
            </w:r>
          </w:p>
        </w:tc>
        <w:tc>
          <w:tcPr>
            <w:tcW w:w="2848" w:type="dxa"/>
            <w:tcBorders>
              <w:top w:val="single" w:sz="6" w:space="0" w:color="BFBFBF"/>
              <w:left w:val="single" w:sz="6" w:space="0" w:color="BFBFBF"/>
              <w:bottom w:val="single" w:sz="6" w:space="0" w:color="BFBFBF"/>
              <w:right w:val="single" w:sz="6" w:space="0" w:color="BFBFBF"/>
            </w:tcBorders>
          </w:tcPr>
          <w:p w14:paraId="2731081F"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sz w:val="18"/>
                <w:szCs w:val="18"/>
              </w:rPr>
              <w:t>Se señalará el nombre del ordenamiento, el o los artículos, fracción(es), párrafo(s) con base en los cuales se sustente la confidencialidad.</w:t>
            </w:r>
          </w:p>
        </w:tc>
        <w:tc>
          <w:tcPr>
            <w:tcW w:w="1501" w:type="dxa"/>
            <w:tcBorders>
              <w:top w:val="single" w:sz="6" w:space="0" w:color="BFBFBF"/>
              <w:left w:val="single" w:sz="6" w:space="0" w:color="BFBFBF"/>
              <w:bottom w:val="single" w:sz="6" w:space="0" w:color="BFBFBF"/>
              <w:right w:val="single" w:sz="6" w:space="0" w:color="BFBFBF"/>
            </w:tcBorders>
          </w:tcPr>
          <w:p w14:paraId="1F1157F8"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b/>
                <w:sz w:val="18"/>
                <w:szCs w:val="18"/>
              </w:rPr>
              <w:t>Confidencial</w:t>
            </w:r>
          </w:p>
        </w:tc>
        <w:tc>
          <w:tcPr>
            <w:tcW w:w="3314" w:type="dxa"/>
            <w:tcBorders>
              <w:top w:val="single" w:sz="6" w:space="0" w:color="BFBFBF"/>
              <w:left w:val="single" w:sz="6" w:space="0" w:color="BFBFBF"/>
              <w:bottom w:val="single" w:sz="6" w:space="0" w:color="BFBFBF"/>
              <w:right w:val="single" w:sz="6" w:space="0" w:color="BFBFBF"/>
            </w:tcBorders>
          </w:tcPr>
          <w:p w14:paraId="77687C3D"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sz w:val="18"/>
                <w:szCs w:val="18"/>
              </w:rPr>
              <w:t>Leyenda de información CONFIDENCIAL.</w:t>
            </w:r>
          </w:p>
        </w:tc>
      </w:tr>
      <w:tr w:rsidR="006E412F" w:rsidRPr="006E412F" w14:paraId="4BBD5DA5" w14:textId="77777777">
        <w:tc>
          <w:tcPr>
            <w:tcW w:w="1386" w:type="dxa"/>
            <w:tcBorders>
              <w:top w:val="single" w:sz="6" w:space="0" w:color="BFBFBF"/>
              <w:left w:val="single" w:sz="6" w:space="0" w:color="BFBFBF"/>
              <w:bottom w:val="single" w:sz="6" w:space="0" w:color="BFBFBF"/>
              <w:right w:val="single" w:sz="6" w:space="0" w:color="BFBFBF"/>
            </w:tcBorders>
          </w:tcPr>
          <w:p w14:paraId="2247463A"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sz w:val="18"/>
                <w:szCs w:val="18"/>
              </w:rPr>
              <w:t>Rúbrica del titular del área</w:t>
            </w:r>
          </w:p>
        </w:tc>
        <w:tc>
          <w:tcPr>
            <w:tcW w:w="2848" w:type="dxa"/>
            <w:tcBorders>
              <w:top w:val="single" w:sz="6" w:space="0" w:color="BFBFBF"/>
              <w:left w:val="single" w:sz="6" w:space="0" w:color="BFBFBF"/>
              <w:bottom w:val="single" w:sz="6" w:space="0" w:color="BFBFBF"/>
              <w:right w:val="single" w:sz="6" w:space="0" w:color="BFBFBF"/>
            </w:tcBorders>
          </w:tcPr>
          <w:p w14:paraId="235DE056"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sz w:val="18"/>
                <w:szCs w:val="18"/>
              </w:rPr>
              <w:t>Rúbrica autógrafa de quien clasifica.</w:t>
            </w:r>
          </w:p>
        </w:tc>
        <w:tc>
          <w:tcPr>
            <w:tcW w:w="1501" w:type="dxa"/>
            <w:tcBorders>
              <w:top w:val="single" w:sz="6" w:space="0" w:color="BFBFBF"/>
              <w:left w:val="single" w:sz="6" w:space="0" w:color="BFBFBF"/>
              <w:bottom w:val="single" w:sz="6" w:space="0" w:color="BFBFBF"/>
              <w:right w:val="single" w:sz="6" w:space="0" w:color="BFBFBF"/>
            </w:tcBorders>
          </w:tcPr>
          <w:p w14:paraId="6373FEBC"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b/>
                <w:sz w:val="18"/>
                <w:szCs w:val="18"/>
              </w:rPr>
              <w:t>Fundamento legal</w:t>
            </w:r>
          </w:p>
        </w:tc>
        <w:tc>
          <w:tcPr>
            <w:tcW w:w="3314" w:type="dxa"/>
            <w:tcBorders>
              <w:top w:val="single" w:sz="6" w:space="0" w:color="BFBFBF"/>
              <w:left w:val="single" w:sz="6" w:space="0" w:color="BFBFBF"/>
              <w:bottom w:val="single" w:sz="6" w:space="0" w:color="BFBFBF"/>
              <w:right w:val="single" w:sz="6" w:space="0" w:color="BFBFBF"/>
            </w:tcBorders>
          </w:tcPr>
          <w:p w14:paraId="740054AD"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sz w:val="18"/>
                <w:szCs w:val="18"/>
              </w:rPr>
              <w:t>Se señalará el nombre del o de los ordenamientos jurídicos, el o los artículos, fracción(es), párrafo(s) con base en los cuales se sustente la confidencialidad.</w:t>
            </w:r>
          </w:p>
        </w:tc>
      </w:tr>
      <w:tr w:rsidR="006E412F" w:rsidRPr="006E412F" w14:paraId="7F237945" w14:textId="77777777">
        <w:tc>
          <w:tcPr>
            <w:tcW w:w="1386" w:type="dxa"/>
            <w:tcBorders>
              <w:top w:val="single" w:sz="6" w:space="0" w:color="BFBFBF"/>
              <w:left w:val="single" w:sz="6" w:space="0" w:color="BFBFBF"/>
              <w:bottom w:val="single" w:sz="6" w:space="0" w:color="BFBFBF"/>
              <w:right w:val="single" w:sz="6" w:space="0" w:color="BFBFBF"/>
            </w:tcBorders>
          </w:tcPr>
          <w:p w14:paraId="3ABE52E4"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sz w:val="18"/>
                <w:szCs w:val="18"/>
              </w:rPr>
              <w:t>Fecha de desclasificación</w:t>
            </w:r>
          </w:p>
        </w:tc>
        <w:tc>
          <w:tcPr>
            <w:tcW w:w="2848" w:type="dxa"/>
            <w:tcBorders>
              <w:top w:val="single" w:sz="6" w:space="0" w:color="BFBFBF"/>
              <w:left w:val="single" w:sz="6" w:space="0" w:color="BFBFBF"/>
              <w:bottom w:val="single" w:sz="6" w:space="0" w:color="BFBFBF"/>
              <w:right w:val="single" w:sz="6" w:space="0" w:color="BFBFBF"/>
            </w:tcBorders>
          </w:tcPr>
          <w:p w14:paraId="327EC766"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sz w:val="18"/>
                <w:szCs w:val="18"/>
              </w:rPr>
              <w:t>Se anotará la fecha en que se desclasifica el documento.</w:t>
            </w:r>
          </w:p>
        </w:tc>
        <w:tc>
          <w:tcPr>
            <w:tcW w:w="1501" w:type="dxa"/>
            <w:tcBorders>
              <w:top w:val="single" w:sz="6" w:space="0" w:color="BFBFBF"/>
              <w:left w:val="single" w:sz="6" w:space="0" w:color="BFBFBF"/>
              <w:bottom w:val="single" w:sz="6" w:space="0" w:color="BFBFBF"/>
              <w:right w:val="single" w:sz="6" w:space="0" w:color="BFBFBF"/>
            </w:tcBorders>
          </w:tcPr>
          <w:p w14:paraId="44B47456"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b/>
                <w:sz w:val="18"/>
                <w:szCs w:val="18"/>
              </w:rPr>
              <w:t>Rúbrica del titular del área</w:t>
            </w:r>
          </w:p>
        </w:tc>
        <w:tc>
          <w:tcPr>
            <w:tcW w:w="3314" w:type="dxa"/>
            <w:tcBorders>
              <w:top w:val="single" w:sz="6" w:space="0" w:color="BFBFBF"/>
              <w:left w:val="single" w:sz="6" w:space="0" w:color="BFBFBF"/>
              <w:bottom w:val="single" w:sz="6" w:space="0" w:color="BFBFBF"/>
              <w:right w:val="single" w:sz="6" w:space="0" w:color="BFBFBF"/>
            </w:tcBorders>
          </w:tcPr>
          <w:p w14:paraId="59DFF0BD"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sz w:val="18"/>
                <w:szCs w:val="18"/>
              </w:rPr>
              <w:t>Rúbrica autógrafa de quien clasifica.</w:t>
            </w:r>
          </w:p>
        </w:tc>
      </w:tr>
      <w:tr w:rsidR="006E412F" w:rsidRPr="006E412F" w14:paraId="080393FD" w14:textId="77777777">
        <w:tc>
          <w:tcPr>
            <w:tcW w:w="1386" w:type="dxa"/>
            <w:tcBorders>
              <w:top w:val="single" w:sz="6" w:space="0" w:color="BFBFBF"/>
              <w:left w:val="single" w:sz="6" w:space="0" w:color="BFBFBF"/>
              <w:bottom w:val="single" w:sz="6" w:space="0" w:color="BFBFBF"/>
              <w:right w:val="single" w:sz="6" w:space="0" w:color="BFBFBF"/>
            </w:tcBorders>
          </w:tcPr>
          <w:p w14:paraId="0EF03A84"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sz w:val="18"/>
                <w:szCs w:val="18"/>
              </w:rPr>
              <w:t>Rúbrica y cargo del servidor público</w:t>
            </w:r>
          </w:p>
        </w:tc>
        <w:tc>
          <w:tcPr>
            <w:tcW w:w="2848" w:type="dxa"/>
            <w:tcBorders>
              <w:top w:val="single" w:sz="6" w:space="0" w:color="BFBFBF"/>
              <w:left w:val="single" w:sz="6" w:space="0" w:color="BFBFBF"/>
              <w:bottom w:val="single" w:sz="6" w:space="0" w:color="BFBFBF"/>
              <w:right w:val="single" w:sz="6" w:space="0" w:color="BFBFBF"/>
            </w:tcBorders>
          </w:tcPr>
          <w:p w14:paraId="3101838A"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sz w:val="18"/>
                <w:szCs w:val="18"/>
              </w:rPr>
              <w:t>Rúbrica autógrafa de quien desclasifica.</w:t>
            </w:r>
          </w:p>
        </w:tc>
        <w:tc>
          <w:tcPr>
            <w:tcW w:w="1501" w:type="dxa"/>
            <w:tcBorders>
              <w:top w:val="single" w:sz="6" w:space="0" w:color="BFBFBF"/>
              <w:left w:val="single" w:sz="6" w:space="0" w:color="BFBFBF"/>
              <w:bottom w:val="single" w:sz="6" w:space="0" w:color="BFBFBF"/>
              <w:right w:val="single" w:sz="6" w:space="0" w:color="BFBFBF"/>
            </w:tcBorders>
          </w:tcPr>
          <w:p w14:paraId="222017B5"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b/>
                <w:sz w:val="18"/>
                <w:szCs w:val="18"/>
              </w:rPr>
              <w:t>Fecha de desclasificación</w:t>
            </w:r>
          </w:p>
        </w:tc>
        <w:tc>
          <w:tcPr>
            <w:tcW w:w="3314" w:type="dxa"/>
            <w:tcBorders>
              <w:top w:val="single" w:sz="6" w:space="0" w:color="BFBFBF"/>
              <w:left w:val="single" w:sz="6" w:space="0" w:color="BFBFBF"/>
              <w:bottom w:val="single" w:sz="6" w:space="0" w:color="BFBFBF"/>
              <w:right w:val="single" w:sz="6" w:space="0" w:color="BFBFBF"/>
            </w:tcBorders>
          </w:tcPr>
          <w:p w14:paraId="443A34AC"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sz w:val="18"/>
                <w:szCs w:val="18"/>
              </w:rPr>
              <w:t>Se anotará la fecha en que se desclasifica.</w:t>
            </w:r>
          </w:p>
        </w:tc>
      </w:tr>
      <w:tr w:rsidR="006E412F" w:rsidRPr="006E412F" w14:paraId="7CB1094A" w14:textId="77777777">
        <w:tc>
          <w:tcPr>
            <w:tcW w:w="1386" w:type="dxa"/>
            <w:tcBorders>
              <w:top w:val="single" w:sz="6" w:space="0" w:color="BFBFBF"/>
              <w:left w:val="single" w:sz="6" w:space="0" w:color="BFBFBF"/>
              <w:bottom w:val="single" w:sz="6" w:space="0" w:color="BFBFBF"/>
              <w:right w:val="single" w:sz="6" w:space="0" w:color="BFBFBF"/>
            </w:tcBorders>
          </w:tcPr>
          <w:p w14:paraId="0C50FACC"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sz w:val="18"/>
                <w:szCs w:val="18"/>
              </w:rPr>
              <w:t> </w:t>
            </w:r>
          </w:p>
        </w:tc>
        <w:tc>
          <w:tcPr>
            <w:tcW w:w="2848" w:type="dxa"/>
            <w:tcBorders>
              <w:top w:val="single" w:sz="6" w:space="0" w:color="BFBFBF"/>
              <w:left w:val="single" w:sz="6" w:space="0" w:color="BFBFBF"/>
              <w:bottom w:val="single" w:sz="6" w:space="0" w:color="BFBFBF"/>
              <w:right w:val="single" w:sz="6" w:space="0" w:color="BFBFBF"/>
            </w:tcBorders>
          </w:tcPr>
          <w:p w14:paraId="19B22C31"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sz w:val="18"/>
                <w:szCs w:val="18"/>
              </w:rPr>
              <w:t> </w:t>
            </w:r>
          </w:p>
        </w:tc>
        <w:tc>
          <w:tcPr>
            <w:tcW w:w="1501" w:type="dxa"/>
            <w:tcBorders>
              <w:top w:val="single" w:sz="6" w:space="0" w:color="BFBFBF"/>
              <w:left w:val="single" w:sz="6" w:space="0" w:color="BFBFBF"/>
              <w:bottom w:val="single" w:sz="6" w:space="0" w:color="BFBFBF"/>
              <w:right w:val="single" w:sz="6" w:space="0" w:color="BFBFBF"/>
            </w:tcBorders>
          </w:tcPr>
          <w:p w14:paraId="63562399"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b/>
                <w:sz w:val="18"/>
                <w:szCs w:val="18"/>
              </w:rPr>
              <w:t>Partes o secciones reservadas o confidenciales</w:t>
            </w:r>
          </w:p>
        </w:tc>
        <w:tc>
          <w:tcPr>
            <w:tcW w:w="3314" w:type="dxa"/>
            <w:tcBorders>
              <w:top w:val="single" w:sz="6" w:space="0" w:color="BFBFBF"/>
              <w:left w:val="single" w:sz="6" w:space="0" w:color="BFBFBF"/>
              <w:bottom w:val="single" w:sz="6" w:space="0" w:color="BFBFBF"/>
              <w:right w:val="single" w:sz="6" w:space="0" w:color="BFBFBF"/>
            </w:tcBorders>
          </w:tcPr>
          <w:p w14:paraId="7AA08F94"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sz w:val="18"/>
                <w:szCs w:val="18"/>
              </w:rPr>
              <w:t>En caso que una vez desclasificado el expediente, </w:t>
            </w:r>
            <w:proofErr w:type="spellStart"/>
            <w:r w:rsidRPr="006E412F">
              <w:rPr>
                <w:rFonts w:ascii="Palatino Linotype" w:eastAsia="Palatino Linotype" w:hAnsi="Palatino Linotype" w:cs="Palatino Linotype"/>
                <w:sz w:val="18"/>
                <w:szCs w:val="18"/>
              </w:rPr>
              <w:t>subsistanpartes</w:t>
            </w:r>
            <w:proofErr w:type="spellEnd"/>
            <w:r w:rsidRPr="006E412F">
              <w:rPr>
                <w:rFonts w:ascii="Palatino Linotype" w:eastAsia="Palatino Linotype" w:hAnsi="Palatino Linotype" w:cs="Palatino Linotype"/>
                <w:sz w:val="18"/>
                <w:szCs w:val="18"/>
              </w:rPr>
              <w:t> o secciones del mismo reservadas o confidenciales, se señalará este hecho.</w:t>
            </w:r>
          </w:p>
        </w:tc>
      </w:tr>
      <w:tr w:rsidR="006E412F" w:rsidRPr="006E412F" w14:paraId="6DD02BBB" w14:textId="77777777">
        <w:tc>
          <w:tcPr>
            <w:tcW w:w="1386" w:type="dxa"/>
            <w:tcBorders>
              <w:top w:val="single" w:sz="6" w:space="0" w:color="BFBFBF"/>
              <w:left w:val="single" w:sz="6" w:space="0" w:color="BFBFBF"/>
              <w:bottom w:val="single" w:sz="6" w:space="0" w:color="BFBFBF"/>
              <w:right w:val="single" w:sz="6" w:space="0" w:color="BFBFBF"/>
            </w:tcBorders>
          </w:tcPr>
          <w:p w14:paraId="2EBE44B5"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sz w:val="18"/>
                <w:szCs w:val="18"/>
              </w:rPr>
              <w:t> </w:t>
            </w:r>
          </w:p>
        </w:tc>
        <w:tc>
          <w:tcPr>
            <w:tcW w:w="2848" w:type="dxa"/>
            <w:tcBorders>
              <w:top w:val="single" w:sz="6" w:space="0" w:color="BFBFBF"/>
              <w:left w:val="single" w:sz="6" w:space="0" w:color="BFBFBF"/>
              <w:bottom w:val="single" w:sz="6" w:space="0" w:color="BFBFBF"/>
              <w:right w:val="single" w:sz="6" w:space="0" w:color="BFBFBF"/>
            </w:tcBorders>
          </w:tcPr>
          <w:p w14:paraId="545EB216"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sz w:val="18"/>
                <w:szCs w:val="18"/>
              </w:rPr>
              <w:t> </w:t>
            </w:r>
          </w:p>
        </w:tc>
        <w:tc>
          <w:tcPr>
            <w:tcW w:w="1501" w:type="dxa"/>
            <w:tcBorders>
              <w:top w:val="single" w:sz="6" w:space="0" w:color="BFBFBF"/>
              <w:left w:val="single" w:sz="6" w:space="0" w:color="BFBFBF"/>
              <w:bottom w:val="single" w:sz="6" w:space="0" w:color="BFBFBF"/>
              <w:right w:val="single" w:sz="6" w:space="0" w:color="BFBFBF"/>
            </w:tcBorders>
          </w:tcPr>
          <w:p w14:paraId="4FE2EA21"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b/>
                <w:sz w:val="18"/>
                <w:szCs w:val="18"/>
              </w:rPr>
              <w:t>Rúbrica y cargo del servidor público</w:t>
            </w:r>
          </w:p>
        </w:tc>
        <w:tc>
          <w:tcPr>
            <w:tcW w:w="3314" w:type="dxa"/>
            <w:tcBorders>
              <w:top w:val="single" w:sz="6" w:space="0" w:color="BFBFBF"/>
              <w:left w:val="single" w:sz="6" w:space="0" w:color="BFBFBF"/>
              <w:bottom w:val="single" w:sz="6" w:space="0" w:color="BFBFBF"/>
              <w:right w:val="single" w:sz="6" w:space="0" w:color="BFBFBF"/>
            </w:tcBorders>
          </w:tcPr>
          <w:p w14:paraId="4F3CE2A8" w14:textId="77777777" w:rsidR="00577EBA" w:rsidRPr="006E412F" w:rsidRDefault="007A63D9">
            <w:pPr>
              <w:spacing w:line="360" w:lineRule="auto"/>
              <w:jc w:val="both"/>
              <w:rPr>
                <w:rFonts w:ascii="Palatino Linotype" w:eastAsia="Palatino Linotype" w:hAnsi="Palatino Linotype" w:cs="Palatino Linotype"/>
                <w:sz w:val="18"/>
                <w:szCs w:val="18"/>
              </w:rPr>
            </w:pPr>
            <w:r w:rsidRPr="006E412F">
              <w:rPr>
                <w:rFonts w:ascii="Palatino Linotype" w:eastAsia="Palatino Linotype" w:hAnsi="Palatino Linotype" w:cs="Palatino Linotype"/>
                <w:sz w:val="18"/>
                <w:szCs w:val="18"/>
              </w:rPr>
              <w:t>Rúbrica autógrafa de quien desclasifica.</w:t>
            </w:r>
          </w:p>
        </w:tc>
      </w:tr>
    </w:tbl>
    <w:p w14:paraId="662AA9EE"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0DC5F930"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Es así como, en mérito de lo expuesto en líneas anteriores, resultan fundadas las razones o motivos de inconformidad hechos valer por el RECURRENTE dentro del recurso de revisión </w:t>
      </w:r>
      <w:r w:rsidRPr="006E412F">
        <w:rPr>
          <w:rFonts w:ascii="Palatino Linotype" w:eastAsia="Palatino Linotype" w:hAnsi="Palatino Linotype" w:cs="Palatino Linotype"/>
          <w:b/>
          <w:sz w:val="24"/>
          <w:szCs w:val="24"/>
        </w:rPr>
        <w:t>09264/INFOEM/IP/RR/2022</w:t>
      </w:r>
      <w:r w:rsidRPr="006E412F">
        <w:rPr>
          <w:rFonts w:ascii="Palatino Linotype" w:eastAsia="Palatino Linotype" w:hAnsi="Palatino Linotype" w:cs="Palatino Linotype"/>
          <w:sz w:val="24"/>
          <w:szCs w:val="24"/>
        </w:rPr>
        <w:t xml:space="preserve">; por ello, y con fundamento en la fracción III del numeral 186 de la Ley de Transparencia y Acceso a la Información Pública del Estado de México y Municipios, se </w:t>
      </w:r>
      <w:r w:rsidRPr="006E412F">
        <w:rPr>
          <w:rFonts w:ascii="Palatino Linotype" w:eastAsia="Palatino Linotype" w:hAnsi="Palatino Linotype" w:cs="Palatino Linotype"/>
          <w:b/>
          <w:sz w:val="24"/>
          <w:szCs w:val="24"/>
        </w:rPr>
        <w:t xml:space="preserve">MODIFICA </w:t>
      </w:r>
      <w:r w:rsidRPr="006E412F">
        <w:rPr>
          <w:rFonts w:ascii="Palatino Linotype" w:eastAsia="Palatino Linotype" w:hAnsi="Palatino Linotype" w:cs="Palatino Linotype"/>
          <w:sz w:val="24"/>
          <w:szCs w:val="24"/>
        </w:rPr>
        <w:t xml:space="preserve">la respuesta a la solicitud de información número </w:t>
      </w:r>
      <w:r w:rsidRPr="006E412F">
        <w:rPr>
          <w:rFonts w:ascii="Palatino Linotype" w:eastAsia="Palatino Linotype" w:hAnsi="Palatino Linotype" w:cs="Palatino Linotype"/>
          <w:b/>
          <w:sz w:val="24"/>
          <w:szCs w:val="24"/>
        </w:rPr>
        <w:t>00184/COACALCO/IP/2022.</w:t>
      </w:r>
    </w:p>
    <w:p w14:paraId="7EF56539"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27394427"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5AF85D2A"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051AFBAA" w14:textId="77777777" w:rsidR="00577EBA" w:rsidRPr="006E412F" w:rsidRDefault="007A63D9">
      <w:pPr>
        <w:spacing w:after="0" w:line="360" w:lineRule="auto"/>
        <w:ind w:right="49"/>
        <w:jc w:val="center"/>
        <w:rPr>
          <w:rFonts w:ascii="Palatino Linotype" w:eastAsia="Palatino Linotype" w:hAnsi="Palatino Linotype" w:cs="Palatino Linotype"/>
          <w:b/>
          <w:sz w:val="24"/>
          <w:szCs w:val="24"/>
        </w:rPr>
      </w:pPr>
      <w:r w:rsidRPr="006E412F">
        <w:rPr>
          <w:rFonts w:ascii="Palatino Linotype" w:eastAsia="Palatino Linotype" w:hAnsi="Palatino Linotype" w:cs="Palatino Linotype"/>
          <w:b/>
          <w:sz w:val="24"/>
          <w:szCs w:val="24"/>
        </w:rPr>
        <w:t>III.</w:t>
      </w:r>
      <w:r w:rsidRPr="006E412F">
        <w:rPr>
          <w:rFonts w:ascii="Palatino Linotype" w:eastAsia="Palatino Linotype" w:hAnsi="Palatino Linotype" w:cs="Palatino Linotype"/>
          <w:b/>
          <w:sz w:val="24"/>
          <w:szCs w:val="24"/>
        </w:rPr>
        <w:tab/>
        <w:t>R E S U E L V E:</w:t>
      </w:r>
    </w:p>
    <w:p w14:paraId="77354F58"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5331D1B6"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b/>
          <w:sz w:val="24"/>
          <w:szCs w:val="24"/>
        </w:rPr>
        <w:t>Primero.</w:t>
      </w:r>
      <w:r w:rsidRPr="006E412F">
        <w:rPr>
          <w:rFonts w:ascii="Palatino Linotype" w:eastAsia="Palatino Linotype" w:hAnsi="Palatino Linotype" w:cs="Palatino Linotype"/>
          <w:sz w:val="24"/>
          <w:szCs w:val="24"/>
        </w:rPr>
        <w:t xml:space="preserve"> Resultan </w:t>
      </w:r>
      <w:r w:rsidRPr="006E412F">
        <w:rPr>
          <w:rFonts w:ascii="Palatino Linotype" w:eastAsia="Palatino Linotype" w:hAnsi="Palatino Linotype" w:cs="Palatino Linotype"/>
          <w:b/>
          <w:sz w:val="24"/>
          <w:szCs w:val="24"/>
        </w:rPr>
        <w:t>FUNDADOS</w:t>
      </w:r>
      <w:r w:rsidRPr="006E412F">
        <w:rPr>
          <w:rFonts w:ascii="Palatino Linotype" w:eastAsia="Palatino Linotype" w:hAnsi="Palatino Linotype" w:cs="Palatino Linotype"/>
          <w:sz w:val="24"/>
          <w:szCs w:val="24"/>
        </w:rPr>
        <w:t xml:space="preserve"> los motivos de inconformidad hechos valer por el </w:t>
      </w:r>
      <w:r w:rsidRPr="006E412F">
        <w:rPr>
          <w:rFonts w:ascii="Palatino Linotype" w:eastAsia="Palatino Linotype" w:hAnsi="Palatino Linotype" w:cs="Palatino Linotype"/>
          <w:b/>
          <w:sz w:val="24"/>
          <w:szCs w:val="24"/>
        </w:rPr>
        <w:t>RECURRENTE</w:t>
      </w:r>
      <w:r w:rsidRPr="006E412F">
        <w:rPr>
          <w:rFonts w:ascii="Palatino Linotype" w:eastAsia="Palatino Linotype" w:hAnsi="Palatino Linotype" w:cs="Palatino Linotype"/>
          <w:sz w:val="24"/>
          <w:szCs w:val="24"/>
        </w:rPr>
        <w:t xml:space="preserve"> en el Recurso de Revisión </w:t>
      </w:r>
      <w:r w:rsidRPr="006E412F">
        <w:rPr>
          <w:rFonts w:ascii="Palatino Linotype" w:eastAsia="Palatino Linotype" w:hAnsi="Palatino Linotype" w:cs="Palatino Linotype"/>
          <w:b/>
          <w:sz w:val="24"/>
          <w:szCs w:val="24"/>
        </w:rPr>
        <w:t>09264/INFOEM/IP/RR/2022</w:t>
      </w:r>
      <w:r w:rsidRPr="006E412F">
        <w:rPr>
          <w:rFonts w:ascii="Palatino Linotype" w:eastAsia="Palatino Linotype" w:hAnsi="Palatino Linotype" w:cs="Palatino Linotype"/>
          <w:sz w:val="24"/>
          <w:szCs w:val="24"/>
        </w:rPr>
        <w:t xml:space="preserve">, por lo que, en términos del </w:t>
      </w:r>
      <w:r w:rsidRPr="006E412F">
        <w:rPr>
          <w:rFonts w:ascii="Palatino Linotype" w:eastAsia="Palatino Linotype" w:hAnsi="Palatino Linotype" w:cs="Palatino Linotype"/>
          <w:b/>
          <w:sz w:val="24"/>
          <w:szCs w:val="24"/>
        </w:rPr>
        <w:t>Considerando Cuarto</w:t>
      </w:r>
      <w:r w:rsidRPr="006E412F">
        <w:rPr>
          <w:rFonts w:ascii="Palatino Linotype" w:eastAsia="Palatino Linotype" w:hAnsi="Palatino Linotype" w:cs="Palatino Linotype"/>
          <w:sz w:val="24"/>
          <w:szCs w:val="24"/>
        </w:rPr>
        <w:t xml:space="preserve"> de esta resolución, se </w:t>
      </w:r>
      <w:r w:rsidRPr="006E412F">
        <w:rPr>
          <w:rFonts w:ascii="Palatino Linotype" w:eastAsia="Palatino Linotype" w:hAnsi="Palatino Linotype" w:cs="Palatino Linotype"/>
          <w:b/>
          <w:sz w:val="24"/>
          <w:szCs w:val="24"/>
        </w:rPr>
        <w:t>MODIFICA</w:t>
      </w:r>
      <w:r w:rsidRPr="006E412F">
        <w:rPr>
          <w:rFonts w:ascii="Palatino Linotype" w:eastAsia="Palatino Linotype" w:hAnsi="Palatino Linotype" w:cs="Palatino Linotype"/>
          <w:sz w:val="24"/>
          <w:szCs w:val="24"/>
        </w:rPr>
        <w:t xml:space="preserve"> la respuesta emitida por el </w:t>
      </w:r>
      <w:r w:rsidRPr="006E412F">
        <w:rPr>
          <w:rFonts w:ascii="Palatino Linotype" w:eastAsia="Palatino Linotype" w:hAnsi="Palatino Linotype" w:cs="Palatino Linotype"/>
          <w:b/>
          <w:sz w:val="24"/>
          <w:szCs w:val="24"/>
        </w:rPr>
        <w:t>SUJETO OBLIGADO</w:t>
      </w:r>
      <w:r w:rsidRPr="006E412F">
        <w:rPr>
          <w:rFonts w:ascii="Palatino Linotype" w:eastAsia="Palatino Linotype" w:hAnsi="Palatino Linotype" w:cs="Palatino Linotype"/>
          <w:sz w:val="24"/>
          <w:szCs w:val="24"/>
        </w:rPr>
        <w:t>.</w:t>
      </w:r>
    </w:p>
    <w:p w14:paraId="39471EF1"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787AC5A2" w14:textId="1EEF232D"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b/>
          <w:sz w:val="24"/>
          <w:szCs w:val="24"/>
        </w:rPr>
        <w:t>Segundo</w:t>
      </w:r>
      <w:r w:rsidRPr="006E412F">
        <w:rPr>
          <w:rFonts w:ascii="Palatino Linotype" w:eastAsia="Palatino Linotype" w:hAnsi="Palatino Linotype" w:cs="Palatino Linotype"/>
          <w:sz w:val="24"/>
          <w:szCs w:val="24"/>
        </w:rPr>
        <w:t xml:space="preserve">. Se </w:t>
      </w:r>
      <w:r w:rsidRPr="006E412F">
        <w:rPr>
          <w:rFonts w:ascii="Palatino Linotype" w:eastAsia="Palatino Linotype" w:hAnsi="Palatino Linotype" w:cs="Palatino Linotype"/>
          <w:b/>
          <w:sz w:val="24"/>
          <w:szCs w:val="24"/>
        </w:rPr>
        <w:t>ORDENA</w:t>
      </w:r>
      <w:r w:rsidRPr="006E412F">
        <w:rPr>
          <w:rFonts w:ascii="Palatino Linotype" w:eastAsia="Palatino Linotype" w:hAnsi="Palatino Linotype" w:cs="Palatino Linotype"/>
          <w:sz w:val="24"/>
          <w:szCs w:val="24"/>
        </w:rPr>
        <w:t xml:space="preserve"> al </w:t>
      </w:r>
      <w:r w:rsidRPr="006E412F">
        <w:rPr>
          <w:rFonts w:ascii="Palatino Linotype" w:eastAsia="Palatino Linotype" w:hAnsi="Palatino Linotype" w:cs="Palatino Linotype"/>
          <w:b/>
          <w:sz w:val="24"/>
          <w:szCs w:val="24"/>
        </w:rPr>
        <w:t>SUJETO OBLIGADO</w:t>
      </w:r>
      <w:r w:rsidRPr="006E412F">
        <w:rPr>
          <w:rFonts w:ascii="Palatino Linotype" w:eastAsia="Palatino Linotype" w:hAnsi="Palatino Linotype" w:cs="Palatino Linotype"/>
          <w:sz w:val="24"/>
          <w:szCs w:val="24"/>
        </w:rPr>
        <w:t xml:space="preserve"> a que, en términos del </w:t>
      </w:r>
      <w:r w:rsidRPr="006E412F">
        <w:rPr>
          <w:rFonts w:ascii="Palatino Linotype" w:eastAsia="Palatino Linotype" w:hAnsi="Palatino Linotype" w:cs="Palatino Linotype"/>
          <w:b/>
          <w:sz w:val="24"/>
          <w:szCs w:val="24"/>
        </w:rPr>
        <w:t>Considerando Cuarto y Quinto</w:t>
      </w:r>
      <w:r w:rsidRPr="006E412F">
        <w:rPr>
          <w:rFonts w:ascii="Palatino Linotype" w:eastAsia="Palatino Linotype" w:hAnsi="Palatino Linotype" w:cs="Palatino Linotype"/>
          <w:sz w:val="24"/>
          <w:szCs w:val="24"/>
        </w:rPr>
        <w:t>, haga entrega, vía Sistema de Acceso a la Información Mexiquense, previa búsqueda exhaustiva y razonable, de ser el caso, en versión pública, de la siguiente información:</w:t>
      </w:r>
    </w:p>
    <w:p w14:paraId="57252B12" w14:textId="77777777" w:rsidR="00FF5B69" w:rsidRPr="006E412F" w:rsidRDefault="00FF5B69">
      <w:pPr>
        <w:spacing w:after="0" w:line="360" w:lineRule="auto"/>
        <w:ind w:right="49"/>
        <w:jc w:val="both"/>
        <w:rPr>
          <w:rFonts w:ascii="Palatino Linotype" w:eastAsia="Palatino Linotype" w:hAnsi="Palatino Linotype" w:cs="Palatino Linotype"/>
          <w:sz w:val="24"/>
          <w:szCs w:val="24"/>
        </w:rPr>
      </w:pPr>
    </w:p>
    <w:p w14:paraId="13D56964" w14:textId="62C9F4D6" w:rsidR="00FF5B69" w:rsidRPr="006E412F" w:rsidRDefault="0082059A" w:rsidP="0082059A">
      <w:pPr>
        <w:pBdr>
          <w:top w:val="nil"/>
          <w:left w:val="nil"/>
          <w:bottom w:val="nil"/>
          <w:right w:val="nil"/>
          <w:between w:val="nil"/>
        </w:pBdr>
        <w:spacing w:after="0" w:line="360" w:lineRule="auto"/>
        <w:ind w:left="567" w:right="843"/>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a) </w:t>
      </w:r>
      <w:r w:rsidR="00FF5B69" w:rsidRPr="006E412F">
        <w:rPr>
          <w:rFonts w:ascii="Palatino Linotype" w:eastAsia="Palatino Linotype" w:hAnsi="Palatino Linotype" w:cs="Palatino Linotype"/>
          <w:sz w:val="24"/>
          <w:szCs w:val="24"/>
        </w:rPr>
        <w:t>Acuerdo emitido por el Comité de Transparencia donde confirme la inexistencia del Padrón de Proveedores de los años 2016, 2017 y 2018, conforme a lo establecido en el artículo 19, párrafo tercero, 169 y 170 de la Ley de Transparencia y Acceso a la Información Pública del Estado de México y Municipios</w:t>
      </w:r>
      <w:r w:rsidR="00FF5B69" w:rsidRPr="006E412F">
        <w:rPr>
          <w:rFonts w:ascii="Palatino Linotype" w:eastAsia="Palatino Linotype" w:hAnsi="Palatino Linotype" w:cs="Palatino Linotype"/>
        </w:rPr>
        <w:t xml:space="preserve">. </w:t>
      </w:r>
    </w:p>
    <w:p w14:paraId="7D38D014" w14:textId="77777777" w:rsidR="00FF5B69" w:rsidRPr="006E412F" w:rsidRDefault="00FF5B69" w:rsidP="0082059A">
      <w:pPr>
        <w:pBdr>
          <w:top w:val="nil"/>
          <w:left w:val="nil"/>
          <w:bottom w:val="nil"/>
          <w:right w:val="nil"/>
          <w:between w:val="nil"/>
        </w:pBdr>
        <w:spacing w:after="0" w:line="360" w:lineRule="auto"/>
        <w:ind w:left="567" w:right="843"/>
        <w:jc w:val="both"/>
        <w:rPr>
          <w:rFonts w:ascii="Palatino Linotype" w:eastAsia="Palatino Linotype" w:hAnsi="Palatino Linotype" w:cs="Palatino Linotype"/>
        </w:rPr>
      </w:pPr>
    </w:p>
    <w:p w14:paraId="07939CA9" w14:textId="77777777" w:rsidR="00FF5B69" w:rsidRPr="006E412F" w:rsidRDefault="00FF5B69" w:rsidP="0082059A">
      <w:pPr>
        <w:pBdr>
          <w:top w:val="nil"/>
          <w:left w:val="nil"/>
          <w:bottom w:val="nil"/>
          <w:right w:val="nil"/>
          <w:between w:val="nil"/>
        </w:pBdr>
        <w:spacing w:after="0" w:line="360" w:lineRule="auto"/>
        <w:ind w:left="567" w:right="843"/>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b/>
          <w:sz w:val="24"/>
          <w:szCs w:val="24"/>
        </w:rPr>
        <w:t xml:space="preserve">De los procedimientos de licitación pública, invitación restringida y adjudicación directa: </w:t>
      </w:r>
    </w:p>
    <w:p w14:paraId="44EDA994" w14:textId="77777777" w:rsidR="00FF5B69" w:rsidRPr="006E412F" w:rsidRDefault="00FF5B69" w:rsidP="0082059A">
      <w:pPr>
        <w:pBdr>
          <w:top w:val="nil"/>
          <w:left w:val="nil"/>
          <w:bottom w:val="nil"/>
          <w:right w:val="nil"/>
          <w:between w:val="nil"/>
        </w:pBdr>
        <w:spacing w:after="0" w:line="360" w:lineRule="auto"/>
        <w:ind w:left="567" w:right="843"/>
        <w:jc w:val="both"/>
        <w:rPr>
          <w:rFonts w:ascii="Palatino Linotype" w:eastAsia="Palatino Linotype" w:hAnsi="Palatino Linotype" w:cs="Palatino Linotype"/>
          <w:sz w:val="24"/>
          <w:szCs w:val="24"/>
        </w:rPr>
      </w:pPr>
    </w:p>
    <w:p w14:paraId="6C8F76B8" w14:textId="2FB48C2F" w:rsidR="00FF5B69" w:rsidRPr="006E412F" w:rsidRDefault="0082059A" w:rsidP="0082059A">
      <w:pPr>
        <w:pBdr>
          <w:top w:val="nil"/>
          <w:left w:val="nil"/>
          <w:bottom w:val="nil"/>
          <w:right w:val="nil"/>
          <w:between w:val="nil"/>
        </w:pBdr>
        <w:spacing w:after="0" w:line="360" w:lineRule="auto"/>
        <w:ind w:left="567" w:right="843"/>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b) </w:t>
      </w:r>
      <w:r w:rsidR="00FF5B69" w:rsidRPr="006E412F">
        <w:rPr>
          <w:rFonts w:ascii="Palatino Linotype" w:eastAsia="Palatino Linotype" w:hAnsi="Palatino Linotype" w:cs="Palatino Linotype"/>
          <w:sz w:val="24"/>
          <w:szCs w:val="24"/>
        </w:rPr>
        <w:t>Documentos donde conste la institución, nombre de la unidad convocante, código del expediente, referencia del expediente, título del expediente, fundamento legal, número del procedimiento, fecha de fallo, fecha de publicación de la convocatoria, tipo de contratación, tipo de procedimiento, título de contrato, descripción del contrato, importe del contrato, convenio modificatorio, Registro Federal de Contribuyentes y nombre de los proveedores y contratista y; dirección del anuncio, de los años 2012, 2013, 2014, 2015,</w:t>
      </w:r>
      <w:r w:rsidR="00431767" w:rsidRPr="006E412F">
        <w:rPr>
          <w:rFonts w:ascii="Palatino Linotype" w:eastAsia="Palatino Linotype" w:hAnsi="Palatino Linotype" w:cs="Palatino Linotype"/>
          <w:sz w:val="24"/>
          <w:szCs w:val="24"/>
        </w:rPr>
        <w:t xml:space="preserve"> 2016, 2017,</w:t>
      </w:r>
      <w:r w:rsidR="00FF5B69" w:rsidRPr="006E412F">
        <w:rPr>
          <w:rFonts w:ascii="Palatino Linotype" w:eastAsia="Palatino Linotype" w:hAnsi="Palatino Linotype" w:cs="Palatino Linotype"/>
          <w:sz w:val="24"/>
          <w:szCs w:val="24"/>
        </w:rPr>
        <w:t xml:space="preserve"> 2018, 2019, 2020, 2021 y</w:t>
      </w:r>
      <w:r w:rsidR="00CE7CA4" w:rsidRPr="006E412F">
        <w:rPr>
          <w:rFonts w:ascii="Palatino Linotype" w:eastAsia="Palatino Linotype" w:hAnsi="Palatino Linotype" w:cs="Palatino Linotype"/>
          <w:sz w:val="24"/>
          <w:szCs w:val="24"/>
        </w:rPr>
        <w:t xml:space="preserve"> del uno de enero al veintinueve de abril de</w:t>
      </w:r>
      <w:r w:rsidR="00FF5B69" w:rsidRPr="006E412F">
        <w:rPr>
          <w:rFonts w:ascii="Palatino Linotype" w:eastAsia="Palatino Linotype" w:hAnsi="Palatino Linotype" w:cs="Palatino Linotype"/>
          <w:sz w:val="24"/>
          <w:szCs w:val="24"/>
        </w:rPr>
        <w:t xml:space="preserve"> 2022.  </w:t>
      </w:r>
    </w:p>
    <w:p w14:paraId="56CA5685" w14:textId="2ED9AD61" w:rsidR="00FF5B69" w:rsidRPr="006E412F" w:rsidRDefault="0082059A" w:rsidP="0082059A">
      <w:pPr>
        <w:pBdr>
          <w:top w:val="nil"/>
          <w:left w:val="nil"/>
          <w:bottom w:val="nil"/>
          <w:right w:val="nil"/>
          <w:between w:val="nil"/>
        </w:pBdr>
        <w:spacing w:after="0" w:line="360" w:lineRule="auto"/>
        <w:ind w:left="567" w:right="843"/>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c) </w:t>
      </w:r>
      <w:r w:rsidR="00FF5B69" w:rsidRPr="006E412F">
        <w:rPr>
          <w:rFonts w:ascii="Palatino Linotype" w:eastAsia="Palatino Linotype" w:hAnsi="Palatino Linotype" w:cs="Palatino Linotype"/>
          <w:sz w:val="24"/>
          <w:szCs w:val="24"/>
        </w:rPr>
        <w:t xml:space="preserve">Padrón de Proveedores de los años 2012, 2013, 2014, 2015, 2019, 2020, 2021 y 2022.  </w:t>
      </w:r>
    </w:p>
    <w:p w14:paraId="2B6618E4" w14:textId="77777777" w:rsidR="00FF5B69" w:rsidRPr="006E412F" w:rsidRDefault="00FF5B69" w:rsidP="00FF5B69">
      <w:pPr>
        <w:spacing w:after="0" w:line="360" w:lineRule="auto"/>
        <w:ind w:right="49"/>
        <w:jc w:val="both"/>
        <w:rPr>
          <w:rFonts w:ascii="Palatino Linotype" w:eastAsia="Palatino Linotype" w:hAnsi="Palatino Linotype" w:cs="Palatino Linotype"/>
          <w:b/>
        </w:rPr>
      </w:pPr>
    </w:p>
    <w:p w14:paraId="06D59DE0" w14:textId="07C8545E" w:rsidR="00FF5B69" w:rsidRPr="006E412F" w:rsidRDefault="00FF5B69" w:rsidP="00FF5B6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2B59611B" w14:textId="77777777" w:rsidR="00FF5B69" w:rsidRPr="006E412F" w:rsidRDefault="00FF5B69" w:rsidP="00FF5B69">
      <w:pPr>
        <w:spacing w:after="0" w:line="360" w:lineRule="auto"/>
        <w:ind w:right="49"/>
        <w:jc w:val="both"/>
        <w:rPr>
          <w:rFonts w:ascii="Palatino Linotype" w:eastAsia="Palatino Linotype" w:hAnsi="Palatino Linotype" w:cs="Palatino Linotype"/>
          <w:sz w:val="24"/>
          <w:szCs w:val="24"/>
        </w:rPr>
      </w:pPr>
    </w:p>
    <w:p w14:paraId="4C1652F2" w14:textId="74AAE5FF" w:rsidR="00FF5B69" w:rsidRPr="006E412F" w:rsidRDefault="00FF5B69" w:rsidP="00FF5B69">
      <w:pPr>
        <w:tabs>
          <w:tab w:val="left" w:pos="993"/>
        </w:tabs>
        <w:spacing w:line="360" w:lineRule="auto"/>
        <w:ind w:right="-28"/>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De no contar</w:t>
      </w:r>
      <w:r w:rsidR="00431767" w:rsidRPr="006E412F">
        <w:rPr>
          <w:rFonts w:ascii="Palatino Linotype" w:eastAsia="Palatino Linotype" w:hAnsi="Palatino Linotype" w:cs="Palatino Linotype"/>
          <w:sz w:val="24"/>
          <w:szCs w:val="24"/>
        </w:rPr>
        <w:t xml:space="preserve"> con la</w:t>
      </w:r>
      <w:r w:rsidR="00CE7CA4" w:rsidRPr="006E412F">
        <w:rPr>
          <w:rFonts w:ascii="Palatino Linotype" w:eastAsia="Palatino Linotype" w:hAnsi="Palatino Linotype" w:cs="Palatino Linotype"/>
          <w:sz w:val="24"/>
          <w:szCs w:val="24"/>
        </w:rPr>
        <w:t xml:space="preserve"> información que conforman los expedientes derivados de procedimientos de licitación pública, adjudicación directa e invitación restringida de los años 2012, 2013, 2014 y 2015, </w:t>
      </w:r>
      <w:r w:rsidRPr="006E412F">
        <w:rPr>
          <w:rFonts w:ascii="Palatino Linotype" w:eastAsia="Palatino Linotype" w:hAnsi="Palatino Linotype" w:cs="Palatino Linotype"/>
          <w:sz w:val="24"/>
          <w:szCs w:val="24"/>
        </w:rPr>
        <w:t>el Sujeto Obligado deberá proporcionar el Acuerdo del Comité de Transparencia donde conforme la inexistencia de la información conforme a lo establecido en el artículo 19, párrafo tercero, 169 y 170 de la Ley de Transparencia y Acceso a la Información Pública del Estado de México y Municipios</w:t>
      </w:r>
      <w:r w:rsidR="00CE7CA4" w:rsidRPr="006E412F">
        <w:rPr>
          <w:rFonts w:ascii="Palatino Linotype" w:eastAsia="Palatino Linotype" w:hAnsi="Palatino Linotype" w:cs="Palatino Linotype"/>
          <w:sz w:val="24"/>
          <w:szCs w:val="24"/>
        </w:rPr>
        <w:t xml:space="preserve">, lo mismo sucederá si derivado de la búsqueda efectuada de los años 2016, 2017 y 2018, el Sujeto Obligado no hallase </w:t>
      </w:r>
      <w:r w:rsidR="00B8342C" w:rsidRPr="006E412F">
        <w:rPr>
          <w:rFonts w:ascii="Palatino Linotype" w:eastAsia="Palatino Linotype" w:hAnsi="Palatino Linotype" w:cs="Palatino Linotype"/>
          <w:sz w:val="24"/>
          <w:szCs w:val="24"/>
        </w:rPr>
        <w:t>los documentos que den cuenta de lo solicitado en</w:t>
      </w:r>
      <w:r w:rsidR="00CE7CA4" w:rsidRPr="006E412F">
        <w:rPr>
          <w:rFonts w:ascii="Palatino Linotype" w:eastAsia="Palatino Linotype" w:hAnsi="Palatino Linotype" w:cs="Palatino Linotype"/>
          <w:sz w:val="24"/>
          <w:szCs w:val="24"/>
        </w:rPr>
        <w:t xml:space="preserve"> dichos expedientes. </w:t>
      </w:r>
    </w:p>
    <w:p w14:paraId="7B3BBC02" w14:textId="77777777" w:rsidR="004F7521" w:rsidRPr="006E412F" w:rsidRDefault="004F7521">
      <w:pPr>
        <w:tabs>
          <w:tab w:val="left" w:pos="993"/>
        </w:tabs>
        <w:spacing w:after="0" w:line="360" w:lineRule="auto"/>
        <w:ind w:right="-28"/>
        <w:jc w:val="both"/>
        <w:rPr>
          <w:rFonts w:ascii="Palatino Linotype" w:eastAsia="Palatino Linotype" w:hAnsi="Palatino Linotype" w:cs="Palatino Linotype"/>
          <w:sz w:val="24"/>
          <w:szCs w:val="24"/>
        </w:rPr>
      </w:pPr>
    </w:p>
    <w:p w14:paraId="092E30DD" w14:textId="4A673BDF" w:rsidR="00FF5B69" w:rsidRPr="006E412F" w:rsidRDefault="00FF7C0D" w:rsidP="00FF5B69">
      <w:pPr>
        <w:spacing w:line="360" w:lineRule="auto"/>
        <w:contextualSpacing/>
        <w:jc w:val="both"/>
        <w:rPr>
          <w:rFonts w:ascii="Palatino Linotype" w:hAnsi="Palatino Linotype"/>
          <w:sz w:val="24"/>
          <w:szCs w:val="24"/>
        </w:rPr>
      </w:pPr>
      <w:r w:rsidRPr="006E412F">
        <w:rPr>
          <w:rFonts w:ascii="Palatino Linotype" w:hAnsi="Palatino Linotype"/>
          <w:iCs/>
          <w:sz w:val="24"/>
          <w:szCs w:val="24"/>
          <w:lang w:val="es-ES_tradnl"/>
        </w:rPr>
        <w:t xml:space="preserve">En </w:t>
      </w:r>
      <w:r w:rsidR="000B1BDB" w:rsidRPr="006E412F">
        <w:rPr>
          <w:rFonts w:ascii="Palatino Linotype" w:hAnsi="Palatino Linotype"/>
          <w:iCs/>
          <w:sz w:val="24"/>
          <w:szCs w:val="24"/>
          <w:lang w:val="es-ES_tradnl"/>
        </w:rPr>
        <w:t xml:space="preserve">el </w:t>
      </w:r>
      <w:r w:rsidRPr="006E412F">
        <w:rPr>
          <w:rFonts w:ascii="Palatino Linotype" w:hAnsi="Palatino Linotype"/>
          <w:iCs/>
          <w:sz w:val="24"/>
          <w:szCs w:val="24"/>
          <w:lang w:val="es-ES_tradnl"/>
        </w:rPr>
        <w:t>supuesto d</w:t>
      </w:r>
      <w:r w:rsidR="000B1BDB" w:rsidRPr="006E412F">
        <w:rPr>
          <w:rFonts w:ascii="Palatino Linotype" w:hAnsi="Palatino Linotype"/>
          <w:iCs/>
          <w:sz w:val="24"/>
          <w:szCs w:val="24"/>
          <w:lang w:val="es-ES_tradnl"/>
        </w:rPr>
        <w:t xml:space="preserve">e que la información relativa a la referencia del expediente, título de expediente y convenio modificatorio, que se ordena </w:t>
      </w:r>
      <w:r w:rsidRPr="006E412F">
        <w:rPr>
          <w:rFonts w:ascii="Palatino Linotype" w:hAnsi="Palatino Linotype"/>
          <w:iCs/>
          <w:sz w:val="24"/>
          <w:szCs w:val="24"/>
          <w:lang w:val="es-ES_tradnl"/>
        </w:rPr>
        <w:t>en el inciso b)</w:t>
      </w:r>
      <w:r w:rsidR="00FF5B69" w:rsidRPr="006E412F">
        <w:rPr>
          <w:rFonts w:ascii="Palatino Linotype" w:hAnsi="Palatino Linotype"/>
          <w:iCs/>
          <w:sz w:val="24"/>
          <w:szCs w:val="24"/>
          <w:lang w:val="es-ES_tradnl"/>
        </w:rPr>
        <w:t>,</w:t>
      </w:r>
      <w:r w:rsidRPr="006E412F">
        <w:rPr>
          <w:rFonts w:ascii="Palatino Linotype" w:hAnsi="Palatino Linotype"/>
          <w:iCs/>
          <w:sz w:val="24"/>
          <w:szCs w:val="24"/>
          <w:lang w:val="es-ES_tradnl"/>
        </w:rPr>
        <w:t xml:space="preserve"> no obre en los archivos del Sujeto Obligado, </w:t>
      </w:r>
      <w:r w:rsidR="00FF5B69" w:rsidRPr="006E412F">
        <w:rPr>
          <w:rFonts w:ascii="Palatino Linotype" w:hAnsi="Palatino Linotype"/>
          <w:iCs/>
          <w:sz w:val="24"/>
          <w:szCs w:val="24"/>
          <w:lang w:val="es-ES_tradnl"/>
        </w:rPr>
        <w:t xml:space="preserve">deberá </w:t>
      </w:r>
      <w:r w:rsidRPr="006E412F">
        <w:rPr>
          <w:rFonts w:ascii="Palatino Linotype" w:hAnsi="Palatino Linotype"/>
          <w:iCs/>
          <w:sz w:val="24"/>
          <w:szCs w:val="24"/>
          <w:lang w:val="es-ES_tradnl"/>
        </w:rPr>
        <w:t xml:space="preserve">hacerlo del conocimiento de la parte Recurrente en términos del segundo párrafo del artículo 19 de la Ley en la materia, para tener por colmado el requerimiento de información. </w:t>
      </w:r>
    </w:p>
    <w:p w14:paraId="3DA88EF7" w14:textId="4C1532ED" w:rsidR="00577EBA" w:rsidRPr="006E412F" w:rsidRDefault="00577EBA" w:rsidP="00FF5B69">
      <w:pPr>
        <w:tabs>
          <w:tab w:val="left" w:pos="8400"/>
        </w:tabs>
        <w:spacing w:after="0" w:line="360" w:lineRule="auto"/>
        <w:ind w:right="-28"/>
        <w:jc w:val="both"/>
        <w:rPr>
          <w:rFonts w:ascii="Palatino Linotype" w:eastAsia="Palatino Linotype" w:hAnsi="Palatino Linotype" w:cs="Palatino Linotype"/>
          <w:sz w:val="24"/>
          <w:szCs w:val="24"/>
        </w:rPr>
      </w:pPr>
    </w:p>
    <w:p w14:paraId="0681657D"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b/>
          <w:sz w:val="24"/>
          <w:szCs w:val="24"/>
        </w:rPr>
        <w:t>Tercero.</w:t>
      </w:r>
      <w:r w:rsidRPr="006E412F">
        <w:rPr>
          <w:rFonts w:ascii="Palatino Linotype" w:eastAsia="Palatino Linotype" w:hAnsi="Palatino Linotype" w:cs="Palatino Linotype"/>
          <w:sz w:val="24"/>
          <w:szCs w:val="24"/>
        </w:rPr>
        <w:t xml:space="preserve"> </w:t>
      </w:r>
      <w:r w:rsidRPr="006E412F">
        <w:rPr>
          <w:rFonts w:ascii="Palatino Linotype" w:eastAsia="Palatino Linotype" w:hAnsi="Palatino Linotype" w:cs="Palatino Linotype"/>
          <w:b/>
          <w:sz w:val="24"/>
          <w:szCs w:val="24"/>
        </w:rPr>
        <w:t>Notifíquese vía SAIMEX</w:t>
      </w:r>
      <w:r w:rsidRPr="006E412F">
        <w:rPr>
          <w:rFonts w:ascii="Palatino Linotype" w:eastAsia="Palatino Linotype" w:hAnsi="Palatino Linotype" w:cs="Palatino Linotype"/>
          <w:sz w:val="24"/>
          <w:szCs w:val="24"/>
        </w:rPr>
        <w:t xml:space="preserve">, al </w:t>
      </w:r>
      <w:r w:rsidRPr="006E412F">
        <w:rPr>
          <w:rFonts w:ascii="Palatino Linotype" w:eastAsia="Palatino Linotype" w:hAnsi="Palatino Linotype" w:cs="Palatino Linotype"/>
          <w:b/>
          <w:sz w:val="24"/>
          <w:szCs w:val="24"/>
        </w:rPr>
        <w:t>Responsable de la Unidad de Transparencia</w:t>
      </w:r>
      <w:r w:rsidRPr="006E412F">
        <w:rPr>
          <w:rFonts w:ascii="Palatino Linotype" w:eastAsia="Palatino Linotype" w:hAnsi="Palatino Linotype" w:cs="Palatino Linotype"/>
          <w:sz w:val="24"/>
          <w:szCs w:val="24"/>
        </w:rPr>
        <w:t xml:space="preserve"> </w:t>
      </w:r>
      <w:r w:rsidRPr="006E412F">
        <w:rPr>
          <w:rFonts w:ascii="Palatino Linotype" w:eastAsia="Palatino Linotype" w:hAnsi="Palatino Linotype" w:cs="Palatino Linotype"/>
          <w:b/>
          <w:sz w:val="24"/>
          <w:szCs w:val="24"/>
        </w:rPr>
        <w:t>del Sujeto Obligado</w:t>
      </w:r>
      <w:r w:rsidRPr="006E412F">
        <w:rPr>
          <w:rFonts w:ascii="Palatino Linotype" w:eastAsia="Palatino Linotype" w:hAnsi="Palatino Linotype" w:cs="Palatino Linotype"/>
          <w:sz w:val="24"/>
          <w:szCs w:val="24"/>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2D1F1207"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1C035111"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b/>
          <w:sz w:val="24"/>
          <w:szCs w:val="24"/>
        </w:rPr>
        <w:t>Cuarto.</w:t>
      </w:r>
      <w:r w:rsidRPr="006E412F">
        <w:rPr>
          <w:rFonts w:ascii="Palatino Linotype" w:eastAsia="Palatino Linotype" w:hAnsi="Palatino Linotype" w:cs="Palatino Linotype"/>
          <w:sz w:val="24"/>
          <w:szCs w:val="24"/>
        </w:rPr>
        <w:t xml:space="preserve"> </w:t>
      </w:r>
      <w:r w:rsidRPr="006E412F">
        <w:rPr>
          <w:rFonts w:ascii="Palatino Linotype" w:eastAsia="Palatino Linotype" w:hAnsi="Palatino Linotype" w:cs="Palatino Linotype"/>
          <w:b/>
          <w:sz w:val="24"/>
          <w:szCs w:val="24"/>
        </w:rPr>
        <w:t>Notifíquese vía SAIMEX</w:t>
      </w:r>
      <w:r w:rsidRPr="006E412F">
        <w:rPr>
          <w:rFonts w:ascii="Palatino Linotype" w:eastAsia="Palatino Linotype" w:hAnsi="Palatino Linotype" w:cs="Palatino Linotype"/>
          <w:sz w:val="24"/>
          <w:szCs w:val="24"/>
        </w:rPr>
        <w:t xml:space="preserve"> a la parte </w:t>
      </w:r>
      <w:r w:rsidRPr="006E412F">
        <w:rPr>
          <w:rFonts w:ascii="Palatino Linotype" w:eastAsia="Palatino Linotype" w:hAnsi="Palatino Linotype" w:cs="Palatino Linotype"/>
          <w:b/>
          <w:sz w:val="24"/>
          <w:szCs w:val="24"/>
        </w:rPr>
        <w:t xml:space="preserve">RECURRENTE </w:t>
      </w:r>
      <w:r w:rsidRPr="006E412F">
        <w:rPr>
          <w:rFonts w:ascii="Palatino Linotype" w:eastAsia="Palatino Linotype" w:hAnsi="Palatino Linotype" w:cs="Palatino Linotype"/>
          <w:sz w:val="24"/>
          <w:szCs w:val="24"/>
        </w:rPr>
        <w:t>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o, promover Recurso de Inconformidad, en términos de los artículos 159 y 160, fracción II, de la Ley General de Transparencia y Acceso a la Información Pública.</w:t>
      </w:r>
    </w:p>
    <w:p w14:paraId="4649A755"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12A53D86" w14:textId="77777777" w:rsidR="00577EBA" w:rsidRPr="006E412F"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b/>
          <w:sz w:val="24"/>
          <w:szCs w:val="24"/>
        </w:rPr>
        <w:t>Quinto.</w:t>
      </w:r>
      <w:r w:rsidRPr="006E412F">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el </w:t>
      </w:r>
      <w:r w:rsidRPr="006E412F">
        <w:rPr>
          <w:rFonts w:ascii="Palatino Linotype" w:eastAsia="Palatino Linotype" w:hAnsi="Palatino Linotype" w:cs="Palatino Linotype"/>
          <w:b/>
          <w:sz w:val="24"/>
          <w:szCs w:val="24"/>
        </w:rPr>
        <w:t>SUJETO OBLIGADO</w:t>
      </w:r>
      <w:r w:rsidRPr="006E412F">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683608C1"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7BFAD476" w14:textId="77777777" w:rsidR="00577EBA" w:rsidRDefault="007A63D9">
      <w:pPr>
        <w:spacing w:after="0" w:line="360" w:lineRule="auto"/>
        <w:ind w:right="49"/>
        <w:jc w:val="both"/>
        <w:rPr>
          <w:rFonts w:ascii="Palatino Linotype" w:eastAsia="Palatino Linotype" w:hAnsi="Palatino Linotype" w:cs="Palatino Linotype"/>
          <w:sz w:val="24"/>
          <w:szCs w:val="24"/>
        </w:rPr>
      </w:pPr>
      <w:r w:rsidRPr="006E412F">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TREINTA DE NOVIEMBRE DE DOS MIL VEINTIDÓS, ANTE EL SECRETARIO TÉCNICO DEL PLENO ALEXIS TAPIA RAMÍREZ. </w:t>
      </w:r>
    </w:p>
    <w:p w14:paraId="72633A2E" w14:textId="77777777" w:rsidR="004C2A66" w:rsidRDefault="004C2A66">
      <w:pPr>
        <w:spacing w:after="0" w:line="360" w:lineRule="auto"/>
        <w:ind w:right="49"/>
        <w:jc w:val="both"/>
        <w:rPr>
          <w:rFonts w:ascii="Palatino Linotype" w:eastAsia="Palatino Linotype" w:hAnsi="Palatino Linotype" w:cs="Palatino Linotype"/>
          <w:sz w:val="24"/>
          <w:szCs w:val="24"/>
        </w:rPr>
      </w:pPr>
    </w:p>
    <w:p w14:paraId="63BBE860" w14:textId="77777777" w:rsidR="004C2A66" w:rsidRDefault="004C2A66">
      <w:pPr>
        <w:spacing w:after="0" w:line="360" w:lineRule="auto"/>
        <w:ind w:right="49"/>
        <w:jc w:val="both"/>
        <w:rPr>
          <w:rFonts w:ascii="Palatino Linotype" w:eastAsia="Palatino Linotype" w:hAnsi="Palatino Linotype" w:cs="Palatino Linotype"/>
          <w:sz w:val="24"/>
          <w:szCs w:val="24"/>
        </w:rPr>
      </w:pPr>
    </w:p>
    <w:p w14:paraId="3ACE99D8" w14:textId="77777777" w:rsidR="004C2A66" w:rsidRDefault="004C2A66">
      <w:pPr>
        <w:spacing w:after="0" w:line="360" w:lineRule="auto"/>
        <w:ind w:right="49"/>
        <w:jc w:val="both"/>
        <w:rPr>
          <w:rFonts w:ascii="Palatino Linotype" w:eastAsia="Palatino Linotype" w:hAnsi="Palatino Linotype" w:cs="Palatino Linotype"/>
          <w:sz w:val="24"/>
          <w:szCs w:val="24"/>
        </w:rPr>
      </w:pPr>
    </w:p>
    <w:p w14:paraId="22F0CDAF" w14:textId="77777777" w:rsidR="004C2A66" w:rsidRDefault="004C2A66">
      <w:pPr>
        <w:spacing w:after="0" w:line="360" w:lineRule="auto"/>
        <w:ind w:right="49"/>
        <w:jc w:val="both"/>
        <w:rPr>
          <w:rFonts w:ascii="Palatino Linotype" w:eastAsia="Palatino Linotype" w:hAnsi="Palatino Linotype" w:cs="Palatino Linotype"/>
          <w:sz w:val="24"/>
          <w:szCs w:val="24"/>
        </w:rPr>
      </w:pPr>
    </w:p>
    <w:p w14:paraId="0B0F80BA" w14:textId="77777777" w:rsidR="004C2A66" w:rsidRDefault="004C2A66">
      <w:pPr>
        <w:spacing w:after="0" w:line="360" w:lineRule="auto"/>
        <w:ind w:right="49"/>
        <w:jc w:val="both"/>
        <w:rPr>
          <w:rFonts w:ascii="Palatino Linotype" w:eastAsia="Palatino Linotype" w:hAnsi="Palatino Linotype" w:cs="Palatino Linotype"/>
          <w:sz w:val="24"/>
          <w:szCs w:val="24"/>
        </w:rPr>
      </w:pPr>
    </w:p>
    <w:p w14:paraId="6CCA245A" w14:textId="77777777" w:rsidR="004C2A66" w:rsidRDefault="004C2A66">
      <w:pPr>
        <w:spacing w:after="0" w:line="360" w:lineRule="auto"/>
        <w:ind w:right="49"/>
        <w:jc w:val="both"/>
        <w:rPr>
          <w:rFonts w:ascii="Palatino Linotype" w:eastAsia="Palatino Linotype" w:hAnsi="Palatino Linotype" w:cs="Palatino Linotype"/>
          <w:sz w:val="24"/>
          <w:szCs w:val="24"/>
        </w:rPr>
      </w:pPr>
    </w:p>
    <w:p w14:paraId="21E18729" w14:textId="77777777" w:rsidR="004C2A66" w:rsidRDefault="004C2A66">
      <w:pPr>
        <w:spacing w:after="0" w:line="360" w:lineRule="auto"/>
        <w:ind w:right="49"/>
        <w:jc w:val="both"/>
        <w:rPr>
          <w:rFonts w:ascii="Palatino Linotype" w:eastAsia="Palatino Linotype" w:hAnsi="Palatino Linotype" w:cs="Palatino Linotype"/>
          <w:sz w:val="24"/>
          <w:szCs w:val="24"/>
        </w:rPr>
      </w:pPr>
    </w:p>
    <w:p w14:paraId="640AEA1D" w14:textId="77777777" w:rsidR="004C2A66" w:rsidRDefault="004C2A66">
      <w:pPr>
        <w:spacing w:after="0" w:line="360" w:lineRule="auto"/>
        <w:ind w:right="49"/>
        <w:jc w:val="both"/>
        <w:rPr>
          <w:rFonts w:ascii="Palatino Linotype" w:eastAsia="Palatino Linotype" w:hAnsi="Palatino Linotype" w:cs="Palatino Linotype"/>
          <w:sz w:val="24"/>
          <w:szCs w:val="24"/>
        </w:rPr>
      </w:pPr>
    </w:p>
    <w:p w14:paraId="11C4398C" w14:textId="77777777" w:rsidR="004C2A66" w:rsidRDefault="004C2A66">
      <w:pPr>
        <w:spacing w:after="0" w:line="360" w:lineRule="auto"/>
        <w:ind w:right="49"/>
        <w:jc w:val="both"/>
        <w:rPr>
          <w:rFonts w:ascii="Palatino Linotype" w:eastAsia="Palatino Linotype" w:hAnsi="Palatino Linotype" w:cs="Palatino Linotype"/>
          <w:sz w:val="24"/>
          <w:szCs w:val="24"/>
        </w:rPr>
      </w:pPr>
    </w:p>
    <w:p w14:paraId="2FE06FA0" w14:textId="77777777" w:rsidR="004C2A66" w:rsidRDefault="004C2A66">
      <w:pPr>
        <w:spacing w:after="0" w:line="360" w:lineRule="auto"/>
        <w:ind w:right="49"/>
        <w:jc w:val="both"/>
        <w:rPr>
          <w:rFonts w:ascii="Palatino Linotype" w:eastAsia="Palatino Linotype" w:hAnsi="Palatino Linotype" w:cs="Palatino Linotype"/>
          <w:sz w:val="24"/>
          <w:szCs w:val="24"/>
        </w:rPr>
      </w:pPr>
    </w:p>
    <w:p w14:paraId="502716B4" w14:textId="77777777" w:rsidR="004C2A66" w:rsidRDefault="004C2A66">
      <w:pPr>
        <w:spacing w:after="0" w:line="360" w:lineRule="auto"/>
        <w:ind w:right="49"/>
        <w:jc w:val="both"/>
        <w:rPr>
          <w:rFonts w:ascii="Palatino Linotype" w:eastAsia="Palatino Linotype" w:hAnsi="Palatino Linotype" w:cs="Palatino Linotype"/>
          <w:sz w:val="24"/>
          <w:szCs w:val="24"/>
        </w:rPr>
      </w:pPr>
    </w:p>
    <w:p w14:paraId="069EDF78" w14:textId="77777777" w:rsidR="004C2A66" w:rsidRDefault="004C2A66">
      <w:pPr>
        <w:spacing w:after="0" w:line="360" w:lineRule="auto"/>
        <w:ind w:right="49"/>
        <w:jc w:val="both"/>
        <w:rPr>
          <w:rFonts w:ascii="Palatino Linotype" w:eastAsia="Palatino Linotype" w:hAnsi="Palatino Linotype" w:cs="Palatino Linotype"/>
          <w:sz w:val="24"/>
          <w:szCs w:val="24"/>
        </w:rPr>
      </w:pPr>
    </w:p>
    <w:p w14:paraId="17EFBD89" w14:textId="77777777" w:rsidR="004C2A66" w:rsidRDefault="004C2A66">
      <w:pPr>
        <w:spacing w:after="0" w:line="360" w:lineRule="auto"/>
        <w:ind w:right="49"/>
        <w:jc w:val="both"/>
        <w:rPr>
          <w:rFonts w:ascii="Palatino Linotype" w:eastAsia="Palatino Linotype" w:hAnsi="Palatino Linotype" w:cs="Palatino Linotype"/>
          <w:sz w:val="24"/>
          <w:szCs w:val="24"/>
        </w:rPr>
      </w:pPr>
    </w:p>
    <w:p w14:paraId="6346FA6C" w14:textId="77777777" w:rsidR="004C2A66" w:rsidRPr="006E412F" w:rsidRDefault="004C2A66">
      <w:pPr>
        <w:spacing w:after="0" w:line="360" w:lineRule="auto"/>
        <w:ind w:right="49"/>
        <w:jc w:val="both"/>
        <w:rPr>
          <w:rFonts w:ascii="Palatino Linotype" w:eastAsia="Palatino Linotype" w:hAnsi="Palatino Linotype" w:cs="Palatino Linotype"/>
          <w:sz w:val="24"/>
          <w:szCs w:val="24"/>
        </w:rPr>
      </w:pPr>
    </w:p>
    <w:p w14:paraId="60B5B8D6"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3680E141"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094E4997"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1B69EA91"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495885CE"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64121476"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24A7F0E6"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59D16EF6"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529AB12D"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138BF513"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p w14:paraId="7B4598B0" w14:textId="77777777" w:rsidR="00577EBA" w:rsidRPr="006E412F" w:rsidRDefault="00577EBA">
      <w:pPr>
        <w:spacing w:after="0" w:line="360" w:lineRule="auto"/>
        <w:ind w:right="49"/>
        <w:jc w:val="both"/>
        <w:rPr>
          <w:rFonts w:ascii="Palatino Linotype" w:eastAsia="Palatino Linotype" w:hAnsi="Palatino Linotype" w:cs="Palatino Linotype"/>
          <w:sz w:val="24"/>
          <w:szCs w:val="24"/>
        </w:rPr>
      </w:pPr>
    </w:p>
    <w:sectPr w:rsidR="00577EBA" w:rsidRPr="006E412F">
      <w:headerReference w:type="default" r:id="rId20"/>
      <w:footerReference w:type="default" r:id="rId21"/>
      <w:headerReference w:type="first" r:id="rId22"/>
      <w:footerReference w:type="first" r:id="rId23"/>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13E69C" w14:textId="77777777" w:rsidR="0008464B" w:rsidRDefault="0008464B">
      <w:pPr>
        <w:spacing w:after="0" w:line="240" w:lineRule="auto"/>
      </w:pPr>
      <w:r>
        <w:separator/>
      </w:r>
    </w:p>
  </w:endnote>
  <w:endnote w:type="continuationSeparator" w:id="0">
    <w:p w14:paraId="7EB78B4C" w14:textId="77777777" w:rsidR="0008464B" w:rsidRDefault="00084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w:altName w:val="Arial"/>
    <w:charset w:val="00"/>
    <w:family w:val="swiss"/>
    <w:pitch w:val="variable"/>
    <w:sig w:usb0="00000001"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E2F5D5" w14:textId="77777777" w:rsidR="0008464B" w:rsidRDefault="0008464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3561E">
      <w:rPr>
        <w:b/>
        <w:noProof/>
        <w:color w:val="000000"/>
        <w:sz w:val="24"/>
        <w:szCs w:val="24"/>
      </w:rPr>
      <w:t>21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3561E">
      <w:rPr>
        <w:b/>
        <w:noProof/>
        <w:color w:val="000000"/>
        <w:sz w:val="24"/>
        <w:szCs w:val="24"/>
      </w:rPr>
      <w:t>62</w:t>
    </w:r>
    <w:r>
      <w:rPr>
        <w:b/>
        <w:color w:val="000000"/>
        <w:sz w:val="24"/>
        <w:szCs w:val="24"/>
      </w:rPr>
      <w:fldChar w:fldCharType="end"/>
    </w:r>
  </w:p>
  <w:p w14:paraId="28FD8ED9" w14:textId="77777777" w:rsidR="0008464B" w:rsidRDefault="0008464B">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E4B35C" w14:textId="77777777" w:rsidR="0008464B" w:rsidRDefault="0008464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3561E">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3561E">
      <w:rPr>
        <w:b/>
        <w:noProof/>
        <w:color w:val="000000"/>
        <w:sz w:val="24"/>
        <w:szCs w:val="24"/>
      </w:rPr>
      <w:t>62</w:t>
    </w:r>
    <w:r>
      <w:rPr>
        <w:b/>
        <w:color w:val="000000"/>
        <w:sz w:val="24"/>
        <w:szCs w:val="24"/>
      </w:rPr>
      <w:fldChar w:fldCharType="end"/>
    </w:r>
  </w:p>
  <w:p w14:paraId="1FC1BCB2" w14:textId="77777777" w:rsidR="0008464B" w:rsidRDefault="0008464B">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944D19" w14:textId="77777777" w:rsidR="0008464B" w:rsidRDefault="0008464B">
      <w:pPr>
        <w:spacing w:after="0" w:line="240" w:lineRule="auto"/>
      </w:pPr>
      <w:r>
        <w:separator/>
      </w:r>
    </w:p>
  </w:footnote>
  <w:footnote w:type="continuationSeparator" w:id="0">
    <w:p w14:paraId="0F41E5B9" w14:textId="77777777" w:rsidR="0008464B" w:rsidRDefault="000846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FEDD3" w14:textId="77777777" w:rsidR="0008464B" w:rsidRDefault="0008464B">
    <w:pPr>
      <w:widowControl w:val="0"/>
      <w:pBdr>
        <w:top w:val="nil"/>
        <w:left w:val="nil"/>
        <w:bottom w:val="nil"/>
        <w:right w:val="nil"/>
        <w:between w:val="nil"/>
      </w:pBdr>
      <w:spacing w:after="0" w:line="276" w:lineRule="auto"/>
      <w:rPr>
        <w:color w:val="000000"/>
      </w:rPr>
    </w:pPr>
  </w:p>
  <w:tbl>
    <w:tblPr>
      <w:tblStyle w:val="a4"/>
      <w:tblW w:w="5603" w:type="dxa"/>
      <w:tblInd w:w="3611" w:type="dxa"/>
      <w:tblLayout w:type="fixed"/>
      <w:tblLook w:val="0400" w:firstRow="0" w:lastRow="0" w:firstColumn="0" w:lastColumn="0" w:noHBand="0" w:noVBand="1"/>
    </w:tblPr>
    <w:tblGrid>
      <w:gridCol w:w="2551"/>
      <w:gridCol w:w="3052"/>
    </w:tblGrid>
    <w:tr w:rsidR="0008464B" w14:paraId="3DB055DB" w14:textId="77777777">
      <w:tc>
        <w:tcPr>
          <w:tcW w:w="2551" w:type="dxa"/>
          <w:vAlign w:val="center"/>
        </w:tcPr>
        <w:p w14:paraId="47C37C36" w14:textId="77777777" w:rsidR="0008464B" w:rsidRDefault="0008464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3181052D" w14:textId="77777777" w:rsidR="0008464B" w:rsidRDefault="0008464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09264/INFOEM/IP/RR/2022</w:t>
          </w:r>
        </w:p>
      </w:tc>
    </w:tr>
    <w:tr w:rsidR="0008464B" w14:paraId="7C73F538" w14:textId="77777777">
      <w:trPr>
        <w:trHeight w:val="228"/>
      </w:trPr>
      <w:tc>
        <w:tcPr>
          <w:tcW w:w="2551" w:type="dxa"/>
          <w:vAlign w:val="center"/>
        </w:tcPr>
        <w:p w14:paraId="30DA897A" w14:textId="77777777" w:rsidR="0008464B" w:rsidRDefault="0008464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4AD8DBC5" w14:textId="77777777" w:rsidR="0008464B" w:rsidRDefault="0008464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Ayuntamiento de Coacalco de Berriozábal </w:t>
          </w:r>
        </w:p>
      </w:tc>
    </w:tr>
    <w:tr w:rsidR="0008464B" w14:paraId="628D85F4" w14:textId="77777777">
      <w:tc>
        <w:tcPr>
          <w:tcW w:w="2551" w:type="dxa"/>
          <w:vAlign w:val="center"/>
        </w:tcPr>
        <w:p w14:paraId="079371B0" w14:textId="77777777" w:rsidR="0008464B" w:rsidRDefault="0008464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3E7D28A8" w14:textId="77777777" w:rsidR="0008464B" w:rsidRDefault="0008464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6A58C212" w14:textId="77777777" w:rsidR="0008464B" w:rsidRDefault="0008464B">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6687F8CA" wp14:editId="0960392C">
          <wp:simplePos x="0" y="0"/>
          <wp:positionH relativeFrom="column">
            <wp:posOffset>-403858</wp:posOffset>
          </wp:positionH>
          <wp:positionV relativeFrom="paragraph">
            <wp:posOffset>-1257933</wp:posOffset>
          </wp:positionV>
          <wp:extent cx="7809876" cy="10165823"/>
          <wp:effectExtent l="0" t="0" r="0" b="0"/>
          <wp:wrapNone/>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0D9A5" w14:textId="77777777" w:rsidR="0008464B" w:rsidRDefault="0008464B">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p>
  <w:tbl>
    <w:tblPr>
      <w:tblStyle w:val="a3"/>
      <w:tblW w:w="5603" w:type="dxa"/>
      <w:tblInd w:w="3611" w:type="dxa"/>
      <w:tblLayout w:type="fixed"/>
      <w:tblLook w:val="0400" w:firstRow="0" w:lastRow="0" w:firstColumn="0" w:lastColumn="0" w:noHBand="0" w:noVBand="1"/>
    </w:tblPr>
    <w:tblGrid>
      <w:gridCol w:w="2551"/>
      <w:gridCol w:w="3052"/>
    </w:tblGrid>
    <w:tr w:rsidR="0008464B" w14:paraId="20BA72FE" w14:textId="77777777">
      <w:tc>
        <w:tcPr>
          <w:tcW w:w="2551" w:type="dxa"/>
          <w:vAlign w:val="center"/>
        </w:tcPr>
        <w:p w14:paraId="60DA54D9" w14:textId="77777777" w:rsidR="0008464B" w:rsidRDefault="0008464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32F5F4BB" w14:textId="77777777" w:rsidR="0008464B" w:rsidRDefault="0008464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09264/INFOEM/IP/RR/2022</w:t>
          </w:r>
        </w:p>
      </w:tc>
    </w:tr>
    <w:tr w:rsidR="0008464B" w14:paraId="3230510C" w14:textId="77777777">
      <w:tc>
        <w:tcPr>
          <w:tcW w:w="2551" w:type="dxa"/>
          <w:vAlign w:val="center"/>
        </w:tcPr>
        <w:p w14:paraId="2BDA3192" w14:textId="77777777" w:rsidR="0008464B" w:rsidRDefault="0008464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6CAC89D3" w14:textId="7DB93370" w:rsidR="0008464B" w:rsidRDefault="0008464B" w:rsidP="0008464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XXXXXX XXXXXXXX</w:t>
          </w:r>
        </w:p>
      </w:tc>
    </w:tr>
    <w:tr w:rsidR="0008464B" w14:paraId="74D0A3FC" w14:textId="77777777">
      <w:trPr>
        <w:trHeight w:val="228"/>
      </w:trPr>
      <w:tc>
        <w:tcPr>
          <w:tcW w:w="2551" w:type="dxa"/>
          <w:vAlign w:val="center"/>
        </w:tcPr>
        <w:p w14:paraId="02A21AB2" w14:textId="77777777" w:rsidR="0008464B" w:rsidRDefault="0008464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1FE6D045" w14:textId="77777777" w:rsidR="0008464B" w:rsidRDefault="0008464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Coacalco de Berriozábal</w:t>
          </w:r>
        </w:p>
      </w:tc>
    </w:tr>
    <w:tr w:rsidR="0008464B" w14:paraId="59912E2B" w14:textId="77777777">
      <w:tc>
        <w:tcPr>
          <w:tcW w:w="2551" w:type="dxa"/>
          <w:vAlign w:val="center"/>
        </w:tcPr>
        <w:p w14:paraId="032FDEE1" w14:textId="77777777" w:rsidR="0008464B" w:rsidRDefault="0008464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5E86199B" w14:textId="77777777" w:rsidR="0008464B" w:rsidRDefault="0008464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31A516D1" w14:textId="77777777" w:rsidR="0008464B" w:rsidRDefault="0008464B">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r>
      <w:rPr>
        <w:noProof/>
      </w:rPr>
      <w:drawing>
        <wp:anchor distT="0" distB="0" distL="0" distR="0" simplePos="0" relativeHeight="251659264" behindDoc="1" locked="0" layoutInCell="1" hidden="0" allowOverlap="1" wp14:anchorId="4B7E1404" wp14:editId="3ED2BEC9">
          <wp:simplePos x="0" y="0"/>
          <wp:positionH relativeFrom="column">
            <wp:posOffset>-761998</wp:posOffset>
          </wp:positionH>
          <wp:positionV relativeFrom="paragraph">
            <wp:posOffset>-1200783</wp:posOffset>
          </wp:positionV>
          <wp:extent cx="7809876" cy="10165823"/>
          <wp:effectExtent l="0" t="0" r="0" b="0"/>
          <wp:wrapNone/>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35D88"/>
    <w:multiLevelType w:val="multilevel"/>
    <w:tmpl w:val="09CE9D24"/>
    <w:lvl w:ilvl="0">
      <w:start w:val="1"/>
      <w:numFmt w:val="bullet"/>
      <w:lvlText w:val="●"/>
      <w:lvlJc w:val="left"/>
      <w:pPr>
        <w:ind w:left="780" w:hanging="360"/>
      </w:pPr>
      <w:rPr>
        <w:rFonts w:ascii="Noto Sans" w:eastAsia="Noto Sans" w:hAnsi="Noto Sans" w:cs="Noto San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w:eastAsia="Noto Sans" w:hAnsi="Noto Sans" w:cs="Noto Sans"/>
      </w:rPr>
    </w:lvl>
    <w:lvl w:ilvl="3">
      <w:start w:val="1"/>
      <w:numFmt w:val="bullet"/>
      <w:lvlText w:val="●"/>
      <w:lvlJc w:val="left"/>
      <w:pPr>
        <w:ind w:left="2940" w:hanging="360"/>
      </w:pPr>
      <w:rPr>
        <w:rFonts w:ascii="Noto Sans" w:eastAsia="Noto Sans" w:hAnsi="Noto Sans" w:cs="Noto San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w:eastAsia="Noto Sans" w:hAnsi="Noto Sans" w:cs="Noto Sans"/>
      </w:rPr>
    </w:lvl>
    <w:lvl w:ilvl="6">
      <w:start w:val="1"/>
      <w:numFmt w:val="bullet"/>
      <w:lvlText w:val="●"/>
      <w:lvlJc w:val="left"/>
      <w:pPr>
        <w:ind w:left="5100" w:hanging="360"/>
      </w:pPr>
      <w:rPr>
        <w:rFonts w:ascii="Noto Sans" w:eastAsia="Noto Sans" w:hAnsi="Noto Sans" w:cs="Noto San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w:eastAsia="Noto Sans" w:hAnsi="Noto Sans" w:cs="Noto Sans"/>
      </w:rPr>
    </w:lvl>
  </w:abstractNum>
  <w:abstractNum w:abstractNumId="1">
    <w:nsid w:val="1E08457F"/>
    <w:multiLevelType w:val="hybridMultilevel"/>
    <w:tmpl w:val="834C8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5F442D7"/>
    <w:multiLevelType w:val="multilevel"/>
    <w:tmpl w:val="EBD030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ADB424A"/>
    <w:multiLevelType w:val="multilevel"/>
    <w:tmpl w:val="816221CA"/>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0C70E61"/>
    <w:multiLevelType w:val="multilevel"/>
    <w:tmpl w:val="A77E09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3092F81"/>
    <w:multiLevelType w:val="multilevel"/>
    <w:tmpl w:val="4AEA61AA"/>
    <w:lvl w:ilvl="0">
      <w:start w:val="1"/>
      <w:numFmt w:val="lowerLetter"/>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4E6124C"/>
    <w:multiLevelType w:val="multilevel"/>
    <w:tmpl w:val="3D427FF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0094EDE"/>
    <w:multiLevelType w:val="hybridMultilevel"/>
    <w:tmpl w:val="E08AAC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FFF214C"/>
    <w:multiLevelType w:val="multilevel"/>
    <w:tmpl w:val="40AC94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5567174B"/>
    <w:multiLevelType w:val="multilevel"/>
    <w:tmpl w:val="7B70DA1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nsid w:val="595E3664"/>
    <w:multiLevelType w:val="multilevel"/>
    <w:tmpl w:val="C8EE0760"/>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5F0F0D1F"/>
    <w:multiLevelType w:val="multilevel"/>
    <w:tmpl w:val="2EF2700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2">
    <w:nsid w:val="73141F56"/>
    <w:multiLevelType w:val="multilevel"/>
    <w:tmpl w:val="C8EE0760"/>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7506401F"/>
    <w:multiLevelType w:val="multilevel"/>
    <w:tmpl w:val="59B4A634"/>
    <w:lvl w:ilvl="0">
      <w:start w:val="1"/>
      <w:numFmt w:val="lowerLetter"/>
      <w:lvlText w:val="%1)"/>
      <w:lvlJc w:val="left"/>
      <w:pPr>
        <w:ind w:left="1287" w:hanging="360"/>
      </w:pPr>
      <w:rPr>
        <w:b/>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4">
    <w:nsid w:val="7F0704FD"/>
    <w:multiLevelType w:val="multilevel"/>
    <w:tmpl w:val="00FC46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5"/>
  </w:num>
  <w:num w:numId="3">
    <w:abstractNumId w:val="2"/>
  </w:num>
  <w:num w:numId="4">
    <w:abstractNumId w:val="14"/>
  </w:num>
  <w:num w:numId="5">
    <w:abstractNumId w:val="11"/>
  </w:num>
  <w:num w:numId="6">
    <w:abstractNumId w:val="13"/>
  </w:num>
  <w:num w:numId="7">
    <w:abstractNumId w:val="8"/>
  </w:num>
  <w:num w:numId="8">
    <w:abstractNumId w:val="4"/>
  </w:num>
  <w:num w:numId="9">
    <w:abstractNumId w:val="9"/>
  </w:num>
  <w:num w:numId="10">
    <w:abstractNumId w:val="0"/>
  </w:num>
  <w:num w:numId="11">
    <w:abstractNumId w:val="12"/>
  </w:num>
  <w:num w:numId="12">
    <w:abstractNumId w:val="3"/>
  </w:num>
  <w:num w:numId="13">
    <w:abstractNumId w:val="10"/>
  </w:num>
  <w:num w:numId="14">
    <w:abstractNumId w:val="7"/>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EBA"/>
    <w:rsid w:val="0008464B"/>
    <w:rsid w:val="000A58DD"/>
    <w:rsid w:val="000B1BDB"/>
    <w:rsid w:val="00193440"/>
    <w:rsid w:val="002349FE"/>
    <w:rsid w:val="00335561"/>
    <w:rsid w:val="0036130A"/>
    <w:rsid w:val="00431767"/>
    <w:rsid w:val="004326BE"/>
    <w:rsid w:val="004877E1"/>
    <w:rsid w:val="004C2A66"/>
    <w:rsid w:val="004F7521"/>
    <w:rsid w:val="00577EBA"/>
    <w:rsid w:val="005E7A07"/>
    <w:rsid w:val="006C7BEE"/>
    <w:rsid w:val="006E412F"/>
    <w:rsid w:val="00775A6F"/>
    <w:rsid w:val="007A63D9"/>
    <w:rsid w:val="007C0925"/>
    <w:rsid w:val="0082059A"/>
    <w:rsid w:val="00837F08"/>
    <w:rsid w:val="00857388"/>
    <w:rsid w:val="008819C0"/>
    <w:rsid w:val="00AB273C"/>
    <w:rsid w:val="00B033C2"/>
    <w:rsid w:val="00B349F3"/>
    <w:rsid w:val="00B572A6"/>
    <w:rsid w:val="00B7552E"/>
    <w:rsid w:val="00B8342C"/>
    <w:rsid w:val="00BA03E7"/>
    <w:rsid w:val="00CC126A"/>
    <w:rsid w:val="00CE7CA4"/>
    <w:rsid w:val="00D345B3"/>
    <w:rsid w:val="00DD3B07"/>
    <w:rsid w:val="00E026BA"/>
    <w:rsid w:val="00E475F2"/>
    <w:rsid w:val="00F32941"/>
    <w:rsid w:val="00F3561E"/>
    <w:rsid w:val="00F42EB1"/>
    <w:rsid w:val="00F6338A"/>
    <w:rsid w:val="00F65E46"/>
    <w:rsid w:val="00FF5B69"/>
    <w:rsid w:val="00FF7C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B3BD8"/>
  <w15:docId w15:val="{7D2729E3-90D7-42FC-8863-D8B4D630D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15" w:type="dxa"/>
        <w:left w:w="115" w:type="dxa"/>
        <w:bottom w:w="15" w:type="dxa"/>
        <w:right w:w="115" w:type="dxa"/>
      </w:tblCellMar>
    </w:tblPr>
  </w:style>
  <w:style w:type="table" w:customStyle="1" w:styleId="a3">
    <w:basedOn w:val="TableNormal0"/>
    <w:tblPr>
      <w:tblStyleRowBandSize w:val="1"/>
      <w:tblStyleColBandSize w:val="1"/>
      <w:tblCellMar>
        <w:top w:w="15" w:type="dxa"/>
        <w:left w:w="115" w:type="dxa"/>
        <w:bottom w:w="15" w:type="dxa"/>
        <w:right w:w="115" w:type="dxa"/>
      </w:tblCellMar>
    </w:tblPr>
  </w:style>
  <w:style w:type="table" w:customStyle="1" w:styleId="a4">
    <w:basedOn w:val="TableNormal0"/>
    <w:tblPr>
      <w:tblStyleRowBandSize w:val="1"/>
      <w:tblStyleColBandSize w:val="1"/>
      <w:tblCellMar>
        <w:top w:w="15" w:type="dxa"/>
        <w:left w:w="115" w:type="dxa"/>
        <w:bottom w:w="15" w:type="dxa"/>
        <w:right w:w="115" w:type="dxa"/>
      </w:tblCellMar>
    </w:tblPr>
  </w:style>
  <w:style w:type="character" w:customStyle="1" w:styleId="UnresolvedMention">
    <w:name w:val="Unresolved Mention"/>
    <w:basedOn w:val="Fuentedeprrafopredeter"/>
    <w:uiPriority w:val="99"/>
    <w:semiHidden/>
    <w:unhideWhenUsed/>
    <w:rsid w:val="00B033C2"/>
    <w:rPr>
      <w:color w:val="605E5C"/>
      <w:shd w:val="clear" w:color="auto" w:fill="E1DFDD"/>
    </w:rPr>
  </w:style>
  <w:style w:type="character" w:customStyle="1" w:styleId="normaltextrun">
    <w:name w:val="normaltextrun"/>
    <w:basedOn w:val="Fuentedeprrafopredeter"/>
    <w:rsid w:val="00B033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5030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ontraloriadf.gob.mx/contraloria/cursos/ADQUISICIONES/paginas/32.php"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b.mx/sfp/acciones-y-programas/1-3-3-adjudicacion-directa"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pomex2.ipomex.org.mx/ipo/portal/coacalco/licitaciones.web"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eP/oZPPBJISmgqLY1J/xYYLcWbA==">AMUW2mUT0Caq1SdOyTJF3CzhyoA0j3FbRGn9QCMATGSy7oXhe5OLqzJ/DnbIOR+hfUoB6BnqAKfl6gmpUhmlIIeRNgiAAfM5S+0TTsHfpwHUjQ1g0PtvSgVbuwNWt8gsoFxL6D2d3t9l16h3c+fdusS0J9BhTRll1g==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13774</Words>
  <Characters>75758</Characters>
  <Application>Microsoft Office Word</Application>
  <DocSecurity>0</DocSecurity>
  <Lines>631</Lines>
  <Paragraphs>178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89354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USUARIO</cp:lastModifiedBy>
  <cp:revision>2</cp:revision>
  <cp:lastPrinted>2022-12-02T16:04:00Z</cp:lastPrinted>
  <dcterms:created xsi:type="dcterms:W3CDTF">2022-12-06T19:29:00Z</dcterms:created>
  <dcterms:modified xsi:type="dcterms:W3CDTF">2022-12-06T19:29:00Z</dcterms:modified>
</cp:coreProperties>
</file>