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7EC" w:rsidRDefault="002317EC">
      <w:pPr>
        <w:widowControl w:val="0"/>
        <w:pBdr>
          <w:top w:val="nil"/>
          <w:left w:val="nil"/>
          <w:bottom w:val="nil"/>
          <w:right w:val="nil"/>
          <w:between w:val="nil"/>
        </w:pBdr>
        <w:spacing w:after="0" w:line="276" w:lineRule="auto"/>
      </w:pPr>
    </w:p>
    <w:p w:rsidR="002317EC" w:rsidRDefault="0089345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w:t>
      </w:r>
      <w:r>
        <w:rPr>
          <w:rFonts w:ascii="Palatino Linotype" w:eastAsia="Palatino Linotype" w:hAnsi="Palatino Linotype" w:cs="Palatino Linotype"/>
          <w:b/>
          <w:sz w:val="24"/>
          <w:szCs w:val="24"/>
        </w:rPr>
        <w:t>veinticuatro (24) de marzo</w:t>
      </w:r>
      <w:r>
        <w:rPr>
          <w:rFonts w:ascii="Palatino Linotype" w:eastAsia="Palatino Linotype" w:hAnsi="Palatino Linotype" w:cs="Palatino Linotype"/>
          <w:sz w:val="24"/>
          <w:szCs w:val="24"/>
        </w:rPr>
        <w:t xml:space="preserve"> de dos mil veintidós. </w:t>
      </w:r>
    </w:p>
    <w:p w:rsidR="002317EC" w:rsidRDefault="002317EC">
      <w:pPr>
        <w:spacing w:after="0" w:line="360" w:lineRule="auto"/>
        <w:jc w:val="both"/>
        <w:rPr>
          <w:rFonts w:ascii="Palatino Linotype" w:eastAsia="Palatino Linotype" w:hAnsi="Palatino Linotype" w:cs="Palatino Linotype"/>
          <w:sz w:val="24"/>
          <w:szCs w:val="24"/>
        </w:rPr>
      </w:pPr>
    </w:p>
    <w:p w:rsidR="002317EC" w:rsidRDefault="0089345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VISTO</w:t>
      </w:r>
      <w:r>
        <w:rPr>
          <w:rFonts w:ascii="Palatino Linotype" w:eastAsia="Palatino Linotype" w:hAnsi="Palatino Linotype" w:cs="Palatino Linotype"/>
          <w:sz w:val="24"/>
          <w:szCs w:val="24"/>
        </w:rPr>
        <w:t xml:space="preserve"> el expediente electrónico formado con motivo del recurso de revisión </w:t>
      </w:r>
      <w:r>
        <w:rPr>
          <w:rFonts w:ascii="Palatino Linotype" w:eastAsia="Palatino Linotype" w:hAnsi="Palatino Linotype" w:cs="Palatino Linotype"/>
          <w:b/>
          <w:sz w:val="24"/>
          <w:szCs w:val="24"/>
        </w:rPr>
        <w:t>01158/INFOEM/IP/RR/2022</w:t>
      </w:r>
      <w:r>
        <w:rPr>
          <w:rFonts w:ascii="Palatino Linotype" w:eastAsia="Palatino Linotype" w:hAnsi="Palatino Linotype" w:cs="Palatino Linotype"/>
          <w:sz w:val="24"/>
          <w:szCs w:val="24"/>
        </w:rPr>
        <w:t xml:space="preserve"> interpuesto por</w:t>
      </w:r>
      <w:r>
        <w:rPr>
          <w:rFonts w:ascii="Palatino Linotype" w:eastAsia="Palatino Linotype" w:hAnsi="Palatino Linotype" w:cs="Palatino Linotype"/>
          <w:b/>
          <w:sz w:val="24"/>
          <w:szCs w:val="24"/>
        </w:rPr>
        <w:t xml:space="preserve"> </w:t>
      </w:r>
      <w:r w:rsidRPr="00893457">
        <w:rPr>
          <w:rFonts w:ascii="Palatino Linotype" w:eastAsia="Palatino Linotype" w:hAnsi="Palatino Linotype" w:cs="Palatino Linotype"/>
          <w:b/>
          <w:sz w:val="24"/>
          <w:szCs w:val="24"/>
        </w:rPr>
        <w:t>Xxxx Xxxxxxx Xxxxxxx</w:t>
      </w:r>
      <w:r>
        <w:rPr>
          <w:rFonts w:ascii="Palatino Linotype" w:eastAsia="Palatino Linotype" w:hAnsi="Palatino Linotype" w:cs="Palatino Linotype"/>
          <w:sz w:val="24"/>
          <w:szCs w:val="24"/>
        </w:rPr>
        <w:t xml:space="preserve">, en lo  sucesivo,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contra de la falta de respuesta del </w:t>
      </w:r>
      <w:r>
        <w:rPr>
          <w:rFonts w:ascii="Palatino Linotype" w:eastAsia="Palatino Linotype" w:hAnsi="Palatino Linotype" w:cs="Palatino Linotype"/>
          <w:b/>
          <w:sz w:val="24"/>
          <w:szCs w:val="24"/>
        </w:rPr>
        <w:t xml:space="preserve">Ayuntamiento de  Atizapán </w:t>
      </w:r>
      <w:r>
        <w:rPr>
          <w:rFonts w:ascii="Palatino Linotype" w:eastAsia="Palatino Linotype" w:hAnsi="Palatino Linotype" w:cs="Palatino Linotype"/>
          <w:sz w:val="24"/>
          <w:szCs w:val="24"/>
        </w:rPr>
        <w:t>en lo sucesivo el</w:t>
      </w:r>
      <w:r>
        <w:rPr>
          <w:rFonts w:ascii="Palatino Linotype" w:eastAsia="Palatino Linotype" w:hAnsi="Palatino Linotype" w:cs="Palatino Linotype"/>
          <w:b/>
          <w:sz w:val="24"/>
          <w:szCs w:val="24"/>
        </w:rPr>
        <w:t xml:space="preserve"> SUJETO OBLIGADO</w:t>
      </w:r>
      <w:r>
        <w:rPr>
          <w:rFonts w:ascii="Palatino Linotype" w:eastAsia="Palatino Linotype" w:hAnsi="Palatino Linotype" w:cs="Palatino Linotype"/>
          <w:sz w:val="24"/>
          <w:szCs w:val="24"/>
        </w:rPr>
        <w:t>, se procede a dictar la presente resolución, con base en los siguientes:</w:t>
      </w:r>
    </w:p>
    <w:p w:rsidR="002317EC" w:rsidRDefault="00893457">
      <w:pPr>
        <w:keepNext/>
        <w:keepLines/>
        <w:spacing w:before="240" w:after="0" w:line="360" w:lineRule="auto"/>
        <w:jc w:val="center"/>
        <w:rPr>
          <w:rFonts w:ascii="Palatino Linotype" w:eastAsia="Palatino Linotype" w:hAnsi="Palatino Linotype" w:cs="Palatino Linotype"/>
          <w:b/>
          <w:sz w:val="24"/>
          <w:szCs w:val="24"/>
        </w:rPr>
      </w:pPr>
      <w:bookmarkStart w:id="0" w:name="_heading=h.gjdgxs" w:colFirst="0" w:colLast="0"/>
      <w:bookmarkEnd w:id="0"/>
      <w:r>
        <w:rPr>
          <w:rFonts w:ascii="Palatino Linotype" w:eastAsia="Palatino Linotype" w:hAnsi="Palatino Linotype" w:cs="Palatino Linotype"/>
          <w:b/>
          <w:sz w:val="24"/>
          <w:szCs w:val="24"/>
        </w:rPr>
        <w:t>ANTECEDENTES</w:t>
      </w:r>
    </w:p>
    <w:p w:rsidR="002317EC" w:rsidRDefault="002317EC">
      <w:pPr>
        <w:keepNext/>
        <w:keepLines/>
        <w:spacing w:before="240" w:after="0" w:line="360" w:lineRule="auto"/>
        <w:jc w:val="center"/>
        <w:rPr>
          <w:rFonts w:ascii="Palatino Linotype" w:eastAsia="Palatino Linotype" w:hAnsi="Palatino Linotype" w:cs="Palatino Linotype"/>
          <w:color w:val="FF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treinta y uno  (31) de enero</w:t>
      </w:r>
      <w:r>
        <w:rPr>
          <w:rFonts w:ascii="Palatino Linotype" w:eastAsia="Palatino Linotype" w:hAnsi="Palatino Linotype" w:cs="Palatino Linotype"/>
          <w:color w:val="000000"/>
          <w:sz w:val="24"/>
          <w:szCs w:val="24"/>
        </w:rPr>
        <w:t xml:space="preserve"> de dos </w:t>
      </w:r>
      <w:r>
        <w:rPr>
          <w:rFonts w:ascii="Palatino Linotype" w:eastAsia="Palatino Linotype" w:hAnsi="Palatino Linotype" w:cs="Palatino Linotype"/>
          <w:sz w:val="24"/>
          <w:szCs w:val="24"/>
        </w:rPr>
        <w:t xml:space="preserve">mil veintidós, el RECURRENTE, ante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vía Plataforma Nacional, presentó la solicitud de información pública registrada con el número </w:t>
      </w:r>
      <w:r>
        <w:rPr>
          <w:rFonts w:ascii="Palatino Linotype" w:eastAsia="Palatino Linotype" w:hAnsi="Palatino Linotype" w:cs="Palatino Linotype"/>
          <w:b/>
          <w:sz w:val="24"/>
          <w:szCs w:val="24"/>
        </w:rPr>
        <w:t xml:space="preserve">00071/ATIZAPAN/IP/2022 </w:t>
      </w:r>
      <w:r>
        <w:rPr>
          <w:rFonts w:ascii="Palatino Linotype" w:eastAsia="Palatino Linotype" w:hAnsi="Palatino Linotype" w:cs="Palatino Linotype"/>
          <w:sz w:val="24"/>
          <w:szCs w:val="24"/>
        </w:rPr>
        <w:t>por la que requirió lo siguiente:</w:t>
      </w:r>
    </w:p>
    <w:p w:rsidR="002317EC" w:rsidRDefault="002317EC">
      <w:pPr>
        <w:spacing w:after="0" w:line="360" w:lineRule="auto"/>
        <w:jc w:val="both"/>
        <w:rPr>
          <w:rFonts w:ascii="Palatino Linotype" w:eastAsia="Palatino Linotype" w:hAnsi="Palatino Linotype" w:cs="Palatino Linotype"/>
          <w:sz w:val="24"/>
          <w:szCs w:val="24"/>
        </w:rPr>
      </w:pPr>
    </w:p>
    <w:p w:rsidR="002317EC" w:rsidRDefault="00893457">
      <w:pPr>
        <w:pBdr>
          <w:top w:val="nil"/>
          <w:left w:val="nil"/>
          <w:bottom w:val="nil"/>
          <w:right w:val="nil"/>
          <w:between w:val="nil"/>
        </w:pBdr>
        <w:spacing w:after="0" w:line="360" w:lineRule="auto"/>
        <w:ind w:left="567" w:right="56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color w:val="000000"/>
          <w:sz w:val="24"/>
          <w:szCs w:val="24"/>
        </w:rPr>
        <w:t xml:space="preserve">“Solicito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w:t>
      </w:r>
      <w:r>
        <w:rPr>
          <w:rFonts w:ascii="Palatino Linotype" w:eastAsia="Palatino Linotype" w:hAnsi="Palatino Linotype" w:cs="Palatino Linotype"/>
          <w:i/>
          <w:color w:val="000000"/>
          <w:sz w:val="24"/>
          <w:szCs w:val="24"/>
        </w:rPr>
        <w:lastRenderedPageBreak/>
        <w:t xml:space="preserve">asalariados. Se solicita 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w:t>
      </w:r>
      <w:r>
        <w:rPr>
          <w:rFonts w:ascii="Palatino Linotype" w:eastAsia="Palatino Linotype" w:hAnsi="Palatino Linotype" w:cs="Palatino Linotype"/>
          <w:i/>
          <w:color w:val="000000"/>
          <w:sz w:val="24"/>
          <w:szCs w:val="24"/>
        </w:rPr>
        <w:lastRenderedPageBreak/>
        <w:t>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r>
        <w:rPr>
          <w:rFonts w:ascii="Palatino Linotype" w:eastAsia="Palatino Linotype" w:hAnsi="Palatino Linotype" w:cs="Palatino Linotype"/>
          <w:color w:val="000000"/>
          <w:sz w:val="24"/>
          <w:szCs w:val="24"/>
        </w:rPr>
        <w:t xml:space="preserve"> (Sic.)</w:t>
      </w:r>
    </w:p>
    <w:p w:rsidR="002317EC" w:rsidRDefault="002317EC">
      <w:pPr>
        <w:pBdr>
          <w:top w:val="nil"/>
          <w:left w:val="nil"/>
          <w:bottom w:val="nil"/>
          <w:right w:val="nil"/>
          <w:between w:val="nil"/>
        </w:pBdr>
        <w:spacing w:after="0" w:line="360" w:lineRule="auto"/>
        <w:ind w:left="567" w:right="567"/>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i/>
          <w:sz w:val="24"/>
          <w:szCs w:val="24"/>
        </w:rPr>
      </w:pPr>
      <w:r>
        <w:rPr>
          <w:rFonts w:ascii="Palatino Linotype" w:eastAsia="Palatino Linotype" w:hAnsi="Palatino Linotype" w:cs="Palatino Linotype"/>
          <w:color w:val="202124"/>
          <w:sz w:val="24"/>
          <w:szCs w:val="24"/>
        </w:rPr>
        <w:t xml:space="preserve">Se hace constar que el entonces </w:t>
      </w:r>
      <w:r>
        <w:rPr>
          <w:rFonts w:ascii="Palatino Linotype" w:eastAsia="Palatino Linotype" w:hAnsi="Palatino Linotype" w:cs="Palatino Linotype"/>
          <w:b/>
          <w:color w:val="202124"/>
          <w:sz w:val="24"/>
          <w:szCs w:val="24"/>
        </w:rPr>
        <w:t>SOLICITANTE,</w:t>
      </w:r>
      <w:r>
        <w:rPr>
          <w:rFonts w:ascii="Palatino Linotype" w:eastAsia="Palatino Linotype" w:hAnsi="Palatino Linotype" w:cs="Palatino Linotype"/>
          <w:color w:val="202124"/>
          <w:sz w:val="24"/>
          <w:szCs w:val="24"/>
        </w:rPr>
        <w:t xml:space="preserve"> realizó su requerimiento de información a través de la Plataforma Nacional de Transparencia, no obstante, señaló el correo electrónico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u w:val="single"/>
        </w:rPr>
        <w:t>xxxxxxxxxxxxxxxxx</w:t>
      </w:r>
      <w:r>
        <w:rPr>
          <w:rFonts w:ascii="Palatino Linotype" w:eastAsia="Palatino Linotype" w:hAnsi="Palatino Linotype" w:cs="Palatino Linotype"/>
          <w:color w:val="202124"/>
          <w:sz w:val="24"/>
          <w:szCs w:val="24"/>
        </w:rPr>
        <w:t xml:space="preserve"> como modalidad de entrega, por lo que  de conformidad con el artículo 156</w:t>
      </w:r>
      <w:r>
        <w:rPr>
          <w:rFonts w:ascii="Palatino Linotype" w:eastAsia="Palatino Linotype" w:hAnsi="Palatino Linotype" w:cs="Palatino Linotype"/>
          <w:color w:val="202124"/>
          <w:sz w:val="24"/>
          <w:szCs w:val="24"/>
          <w:vertAlign w:val="superscript"/>
        </w:rPr>
        <w:footnoteReference w:id="1"/>
      </w:r>
      <w:r>
        <w:rPr>
          <w:rFonts w:ascii="Palatino Linotype" w:eastAsia="Palatino Linotype" w:hAnsi="Palatino Linotype" w:cs="Palatino Linotype"/>
          <w:color w:val="202124"/>
          <w:sz w:val="24"/>
          <w:szCs w:val="24"/>
        </w:rPr>
        <w:t xml:space="preserve"> de la Ley de Transparencia Estatal se </w:t>
      </w:r>
      <w:r>
        <w:rPr>
          <w:rFonts w:ascii="Palatino Linotype" w:eastAsia="Palatino Linotype" w:hAnsi="Palatino Linotype" w:cs="Palatino Linotype"/>
          <w:color w:val="202124"/>
          <w:sz w:val="24"/>
          <w:szCs w:val="24"/>
        </w:rPr>
        <w:lastRenderedPageBreak/>
        <w:t xml:space="preserve">entenderá como medio de notificación a través del </w:t>
      </w:r>
      <w:r>
        <w:rPr>
          <w:rFonts w:ascii="Palatino Linotype" w:eastAsia="Palatino Linotype" w:hAnsi="Palatino Linotype" w:cs="Palatino Linotype"/>
          <w:b/>
          <w:color w:val="202124"/>
          <w:sz w:val="24"/>
          <w:szCs w:val="24"/>
        </w:rPr>
        <w:t>SAIMEX</w:t>
      </w:r>
      <w:r>
        <w:rPr>
          <w:rFonts w:ascii="Palatino Linotype" w:eastAsia="Palatino Linotype" w:hAnsi="Palatino Linotype" w:cs="Palatino Linotype"/>
          <w:color w:val="202124"/>
          <w:sz w:val="24"/>
          <w:szCs w:val="24"/>
        </w:rPr>
        <w:t xml:space="preserve"> ya que se encuentra vinculado a la Plataforma Nacional de Transparencia y correo electrónico proporcionado.</w:t>
      </w: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i/>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no dio respuesta a la solicitud de información.</w:t>
      </w: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i/>
          <w:sz w:val="24"/>
          <w:szCs w:val="24"/>
        </w:rPr>
      </w:pPr>
      <w:bookmarkStart w:id="1" w:name="_heading=h.30j0zll" w:colFirst="0" w:colLast="0"/>
      <w:bookmarkEnd w:id="1"/>
      <w:r>
        <w:rPr>
          <w:rFonts w:ascii="Palatino Linotype" w:eastAsia="Palatino Linotype" w:hAnsi="Palatino Linotype" w:cs="Palatino Linotype"/>
          <w:sz w:val="24"/>
          <w:szCs w:val="24"/>
        </w:rPr>
        <w:t xml:space="preserve">Derivado de la falta de respuesta por parte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el  </w:t>
      </w:r>
      <w:r>
        <w:rPr>
          <w:rFonts w:ascii="Palatino Linotype" w:eastAsia="Palatino Linotype" w:hAnsi="Palatino Linotype" w:cs="Palatino Linotype"/>
          <w:b/>
          <w:sz w:val="24"/>
          <w:szCs w:val="24"/>
        </w:rPr>
        <w:t>veintitrés (23) de febrero</w:t>
      </w:r>
      <w:r>
        <w:rPr>
          <w:rFonts w:ascii="Palatino Linotype" w:eastAsia="Palatino Linotype" w:hAnsi="Palatino Linotype" w:cs="Palatino Linotype"/>
          <w:sz w:val="24"/>
          <w:szCs w:val="24"/>
        </w:rPr>
        <w:t xml:space="preserve"> de dos mil veintidós, el particular interpuso el recurso de revisión</w:t>
      </w:r>
      <w:r>
        <w:rPr>
          <w:rFonts w:ascii="Palatino Linotype" w:eastAsia="Palatino Linotype" w:hAnsi="Palatino Linotype" w:cs="Palatino Linotype"/>
          <w:b/>
          <w:sz w:val="24"/>
          <w:szCs w:val="24"/>
        </w:rPr>
        <w:t xml:space="preserve"> 01158/INFOEM/IP/RR/2022,</w:t>
      </w:r>
      <w:r>
        <w:rPr>
          <w:rFonts w:ascii="Palatino Linotype" w:eastAsia="Palatino Linotype" w:hAnsi="Palatino Linotype" w:cs="Palatino Linotype"/>
          <w:sz w:val="24"/>
          <w:szCs w:val="24"/>
        </w:rPr>
        <w:t xml:space="preserve"> en el que señaló lo siguiente:</w:t>
      </w:r>
    </w:p>
    <w:p w:rsidR="002317EC" w:rsidRDefault="002317EC">
      <w:pPr>
        <w:spacing w:after="0" w:line="360" w:lineRule="auto"/>
        <w:jc w:val="both"/>
        <w:rPr>
          <w:rFonts w:ascii="Palatino Linotype" w:eastAsia="Palatino Linotype" w:hAnsi="Palatino Linotype" w:cs="Palatino Linotype"/>
          <w:i/>
          <w:sz w:val="24"/>
          <w:szCs w:val="24"/>
        </w:rPr>
      </w:pPr>
    </w:p>
    <w:p w:rsidR="002317EC" w:rsidRDefault="00893457">
      <w:pPr>
        <w:spacing w:after="0" w:line="360" w:lineRule="auto"/>
        <w:ind w:left="426" w:right="567"/>
        <w:jc w:val="both"/>
        <w:rPr>
          <w:rFonts w:ascii="Palatino Linotype" w:eastAsia="Palatino Linotype" w:hAnsi="Palatino Linotype" w:cs="Palatino Linotype"/>
          <w:b/>
          <w:i/>
          <w:sz w:val="24"/>
          <w:szCs w:val="24"/>
        </w:rPr>
      </w:pPr>
      <w:bookmarkStart w:id="2" w:name="_heading=h.1fob9te" w:colFirst="0" w:colLast="0"/>
      <w:bookmarkEnd w:id="2"/>
      <w:r>
        <w:rPr>
          <w:rFonts w:ascii="Palatino Linotype" w:eastAsia="Palatino Linotype" w:hAnsi="Palatino Linotype" w:cs="Palatino Linotype"/>
          <w:b/>
          <w:sz w:val="24"/>
          <w:szCs w:val="24"/>
        </w:rPr>
        <w:t>Acto impugnado</w:t>
      </w:r>
      <w:r>
        <w:rPr>
          <w:rFonts w:ascii="Palatino Linotype" w:eastAsia="Palatino Linotype" w:hAnsi="Palatino Linotype" w:cs="Palatino Linotype"/>
          <w:b/>
          <w:i/>
          <w:sz w:val="24"/>
          <w:szCs w:val="24"/>
        </w:rPr>
        <w:t xml:space="preserve">: </w:t>
      </w:r>
    </w:p>
    <w:p w:rsidR="002317EC" w:rsidRDefault="00893457">
      <w:pPr>
        <w:spacing w:after="0" w:line="360" w:lineRule="auto"/>
        <w:ind w:left="426" w:right="567"/>
        <w:jc w:val="both"/>
        <w:rPr>
          <w:rFonts w:ascii="Palatino Linotype" w:eastAsia="Palatino Linotype" w:hAnsi="Palatino Linotype" w:cs="Palatino Linotype"/>
          <w:b/>
          <w:i/>
          <w:sz w:val="24"/>
          <w:szCs w:val="24"/>
        </w:rPr>
      </w:pPr>
      <w:r>
        <w:rPr>
          <w:rFonts w:ascii="Palatino Linotype" w:eastAsia="Palatino Linotype" w:hAnsi="Palatino Linotype" w:cs="Palatino Linotype"/>
          <w:i/>
          <w:sz w:val="24"/>
          <w:szCs w:val="24"/>
        </w:rPr>
        <w:t>“Su omisión de respuesta a la solicitud de información realizada.</w:t>
      </w: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sz w:val="24"/>
          <w:szCs w:val="24"/>
        </w:rPr>
        <w:t>(Sic)</w:t>
      </w:r>
      <w:r>
        <w:rPr>
          <w:rFonts w:ascii="Palatino Linotype" w:eastAsia="Palatino Linotype" w:hAnsi="Palatino Linotype" w:cs="Palatino Linotype"/>
          <w:i/>
          <w:sz w:val="24"/>
          <w:szCs w:val="24"/>
        </w:rPr>
        <w:t xml:space="preserve"> </w:t>
      </w:r>
    </w:p>
    <w:p w:rsidR="002317EC" w:rsidRDefault="002317EC">
      <w:pPr>
        <w:spacing w:after="0" w:line="360" w:lineRule="auto"/>
        <w:ind w:left="720" w:right="567"/>
        <w:jc w:val="both"/>
        <w:rPr>
          <w:rFonts w:ascii="Palatino Linotype" w:eastAsia="Palatino Linotype" w:hAnsi="Palatino Linotype" w:cs="Palatino Linotype"/>
          <w:i/>
          <w:sz w:val="24"/>
          <w:szCs w:val="24"/>
        </w:rPr>
      </w:pPr>
    </w:p>
    <w:p w:rsidR="002317EC" w:rsidRDefault="00893457">
      <w:pPr>
        <w:spacing w:after="0" w:line="360" w:lineRule="auto"/>
        <w:ind w:left="426" w:right="567"/>
        <w:jc w:val="both"/>
        <w:rPr>
          <w:rFonts w:ascii="Palatino Linotype" w:eastAsia="Palatino Linotype" w:hAnsi="Palatino Linotype" w:cs="Palatino Linotype"/>
          <w:i/>
          <w:sz w:val="24"/>
          <w:szCs w:val="24"/>
        </w:rPr>
      </w:pPr>
      <w:bookmarkStart w:id="3" w:name="_heading=h.3znysh7" w:colFirst="0" w:colLast="0"/>
      <w:bookmarkEnd w:id="3"/>
      <w:r>
        <w:rPr>
          <w:rFonts w:ascii="Palatino Linotype" w:eastAsia="Palatino Linotype" w:hAnsi="Palatino Linotype" w:cs="Palatino Linotype"/>
          <w:b/>
          <w:sz w:val="24"/>
          <w:szCs w:val="24"/>
        </w:rPr>
        <w:t xml:space="preserve">Razones o Motivos de inconformidad: </w:t>
      </w:r>
    </w:p>
    <w:p w:rsidR="002317EC" w:rsidRDefault="00893457">
      <w:pPr>
        <w:spacing w:after="0" w:line="360" w:lineRule="auto"/>
        <w:ind w:left="426" w:right="567"/>
        <w:jc w:val="both"/>
        <w:rPr>
          <w:rFonts w:ascii="Palatino Linotype" w:eastAsia="Palatino Linotype" w:hAnsi="Palatino Linotype" w:cs="Palatino Linotype"/>
          <w:sz w:val="24"/>
          <w:szCs w:val="24"/>
        </w:rPr>
      </w:pPr>
      <w:r>
        <w:rPr>
          <w:rFonts w:ascii="Palatino Linotype" w:eastAsia="Palatino Linotype" w:hAnsi="Palatino Linotype" w:cs="Palatino Linotype"/>
          <w:i/>
          <w:color w:val="000000"/>
          <w:sz w:val="24"/>
          <w:szCs w:val="24"/>
        </w:rPr>
        <w:t xml:space="preserve">“Por medio de la presente hoy 23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Atizapán, ya que su respuesta que me entrego oficios por la plataforma a mi petición de información </w:t>
      </w:r>
      <w:r>
        <w:rPr>
          <w:rFonts w:ascii="Palatino Linotype" w:eastAsia="Palatino Linotype" w:hAnsi="Palatino Linotype" w:cs="Palatino Linotype"/>
          <w:i/>
          <w:color w:val="000000"/>
          <w:sz w:val="24"/>
          <w:szCs w:val="24"/>
        </w:rPr>
        <w:lastRenderedPageBreak/>
        <w:t xml:space="preserve">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se le solicito y que si es de su competencia y de que 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Ayuntamiento de Atizapán,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w:t>
      </w:r>
      <w:r>
        <w:rPr>
          <w:rFonts w:ascii="Palatino Linotype" w:eastAsia="Palatino Linotype" w:hAnsi="Palatino Linotype" w:cs="Palatino Linotype"/>
          <w:i/>
          <w:color w:val="000000"/>
          <w:sz w:val="24"/>
          <w:szCs w:val="24"/>
        </w:rPr>
        <w:lastRenderedPageBreak/>
        <w:t xml:space="preserve">convierte a un pdf, se envían y listo. Respecto a las otras dos presentaciones del visor de nóminas del SAT (Vista anual acumulada vista Horizontal y vertical y detalle mensual) solo tiene que descargar los pdf. de su portal del SAT. Dando solo dos clicks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recaudadora estatal de impuestos está bien la respuesta que no aplica si esto es así, y si si aplica es darme las constancias y opiniones de cumplimiento al día de esas Recaudadoras estatales y respecto al punto I espero ahora si lo haya entendido que es una herramienta de ayuda del SAT para ellos y son reportes ya entregados y si aún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para eficientar y mejorar sus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w:t>
      </w:r>
      <w:r>
        <w:rPr>
          <w:rFonts w:ascii="Palatino Linotype" w:eastAsia="Palatino Linotype" w:hAnsi="Palatino Linotype" w:cs="Palatino Linotype"/>
          <w:i/>
          <w:color w:val="000000"/>
          <w:sz w:val="24"/>
          <w:szCs w:val="24"/>
        </w:rPr>
        <w:lastRenderedPageBreak/>
        <w:t xml:space="preserve">Público Obligado, confiando de que este Órgano (Instituto de Transparencia, Acceso a la Información Pública y Protección de Datos Personales del Estado de México y Municipios) actué eficiente y eficazmente con el tema. Saludos cordiales. Gracias. Atte. Polo Alvarez” </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sz w:val="24"/>
          <w:szCs w:val="24"/>
        </w:rPr>
        <w:t>Sic)</w:t>
      </w:r>
    </w:p>
    <w:p w:rsidR="002317EC" w:rsidRDefault="002317EC">
      <w:pPr>
        <w:spacing w:after="0" w:line="360" w:lineRule="auto"/>
        <w:ind w:left="426" w:right="567"/>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Así mismo, el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 xml:space="preserve">anexo en la </w:t>
      </w:r>
      <w:r>
        <w:rPr>
          <w:rFonts w:ascii="Palatino Linotype" w:eastAsia="Palatino Linotype" w:hAnsi="Palatino Linotype" w:cs="Palatino Linotype"/>
          <w:sz w:val="24"/>
          <w:szCs w:val="24"/>
        </w:rPr>
        <w:t xml:space="preserve">interposición del recurso de revisión los documentos electrónicos </w:t>
      </w:r>
      <w:hyperlink r:id="rId8">
        <w:r>
          <w:rPr>
            <w:rFonts w:ascii="Palatino Linotype" w:eastAsia="Palatino Linotype" w:hAnsi="Palatino Linotype" w:cs="Palatino Linotype"/>
            <w:b/>
            <w:color w:val="000000"/>
            <w:sz w:val="24"/>
            <w:szCs w:val="24"/>
            <w:u w:val="single"/>
          </w:rPr>
          <w:t>G-35-03-03-2018-01 ejemplo presentación detalle mensual.pdf</w:t>
        </w:r>
      </w:hyperlink>
      <w:r>
        <w:rPr>
          <w:rFonts w:ascii="Palatino Linotype" w:eastAsia="Palatino Linotype" w:hAnsi="Palatino Linotype" w:cs="Palatino Linotype"/>
          <w:color w:val="000000"/>
          <w:sz w:val="24"/>
          <w:szCs w:val="24"/>
        </w:rPr>
        <w:t xml:space="preserve">, </w:t>
      </w:r>
      <w:hyperlink r:id="rId9">
        <w:r>
          <w:rPr>
            <w:rFonts w:ascii="Palatino Linotype" w:eastAsia="Palatino Linotype" w:hAnsi="Palatino Linotype" w:cs="Palatino Linotype"/>
            <w:b/>
            <w:color w:val="000000"/>
            <w:sz w:val="24"/>
            <w:szCs w:val="24"/>
            <w:u w:val="single"/>
          </w:rPr>
          <w:t>G-13-03-01-2019-01 ejemplo vista anual acumulado o global.pdf</w:t>
        </w:r>
      </w:hyperlink>
      <w:r>
        <w:rPr>
          <w:rFonts w:ascii="Palatino Linotype" w:eastAsia="Palatino Linotype" w:hAnsi="Palatino Linotype" w:cs="Palatino Linotype"/>
          <w:color w:val="000000"/>
          <w:sz w:val="24"/>
          <w:szCs w:val="24"/>
        </w:rPr>
        <w:t xml:space="preserve"> y </w:t>
      </w:r>
      <w:hyperlink r:id="rId10">
        <w:r>
          <w:rPr>
            <w:rFonts w:ascii="Palatino Linotype" w:eastAsia="Palatino Linotype" w:hAnsi="Palatino Linotype" w:cs="Palatino Linotype"/>
            <w:b/>
            <w:color w:val="000000"/>
            <w:sz w:val="24"/>
            <w:szCs w:val="24"/>
            <w:u w:val="single"/>
          </w:rPr>
          <w:t>G-13-01-02-2019-01 ejemplo detalle diferencias sueldos y salarios, diferencias mensuales.pdf</w:t>
        </w:r>
      </w:hyperlink>
      <w:r>
        <w:rPr>
          <w:rFonts w:ascii="Palatino Linotype" w:eastAsia="Palatino Linotype" w:hAnsi="Palatino Linotype" w:cs="Palatino Linotype"/>
          <w:color w:val="000000"/>
          <w:sz w:val="24"/>
          <w:szCs w:val="24"/>
        </w:rPr>
        <w:t>, cuyo contenido es el siguiente:</w:t>
      </w:r>
    </w:p>
    <w:p w:rsidR="002317EC" w:rsidRDefault="00893457">
      <w:pPr>
        <w:numPr>
          <w:ilvl w:val="0"/>
          <w:numId w:val="1"/>
        </w:numPr>
        <w:spacing w:before="280" w:after="0" w:line="360" w:lineRule="auto"/>
        <w:jc w:val="both"/>
        <w:rPr>
          <w:rFonts w:ascii="Palatino Linotype" w:eastAsia="Palatino Linotype" w:hAnsi="Palatino Linotype" w:cs="Palatino Linotype"/>
          <w:sz w:val="24"/>
          <w:szCs w:val="24"/>
        </w:rPr>
      </w:pPr>
      <w:hyperlink r:id="rId11">
        <w:r>
          <w:rPr>
            <w:rFonts w:ascii="Palatino Linotype" w:eastAsia="Palatino Linotype" w:hAnsi="Palatino Linotype" w:cs="Palatino Linotype"/>
            <w:b/>
            <w:color w:val="000000"/>
            <w:sz w:val="24"/>
            <w:szCs w:val="24"/>
            <w:u w:val="single"/>
          </w:rPr>
          <w:t>G-35-03-03-2018-01 ejemplo presentación detalle mensual.pdf</w:t>
        </w:r>
      </w:hyperlink>
      <w:r>
        <w:rPr>
          <w:rFonts w:ascii="Palatino Linotype" w:eastAsia="Palatino Linotype" w:hAnsi="Palatino Linotype" w:cs="Palatino Linotype"/>
          <w:sz w:val="24"/>
          <w:szCs w:val="24"/>
        </w:rPr>
        <w:t>, documento que consta de dos (02) fojas, mismos que corresponde a la “información de  pagos y retenciones por sueldos y salarios realizados a tus trabajadores, Detalle Mensual Ejercicio 2018, del Sistema para el Desarrollo Integral de la Familia del Municipio de Santa Cruz  Juventino Rosas, GTO. Sin tipo de sociedad.”</w:t>
      </w:r>
    </w:p>
    <w:p w:rsidR="002317EC" w:rsidRDefault="00893457">
      <w:pPr>
        <w:numPr>
          <w:ilvl w:val="0"/>
          <w:numId w:val="1"/>
        </w:numPr>
        <w:spacing w:after="280" w:line="360" w:lineRule="auto"/>
        <w:jc w:val="both"/>
        <w:rPr>
          <w:rFonts w:ascii="Palatino Linotype" w:eastAsia="Palatino Linotype" w:hAnsi="Palatino Linotype" w:cs="Palatino Linotype"/>
          <w:sz w:val="24"/>
          <w:szCs w:val="24"/>
        </w:rPr>
      </w:pPr>
      <w:hyperlink r:id="rId12">
        <w:r>
          <w:rPr>
            <w:rFonts w:ascii="Palatino Linotype" w:eastAsia="Palatino Linotype" w:hAnsi="Palatino Linotype" w:cs="Palatino Linotype"/>
            <w:b/>
            <w:color w:val="000000"/>
            <w:sz w:val="24"/>
            <w:szCs w:val="24"/>
            <w:u w:val="single"/>
          </w:rPr>
          <w:t>G-13-03-01-2019-01 ejemplo vista anual acumulado o global.pdf</w:t>
        </w:r>
      </w:hyperlink>
      <w:r>
        <w:rPr>
          <w:rFonts w:ascii="Palatino Linotype" w:eastAsia="Palatino Linotype" w:hAnsi="Palatino Linotype" w:cs="Palatino Linotype"/>
          <w:sz w:val="24"/>
          <w:szCs w:val="24"/>
        </w:rPr>
        <w:t xml:space="preserve">: documento de dos (02) fojas, el cual corresponde a sueldos, salarios y asimilados, en el que se incluye dos tablas, la primera refiere al total de nóminas por sueldos y salarios, mientras que la segunda al total de nóminas por asimilados a salarios,  mismas que se muestran a continuación: </w:t>
      </w:r>
    </w:p>
    <w:p w:rsidR="002317EC" w:rsidRDefault="00893457">
      <w:pPr>
        <w:spacing w:before="280" w:after="280" w:line="360" w:lineRule="auto"/>
        <w:ind w:left="720"/>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val="es-MX"/>
        </w:rPr>
        <w:lastRenderedPageBreak/>
        <w:drawing>
          <wp:inline distT="0" distB="0" distL="0" distR="0">
            <wp:extent cx="3711451" cy="2610678"/>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27266" t="25648" r="26136" b="16083"/>
                    <a:stretch>
                      <a:fillRect/>
                    </a:stretch>
                  </pic:blipFill>
                  <pic:spPr>
                    <a:xfrm>
                      <a:off x="0" y="0"/>
                      <a:ext cx="3711451" cy="2610678"/>
                    </a:xfrm>
                    <a:prstGeom prst="rect">
                      <a:avLst/>
                    </a:prstGeom>
                    <a:ln/>
                  </pic:spPr>
                </pic:pic>
              </a:graphicData>
            </a:graphic>
          </wp:inline>
        </w:drawing>
      </w:r>
    </w:p>
    <w:p w:rsidR="002317EC" w:rsidRDefault="00893457">
      <w:pPr>
        <w:spacing w:before="280" w:after="280" w:line="360" w:lineRule="auto"/>
        <w:ind w:left="720"/>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val="es-MX"/>
        </w:rPr>
        <w:drawing>
          <wp:inline distT="0" distB="0" distL="0" distR="0">
            <wp:extent cx="3730185" cy="2452722"/>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27388" t="25866" r="27977" b="21960"/>
                    <a:stretch>
                      <a:fillRect/>
                    </a:stretch>
                  </pic:blipFill>
                  <pic:spPr>
                    <a:xfrm>
                      <a:off x="0" y="0"/>
                      <a:ext cx="3730185" cy="2452722"/>
                    </a:xfrm>
                    <a:prstGeom prst="rect">
                      <a:avLst/>
                    </a:prstGeom>
                    <a:ln/>
                  </pic:spPr>
                </pic:pic>
              </a:graphicData>
            </a:graphic>
          </wp:inline>
        </w:drawing>
      </w:r>
    </w:p>
    <w:p w:rsidR="002317EC" w:rsidRDefault="002317EC">
      <w:pPr>
        <w:spacing w:before="280" w:after="280" w:line="360" w:lineRule="auto"/>
        <w:ind w:left="360"/>
        <w:rPr>
          <w:rFonts w:ascii="Palatino Linotype" w:eastAsia="Palatino Linotype" w:hAnsi="Palatino Linotype" w:cs="Palatino Linotype"/>
          <w:sz w:val="24"/>
          <w:szCs w:val="24"/>
        </w:rPr>
      </w:pPr>
    </w:p>
    <w:p w:rsidR="002317EC" w:rsidRDefault="00893457" w:rsidP="00893457">
      <w:pPr>
        <w:numPr>
          <w:ilvl w:val="0"/>
          <w:numId w:val="1"/>
        </w:numPr>
        <w:spacing w:before="280" w:after="280" w:line="360" w:lineRule="auto"/>
        <w:jc w:val="both"/>
        <w:rPr>
          <w:rFonts w:ascii="Palatino Linotype" w:eastAsia="Palatino Linotype" w:hAnsi="Palatino Linotype" w:cs="Palatino Linotype"/>
          <w:sz w:val="24"/>
          <w:szCs w:val="24"/>
        </w:rPr>
      </w:pPr>
      <w:hyperlink r:id="rId15">
        <w:r>
          <w:rPr>
            <w:rFonts w:ascii="Palatino Linotype" w:eastAsia="Palatino Linotype" w:hAnsi="Palatino Linotype" w:cs="Palatino Linotype"/>
            <w:b/>
            <w:color w:val="000000"/>
            <w:sz w:val="24"/>
            <w:szCs w:val="24"/>
            <w:u w:val="single"/>
          </w:rPr>
          <w:t>G-13-01-02-2019-01 ejemplo detalle diferencias sueldos y salarios, diferencias mensuales.pdf</w:t>
        </w:r>
      </w:hyperlink>
      <w:r>
        <w:rPr>
          <w:rFonts w:ascii="Palatino Linotype" w:eastAsia="Palatino Linotype" w:hAnsi="Palatino Linotype" w:cs="Palatino Linotype"/>
          <w:sz w:val="24"/>
          <w:szCs w:val="24"/>
        </w:rPr>
        <w:t xml:space="preserve">: Documento electrónico de dos (02) fojas, el cual corresponde a “información de  pagos y retenciones por sueldos y salarios realizados a tus trabajadores, vista anual acumulada, ejercicio 2019, del </w:t>
      </w:r>
      <w:r>
        <w:rPr>
          <w:rFonts w:ascii="Palatino Linotype" w:eastAsia="Palatino Linotype" w:hAnsi="Palatino Linotype" w:cs="Palatino Linotype"/>
          <w:sz w:val="24"/>
          <w:szCs w:val="24"/>
        </w:rPr>
        <w:lastRenderedPageBreak/>
        <w:t>Sistema para el Desarrollo Integral de la Familia del Municipio de Santa Cruz  Juventino Rosas, GTO. Sin tipo de sociedad.”</w:t>
      </w: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color w:val="000000"/>
          <w:sz w:val="24"/>
          <w:szCs w:val="24"/>
        </w:rPr>
        <w:t xml:space="preserve">Se registró el recurso de revisión bajo el número de expediente al rubro indicado, con fundamento en lo dispuesto por el artículo 185 fracción I de la Ley de Transparencia y Acceso a la Información Pública del Estado de México y Municipios se turnó a la </w:t>
      </w:r>
      <w:r>
        <w:rPr>
          <w:rFonts w:ascii="Palatino Linotype" w:eastAsia="Palatino Linotype" w:hAnsi="Palatino Linotype" w:cs="Palatino Linotype"/>
          <w:b/>
          <w:color w:val="000000"/>
          <w:sz w:val="24"/>
          <w:szCs w:val="24"/>
        </w:rPr>
        <w:t xml:space="preserve">Comisionada María del Rosario Mejía Ayala, </w:t>
      </w:r>
      <w:r>
        <w:rPr>
          <w:rFonts w:ascii="Palatino Linotype" w:eastAsia="Palatino Linotype" w:hAnsi="Palatino Linotype" w:cs="Palatino Linotype"/>
          <w:color w:val="000000"/>
          <w:sz w:val="24"/>
          <w:szCs w:val="24"/>
        </w:rPr>
        <w:t>con el objeto de su análisis.</w:t>
      </w:r>
    </w:p>
    <w:p w:rsidR="002317EC" w:rsidRDefault="002317EC">
      <w:pPr>
        <w:tabs>
          <w:tab w:val="left" w:pos="426"/>
        </w:tabs>
        <w:spacing w:after="0" w:line="360" w:lineRule="auto"/>
        <w:jc w:val="both"/>
        <w:rPr>
          <w:rFonts w:ascii="Palatino Linotype" w:eastAsia="Palatino Linotype" w:hAnsi="Palatino Linotype" w:cs="Palatino Linotype"/>
          <w:i/>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color w:val="000000"/>
          <w:sz w:val="24"/>
          <w:szCs w:val="24"/>
        </w:rPr>
        <w:t xml:space="preserve">La Comisionada Ponente, con fundamento en lo dispuesto por el artículo 185 fracción II de la ley de la materia, a través del acuerdo de admisión de </w:t>
      </w:r>
      <w:r>
        <w:rPr>
          <w:rFonts w:ascii="Palatino Linotype" w:eastAsia="Palatino Linotype" w:hAnsi="Palatino Linotype" w:cs="Palatino Linotype"/>
          <w:b/>
          <w:color w:val="000000"/>
          <w:sz w:val="24"/>
          <w:szCs w:val="24"/>
        </w:rPr>
        <w:t>veintiocho  (28) de febrero de</w:t>
      </w:r>
      <w:r>
        <w:rPr>
          <w:rFonts w:ascii="Palatino Linotype" w:eastAsia="Palatino Linotype" w:hAnsi="Palatino Linotype" w:cs="Palatino Linotype"/>
          <w:color w:val="000000"/>
          <w:sz w:val="24"/>
          <w:szCs w:val="24"/>
        </w:rPr>
        <w:t xml:space="preserve"> dos mil veintidós, puso a disposición de las partes el expediente electrónico vía Sistema de Acceso a la Información Mexiquense (SAIMEX), a efecto de que en un plazo máximo de siete días manifestaran lo que a derecho convinieran, ofrecieran pruebas y alegatos según corresponda al caso concreto, de esta forma para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presentara el Informe Justificado procedente.</w:t>
      </w:r>
    </w:p>
    <w:p w:rsidR="002317EC" w:rsidRDefault="002317EC">
      <w:pPr>
        <w:tabs>
          <w:tab w:val="left" w:pos="426"/>
        </w:tabs>
        <w:spacing w:after="0" w:line="360" w:lineRule="auto"/>
        <w:jc w:val="both"/>
        <w:rPr>
          <w:rFonts w:ascii="Palatino Linotype" w:eastAsia="Palatino Linotype" w:hAnsi="Palatino Linotype" w:cs="Palatino Linotype"/>
          <w:i/>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color w:val="000000"/>
          <w:sz w:val="24"/>
          <w:szCs w:val="24"/>
        </w:rPr>
        <w:t xml:space="preserve">De las constancias que obran en el expediente digital del recurso de revisión que hoy se resuelve, se aprecia que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no rindió su informe justificado para manifestar lo que a su derecho conviniera; por su parte, el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 xml:space="preserve">no presentó alegatos ni ofreció medios de prueba. Se adjunta capturas del apartado de </w:t>
      </w:r>
      <w:r>
        <w:rPr>
          <w:rFonts w:ascii="Palatino Linotype" w:eastAsia="Palatino Linotype" w:hAnsi="Palatino Linotype" w:cs="Palatino Linotype"/>
          <w:i/>
          <w:color w:val="000000"/>
          <w:sz w:val="24"/>
          <w:szCs w:val="24"/>
        </w:rPr>
        <w:t>Manifestaciones</w:t>
      </w:r>
      <w:r>
        <w:rPr>
          <w:rFonts w:ascii="Palatino Linotype" w:eastAsia="Palatino Linotype" w:hAnsi="Palatino Linotype" w:cs="Palatino Linotype"/>
          <w:color w:val="000000"/>
          <w:sz w:val="24"/>
          <w:szCs w:val="24"/>
        </w:rPr>
        <w:t xml:space="preserve"> del </w:t>
      </w:r>
      <w:r>
        <w:rPr>
          <w:rFonts w:ascii="Palatino Linotype" w:eastAsia="Palatino Linotype" w:hAnsi="Palatino Linotype" w:cs="Palatino Linotype"/>
          <w:i/>
          <w:color w:val="000000"/>
          <w:sz w:val="24"/>
          <w:szCs w:val="24"/>
        </w:rPr>
        <w:t>SAIMEX</w:t>
      </w:r>
      <w:r>
        <w:rPr>
          <w:rFonts w:ascii="Palatino Linotype" w:eastAsia="Palatino Linotype" w:hAnsi="Palatino Linotype" w:cs="Palatino Linotype"/>
          <w:color w:val="000000"/>
          <w:sz w:val="24"/>
          <w:szCs w:val="24"/>
        </w:rPr>
        <w:t xml:space="preserve"> del expediente a modo de referencia:</w:t>
      </w:r>
    </w:p>
    <w:p w:rsidR="002317EC" w:rsidRDefault="00893457">
      <w:pPr>
        <w:spacing w:after="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val="es-MX"/>
        </w:rPr>
        <w:lastRenderedPageBreak/>
        <w:drawing>
          <wp:inline distT="0" distB="0" distL="0" distR="0">
            <wp:extent cx="5096510" cy="143256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096510" cy="1432560"/>
                    </a:xfrm>
                    <a:prstGeom prst="rect">
                      <a:avLst/>
                    </a:prstGeom>
                    <a:ln/>
                  </pic:spPr>
                </pic:pic>
              </a:graphicData>
            </a:graphic>
          </wp:inline>
        </w:drawing>
      </w:r>
    </w:p>
    <w:p w:rsidR="002317EC" w:rsidRDefault="002317EC">
      <w:pPr>
        <w:spacing w:after="0" w:line="360" w:lineRule="auto"/>
        <w:ind w:left="284"/>
        <w:jc w:val="center"/>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sz w:val="24"/>
          <w:szCs w:val="24"/>
        </w:rPr>
        <w:t xml:space="preserve">diez (10) de marzo </w:t>
      </w:r>
      <w:r>
        <w:rPr>
          <w:rFonts w:ascii="Palatino Linotype" w:eastAsia="Palatino Linotype" w:hAnsi="Palatino Linotype" w:cs="Palatino Linotype"/>
          <w:sz w:val="24"/>
          <w:szCs w:val="24"/>
        </w:rPr>
        <w:t>de dos mil veintidós de dos mil veintidós, la Comisionada Ponente decretó el cierre del periodo de instrucción del recurso de revisión, por lo que ordenó turnar el expediente para su resolución, misma que ahora se pronuncia; y -----------------------------------------------------------------------------------------------------------</w:t>
      </w: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p>
    <w:p w:rsidR="002317EC" w:rsidRDefault="00893457">
      <w:pPr>
        <w:keepNext/>
        <w:keepLines/>
        <w:spacing w:after="0" w:line="360" w:lineRule="auto"/>
        <w:jc w:val="center"/>
        <w:rPr>
          <w:rFonts w:ascii="Palatino Linotype" w:eastAsia="Palatino Linotype" w:hAnsi="Palatino Linotype" w:cs="Palatino Linotype"/>
          <w:b/>
          <w:sz w:val="24"/>
          <w:szCs w:val="24"/>
        </w:rPr>
      </w:pPr>
      <w:bookmarkStart w:id="4" w:name="_heading=h.2et92p0" w:colFirst="0" w:colLast="0"/>
      <w:bookmarkEnd w:id="4"/>
      <w:r>
        <w:rPr>
          <w:rFonts w:ascii="Palatino Linotype" w:eastAsia="Palatino Linotype" w:hAnsi="Palatino Linotype" w:cs="Palatino Linotype"/>
          <w:b/>
          <w:sz w:val="24"/>
          <w:szCs w:val="24"/>
        </w:rPr>
        <w:t>CONSIDERANDO</w:t>
      </w:r>
    </w:p>
    <w:p w:rsidR="002317EC" w:rsidRDefault="002317EC">
      <w:pPr>
        <w:spacing w:after="0" w:line="360" w:lineRule="auto"/>
        <w:rPr>
          <w:rFonts w:ascii="Palatino Linotype" w:eastAsia="Palatino Linotype" w:hAnsi="Palatino Linotype" w:cs="Palatino Linotype"/>
          <w:sz w:val="24"/>
          <w:szCs w:val="24"/>
        </w:rPr>
      </w:pPr>
    </w:p>
    <w:p w:rsidR="002317EC" w:rsidRDefault="00893457">
      <w:pPr>
        <w:keepNext/>
        <w:keepLines/>
        <w:spacing w:before="40" w:after="0" w:line="360" w:lineRule="auto"/>
        <w:rPr>
          <w:rFonts w:ascii="Palatino Linotype" w:eastAsia="Palatino Linotype" w:hAnsi="Palatino Linotype" w:cs="Palatino Linotype"/>
          <w:b/>
          <w:sz w:val="24"/>
          <w:szCs w:val="24"/>
        </w:rPr>
      </w:pPr>
      <w:bookmarkStart w:id="5" w:name="_heading=h.tyjcwt" w:colFirst="0" w:colLast="0"/>
      <w:bookmarkEnd w:id="5"/>
      <w:r>
        <w:rPr>
          <w:rFonts w:ascii="Palatino Linotype" w:eastAsia="Palatino Linotype" w:hAnsi="Palatino Linotype" w:cs="Palatino Linotype"/>
          <w:b/>
          <w:sz w:val="24"/>
          <w:szCs w:val="24"/>
        </w:rPr>
        <w:t>PRIMERO. De la competencia.</w:t>
      </w:r>
    </w:p>
    <w:p w:rsidR="002317EC" w:rsidRDefault="002317EC">
      <w:pPr>
        <w:spacing w:after="0" w:line="360" w:lineRule="auto"/>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Pr>
          <w:rFonts w:ascii="Palatino Linotype" w:eastAsia="Palatino Linotype" w:hAnsi="Palatino Linotype" w:cs="Palatino Linotype"/>
          <w:b/>
          <w:sz w:val="24"/>
          <w:szCs w:val="24"/>
        </w:rPr>
        <w:t>Constitución Política de los Estados Unidos Mexicanos</w:t>
      </w:r>
      <w:r>
        <w:rPr>
          <w:rFonts w:ascii="Palatino Linotype" w:eastAsia="Palatino Linotype" w:hAnsi="Palatino Linotype" w:cs="Palatino Linotype"/>
          <w:sz w:val="24"/>
          <w:szCs w:val="24"/>
        </w:rPr>
        <w:t xml:space="preserve">; 5, párrafos </w:t>
      </w:r>
      <w:r>
        <w:rPr>
          <w:rFonts w:ascii="Palatino Linotype" w:eastAsia="Palatino Linotype" w:hAnsi="Palatino Linotype" w:cs="Palatino Linotype"/>
          <w:color w:val="222222"/>
          <w:sz w:val="24"/>
          <w:szCs w:val="24"/>
        </w:rPr>
        <w:t xml:space="preserve">trigésimo, trigésimo primero y trigésimo segundo, </w:t>
      </w:r>
      <w:r>
        <w:rPr>
          <w:rFonts w:ascii="Palatino Linotype" w:eastAsia="Palatino Linotype" w:hAnsi="Palatino Linotype" w:cs="Palatino Linotype"/>
          <w:sz w:val="24"/>
          <w:szCs w:val="24"/>
        </w:rPr>
        <w:t xml:space="preserve">fracciones IV y V, de la </w:t>
      </w:r>
      <w:r>
        <w:rPr>
          <w:rFonts w:ascii="Palatino Linotype" w:eastAsia="Palatino Linotype" w:hAnsi="Palatino Linotype" w:cs="Palatino Linotype"/>
          <w:b/>
          <w:sz w:val="24"/>
          <w:szCs w:val="24"/>
        </w:rPr>
        <w:t>Constitución Política del Estado Libre y Soberano de México</w:t>
      </w:r>
      <w:r>
        <w:rPr>
          <w:rFonts w:ascii="Palatino Linotype" w:eastAsia="Palatino Linotype" w:hAnsi="Palatino Linotype" w:cs="Palatino Linotype"/>
          <w:sz w:val="24"/>
          <w:szCs w:val="24"/>
        </w:rPr>
        <w:t xml:space="preserve">; artículos 1, 2 fracción II, 13, 29, 36 fracciones I y II, 176, 178, 179, 181 párrafo tercero y 185 de la </w:t>
      </w:r>
      <w:r>
        <w:rPr>
          <w:rFonts w:ascii="Palatino Linotype" w:eastAsia="Palatino Linotype" w:hAnsi="Palatino Linotype" w:cs="Palatino Linotype"/>
          <w:b/>
          <w:sz w:val="24"/>
          <w:szCs w:val="24"/>
        </w:rPr>
        <w:t>Ley de Transparencia y Acceso a la Información Pública del Estado de México y Municipios</w:t>
      </w:r>
      <w:r>
        <w:rPr>
          <w:rFonts w:ascii="Palatino Linotype" w:eastAsia="Palatino Linotype" w:hAnsi="Palatino Linotype" w:cs="Palatino Linotype"/>
          <w:sz w:val="24"/>
          <w:szCs w:val="24"/>
        </w:rPr>
        <w:t xml:space="preserve">; y 7, 9 fracciones I y XXIV, y 11 del </w:t>
      </w:r>
      <w:r>
        <w:rPr>
          <w:rFonts w:ascii="Palatino Linotype" w:eastAsia="Palatino Linotype" w:hAnsi="Palatino Linotype" w:cs="Palatino Linotype"/>
          <w:b/>
          <w:sz w:val="24"/>
          <w:szCs w:val="24"/>
        </w:rPr>
        <w:t xml:space="preserve">Reglamento Interior del Instituto </w:t>
      </w:r>
      <w:r>
        <w:rPr>
          <w:rFonts w:ascii="Palatino Linotype" w:eastAsia="Palatino Linotype" w:hAnsi="Palatino Linotype" w:cs="Palatino Linotype"/>
          <w:b/>
          <w:sz w:val="24"/>
          <w:szCs w:val="24"/>
        </w:rPr>
        <w:lastRenderedPageBreak/>
        <w:t>de Transparencia, Acceso a la Información Pública y Protección de Datos Personales del Estado de México y Municipios</w:t>
      </w:r>
      <w:r>
        <w:rPr>
          <w:rFonts w:ascii="Palatino Linotype" w:eastAsia="Palatino Linotype" w:hAnsi="Palatino Linotype" w:cs="Palatino Linotype"/>
          <w:sz w:val="24"/>
          <w:szCs w:val="24"/>
        </w:rPr>
        <w:t>.</w:t>
      </w:r>
    </w:p>
    <w:p w:rsidR="002317EC" w:rsidRDefault="002317EC">
      <w:pPr>
        <w:tabs>
          <w:tab w:val="left" w:pos="0"/>
        </w:tabs>
        <w:spacing w:after="0" w:line="360" w:lineRule="auto"/>
        <w:jc w:val="both"/>
        <w:rPr>
          <w:rFonts w:ascii="Palatino Linotype" w:eastAsia="Palatino Linotype" w:hAnsi="Palatino Linotype" w:cs="Palatino Linotype"/>
          <w:sz w:val="24"/>
          <w:szCs w:val="24"/>
        </w:rPr>
      </w:pPr>
    </w:p>
    <w:p w:rsidR="002317EC" w:rsidRDefault="00893457">
      <w:pPr>
        <w:keepNext/>
        <w:keepLines/>
        <w:spacing w:after="0" w:line="360" w:lineRule="auto"/>
        <w:rPr>
          <w:rFonts w:ascii="Palatino Linotype" w:eastAsia="Palatino Linotype" w:hAnsi="Palatino Linotype" w:cs="Palatino Linotype"/>
          <w:b/>
          <w:sz w:val="24"/>
          <w:szCs w:val="24"/>
        </w:rPr>
      </w:pPr>
      <w:bookmarkStart w:id="6" w:name="_heading=h.3dy6vkm" w:colFirst="0" w:colLast="0"/>
      <w:bookmarkEnd w:id="6"/>
      <w:r>
        <w:rPr>
          <w:rFonts w:ascii="Palatino Linotype" w:eastAsia="Palatino Linotype" w:hAnsi="Palatino Linotype" w:cs="Palatino Linotype"/>
          <w:b/>
          <w:sz w:val="24"/>
          <w:szCs w:val="24"/>
        </w:rPr>
        <w:t>SEGUNDO. De la oportunidad y procedencia.</w:t>
      </w:r>
    </w:p>
    <w:p w:rsidR="002317EC" w:rsidRDefault="002317EC">
      <w:pPr>
        <w:spacing w:after="0" w:line="360" w:lineRule="auto"/>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Es de precisar, que la Ley de Transparencia y Acceso a la Información Pública del Estado de México y Municipios, en el artículo 178 describe la procedencia del recurso de revisión, asimismo señala que el plazo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317EC" w:rsidRDefault="002317EC">
      <w:pPr>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Por ende, se constituye la figura jurídica de la </w:t>
      </w:r>
      <w:r>
        <w:rPr>
          <w:rFonts w:ascii="Palatino Linotype" w:eastAsia="Palatino Linotype" w:hAnsi="Palatino Linotype" w:cs="Palatino Linotype"/>
          <w:i/>
          <w:sz w:val="24"/>
          <w:szCs w:val="24"/>
        </w:rPr>
        <w:t>negativa ficta</w:t>
      </w:r>
      <w:r>
        <w:rPr>
          <w:rFonts w:ascii="Palatino Linotype" w:eastAsia="Palatino Linotype" w:hAnsi="Palatino Linotype" w:cs="Palatino Linotype"/>
          <w:sz w:val="24"/>
          <w:szCs w:val="24"/>
        </w:rPr>
        <w:t xml:space="preserve">, cuya esencia es atribuir un efecto negativo al silencio de la autoridad administrativa frente a las instancias y solicitudes que hagan los particulares, lo cual encuentra sustento en lo que establece el artículo </w:t>
      </w:r>
      <w:r>
        <w:rPr>
          <w:rFonts w:ascii="Palatino Linotype" w:eastAsia="Palatino Linotype" w:hAnsi="Palatino Linotype" w:cs="Palatino Linotype"/>
          <w:b/>
          <w:sz w:val="24"/>
          <w:szCs w:val="24"/>
        </w:rPr>
        <w:t>178</w:t>
      </w:r>
      <w:r>
        <w:rPr>
          <w:rFonts w:ascii="Palatino Linotype" w:eastAsia="Palatino Linotype" w:hAnsi="Palatino Linotype" w:cs="Palatino Linotype"/>
          <w:sz w:val="24"/>
          <w:szCs w:val="24"/>
        </w:rPr>
        <w:t xml:space="preserve"> segundo párrafo de </w:t>
      </w:r>
      <w:r>
        <w:rPr>
          <w:rFonts w:ascii="Palatino Linotype" w:eastAsia="Palatino Linotype" w:hAnsi="Palatino Linotype" w:cs="Palatino Linotype"/>
          <w:b/>
          <w:sz w:val="24"/>
          <w:szCs w:val="24"/>
        </w:rPr>
        <w:t>Ley de Transparencia y Acceso a la Información Pública del Estado de México y Municipios</w:t>
      </w:r>
      <w:r>
        <w:rPr>
          <w:rFonts w:ascii="Palatino Linotype" w:eastAsia="Palatino Linotype" w:hAnsi="Palatino Linotype" w:cs="Palatino Linotype"/>
          <w:color w:val="000000"/>
          <w:sz w:val="24"/>
          <w:szCs w:val="24"/>
          <w:highlight w:val="white"/>
        </w:rPr>
        <w:t xml:space="preserve">, que dispone; ante la falta de respuesta del </w:t>
      </w:r>
      <w:r>
        <w:rPr>
          <w:rFonts w:ascii="Palatino Linotype" w:eastAsia="Palatino Linotype" w:hAnsi="Palatino Linotype" w:cs="Palatino Linotype"/>
          <w:b/>
          <w:color w:val="000000"/>
          <w:sz w:val="24"/>
          <w:szCs w:val="24"/>
          <w:highlight w:val="white"/>
        </w:rPr>
        <w:t>SUJETO OBLIGADO,</w:t>
      </w:r>
      <w:r>
        <w:rPr>
          <w:rFonts w:ascii="Palatino Linotype" w:eastAsia="Palatino Linotype" w:hAnsi="Palatino Linotype" w:cs="Palatino Linotype"/>
          <w:color w:val="000000"/>
          <w:sz w:val="24"/>
          <w:szCs w:val="24"/>
          <w:highlight w:val="white"/>
        </w:rPr>
        <w:t xml:space="preserve"> dentro de los plazos establecidos en esta Ley, a una solicitud de acceso a la información pública, el recurso </w:t>
      </w:r>
      <w:r>
        <w:rPr>
          <w:rFonts w:ascii="Palatino Linotype" w:eastAsia="Palatino Linotype" w:hAnsi="Palatino Linotype" w:cs="Palatino Linotype"/>
          <w:b/>
          <w:color w:val="000000"/>
          <w:sz w:val="24"/>
          <w:szCs w:val="24"/>
          <w:highlight w:val="white"/>
        </w:rPr>
        <w:t xml:space="preserve">podrá ser interpuesto en cualquier momento. </w:t>
      </w:r>
    </w:p>
    <w:p w:rsidR="002317EC" w:rsidRDefault="002317EC">
      <w:pPr>
        <w:tabs>
          <w:tab w:val="left" w:pos="426"/>
        </w:tabs>
        <w:spacing w:after="0" w:line="360" w:lineRule="auto"/>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lastRenderedPageBreak/>
        <w:t xml:space="preserve">Por lo que, tratándose de la </w:t>
      </w:r>
      <w:r>
        <w:rPr>
          <w:rFonts w:ascii="Palatino Linotype" w:eastAsia="Palatino Linotype" w:hAnsi="Palatino Linotype" w:cs="Palatino Linotype"/>
          <w:i/>
          <w:sz w:val="24"/>
          <w:szCs w:val="24"/>
        </w:rPr>
        <w:t>negativa ficta</w:t>
      </w:r>
      <w:r>
        <w:rPr>
          <w:rFonts w:ascii="Palatino Linotype" w:eastAsia="Palatino Linotype" w:hAnsi="Palatino Linotype" w:cs="Palatino Linotype"/>
          <w:sz w:val="24"/>
          <w:szCs w:val="24"/>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Pr>
          <w:rFonts w:ascii="Palatino Linotype" w:eastAsia="Palatino Linotype" w:hAnsi="Palatino Linotype" w:cs="Palatino Linotype"/>
          <w:i/>
          <w:sz w:val="24"/>
          <w:szCs w:val="24"/>
        </w:rPr>
        <w:t>negativa ficta</w:t>
      </w:r>
      <w:r>
        <w:rPr>
          <w:rFonts w:ascii="Palatino Linotype" w:eastAsia="Palatino Linotype" w:hAnsi="Palatino Linotype" w:cs="Palatino Linotype"/>
          <w:sz w:val="24"/>
          <w:szCs w:val="24"/>
        </w:rPr>
        <w:t>, que señala:</w:t>
      </w:r>
    </w:p>
    <w:p w:rsidR="002317EC" w:rsidRDefault="002317EC">
      <w:pPr>
        <w:spacing w:after="0" w:line="360" w:lineRule="auto"/>
        <w:jc w:val="both"/>
        <w:rPr>
          <w:rFonts w:ascii="Palatino Linotype" w:eastAsia="Palatino Linotype" w:hAnsi="Palatino Linotype" w:cs="Palatino Linotype"/>
          <w:color w:val="000000"/>
          <w:sz w:val="24"/>
          <w:szCs w:val="24"/>
        </w:rPr>
      </w:pPr>
    </w:p>
    <w:p w:rsidR="002317EC" w:rsidRDefault="00893457">
      <w:pPr>
        <w:tabs>
          <w:tab w:val="left" w:pos="7655"/>
        </w:tabs>
        <w:spacing w:after="240" w:line="360" w:lineRule="auto"/>
        <w:ind w:left="567" w:right="567"/>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Criterio 0001-15</w:t>
      </w:r>
    </w:p>
    <w:p w:rsidR="002317EC" w:rsidRDefault="00893457">
      <w:pPr>
        <w:tabs>
          <w:tab w:val="left" w:pos="7655"/>
        </w:tabs>
        <w:spacing w:before="240" w:after="24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b/>
          <w:i/>
          <w:sz w:val="24"/>
          <w:szCs w:val="24"/>
        </w:rPr>
        <w:t>NEGATIVA FICTA. PLAZO PARA INTERPONER EL RECURSO DE REVISIÓN TRATÁNDOSE DE.</w:t>
      </w:r>
      <w:r>
        <w:rPr>
          <w:rFonts w:ascii="Palatino Linotype" w:eastAsia="Palatino Linotype" w:hAnsi="Palatino Linotype" w:cs="Palatino Linotype"/>
          <w:i/>
          <w:sz w:val="24"/>
          <w:szCs w:val="24"/>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w:t>
      </w:r>
      <w:r>
        <w:rPr>
          <w:rFonts w:ascii="Palatino Linotype" w:eastAsia="Palatino Linotype" w:hAnsi="Palatino Linotype" w:cs="Palatino Linotype"/>
          <w:i/>
          <w:sz w:val="24"/>
          <w:szCs w:val="24"/>
        </w:rPr>
        <w:lastRenderedPageBreak/>
        <w:t>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317EC" w:rsidRDefault="002317EC">
      <w:pPr>
        <w:tabs>
          <w:tab w:val="left" w:pos="7655"/>
        </w:tabs>
        <w:spacing w:after="0" w:line="360" w:lineRule="auto"/>
        <w:ind w:left="567" w:right="567"/>
        <w:jc w:val="both"/>
        <w:rPr>
          <w:rFonts w:ascii="Palatino Linotype" w:eastAsia="Palatino Linotype" w:hAnsi="Palatino Linotype" w:cs="Palatino Linotype"/>
          <w:i/>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Lo anterior, se explica porque la </w:t>
      </w:r>
      <w:r>
        <w:rPr>
          <w:rFonts w:ascii="Palatino Linotype" w:eastAsia="Palatino Linotype" w:hAnsi="Palatino Linotype" w:cs="Palatino Linotype"/>
          <w:b/>
          <w:color w:val="000000"/>
          <w:sz w:val="24"/>
          <w:szCs w:val="24"/>
          <w:u w:val="single"/>
        </w:rPr>
        <w:t>ausencia</w:t>
      </w:r>
      <w:r>
        <w:rPr>
          <w:rFonts w:ascii="Palatino Linotype" w:eastAsia="Palatino Linotype" w:hAnsi="Palatino Linotype" w:cs="Palatino Linotype"/>
          <w:color w:val="000000"/>
          <w:sz w:val="24"/>
          <w:szCs w:val="24"/>
        </w:rPr>
        <w:t xml:space="preserve"> de una respuesta en la solicitud constituye un acto que vulnera el derecho de manera continua y actualizable cada día, en tanto no se emita la respuesta a la que esté impuesto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w:t>
      </w:r>
    </w:p>
    <w:p w:rsidR="002317EC" w:rsidRDefault="002317EC">
      <w:pPr>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right="49" w:firstLine="0"/>
        <w:jc w:val="both"/>
        <w:rPr>
          <w:rFonts w:ascii="Palatino Linotype" w:eastAsia="Palatino Linotype" w:hAnsi="Palatino Linotype" w:cs="Palatino Linotype"/>
          <w:b/>
          <w:sz w:val="24"/>
          <w:szCs w:val="24"/>
        </w:rPr>
      </w:pPr>
      <w:bookmarkStart w:id="7" w:name="_heading=h.1t3h5sf" w:colFirst="0" w:colLast="0"/>
      <w:bookmarkEnd w:id="7"/>
      <w:r>
        <w:rPr>
          <w:rFonts w:ascii="Palatino Linotype" w:eastAsia="Palatino Linotype" w:hAnsi="Palatino Linotype" w:cs="Palatino Linotype"/>
          <w:sz w:val="24"/>
          <w:szCs w:val="24"/>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rsidR="002317EC" w:rsidRDefault="002317EC">
      <w:pPr>
        <w:tabs>
          <w:tab w:val="left" w:pos="426"/>
        </w:tabs>
        <w:spacing w:after="0" w:line="360" w:lineRule="auto"/>
        <w:ind w:right="49"/>
        <w:jc w:val="both"/>
        <w:rPr>
          <w:rFonts w:ascii="Palatino Linotype" w:eastAsia="Palatino Linotype" w:hAnsi="Palatino Linotype" w:cs="Palatino Linotype"/>
          <w:b/>
          <w:sz w:val="24"/>
          <w:szCs w:val="24"/>
        </w:rPr>
      </w:pPr>
    </w:p>
    <w:p w:rsidR="002317EC" w:rsidRDefault="00893457">
      <w:pPr>
        <w:pStyle w:val="Ttulo1"/>
        <w:spacing w:line="360" w:lineRule="auto"/>
      </w:pPr>
      <w:bookmarkStart w:id="8" w:name="_heading=h.4d34og8" w:colFirst="0" w:colLast="0"/>
      <w:bookmarkEnd w:id="8"/>
      <w:r>
        <w:t xml:space="preserve">TERCERO. Del planteamiento de la </w:t>
      </w:r>
      <w:r>
        <w:rPr>
          <w:i/>
        </w:rPr>
        <w:t>Litis</w:t>
      </w:r>
      <w:r>
        <w:t xml:space="preserve">. </w:t>
      </w: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bookmarkStart w:id="9" w:name="_heading=h.2s8eyo1" w:colFirst="0" w:colLast="0"/>
      <w:bookmarkEnd w:id="9"/>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i/>
          <w:sz w:val="24"/>
          <w:szCs w:val="24"/>
        </w:rPr>
      </w:pPr>
      <w:r>
        <w:rPr>
          <w:rFonts w:ascii="Palatino Linotype" w:eastAsia="Palatino Linotype" w:hAnsi="Palatino Linotype" w:cs="Palatino Linotype"/>
          <w:sz w:val="24"/>
          <w:szCs w:val="24"/>
        </w:rPr>
        <w:t xml:space="preserve">Se requiere </w:t>
      </w:r>
      <w:r>
        <w:rPr>
          <w:rFonts w:ascii="Palatino Linotype" w:eastAsia="Palatino Linotype" w:hAnsi="Palatino Linotype" w:cs="Palatino Linotype"/>
          <w:i/>
          <w:sz w:val="24"/>
          <w:szCs w:val="24"/>
        </w:rPr>
        <w:t xml:space="preserve">“Obtener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w:t>
      </w:r>
      <w:r>
        <w:rPr>
          <w:rFonts w:ascii="Palatino Linotype" w:eastAsia="Palatino Linotype" w:hAnsi="Palatino Linotype" w:cs="Palatino Linotype"/>
          <w:i/>
          <w:sz w:val="24"/>
          <w:szCs w:val="24"/>
        </w:rPr>
        <w:lastRenderedPageBreak/>
        <w:t xml:space="preserve">fiscales los baja la persona autorizada por el ente obligado con la clave CIEC tratándose del ISR salarios y asimilados y/o asalariados. Se solicita 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w:t>
      </w:r>
      <w:r>
        <w:rPr>
          <w:rFonts w:ascii="Palatino Linotype" w:eastAsia="Palatino Linotype" w:hAnsi="Palatino Linotype" w:cs="Palatino Linotype"/>
          <w:i/>
          <w:sz w:val="24"/>
          <w:szCs w:val="24"/>
        </w:rPr>
        <w:lastRenderedPageBreak/>
        <w:t xml:space="preserve">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 </w:t>
      </w:r>
      <w:r>
        <w:rPr>
          <w:rFonts w:ascii="Palatino Linotype" w:eastAsia="Palatino Linotype" w:hAnsi="Palatino Linotype" w:cs="Palatino Linotype"/>
          <w:sz w:val="24"/>
          <w:szCs w:val="24"/>
        </w:rPr>
        <w:t xml:space="preserve">cabe señalar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respondió a la solicitud de información. Derivado de lo anterior, el ahora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promovió el recurso de revisión indicado al rubro, en el que señaló por agravios, la falta de respuesta a su solicitud.</w:t>
      </w: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este Órgano Garante advierte que el agravio manifestado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a través del recurso de revisión </w:t>
      </w:r>
      <w:r>
        <w:rPr>
          <w:rFonts w:ascii="Palatino Linotype" w:eastAsia="Palatino Linotype" w:hAnsi="Palatino Linotype" w:cs="Palatino Linotype"/>
          <w:b/>
          <w:sz w:val="24"/>
          <w:szCs w:val="24"/>
        </w:rPr>
        <w:t xml:space="preserve">01158/INFOEM/IP/RR/2022 </w:t>
      </w:r>
      <w:r>
        <w:rPr>
          <w:rFonts w:ascii="Palatino Linotype" w:eastAsia="Palatino Linotype" w:hAnsi="Palatino Linotype" w:cs="Palatino Linotype"/>
          <w:sz w:val="24"/>
          <w:szCs w:val="24"/>
        </w:rPr>
        <w:t xml:space="preserve">sugiere que la omisión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Pr>
          <w:rFonts w:ascii="Palatino Linotype" w:eastAsia="Palatino Linotype" w:hAnsi="Palatino Linotype" w:cs="Palatino Linotype"/>
          <w:b/>
          <w:sz w:val="24"/>
          <w:szCs w:val="24"/>
        </w:rPr>
        <w:t>oportuna</w:t>
      </w:r>
      <w:r>
        <w:rPr>
          <w:rFonts w:ascii="Palatino Linotype" w:eastAsia="Palatino Linotype" w:hAnsi="Palatino Linotype" w:cs="Palatino Linotype"/>
          <w:sz w:val="24"/>
          <w:szCs w:val="24"/>
        </w:rPr>
        <w:t>.</w:t>
      </w: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Por lo anterior, la </w:t>
      </w:r>
      <w:r>
        <w:rPr>
          <w:rFonts w:ascii="Palatino Linotype" w:eastAsia="Palatino Linotype" w:hAnsi="Palatino Linotype" w:cs="Palatino Linotype"/>
          <w:i/>
          <w:sz w:val="24"/>
          <w:szCs w:val="24"/>
        </w:rPr>
        <w:t>Litis</w:t>
      </w:r>
      <w:r>
        <w:rPr>
          <w:rFonts w:ascii="Palatino Linotype" w:eastAsia="Palatino Linotype" w:hAnsi="Palatino Linotype" w:cs="Palatino Linotype"/>
          <w:sz w:val="24"/>
          <w:szCs w:val="24"/>
        </w:rPr>
        <w:t xml:space="preserve"> a resolver en el presente recurso se circunscribe en determinar si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actualiza las causales de procedencia del recurso de revisión establecidas en el artículo 179 fracciones I y VII de la Ley de Transparencia y Acceso a la Información Pública del Estado de México y Municipios, y que se transcriben a continuación:</w:t>
      </w:r>
    </w:p>
    <w:p w:rsidR="002317EC" w:rsidRDefault="002317EC">
      <w:pPr>
        <w:spacing w:after="0" w:line="360" w:lineRule="auto"/>
        <w:rPr>
          <w:rFonts w:ascii="Palatino Linotype" w:eastAsia="Palatino Linotype" w:hAnsi="Palatino Linotype" w:cs="Palatino Linotype"/>
          <w:sz w:val="24"/>
          <w:szCs w:val="24"/>
        </w:rPr>
      </w:pPr>
    </w:p>
    <w:p w:rsidR="002317EC" w:rsidRDefault="00893457">
      <w:pPr>
        <w:pBdr>
          <w:top w:val="nil"/>
          <w:left w:val="nil"/>
          <w:bottom w:val="nil"/>
          <w:right w:val="nil"/>
          <w:between w:val="nil"/>
        </w:pBdr>
        <w:tabs>
          <w:tab w:val="left" w:pos="426"/>
        </w:tabs>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b/>
          <w:i/>
          <w:color w:val="000000"/>
          <w:sz w:val="24"/>
          <w:szCs w:val="24"/>
        </w:rPr>
        <w:t>Artículo 179.</w:t>
      </w:r>
      <w:r>
        <w:rPr>
          <w:rFonts w:ascii="Palatino Linotype" w:eastAsia="Palatino Linotype" w:hAnsi="Palatino Linotype" w:cs="Palatino Linotype"/>
          <w:i/>
          <w:color w:val="000000"/>
          <w:sz w:val="24"/>
          <w:szCs w:val="24"/>
        </w:rPr>
        <w:t xml:space="preserve"> El recurso de revisión es un medio de protección que la Ley otorga a los particulares, para hacer valer su derecho de acceso a la información pública, y procederá en contra de las siguientes causas:</w:t>
      </w:r>
    </w:p>
    <w:p w:rsidR="002317EC" w:rsidRDefault="00893457">
      <w:pPr>
        <w:pBdr>
          <w:top w:val="nil"/>
          <w:left w:val="nil"/>
          <w:bottom w:val="nil"/>
          <w:right w:val="nil"/>
          <w:between w:val="nil"/>
        </w:pBdr>
        <w:tabs>
          <w:tab w:val="left" w:pos="426"/>
        </w:tabs>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I.</w:t>
      </w:r>
      <w:r>
        <w:rPr>
          <w:rFonts w:ascii="Palatino Linotype" w:eastAsia="Palatino Linotype" w:hAnsi="Palatino Linotype" w:cs="Palatino Linotype"/>
          <w:i/>
          <w:color w:val="000000"/>
          <w:sz w:val="24"/>
          <w:szCs w:val="24"/>
        </w:rPr>
        <w:t xml:space="preserve"> La negativa a la información solicitada;</w:t>
      </w:r>
    </w:p>
    <w:p w:rsidR="002317EC" w:rsidRDefault="00893457">
      <w:pPr>
        <w:pBdr>
          <w:top w:val="nil"/>
          <w:left w:val="nil"/>
          <w:bottom w:val="nil"/>
          <w:right w:val="nil"/>
          <w:between w:val="nil"/>
        </w:pBdr>
        <w:tabs>
          <w:tab w:val="left" w:pos="426"/>
        </w:tabs>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w:t>
      </w:r>
    </w:p>
    <w:p w:rsidR="002317EC" w:rsidRDefault="00893457">
      <w:pPr>
        <w:pBdr>
          <w:top w:val="nil"/>
          <w:left w:val="nil"/>
          <w:bottom w:val="nil"/>
          <w:right w:val="nil"/>
          <w:between w:val="nil"/>
        </w:pBdr>
        <w:tabs>
          <w:tab w:val="left" w:pos="426"/>
        </w:tabs>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VII.</w:t>
      </w:r>
      <w:r>
        <w:rPr>
          <w:rFonts w:ascii="Palatino Linotype" w:eastAsia="Palatino Linotype" w:hAnsi="Palatino Linotype" w:cs="Palatino Linotype"/>
          <w:i/>
          <w:color w:val="000000"/>
          <w:sz w:val="24"/>
          <w:szCs w:val="24"/>
        </w:rPr>
        <w:t xml:space="preserve"> La falta de respuesta a una solicitud de acceso a la información;</w:t>
      </w:r>
    </w:p>
    <w:p w:rsidR="002317EC" w:rsidRDefault="00893457">
      <w:pPr>
        <w:pBdr>
          <w:top w:val="nil"/>
          <w:left w:val="nil"/>
          <w:bottom w:val="nil"/>
          <w:right w:val="nil"/>
          <w:between w:val="nil"/>
        </w:pBdr>
        <w:tabs>
          <w:tab w:val="left" w:pos="426"/>
        </w:tabs>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w:t>
      </w:r>
    </w:p>
    <w:p w:rsidR="002317EC" w:rsidRDefault="002317EC">
      <w:pPr>
        <w:pBdr>
          <w:top w:val="nil"/>
          <w:left w:val="nil"/>
          <w:bottom w:val="nil"/>
          <w:right w:val="nil"/>
          <w:between w:val="nil"/>
        </w:pBdr>
        <w:tabs>
          <w:tab w:val="left" w:pos="426"/>
        </w:tabs>
        <w:spacing w:after="0" w:line="360" w:lineRule="auto"/>
        <w:ind w:left="567" w:right="567"/>
        <w:jc w:val="both"/>
        <w:rPr>
          <w:rFonts w:ascii="Palatino Linotype" w:eastAsia="Palatino Linotype" w:hAnsi="Palatino Linotype" w:cs="Palatino Linotype"/>
          <w:i/>
          <w:color w:val="000000"/>
          <w:sz w:val="24"/>
          <w:szCs w:val="24"/>
        </w:rPr>
      </w:pPr>
    </w:p>
    <w:p w:rsidR="002317EC" w:rsidRDefault="00893457">
      <w:pPr>
        <w:keepNext/>
        <w:keepLines/>
        <w:spacing w:before="240" w:after="0" w:line="360" w:lineRule="auto"/>
        <w:rPr>
          <w:rFonts w:ascii="Palatino Linotype" w:eastAsia="Palatino Linotype" w:hAnsi="Palatino Linotype" w:cs="Palatino Linotype"/>
          <w:sz w:val="24"/>
          <w:szCs w:val="24"/>
        </w:rPr>
      </w:pPr>
      <w:bookmarkStart w:id="10" w:name="_heading=h.17dp8vu" w:colFirst="0" w:colLast="0"/>
      <w:bookmarkEnd w:id="10"/>
      <w:r>
        <w:rPr>
          <w:rFonts w:ascii="Palatino Linotype" w:eastAsia="Palatino Linotype" w:hAnsi="Palatino Linotype" w:cs="Palatino Linotype"/>
          <w:b/>
          <w:sz w:val="24"/>
          <w:szCs w:val="24"/>
        </w:rPr>
        <w:t>CUARTO. Del estudio y resolución del asunto.</w:t>
      </w:r>
    </w:p>
    <w:p w:rsidR="002317EC" w:rsidRDefault="002317EC">
      <w:pPr>
        <w:keepNext/>
        <w:keepLines/>
        <w:spacing w:before="40" w:after="0" w:line="360" w:lineRule="auto"/>
        <w:rPr>
          <w:rFonts w:ascii="Palatino Linotype" w:eastAsia="Palatino Linotype" w:hAnsi="Palatino Linotype" w:cs="Palatino Linotype"/>
          <w:b/>
          <w:sz w:val="24"/>
          <w:szCs w:val="24"/>
        </w:rPr>
      </w:pPr>
    </w:p>
    <w:p w:rsidR="002317EC" w:rsidRDefault="00893457">
      <w:pPr>
        <w:keepNext/>
        <w:keepLines/>
        <w:spacing w:before="40" w:line="360" w:lineRule="auto"/>
        <w:jc w:val="both"/>
        <w:rPr>
          <w:rFonts w:ascii="Palatino Linotype" w:eastAsia="Palatino Linotype" w:hAnsi="Palatino Linotype" w:cs="Palatino Linotype"/>
          <w:b/>
          <w:sz w:val="24"/>
          <w:szCs w:val="24"/>
        </w:rPr>
      </w:pPr>
      <w:bookmarkStart w:id="11" w:name="_heading=h.3rdcrjn" w:colFirst="0" w:colLast="0"/>
      <w:bookmarkEnd w:id="11"/>
      <w:r>
        <w:rPr>
          <w:rFonts w:ascii="Palatino Linotype" w:eastAsia="Palatino Linotype" w:hAnsi="Palatino Linotype" w:cs="Palatino Linotype"/>
          <w:b/>
          <w:sz w:val="24"/>
          <w:szCs w:val="24"/>
        </w:rPr>
        <w:t xml:space="preserve">I. Del deber de las autoridades de promover, respetar, proteger y garantizar el derecho de acceso a la información pública. </w:t>
      </w:r>
    </w:p>
    <w:p w:rsidR="002317EC" w:rsidRDefault="002317EC">
      <w:pPr>
        <w:spacing w:after="0" w:line="360" w:lineRule="auto"/>
        <w:ind w:left="720"/>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Es menester precisar que este </w:t>
      </w:r>
      <w:r>
        <w:rPr>
          <w:rFonts w:ascii="Palatino Linotype" w:eastAsia="Palatino Linotype" w:hAnsi="Palatino Linotype" w:cs="Palatino Linotype"/>
          <w:color w:val="000000"/>
          <w:sz w:val="24"/>
          <w:szCs w:val="24"/>
        </w:rPr>
        <w:t xml:space="preserve">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w:t>
      </w:r>
      <w:r>
        <w:rPr>
          <w:rFonts w:ascii="Palatino Linotype" w:eastAsia="Palatino Linotype" w:hAnsi="Palatino Linotype" w:cs="Palatino Linotype"/>
          <w:color w:val="000000"/>
          <w:sz w:val="24"/>
          <w:szCs w:val="24"/>
        </w:rPr>
        <w:lastRenderedPageBreak/>
        <w:t xml:space="preserve">Política de los Estados Unidos Mexicanos y en el artículo quinto de la Particular del Estado de México, por lo que al respecto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debe ser cuidadoso del debido cumplimiento de las obligaciones constitucionales que se le imponen, en consecuencia, a todas las autoridades, en el ámbito de su competencia, según lo dispone el tercer párrafo del artículo primero de la </w:t>
      </w:r>
      <w:r>
        <w:rPr>
          <w:rFonts w:ascii="Palatino Linotype" w:eastAsia="Palatino Linotype" w:hAnsi="Palatino Linotype" w:cs="Palatino Linotype"/>
          <w:b/>
          <w:color w:val="000000"/>
          <w:sz w:val="24"/>
          <w:szCs w:val="24"/>
        </w:rPr>
        <w:t xml:space="preserve">Constitución Política de los Estados Unidos Mexicanos </w:t>
      </w:r>
      <w:r>
        <w:rPr>
          <w:rFonts w:ascii="Palatino Linotype" w:eastAsia="Palatino Linotype" w:hAnsi="Palatino Linotype" w:cs="Palatino Linotype"/>
          <w:color w:val="000000"/>
          <w:sz w:val="24"/>
          <w:szCs w:val="24"/>
        </w:rPr>
        <w:t xml:space="preserve">al señalar la obligación de “promover, </w:t>
      </w:r>
      <w:r>
        <w:rPr>
          <w:rFonts w:ascii="Palatino Linotype" w:eastAsia="Palatino Linotype" w:hAnsi="Palatino Linotype" w:cs="Palatino Linotype"/>
          <w:b/>
          <w:color w:val="000000"/>
          <w:sz w:val="24"/>
          <w:szCs w:val="24"/>
        </w:rPr>
        <w:t>respetar</w:t>
      </w:r>
      <w:r>
        <w:rPr>
          <w:rFonts w:ascii="Palatino Linotype" w:eastAsia="Palatino Linotype" w:hAnsi="Palatino Linotype" w:cs="Palatino Linotype"/>
          <w:color w:val="000000"/>
          <w:sz w:val="24"/>
          <w:szCs w:val="24"/>
        </w:rPr>
        <w:t xml:space="preserve">, proteger y </w:t>
      </w:r>
      <w:r>
        <w:rPr>
          <w:rFonts w:ascii="Palatino Linotype" w:eastAsia="Palatino Linotype" w:hAnsi="Palatino Linotype" w:cs="Palatino Linotype"/>
          <w:b/>
          <w:color w:val="000000"/>
          <w:sz w:val="24"/>
          <w:szCs w:val="24"/>
        </w:rPr>
        <w:t>garantizar</w:t>
      </w:r>
      <w:r>
        <w:rPr>
          <w:rFonts w:ascii="Palatino Linotype" w:eastAsia="Palatino Linotype" w:hAnsi="Palatino Linotype" w:cs="Palatino Linotype"/>
          <w:color w:val="000000"/>
          <w:sz w:val="24"/>
          <w:szCs w:val="24"/>
        </w:rPr>
        <w:t xml:space="preserve"> los derechos humanos”, entre los cuales se encuentra dicho derecho. </w:t>
      </w:r>
    </w:p>
    <w:p w:rsidR="002317EC" w:rsidRDefault="002317EC">
      <w:pPr>
        <w:tabs>
          <w:tab w:val="left" w:pos="426"/>
        </w:tabs>
        <w:spacing w:after="0" w:line="360" w:lineRule="auto"/>
        <w:ind w:right="49"/>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Definiendo el Derecho de Acceso a la Información Pública como: </w:t>
      </w:r>
      <w:r>
        <w:rPr>
          <w:rFonts w:ascii="Palatino Linotype" w:eastAsia="Palatino Linotype" w:hAnsi="Palatino Linotype" w:cs="Palatino Linotype"/>
          <w:i/>
          <w:color w:val="000000"/>
          <w:sz w:val="24"/>
          <w:szCs w:val="24"/>
        </w:rPr>
        <w:t>La igualdad de oportunidades para recibir, buscar e impartir información</w:t>
      </w:r>
      <w:r>
        <w:rPr>
          <w:rFonts w:ascii="Palatino Linotype" w:eastAsia="Palatino Linotype" w:hAnsi="Palatino Linotype" w:cs="Palatino Linotype"/>
          <w:i/>
          <w:color w:val="000000"/>
          <w:sz w:val="24"/>
          <w:szCs w:val="24"/>
          <w:vertAlign w:val="superscript"/>
        </w:rPr>
        <w:footnoteReference w:id="2"/>
      </w:r>
      <w:r>
        <w:rPr>
          <w:rFonts w:ascii="Palatino Linotype" w:eastAsia="Palatino Linotype" w:hAnsi="Palatino Linotype" w:cs="Palatino Linotype"/>
          <w:i/>
          <w:color w:val="000000"/>
          <w:sz w:val="24"/>
          <w:szCs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color w:val="000000"/>
          <w:sz w:val="24"/>
          <w:szCs w:val="24"/>
          <w:vertAlign w:val="superscript"/>
        </w:rPr>
        <w:footnoteReference w:id="3"/>
      </w:r>
      <w:r>
        <w:rPr>
          <w:rFonts w:ascii="Palatino Linotype" w:eastAsia="Palatino Linotype" w:hAnsi="Palatino Linotype" w:cs="Palatino Linotype"/>
          <w:color w:val="000000"/>
          <w:sz w:val="24"/>
          <w:szCs w:val="24"/>
        </w:rPr>
        <w:t>que se constituye como una herramienta fundamental para ejercer</w:t>
      </w:r>
      <w:r>
        <w:rPr>
          <w:rFonts w:ascii="Palatino Linotype" w:eastAsia="Palatino Linotype" w:hAnsi="Palatino Linotype" w:cs="Palatino Linotype"/>
          <w:i/>
          <w:color w:val="000000"/>
          <w:sz w:val="24"/>
          <w:szCs w:val="24"/>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color w:val="000000"/>
          <w:sz w:val="24"/>
          <w:szCs w:val="24"/>
          <w:vertAlign w:val="superscript"/>
        </w:rPr>
        <w:footnoteReference w:id="4"/>
      </w:r>
      <w:r>
        <w:rPr>
          <w:rFonts w:ascii="Palatino Linotype" w:eastAsia="Palatino Linotype" w:hAnsi="Palatino Linotype" w:cs="Palatino Linotype"/>
          <w:color w:val="000000"/>
          <w:sz w:val="24"/>
          <w:szCs w:val="24"/>
        </w:rPr>
        <w:t>fomentando</w:t>
      </w:r>
      <w:r>
        <w:rPr>
          <w:rFonts w:ascii="Palatino Linotype" w:eastAsia="Palatino Linotype" w:hAnsi="Palatino Linotype" w:cs="Palatino Linotype"/>
          <w:i/>
          <w:color w:val="000000"/>
          <w:sz w:val="24"/>
          <w:szCs w:val="24"/>
        </w:rPr>
        <w:t xml:space="preserve"> la transparencia de las actividades estatales y </w:t>
      </w:r>
      <w:r>
        <w:rPr>
          <w:rFonts w:ascii="Palatino Linotype" w:eastAsia="Palatino Linotype" w:hAnsi="Palatino Linotype" w:cs="Palatino Linotype"/>
          <w:color w:val="000000"/>
          <w:sz w:val="24"/>
          <w:szCs w:val="24"/>
        </w:rPr>
        <w:t>promoviendo</w:t>
      </w:r>
      <w:r>
        <w:rPr>
          <w:rFonts w:ascii="Palatino Linotype" w:eastAsia="Palatino Linotype" w:hAnsi="Palatino Linotype" w:cs="Palatino Linotype"/>
          <w:i/>
          <w:color w:val="000000"/>
          <w:sz w:val="24"/>
          <w:szCs w:val="24"/>
        </w:rPr>
        <w:t xml:space="preserve"> la responsabilidad de los funcionarios sobre su gestión pública,</w:t>
      </w:r>
      <w:r>
        <w:rPr>
          <w:rFonts w:ascii="Palatino Linotype" w:eastAsia="Palatino Linotype" w:hAnsi="Palatino Linotype" w:cs="Palatino Linotype"/>
          <w:i/>
          <w:color w:val="000000"/>
          <w:sz w:val="24"/>
          <w:szCs w:val="24"/>
          <w:vertAlign w:val="superscript"/>
        </w:rPr>
        <w:footnoteReference w:id="5"/>
      </w:r>
      <w:r>
        <w:rPr>
          <w:rFonts w:ascii="Palatino Linotype" w:eastAsia="Palatino Linotype" w:hAnsi="Palatino Linotype" w:cs="Palatino Linotype"/>
          <w:color w:val="000000"/>
          <w:sz w:val="24"/>
          <w:szCs w:val="24"/>
        </w:rPr>
        <w:t>que permite</w:t>
      </w:r>
      <w:r>
        <w:rPr>
          <w:rFonts w:ascii="Palatino Linotype" w:eastAsia="Palatino Linotype" w:hAnsi="Palatino Linotype" w:cs="Palatino Linotype"/>
          <w:i/>
          <w:color w:val="000000"/>
          <w:sz w:val="24"/>
          <w:szCs w:val="24"/>
        </w:rPr>
        <w:t xml:space="preserve"> saber qué están haciendo los gobiernos por sus pueblos, sin lo cual la verdad languidecería y la participación en el gobierno permanecería fragmentada.</w:t>
      </w:r>
    </w:p>
    <w:p w:rsidR="002317EC" w:rsidRDefault="002317EC">
      <w:pPr>
        <w:tabs>
          <w:tab w:val="left" w:pos="426"/>
        </w:tabs>
        <w:spacing w:after="0" w:line="360" w:lineRule="auto"/>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i/>
          <w:sz w:val="24"/>
          <w:szCs w:val="24"/>
        </w:rPr>
      </w:pPr>
      <w:r>
        <w:rPr>
          <w:rFonts w:ascii="Palatino Linotype" w:eastAsia="Palatino Linotype" w:hAnsi="Palatino Linotype" w:cs="Palatino Linotype"/>
          <w:sz w:val="24"/>
          <w:szCs w:val="24"/>
        </w:rPr>
        <w:t>Por lo anterior, se deduce que el derecho de acceso a la información pública es un derecho humano internacional y constitucionalmente reconocido; en consecuencia, todas las autoridades en el ámbito de sus competencias, funciones y atribuciones tienen la obligación de respetarlo, protegerlo y garantizarlo.</w:t>
      </w: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p>
    <w:p w:rsidR="002317EC" w:rsidRDefault="00893457">
      <w:pPr>
        <w:numPr>
          <w:ilvl w:val="0"/>
          <w:numId w:val="7"/>
        </w:numPr>
        <w:tabs>
          <w:tab w:val="left" w:pos="567"/>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Derivado de lo señalado con anterioridad, la actuación del </w:t>
      </w:r>
      <w:r>
        <w:rPr>
          <w:rFonts w:ascii="Palatino Linotype" w:eastAsia="Palatino Linotype" w:hAnsi="Palatino Linotype" w:cs="Palatino Linotype"/>
          <w:b/>
          <w:sz w:val="24"/>
          <w:szCs w:val="24"/>
        </w:rPr>
        <w:t xml:space="preserve">Ayuntamiento de Atizapán </w:t>
      </w:r>
      <w:r>
        <w:rPr>
          <w:rFonts w:ascii="Palatino Linotype" w:eastAsia="Palatino Linotype" w:hAnsi="Palatino Linotype" w:cs="Palatino Linotype"/>
          <w:sz w:val="24"/>
          <w:szCs w:val="24"/>
        </w:rPr>
        <w:t xml:space="preserve">constituye una afectación al derecho humano de acceso a la información pública del particular, toda vez que incumple el mandato constitucional al no dar trámite a la solicitud y, por ello, entregar la información ni en respuesta ni en informe justificado, dos momentos procesales que antes del cierre de instrucción del asunto a resolver, puede ser entregada la información para reparar el derecho afectado. </w:t>
      </w:r>
    </w:p>
    <w:p w:rsidR="002317EC" w:rsidRDefault="002317EC">
      <w:pPr>
        <w:tabs>
          <w:tab w:val="left" w:pos="426"/>
        </w:tabs>
        <w:spacing w:after="0" w:line="360" w:lineRule="auto"/>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Ante tal afectación, el artículo primero Constitucional, de forma clara y precisa, dispone que como consecuencia de la obligación que tienen las autoridades de promover, respetar, proteger y garantizar el derecho humano; el Estado deberá </w:t>
      </w:r>
      <w:r>
        <w:rPr>
          <w:rFonts w:ascii="Palatino Linotype" w:eastAsia="Palatino Linotype" w:hAnsi="Palatino Linotype" w:cs="Palatino Linotype"/>
          <w:sz w:val="24"/>
          <w:szCs w:val="24"/>
          <w:u w:val="single"/>
        </w:rPr>
        <w:t>prevenir, investigar, sancionar y reparar las violaciones a los derechos humanos</w:t>
      </w:r>
      <w:r>
        <w:rPr>
          <w:rFonts w:ascii="Palatino Linotype" w:eastAsia="Palatino Linotype" w:hAnsi="Palatino Linotype" w:cs="Palatino Linotype"/>
          <w:sz w:val="24"/>
          <w:szCs w:val="24"/>
        </w:rPr>
        <w:t xml:space="preserve">. </w:t>
      </w: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En tal sentido, el derecho de acceso a la información constituye una garantía primaria, tal y como lo señala el artículo 150 de la Ley de Transparencia y Acceso a la Información del Estado de México y Municipios, que además, establece que se regirá </w:t>
      </w:r>
      <w:r>
        <w:rPr>
          <w:rFonts w:ascii="Palatino Linotype" w:eastAsia="Palatino Linotype" w:hAnsi="Palatino Linotype" w:cs="Palatino Linotype"/>
          <w:i/>
          <w:sz w:val="24"/>
          <w:szCs w:val="24"/>
        </w:rPr>
        <w:t xml:space="preserve">por los principios de simplicidad, rapidez gratuidad del procedimiento, auxilio y </w:t>
      </w:r>
      <w:r>
        <w:rPr>
          <w:rFonts w:ascii="Palatino Linotype" w:eastAsia="Palatino Linotype" w:hAnsi="Palatino Linotype" w:cs="Palatino Linotype"/>
          <w:i/>
          <w:sz w:val="24"/>
          <w:szCs w:val="24"/>
        </w:rPr>
        <w:lastRenderedPageBreak/>
        <w:t>orientación a los particulares</w:t>
      </w:r>
      <w:r>
        <w:rPr>
          <w:rFonts w:ascii="Palatino Linotype" w:eastAsia="Palatino Linotype" w:hAnsi="Palatino Linotype" w:cs="Palatino Linotype"/>
          <w:sz w:val="24"/>
          <w:szCs w:val="24"/>
        </w:rPr>
        <w:t xml:space="preserve">, contemplando el derecho de las personas con discapacidad y hablantes de lengua indígena. </w:t>
      </w: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así que la </w:t>
      </w:r>
      <w:r>
        <w:rPr>
          <w:rFonts w:ascii="Palatino Linotype" w:eastAsia="Palatino Linotype" w:hAnsi="Palatino Linotype" w:cs="Palatino Linotype"/>
          <w:b/>
          <w:sz w:val="24"/>
          <w:szCs w:val="24"/>
        </w:rPr>
        <w:t xml:space="preserve">Ley de Transparencia y Acceso a la Información Pública del Estado de México y Municipios, </w:t>
      </w:r>
      <w:r>
        <w:rPr>
          <w:rFonts w:ascii="Palatino Linotype" w:eastAsia="Palatino Linotype" w:hAnsi="Palatino Linotype" w:cs="Palatino Linotype"/>
          <w:sz w:val="24"/>
          <w:szCs w:val="24"/>
        </w:rPr>
        <w:t>cuyo objeto es establecer principios, bases generales y procedimientos para tutelar y garantizar la transparencia y el derecho humano de acceso a la información pública en posesión de los Sujetos Obligados; en su artículo 176</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establece que </w:t>
      </w:r>
      <w:r>
        <w:rPr>
          <w:rFonts w:ascii="Palatino Linotype" w:eastAsia="Palatino Linotype" w:hAnsi="Palatino Linotype" w:cs="Palatino Linotype"/>
          <w:b/>
          <w:i/>
          <w:sz w:val="24"/>
          <w:szCs w:val="24"/>
          <w:u w:val="single"/>
        </w:rPr>
        <w:t>el recurso de revisión es la garantía secundaria</w:t>
      </w:r>
      <w:r>
        <w:rPr>
          <w:rFonts w:ascii="Palatino Linotype" w:eastAsia="Palatino Linotype" w:hAnsi="Palatino Linotype" w:cs="Palatino Linotype"/>
          <w:b/>
          <w:i/>
          <w:sz w:val="24"/>
          <w:szCs w:val="24"/>
        </w:rPr>
        <w:t xml:space="preserve"> mediante la cual se pretende reparar cualquier posible afectación al derecho de acceso a la información pública</w:t>
      </w:r>
      <w:r>
        <w:rPr>
          <w:rFonts w:ascii="Palatino Linotype" w:eastAsia="Palatino Linotype" w:hAnsi="Palatino Linotype" w:cs="Palatino Linotype"/>
          <w:sz w:val="24"/>
          <w:szCs w:val="24"/>
        </w:rPr>
        <w:t xml:space="preserve">, siendo este el medio a través del cual, este Órgano Garante después de realizar el análisis al procedimiento de acceso a la información, podrá determinar la posible afectación y de ser el caso ordenar la reparación a la violación del derecho en cuestión. </w:t>
      </w:r>
    </w:p>
    <w:p w:rsidR="002317EC" w:rsidRDefault="002317EC">
      <w:pPr>
        <w:tabs>
          <w:tab w:val="left" w:pos="426"/>
        </w:tabs>
        <w:spacing w:after="0" w:line="360" w:lineRule="auto"/>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Establecido lo anterior, resulta evidente que las razones o motivos de inconformidad hechos valer en el recurso de revisión resultan </w:t>
      </w:r>
      <w:r>
        <w:rPr>
          <w:rFonts w:ascii="Palatino Linotype" w:eastAsia="Palatino Linotype" w:hAnsi="Palatino Linotype" w:cs="Palatino Linotype"/>
          <w:b/>
          <w:sz w:val="24"/>
          <w:szCs w:val="24"/>
        </w:rPr>
        <w:t>fundadas y procedentes</w:t>
      </w:r>
      <w:r>
        <w:rPr>
          <w:rFonts w:ascii="Palatino Linotype" w:eastAsia="Palatino Linotype" w:hAnsi="Palatino Linotype" w:cs="Palatino Linotype"/>
          <w:sz w:val="24"/>
          <w:szCs w:val="24"/>
        </w:rPr>
        <w:t xml:space="preserve">, debido a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fue omiso en responder la solicitud de información en cuestión, es decir, </w:t>
      </w:r>
      <w:r>
        <w:rPr>
          <w:rFonts w:ascii="Palatino Linotype" w:eastAsia="Palatino Linotype" w:hAnsi="Palatino Linotype" w:cs="Palatino Linotype"/>
          <w:b/>
          <w:sz w:val="24"/>
          <w:szCs w:val="24"/>
        </w:rPr>
        <w:t>NO proporcionó respuesta alguna</w:t>
      </w:r>
      <w:r>
        <w:rPr>
          <w:rFonts w:ascii="Palatino Linotype" w:eastAsia="Palatino Linotype" w:hAnsi="Palatino Linotype" w:cs="Palatino Linotype"/>
          <w:sz w:val="24"/>
          <w:szCs w:val="24"/>
        </w:rPr>
        <w:t xml:space="preserve">, negando así el acceso a cualquier tipo de información sin ofrecer mayores explicaciones; es decir, no fundó ni motivó su omisión, su falta de actuación en relación a sus obligaciones de garantizar el acceso a la información pública. </w:t>
      </w: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Dicha omisión implica un incumplimiento de las obligaciones que la Ley de Transparencia y Acceso a la Información del Estado de México y Municipios le </w:t>
      </w:r>
      <w:r>
        <w:rPr>
          <w:rFonts w:ascii="Palatino Linotype" w:eastAsia="Palatino Linotype" w:hAnsi="Palatino Linotype" w:cs="Palatino Linotype"/>
          <w:sz w:val="24"/>
          <w:szCs w:val="24"/>
        </w:rPr>
        <w:lastRenderedPageBreak/>
        <w:t xml:space="preserve">impone al </w:t>
      </w:r>
      <w:r>
        <w:rPr>
          <w:rFonts w:ascii="Palatino Linotype" w:eastAsia="Palatino Linotype" w:hAnsi="Palatino Linotype" w:cs="Palatino Linotype"/>
          <w:b/>
          <w:sz w:val="24"/>
          <w:szCs w:val="24"/>
        </w:rPr>
        <w:t xml:space="preserve">Ayuntamiento de Atizapán </w:t>
      </w:r>
      <w:r>
        <w:rPr>
          <w:rFonts w:ascii="Palatino Linotype" w:eastAsia="Palatino Linotype" w:hAnsi="Palatino Linotype" w:cs="Palatino Linotype"/>
          <w:sz w:val="24"/>
          <w:szCs w:val="24"/>
        </w:rPr>
        <w:t xml:space="preserve">como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de conformidad con el artículo 23 fracción IV, que a la letra dice:</w:t>
      </w:r>
    </w:p>
    <w:p w:rsidR="002317EC" w:rsidRDefault="002317EC">
      <w:pPr>
        <w:spacing w:after="0" w:line="360" w:lineRule="auto"/>
        <w:ind w:left="720"/>
        <w:rPr>
          <w:rFonts w:ascii="Palatino Linotype" w:eastAsia="Palatino Linotype" w:hAnsi="Palatino Linotype" w:cs="Palatino Linotype"/>
          <w:sz w:val="24"/>
          <w:szCs w:val="24"/>
        </w:rPr>
      </w:pPr>
    </w:p>
    <w:p w:rsidR="002317EC" w:rsidRDefault="00893457">
      <w:pPr>
        <w:spacing w:after="0" w:line="360" w:lineRule="auto"/>
        <w:ind w:left="567" w:right="567"/>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“Artículo 23.</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b/>
          <w:i/>
          <w:sz w:val="24"/>
          <w:szCs w:val="24"/>
        </w:rPr>
        <w:t xml:space="preserve">Son </w:t>
      </w:r>
      <w:r>
        <w:rPr>
          <w:rFonts w:ascii="Palatino Linotype" w:eastAsia="Palatino Linotype" w:hAnsi="Palatino Linotype" w:cs="Palatino Linotype"/>
          <w:b/>
          <w:i/>
          <w:sz w:val="24"/>
          <w:szCs w:val="24"/>
          <w:u w:val="single"/>
        </w:rPr>
        <w:t>sujetos obligados a transparentar y permitir el acceso a su información</w:t>
      </w:r>
      <w:r>
        <w:rPr>
          <w:rFonts w:ascii="Palatino Linotype" w:eastAsia="Palatino Linotype" w:hAnsi="Palatino Linotype" w:cs="Palatino Linotype"/>
          <w:b/>
          <w:i/>
          <w:sz w:val="24"/>
          <w:szCs w:val="24"/>
        </w:rPr>
        <w:t xml:space="preserve"> y proteger los datos personales que obren en su poder: </w:t>
      </w:r>
    </w:p>
    <w:p w:rsidR="002317EC" w:rsidRDefault="00893457">
      <w:pPr>
        <w:spacing w:after="0" w:line="360" w:lineRule="auto"/>
        <w:ind w:left="567" w:right="567"/>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w:t>
      </w:r>
    </w:p>
    <w:p w:rsidR="002317EC" w:rsidRDefault="00893457">
      <w:pPr>
        <w:spacing w:after="0" w:line="360" w:lineRule="auto"/>
        <w:ind w:left="567" w:right="567"/>
        <w:rPr>
          <w:rFonts w:ascii="Palatino Linotype" w:eastAsia="Palatino Linotype" w:hAnsi="Palatino Linotype" w:cs="Palatino Linotype"/>
          <w:i/>
          <w:sz w:val="24"/>
          <w:szCs w:val="24"/>
        </w:rPr>
      </w:pPr>
      <w:r>
        <w:rPr>
          <w:rFonts w:ascii="Palatino Linotype" w:eastAsia="Palatino Linotype" w:hAnsi="Palatino Linotype" w:cs="Palatino Linotype"/>
          <w:b/>
          <w:i/>
          <w:sz w:val="24"/>
          <w:szCs w:val="24"/>
        </w:rPr>
        <w:t>IV.</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b/>
          <w:i/>
          <w:sz w:val="24"/>
          <w:szCs w:val="24"/>
          <w:u w:val="single"/>
        </w:rPr>
        <w:t>Los ayuntamientos</w:t>
      </w:r>
      <w:r>
        <w:rPr>
          <w:rFonts w:ascii="Palatino Linotype" w:eastAsia="Palatino Linotype" w:hAnsi="Palatino Linotype" w:cs="Palatino Linotype"/>
          <w:i/>
          <w:sz w:val="24"/>
          <w:szCs w:val="24"/>
        </w:rPr>
        <w:t xml:space="preserve"> y las dependencias, organismos, órganos y entidades de la administración municipal;</w:t>
      </w:r>
    </w:p>
    <w:p w:rsidR="002317EC" w:rsidRDefault="00893457">
      <w:pPr>
        <w:spacing w:after="0" w:line="360" w:lineRule="auto"/>
        <w:ind w:left="567" w:right="567"/>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w:t>
      </w:r>
    </w:p>
    <w:p w:rsidR="002317EC" w:rsidRDefault="00893457">
      <w:pPr>
        <w:spacing w:after="0" w:line="360" w:lineRule="auto"/>
        <w:ind w:left="567" w:right="567"/>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(Énfasis añadido)</w:t>
      </w:r>
    </w:p>
    <w:p w:rsidR="002317EC" w:rsidRDefault="002317EC">
      <w:pPr>
        <w:spacing w:after="0" w:line="360" w:lineRule="auto"/>
        <w:ind w:left="720"/>
        <w:rPr>
          <w:rFonts w:ascii="Palatino Linotype" w:eastAsia="Palatino Linotype" w:hAnsi="Palatino Linotype" w:cs="Palatino Linotype"/>
          <w:sz w:val="24"/>
          <w:szCs w:val="24"/>
        </w:rPr>
      </w:pPr>
    </w:p>
    <w:p w:rsidR="002317EC" w:rsidRDefault="00893457">
      <w:pPr>
        <w:numPr>
          <w:ilvl w:val="0"/>
          <w:numId w:val="7"/>
        </w:numPr>
        <w:tabs>
          <w:tab w:val="left" w:pos="0"/>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en calidad de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el </w:t>
      </w:r>
      <w:r>
        <w:rPr>
          <w:rFonts w:ascii="Palatino Linotype" w:eastAsia="Palatino Linotype" w:hAnsi="Palatino Linotype" w:cs="Palatino Linotype"/>
          <w:b/>
          <w:sz w:val="24"/>
          <w:szCs w:val="24"/>
        </w:rPr>
        <w:t>Ayuntamiento de Atizapán</w:t>
      </w:r>
      <w:r>
        <w:rPr>
          <w:rFonts w:ascii="Palatino Linotype" w:eastAsia="Palatino Linotype" w:hAnsi="Palatino Linotype" w:cs="Palatino Linotype"/>
          <w:sz w:val="24"/>
          <w:szCs w:val="24"/>
        </w:rPr>
        <w:t xml:space="preserve"> se encuentra constreñido a respetar y cumplir el Derecho Humano de Acceso a la Información Pública consignado de igual forma como ya se refirió por la Constitución Política de los Estados Unidos Mexicanos y la Constitución Política del Estado Libre y Soberano de México respectivamente: </w:t>
      </w:r>
    </w:p>
    <w:p w:rsidR="002317EC" w:rsidRDefault="002317EC">
      <w:pPr>
        <w:spacing w:after="0" w:line="360" w:lineRule="auto"/>
        <w:jc w:val="both"/>
        <w:rPr>
          <w:rFonts w:ascii="Palatino Linotype" w:eastAsia="Palatino Linotype" w:hAnsi="Palatino Linotype" w:cs="Palatino Linotype"/>
          <w:sz w:val="24"/>
          <w:szCs w:val="24"/>
        </w:rPr>
      </w:pPr>
    </w:p>
    <w:p w:rsidR="002317EC" w:rsidRDefault="00893457">
      <w:pPr>
        <w:spacing w:after="0" w:line="360" w:lineRule="auto"/>
        <w:ind w:left="567" w:right="567"/>
        <w:jc w:val="center"/>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Constitución Política de los Estados Unidos Mexicanos</w:t>
      </w:r>
    </w:p>
    <w:p w:rsidR="002317EC" w:rsidRDefault="002317EC">
      <w:pPr>
        <w:spacing w:after="0" w:line="360" w:lineRule="auto"/>
        <w:ind w:left="567" w:right="567"/>
        <w:jc w:val="both"/>
        <w:rPr>
          <w:rFonts w:ascii="Palatino Linotype" w:eastAsia="Palatino Linotype" w:hAnsi="Palatino Linotype" w:cs="Palatino Linotype"/>
          <w:i/>
          <w:sz w:val="24"/>
          <w:szCs w:val="24"/>
        </w:rPr>
      </w:pPr>
    </w:p>
    <w:p w:rsidR="002317EC" w:rsidRDefault="00893457">
      <w:pPr>
        <w:spacing w:after="0" w:line="360" w:lineRule="auto"/>
        <w:ind w:left="567" w:right="567"/>
        <w:jc w:val="both"/>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“Artículo 6.</w:t>
      </w:r>
      <w:r>
        <w:rPr>
          <w:rFonts w:ascii="Palatino Linotype" w:eastAsia="Palatino Linotype" w:hAnsi="Palatino Linotype" w:cs="Palatino Linotype"/>
          <w:i/>
          <w:sz w:val="24"/>
          <w:szCs w:val="24"/>
        </w:rPr>
        <w:t xml:space="preserve"> …</w:t>
      </w:r>
    </w:p>
    <w:p w:rsidR="002317EC" w:rsidRDefault="00893457">
      <w:pPr>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w:t>
      </w:r>
    </w:p>
    <w:p w:rsidR="002317EC" w:rsidRDefault="00893457">
      <w:pPr>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Para efectos de lo dispuesto en el presente artículo se observará lo siguiente:</w:t>
      </w:r>
    </w:p>
    <w:p w:rsidR="002317EC" w:rsidRDefault="00893457">
      <w:pPr>
        <w:spacing w:after="0" w:line="360" w:lineRule="auto"/>
        <w:ind w:left="567" w:right="567"/>
        <w:jc w:val="both"/>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lastRenderedPageBreak/>
        <w:t>A</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b/>
          <w:i/>
          <w:sz w:val="24"/>
          <w:szCs w:val="24"/>
        </w:rPr>
        <w:t>Para el ejercicio del derecho de acceso a la información</w:t>
      </w:r>
      <w:r>
        <w:rPr>
          <w:rFonts w:ascii="Palatino Linotype" w:eastAsia="Palatino Linotype" w:hAnsi="Palatino Linotype" w:cs="Palatino Linotype"/>
          <w:i/>
          <w:sz w:val="24"/>
          <w:szCs w:val="24"/>
        </w:rPr>
        <w:t xml:space="preserve">, la Federación y </w:t>
      </w:r>
      <w:r>
        <w:rPr>
          <w:rFonts w:ascii="Palatino Linotype" w:eastAsia="Palatino Linotype" w:hAnsi="Palatino Linotype" w:cs="Palatino Linotype"/>
          <w:b/>
          <w:i/>
          <w:sz w:val="24"/>
          <w:szCs w:val="24"/>
        </w:rPr>
        <w:t>las entidades federativas, en el ámbito de sus respectivas competencias, se regirán por los siguientes principios y bases:</w:t>
      </w:r>
    </w:p>
    <w:p w:rsidR="002317EC" w:rsidRDefault="002317EC">
      <w:pPr>
        <w:spacing w:after="0" w:line="360" w:lineRule="auto"/>
        <w:ind w:left="567" w:right="567"/>
        <w:jc w:val="both"/>
        <w:rPr>
          <w:rFonts w:ascii="Palatino Linotype" w:eastAsia="Palatino Linotype" w:hAnsi="Palatino Linotype" w:cs="Palatino Linotype"/>
          <w:b/>
          <w:i/>
          <w:sz w:val="24"/>
          <w:szCs w:val="24"/>
        </w:rPr>
      </w:pPr>
    </w:p>
    <w:p w:rsidR="002317EC" w:rsidRDefault="00893457">
      <w:pPr>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b/>
          <w:i/>
          <w:sz w:val="24"/>
          <w:szCs w:val="24"/>
        </w:rPr>
        <w:t>I. Toda la información en posesión de cualquier</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b/>
          <w:i/>
          <w:sz w:val="24"/>
          <w:szCs w:val="24"/>
        </w:rPr>
        <w:t>autoridad</w:t>
      </w:r>
      <w:r>
        <w:rPr>
          <w:rFonts w:ascii="Palatino Linotype" w:eastAsia="Palatino Linotype" w:hAnsi="Palatino Linotype" w:cs="Palatino Linotype"/>
          <w:i/>
          <w:sz w:val="24"/>
          <w:szCs w:val="24"/>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i/>
          <w:sz w:val="24"/>
          <w:szCs w:val="24"/>
        </w:rPr>
        <w:t>municipal</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b/>
          <w:i/>
          <w:sz w:val="24"/>
          <w:szCs w:val="24"/>
        </w:rPr>
        <w:t>es pública</w:t>
      </w:r>
      <w:r>
        <w:rPr>
          <w:rFonts w:ascii="Palatino Linotype" w:eastAsia="Palatino Linotype" w:hAnsi="Palatino Linotype" w:cs="Palatino Linotype"/>
          <w:i/>
          <w:sz w:val="24"/>
          <w:szCs w:val="24"/>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i/>
          <w:sz w:val="24"/>
          <w:szCs w:val="24"/>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sz w:val="24"/>
          <w:szCs w:val="24"/>
        </w:rPr>
        <w:t>, la ley determinará los supuestos específicos bajo los cuales procederá la declaración de inexistencia de la información.”</w:t>
      </w:r>
    </w:p>
    <w:p w:rsidR="002317EC" w:rsidRDefault="00893457">
      <w:pPr>
        <w:spacing w:after="0" w:line="360" w:lineRule="auto"/>
        <w:ind w:left="567" w:righ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(Énfasis añadido) </w:t>
      </w:r>
    </w:p>
    <w:p w:rsidR="002317EC" w:rsidRDefault="002317EC">
      <w:pPr>
        <w:spacing w:after="0" w:line="360" w:lineRule="auto"/>
        <w:ind w:left="567" w:right="567"/>
        <w:jc w:val="both"/>
        <w:rPr>
          <w:rFonts w:ascii="Palatino Linotype" w:eastAsia="Palatino Linotype" w:hAnsi="Palatino Linotype" w:cs="Palatino Linotype"/>
          <w:b/>
          <w:i/>
          <w:sz w:val="24"/>
          <w:szCs w:val="24"/>
        </w:rPr>
      </w:pPr>
    </w:p>
    <w:p w:rsidR="002317EC" w:rsidRDefault="002317EC">
      <w:pPr>
        <w:spacing w:after="0" w:line="360" w:lineRule="auto"/>
        <w:ind w:left="567" w:right="567"/>
        <w:jc w:val="both"/>
        <w:rPr>
          <w:rFonts w:ascii="Palatino Linotype" w:eastAsia="Palatino Linotype" w:hAnsi="Palatino Linotype" w:cs="Palatino Linotype"/>
          <w:b/>
          <w:i/>
          <w:sz w:val="24"/>
          <w:szCs w:val="24"/>
        </w:rPr>
      </w:pPr>
    </w:p>
    <w:p w:rsidR="002317EC" w:rsidRDefault="00893457">
      <w:pPr>
        <w:spacing w:after="0" w:line="360" w:lineRule="auto"/>
        <w:ind w:left="567" w:right="567"/>
        <w:jc w:val="center"/>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Constitución Política del Estado Libre y Soberano de México</w:t>
      </w:r>
    </w:p>
    <w:p w:rsidR="002317EC" w:rsidRDefault="002317EC">
      <w:pPr>
        <w:spacing w:after="0" w:line="360" w:lineRule="auto"/>
        <w:ind w:left="567" w:right="567"/>
        <w:jc w:val="both"/>
        <w:rPr>
          <w:rFonts w:ascii="Palatino Linotype" w:eastAsia="Palatino Linotype" w:hAnsi="Palatino Linotype" w:cs="Palatino Linotype"/>
          <w:b/>
          <w:i/>
          <w:sz w:val="24"/>
          <w:szCs w:val="24"/>
        </w:rPr>
      </w:pPr>
    </w:p>
    <w:p w:rsidR="002317EC" w:rsidRDefault="00893457">
      <w:pPr>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b/>
          <w:i/>
          <w:sz w:val="24"/>
          <w:szCs w:val="24"/>
        </w:rPr>
        <w:t>“Artículo 5</w:t>
      </w:r>
      <w:r>
        <w:rPr>
          <w:rFonts w:ascii="Palatino Linotype" w:eastAsia="Palatino Linotype" w:hAnsi="Palatino Linotype" w:cs="Palatino Linotype"/>
          <w:i/>
          <w:sz w:val="24"/>
          <w:szCs w:val="24"/>
        </w:rPr>
        <w:t>.- …</w:t>
      </w:r>
    </w:p>
    <w:p w:rsidR="002317EC" w:rsidRDefault="00893457">
      <w:pPr>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w:t>
      </w:r>
    </w:p>
    <w:p w:rsidR="002317EC" w:rsidRDefault="00893457">
      <w:pPr>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b/>
          <w:i/>
          <w:sz w:val="24"/>
          <w:szCs w:val="24"/>
        </w:rPr>
        <w:lastRenderedPageBreak/>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sz w:val="24"/>
          <w:szCs w:val="24"/>
        </w:rPr>
        <w:t>.</w:t>
      </w:r>
    </w:p>
    <w:p w:rsidR="002317EC" w:rsidRDefault="00893457">
      <w:pPr>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317EC" w:rsidRDefault="00893457">
      <w:pPr>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b/>
          <w:i/>
          <w:sz w:val="24"/>
          <w:szCs w:val="24"/>
        </w:rPr>
        <w:t>Este derecho se regirá por los principios y bases siguientes</w:t>
      </w:r>
      <w:r>
        <w:rPr>
          <w:rFonts w:ascii="Palatino Linotype" w:eastAsia="Palatino Linotype" w:hAnsi="Palatino Linotype" w:cs="Palatino Linotype"/>
          <w:i/>
          <w:sz w:val="24"/>
          <w:szCs w:val="24"/>
        </w:rPr>
        <w:t>:</w:t>
      </w:r>
    </w:p>
    <w:p w:rsidR="002317EC" w:rsidRDefault="00893457">
      <w:pPr>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b/>
          <w:i/>
          <w:sz w:val="24"/>
          <w:szCs w:val="24"/>
        </w:rPr>
        <w:t>I. Toda la información en posesión de cualquier autoridad, entidad, órgano y organismos de los</w:t>
      </w:r>
      <w:r>
        <w:rPr>
          <w:rFonts w:ascii="Palatino Linotype" w:eastAsia="Palatino Linotype" w:hAnsi="Palatino Linotype" w:cs="Palatino Linotype"/>
          <w:i/>
          <w:sz w:val="24"/>
          <w:szCs w:val="24"/>
        </w:rPr>
        <w:t xml:space="preserve"> Poderes Ejecutivo, Legislativo y Judicial, órganos autónomos, partidos políticos, fideicomisos y fondos públicos estatales y </w:t>
      </w:r>
      <w:r>
        <w:rPr>
          <w:rFonts w:ascii="Palatino Linotype" w:eastAsia="Palatino Linotype" w:hAnsi="Palatino Linotype" w:cs="Palatino Linotype"/>
          <w:b/>
          <w:i/>
          <w:sz w:val="24"/>
          <w:szCs w:val="24"/>
        </w:rPr>
        <w:t>municipales</w:t>
      </w:r>
      <w:r>
        <w:rPr>
          <w:rFonts w:ascii="Palatino Linotype" w:eastAsia="Palatino Linotype" w:hAnsi="Palatino Linotype" w:cs="Palatino Linotype"/>
          <w:i/>
          <w:sz w:val="24"/>
          <w:szCs w:val="24"/>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sz w:val="24"/>
          <w:szCs w:val="24"/>
        </w:rPr>
        <w:t>es pública</w:t>
      </w:r>
      <w:r>
        <w:rPr>
          <w:rFonts w:ascii="Palatino Linotype" w:eastAsia="Palatino Linotype" w:hAnsi="Palatino Linotype" w:cs="Palatino Linotype"/>
          <w:i/>
          <w:sz w:val="24"/>
          <w:szCs w:val="24"/>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sz w:val="24"/>
          <w:szCs w:val="24"/>
        </w:rPr>
        <w:t>En la interpretación de este derecho deberá prevalecer el principio de máxima publicidad</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b/>
          <w:i/>
          <w:sz w:val="24"/>
          <w:szCs w:val="24"/>
        </w:rPr>
        <w:t>Los sujetos obligados deberán documentar todo acto que derive del ejercicio de sus facultades, competencias o funciones</w:t>
      </w:r>
      <w:r>
        <w:rPr>
          <w:rFonts w:ascii="Palatino Linotype" w:eastAsia="Palatino Linotype" w:hAnsi="Palatino Linotype" w:cs="Palatino Linotype"/>
          <w:i/>
          <w:sz w:val="24"/>
          <w:szCs w:val="24"/>
        </w:rPr>
        <w:t>, la ley determinará los supuestos específicos bajo los cuales procederá la declaración de inexistencia de la información.”</w:t>
      </w:r>
    </w:p>
    <w:p w:rsidR="002317EC" w:rsidRDefault="00893457">
      <w:pPr>
        <w:spacing w:after="0" w:line="360" w:lineRule="auto"/>
        <w:ind w:left="567" w:righ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(Énfasis añadido) </w:t>
      </w:r>
    </w:p>
    <w:p w:rsidR="002317EC" w:rsidRDefault="002317EC">
      <w:pPr>
        <w:spacing w:after="0" w:line="360" w:lineRule="auto"/>
        <w:ind w:left="720"/>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2317EC" w:rsidRDefault="002317EC">
      <w:pPr>
        <w:spacing w:after="0" w:line="360" w:lineRule="auto"/>
        <w:jc w:val="both"/>
        <w:rPr>
          <w:rFonts w:ascii="Palatino Linotype" w:eastAsia="Palatino Linotype" w:hAnsi="Palatino Linotype" w:cs="Palatino Linotype"/>
          <w:sz w:val="24"/>
          <w:szCs w:val="24"/>
        </w:rPr>
      </w:pPr>
    </w:p>
    <w:p w:rsidR="002317EC" w:rsidRDefault="00893457">
      <w:pPr>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w:t>
      </w:r>
      <w:r>
        <w:rPr>
          <w:rFonts w:ascii="Palatino Linotype" w:eastAsia="Palatino Linotype" w:hAnsi="Palatino Linotype" w:cs="Palatino Linotype"/>
          <w:b/>
          <w:i/>
          <w:sz w:val="24"/>
          <w:szCs w:val="24"/>
        </w:rPr>
        <w:t>Artículo 8.</w:t>
      </w:r>
      <w:r>
        <w:rPr>
          <w:rFonts w:ascii="Palatino Linotype" w:eastAsia="Palatino Linotype" w:hAnsi="Palatino Linotype" w:cs="Palatino Linotype"/>
          <w:i/>
          <w:sz w:val="24"/>
          <w:szCs w:val="24"/>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317EC" w:rsidRDefault="002317EC">
      <w:pPr>
        <w:spacing w:after="0" w:line="360" w:lineRule="auto"/>
        <w:ind w:left="567" w:right="567"/>
        <w:jc w:val="both"/>
        <w:rPr>
          <w:rFonts w:ascii="Palatino Linotype" w:eastAsia="Palatino Linotype" w:hAnsi="Palatino Linotype" w:cs="Palatino Linotype"/>
          <w:i/>
          <w:sz w:val="24"/>
          <w:szCs w:val="24"/>
        </w:rPr>
      </w:pPr>
    </w:p>
    <w:p w:rsidR="002317EC" w:rsidRDefault="00893457">
      <w:pPr>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b/>
          <w:i/>
          <w:sz w:val="24"/>
          <w:szCs w:val="24"/>
        </w:rPr>
        <w:t>En la aplicación e interpretación de la presente Ley deberá prevalecer el principio de máxima publicidad</w:t>
      </w:r>
      <w:r>
        <w:rPr>
          <w:rFonts w:ascii="Palatino Linotype" w:eastAsia="Palatino Linotype" w:hAnsi="Palatino Linotype" w:cs="Palatino Linotype"/>
          <w:i/>
          <w:sz w:val="24"/>
          <w:szCs w:val="24"/>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317EC" w:rsidRDefault="002317EC">
      <w:pPr>
        <w:spacing w:after="0" w:line="360" w:lineRule="auto"/>
        <w:ind w:left="567" w:right="567"/>
        <w:jc w:val="both"/>
        <w:rPr>
          <w:rFonts w:ascii="Palatino Linotype" w:eastAsia="Palatino Linotype" w:hAnsi="Palatino Linotype" w:cs="Palatino Linotype"/>
          <w:i/>
          <w:sz w:val="24"/>
          <w:szCs w:val="24"/>
        </w:rPr>
      </w:pPr>
    </w:p>
    <w:p w:rsidR="002317EC" w:rsidRDefault="00893457">
      <w:pPr>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 xml:space="preserve"> Para el caso de la interpretación se podrá tomar en cuenta los criterios, determinaciones y opiniones de los organismos nacionales e internacionales, en materia de transparencia y el derecho de acceso a la información.”</w:t>
      </w:r>
    </w:p>
    <w:p w:rsidR="002317EC" w:rsidRDefault="00893457">
      <w:pPr>
        <w:spacing w:after="0" w:line="360" w:lineRule="auto"/>
        <w:ind w:left="567" w:righ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(Énfasis añadido) </w:t>
      </w:r>
    </w:p>
    <w:p w:rsidR="002317EC" w:rsidRDefault="002317EC">
      <w:pPr>
        <w:spacing w:after="0" w:line="360" w:lineRule="auto"/>
        <w:ind w:left="567" w:right="567"/>
        <w:jc w:val="both"/>
        <w:rPr>
          <w:rFonts w:ascii="Palatino Linotype" w:eastAsia="Palatino Linotype" w:hAnsi="Palatino Linotype" w:cs="Palatino Linotype"/>
          <w:i/>
          <w:sz w:val="24"/>
          <w:szCs w:val="24"/>
        </w:rPr>
      </w:pPr>
    </w:p>
    <w:p w:rsidR="002317EC" w:rsidRDefault="00893457">
      <w:pPr>
        <w:numPr>
          <w:ilvl w:val="0"/>
          <w:numId w:val="7"/>
        </w:numPr>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Por tanto, en cumplimiento a las obligaciones que la Constitución Federal , la Constitución Estatal y la Ley de la materia,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está constreñido a dar atención a las solicitudes de información que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o de vía directa, que le sean presentadas en ejercicio del derecho humano de acceso a la información pública, lo cual en el presente asunto no aconteció, pues tal y como se ha acreditado en la revisión del expediente electrónico formado en el </w:t>
      </w:r>
      <w:r>
        <w:rPr>
          <w:rFonts w:ascii="Palatino Linotype" w:eastAsia="Palatino Linotype" w:hAnsi="Palatino Linotype" w:cs="Palatino Linotype"/>
          <w:b/>
          <w:sz w:val="24"/>
          <w:szCs w:val="24"/>
        </w:rPr>
        <w:t>SAIME</w:t>
      </w:r>
      <w:r>
        <w:rPr>
          <w:rFonts w:ascii="Palatino Linotype" w:eastAsia="Palatino Linotype" w:hAnsi="Palatino Linotype" w:cs="Palatino Linotype"/>
          <w:sz w:val="24"/>
          <w:szCs w:val="24"/>
        </w:rPr>
        <w:t xml:space="preserve">X,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fue omiso en dar respuesta a la solicitud. Prueba de ello, es la captura de pantalla que se incorpora:</w:t>
      </w:r>
    </w:p>
    <w:p w:rsidR="002317EC" w:rsidRDefault="002317EC">
      <w:pPr>
        <w:spacing w:after="0" w:line="360" w:lineRule="auto"/>
        <w:rPr>
          <w:rFonts w:ascii="Palatino Linotype" w:eastAsia="Palatino Linotype" w:hAnsi="Palatino Linotype" w:cs="Palatino Linotype"/>
          <w:sz w:val="24"/>
          <w:szCs w:val="24"/>
        </w:rPr>
      </w:pPr>
    </w:p>
    <w:p w:rsidR="002317EC" w:rsidRDefault="00893457">
      <w:pPr>
        <w:spacing w:after="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val="es-MX"/>
        </w:rPr>
        <w:drawing>
          <wp:inline distT="0" distB="0" distL="0" distR="0">
            <wp:extent cx="4614526" cy="1543996"/>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614526" cy="1543996"/>
                    </a:xfrm>
                    <a:prstGeom prst="rect">
                      <a:avLst/>
                    </a:prstGeom>
                    <a:ln/>
                  </pic:spPr>
                </pic:pic>
              </a:graphicData>
            </a:graphic>
          </wp:inline>
        </w:drawing>
      </w:r>
    </w:p>
    <w:p w:rsidR="002317EC" w:rsidRDefault="002317EC">
      <w:pPr>
        <w:spacing w:after="0" w:line="360" w:lineRule="auto"/>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Como fuera señalado en el apartado de </w:t>
      </w:r>
      <w:r>
        <w:rPr>
          <w:rFonts w:ascii="Palatino Linotype" w:eastAsia="Palatino Linotype" w:hAnsi="Palatino Linotype" w:cs="Palatino Linotype"/>
          <w:i/>
          <w:color w:val="000000"/>
          <w:sz w:val="24"/>
          <w:szCs w:val="24"/>
        </w:rPr>
        <w:t>Antecedentes</w:t>
      </w:r>
      <w:r>
        <w:rPr>
          <w:rFonts w:ascii="Palatino Linotype" w:eastAsia="Palatino Linotype" w:hAnsi="Palatino Linotype" w:cs="Palatino Linotype"/>
          <w:color w:val="000000"/>
          <w:sz w:val="24"/>
          <w:szCs w:val="24"/>
        </w:rPr>
        <w:t xml:space="preserve">, el </w:t>
      </w:r>
      <w:r>
        <w:rPr>
          <w:rFonts w:ascii="Palatino Linotype" w:eastAsia="Palatino Linotype" w:hAnsi="Palatino Linotype" w:cs="Palatino Linotype"/>
          <w:b/>
          <w:color w:val="000000"/>
          <w:sz w:val="24"/>
          <w:szCs w:val="24"/>
        </w:rPr>
        <w:t>treinta y uno (31) de enero</w:t>
      </w:r>
      <w:r>
        <w:rPr>
          <w:rFonts w:ascii="Palatino Linotype" w:eastAsia="Palatino Linotype" w:hAnsi="Palatino Linotype" w:cs="Palatino Linotype"/>
          <w:color w:val="000000"/>
          <w:sz w:val="24"/>
          <w:szCs w:val="24"/>
        </w:rPr>
        <w:t xml:space="preserve"> de dos mil veintidós, el particular promovió, vía Plataforma Nacional</w:t>
      </w:r>
      <w:r>
        <w:rPr>
          <w:rFonts w:ascii="Palatino Linotype" w:eastAsia="Palatino Linotype" w:hAnsi="Palatino Linotype" w:cs="Palatino Linotype"/>
          <w:b/>
          <w:i/>
          <w:color w:val="000000"/>
          <w:sz w:val="24"/>
          <w:szCs w:val="24"/>
        </w:rPr>
        <w:t>,</w:t>
      </w:r>
      <w:r>
        <w:rPr>
          <w:rFonts w:ascii="Palatino Linotype" w:eastAsia="Palatino Linotype" w:hAnsi="Palatino Linotype" w:cs="Palatino Linotype"/>
          <w:color w:val="000000"/>
          <w:sz w:val="24"/>
          <w:szCs w:val="24"/>
        </w:rPr>
        <w:t xml:space="preserve"> ante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la solicitud de información</w:t>
      </w:r>
      <w:r>
        <w:rPr>
          <w:rFonts w:ascii="Palatino Linotype" w:eastAsia="Palatino Linotype" w:hAnsi="Palatino Linotype" w:cs="Palatino Linotype"/>
          <w:b/>
          <w:color w:val="000000"/>
          <w:sz w:val="24"/>
          <w:szCs w:val="24"/>
        </w:rPr>
        <w:t xml:space="preserve"> 00071/ATIZAPAN/IP/2022</w:t>
      </w:r>
      <w:r>
        <w:rPr>
          <w:rFonts w:ascii="Palatino Linotype" w:eastAsia="Palatino Linotype" w:hAnsi="Palatino Linotype" w:cs="Palatino Linotype"/>
          <w:color w:val="000000"/>
          <w:sz w:val="24"/>
          <w:szCs w:val="24"/>
        </w:rPr>
        <w:t>, mediante la que solicitó obtener:</w:t>
      </w:r>
    </w:p>
    <w:p w:rsidR="002317EC" w:rsidRDefault="00893457">
      <w:pPr>
        <w:tabs>
          <w:tab w:val="left" w:pos="426"/>
        </w:tabs>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w:t>
      </w:r>
      <w:r>
        <w:rPr>
          <w:rFonts w:ascii="Palatino Linotype" w:eastAsia="Palatino Linotype" w:hAnsi="Palatino Linotype" w:cs="Palatino Linotype"/>
          <w:i/>
          <w:color w:val="000000"/>
          <w:sz w:val="24"/>
          <w:szCs w:val="24"/>
        </w:rPr>
        <w:lastRenderedPageBreak/>
        <w:t xml:space="preserve">CIEC tratándose del ISR salarios y asimilados y/o asalariados. Se solicita 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w:t>
      </w:r>
      <w:r>
        <w:rPr>
          <w:rFonts w:ascii="Palatino Linotype" w:eastAsia="Palatino Linotype" w:hAnsi="Palatino Linotype" w:cs="Palatino Linotype"/>
          <w:i/>
          <w:color w:val="000000"/>
          <w:sz w:val="24"/>
          <w:szCs w:val="24"/>
        </w:rPr>
        <w:lastRenderedPageBreak/>
        <w:t>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trabajado.”(Sic).</w:t>
      </w:r>
    </w:p>
    <w:p w:rsidR="002317EC" w:rsidRDefault="002317EC">
      <w:pPr>
        <w:tabs>
          <w:tab w:val="left" w:pos="426"/>
        </w:tabs>
        <w:spacing w:after="0" w:line="360" w:lineRule="auto"/>
        <w:ind w:left="567" w:right="567"/>
        <w:jc w:val="both"/>
        <w:rPr>
          <w:rFonts w:ascii="Palatino Linotype" w:eastAsia="Palatino Linotype" w:hAnsi="Palatino Linotype" w:cs="Palatino Linotype"/>
          <w:i/>
          <w:color w:val="000000"/>
          <w:sz w:val="24"/>
          <w:szCs w:val="24"/>
        </w:rPr>
      </w:pPr>
    </w:p>
    <w:p w:rsidR="002317EC" w:rsidRDefault="00893457">
      <w:pPr>
        <w:numPr>
          <w:ilvl w:val="0"/>
          <w:numId w:val="7"/>
        </w:numPr>
        <w:tabs>
          <w:tab w:val="left" w:pos="426"/>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su parte, y como ha sido reiterado a lo largo de la presente resolución,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no dio respuesta a la solicitud de información; esto es, </w:t>
      </w:r>
      <w:r>
        <w:rPr>
          <w:rFonts w:ascii="Palatino Linotype" w:eastAsia="Palatino Linotype" w:hAnsi="Palatino Linotype" w:cs="Palatino Linotype"/>
          <w:color w:val="000000"/>
          <w:sz w:val="24"/>
          <w:szCs w:val="24"/>
          <w:u w:val="single"/>
        </w:rPr>
        <w:t xml:space="preserve">no atendió los requerimientos vertidos en la solicitud de información </w:t>
      </w:r>
      <w:r>
        <w:rPr>
          <w:rFonts w:ascii="Palatino Linotype" w:eastAsia="Palatino Linotype" w:hAnsi="Palatino Linotype" w:cs="Palatino Linotype"/>
          <w:b/>
          <w:color w:val="000000"/>
          <w:sz w:val="24"/>
          <w:szCs w:val="24"/>
          <w:u w:val="single"/>
        </w:rPr>
        <w:t>00071/ATIZAPAN/IP/2022.</w:t>
      </w:r>
    </w:p>
    <w:p w:rsidR="002317EC" w:rsidRDefault="002317EC">
      <w:pPr>
        <w:tabs>
          <w:tab w:val="left" w:pos="426"/>
        </w:tabs>
        <w:spacing w:after="0" w:line="360" w:lineRule="auto"/>
        <w:ind w:right="49"/>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En ese sentido, conviene señalar que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2317EC" w:rsidRDefault="002317EC">
      <w:pPr>
        <w:tabs>
          <w:tab w:val="left" w:pos="426"/>
        </w:tabs>
        <w:spacing w:after="0" w:line="360" w:lineRule="auto"/>
        <w:ind w:right="49"/>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Así las cosas,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317EC" w:rsidRDefault="002317EC">
      <w:pPr>
        <w:spacing w:after="0" w:line="360" w:lineRule="auto"/>
        <w:rPr>
          <w:rFonts w:ascii="Palatino Linotype" w:eastAsia="Palatino Linotype" w:hAnsi="Palatino Linotype" w:cs="Palatino Linotype"/>
          <w:color w:val="000000"/>
          <w:sz w:val="24"/>
          <w:szCs w:val="24"/>
        </w:rPr>
      </w:pPr>
    </w:p>
    <w:p w:rsidR="002317EC" w:rsidRDefault="00893457">
      <w:pPr>
        <w:spacing w:after="0" w:line="360" w:lineRule="auto"/>
        <w:ind w:left="567" w:right="616"/>
        <w:jc w:val="both"/>
        <w:rPr>
          <w:rFonts w:ascii="Palatino Linotype" w:eastAsia="Palatino Linotype" w:hAnsi="Palatino Linotype" w:cs="Palatino Linotype"/>
          <w:i/>
          <w:sz w:val="24"/>
          <w:szCs w:val="24"/>
        </w:rPr>
      </w:pPr>
      <w:r>
        <w:rPr>
          <w:rFonts w:ascii="Palatino Linotype" w:eastAsia="Palatino Linotype" w:hAnsi="Palatino Linotype" w:cs="Palatino Linotype"/>
          <w:b/>
          <w:i/>
          <w:sz w:val="24"/>
          <w:szCs w:val="24"/>
        </w:rPr>
        <w:t>“Artículo 53.</w:t>
      </w:r>
      <w:r>
        <w:rPr>
          <w:rFonts w:ascii="Palatino Linotype" w:eastAsia="Palatino Linotype" w:hAnsi="Palatino Linotype" w:cs="Palatino Linotype"/>
          <w:i/>
          <w:sz w:val="24"/>
          <w:szCs w:val="24"/>
        </w:rPr>
        <w:t xml:space="preserve"> Las Unidades de Transparencia tendrán las siguientes funciones:</w:t>
      </w:r>
    </w:p>
    <w:p w:rsidR="002317EC" w:rsidRDefault="00893457">
      <w:pPr>
        <w:spacing w:after="0" w:line="360" w:lineRule="auto"/>
        <w:ind w:left="567" w:right="616"/>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w:t>
      </w:r>
    </w:p>
    <w:p w:rsidR="002317EC" w:rsidRDefault="00893457">
      <w:pPr>
        <w:spacing w:after="0" w:line="360" w:lineRule="auto"/>
        <w:ind w:left="567" w:right="616"/>
        <w:jc w:val="both"/>
        <w:rPr>
          <w:rFonts w:ascii="Palatino Linotype" w:eastAsia="Palatino Linotype" w:hAnsi="Palatino Linotype" w:cs="Palatino Linotype"/>
          <w:i/>
          <w:sz w:val="24"/>
          <w:szCs w:val="24"/>
        </w:rPr>
      </w:pPr>
      <w:r>
        <w:rPr>
          <w:rFonts w:ascii="Palatino Linotype" w:eastAsia="Palatino Linotype" w:hAnsi="Palatino Linotype" w:cs="Palatino Linotype"/>
          <w:b/>
          <w:i/>
          <w:sz w:val="24"/>
          <w:szCs w:val="24"/>
        </w:rPr>
        <w:t>II. Recibir, tramitar y</w:t>
      </w:r>
      <w:r>
        <w:rPr>
          <w:rFonts w:ascii="Palatino Linotype" w:eastAsia="Palatino Linotype" w:hAnsi="Palatino Linotype" w:cs="Palatino Linotype"/>
          <w:b/>
          <w:i/>
          <w:sz w:val="24"/>
          <w:szCs w:val="24"/>
          <w:u w:val="single"/>
        </w:rPr>
        <w:t xml:space="preserve"> dar respuesta a las solicitudes de acceso a la información</w:t>
      </w:r>
      <w:r>
        <w:rPr>
          <w:rFonts w:ascii="Palatino Linotype" w:eastAsia="Palatino Linotype" w:hAnsi="Palatino Linotype" w:cs="Palatino Linotype"/>
          <w:i/>
          <w:sz w:val="24"/>
          <w:szCs w:val="24"/>
        </w:rPr>
        <w:t>;</w:t>
      </w:r>
    </w:p>
    <w:p w:rsidR="002317EC" w:rsidRDefault="00893457">
      <w:pPr>
        <w:spacing w:after="0" w:line="360" w:lineRule="auto"/>
        <w:ind w:left="567" w:right="616"/>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w:t>
      </w:r>
    </w:p>
    <w:p w:rsidR="002317EC" w:rsidRDefault="00893457">
      <w:pPr>
        <w:spacing w:after="0" w:line="360" w:lineRule="auto"/>
        <w:ind w:left="567" w:right="616"/>
        <w:jc w:val="both"/>
        <w:rPr>
          <w:rFonts w:ascii="Palatino Linotype" w:eastAsia="Palatino Linotype" w:hAnsi="Palatino Linotype" w:cs="Palatino Linotype"/>
          <w:i/>
          <w:sz w:val="24"/>
          <w:szCs w:val="24"/>
        </w:rPr>
      </w:pPr>
      <w:r>
        <w:rPr>
          <w:rFonts w:ascii="Palatino Linotype" w:eastAsia="Palatino Linotype" w:hAnsi="Palatino Linotype" w:cs="Palatino Linotype"/>
          <w:b/>
          <w:i/>
          <w:sz w:val="24"/>
          <w:szCs w:val="24"/>
        </w:rPr>
        <w:t>IV.</w:t>
      </w:r>
      <w:r>
        <w:rPr>
          <w:rFonts w:ascii="Palatino Linotype" w:eastAsia="Palatino Linotype" w:hAnsi="Palatino Linotype" w:cs="Palatino Linotype"/>
          <w:i/>
          <w:sz w:val="24"/>
          <w:szCs w:val="24"/>
        </w:rPr>
        <w:t xml:space="preserve"> Realizar, con efectividad, los trámites internos necesarios para la atención de las solicitudes de acceso a la información;</w:t>
      </w:r>
    </w:p>
    <w:p w:rsidR="002317EC" w:rsidRDefault="00893457">
      <w:pPr>
        <w:spacing w:after="0" w:line="360" w:lineRule="auto"/>
        <w:ind w:left="567" w:right="616"/>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w:t>
      </w:r>
    </w:p>
    <w:p w:rsidR="002317EC" w:rsidRDefault="00893457">
      <w:pPr>
        <w:spacing w:after="0" w:line="360" w:lineRule="auto"/>
        <w:ind w:left="567" w:right="616"/>
        <w:jc w:val="both"/>
        <w:rPr>
          <w:rFonts w:ascii="Palatino Linotype" w:eastAsia="Palatino Linotype" w:hAnsi="Palatino Linotype" w:cs="Palatino Linotype"/>
          <w:i/>
          <w:sz w:val="24"/>
          <w:szCs w:val="24"/>
        </w:rPr>
      </w:pPr>
      <w:r>
        <w:rPr>
          <w:rFonts w:ascii="Palatino Linotype" w:eastAsia="Palatino Linotype" w:hAnsi="Palatino Linotype" w:cs="Palatino Linotype"/>
          <w:b/>
          <w:i/>
          <w:sz w:val="24"/>
          <w:szCs w:val="24"/>
        </w:rPr>
        <w:t>XII.</w:t>
      </w:r>
      <w:r>
        <w:rPr>
          <w:rFonts w:ascii="Palatino Linotype" w:eastAsia="Palatino Linotype" w:hAnsi="Palatino Linotype" w:cs="Palatino Linotype"/>
          <w:i/>
          <w:sz w:val="24"/>
          <w:szCs w:val="24"/>
        </w:rPr>
        <w:t xml:space="preserve"> Fomentar la transparencia y accesibilidad al interior del sujeto obligado;”</w:t>
      </w:r>
    </w:p>
    <w:p w:rsidR="002317EC" w:rsidRDefault="00893457">
      <w:pPr>
        <w:spacing w:after="0" w:line="360" w:lineRule="auto"/>
        <w:ind w:left="567" w:right="616"/>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(Énfasis añadido)</w:t>
      </w:r>
    </w:p>
    <w:p w:rsidR="002317EC" w:rsidRDefault="002317EC">
      <w:pPr>
        <w:spacing w:after="0" w:line="360" w:lineRule="auto"/>
        <w:ind w:right="49"/>
        <w:jc w:val="both"/>
        <w:rPr>
          <w:rFonts w:ascii="Palatino Linotype" w:eastAsia="Palatino Linotype" w:hAnsi="Palatino Linotype" w:cs="Palatino Linotype"/>
          <w:color w:val="000000"/>
          <w:sz w:val="24"/>
          <w:szCs w:val="24"/>
        </w:rPr>
      </w:pPr>
    </w:p>
    <w:p w:rsidR="002317EC" w:rsidRDefault="00893457">
      <w:pPr>
        <w:numPr>
          <w:ilvl w:val="0"/>
          <w:numId w:val="7"/>
        </w:numPr>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lastRenderedPageBreak/>
        <w:t xml:space="preserve">No sobra decir que al actuar de esta forma,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incumple con el primer mandato contenido en el párrafo tercero del artículo primero de la Constitución Política de los Estados Unidos Mexicanos que establece el deber de todas las autoridades, </w:t>
      </w:r>
      <w:r>
        <w:rPr>
          <w:rFonts w:ascii="Palatino Linotype" w:eastAsia="Palatino Linotype" w:hAnsi="Palatino Linotype" w:cs="Palatino Linotype"/>
          <w:i/>
          <w:sz w:val="24"/>
          <w:szCs w:val="24"/>
        </w:rPr>
        <w:t xml:space="preserve">en el ámbito de sus atribuciones, </w:t>
      </w:r>
      <w:r>
        <w:rPr>
          <w:rFonts w:ascii="Palatino Linotype" w:eastAsia="Palatino Linotype" w:hAnsi="Palatino Linotype" w:cs="Palatino Linotype"/>
          <w:b/>
          <w:i/>
          <w:sz w:val="24"/>
          <w:szCs w:val="24"/>
        </w:rPr>
        <w:t>de promover</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b/>
          <w:i/>
          <w:sz w:val="24"/>
          <w:szCs w:val="24"/>
        </w:rPr>
        <w:t>respetar, proteger y</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b/>
          <w:i/>
          <w:sz w:val="24"/>
          <w:szCs w:val="24"/>
        </w:rPr>
        <w:t>garantizar</w:t>
      </w:r>
      <w:r>
        <w:rPr>
          <w:rFonts w:ascii="Palatino Linotype" w:eastAsia="Palatino Linotype" w:hAnsi="Palatino Linotype" w:cs="Palatino Linotype"/>
          <w:i/>
          <w:sz w:val="24"/>
          <w:szCs w:val="24"/>
        </w:rPr>
        <w:t xml:space="preserve"> los derechos humanos. </w:t>
      </w:r>
      <w:r>
        <w:rPr>
          <w:rFonts w:ascii="Palatino Linotype" w:eastAsia="Palatino Linotype" w:hAnsi="Palatino Linotype" w:cs="Palatino Linotype"/>
          <w:sz w:val="24"/>
          <w:szCs w:val="24"/>
        </w:rPr>
        <w:t xml:space="preserve">Por ello, debe considerarse que según lo dispuesto por el artículo 150 de la Ley de Transparencia y Acceso a la Información Pública del Estado de México y Municipios, el </w:t>
      </w:r>
      <w:r>
        <w:rPr>
          <w:rFonts w:ascii="Palatino Linotype" w:eastAsia="Palatino Linotype" w:hAnsi="Palatino Linotype" w:cs="Palatino Linotype"/>
          <w:i/>
          <w:sz w:val="24"/>
          <w:szCs w:val="24"/>
        </w:rPr>
        <w:t xml:space="preserve">procedimiento de acceso a </w:t>
      </w:r>
      <w:r>
        <w:rPr>
          <w:rFonts w:ascii="Palatino Linotype" w:eastAsia="Palatino Linotype" w:hAnsi="Palatino Linotype" w:cs="Palatino Linotype"/>
          <w:b/>
          <w:i/>
          <w:sz w:val="24"/>
          <w:szCs w:val="24"/>
        </w:rPr>
        <w:t>la información es la garantía</w:t>
      </w:r>
      <w:r>
        <w:rPr>
          <w:rFonts w:ascii="Palatino Linotype" w:eastAsia="Palatino Linotype" w:hAnsi="Palatino Linotype" w:cs="Palatino Linotype"/>
          <w:i/>
          <w:sz w:val="24"/>
          <w:szCs w:val="24"/>
        </w:rPr>
        <w:t xml:space="preserve"> primaria del derecho en cuestión.</w:t>
      </w:r>
      <w:r>
        <w:rPr>
          <w:rFonts w:ascii="Palatino Linotype" w:eastAsia="Palatino Linotype" w:hAnsi="Palatino Linotype" w:cs="Palatino Linotype"/>
          <w:sz w:val="24"/>
          <w:szCs w:val="24"/>
        </w:rPr>
        <w:t xml:space="preserve"> Por lo tanto, la falta de respuesta a una solicitud de acceso a la información constituye un incumplimiento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su deber de garantizar el derecho, lo que constituye una vulneración al mismo y resulta, totalmente aplicable, el último mandato del mismo párrafo del artículo constitucional antes citado que establece la obligación del Estado Mexicano, de </w:t>
      </w:r>
      <w:r>
        <w:rPr>
          <w:rFonts w:ascii="Palatino Linotype" w:eastAsia="Palatino Linotype" w:hAnsi="Palatino Linotype" w:cs="Palatino Linotype"/>
          <w:i/>
          <w:sz w:val="24"/>
          <w:szCs w:val="24"/>
        </w:rPr>
        <w:t>investigar, sancionar y reparar las violaciones a los derechos humanos.</w:t>
      </w:r>
      <w:r>
        <w:rPr>
          <w:rFonts w:ascii="Palatino Linotype" w:eastAsia="Palatino Linotype" w:hAnsi="Palatino Linotype" w:cs="Palatino Linotype"/>
          <w:sz w:val="24"/>
          <w:szCs w:val="24"/>
        </w:rPr>
        <w:t xml:space="preserve"> </w:t>
      </w:r>
    </w:p>
    <w:p w:rsidR="002317EC" w:rsidRDefault="002317EC">
      <w:pPr>
        <w:spacing w:after="0" w:line="360" w:lineRule="auto"/>
        <w:rPr>
          <w:rFonts w:ascii="Palatino Linotype" w:eastAsia="Palatino Linotype" w:hAnsi="Palatino Linotype" w:cs="Palatino Linotype"/>
          <w:sz w:val="24"/>
          <w:szCs w:val="24"/>
        </w:rPr>
      </w:pPr>
    </w:p>
    <w:p w:rsidR="002317EC" w:rsidRDefault="00893457">
      <w:pPr>
        <w:numPr>
          <w:ilvl w:val="0"/>
          <w:numId w:val="7"/>
        </w:numPr>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cumple con su alto deber de repararlo ordenando; en consecuencia,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responda a la solicitud de acceso a la información pública. </w:t>
      </w:r>
    </w:p>
    <w:p w:rsidR="002317EC" w:rsidRDefault="002317EC">
      <w:pPr>
        <w:spacing w:after="0" w:line="360" w:lineRule="auto"/>
        <w:ind w:right="49"/>
        <w:jc w:val="both"/>
        <w:rPr>
          <w:rFonts w:ascii="Palatino Linotype" w:eastAsia="Palatino Linotype" w:hAnsi="Palatino Linotype" w:cs="Palatino Linotype"/>
          <w:color w:val="000000"/>
          <w:sz w:val="24"/>
          <w:szCs w:val="24"/>
        </w:rPr>
      </w:pPr>
    </w:p>
    <w:p w:rsidR="002317EC" w:rsidRDefault="00893457">
      <w:pPr>
        <w:keepNext/>
        <w:keepLines/>
        <w:spacing w:line="360" w:lineRule="auto"/>
        <w:rPr>
          <w:rFonts w:ascii="Palatino Linotype" w:eastAsia="Palatino Linotype" w:hAnsi="Palatino Linotype" w:cs="Palatino Linotype"/>
          <w:b/>
          <w:sz w:val="24"/>
          <w:szCs w:val="24"/>
        </w:rPr>
      </w:pPr>
      <w:bookmarkStart w:id="12" w:name="_heading=h.26in1rg" w:colFirst="0" w:colLast="0"/>
      <w:bookmarkEnd w:id="12"/>
      <w:r>
        <w:rPr>
          <w:rFonts w:ascii="Palatino Linotype" w:eastAsia="Palatino Linotype" w:hAnsi="Palatino Linotype" w:cs="Palatino Linotype"/>
          <w:b/>
          <w:sz w:val="24"/>
          <w:szCs w:val="24"/>
        </w:rPr>
        <w:lastRenderedPageBreak/>
        <w:t>II. Sobre la respuesta que se emita a la solicitud.</w:t>
      </w:r>
    </w:p>
    <w:p w:rsidR="002317EC" w:rsidRDefault="002317EC">
      <w:pPr>
        <w:spacing w:after="0" w:line="360" w:lineRule="auto"/>
        <w:ind w:right="49"/>
        <w:jc w:val="both"/>
        <w:rPr>
          <w:rFonts w:ascii="Palatino Linotype" w:eastAsia="Palatino Linotype" w:hAnsi="Palatino Linotype" w:cs="Palatino Linotype"/>
          <w:b/>
          <w:color w:val="000000"/>
          <w:sz w:val="24"/>
          <w:szCs w:val="24"/>
        </w:rPr>
      </w:pPr>
    </w:p>
    <w:p w:rsidR="002317EC" w:rsidRDefault="00893457">
      <w:pPr>
        <w:numPr>
          <w:ilvl w:val="0"/>
          <w:numId w:val="7"/>
        </w:numPr>
        <w:tabs>
          <w:tab w:val="left" w:pos="426"/>
        </w:tabs>
        <w:spacing w:after="0" w:line="360" w:lineRule="auto"/>
        <w:ind w:left="0" w:right="49" w:firstLine="0"/>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 xml:space="preserve">En cumplimiento a esta resolución,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deberá dar atención </w:t>
      </w:r>
      <w:r>
        <w:rPr>
          <w:rFonts w:ascii="Palatino Linotype" w:eastAsia="Palatino Linotype" w:hAnsi="Palatino Linotype" w:cs="Palatino Linotype"/>
          <w:sz w:val="24"/>
          <w:szCs w:val="24"/>
        </w:rPr>
        <w:t>a la solicitud de información, sin que sea materia de este recurso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analizar 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Ley de la materia.</w:t>
      </w:r>
    </w:p>
    <w:p w:rsidR="002317EC" w:rsidRDefault="002317EC">
      <w:pPr>
        <w:tabs>
          <w:tab w:val="left" w:pos="426"/>
        </w:tabs>
        <w:spacing w:after="0" w:line="360" w:lineRule="auto"/>
        <w:ind w:right="49"/>
        <w:jc w:val="both"/>
        <w:rPr>
          <w:rFonts w:ascii="Palatino Linotype" w:eastAsia="Palatino Linotype" w:hAnsi="Palatino Linotype" w:cs="Palatino Linotype"/>
          <w:b/>
          <w:color w:val="000000"/>
          <w:sz w:val="24"/>
          <w:szCs w:val="24"/>
        </w:rPr>
      </w:pPr>
    </w:p>
    <w:p w:rsidR="002317EC" w:rsidRDefault="00893457">
      <w:pPr>
        <w:numPr>
          <w:ilvl w:val="0"/>
          <w:numId w:val="7"/>
        </w:numPr>
        <w:tabs>
          <w:tab w:val="left" w:pos="426"/>
        </w:tabs>
        <w:spacing w:after="0" w:line="360" w:lineRule="auto"/>
        <w:ind w:left="0" w:right="49" w:firstLine="0"/>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sz w:val="24"/>
          <w:szCs w:val="24"/>
        </w:rPr>
        <w:t xml:space="preserve">En este caso,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deberá de sustanciar todo el procedimiento de acceso a la información pública verificando si la información que le ha sido requerida corresponde al ejercicio de sus facultades, competencias o funciones.</w:t>
      </w:r>
    </w:p>
    <w:p w:rsidR="002317EC" w:rsidRDefault="002317EC">
      <w:pPr>
        <w:tabs>
          <w:tab w:val="left" w:pos="426"/>
        </w:tabs>
        <w:spacing w:after="0" w:line="360" w:lineRule="auto"/>
        <w:ind w:right="49"/>
        <w:jc w:val="both"/>
        <w:rPr>
          <w:rFonts w:ascii="Palatino Linotype" w:eastAsia="Palatino Linotype" w:hAnsi="Palatino Linotype" w:cs="Palatino Linotype"/>
          <w:b/>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 dentro de las facultades, atribuciones y competencias no se encuentra  la de poseer la información requerida, deberá hacerlo del conocimiento del particular  de forma clara y precisa, fundado y motivando su actuación y en su caso orientar al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sobre el o los Sujetos Obligados 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rsidR="002317EC" w:rsidRDefault="002317EC">
      <w:pPr>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Es importante también señalar que la respuesta que dará en cumplimiento a la presente resolución </w:t>
      </w:r>
      <w:r>
        <w:rPr>
          <w:rFonts w:ascii="Palatino Linotype" w:eastAsia="Palatino Linotype" w:hAnsi="Palatino Linotype" w:cs="Palatino Linotype"/>
          <w:b/>
          <w:color w:val="000000"/>
          <w:sz w:val="24"/>
          <w:szCs w:val="24"/>
        </w:rPr>
        <w:t>deberá ajustarse a lo dispuesto a los criterios y precedentes que este Órgano Garante ha resuelto y aprobado,</w:t>
      </w:r>
      <w:r>
        <w:rPr>
          <w:rFonts w:ascii="Palatino Linotype" w:eastAsia="Palatino Linotype" w:hAnsi="Palatino Linotype" w:cs="Palatino Linotype"/>
          <w:color w:val="000000"/>
          <w:sz w:val="24"/>
          <w:szCs w:val="24"/>
        </w:rPr>
        <w:t xml:space="preserve"> por lo que constituye una alta responsabilidad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proporcionar la información que </w:t>
      </w:r>
      <w:r>
        <w:rPr>
          <w:rFonts w:ascii="Palatino Linotype" w:eastAsia="Palatino Linotype" w:hAnsi="Palatino Linotype" w:cs="Palatino Linotype"/>
          <w:color w:val="000000"/>
          <w:sz w:val="24"/>
          <w:szCs w:val="24"/>
        </w:rPr>
        <w:lastRenderedPageBreak/>
        <w:t xml:space="preserve">atienda la presente, ajustándose a la normatividad establecida y a los distintos asuntos de los cuales este Órgano Colegiado ha conocido. </w:t>
      </w:r>
    </w:p>
    <w:p w:rsidR="002317EC" w:rsidRDefault="002317EC">
      <w:pPr>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lo que tratándose del tema o temas que se requieran en la solicitud,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deberá en todo momento ajustarse además de la normatividad aplicable a los asuntos, a las resoluciones aprobadas.</w:t>
      </w:r>
    </w:p>
    <w:p w:rsidR="002317EC" w:rsidRDefault="002317EC">
      <w:pPr>
        <w:tabs>
          <w:tab w:val="left" w:pos="426"/>
        </w:tabs>
        <w:spacing w:after="0" w:line="360" w:lineRule="auto"/>
        <w:ind w:right="49"/>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consecuencia, para responder a la solicitud de acceso a la información en cuestión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deberá de verificar si ésta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áreas competentes que cuenten o deban tener la información, con objeto de que realicen una búsqueda exhaustiva y razonable de la información solicitada.</w:t>
      </w: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No obstante, también debe considerarse que aun cuando la información requerida corresponda a alguna función, facultad o competencia del </w:t>
      </w:r>
      <w:r>
        <w:rPr>
          <w:rFonts w:ascii="Palatino Linotype" w:eastAsia="Palatino Linotype" w:hAnsi="Palatino Linotype" w:cs="Palatino Linotype"/>
          <w:b/>
          <w:color w:val="000000"/>
          <w:sz w:val="24"/>
          <w:szCs w:val="24"/>
        </w:rPr>
        <w:t xml:space="preserve">SUJETO </w:t>
      </w:r>
      <w:r>
        <w:rPr>
          <w:rFonts w:ascii="Palatino Linotype" w:eastAsia="Palatino Linotype" w:hAnsi="Palatino Linotype" w:cs="Palatino Linotype"/>
          <w:b/>
          <w:color w:val="000000"/>
          <w:sz w:val="24"/>
          <w:szCs w:val="24"/>
        </w:rPr>
        <w:lastRenderedPageBreak/>
        <w:t>OBLIGADO</w:t>
      </w:r>
      <w:r>
        <w:rPr>
          <w:rFonts w:ascii="Palatino Linotype" w:eastAsia="Palatino Linotype" w:hAnsi="Palatino Linotype" w:cs="Palatino Linotype"/>
          <w:sz w:val="24"/>
          <w:szCs w:val="24"/>
        </w:rPr>
        <w:t>, es posible que ésta no se localice, bien porque no se haya generado o porque no se encuentre disponible en el momento de su búsqueda.</w:t>
      </w: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2317EC" w:rsidRDefault="002317EC">
      <w:pPr>
        <w:spacing w:after="0" w:line="360" w:lineRule="auto"/>
        <w:jc w:val="both"/>
        <w:rPr>
          <w:rFonts w:ascii="Palatino Linotype" w:eastAsia="Palatino Linotype" w:hAnsi="Palatino Linotype" w:cs="Palatino Linotype"/>
          <w:sz w:val="24"/>
          <w:szCs w:val="24"/>
        </w:rPr>
      </w:pPr>
    </w:p>
    <w:p w:rsidR="002317EC" w:rsidRDefault="00893457">
      <w:pPr>
        <w:tabs>
          <w:tab w:val="left" w:pos="8080"/>
        </w:tabs>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w:t>
      </w:r>
      <w:r>
        <w:rPr>
          <w:rFonts w:ascii="Palatino Linotype" w:eastAsia="Palatino Linotype" w:hAnsi="Palatino Linotype" w:cs="Palatino Linotype"/>
          <w:b/>
          <w:i/>
          <w:sz w:val="24"/>
          <w:szCs w:val="24"/>
        </w:rPr>
        <w:t>Artículo 19.</w:t>
      </w:r>
      <w:r>
        <w:rPr>
          <w:rFonts w:ascii="Palatino Linotype" w:eastAsia="Palatino Linotype" w:hAnsi="Palatino Linotype" w:cs="Palatino Linotype"/>
          <w:i/>
          <w:sz w:val="24"/>
          <w:szCs w:val="24"/>
        </w:rPr>
        <w:t xml:space="preserve"> Se presume que la información debe existir si se refiere a las facultades, competencias y funciones que los ordenamientos jurídicos aplicables otorgan a los sujetos obligados.</w:t>
      </w:r>
    </w:p>
    <w:p w:rsidR="002317EC" w:rsidRDefault="00893457">
      <w:pPr>
        <w:tabs>
          <w:tab w:val="left" w:pos="8080"/>
        </w:tabs>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 xml:space="preserve"> En los casos en que ciertas facultades, competencias o funciones no se hayan ejercido, se debe motivar la respuesta en función de las causas que motiven tal circunstancia. </w:t>
      </w:r>
    </w:p>
    <w:p w:rsidR="002317EC" w:rsidRDefault="00893457">
      <w:pPr>
        <w:tabs>
          <w:tab w:val="left" w:pos="8080"/>
        </w:tabs>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317EC" w:rsidRDefault="002317EC">
      <w:pPr>
        <w:spacing w:after="0" w:line="360" w:lineRule="auto"/>
        <w:jc w:val="both"/>
        <w:rPr>
          <w:rFonts w:ascii="Palatino Linotype" w:eastAsia="Palatino Linotype" w:hAnsi="Palatino Linotype" w:cs="Palatino Linotype"/>
          <w:sz w:val="24"/>
          <w:szCs w:val="24"/>
        </w:rPr>
      </w:pPr>
    </w:p>
    <w:p w:rsidR="002317EC" w:rsidRDefault="002317EC">
      <w:pPr>
        <w:spacing w:after="0" w:line="360" w:lineRule="auto"/>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primer supuesto, que corresponde a lo señalado en su segundo párrafo, alude a actos no realizados y contemplados en alguna hipótesis jurídica: </w:t>
      </w:r>
    </w:p>
    <w:p w:rsidR="002317EC" w:rsidRDefault="002317EC">
      <w:pPr>
        <w:spacing w:after="0" w:line="360" w:lineRule="auto"/>
        <w:ind w:right="567"/>
        <w:jc w:val="both"/>
        <w:rPr>
          <w:rFonts w:ascii="Palatino Linotype" w:eastAsia="Palatino Linotype" w:hAnsi="Palatino Linotype" w:cs="Palatino Linotype"/>
          <w:sz w:val="24"/>
          <w:szCs w:val="24"/>
        </w:rPr>
      </w:pPr>
    </w:p>
    <w:p w:rsidR="002317EC" w:rsidRDefault="00893457">
      <w:pPr>
        <w:numPr>
          <w:ilvl w:val="0"/>
          <w:numId w:val="6"/>
        </w:numPr>
        <w:spacing w:after="0" w:line="360" w:lineRule="auto"/>
        <w:ind w:right="70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Cuya realización dependa de que un tercero demande la emisión de un acto de autoridad, la expedición de una licencia, por ejemplo; </w:t>
      </w:r>
    </w:p>
    <w:p w:rsidR="002317EC" w:rsidRDefault="00893457">
      <w:pPr>
        <w:numPr>
          <w:ilvl w:val="0"/>
          <w:numId w:val="6"/>
        </w:numPr>
        <w:spacing w:after="0" w:line="360" w:lineRule="auto"/>
        <w:ind w:right="70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un acontecimiento de realización probable, la Cuenta Pública correspondiente a un ejercicio fiscal en curso; o</w:t>
      </w:r>
    </w:p>
    <w:p w:rsidR="002317EC" w:rsidRDefault="00893457">
      <w:pPr>
        <w:numPr>
          <w:ilvl w:val="0"/>
          <w:numId w:val="6"/>
        </w:numPr>
        <w:spacing w:after="0" w:line="360" w:lineRule="auto"/>
        <w:ind w:right="70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Una facultad potestativa, la firma de convenio de colaboración.</w:t>
      </w:r>
    </w:p>
    <w:p w:rsidR="002317EC" w:rsidRDefault="002317EC">
      <w:pPr>
        <w:spacing w:after="0" w:line="360" w:lineRule="auto"/>
        <w:ind w:right="567"/>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En estos casos,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sz w:val="24"/>
          <w:szCs w:val="24"/>
        </w:rPr>
        <w:t>, al emitir su respuesta o cumplir con una resolución emitida por este Órgano Garante, deberá manifestar, de manera precisa y clara, las razones que expliquen las causas por las que no se ha realizado el acto de autoridad y, en consecuencia, no se ha documentado decisión alguna.</w:t>
      </w: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segundo supuesto, que corresponde a lo señalado en su último párrafo del artículo antes referido, alude a: </w:t>
      </w:r>
    </w:p>
    <w:p w:rsidR="002317EC" w:rsidRDefault="002317EC">
      <w:pPr>
        <w:spacing w:after="0" w:line="360" w:lineRule="auto"/>
        <w:ind w:left="720"/>
        <w:rPr>
          <w:rFonts w:ascii="Palatino Linotype" w:eastAsia="Palatino Linotype" w:hAnsi="Palatino Linotype" w:cs="Palatino Linotype"/>
          <w:sz w:val="24"/>
          <w:szCs w:val="24"/>
        </w:rPr>
      </w:pPr>
    </w:p>
    <w:p w:rsidR="002317EC" w:rsidRDefault="00893457">
      <w:pPr>
        <w:tabs>
          <w:tab w:val="left" w:pos="7655"/>
        </w:tabs>
        <w:spacing w:after="0" w:line="360" w:lineRule="auto"/>
        <w:ind w:left="851" w:right="709" w:hanging="28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I.-</w:t>
      </w:r>
      <w:r>
        <w:rPr>
          <w:rFonts w:ascii="Palatino Linotype" w:eastAsia="Palatino Linotype" w:hAnsi="Palatino Linotype" w:cs="Palatino Linotype"/>
          <w:sz w:val="24"/>
          <w:szCs w:val="24"/>
        </w:rPr>
        <w:t xml:space="preserve"> Actos realizados sobre los cuales: </w:t>
      </w:r>
    </w:p>
    <w:p w:rsidR="002317EC" w:rsidRDefault="00893457">
      <w:pPr>
        <w:tabs>
          <w:tab w:val="left" w:pos="1418"/>
          <w:tab w:val="left" w:pos="7655"/>
        </w:tabs>
        <w:spacing w:after="0" w:line="360" w:lineRule="auto"/>
        <w:ind w:left="1134" w:right="70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w:t>
      </w:r>
      <w:r>
        <w:rPr>
          <w:rFonts w:ascii="Palatino Linotype" w:eastAsia="Palatino Linotype" w:hAnsi="Palatino Linotype" w:cs="Palatino Linotype"/>
          <w:sz w:val="24"/>
          <w:szCs w:val="24"/>
        </w:rPr>
        <w:t xml:space="preserve"> No se generó, poseyó o administró el documento que registre la información solicitada; </w:t>
      </w:r>
    </w:p>
    <w:p w:rsidR="002317EC" w:rsidRDefault="00893457">
      <w:pPr>
        <w:tabs>
          <w:tab w:val="left" w:pos="1418"/>
          <w:tab w:val="left" w:pos="7655"/>
        </w:tabs>
        <w:spacing w:after="0" w:line="360" w:lineRule="auto"/>
        <w:ind w:left="1134" w:right="70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b)</w:t>
      </w:r>
      <w:r>
        <w:rPr>
          <w:rFonts w:ascii="Palatino Linotype" w:eastAsia="Palatino Linotype" w:hAnsi="Palatino Linotype" w:cs="Palatino Linotype"/>
          <w:sz w:val="24"/>
          <w:szCs w:val="24"/>
        </w:rPr>
        <w:t xml:space="preserve"> Habiendo sido generada, poseída o administrada, no se cuenta con la información solicitada.</w:t>
      </w:r>
    </w:p>
    <w:p w:rsidR="002317EC" w:rsidRDefault="00893457">
      <w:pPr>
        <w:tabs>
          <w:tab w:val="left" w:pos="7655"/>
        </w:tabs>
        <w:spacing w:after="0" w:line="360" w:lineRule="auto"/>
        <w:ind w:left="851" w:right="567" w:hanging="28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II.-</w:t>
      </w:r>
      <w:r>
        <w:rPr>
          <w:rFonts w:ascii="Palatino Linotype" w:eastAsia="Palatino Linotype" w:hAnsi="Palatino Linotype" w:cs="Palatino Linotype"/>
          <w:sz w:val="24"/>
          <w:szCs w:val="24"/>
        </w:rPr>
        <w:t xml:space="preserv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 xml:space="preserve">fue omiso en el ejercicio de una facultad, competencia o atribución inexcusable. </w:t>
      </w:r>
    </w:p>
    <w:p w:rsidR="002317EC" w:rsidRDefault="002317EC">
      <w:pPr>
        <w:spacing w:after="0" w:line="360" w:lineRule="auto"/>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estos casos, será necesario acreditar que se cumplieron los supuestos del artículo 169 del citado ordenamiento y emitir la resolución que confirme la </w:t>
      </w:r>
      <w:r>
        <w:rPr>
          <w:rFonts w:ascii="Palatino Linotype" w:eastAsia="Palatino Linotype" w:hAnsi="Palatino Linotype" w:cs="Palatino Linotype"/>
          <w:sz w:val="24"/>
          <w:szCs w:val="24"/>
        </w:rPr>
        <w:lastRenderedPageBreak/>
        <w:t xml:space="preserve">inexistencia cumpliendo con las formalidades señaladas en el artículo 170 de la misma norma. </w:t>
      </w:r>
    </w:p>
    <w:p w:rsidR="002317EC" w:rsidRDefault="002317EC">
      <w:pPr>
        <w:tabs>
          <w:tab w:val="left" w:pos="426"/>
        </w:tabs>
        <w:spacing w:after="0" w:line="360" w:lineRule="auto"/>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En cualquiera de los casos, imperativamente,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 xml:space="preserve">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Pr>
          <w:rFonts w:ascii="Palatino Linotype" w:eastAsia="Palatino Linotype" w:hAnsi="Palatino Linotype" w:cs="Palatino Linotype"/>
          <w:b/>
          <w:sz w:val="24"/>
          <w:szCs w:val="24"/>
        </w:rPr>
        <w:t>de no localizar la información que debía tener, procediendo según lo refieren los párrafos segundo o tercero del artículo 19 de la Ley de Transparencia y Acceso a la Información Pública</w:t>
      </w:r>
      <w:r>
        <w:rPr>
          <w:rFonts w:ascii="Palatino Linotype" w:eastAsia="Palatino Linotype" w:hAnsi="Palatino Linotype" w:cs="Palatino Linotype"/>
          <w:sz w:val="24"/>
          <w:szCs w:val="24"/>
        </w:rPr>
        <w:t>, pero emitiendo una respuesta.</w:t>
      </w:r>
    </w:p>
    <w:p w:rsidR="002317EC" w:rsidRDefault="002317EC">
      <w:pPr>
        <w:spacing w:after="0" w:line="360" w:lineRule="auto"/>
        <w:ind w:right="49"/>
        <w:jc w:val="both"/>
        <w:rPr>
          <w:rFonts w:ascii="Palatino Linotype" w:eastAsia="Palatino Linotype" w:hAnsi="Palatino Linotype" w:cs="Palatino Linotype"/>
          <w:color w:val="000000"/>
          <w:sz w:val="24"/>
          <w:szCs w:val="24"/>
        </w:rPr>
      </w:pPr>
    </w:p>
    <w:p w:rsidR="002317EC" w:rsidRDefault="00893457">
      <w:pPr>
        <w:keepNext/>
        <w:keepLines/>
        <w:spacing w:before="40" w:line="360" w:lineRule="auto"/>
        <w:rPr>
          <w:rFonts w:ascii="Palatino Linotype" w:eastAsia="Palatino Linotype" w:hAnsi="Palatino Linotype" w:cs="Palatino Linotype"/>
          <w:b/>
          <w:sz w:val="24"/>
          <w:szCs w:val="24"/>
        </w:rPr>
      </w:pPr>
      <w:bookmarkStart w:id="13" w:name="_heading=h.lnxbz9" w:colFirst="0" w:colLast="0"/>
      <w:bookmarkEnd w:id="13"/>
      <w:r>
        <w:rPr>
          <w:rFonts w:ascii="Palatino Linotype" w:eastAsia="Palatino Linotype" w:hAnsi="Palatino Linotype" w:cs="Palatino Linotype"/>
          <w:b/>
          <w:sz w:val="24"/>
          <w:szCs w:val="24"/>
        </w:rPr>
        <w:t>III. Análisis al que debe someterse la información antes de su entrega.</w:t>
      </w:r>
    </w:p>
    <w:p w:rsidR="002317EC" w:rsidRDefault="002317EC">
      <w:pPr>
        <w:spacing w:after="0" w:line="360" w:lineRule="auto"/>
        <w:ind w:right="49"/>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w:t>
      </w:r>
      <w:r>
        <w:rPr>
          <w:rFonts w:ascii="Palatino Linotype" w:eastAsia="Palatino Linotype" w:hAnsi="Palatino Linotype" w:cs="Palatino Linotype"/>
          <w:sz w:val="24"/>
          <w:szCs w:val="24"/>
        </w:rPr>
        <w:lastRenderedPageBreak/>
        <w:t>que los Sujetos Obligados deben fundamentar y argumentar las causas de interés público que se ponen en riesgo al liberarse la información.</w:t>
      </w: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317EC" w:rsidRDefault="002317EC">
      <w:pPr>
        <w:spacing w:after="0" w:line="360" w:lineRule="auto"/>
        <w:ind w:left="720"/>
        <w:rPr>
          <w:rFonts w:ascii="Palatino Linotype" w:eastAsia="Palatino Linotype" w:hAnsi="Palatino Linotype" w:cs="Palatino Linotype"/>
          <w:sz w:val="24"/>
          <w:szCs w:val="24"/>
        </w:rPr>
      </w:pP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“Artículo 4.</w:t>
      </w:r>
      <w:r>
        <w:rPr>
          <w:rFonts w:ascii="Palatino Linotype" w:eastAsia="Palatino Linotype" w:hAnsi="Palatino Linotype" w:cs="Palatino Linotype"/>
          <w:i/>
          <w:color w:val="000000"/>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lastRenderedPageBreak/>
        <w:t>Los sujetos obligados deben poner en práctica, políticas y programas de acceso a la información que se apeguen a criterios de publicidad, veracidad, oportunidad, precisión y suficiencia en beneficio de los solicitantes.</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w:t>
      </w:r>
    </w:p>
    <w:p w:rsidR="002317EC" w:rsidRDefault="002317EC">
      <w:pPr>
        <w:spacing w:after="0" w:line="360" w:lineRule="auto"/>
        <w:ind w:left="567" w:right="567"/>
        <w:jc w:val="both"/>
        <w:rPr>
          <w:rFonts w:ascii="Palatino Linotype" w:eastAsia="Palatino Linotype" w:hAnsi="Palatino Linotype" w:cs="Palatino Linotype"/>
          <w:i/>
          <w:color w:val="000000"/>
          <w:sz w:val="24"/>
          <w:szCs w:val="24"/>
        </w:rPr>
      </w:pP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b/>
          <w:i/>
          <w:color w:val="000000"/>
          <w:sz w:val="24"/>
          <w:szCs w:val="24"/>
        </w:rPr>
        <w:t>Artículo 122.</w:t>
      </w:r>
      <w:r>
        <w:rPr>
          <w:rFonts w:ascii="Palatino Linotype" w:eastAsia="Palatino Linotype" w:hAnsi="Palatino Linotype" w:cs="Palatino Linotype"/>
          <w:i/>
          <w:color w:val="000000"/>
          <w:sz w:val="24"/>
          <w:szCs w:val="24"/>
        </w:rPr>
        <w:t xml:space="preserve"> La clasificación es el proceso mediante el cual el sujeto obligado determina que la información en su poder actualiza alguno de los supuestos de reserva o confidencialidad, de conformidad con lo dispuesto en el presente título.</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Los supuestos de reserva o confidencialidad previstos en las leyes deberán ser acordes con las bases, principios y disposiciones establecidos en la Ley General y, en ningún caso, podrán contravenirla.</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Los titulares de las áreas de los sujetos obligados serán los responsables de clasificar la información, de conformidad con lo dispuesto en la presente Ley y demás disposiciones jurídicas aplicables.</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w:t>
      </w:r>
    </w:p>
    <w:p w:rsidR="002317EC" w:rsidRDefault="002317EC">
      <w:pPr>
        <w:spacing w:after="0" w:line="360" w:lineRule="auto"/>
        <w:ind w:left="567" w:right="567"/>
        <w:jc w:val="both"/>
        <w:rPr>
          <w:rFonts w:ascii="Palatino Linotype" w:eastAsia="Palatino Linotype" w:hAnsi="Palatino Linotype" w:cs="Palatino Linotype"/>
          <w:i/>
          <w:color w:val="000000"/>
          <w:sz w:val="24"/>
          <w:szCs w:val="24"/>
        </w:rPr>
      </w:pP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b/>
          <w:i/>
          <w:color w:val="000000"/>
          <w:sz w:val="24"/>
          <w:szCs w:val="24"/>
        </w:rPr>
        <w:t>Artículo 140.</w:t>
      </w:r>
      <w:r>
        <w:rPr>
          <w:rFonts w:ascii="Palatino Linotype" w:eastAsia="Palatino Linotype" w:hAnsi="Palatino Linotype" w:cs="Palatino Linotype"/>
          <w:i/>
          <w:color w:val="000000"/>
          <w:sz w:val="24"/>
          <w:szCs w:val="24"/>
        </w:rPr>
        <w:t xml:space="preserve"> El acceso a la información pública será restringido excepcionalmente, cuando por razones de interés público, ésta sea clasificada como reservada, conforme a los criterios siguientes:</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I.</w:t>
      </w:r>
      <w:r>
        <w:rPr>
          <w:rFonts w:ascii="Palatino Linotype" w:eastAsia="Palatino Linotype" w:hAnsi="Palatino Linotype" w:cs="Palatino Linotype"/>
          <w:i/>
          <w:color w:val="000000"/>
          <w:sz w:val="24"/>
          <w:szCs w:val="24"/>
        </w:rPr>
        <w:t xml:space="preserve"> Comprometa la seguridad pública y cuente con un propósito genuino y un efecto demostrable;</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II.</w:t>
      </w:r>
      <w:r>
        <w:rPr>
          <w:rFonts w:ascii="Palatino Linotype" w:eastAsia="Palatino Linotype" w:hAnsi="Palatino Linotype" w:cs="Palatino Linotype"/>
          <w:i/>
          <w:color w:val="000000"/>
          <w:sz w:val="24"/>
          <w:szCs w:val="24"/>
        </w:rPr>
        <w:t xml:space="preserve"> Pueda menoscabar la conducción de las negociaciones y relaciones internacionales;</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lastRenderedPageBreak/>
        <w:t>III.</w:t>
      </w:r>
      <w:r>
        <w:rPr>
          <w:rFonts w:ascii="Palatino Linotype" w:eastAsia="Palatino Linotype" w:hAnsi="Palatino Linotype" w:cs="Palatino Linotype"/>
          <w:i/>
          <w:color w:val="000000"/>
          <w:sz w:val="24"/>
          <w:szCs w:val="24"/>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IV.</w:t>
      </w:r>
      <w:r>
        <w:rPr>
          <w:rFonts w:ascii="Palatino Linotype" w:eastAsia="Palatino Linotype" w:hAnsi="Palatino Linotype" w:cs="Palatino Linotype"/>
          <w:i/>
          <w:color w:val="000000"/>
          <w:sz w:val="24"/>
          <w:szCs w:val="24"/>
        </w:rPr>
        <w:t xml:space="preserve"> Ponga en riesgo la vida, la seguridad o la salud de una persona física;</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V.</w:t>
      </w:r>
      <w:r>
        <w:rPr>
          <w:rFonts w:ascii="Palatino Linotype" w:eastAsia="Palatino Linotype" w:hAnsi="Palatino Linotype" w:cs="Palatino Linotype"/>
          <w:i/>
          <w:color w:val="000000"/>
          <w:sz w:val="24"/>
          <w:szCs w:val="24"/>
        </w:rPr>
        <w:t xml:space="preserve"> Aquella cuya divulgación obstruya o pueda causar un serio perjuicio a:</w:t>
      </w:r>
    </w:p>
    <w:p w:rsidR="002317EC" w:rsidRDefault="00893457">
      <w:pPr>
        <w:spacing w:after="0" w:line="360" w:lineRule="auto"/>
        <w:ind w:left="851"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1.</w:t>
      </w:r>
      <w:r>
        <w:rPr>
          <w:rFonts w:ascii="Palatino Linotype" w:eastAsia="Palatino Linotype" w:hAnsi="Palatino Linotype" w:cs="Palatino Linotype"/>
          <w:i/>
          <w:color w:val="000000"/>
          <w:sz w:val="24"/>
          <w:szCs w:val="24"/>
        </w:rPr>
        <w:t xml:space="preserve"> Las actividades de fiscalización, verificación, inspección, comprobación y auditoría sobre el cumplimiento de las Leyes; o</w:t>
      </w:r>
    </w:p>
    <w:p w:rsidR="002317EC" w:rsidRDefault="00893457">
      <w:pPr>
        <w:spacing w:after="0" w:line="360" w:lineRule="auto"/>
        <w:ind w:left="851"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2.</w:t>
      </w:r>
      <w:r>
        <w:rPr>
          <w:rFonts w:ascii="Palatino Linotype" w:eastAsia="Palatino Linotype" w:hAnsi="Palatino Linotype" w:cs="Palatino Linotype"/>
          <w:i/>
          <w:color w:val="000000"/>
          <w:sz w:val="24"/>
          <w:szCs w:val="24"/>
        </w:rPr>
        <w:t xml:space="preserve"> La recaudación de las contribuciones.</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VI.</w:t>
      </w:r>
      <w:r>
        <w:rPr>
          <w:rFonts w:ascii="Palatino Linotype" w:eastAsia="Palatino Linotype" w:hAnsi="Palatino Linotype" w:cs="Palatino Linotype"/>
          <w:i/>
          <w:color w:val="000000"/>
          <w:sz w:val="24"/>
          <w:szCs w:val="24"/>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 xml:space="preserve">VII. </w:t>
      </w:r>
      <w:r>
        <w:rPr>
          <w:rFonts w:ascii="Palatino Linotype" w:eastAsia="Palatino Linotype" w:hAnsi="Palatino Linotype" w:cs="Palatino Linotype"/>
          <w:i/>
          <w:color w:val="000000"/>
          <w:sz w:val="24"/>
          <w:szCs w:val="24"/>
        </w:rPr>
        <w:t>La que contengan las opiniones, recomendaciones o puntos de vista que formen parte del proceso deliberativo de los servidores públicos, hasta en tanto sea adoptada la decisión definitiva, la cual deberá estar documentada;</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VIII.</w:t>
      </w:r>
      <w:r>
        <w:rPr>
          <w:rFonts w:ascii="Palatino Linotype" w:eastAsia="Palatino Linotype" w:hAnsi="Palatino Linotype" w:cs="Palatino Linotype"/>
          <w:i/>
          <w:color w:val="000000"/>
          <w:sz w:val="24"/>
          <w:szCs w:val="24"/>
        </w:rPr>
        <w:t xml:space="preserve"> Vulnere la conducción de los expedientes judiciales o de los procedimientos administrativos seguidos en forma de juicio, en tanto no hayan quedado firmes;</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IX.</w:t>
      </w:r>
      <w:r>
        <w:rPr>
          <w:rFonts w:ascii="Palatino Linotype" w:eastAsia="Palatino Linotype" w:hAnsi="Palatino Linotype" w:cs="Palatino Linotype"/>
          <w:i/>
          <w:color w:val="000000"/>
          <w:sz w:val="24"/>
          <w:szCs w:val="24"/>
        </w:rPr>
        <w:t xml:space="preserve"> Se encuentre contenida dentro de las investigaciones de hechos que la Ley señale como delitos y se tramiten ante el Ministerio Público;</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lastRenderedPageBreak/>
        <w:t>X.</w:t>
      </w:r>
      <w:r>
        <w:rPr>
          <w:rFonts w:ascii="Palatino Linotype" w:eastAsia="Palatino Linotype" w:hAnsi="Palatino Linotype" w:cs="Palatino Linotype"/>
          <w:i/>
          <w:color w:val="000000"/>
          <w:sz w:val="24"/>
          <w:szCs w:val="24"/>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XI.</w:t>
      </w:r>
      <w:r>
        <w:rPr>
          <w:rFonts w:ascii="Palatino Linotype" w:eastAsia="Palatino Linotype" w:hAnsi="Palatino Linotype" w:cs="Palatino Linotype"/>
          <w:i/>
          <w:color w:val="000000"/>
          <w:sz w:val="24"/>
          <w:szCs w:val="24"/>
        </w:rPr>
        <w:t xml:space="preserve"> Las que por disposición expresa de una ley tengan tal carácter, siempre que sean acordes con las bases, principios y disposiciones establecidos en esta Ley y no la contravengan; así como las previstas en tratados internacionales.”</w:t>
      </w:r>
    </w:p>
    <w:p w:rsidR="002317EC" w:rsidRDefault="002317EC">
      <w:pPr>
        <w:spacing w:after="0" w:line="360" w:lineRule="auto"/>
        <w:ind w:left="567" w:right="567"/>
        <w:jc w:val="both"/>
        <w:rPr>
          <w:rFonts w:ascii="Palatino Linotype" w:eastAsia="Palatino Linotype" w:hAnsi="Palatino Linotype" w:cs="Palatino Linotype"/>
          <w:i/>
          <w:color w:val="000000"/>
          <w:sz w:val="24"/>
          <w:szCs w:val="24"/>
        </w:rPr>
      </w:pPr>
    </w:p>
    <w:p w:rsidR="002317EC" w:rsidRDefault="00893457">
      <w:pPr>
        <w:spacing w:after="0" w:line="360" w:lineRule="auto"/>
        <w:ind w:left="567" w:right="567"/>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b/>
          <w:i/>
          <w:color w:val="000000"/>
          <w:sz w:val="24"/>
          <w:szCs w:val="24"/>
        </w:rPr>
        <w:t>Artículo 141.</w:t>
      </w:r>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b/>
          <w:i/>
          <w:color w:val="000000"/>
          <w:sz w:val="24"/>
          <w:szCs w:val="24"/>
        </w:rPr>
        <w:t>Las causales de reserva previstas en este Capítulo se deberán fundar y motivar, a través de la aplicación de la prueba de daño a la que se hace referencia en el presente Título.”</w:t>
      </w:r>
    </w:p>
    <w:p w:rsidR="002317EC" w:rsidRDefault="00893457">
      <w:pPr>
        <w:spacing w:after="0" w:line="360" w:lineRule="auto"/>
        <w:ind w:left="567" w:right="567"/>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i/>
          <w:color w:val="000000"/>
          <w:sz w:val="24"/>
          <w:szCs w:val="24"/>
        </w:rPr>
        <w:t xml:space="preserve">(Énfasis añadido) </w:t>
      </w:r>
    </w:p>
    <w:p w:rsidR="002317EC" w:rsidRDefault="002317EC">
      <w:pPr>
        <w:spacing w:after="0" w:line="360" w:lineRule="auto"/>
        <w:ind w:right="50" w:firstLine="1418"/>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317EC" w:rsidRDefault="002317EC">
      <w:pPr>
        <w:tabs>
          <w:tab w:val="left" w:pos="426"/>
        </w:tabs>
        <w:spacing w:after="0" w:line="360" w:lineRule="auto"/>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317EC" w:rsidRDefault="002317EC">
      <w:pPr>
        <w:tabs>
          <w:tab w:val="left" w:pos="426"/>
        </w:tabs>
        <w:spacing w:after="0" w:line="360" w:lineRule="auto"/>
        <w:ind w:right="49"/>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2317EC" w:rsidRDefault="002317EC">
      <w:pPr>
        <w:tabs>
          <w:tab w:val="left" w:pos="426"/>
        </w:tabs>
        <w:spacing w:after="0" w:line="360" w:lineRule="auto"/>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tal manera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deberá dar atención a la solicitud de información, lo cual deberá realizar con arreglo al procedimiento establecido en la Ley que ha sido descrito en esta resolución y de manera fundada y motivada.</w:t>
      </w: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317EC" w:rsidRDefault="002317EC">
      <w:pPr>
        <w:spacing w:after="0" w:line="360" w:lineRule="auto"/>
        <w:jc w:val="both"/>
        <w:rPr>
          <w:rFonts w:ascii="Palatino Linotype" w:eastAsia="Palatino Linotype" w:hAnsi="Palatino Linotype" w:cs="Palatino Linotype"/>
          <w:color w:val="222222"/>
          <w:sz w:val="24"/>
          <w:szCs w:val="24"/>
        </w:rPr>
      </w:pP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“Artículo 16.</w:t>
      </w:r>
      <w:r>
        <w:rPr>
          <w:rFonts w:ascii="Palatino Linotype" w:eastAsia="Palatino Linotype" w:hAnsi="Palatino Linotype" w:cs="Palatino Linotype"/>
          <w:i/>
          <w:color w:val="000000"/>
          <w:sz w:val="24"/>
          <w:szCs w:val="24"/>
        </w:rPr>
        <w:t xml:space="preserve"> Nadie puede ser molestado en su persona, familia, domicilio, papeles o posesiones, </w:t>
      </w:r>
      <w:r>
        <w:rPr>
          <w:rFonts w:ascii="Palatino Linotype" w:eastAsia="Palatino Linotype" w:hAnsi="Palatino Linotype" w:cs="Palatino Linotype"/>
          <w:b/>
          <w:i/>
          <w:color w:val="000000"/>
          <w:sz w:val="24"/>
          <w:szCs w:val="24"/>
        </w:rPr>
        <w:t>sino en virtud de mandamiento escrito de la autoridad competente, que funde y motive la causa legal del procedimiento</w:t>
      </w:r>
      <w:r>
        <w:rPr>
          <w:rFonts w:ascii="Palatino Linotype" w:eastAsia="Palatino Linotype" w:hAnsi="Palatino Linotype" w:cs="Palatino Linotype"/>
          <w:i/>
          <w:color w:val="000000"/>
          <w:sz w:val="24"/>
          <w:szCs w:val="24"/>
        </w:rPr>
        <w:t>.</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w:t>
      </w:r>
    </w:p>
    <w:p w:rsidR="002317EC" w:rsidRDefault="00893457">
      <w:pPr>
        <w:spacing w:after="0" w:line="360" w:lineRule="auto"/>
        <w:ind w:left="567" w:right="56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(Énfasis añadido) </w:t>
      </w:r>
    </w:p>
    <w:p w:rsidR="002317EC" w:rsidRDefault="002317EC">
      <w:pPr>
        <w:shd w:val="clear" w:color="auto" w:fill="FFFFFF"/>
        <w:spacing w:after="0" w:line="360" w:lineRule="auto"/>
        <w:jc w:val="both"/>
        <w:rPr>
          <w:rFonts w:ascii="Palatino Linotype" w:eastAsia="Palatino Linotype" w:hAnsi="Palatino Linotype" w:cs="Palatino Linotype"/>
          <w:color w:val="222222"/>
          <w:sz w:val="24"/>
          <w:szCs w:val="24"/>
        </w:rPr>
      </w:pPr>
    </w:p>
    <w:p w:rsidR="002317EC" w:rsidRDefault="00893457">
      <w:pPr>
        <w:numPr>
          <w:ilvl w:val="0"/>
          <w:numId w:val="7"/>
        </w:numPr>
        <w:spacing w:after="0" w:line="360" w:lineRule="auto"/>
        <w:ind w:left="0" w:firstLine="0"/>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 xml:space="preserve">De este precepto se deduce que, en el régimen jurídico mexicano, la fundamentación y motivación de los actos o resoluciones no es exclusiva de los </w:t>
      </w:r>
      <w:r>
        <w:rPr>
          <w:rFonts w:ascii="Palatino Linotype" w:eastAsia="Palatino Linotype" w:hAnsi="Palatino Linotype" w:cs="Palatino Linotype"/>
          <w:color w:val="222222"/>
          <w:sz w:val="24"/>
          <w:szCs w:val="24"/>
        </w:rPr>
        <w:lastRenderedPageBreak/>
        <w:t>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317EC" w:rsidRDefault="002317EC">
      <w:pPr>
        <w:spacing w:after="0" w:line="360" w:lineRule="auto"/>
        <w:jc w:val="both"/>
        <w:rPr>
          <w:rFonts w:ascii="Palatino Linotype" w:eastAsia="Palatino Linotype" w:hAnsi="Palatino Linotype" w:cs="Palatino Linotype"/>
          <w:color w:val="222222"/>
          <w:sz w:val="24"/>
          <w:szCs w:val="24"/>
        </w:rPr>
      </w:pPr>
    </w:p>
    <w:p w:rsidR="002317EC" w:rsidRDefault="00893457">
      <w:pPr>
        <w:numPr>
          <w:ilvl w:val="0"/>
          <w:numId w:val="7"/>
        </w:numPr>
        <w:spacing w:after="0" w:line="360" w:lineRule="auto"/>
        <w:ind w:left="0" w:firstLine="0"/>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Entonces, la fundamentación y motivación consiste en la obligación que tiene todo ente público de expresar los preceptos jurídicos aplicables al asunto motivo del acto y las razones o argumentos de su actuar.</w:t>
      </w:r>
    </w:p>
    <w:p w:rsidR="002317EC" w:rsidRDefault="002317EC">
      <w:pPr>
        <w:spacing w:after="0" w:line="360" w:lineRule="auto"/>
        <w:jc w:val="both"/>
        <w:rPr>
          <w:rFonts w:ascii="Palatino Linotype" w:eastAsia="Palatino Linotype" w:hAnsi="Palatino Linotype" w:cs="Palatino Linotype"/>
          <w:color w:val="222222"/>
          <w:sz w:val="24"/>
          <w:szCs w:val="24"/>
        </w:rPr>
      </w:pPr>
    </w:p>
    <w:p w:rsidR="002317EC" w:rsidRDefault="00893457">
      <w:pPr>
        <w:numPr>
          <w:ilvl w:val="0"/>
          <w:numId w:val="7"/>
        </w:numPr>
        <w:tabs>
          <w:tab w:val="left" w:pos="284"/>
        </w:tabs>
        <w:spacing w:after="0" w:line="360" w:lineRule="auto"/>
        <w:ind w:left="0" w:firstLine="0"/>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Han sido vastos los estudios doctrinarios relativos a estos derechos fundamentales y al principio de legalidad en ellos contenidos; como ejemplo, el procesalista José Ovalle Fabela, en su obra “Garantías Constitucionales del Proceso”, refiere que “...</w:t>
      </w:r>
      <w:r>
        <w:rPr>
          <w:rFonts w:ascii="Palatino Linotype" w:eastAsia="Palatino Linotype" w:hAnsi="Palatino Linotype" w:cs="Palatino Linotype"/>
          <w:i/>
          <w:color w:val="222222"/>
          <w:sz w:val="24"/>
          <w:szCs w:val="24"/>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Pr>
          <w:rFonts w:ascii="Palatino Linotype" w:eastAsia="Palatino Linotype" w:hAnsi="Palatino Linotype" w:cs="Palatino Linotype"/>
          <w:color w:val="222222"/>
          <w:sz w:val="24"/>
          <w:szCs w:val="24"/>
        </w:rPr>
        <w:t>”</w:t>
      </w:r>
    </w:p>
    <w:p w:rsidR="002317EC" w:rsidRDefault="002317EC">
      <w:pPr>
        <w:spacing w:after="0" w:line="360" w:lineRule="auto"/>
        <w:jc w:val="both"/>
        <w:rPr>
          <w:rFonts w:ascii="Palatino Linotype" w:eastAsia="Palatino Linotype" w:hAnsi="Palatino Linotype" w:cs="Palatino Linotype"/>
          <w:color w:val="222222"/>
          <w:sz w:val="24"/>
          <w:szCs w:val="24"/>
        </w:rPr>
      </w:pPr>
    </w:p>
    <w:p w:rsidR="002317EC" w:rsidRDefault="00893457">
      <w:pPr>
        <w:numPr>
          <w:ilvl w:val="0"/>
          <w:numId w:val="7"/>
        </w:numPr>
        <w:spacing w:after="0" w:line="360" w:lineRule="auto"/>
        <w:ind w:left="0" w:firstLine="0"/>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 xml:space="preserve">Así, en un acto de autoridad se surte la debida fundamentación cuando se cita el precepto legal aplicable al caso concreto y la debida motivación cuando se </w:t>
      </w:r>
      <w:r>
        <w:rPr>
          <w:rFonts w:ascii="Palatino Linotype" w:eastAsia="Palatino Linotype" w:hAnsi="Palatino Linotype" w:cs="Palatino Linotype"/>
          <w:color w:val="222222"/>
          <w:sz w:val="24"/>
          <w:szCs w:val="24"/>
        </w:rPr>
        <w:lastRenderedPageBreak/>
        <w:t>expresan las razones, motivos o circunstancias que tomó en cuenta la autoridad para adecuar el hecho a los fundamentos de derecho.</w:t>
      </w:r>
    </w:p>
    <w:p w:rsidR="002317EC" w:rsidRDefault="002317EC">
      <w:pPr>
        <w:spacing w:after="0" w:line="360" w:lineRule="auto"/>
        <w:rPr>
          <w:rFonts w:ascii="Palatino Linotype" w:eastAsia="Palatino Linotype" w:hAnsi="Palatino Linotype" w:cs="Palatino Linotype"/>
          <w:color w:val="222222"/>
          <w:sz w:val="24"/>
          <w:szCs w:val="24"/>
        </w:rPr>
      </w:pPr>
    </w:p>
    <w:p w:rsidR="002317EC" w:rsidRDefault="00893457">
      <w:pPr>
        <w:numPr>
          <w:ilvl w:val="0"/>
          <w:numId w:val="7"/>
        </w:numPr>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222222"/>
          <w:sz w:val="24"/>
          <w:szCs w:val="24"/>
        </w:rPr>
        <w:t xml:space="preserve">Es así que a través de la presente resolución, se hace del conocimiento del </w:t>
      </w:r>
      <w:r>
        <w:rPr>
          <w:rFonts w:ascii="Palatino Linotype" w:eastAsia="Palatino Linotype" w:hAnsi="Palatino Linotype" w:cs="Palatino Linotype"/>
          <w:b/>
          <w:color w:val="222222"/>
          <w:sz w:val="24"/>
          <w:szCs w:val="24"/>
        </w:rPr>
        <w:t>SUJETO OBLIGADO</w:t>
      </w:r>
      <w:r>
        <w:rPr>
          <w:rFonts w:ascii="Palatino Linotype" w:eastAsia="Palatino Linotype" w:hAnsi="Palatino Linotype" w:cs="Palatino Linotype"/>
          <w:color w:val="222222"/>
          <w:sz w:val="24"/>
          <w:szCs w:val="24"/>
        </w:rPr>
        <w:t xml:space="preserve"> que deberá atender la solicitud de información, </w:t>
      </w:r>
      <w:r>
        <w:rPr>
          <w:rFonts w:ascii="Palatino Linotype" w:eastAsia="Palatino Linotype" w:hAnsi="Palatino Linotype" w:cs="Palatino Linotype"/>
          <w:i/>
          <w:color w:val="222222"/>
          <w:sz w:val="24"/>
          <w:szCs w:val="24"/>
        </w:rPr>
        <w:t>ergo</w:t>
      </w:r>
      <w:r>
        <w:rPr>
          <w:rFonts w:ascii="Palatino Linotype" w:eastAsia="Palatino Linotype" w:hAnsi="Palatino Linotype" w:cs="Palatino Linotype"/>
          <w:color w:val="222222"/>
          <w:sz w:val="24"/>
          <w:szCs w:val="24"/>
        </w:rPr>
        <w:t xml:space="preserve">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2317EC" w:rsidRDefault="002317EC">
      <w:pPr>
        <w:spacing w:after="0" w:line="360" w:lineRule="auto"/>
        <w:ind w:left="720"/>
        <w:rPr>
          <w:rFonts w:ascii="Palatino Linotype" w:eastAsia="Palatino Linotype" w:hAnsi="Palatino Linotype" w:cs="Palatino Linotype"/>
          <w:color w:val="000000"/>
          <w:sz w:val="24"/>
          <w:szCs w:val="24"/>
        </w:rPr>
      </w:pPr>
    </w:p>
    <w:p w:rsidR="002317EC" w:rsidRDefault="00893457">
      <w:pPr>
        <w:keepNext/>
        <w:keepLines/>
        <w:spacing w:before="240" w:after="0" w:line="360" w:lineRule="auto"/>
        <w:rPr>
          <w:rFonts w:ascii="Palatino Linotype" w:eastAsia="Palatino Linotype" w:hAnsi="Palatino Linotype" w:cs="Palatino Linotype"/>
          <w:sz w:val="24"/>
          <w:szCs w:val="24"/>
        </w:rPr>
      </w:pPr>
      <w:bookmarkStart w:id="14" w:name="_heading=h.35nkun2" w:colFirst="0" w:colLast="0"/>
      <w:bookmarkEnd w:id="14"/>
      <w:r>
        <w:rPr>
          <w:rFonts w:ascii="Palatino Linotype" w:eastAsia="Palatino Linotype" w:hAnsi="Palatino Linotype" w:cs="Palatino Linotype"/>
          <w:b/>
          <w:sz w:val="24"/>
          <w:szCs w:val="24"/>
        </w:rPr>
        <w:t>QUINTO. El cumplimiento a esta resolución es susceptible de ser impugnado.</w:t>
      </w:r>
    </w:p>
    <w:p w:rsidR="002317EC" w:rsidRDefault="002317EC">
      <w:pPr>
        <w:spacing w:after="0" w:line="360" w:lineRule="auto"/>
        <w:ind w:right="49"/>
        <w:jc w:val="both"/>
        <w:rPr>
          <w:rFonts w:ascii="Palatino Linotype" w:eastAsia="Palatino Linotype" w:hAnsi="Palatino Linotype" w:cs="Palatino Linotype"/>
          <w:b/>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rsidR="002317EC" w:rsidRDefault="002317EC">
      <w:pPr>
        <w:spacing w:after="0" w:line="360" w:lineRule="auto"/>
        <w:ind w:left="567" w:right="567"/>
        <w:jc w:val="both"/>
        <w:rPr>
          <w:rFonts w:ascii="Palatino Linotype" w:eastAsia="Palatino Linotype" w:hAnsi="Palatino Linotype" w:cs="Palatino Linotype"/>
          <w:i/>
          <w:sz w:val="24"/>
          <w:szCs w:val="24"/>
        </w:rPr>
      </w:pPr>
    </w:p>
    <w:p w:rsidR="002317EC" w:rsidRDefault="00893457">
      <w:pPr>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w:t>
      </w:r>
    </w:p>
    <w:p w:rsidR="002317EC" w:rsidRDefault="00893457">
      <w:pPr>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b/>
          <w:i/>
          <w:sz w:val="24"/>
          <w:szCs w:val="24"/>
        </w:rPr>
        <w:t xml:space="preserve">La respuesta que den los sujetos obligados derivada </w:t>
      </w:r>
      <w:r>
        <w:rPr>
          <w:rFonts w:ascii="Palatino Linotype" w:eastAsia="Palatino Linotype" w:hAnsi="Palatino Linotype" w:cs="Palatino Linotype"/>
          <w:b/>
          <w:i/>
          <w:sz w:val="24"/>
          <w:szCs w:val="24"/>
          <w:u w:val="single"/>
        </w:rPr>
        <w:t>de la resolución</w:t>
      </w:r>
      <w:r>
        <w:rPr>
          <w:rFonts w:ascii="Palatino Linotype" w:eastAsia="Palatino Linotype" w:hAnsi="Palatino Linotype" w:cs="Palatino Linotype"/>
          <w:i/>
          <w:sz w:val="24"/>
          <w:szCs w:val="24"/>
        </w:rPr>
        <w:t xml:space="preserve"> a un recurso de revisión que proceda por las causales señaladas en las fracciones </w:t>
      </w:r>
      <w:r>
        <w:rPr>
          <w:rFonts w:ascii="Palatino Linotype" w:eastAsia="Palatino Linotype" w:hAnsi="Palatino Linotype" w:cs="Palatino Linotype"/>
          <w:i/>
          <w:sz w:val="24"/>
          <w:szCs w:val="24"/>
          <w:u w:val="single"/>
        </w:rPr>
        <w:t xml:space="preserve">IV, VII, IX, X, XI y XII </w:t>
      </w:r>
      <w:r>
        <w:rPr>
          <w:rFonts w:ascii="Palatino Linotype" w:eastAsia="Palatino Linotype" w:hAnsi="Palatino Linotype" w:cs="Palatino Linotype"/>
          <w:i/>
          <w:sz w:val="24"/>
          <w:szCs w:val="24"/>
        </w:rPr>
        <w:t xml:space="preserve">es </w:t>
      </w:r>
      <w:r>
        <w:rPr>
          <w:rFonts w:ascii="Palatino Linotype" w:eastAsia="Palatino Linotype" w:hAnsi="Palatino Linotype" w:cs="Palatino Linotype"/>
          <w:i/>
          <w:sz w:val="24"/>
          <w:szCs w:val="24"/>
          <w:u w:val="single"/>
        </w:rPr>
        <w:t>susceptible de ser impugnada</w:t>
      </w:r>
      <w:r>
        <w:rPr>
          <w:rFonts w:ascii="Palatino Linotype" w:eastAsia="Palatino Linotype" w:hAnsi="Palatino Linotype" w:cs="Palatino Linotype"/>
          <w:i/>
          <w:sz w:val="24"/>
          <w:szCs w:val="24"/>
        </w:rPr>
        <w:t xml:space="preserve"> de nueva cuenta, mediante recurso de revisión, ante el Instituto. “</w:t>
      </w:r>
    </w:p>
    <w:p w:rsidR="002317EC" w:rsidRDefault="00893457">
      <w:pPr>
        <w:spacing w:after="0" w:line="360" w:lineRule="auto"/>
        <w:ind w:left="567" w:righ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(Énfasis añadido)</w:t>
      </w:r>
    </w:p>
    <w:p w:rsidR="002317EC" w:rsidRDefault="002317EC">
      <w:pPr>
        <w:spacing w:after="0" w:line="360" w:lineRule="auto"/>
        <w:ind w:left="360"/>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Es así como en este asunto, en el que se está ante la presencia de una falta de respuesta a la solicitud de información por parte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se encuadra en el supuesto que contempla el artículo 179 en su fracción VII, misma que señala lo siguiente:</w:t>
      </w:r>
    </w:p>
    <w:p w:rsidR="002317EC" w:rsidRDefault="002317EC">
      <w:pPr>
        <w:spacing w:after="0" w:line="360" w:lineRule="auto"/>
        <w:ind w:left="360"/>
        <w:jc w:val="both"/>
        <w:rPr>
          <w:rFonts w:ascii="Palatino Linotype" w:eastAsia="Palatino Linotype" w:hAnsi="Palatino Linotype" w:cs="Palatino Linotype"/>
          <w:sz w:val="24"/>
          <w:szCs w:val="24"/>
        </w:rPr>
      </w:pPr>
    </w:p>
    <w:p w:rsidR="002317EC" w:rsidRDefault="00893457">
      <w:pPr>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w:t>
      </w:r>
      <w:r>
        <w:rPr>
          <w:rFonts w:ascii="Palatino Linotype" w:eastAsia="Palatino Linotype" w:hAnsi="Palatino Linotype" w:cs="Palatino Linotype"/>
          <w:b/>
          <w:i/>
          <w:sz w:val="24"/>
          <w:szCs w:val="24"/>
        </w:rPr>
        <w:t>Artículo 179.</w:t>
      </w:r>
      <w:r>
        <w:rPr>
          <w:rFonts w:ascii="Palatino Linotype" w:eastAsia="Palatino Linotype" w:hAnsi="Palatino Linotype" w:cs="Palatino Linotype"/>
          <w:i/>
          <w:sz w:val="24"/>
          <w:szCs w:val="24"/>
        </w:rPr>
        <w:t xml:space="preserve"> El recurso de revisión es un medio de protección que la Ley otorga a los particulares, para hacer valer su derecho de acceso a la información pública, y procederá en contra de las siguientes causas:</w:t>
      </w:r>
    </w:p>
    <w:p w:rsidR="002317EC" w:rsidRDefault="00893457">
      <w:pPr>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w:t>
      </w:r>
    </w:p>
    <w:p w:rsidR="002317EC" w:rsidRDefault="00893457">
      <w:pPr>
        <w:spacing w:after="0" w:line="360" w:lineRule="auto"/>
        <w:ind w:left="567" w:right="567"/>
        <w:jc w:val="both"/>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VII. La falta de respuesta a una solicitud de acceso a la información;</w:t>
      </w:r>
    </w:p>
    <w:p w:rsidR="002317EC" w:rsidRDefault="00893457">
      <w:pPr>
        <w:spacing w:after="0" w:line="360" w:lineRule="auto"/>
        <w:ind w:left="567" w:right="567"/>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w:t>
      </w:r>
    </w:p>
    <w:p w:rsidR="002317EC" w:rsidRDefault="00893457">
      <w:pPr>
        <w:spacing w:after="0" w:line="360" w:lineRule="auto"/>
        <w:ind w:left="567" w:righ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(Énfasis añadido)</w:t>
      </w:r>
    </w:p>
    <w:p w:rsidR="002317EC" w:rsidRDefault="002317EC">
      <w:pPr>
        <w:spacing w:after="0" w:line="360" w:lineRule="auto"/>
        <w:ind w:left="360"/>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tenor, en el asunto particular derivado de la negativa por parte de la Unidad de Transparencia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 xml:space="preserve">a dar respuesta a la solicitud se configura de manera clara la fracción señalada con anterioridad y este Órgano Garante procede a </w:t>
      </w:r>
      <w:r>
        <w:rPr>
          <w:rFonts w:ascii="Palatino Linotype" w:eastAsia="Palatino Linotype" w:hAnsi="Palatino Linotype" w:cs="Palatino Linotype"/>
          <w:b/>
          <w:sz w:val="24"/>
          <w:szCs w:val="24"/>
        </w:rPr>
        <w:t>ordenar</w:t>
      </w:r>
      <w:r>
        <w:rPr>
          <w:rFonts w:ascii="Palatino Linotype" w:eastAsia="Palatino Linotype" w:hAnsi="Palatino Linotype" w:cs="Palatino Linotype"/>
          <w:sz w:val="24"/>
          <w:szCs w:val="24"/>
        </w:rPr>
        <w:t>, a través de la presente resolución, dar atención a la solicitud de información y además de ello entregar la información correspondiente, con las formalidades en tiempo y forma que dispone la normatividad aplicable.</w:t>
      </w: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último párrafo del artículo 179 de la Ley de la materia, se configura entonces en aquellos casos en donde los </w:t>
      </w:r>
      <w:r>
        <w:rPr>
          <w:rFonts w:ascii="Palatino Linotype" w:eastAsia="Palatino Linotype" w:hAnsi="Palatino Linotype" w:cs="Palatino Linotype"/>
          <w:b/>
          <w:sz w:val="24"/>
          <w:szCs w:val="24"/>
          <w:u w:val="single"/>
        </w:rPr>
        <w:t xml:space="preserve">Sujetos Obligados emiten respuesta derivada de una resolución a un recurso de revisión que proceda por la causal prevista en la </w:t>
      </w:r>
      <w:r>
        <w:rPr>
          <w:rFonts w:ascii="Palatino Linotype" w:eastAsia="Palatino Linotype" w:hAnsi="Palatino Linotype" w:cs="Palatino Linotype"/>
          <w:b/>
          <w:sz w:val="24"/>
          <w:szCs w:val="24"/>
          <w:u w:val="single"/>
        </w:rPr>
        <w:lastRenderedPageBreak/>
        <w:t>fracción VII de la Ley en cita como es este el caso</w:t>
      </w:r>
      <w:r>
        <w:rPr>
          <w:rFonts w:ascii="Palatino Linotype" w:eastAsia="Palatino Linotype" w:hAnsi="Palatino Linotype" w:cs="Palatino Linotype"/>
          <w:sz w:val="24"/>
          <w:szCs w:val="24"/>
        </w:rPr>
        <w:t xml:space="preserve">, dicha respuesta es susceptible de ser impugnada de nueva cuenta, mediante recurso de revisión ante el Instituto. Esto es, que el acto que genere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Pr>
          <w:rFonts w:ascii="Palatino Linotype" w:eastAsia="Palatino Linotype" w:hAnsi="Palatino Linotype" w:cs="Palatino Linotype"/>
          <w:b/>
          <w:sz w:val="24"/>
          <w:szCs w:val="24"/>
        </w:rPr>
        <w:t>queda al alcance de la persona la interposición de un nuevo recurso de revisión</w:t>
      </w:r>
      <w:r>
        <w:rPr>
          <w:rFonts w:ascii="Palatino Linotype" w:eastAsia="Palatino Linotype" w:hAnsi="Palatino Linotype" w:cs="Palatino Linotype"/>
          <w:sz w:val="24"/>
          <w:szCs w:val="24"/>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p>
    <w:p w:rsidR="002317EC" w:rsidRDefault="002317EC">
      <w:pPr>
        <w:tabs>
          <w:tab w:val="left" w:pos="426"/>
        </w:tabs>
        <w:spacing w:after="0" w:line="360" w:lineRule="auto"/>
        <w:jc w:val="both"/>
        <w:rPr>
          <w:rFonts w:ascii="Palatino Linotype" w:eastAsia="Palatino Linotype" w:hAnsi="Palatino Linotype" w:cs="Palatino Linotype"/>
          <w:sz w:val="24"/>
          <w:szCs w:val="24"/>
        </w:rPr>
      </w:pPr>
    </w:p>
    <w:p w:rsidR="002317EC" w:rsidRDefault="00893457">
      <w:pPr>
        <w:keepNext/>
        <w:keepLines/>
        <w:spacing w:after="0" w:line="360" w:lineRule="auto"/>
        <w:rPr>
          <w:rFonts w:ascii="Palatino Linotype" w:eastAsia="Palatino Linotype" w:hAnsi="Palatino Linotype" w:cs="Palatino Linotype"/>
          <w:b/>
          <w:sz w:val="24"/>
          <w:szCs w:val="24"/>
        </w:rPr>
      </w:pPr>
      <w:bookmarkStart w:id="15" w:name="_heading=h.1ksv4uv" w:colFirst="0" w:colLast="0"/>
      <w:bookmarkEnd w:id="15"/>
      <w:r>
        <w:rPr>
          <w:rFonts w:ascii="Palatino Linotype" w:eastAsia="Palatino Linotype" w:hAnsi="Palatino Linotype" w:cs="Palatino Linotype"/>
          <w:b/>
          <w:sz w:val="24"/>
          <w:szCs w:val="24"/>
        </w:rPr>
        <w:t>SEXTO. Vista a los órganos de control interno.</w:t>
      </w:r>
    </w:p>
    <w:p w:rsidR="002317EC" w:rsidRDefault="002317EC">
      <w:pPr>
        <w:spacing w:after="0" w:line="360" w:lineRule="auto"/>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La 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rsidR="002317EC" w:rsidRDefault="002317EC">
      <w:pPr>
        <w:spacing w:after="0" w:line="360" w:lineRule="auto"/>
        <w:jc w:val="both"/>
        <w:rPr>
          <w:rFonts w:ascii="Palatino Linotype" w:eastAsia="Palatino Linotype" w:hAnsi="Palatino Linotype" w:cs="Palatino Linotype"/>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Correlativo a lo anterior, los artículos 190 y 223 de la Ley de Transparencia y Acceso a la Información Pública del Estado de México y Municipios señalan lo siguiente:</w:t>
      </w:r>
    </w:p>
    <w:p w:rsidR="002317EC" w:rsidRDefault="002317EC">
      <w:pPr>
        <w:spacing w:after="0" w:line="360" w:lineRule="auto"/>
        <w:jc w:val="both"/>
        <w:rPr>
          <w:rFonts w:ascii="Palatino Linotype" w:eastAsia="Palatino Linotype" w:hAnsi="Palatino Linotype" w:cs="Palatino Linotype"/>
          <w:sz w:val="24"/>
          <w:szCs w:val="24"/>
        </w:rPr>
      </w:pPr>
    </w:p>
    <w:p w:rsidR="002317EC" w:rsidRDefault="00893457">
      <w:pPr>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w:t>
      </w:r>
      <w:r>
        <w:rPr>
          <w:rFonts w:ascii="Palatino Linotype" w:eastAsia="Palatino Linotype" w:hAnsi="Palatino Linotype" w:cs="Palatino Linotype"/>
          <w:b/>
          <w:i/>
          <w:sz w:val="24"/>
          <w:szCs w:val="24"/>
        </w:rPr>
        <w:t>Artículo 190.</w:t>
      </w:r>
      <w:r>
        <w:rPr>
          <w:rFonts w:ascii="Palatino Linotype" w:eastAsia="Palatino Linotype" w:hAnsi="Palatino Linotype" w:cs="Palatino Linotype"/>
          <w:i/>
          <w:sz w:val="24"/>
          <w:szCs w:val="24"/>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317EC" w:rsidRDefault="002317EC">
      <w:pPr>
        <w:spacing w:after="0" w:line="360" w:lineRule="auto"/>
        <w:ind w:left="567" w:right="567"/>
        <w:jc w:val="both"/>
        <w:rPr>
          <w:rFonts w:ascii="Palatino Linotype" w:eastAsia="Palatino Linotype" w:hAnsi="Palatino Linotype" w:cs="Palatino Linotype"/>
          <w:i/>
          <w:sz w:val="24"/>
          <w:szCs w:val="24"/>
        </w:rPr>
      </w:pPr>
    </w:p>
    <w:p w:rsidR="002317EC" w:rsidRDefault="00893457">
      <w:pPr>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b/>
          <w:i/>
          <w:sz w:val="24"/>
          <w:szCs w:val="24"/>
        </w:rPr>
        <w:t>Artículo 223.</w:t>
      </w:r>
      <w:r>
        <w:rPr>
          <w:rFonts w:ascii="Palatino Linotype" w:eastAsia="Palatino Linotype" w:hAnsi="Palatino Linotype" w:cs="Palatino Linotype"/>
          <w:i/>
          <w:sz w:val="24"/>
          <w:szCs w:val="24"/>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2317EC" w:rsidRDefault="00893457">
      <w:pPr>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w:t>
      </w:r>
    </w:p>
    <w:p w:rsidR="002317EC" w:rsidRDefault="002317EC">
      <w:pPr>
        <w:spacing w:after="0" w:line="360" w:lineRule="auto"/>
        <w:ind w:right="49"/>
        <w:jc w:val="both"/>
        <w:rPr>
          <w:rFonts w:ascii="Palatino Linotype" w:eastAsia="Palatino Linotype" w:hAnsi="Palatino Linotype" w:cs="Palatino Linotype"/>
          <w:color w:val="000000"/>
          <w:sz w:val="24"/>
          <w:szCs w:val="24"/>
        </w:rPr>
      </w:pPr>
    </w:p>
    <w:p w:rsidR="002317EC" w:rsidRDefault="00893457">
      <w:pPr>
        <w:numPr>
          <w:ilvl w:val="0"/>
          <w:numId w:val="7"/>
        </w:numPr>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los dispositivos normativos señalados </w:t>
      </w:r>
      <w:r>
        <w:rPr>
          <w:rFonts w:ascii="Palatino Linotype" w:eastAsia="Palatino Linotype" w:hAnsi="Palatino Linotype" w:cs="Palatino Linotype"/>
          <w:i/>
          <w:color w:val="000000"/>
          <w:sz w:val="24"/>
          <w:szCs w:val="24"/>
        </w:rPr>
        <w:t>supra</w:t>
      </w:r>
      <w:r>
        <w:rPr>
          <w:rFonts w:ascii="Palatino Linotype" w:eastAsia="Palatino Linotype" w:hAnsi="Palatino Linotype" w:cs="Palatino Linotype"/>
          <w:color w:val="000000"/>
          <w:sz w:val="24"/>
          <w:szCs w:val="24"/>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rsidR="002317EC" w:rsidRDefault="002317EC">
      <w:pPr>
        <w:spacing w:after="0" w:line="360" w:lineRule="auto"/>
        <w:ind w:right="49"/>
        <w:jc w:val="both"/>
        <w:rPr>
          <w:rFonts w:ascii="Palatino Linotype" w:eastAsia="Palatino Linotype" w:hAnsi="Palatino Linotype" w:cs="Palatino Linotype"/>
          <w:color w:val="000000"/>
          <w:sz w:val="24"/>
          <w:szCs w:val="24"/>
        </w:rPr>
      </w:pPr>
    </w:p>
    <w:p w:rsidR="002317EC" w:rsidRDefault="00893457">
      <w:pPr>
        <w:numPr>
          <w:ilvl w:val="0"/>
          <w:numId w:val="7"/>
        </w:numPr>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En consecuencia, el recurso de revisión consiste en una garantía secundaria</w:t>
      </w:r>
      <w:r>
        <w:rPr>
          <w:rFonts w:ascii="Palatino Linotype" w:eastAsia="Palatino Linotype" w:hAnsi="Palatino Linotype" w:cs="Palatino Linotype"/>
          <w:i/>
          <w:color w:val="000000"/>
          <w:sz w:val="24"/>
          <w:szCs w:val="24"/>
        </w:rPr>
        <w:t xml:space="preserve"> de la anulabilidad de los actos inválidos y de la responsabilidad de los actos ilícitos, que constituyen las desobediencias de sus garantías primarias</w:t>
      </w:r>
      <w:r>
        <w:rPr>
          <w:rFonts w:ascii="Palatino Linotype" w:eastAsia="Palatino Linotype" w:hAnsi="Palatino Linotype" w:cs="Palatino Linotype"/>
          <w:color w:val="000000"/>
          <w:sz w:val="24"/>
          <w:szCs w:val="24"/>
          <w:vertAlign w:val="superscript"/>
        </w:rPr>
        <w:footnoteReference w:id="6"/>
      </w:r>
      <w:r>
        <w:rPr>
          <w:rFonts w:ascii="Palatino Linotype" w:eastAsia="Palatino Linotype" w:hAnsi="Palatino Linotype" w:cs="Palatino Linotype"/>
          <w:color w:val="000000"/>
          <w:sz w:val="24"/>
          <w:szCs w:val="24"/>
        </w:rPr>
        <w:t xml:space="preserve">; esto refiere que, ante la falta de respuesta por parte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interpuso el recurso de revisión con el objeto de que este Órgano Garante determine si existió una violación al derecho de acceso a la información pública y que esta violación sea reparada por la autoridad competente.</w:t>
      </w:r>
    </w:p>
    <w:p w:rsidR="002317EC" w:rsidRDefault="002317EC">
      <w:pPr>
        <w:spacing w:after="0" w:line="360" w:lineRule="auto"/>
        <w:ind w:right="49"/>
        <w:jc w:val="both"/>
        <w:rPr>
          <w:rFonts w:ascii="Palatino Linotype" w:eastAsia="Palatino Linotype" w:hAnsi="Palatino Linotype" w:cs="Palatino Linotype"/>
          <w:color w:val="000000"/>
          <w:sz w:val="24"/>
          <w:szCs w:val="24"/>
        </w:rPr>
      </w:pPr>
    </w:p>
    <w:p w:rsidR="002317EC" w:rsidRDefault="00893457">
      <w:pPr>
        <w:numPr>
          <w:ilvl w:val="0"/>
          <w:numId w:val="7"/>
        </w:numPr>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Correlativo </w:t>
      </w:r>
      <w:r>
        <w:rPr>
          <w:rFonts w:ascii="Palatino Linotype" w:eastAsia="Palatino Linotype" w:hAnsi="Palatino Linotype" w:cs="Palatino Linotype"/>
          <w:sz w:val="24"/>
          <w:szCs w:val="24"/>
        </w:rPr>
        <w:t>a lo anterior, por cuanto hace a las causales de responsabilidad administrativa que pueden infringir los servidores públicos de los Sujetos Obligados, el artículo 222 de la Ley de la materia señala lo siguiente:</w:t>
      </w:r>
    </w:p>
    <w:p w:rsidR="002317EC" w:rsidRDefault="002317EC">
      <w:pPr>
        <w:spacing w:after="0" w:line="360" w:lineRule="auto"/>
        <w:ind w:right="49"/>
        <w:jc w:val="both"/>
        <w:rPr>
          <w:rFonts w:ascii="Palatino Linotype" w:eastAsia="Palatino Linotype" w:hAnsi="Palatino Linotype" w:cs="Palatino Linotype"/>
          <w:color w:val="000000"/>
          <w:sz w:val="24"/>
          <w:szCs w:val="24"/>
        </w:rPr>
      </w:pPr>
    </w:p>
    <w:p w:rsidR="002317EC" w:rsidRDefault="00893457">
      <w:pPr>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b/>
          <w:i/>
          <w:sz w:val="24"/>
          <w:szCs w:val="24"/>
        </w:rPr>
        <w:t>Artículo 222.</w:t>
      </w:r>
      <w:r>
        <w:rPr>
          <w:rFonts w:ascii="Palatino Linotype" w:eastAsia="Palatino Linotype" w:hAnsi="Palatino Linotype" w:cs="Palatino Linotype"/>
          <w:i/>
          <w:sz w:val="24"/>
          <w:szCs w:val="24"/>
        </w:rPr>
        <w:t xml:space="preserve"> Son causas de responsabilidad administrativa de los servidores públicos de los sujetos obligados, por incumplimiento de las obligaciones establecidas en la materia de la presente Ley, las siguientes:</w:t>
      </w:r>
    </w:p>
    <w:p w:rsidR="002317EC" w:rsidRDefault="00893457">
      <w:pPr>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b/>
          <w:i/>
          <w:sz w:val="24"/>
          <w:szCs w:val="24"/>
        </w:rPr>
        <w:t>I. Cualquier acto u omisión que provoque la suspensión o deficiencia en la atención de las solicitudes de información</w:t>
      </w:r>
      <w:r>
        <w:rPr>
          <w:rFonts w:ascii="Palatino Linotype" w:eastAsia="Palatino Linotype" w:hAnsi="Palatino Linotype" w:cs="Palatino Linotype"/>
          <w:i/>
          <w:sz w:val="24"/>
          <w:szCs w:val="24"/>
        </w:rPr>
        <w:t>;</w:t>
      </w:r>
    </w:p>
    <w:p w:rsidR="002317EC" w:rsidRDefault="00893457">
      <w:pPr>
        <w:spacing w:after="0" w:line="360" w:lineRule="auto"/>
        <w:ind w:left="567" w:right="567"/>
        <w:jc w:val="both"/>
        <w:rPr>
          <w:rFonts w:ascii="Palatino Linotype" w:eastAsia="Palatino Linotype" w:hAnsi="Palatino Linotype" w:cs="Palatino Linotype"/>
          <w:i/>
          <w:sz w:val="24"/>
          <w:szCs w:val="24"/>
        </w:rPr>
      </w:pPr>
      <w:r>
        <w:rPr>
          <w:rFonts w:ascii="Palatino Linotype" w:eastAsia="Palatino Linotype" w:hAnsi="Palatino Linotype" w:cs="Palatino Linotype"/>
          <w:b/>
          <w:i/>
          <w:sz w:val="24"/>
          <w:szCs w:val="24"/>
        </w:rPr>
        <w:t xml:space="preserve">II. La </w:t>
      </w:r>
      <w:r>
        <w:rPr>
          <w:rFonts w:ascii="Palatino Linotype" w:eastAsia="Palatino Linotype" w:hAnsi="Palatino Linotype" w:cs="Palatino Linotype"/>
          <w:b/>
          <w:i/>
          <w:sz w:val="24"/>
          <w:szCs w:val="24"/>
          <w:u w:val="single"/>
        </w:rPr>
        <w:t>falta de respuesta a las solicitudes de información</w:t>
      </w:r>
      <w:r>
        <w:rPr>
          <w:rFonts w:ascii="Palatino Linotype" w:eastAsia="Palatino Linotype" w:hAnsi="Palatino Linotype" w:cs="Palatino Linotype"/>
          <w:b/>
          <w:i/>
          <w:sz w:val="24"/>
          <w:szCs w:val="24"/>
        </w:rPr>
        <w:t xml:space="preserve"> en los plazos señalados en la normatividad aplicable</w:t>
      </w:r>
      <w:r>
        <w:rPr>
          <w:rFonts w:ascii="Palatino Linotype" w:eastAsia="Palatino Linotype" w:hAnsi="Palatino Linotype" w:cs="Palatino Linotype"/>
          <w:i/>
          <w:sz w:val="24"/>
          <w:szCs w:val="24"/>
        </w:rPr>
        <w:t>;</w:t>
      </w:r>
    </w:p>
    <w:p w:rsidR="002317EC" w:rsidRDefault="00893457">
      <w:pPr>
        <w:spacing w:after="0" w:line="360" w:lineRule="auto"/>
        <w:ind w:left="567" w:right="567"/>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w:t>
      </w:r>
    </w:p>
    <w:p w:rsidR="002317EC" w:rsidRDefault="00893457">
      <w:pPr>
        <w:spacing w:after="0" w:line="360" w:lineRule="auto"/>
        <w:ind w:left="567" w:righ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(Énfasis añadido)</w:t>
      </w:r>
    </w:p>
    <w:p w:rsidR="002317EC" w:rsidRDefault="002317EC">
      <w:pPr>
        <w:spacing w:after="0" w:line="360" w:lineRule="auto"/>
        <w:ind w:right="567"/>
        <w:jc w:val="both"/>
        <w:rPr>
          <w:rFonts w:ascii="Palatino Linotype" w:eastAsia="Palatino Linotype" w:hAnsi="Palatino Linotype" w:cs="Palatino Linotype"/>
          <w:sz w:val="24"/>
          <w:szCs w:val="24"/>
        </w:rPr>
      </w:pPr>
    </w:p>
    <w:p w:rsidR="002317EC" w:rsidRDefault="00893457">
      <w:pPr>
        <w:numPr>
          <w:ilvl w:val="0"/>
          <w:numId w:val="7"/>
        </w:numPr>
        <w:spacing w:after="0" w:line="360" w:lineRule="auto"/>
        <w:ind w:left="0" w:right="49" w:firstLine="0"/>
        <w:jc w:val="both"/>
        <w:rPr>
          <w:rFonts w:ascii="Palatino Linotype" w:eastAsia="Palatino Linotype" w:hAnsi="Palatino Linotype" w:cs="Palatino Linotype"/>
          <w:color w:val="000000"/>
          <w:sz w:val="24"/>
          <w:szCs w:val="24"/>
        </w:rPr>
      </w:pPr>
      <w:bookmarkStart w:id="16" w:name="_heading=h.44sinio" w:colFirst="0" w:colLast="0"/>
      <w:bookmarkEnd w:id="16"/>
      <w:r>
        <w:rPr>
          <w:rFonts w:ascii="Palatino Linotype" w:eastAsia="Palatino Linotype" w:hAnsi="Palatino Linotype" w:cs="Palatino Linotype"/>
          <w:color w:val="000000"/>
          <w:sz w:val="24"/>
          <w:szCs w:val="24"/>
        </w:rPr>
        <w:lastRenderedPageBreak/>
        <w:t xml:space="preserve">En el presente asunto, de la constancia que obran en el expediente digital del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xml:space="preserve">, dentro del apartado de </w:t>
      </w:r>
      <w:r>
        <w:rPr>
          <w:rFonts w:ascii="Palatino Linotype" w:eastAsia="Palatino Linotype" w:hAnsi="Palatino Linotype" w:cs="Palatino Linotype"/>
          <w:i/>
          <w:color w:val="000000"/>
          <w:sz w:val="24"/>
          <w:szCs w:val="24"/>
        </w:rPr>
        <w:t>Requerimientos</w:t>
      </w:r>
      <w:r>
        <w:rPr>
          <w:rFonts w:ascii="Palatino Linotype" w:eastAsia="Palatino Linotype" w:hAnsi="Palatino Linotype" w:cs="Palatino Linotype"/>
          <w:color w:val="000000"/>
          <w:sz w:val="24"/>
          <w:szCs w:val="24"/>
        </w:rPr>
        <w:t>, se aprecia que la Unidad de Transparencia no turnó la solicitud de información a los servidores públicos habilitados, que de acuerdo a sus facultades y competencias debieran conocer de la solicitud de información como  se aprecia en la imaginen que se comparten a continuación:</w:t>
      </w:r>
    </w:p>
    <w:p w:rsidR="002317EC" w:rsidRDefault="00893457">
      <w:pPr>
        <w:spacing w:after="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val="es-MX"/>
        </w:rPr>
        <w:drawing>
          <wp:inline distT="0" distB="0" distL="0" distR="0">
            <wp:extent cx="4615180" cy="1542415"/>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615180" cy="1542415"/>
                    </a:xfrm>
                    <a:prstGeom prst="rect">
                      <a:avLst/>
                    </a:prstGeom>
                    <a:ln/>
                  </pic:spPr>
                </pic:pic>
              </a:graphicData>
            </a:graphic>
          </wp:inline>
        </w:drawing>
      </w:r>
    </w:p>
    <w:p w:rsidR="002317EC" w:rsidRDefault="002317EC">
      <w:pPr>
        <w:spacing w:after="0" w:line="360" w:lineRule="auto"/>
        <w:ind w:right="49"/>
        <w:jc w:val="center"/>
        <w:rPr>
          <w:rFonts w:ascii="Palatino Linotype" w:eastAsia="Palatino Linotype" w:hAnsi="Palatino Linotype" w:cs="Palatino Linotype"/>
          <w:sz w:val="24"/>
          <w:szCs w:val="24"/>
        </w:rPr>
      </w:pPr>
    </w:p>
    <w:p w:rsidR="002317EC" w:rsidRDefault="00893457">
      <w:pPr>
        <w:numPr>
          <w:ilvl w:val="0"/>
          <w:numId w:val="7"/>
        </w:numPr>
        <w:spacing w:after="12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consecuencia, toda vez que el </w:t>
      </w:r>
      <w:r>
        <w:rPr>
          <w:rFonts w:ascii="Palatino Linotype" w:eastAsia="Palatino Linotype" w:hAnsi="Palatino Linotype" w:cs="Palatino Linotype"/>
          <w:b/>
          <w:color w:val="000000"/>
          <w:sz w:val="24"/>
          <w:szCs w:val="24"/>
        </w:rPr>
        <w:t>Ayuntamiento de Atizapán no respondió a la solicitud de información</w:t>
      </w:r>
      <w:r>
        <w:rPr>
          <w:rFonts w:ascii="Palatino Linotype" w:eastAsia="Palatino Linotype" w:hAnsi="Palatino Linotype" w:cs="Palatino Linotype"/>
          <w:color w:val="000000"/>
          <w:sz w:val="24"/>
          <w:szCs w:val="24"/>
        </w:rPr>
        <w:t xml:space="preserve">, se dará vista al área competente para que en ejercicio de sus atribuciones, realice las investigaciones pertinentes por las omisiones detectadas atribuibles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de conformidad con lo dispuesto por la fracción X, del artículo 36, de la Ley de Transparencia y Acceso a la Información Pública del Estado de México y Municipios. Asimismo, este Pleno hará del conocimiento del Órgano de Control de este Instituto de las infracciones en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incurrió, toda vez que la naturaleza de investigar y sancionar corresponde a un ente distinto a éste a través de un procedimiento diferente al recurso de revisión, lo cual, como hemos analizado, se encuentra previsto en la Ley de Transparencia Acceso a la Información Pública del Estado de México y Municipios específicamente en sus artículos 190, 222 y 223.</w:t>
      </w:r>
    </w:p>
    <w:p w:rsidR="002317EC" w:rsidRDefault="00893457">
      <w:pPr>
        <w:pStyle w:val="Ttulo1"/>
        <w:spacing w:line="360" w:lineRule="auto"/>
        <w:rPr>
          <w:color w:val="000000"/>
        </w:rPr>
      </w:pPr>
      <w:bookmarkStart w:id="17" w:name="_heading=h.2jxsxqh" w:colFirst="0" w:colLast="0"/>
      <w:bookmarkEnd w:id="17"/>
      <w:r>
        <w:rPr>
          <w:color w:val="000000"/>
        </w:rPr>
        <w:lastRenderedPageBreak/>
        <w:t>SÉPTIMO. De la versión pública.</w:t>
      </w:r>
    </w:p>
    <w:p w:rsidR="002317EC" w:rsidRDefault="002317EC">
      <w:pPr>
        <w:spacing w:after="0" w:line="360" w:lineRule="auto"/>
        <w:ind w:left="360" w:right="49"/>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otro lado, debe destacarse que debido a la naturaleza de la información solicitada</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Pr>
          <w:rFonts w:ascii="Palatino Linotype" w:eastAsia="Palatino Linotype" w:hAnsi="Palatino Linotype" w:cs="Palatino Linotype"/>
          <w:b/>
          <w:color w:val="000000"/>
          <w:sz w:val="24"/>
          <w:szCs w:val="24"/>
          <w:u w:val="single"/>
        </w:rPr>
        <w:t>versión pública</w:t>
      </w:r>
      <w:r>
        <w:rPr>
          <w:rFonts w:ascii="Palatino Linotype" w:eastAsia="Palatino Linotype" w:hAnsi="Palatino Linotype" w:cs="Palatino Linotype"/>
          <w:color w:val="000000"/>
          <w:sz w:val="24"/>
          <w:szCs w:val="24"/>
        </w:rPr>
        <w:t xml:space="preserve"> del documento por las consideraciones que se estimen pertinentes.</w:t>
      </w:r>
    </w:p>
    <w:p w:rsidR="002317EC" w:rsidRDefault="002317EC">
      <w:pPr>
        <w:tabs>
          <w:tab w:val="left" w:pos="426"/>
        </w:tabs>
        <w:spacing w:after="0" w:line="360" w:lineRule="auto"/>
        <w:ind w:right="49"/>
        <w:jc w:val="both"/>
        <w:rPr>
          <w:rFonts w:ascii="Palatino Linotype" w:eastAsia="Palatino Linotype" w:hAnsi="Palatino Linotype" w:cs="Palatino Linotype"/>
          <w:color w:val="000000"/>
          <w:sz w:val="24"/>
          <w:szCs w:val="24"/>
        </w:rPr>
      </w:pPr>
    </w:p>
    <w:p w:rsidR="002317EC" w:rsidRDefault="00893457">
      <w:pPr>
        <w:numPr>
          <w:ilvl w:val="0"/>
          <w:numId w:val="7"/>
        </w:numPr>
        <w:shd w:val="clear" w:color="auto" w:fill="FFFFFF"/>
        <w:tabs>
          <w:tab w:val="left" w:pos="284"/>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Es de señalar que, por lo que hace a las versiones públicas,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debe cumplir con las formalidades exigidas en la Ley, por lo que para tal efecto emitirá el Acuerdo del Comité de Transparencia en términos de los artículos 49 fracción VIII, 122</w:t>
      </w:r>
      <w:r>
        <w:rPr>
          <w:rFonts w:ascii="Palatino Linotype" w:eastAsia="Palatino Linotype" w:hAnsi="Palatino Linotype" w:cs="Palatino Linotype"/>
          <w:sz w:val="24"/>
          <w:szCs w:val="24"/>
          <w:vertAlign w:val="superscript"/>
        </w:rPr>
        <w:footnoteReference w:id="7"/>
      </w:r>
      <w:r>
        <w:rPr>
          <w:rFonts w:ascii="Palatino Linotype" w:eastAsia="Palatino Linotype" w:hAnsi="Palatino Linotype" w:cs="Palatino Linotype"/>
          <w:color w:val="000000"/>
          <w:sz w:val="24"/>
          <w:szCs w:val="24"/>
        </w:rPr>
        <w:t>, 135</w:t>
      </w:r>
      <w:r>
        <w:rPr>
          <w:rFonts w:ascii="Palatino Linotype" w:eastAsia="Palatino Linotype" w:hAnsi="Palatino Linotype" w:cs="Palatino Linotype"/>
          <w:sz w:val="24"/>
          <w:szCs w:val="24"/>
          <w:vertAlign w:val="superscript"/>
        </w:rPr>
        <w:footnoteReference w:id="8"/>
      </w:r>
      <w:r>
        <w:rPr>
          <w:rFonts w:ascii="Palatino Linotype" w:eastAsia="Palatino Linotype" w:hAnsi="Palatino Linotype" w:cs="Palatino Linotype"/>
          <w:color w:val="000000"/>
          <w:sz w:val="24"/>
          <w:szCs w:val="24"/>
        </w:rPr>
        <w:t xml:space="preserve"> y 149 de la </w:t>
      </w:r>
      <w:r>
        <w:rPr>
          <w:rFonts w:ascii="Palatino Linotype" w:eastAsia="Palatino Linotype" w:hAnsi="Palatino Linotype" w:cs="Palatino Linotype"/>
          <w:b/>
          <w:color w:val="000000"/>
          <w:sz w:val="24"/>
          <w:szCs w:val="24"/>
        </w:rPr>
        <w:t>Ley de Transparencia y Acceso a la Información Pública del Estado de México y Municipios</w:t>
      </w:r>
      <w:r>
        <w:rPr>
          <w:rFonts w:ascii="Palatino Linotype" w:eastAsia="Palatino Linotype" w:hAnsi="Palatino Linotype" w:cs="Palatino Linotype"/>
          <w:color w:val="000000"/>
          <w:sz w:val="24"/>
          <w:szCs w:val="24"/>
        </w:rPr>
        <w:t xml:space="preserve">, con el cual sustentará de </w:t>
      </w:r>
      <w:r>
        <w:rPr>
          <w:rFonts w:ascii="Palatino Linotype" w:eastAsia="Palatino Linotype" w:hAnsi="Palatino Linotype" w:cs="Palatino Linotype"/>
          <w:color w:val="000000"/>
          <w:sz w:val="24"/>
          <w:szCs w:val="24"/>
        </w:rPr>
        <w:lastRenderedPageBreak/>
        <w:t>forma fundada y motivada la clasificación de datos y con ello la "</w:t>
      </w:r>
      <w:r>
        <w:rPr>
          <w:rFonts w:ascii="Palatino Linotype" w:eastAsia="Palatino Linotype" w:hAnsi="Palatino Linotype" w:cs="Palatino Linotype"/>
          <w:i/>
          <w:color w:val="000000"/>
          <w:sz w:val="24"/>
          <w:szCs w:val="24"/>
        </w:rPr>
        <w:t>versión pública</w:t>
      </w:r>
      <w:r>
        <w:rPr>
          <w:rFonts w:ascii="Palatino Linotype" w:eastAsia="Palatino Linotype" w:hAnsi="Palatino Linotype" w:cs="Palatino Linotype"/>
          <w:color w:val="000000"/>
          <w:sz w:val="24"/>
          <w:szCs w:val="24"/>
        </w:rPr>
        <w:t>" de los documentos materia de la solicitud.</w:t>
      </w:r>
    </w:p>
    <w:p w:rsidR="002317EC" w:rsidRDefault="002317EC">
      <w:pPr>
        <w:shd w:val="clear" w:color="auto" w:fill="FFFFFF"/>
        <w:tabs>
          <w:tab w:val="left" w:pos="284"/>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keepNext/>
        <w:keepLines/>
        <w:spacing w:after="0" w:line="360" w:lineRule="auto"/>
        <w:rPr>
          <w:rFonts w:ascii="Palatino Linotype" w:eastAsia="Palatino Linotype" w:hAnsi="Palatino Linotype" w:cs="Palatino Linotype"/>
          <w:b/>
          <w:color w:val="000000"/>
          <w:sz w:val="24"/>
          <w:szCs w:val="24"/>
        </w:rPr>
      </w:pPr>
      <w:bookmarkStart w:id="18" w:name="_heading=h.z337ya" w:colFirst="0" w:colLast="0"/>
      <w:bookmarkEnd w:id="18"/>
      <w:r>
        <w:rPr>
          <w:rFonts w:ascii="Palatino Linotype" w:eastAsia="Palatino Linotype" w:hAnsi="Palatino Linotype" w:cs="Palatino Linotype"/>
          <w:b/>
          <w:color w:val="000000"/>
          <w:sz w:val="24"/>
          <w:szCs w:val="24"/>
        </w:rPr>
        <w:t>I. De la clasificación de la información.</w:t>
      </w:r>
    </w:p>
    <w:p w:rsidR="002317EC" w:rsidRDefault="002317EC">
      <w:pPr>
        <w:spacing w:after="0" w:line="360" w:lineRule="auto"/>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Pr>
          <w:rFonts w:ascii="Palatino Linotype" w:eastAsia="Palatino Linotype" w:hAnsi="Palatino Linotype" w:cs="Palatino Linotype"/>
          <w:sz w:val="24"/>
          <w:szCs w:val="24"/>
          <w:vertAlign w:val="superscript"/>
        </w:rPr>
        <w:footnoteReference w:id="9"/>
      </w:r>
      <w:r>
        <w:rPr>
          <w:rFonts w:ascii="Palatino Linotype" w:eastAsia="Palatino Linotype" w:hAnsi="Palatino Linotype" w:cs="Palatino Linotype"/>
          <w:color w:val="000000"/>
          <w:sz w:val="24"/>
          <w:szCs w:val="24"/>
        </w:rPr>
        <w:t xml:space="preserve"> aunque cualquier límite o restricción, para ser legítimo, debe reunir con tres requisitos: primero, debe de estar establecida en un ordenamiento legal, antes de su aplicación; debe de corresponder a un fin </w:t>
      </w:r>
      <w:r>
        <w:rPr>
          <w:rFonts w:ascii="Palatino Linotype" w:eastAsia="Palatino Linotype" w:hAnsi="Palatino Linotype" w:cs="Palatino Linotype"/>
          <w:color w:val="000000"/>
          <w:sz w:val="24"/>
          <w:szCs w:val="24"/>
        </w:rPr>
        <w:lastRenderedPageBreak/>
        <w:t>legítimo y ser estrictamente proporcional con el principio o valor que se pretende preservar.</w:t>
      </w:r>
      <w:r>
        <w:rPr>
          <w:rFonts w:ascii="Palatino Linotype" w:eastAsia="Palatino Linotype" w:hAnsi="Palatino Linotype" w:cs="Palatino Linotype"/>
          <w:sz w:val="24"/>
          <w:szCs w:val="24"/>
          <w:vertAlign w:val="superscript"/>
        </w:rPr>
        <w:footnoteReference w:id="10"/>
      </w:r>
      <w:r>
        <w:rPr>
          <w:rFonts w:ascii="Palatino Linotype" w:eastAsia="Palatino Linotype" w:hAnsi="Palatino Linotype" w:cs="Palatino Linotype"/>
          <w:color w:val="000000"/>
          <w:sz w:val="24"/>
          <w:szCs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317EC" w:rsidRDefault="002317EC">
      <w:pPr>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 grave problema que enfrentamos todos los días al resolver los recursos de revisión que se presentan, consiste en que los acuerdos de clasificación de la información que emiten los Sujetos Obligados siguen sin observar los requisitos de fondo que establecen la Ley General y la Ley Estatal al respecto; tanto por la complejidad del procedimiento, como por la falta de atención de los operadores jurídicos.</w:t>
      </w:r>
    </w:p>
    <w:p w:rsidR="002317EC" w:rsidRDefault="002317EC">
      <w:pPr>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esa razón, es que en esta ocasión se presenta un apretado resumen de las formalidades, elementos y procedimientos que debe considerar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para emitir este tipo de acuerdos y que el Órgano Garante debe verificar que se cumplan.</w:t>
      </w:r>
    </w:p>
    <w:p w:rsidR="002317EC" w:rsidRDefault="002317EC">
      <w:pPr>
        <w:spacing w:after="0" w:line="360" w:lineRule="auto"/>
        <w:jc w:val="both"/>
        <w:rPr>
          <w:rFonts w:ascii="Palatino Linotype" w:eastAsia="Palatino Linotype" w:hAnsi="Palatino Linotype" w:cs="Palatino Linotype"/>
          <w:color w:val="000000"/>
          <w:sz w:val="24"/>
          <w:szCs w:val="24"/>
        </w:rPr>
      </w:pPr>
    </w:p>
    <w:p w:rsidR="002317EC" w:rsidRDefault="00893457">
      <w:pPr>
        <w:keepNext/>
        <w:keepLines/>
        <w:pBdr>
          <w:top w:val="nil"/>
          <w:left w:val="nil"/>
          <w:bottom w:val="nil"/>
          <w:right w:val="nil"/>
          <w:between w:val="nil"/>
        </w:pBdr>
        <w:spacing w:after="0" w:line="360" w:lineRule="auto"/>
        <w:rPr>
          <w:rFonts w:ascii="Palatino Linotype" w:eastAsia="Palatino Linotype" w:hAnsi="Palatino Linotype" w:cs="Palatino Linotype"/>
          <w:b/>
          <w:color w:val="000000"/>
          <w:sz w:val="24"/>
          <w:szCs w:val="24"/>
        </w:rPr>
      </w:pPr>
      <w:bookmarkStart w:id="19" w:name="_heading=h.3j2qqm3" w:colFirst="0" w:colLast="0"/>
      <w:bookmarkEnd w:id="19"/>
      <w:r>
        <w:rPr>
          <w:rFonts w:ascii="Palatino Linotype" w:eastAsia="Palatino Linotype" w:hAnsi="Palatino Linotype" w:cs="Palatino Linotype"/>
          <w:b/>
          <w:color w:val="000000"/>
          <w:sz w:val="24"/>
          <w:szCs w:val="24"/>
        </w:rPr>
        <w:t>a) Requisitos previos.</w:t>
      </w:r>
    </w:p>
    <w:p w:rsidR="002317EC" w:rsidRDefault="002317EC">
      <w:pPr>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2317EC" w:rsidRDefault="002317EC">
      <w:pPr>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317EC" w:rsidRDefault="002317EC">
      <w:pPr>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w:t>
      </w:r>
      <w:r>
        <w:rPr>
          <w:rFonts w:ascii="Palatino Linotype" w:eastAsia="Palatino Linotype" w:hAnsi="Palatino Linotype" w:cs="Palatino Linotype"/>
          <w:color w:val="000000"/>
          <w:sz w:val="24"/>
          <w:szCs w:val="24"/>
        </w:rPr>
        <w:lastRenderedPageBreak/>
        <w:t>expediente o área, sin individualizar su análisis y tampoco se puede hacer un acuerdo por cada dato que se vaya a clasificar dentro de un documento con diez datos, por ejemplo, susceptibles de ser clasificados.</w:t>
      </w:r>
    </w:p>
    <w:p w:rsidR="002317EC" w:rsidRDefault="002317EC">
      <w:pPr>
        <w:spacing w:after="0" w:line="360" w:lineRule="auto"/>
        <w:jc w:val="both"/>
        <w:rPr>
          <w:rFonts w:ascii="Palatino Linotype" w:eastAsia="Palatino Linotype" w:hAnsi="Palatino Linotype" w:cs="Palatino Linotype"/>
          <w:color w:val="000000"/>
          <w:sz w:val="24"/>
          <w:szCs w:val="24"/>
        </w:rPr>
      </w:pPr>
    </w:p>
    <w:p w:rsidR="002317EC" w:rsidRDefault="00893457">
      <w:pPr>
        <w:keepNext/>
        <w:keepLines/>
        <w:pBdr>
          <w:top w:val="nil"/>
          <w:left w:val="nil"/>
          <w:bottom w:val="nil"/>
          <w:right w:val="nil"/>
          <w:between w:val="nil"/>
        </w:pBdr>
        <w:spacing w:after="0" w:line="360" w:lineRule="auto"/>
        <w:rPr>
          <w:rFonts w:ascii="Palatino Linotype" w:eastAsia="Palatino Linotype" w:hAnsi="Palatino Linotype" w:cs="Palatino Linotype"/>
          <w:b/>
          <w:color w:val="000000"/>
          <w:sz w:val="24"/>
          <w:szCs w:val="24"/>
        </w:rPr>
      </w:pPr>
      <w:bookmarkStart w:id="20" w:name="_heading=h.1y810tw" w:colFirst="0" w:colLast="0"/>
      <w:bookmarkEnd w:id="20"/>
      <w:r>
        <w:rPr>
          <w:rFonts w:ascii="Palatino Linotype" w:eastAsia="Palatino Linotype" w:hAnsi="Palatino Linotype" w:cs="Palatino Linotype"/>
          <w:b/>
          <w:color w:val="000000"/>
          <w:sz w:val="24"/>
          <w:szCs w:val="24"/>
        </w:rPr>
        <w:t>b) Supuestos de clasificación.</w:t>
      </w:r>
    </w:p>
    <w:p w:rsidR="002317EC" w:rsidRDefault="002317EC">
      <w:pPr>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Las disposiciones constitucionales y legales en la materia establecen los dos supuestos generales para clasificar la información: por reserva y por confidencialidad.</w:t>
      </w:r>
    </w:p>
    <w:p w:rsidR="002317EC" w:rsidRDefault="002317EC">
      <w:pPr>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Mientras que los artículos 143 y 116 de la Ley Estatal y de la Ley General, respectivamente, señalan los supuestos para que la información pueda ser clasificada como confidencial:</w:t>
      </w:r>
    </w:p>
    <w:p w:rsidR="002317EC" w:rsidRDefault="002317EC">
      <w:pPr>
        <w:spacing w:after="0" w:line="360" w:lineRule="auto"/>
        <w:jc w:val="both"/>
        <w:rPr>
          <w:rFonts w:ascii="Palatino Linotype" w:eastAsia="Palatino Linotype" w:hAnsi="Palatino Linotype" w:cs="Palatino Linotype"/>
          <w:color w:val="000000"/>
          <w:sz w:val="24"/>
          <w:szCs w:val="24"/>
        </w:rPr>
      </w:pPr>
    </w:p>
    <w:p w:rsidR="002317EC" w:rsidRDefault="00893457">
      <w:pPr>
        <w:widowControl w:val="0"/>
        <w:spacing w:after="0" w:line="360" w:lineRule="auto"/>
        <w:ind w:left="567" w:right="616"/>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b/>
          <w:i/>
          <w:color w:val="000000"/>
          <w:sz w:val="24"/>
          <w:szCs w:val="24"/>
        </w:rPr>
        <w:t>I.</w:t>
      </w:r>
      <w:r>
        <w:rPr>
          <w:rFonts w:ascii="Palatino Linotype" w:eastAsia="Palatino Linotype" w:hAnsi="Palatino Linotype" w:cs="Palatino Linotype"/>
          <w:i/>
          <w:color w:val="000000"/>
          <w:sz w:val="24"/>
          <w:szCs w:val="24"/>
        </w:rPr>
        <w:t xml:space="preserve"> Se refiera a la información privada y los datos personales concernientes a una persona física o jurídico colectiva identificada o identificable; </w:t>
      </w:r>
    </w:p>
    <w:p w:rsidR="002317EC" w:rsidRDefault="00893457">
      <w:pPr>
        <w:widowControl w:val="0"/>
        <w:spacing w:after="0" w:line="360" w:lineRule="auto"/>
        <w:ind w:left="567" w:right="616"/>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II.</w:t>
      </w:r>
      <w:r>
        <w:rPr>
          <w:rFonts w:ascii="Palatino Linotype" w:eastAsia="Palatino Linotype" w:hAnsi="Palatino Linotype" w:cs="Palatino Linotype"/>
          <w:i/>
          <w:color w:val="000000"/>
          <w:sz w:val="24"/>
          <w:szCs w:val="24"/>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2317EC" w:rsidRDefault="00893457">
      <w:pPr>
        <w:widowControl w:val="0"/>
        <w:spacing w:after="0" w:line="360" w:lineRule="auto"/>
        <w:ind w:left="567" w:right="616"/>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III.</w:t>
      </w:r>
      <w:r>
        <w:rPr>
          <w:rFonts w:ascii="Palatino Linotype" w:eastAsia="Palatino Linotype" w:hAnsi="Palatino Linotype" w:cs="Palatino Linotype"/>
          <w:i/>
          <w:color w:val="000000"/>
          <w:sz w:val="24"/>
          <w:szCs w:val="24"/>
        </w:rPr>
        <w:t xml:space="preserve"> La que presenten los particulares a los sujetos obligados, de conformidad con lo dispuesto por las leyes o los tratados internacionales. </w:t>
      </w:r>
    </w:p>
    <w:p w:rsidR="002317EC" w:rsidRDefault="00893457">
      <w:pPr>
        <w:widowControl w:val="0"/>
        <w:spacing w:after="0" w:line="360" w:lineRule="auto"/>
        <w:ind w:left="567" w:right="616"/>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La información confidencial no estará sujeta a temporalidad alguna y sólo podrán tener acceso a ella los titulares de la misma, sus representantes y los </w:t>
      </w:r>
      <w:r>
        <w:rPr>
          <w:rFonts w:ascii="Palatino Linotype" w:eastAsia="Palatino Linotype" w:hAnsi="Palatino Linotype" w:cs="Palatino Linotype"/>
          <w:i/>
          <w:color w:val="000000"/>
          <w:sz w:val="24"/>
          <w:szCs w:val="24"/>
        </w:rPr>
        <w:lastRenderedPageBreak/>
        <w:t xml:space="preserve">servidores públicos facultados para ello. </w:t>
      </w:r>
    </w:p>
    <w:p w:rsidR="002317EC" w:rsidRDefault="00893457">
      <w:pPr>
        <w:widowControl w:val="0"/>
        <w:spacing w:after="0" w:line="360" w:lineRule="auto"/>
        <w:ind w:left="567" w:right="616"/>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No se considerará confidencial la información que se encuentre en los registros públicos o en fuentes de acceso público, ni tampoco la que sea considerada por la presente ley como información pública.”</w:t>
      </w:r>
    </w:p>
    <w:p w:rsidR="002317EC" w:rsidRDefault="002317EC">
      <w:pPr>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317EC" w:rsidRDefault="002317EC">
      <w:pPr>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Como consecuencia de lo anterior,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debe identificar claramente el tipo de información y hacer un juicio de subsunción o encaje</w:t>
      </w:r>
      <w:r>
        <w:rPr>
          <w:rFonts w:ascii="Palatino Linotype" w:eastAsia="Palatino Linotype" w:hAnsi="Palatino Linotype" w:cs="Palatino Linotype"/>
          <w:color w:val="000000"/>
          <w:sz w:val="24"/>
          <w:szCs w:val="24"/>
          <w:vertAlign w:val="superscript"/>
        </w:rPr>
        <w:footnoteReference w:id="11"/>
      </w:r>
      <w:r>
        <w:rPr>
          <w:rFonts w:ascii="Palatino Linotype" w:eastAsia="Palatino Linotype" w:hAnsi="Palatino Linotype" w:cs="Palatino Linotype"/>
          <w:color w:val="000000"/>
          <w:sz w:val="24"/>
          <w:szCs w:val="24"/>
        </w:rPr>
        <w:t xml:space="preserve"> para acreditar que el supuesto de hecho corresponde estrictamente con la hipótesis </w:t>
      </w:r>
      <w:r>
        <w:rPr>
          <w:rFonts w:ascii="Palatino Linotype" w:eastAsia="Palatino Linotype" w:hAnsi="Palatino Linotype" w:cs="Palatino Linotype"/>
          <w:color w:val="000000"/>
          <w:sz w:val="24"/>
          <w:szCs w:val="24"/>
        </w:rPr>
        <w:lastRenderedPageBreak/>
        <w:t>jurídica. Esto también lo debe de realizar el servidor público habilitado y el titular del área que administra la información.</w:t>
      </w:r>
    </w:p>
    <w:p w:rsidR="002317EC" w:rsidRDefault="002317EC">
      <w:pPr>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Una vez hecho lo anterior, se remite la información al Titular de la Unidad de Transparencia, con el acuerdo de clasificación correspondiente, para que sea sometido al conocimiento del Comité de Transparencia.</w:t>
      </w:r>
    </w:p>
    <w:p w:rsidR="002317EC" w:rsidRDefault="002317EC">
      <w:pPr>
        <w:spacing w:after="0" w:line="360" w:lineRule="auto"/>
        <w:jc w:val="both"/>
        <w:rPr>
          <w:rFonts w:ascii="Palatino Linotype" w:eastAsia="Palatino Linotype" w:hAnsi="Palatino Linotype" w:cs="Palatino Linotype"/>
          <w:b/>
          <w:color w:val="000000"/>
          <w:sz w:val="24"/>
          <w:szCs w:val="24"/>
        </w:rPr>
      </w:pPr>
    </w:p>
    <w:p w:rsidR="002317EC" w:rsidRDefault="00893457">
      <w:pPr>
        <w:keepNext/>
        <w:keepLines/>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bookmarkStart w:id="21" w:name="_heading=h.4i7ojhp" w:colFirst="0" w:colLast="0"/>
      <w:bookmarkEnd w:id="21"/>
      <w:r>
        <w:rPr>
          <w:rFonts w:ascii="Palatino Linotype" w:eastAsia="Palatino Linotype" w:hAnsi="Palatino Linotype" w:cs="Palatino Linotype"/>
          <w:b/>
          <w:color w:val="000000"/>
          <w:sz w:val="24"/>
          <w:szCs w:val="24"/>
        </w:rPr>
        <w:t>c) Excepciones a los supuestos de clasificación de la información como reservada.</w:t>
      </w:r>
    </w:p>
    <w:p w:rsidR="002317EC" w:rsidRDefault="002317EC">
      <w:pPr>
        <w:spacing w:after="0" w:line="360" w:lineRule="auto"/>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before="280" w:after="28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Pr>
          <w:rFonts w:ascii="Palatino Linotype" w:eastAsia="Palatino Linotype" w:hAnsi="Palatino Linotype" w:cs="Palatino Linotype"/>
          <w:b/>
          <w:color w:val="000000"/>
          <w:sz w:val="24"/>
          <w:szCs w:val="24"/>
        </w:rPr>
        <w:t>qué no puede clasificarse como información reservada:</w:t>
      </w:r>
    </w:p>
    <w:p w:rsidR="002317EC" w:rsidRDefault="00893457">
      <w:pPr>
        <w:spacing w:before="280" w:after="0" w:line="360" w:lineRule="auto"/>
        <w:ind w:left="567" w:right="567"/>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b/>
          <w:i/>
          <w:color w:val="000000"/>
          <w:sz w:val="24"/>
          <w:szCs w:val="24"/>
        </w:rPr>
        <w:t>I. Se trate de violaciones graves de derechos humanos, calificada así por autoridad competente;</w:t>
      </w:r>
    </w:p>
    <w:p w:rsidR="002317EC" w:rsidRDefault="00893457">
      <w:pPr>
        <w:spacing w:after="0" w:line="360" w:lineRule="auto"/>
        <w:ind w:left="567" w:right="567"/>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2317EC" w:rsidRDefault="00893457">
      <w:pPr>
        <w:spacing w:after="0" w:line="360" w:lineRule="auto"/>
        <w:ind w:left="567" w:right="567"/>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2317EC" w:rsidRDefault="00893457">
      <w:pPr>
        <w:spacing w:after="0" w:line="360" w:lineRule="auto"/>
        <w:ind w:left="567" w:right="567"/>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sz w:val="24"/>
          <w:szCs w:val="24"/>
        </w:rPr>
        <w:lastRenderedPageBreak/>
        <w:t>IV. Se trate de información relacionada con actos de corrupción de conformidad con las disposiciones jurídicas aplicables.</w:t>
      </w:r>
      <w:r>
        <w:rPr>
          <w:rFonts w:ascii="Palatino Linotype" w:eastAsia="Palatino Linotype" w:hAnsi="Palatino Linotype" w:cs="Palatino Linotype"/>
          <w:color w:val="000000"/>
          <w:sz w:val="24"/>
          <w:szCs w:val="24"/>
        </w:rPr>
        <w:t>”</w:t>
      </w:r>
    </w:p>
    <w:p w:rsidR="002317EC" w:rsidRDefault="002317EC">
      <w:pPr>
        <w:spacing w:after="0" w:line="360" w:lineRule="auto"/>
        <w:ind w:left="720"/>
        <w:jc w:val="both"/>
        <w:rPr>
          <w:rFonts w:ascii="Palatino Linotype" w:eastAsia="Palatino Linotype" w:hAnsi="Palatino Linotype" w:cs="Palatino Linotype"/>
          <w:b/>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ese tenor, si la información solicitada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rsidR="002317EC" w:rsidRDefault="002317EC">
      <w:pPr>
        <w:spacing w:after="0" w:line="360" w:lineRule="auto"/>
        <w:ind w:left="360"/>
        <w:jc w:val="both"/>
        <w:rPr>
          <w:rFonts w:ascii="Palatino Linotype" w:eastAsia="Palatino Linotype" w:hAnsi="Palatino Linotype" w:cs="Palatino Linotype"/>
          <w:color w:val="000000"/>
          <w:sz w:val="24"/>
          <w:szCs w:val="24"/>
        </w:rPr>
      </w:pPr>
    </w:p>
    <w:p w:rsidR="002317EC" w:rsidRDefault="00893457">
      <w:pPr>
        <w:keepNext/>
        <w:keepLines/>
        <w:pBdr>
          <w:top w:val="nil"/>
          <w:left w:val="nil"/>
          <w:bottom w:val="nil"/>
          <w:right w:val="nil"/>
          <w:between w:val="nil"/>
        </w:pBdr>
        <w:spacing w:after="0" w:line="360" w:lineRule="auto"/>
        <w:rPr>
          <w:rFonts w:ascii="Palatino Linotype" w:eastAsia="Palatino Linotype" w:hAnsi="Palatino Linotype" w:cs="Palatino Linotype"/>
          <w:b/>
          <w:color w:val="000000"/>
          <w:sz w:val="24"/>
          <w:szCs w:val="24"/>
        </w:rPr>
      </w:pPr>
      <w:bookmarkStart w:id="22" w:name="_heading=h.2xcytpi" w:colFirst="0" w:colLast="0"/>
      <w:bookmarkEnd w:id="22"/>
      <w:r>
        <w:rPr>
          <w:rFonts w:ascii="Palatino Linotype" w:eastAsia="Palatino Linotype" w:hAnsi="Palatino Linotype" w:cs="Palatino Linotype"/>
          <w:b/>
          <w:color w:val="000000"/>
          <w:sz w:val="24"/>
          <w:szCs w:val="24"/>
        </w:rPr>
        <w:t>II. La intervención del Comité de Transparencia.</w:t>
      </w:r>
    </w:p>
    <w:p w:rsidR="002317EC" w:rsidRDefault="002317EC">
      <w:pPr>
        <w:spacing w:after="0" w:line="360" w:lineRule="auto"/>
        <w:jc w:val="both"/>
        <w:rPr>
          <w:rFonts w:ascii="Palatino Linotype" w:eastAsia="Palatino Linotype" w:hAnsi="Palatino Linotype" w:cs="Palatino Linotype"/>
          <w:b/>
          <w:color w:val="000000"/>
          <w:sz w:val="24"/>
          <w:szCs w:val="24"/>
        </w:rPr>
      </w:pPr>
    </w:p>
    <w:p w:rsidR="002317EC" w:rsidRDefault="00893457">
      <w:pPr>
        <w:keepNext/>
        <w:keepLines/>
        <w:pBdr>
          <w:top w:val="nil"/>
          <w:left w:val="nil"/>
          <w:bottom w:val="nil"/>
          <w:right w:val="nil"/>
          <w:between w:val="nil"/>
        </w:pBdr>
        <w:spacing w:after="0" w:line="360" w:lineRule="auto"/>
        <w:rPr>
          <w:rFonts w:ascii="Palatino Linotype" w:eastAsia="Palatino Linotype" w:hAnsi="Palatino Linotype" w:cs="Palatino Linotype"/>
          <w:b/>
          <w:color w:val="000000"/>
          <w:sz w:val="24"/>
          <w:szCs w:val="24"/>
        </w:rPr>
      </w:pPr>
      <w:bookmarkStart w:id="23" w:name="_heading=h.1ci93xb" w:colFirst="0" w:colLast="0"/>
      <w:bookmarkEnd w:id="23"/>
      <w:r>
        <w:rPr>
          <w:rFonts w:ascii="Palatino Linotype" w:eastAsia="Palatino Linotype" w:hAnsi="Palatino Linotype" w:cs="Palatino Linotype"/>
          <w:b/>
          <w:color w:val="000000"/>
          <w:sz w:val="24"/>
          <w:szCs w:val="24"/>
        </w:rPr>
        <w:t>a) Formalidades para emitir el acuerdo de clasificación.</w:t>
      </w:r>
    </w:p>
    <w:p w:rsidR="002317EC" w:rsidRDefault="00893457">
      <w:pPr>
        <w:tabs>
          <w:tab w:val="left" w:pos="777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b/>
      </w: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317EC" w:rsidRDefault="002317EC">
      <w:pPr>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317EC" w:rsidRDefault="002317EC">
      <w:pPr>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317EC" w:rsidRDefault="002317EC">
      <w:pPr>
        <w:spacing w:after="0" w:line="360" w:lineRule="auto"/>
        <w:jc w:val="both"/>
        <w:rPr>
          <w:rFonts w:ascii="Palatino Linotype" w:eastAsia="Palatino Linotype" w:hAnsi="Palatino Linotype" w:cs="Palatino Linotype"/>
          <w:color w:val="000000"/>
          <w:sz w:val="24"/>
          <w:szCs w:val="24"/>
        </w:rPr>
      </w:pPr>
    </w:p>
    <w:p w:rsidR="002317EC" w:rsidRDefault="00893457">
      <w:pPr>
        <w:keepNext/>
        <w:keepLines/>
        <w:pBdr>
          <w:top w:val="nil"/>
          <w:left w:val="nil"/>
          <w:bottom w:val="nil"/>
          <w:right w:val="nil"/>
          <w:between w:val="nil"/>
        </w:pBdr>
        <w:spacing w:after="0" w:line="360" w:lineRule="auto"/>
        <w:rPr>
          <w:rFonts w:ascii="Palatino Linotype" w:eastAsia="Palatino Linotype" w:hAnsi="Palatino Linotype" w:cs="Palatino Linotype"/>
          <w:b/>
          <w:color w:val="000000"/>
          <w:sz w:val="24"/>
          <w:szCs w:val="24"/>
        </w:rPr>
      </w:pPr>
      <w:bookmarkStart w:id="24" w:name="_heading=h.3whwml4" w:colFirst="0" w:colLast="0"/>
      <w:bookmarkEnd w:id="24"/>
      <w:r>
        <w:rPr>
          <w:rFonts w:ascii="Palatino Linotype" w:eastAsia="Palatino Linotype" w:hAnsi="Palatino Linotype" w:cs="Palatino Linotype"/>
          <w:b/>
          <w:color w:val="000000"/>
          <w:sz w:val="24"/>
          <w:szCs w:val="24"/>
        </w:rPr>
        <w:t>b) Requisitos de fondo del acuerdo de clasificación.</w:t>
      </w:r>
    </w:p>
    <w:p w:rsidR="002317EC" w:rsidRDefault="002317EC">
      <w:pPr>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2317EC" w:rsidRDefault="002317EC">
      <w:pPr>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317EC" w:rsidRDefault="002317EC">
      <w:pPr>
        <w:shd w:val="clear" w:color="auto" w:fill="FFFFFF"/>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shd w:val="clear" w:color="auto" w:fill="FFFFFF"/>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Han sido vastos los estudios doctrinarios relativos a estos derechos fundamentales y al principio de legalidad en ellos contenidos; como ejemplo, el procesalista José Ovalle Fabela, en su obra “Garantías Constitucionales del Proceso”, refiere que “...</w:t>
      </w:r>
      <w:r>
        <w:rPr>
          <w:rFonts w:ascii="Palatino Linotype" w:eastAsia="Palatino Linotype" w:hAnsi="Palatino Linotype" w:cs="Palatino Linotype"/>
          <w:i/>
          <w:color w:val="000000"/>
          <w:sz w:val="24"/>
          <w:szCs w:val="24"/>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w:t>
      </w:r>
      <w:r>
        <w:rPr>
          <w:rFonts w:ascii="Palatino Linotype" w:eastAsia="Palatino Linotype" w:hAnsi="Palatino Linotype" w:cs="Palatino Linotype"/>
          <w:i/>
          <w:color w:val="000000"/>
          <w:sz w:val="24"/>
          <w:szCs w:val="24"/>
        </w:rPr>
        <w:lastRenderedPageBreak/>
        <w:t>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color w:val="000000"/>
          <w:sz w:val="24"/>
          <w:szCs w:val="24"/>
          <w:vertAlign w:val="superscript"/>
        </w:rPr>
        <w:footnoteReference w:id="12"/>
      </w:r>
    </w:p>
    <w:p w:rsidR="002317EC" w:rsidRDefault="002317EC">
      <w:pPr>
        <w:shd w:val="clear" w:color="auto" w:fill="FFFFFF"/>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shd w:val="clear" w:color="auto" w:fill="FFFFFF"/>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su parte, el intérprete judicial del país ha establecido una jurisprudencia respecto a qué debe entenderse por fundamentación y motivación, en los siguientes términos</w:t>
      </w:r>
      <w:r>
        <w:rPr>
          <w:rFonts w:ascii="Palatino Linotype" w:eastAsia="Palatino Linotype" w:hAnsi="Palatino Linotype" w:cs="Palatino Linotype"/>
          <w:i/>
          <w:color w:val="000000"/>
          <w:sz w:val="24"/>
          <w:szCs w:val="24"/>
          <w:vertAlign w:val="superscript"/>
        </w:rPr>
        <w:footnoteReference w:id="13"/>
      </w:r>
      <w:r>
        <w:rPr>
          <w:rFonts w:ascii="Palatino Linotype" w:eastAsia="Palatino Linotype" w:hAnsi="Palatino Linotype" w:cs="Palatino Linotype"/>
          <w:color w:val="000000"/>
          <w:sz w:val="24"/>
          <w:szCs w:val="24"/>
        </w:rPr>
        <w:t>:</w:t>
      </w:r>
    </w:p>
    <w:p w:rsidR="002317EC" w:rsidRDefault="002317EC">
      <w:pPr>
        <w:spacing w:after="0" w:line="360" w:lineRule="auto"/>
        <w:ind w:right="618"/>
        <w:jc w:val="both"/>
        <w:rPr>
          <w:rFonts w:ascii="Palatino Linotype" w:eastAsia="Palatino Linotype" w:hAnsi="Palatino Linotype" w:cs="Palatino Linotype"/>
          <w:color w:val="000000"/>
          <w:sz w:val="24"/>
          <w:szCs w:val="24"/>
        </w:rPr>
      </w:pPr>
    </w:p>
    <w:p w:rsidR="002317EC" w:rsidRDefault="00893457">
      <w:pPr>
        <w:spacing w:after="0" w:line="360" w:lineRule="auto"/>
        <w:ind w:left="567" w:right="618"/>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FUNDAMENTACIÓN Y MOTIVACIÓN.</w:t>
      </w:r>
      <w:r>
        <w:rPr>
          <w:rFonts w:ascii="Palatino Linotype" w:eastAsia="Palatino Linotype" w:hAnsi="Palatino Linotype" w:cs="Palatino Linotype"/>
          <w:i/>
          <w:color w:val="000000"/>
          <w:sz w:val="24"/>
          <w:szCs w:val="24"/>
        </w:rPr>
        <w:t xml:space="preserve"> “La </w:t>
      </w:r>
      <w:r>
        <w:rPr>
          <w:rFonts w:ascii="Palatino Linotype" w:eastAsia="Palatino Linotype" w:hAnsi="Palatino Linotype" w:cs="Palatino Linotype"/>
          <w:i/>
          <w:color w:val="000000"/>
          <w:sz w:val="24"/>
          <w:szCs w:val="24"/>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Pr>
          <w:rFonts w:ascii="Palatino Linotype" w:eastAsia="Palatino Linotype" w:hAnsi="Palatino Linotype" w:cs="Palatino Linotype"/>
          <w:i/>
          <w:color w:val="000000"/>
          <w:sz w:val="24"/>
          <w:szCs w:val="24"/>
        </w:rPr>
        <w:t>.”</w:t>
      </w:r>
    </w:p>
    <w:p w:rsidR="002317EC" w:rsidRDefault="002317EC">
      <w:pPr>
        <w:spacing w:after="0" w:line="360" w:lineRule="auto"/>
        <w:ind w:left="567"/>
        <w:jc w:val="both"/>
        <w:rPr>
          <w:rFonts w:ascii="Palatino Linotype" w:eastAsia="Palatino Linotype" w:hAnsi="Palatino Linotype" w:cs="Palatino Linotype"/>
          <w:color w:val="000000"/>
          <w:sz w:val="24"/>
          <w:szCs w:val="24"/>
        </w:rPr>
      </w:pPr>
    </w:p>
    <w:p w:rsidR="002317EC" w:rsidRDefault="00893457">
      <w:pPr>
        <w:numPr>
          <w:ilvl w:val="0"/>
          <w:numId w:val="7"/>
        </w:numPr>
        <w:shd w:val="clear" w:color="auto" w:fill="FFFFFF"/>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317EC" w:rsidRDefault="002317EC">
      <w:pPr>
        <w:shd w:val="clear" w:color="auto" w:fill="FFFFFF"/>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shd w:val="clear" w:color="auto" w:fill="FFFFFF"/>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317EC" w:rsidRDefault="002317EC">
      <w:pPr>
        <w:shd w:val="clear" w:color="auto" w:fill="FFFFFF"/>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shd w:val="clear" w:color="auto" w:fill="FFFFFF"/>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ese mismo sentido, el lineamiento trigésimo tercero fracción V de los Lineamientos Generales, precisa que para motivar la clasificación se deben acreditar las circunstancias de tiempo, modo y lugar.</w:t>
      </w:r>
    </w:p>
    <w:p w:rsidR="002317EC" w:rsidRDefault="002317EC">
      <w:pPr>
        <w:shd w:val="clear" w:color="auto" w:fill="FFFFFF"/>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shd w:val="clear" w:color="auto" w:fill="FFFFFF"/>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Pr>
          <w:rFonts w:ascii="Palatino Linotype" w:eastAsia="Palatino Linotype" w:hAnsi="Palatino Linotype" w:cs="Palatino Linotype"/>
          <w:color w:val="000000"/>
          <w:sz w:val="24"/>
          <w:szCs w:val="24"/>
          <w:vertAlign w:val="superscript"/>
        </w:rPr>
        <w:footnoteReference w:id="14"/>
      </w:r>
      <w:r>
        <w:rPr>
          <w:rFonts w:ascii="Palatino Linotype" w:eastAsia="Palatino Linotype" w:hAnsi="Palatino Linotype" w:cs="Palatino Linotype"/>
          <w:color w:val="000000"/>
          <w:sz w:val="24"/>
          <w:szCs w:val="24"/>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w:t>
      </w:r>
      <w:r>
        <w:rPr>
          <w:rFonts w:ascii="Palatino Linotype" w:eastAsia="Palatino Linotype" w:hAnsi="Palatino Linotype" w:cs="Palatino Linotype"/>
          <w:color w:val="000000"/>
          <w:sz w:val="24"/>
          <w:szCs w:val="24"/>
        </w:rPr>
        <w:lastRenderedPageBreak/>
        <w:t xml:space="preserve">denominados Códigos QR, estos son datos  susceptibles de clasificarse como confidenciales mediante una versión pública que deje a la vista los datos que ofrezcan la información requerida.  </w:t>
      </w:r>
    </w:p>
    <w:p w:rsidR="002317EC" w:rsidRDefault="002317EC">
      <w:pPr>
        <w:shd w:val="clear" w:color="auto" w:fill="FFFFFF"/>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shd w:val="clear" w:color="auto" w:fill="FFFFFF"/>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317EC" w:rsidRDefault="002317EC">
      <w:pPr>
        <w:spacing w:after="0" w:line="360" w:lineRule="auto"/>
        <w:jc w:val="both"/>
        <w:rPr>
          <w:rFonts w:ascii="Palatino Linotype" w:eastAsia="Palatino Linotype" w:hAnsi="Palatino Linotype" w:cs="Palatino Linotype"/>
          <w:color w:val="000000"/>
          <w:sz w:val="24"/>
          <w:szCs w:val="24"/>
        </w:rPr>
      </w:pPr>
    </w:p>
    <w:p w:rsidR="002317EC" w:rsidRDefault="00893457">
      <w:pPr>
        <w:keepNext/>
        <w:keepLines/>
        <w:pBdr>
          <w:top w:val="nil"/>
          <w:left w:val="nil"/>
          <w:bottom w:val="nil"/>
          <w:right w:val="nil"/>
          <w:between w:val="nil"/>
        </w:pBdr>
        <w:spacing w:before="40" w:after="0" w:line="360" w:lineRule="auto"/>
        <w:jc w:val="both"/>
        <w:rPr>
          <w:rFonts w:ascii="Palatino Linotype" w:eastAsia="Palatino Linotype" w:hAnsi="Palatino Linotype" w:cs="Palatino Linotype"/>
          <w:b/>
          <w:color w:val="000000"/>
          <w:sz w:val="24"/>
          <w:szCs w:val="24"/>
        </w:rPr>
      </w:pPr>
      <w:bookmarkStart w:id="25" w:name="_heading=h.2bn6wsx" w:colFirst="0" w:colLast="0"/>
      <w:bookmarkEnd w:id="25"/>
      <w:r>
        <w:rPr>
          <w:rFonts w:ascii="Palatino Linotype" w:eastAsia="Palatino Linotype" w:hAnsi="Palatino Linotype" w:cs="Palatino Linotype"/>
          <w:b/>
          <w:color w:val="000000"/>
          <w:sz w:val="24"/>
          <w:szCs w:val="24"/>
        </w:rPr>
        <w:t xml:space="preserve">III. Condiciones especiales de la clasificación de la información como reservada </w:t>
      </w:r>
    </w:p>
    <w:p w:rsidR="002317EC" w:rsidRDefault="002317EC">
      <w:pPr>
        <w:spacing w:after="0" w:line="360" w:lineRule="auto"/>
        <w:jc w:val="both"/>
        <w:rPr>
          <w:rFonts w:ascii="Palatino Linotype" w:eastAsia="Palatino Linotype" w:hAnsi="Palatino Linotype" w:cs="Palatino Linotype"/>
          <w:b/>
          <w:color w:val="000000"/>
          <w:sz w:val="24"/>
          <w:szCs w:val="24"/>
        </w:rPr>
      </w:pPr>
    </w:p>
    <w:p w:rsidR="002317EC" w:rsidRDefault="00893457">
      <w:pPr>
        <w:keepNext/>
        <w:keepLines/>
        <w:pBdr>
          <w:top w:val="nil"/>
          <w:left w:val="nil"/>
          <w:bottom w:val="nil"/>
          <w:right w:val="nil"/>
          <w:between w:val="nil"/>
        </w:pBdr>
        <w:spacing w:before="40" w:after="0" w:line="360" w:lineRule="auto"/>
        <w:rPr>
          <w:rFonts w:ascii="Palatino Linotype" w:eastAsia="Palatino Linotype" w:hAnsi="Palatino Linotype" w:cs="Palatino Linotype"/>
          <w:b/>
          <w:color w:val="000000"/>
          <w:sz w:val="24"/>
          <w:szCs w:val="24"/>
        </w:rPr>
      </w:pPr>
      <w:bookmarkStart w:id="26" w:name="_heading=h.qsh70q" w:colFirst="0" w:colLast="0"/>
      <w:bookmarkEnd w:id="26"/>
      <w:r>
        <w:rPr>
          <w:rFonts w:ascii="Palatino Linotype" w:eastAsia="Palatino Linotype" w:hAnsi="Palatino Linotype" w:cs="Palatino Linotype"/>
          <w:b/>
          <w:color w:val="000000"/>
          <w:sz w:val="24"/>
          <w:szCs w:val="24"/>
        </w:rPr>
        <w:t>a) La fundamentación específica.</w:t>
      </w:r>
    </w:p>
    <w:p w:rsidR="002317EC" w:rsidRDefault="002317EC">
      <w:pPr>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Más aún, los artículos 128, segundo párrafo, y 103, segundo párrafo, de las Leyes Estatal y General, respectivamente, señalan que en el caso de la información reservada, se deben de señalar las razones, motivos o circunstancias especiales que llevan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w:t>
      </w:r>
      <w:r>
        <w:rPr>
          <w:rFonts w:ascii="Palatino Linotype" w:eastAsia="Palatino Linotype" w:hAnsi="Palatino Linotype" w:cs="Palatino Linotype"/>
          <w:color w:val="000000"/>
          <w:sz w:val="24"/>
          <w:szCs w:val="24"/>
        </w:rPr>
        <w:lastRenderedPageBreak/>
        <w:t>algo, después se dice lo mismo y al final exactamente lo mismo, cambiando sólo el orden de las palabras.</w:t>
      </w:r>
    </w:p>
    <w:p w:rsidR="002317EC" w:rsidRDefault="002317EC">
      <w:pPr>
        <w:spacing w:after="0" w:line="360" w:lineRule="auto"/>
        <w:jc w:val="both"/>
        <w:rPr>
          <w:rFonts w:ascii="Palatino Linotype" w:eastAsia="Palatino Linotype" w:hAnsi="Palatino Linotype" w:cs="Palatino Linotype"/>
          <w:b/>
          <w:color w:val="000000"/>
          <w:sz w:val="24"/>
          <w:szCs w:val="24"/>
        </w:rPr>
      </w:pPr>
    </w:p>
    <w:p w:rsidR="002317EC" w:rsidRDefault="00893457">
      <w:pPr>
        <w:keepNext/>
        <w:keepLines/>
        <w:pBdr>
          <w:top w:val="nil"/>
          <w:left w:val="nil"/>
          <w:bottom w:val="nil"/>
          <w:right w:val="nil"/>
          <w:between w:val="nil"/>
        </w:pBdr>
        <w:spacing w:before="40" w:after="0" w:line="360" w:lineRule="auto"/>
        <w:rPr>
          <w:rFonts w:ascii="Palatino Linotype" w:eastAsia="Palatino Linotype" w:hAnsi="Palatino Linotype" w:cs="Palatino Linotype"/>
          <w:b/>
          <w:color w:val="000000"/>
          <w:sz w:val="24"/>
          <w:szCs w:val="24"/>
        </w:rPr>
      </w:pPr>
      <w:bookmarkStart w:id="27" w:name="_heading=h.3as4poj" w:colFirst="0" w:colLast="0"/>
      <w:bookmarkEnd w:id="27"/>
      <w:r>
        <w:rPr>
          <w:rFonts w:ascii="Palatino Linotype" w:eastAsia="Palatino Linotype" w:hAnsi="Palatino Linotype" w:cs="Palatino Linotype"/>
          <w:b/>
          <w:color w:val="000000"/>
          <w:sz w:val="24"/>
          <w:szCs w:val="24"/>
        </w:rPr>
        <w:t>b) La prueba de daño.</w:t>
      </w:r>
    </w:p>
    <w:p w:rsidR="002317EC" w:rsidRDefault="002317EC">
      <w:pPr>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2317EC" w:rsidRDefault="002317EC">
      <w:pPr>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Para aplicar la prueba de daño, se deberán de precisar las razones objetivas por las que la apertura genera una afectación, acreditando que:</w:t>
      </w:r>
    </w:p>
    <w:p w:rsidR="002317EC" w:rsidRDefault="00893457">
      <w:pPr>
        <w:numPr>
          <w:ilvl w:val="1"/>
          <w:numId w:val="7"/>
        </w:numPr>
        <w:tabs>
          <w:tab w:val="left" w:pos="426"/>
        </w:tabs>
        <w:spacing w:after="0" w:line="360" w:lineRule="auto"/>
        <w:ind w:left="1134" w:hanging="43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La divulgación de la información representa un riesgo real, demostrable e identificable del perjuicio significativo al interés público o a la seguridad pública; </w:t>
      </w:r>
    </w:p>
    <w:p w:rsidR="002317EC" w:rsidRDefault="00893457">
      <w:pPr>
        <w:numPr>
          <w:ilvl w:val="1"/>
          <w:numId w:val="7"/>
        </w:numPr>
        <w:tabs>
          <w:tab w:val="left" w:pos="426"/>
        </w:tabs>
        <w:spacing w:after="0" w:line="360" w:lineRule="auto"/>
        <w:ind w:left="1134" w:hanging="43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riesgo de perjuicio que supondría la divulgación supera el interés público general de que se difunda; y </w:t>
      </w:r>
    </w:p>
    <w:p w:rsidR="002317EC" w:rsidRDefault="00893457">
      <w:pPr>
        <w:numPr>
          <w:ilvl w:val="1"/>
          <w:numId w:val="7"/>
        </w:numPr>
        <w:tabs>
          <w:tab w:val="left" w:pos="426"/>
        </w:tabs>
        <w:spacing w:after="0" w:line="360" w:lineRule="auto"/>
        <w:ind w:left="1134" w:hanging="43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La limitación se adecua al principio de proporcionalidad y representa el medio menos restrictivo disponible para evitar el perjuicio.</w:t>
      </w:r>
    </w:p>
    <w:p w:rsidR="002317EC" w:rsidRDefault="002317EC">
      <w:pPr>
        <w:tabs>
          <w:tab w:val="left" w:pos="426"/>
        </w:tabs>
        <w:spacing w:after="0" w:line="360" w:lineRule="auto"/>
        <w:ind w:left="1134"/>
        <w:jc w:val="both"/>
        <w:rPr>
          <w:rFonts w:ascii="Palatino Linotype" w:eastAsia="Palatino Linotype" w:hAnsi="Palatino Linotype" w:cs="Palatino Linotype"/>
          <w:color w:val="000000"/>
          <w:sz w:val="24"/>
          <w:szCs w:val="24"/>
        </w:rPr>
      </w:pPr>
    </w:p>
    <w:p w:rsidR="002317EC" w:rsidRDefault="00893457">
      <w:pPr>
        <w:numPr>
          <w:ilvl w:val="0"/>
          <w:numId w:val="7"/>
        </w:numPr>
        <w:shd w:val="clear" w:color="auto" w:fill="FFFFFF"/>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Sobre el primer supuesto consideremos que según el diccionario del español jurídico, por riesgo podemos entender “</w:t>
      </w:r>
      <w:r>
        <w:rPr>
          <w:rFonts w:ascii="Palatino Linotype" w:eastAsia="Palatino Linotype" w:hAnsi="Palatino Linotype" w:cs="Palatino Linotype"/>
          <w:i/>
          <w:color w:val="000000"/>
          <w:sz w:val="24"/>
          <w:szCs w:val="24"/>
        </w:rPr>
        <w:t>la contingencia o proximidad de un daño</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color w:val="000000"/>
          <w:sz w:val="24"/>
          <w:szCs w:val="24"/>
          <w:vertAlign w:val="superscript"/>
        </w:rPr>
        <w:footnoteReference w:id="15"/>
      </w:r>
      <w:r>
        <w:rPr>
          <w:rFonts w:ascii="Palatino Linotype" w:eastAsia="Palatino Linotype" w:hAnsi="Palatino Linotype" w:cs="Palatino Linotype"/>
          <w:color w:val="000000"/>
          <w:sz w:val="24"/>
          <w:szCs w:val="24"/>
        </w:rPr>
        <w:t xml:space="preserve"> mientras que el daño es considerado como un “</w:t>
      </w:r>
      <w:r>
        <w:rPr>
          <w:rFonts w:ascii="Palatino Linotype" w:eastAsia="Palatino Linotype" w:hAnsi="Palatino Linotype" w:cs="Palatino Linotype"/>
          <w:i/>
          <w:color w:val="000000"/>
          <w:sz w:val="24"/>
          <w:szCs w:val="24"/>
        </w:rPr>
        <w:t>perjuicio o lesión</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color w:val="000000"/>
          <w:sz w:val="24"/>
          <w:szCs w:val="24"/>
          <w:vertAlign w:val="superscript"/>
        </w:rPr>
        <w:footnoteReference w:id="16"/>
      </w:r>
      <w:r>
        <w:rPr>
          <w:rFonts w:ascii="Palatino Linotype" w:eastAsia="Palatino Linotype" w:hAnsi="Palatino Linotype" w:cs="Palatino Linotype"/>
          <w:color w:val="000000"/>
          <w:sz w:val="24"/>
          <w:szCs w:val="24"/>
        </w:rPr>
        <w:t>, mientras que según el Diccionario de la Lengua Española, lo real es</w:t>
      </w:r>
      <w:r>
        <w:rPr>
          <w:rFonts w:ascii="Palatino Linotype" w:eastAsia="Palatino Linotype" w:hAnsi="Palatino Linotype" w:cs="Palatino Linotype"/>
          <w:color w:val="000000"/>
          <w:sz w:val="24"/>
          <w:szCs w:val="24"/>
          <w:highlight w:val="white"/>
        </w:rPr>
        <w:t xml:space="preserve"> lo “</w:t>
      </w:r>
      <w:r>
        <w:rPr>
          <w:rFonts w:ascii="Palatino Linotype" w:eastAsia="Palatino Linotype" w:hAnsi="Palatino Linotype" w:cs="Palatino Linotype"/>
          <w:i/>
          <w:color w:val="000000"/>
          <w:sz w:val="24"/>
          <w:szCs w:val="24"/>
        </w:rPr>
        <w:t>(que</w:t>
      </w:r>
      <w:r>
        <w:rPr>
          <w:rFonts w:ascii="Palatino Linotype" w:eastAsia="Palatino Linotype" w:hAnsi="Palatino Linotype" w:cs="Palatino Linotype"/>
          <w:i/>
          <w:color w:val="000000"/>
          <w:sz w:val="24"/>
          <w:szCs w:val="24"/>
          <w:highlight w:val="white"/>
        </w:rPr>
        <w:t xml:space="preserve"> </w:t>
      </w:r>
      <w:r>
        <w:rPr>
          <w:rFonts w:ascii="Palatino Linotype" w:eastAsia="Palatino Linotype" w:hAnsi="Palatino Linotype" w:cs="Palatino Linotype"/>
          <w:i/>
          <w:color w:val="000000"/>
          <w:sz w:val="24"/>
          <w:szCs w:val="24"/>
        </w:rPr>
        <w:t>tiene</w:t>
      </w:r>
      <w:r>
        <w:rPr>
          <w:rFonts w:ascii="Palatino Linotype" w:eastAsia="Palatino Linotype" w:hAnsi="Palatino Linotype" w:cs="Palatino Linotype"/>
          <w:i/>
          <w:color w:val="000000"/>
          <w:sz w:val="24"/>
          <w:szCs w:val="24"/>
          <w:highlight w:val="white"/>
        </w:rPr>
        <w:t xml:space="preserve"> </w:t>
      </w:r>
      <w:r>
        <w:rPr>
          <w:rFonts w:ascii="Palatino Linotype" w:eastAsia="Palatino Linotype" w:hAnsi="Palatino Linotype" w:cs="Palatino Linotype"/>
          <w:i/>
          <w:color w:val="000000"/>
          <w:sz w:val="24"/>
          <w:szCs w:val="24"/>
        </w:rPr>
        <w:t>existencia</w:t>
      </w:r>
      <w:r>
        <w:rPr>
          <w:rFonts w:ascii="Palatino Linotype" w:eastAsia="Palatino Linotype" w:hAnsi="Palatino Linotype" w:cs="Palatino Linotype"/>
          <w:i/>
          <w:color w:val="000000"/>
          <w:sz w:val="24"/>
          <w:szCs w:val="24"/>
          <w:highlight w:val="white"/>
        </w:rPr>
        <w:t xml:space="preserve"> </w:t>
      </w:r>
      <w:r>
        <w:rPr>
          <w:rFonts w:ascii="Palatino Linotype" w:eastAsia="Palatino Linotype" w:hAnsi="Palatino Linotype" w:cs="Palatino Linotype"/>
          <w:i/>
          <w:color w:val="000000"/>
          <w:sz w:val="24"/>
          <w:szCs w:val="24"/>
        </w:rPr>
        <w:t>objetiva</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color w:val="000000"/>
          <w:sz w:val="24"/>
          <w:szCs w:val="24"/>
          <w:vertAlign w:val="superscript"/>
        </w:rPr>
        <w:footnoteReference w:id="17"/>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highlight w:val="white"/>
        </w:rPr>
        <w:t>mientras que lo demostrables es, según la misma fuente, aquello que se puede demostrar,</w:t>
      </w:r>
      <w:r>
        <w:rPr>
          <w:rFonts w:ascii="Palatino Linotype" w:eastAsia="Palatino Linotype" w:hAnsi="Palatino Linotype" w:cs="Palatino Linotype"/>
          <w:color w:val="000000"/>
          <w:sz w:val="24"/>
          <w:szCs w:val="24"/>
          <w:highlight w:val="white"/>
          <w:vertAlign w:val="superscript"/>
        </w:rPr>
        <w:footnoteReference w:id="18"/>
      </w:r>
      <w:r>
        <w:rPr>
          <w:rFonts w:ascii="Palatino Linotype" w:eastAsia="Palatino Linotype" w:hAnsi="Palatino Linotype" w:cs="Palatino Linotype"/>
          <w:color w:val="000000"/>
          <w:sz w:val="24"/>
          <w:szCs w:val="24"/>
          <w:highlight w:val="white"/>
        </w:rPr>
        <w:t xml:space="preserve"> es decir, </w:t>
      </w:r>
      <w:r>
        <w:rPr>
          <w:rFonts w:ascii="Palatino Linotype" w:eastAsia="Palatino Linotype" w:hAnsi="Palatino Linotype" w:cs="Palatino Linotype"/>
          <w:i/>
          <w:color w:val="000000"/>
          <w:sz w:val="24"/>
          <w:szCs w:val="24"/>
        </w:rPr>
        <w:t>“(manifestar, declarar. Probar, sirviéndose de cualquier género de demostración, mostrar o exponer algo)</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color w:val="000000"/>
          <w:sz w:val="24"/>
          <w:szCs w:val="24"/>
          <w:vertAlign w:val="superscript"/>
        </w:rPr>
        <w:footnoteReference w:id="19"/>
      </w:r>
      <w:r>
        <w:rPr>
          <w:rFonts w:ascii="Palatino Linotype" w:eastAsia="Palatino Linotype" w:hAnsi="Palatino Linotype" w:cs="Palatino Linotype"/>
          <w:color w:val="000000"/>
          <w:sz w:val="24"/>
          <w:szCs w:val="24"/>
        </w:rPr>
        <w:t xml:space="preserve"> Mientras que lo identificable es lo que puede ser identificado,</w:t>
      </w:r>
      <w:r>
        <w:rPr>
          <w:rFonts w:ascii="Palatino Linotype" w:eastAsia="Palatino Linotype" w:hAnsi="Palatino Linotype" w:cs="Palatino Linotype"/>
          <w:color w:val="000000"/>
          <w:sz w:val="24"/>
          <w:szCs w:val="24"/>
          <w:vertAlign w:val="superscript"/>
        </w:rPr>
        <w:footnoteReference w:id="20"/>
      </w:r>
      <w:r>
        <w:rPr>
          <w:rFonts w:ascii="Palatino Linotype" w:eastAsia="Palatino Linotype" w:hAnsi="Palatino Linotype" w:cs="Palatino Linotype"/>
          <w:color w:val="000000"/>
          <w:sz w:val="24"/>
          <w:szCs w:val="24"/>
        </w:rPr>
        <w:t xml:space="preserve"> esto es, </w:t>
      </w:r>
      <w:r>
        <w:rPr>
          <w:rFonts w:ascii="Palatino Linotype" w:eastAsia="Palatino Linotype" w:hAnsi="Palatino Linotype" w:cs="Palatino Linotype"/>
          <w:i/>
          <w:color w:val="000000"/>
          <w:sz w:val="24"/>
          <w:szCs w:val="24"/>
        </w:rPr>
        <w:t>“(dar los datos necesarios para ser reconocido</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color w:val="000000"/>
          <w:sz w:val="24"/>
          <w:szCs w:val="24"/>
          <w:vertAlign w:val="superscript"/>
        </w:rPr>
        <w:footnoteReference w:id="21"/>
      </w:r>
    </w:p>
    <w:p w:rsidR="002317EC" w:rsidRDefault="002317EC">
      <w:pPr>
        <w:shd w:val="clear" w:color="auto" w:fill="FFFFFF"/>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317EC" w:rsidRDefault="002317EC">
      <w:pPr>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Identificado ese riesgo, se debe demostrar que el mismo supera el interés público general porque se difunda dicha información. </w:t>
      </w:r>
    </w:p>
    <w:p w:rsidR="002317EC" w:rsidRDefault="002317EC">
      <w:pPr>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Y, por último,  que la limitación es acorde con el principio de proporcionalidad, para ello, se sugiere emplear los tres juicios propuestos por la Corte Constitucional Colombiana</w:t>
      </w:r>
      <w:r>
        <w:rPr>
          <w:rFonts w:ascii="Palatino Linotype" w:eastAsia="Palatino Linotype" w:hAnsi="Palatino Linotype" w:cs="Palatino Linotype"/>
          <w:color w:val="000000"/>
          <w:sz w:val="24"/>
          <w:szCs w:val="24"/>
          <w:vertAlign w:val="superscript"/>
        </w:rPr>
        <w:footnoteReference w:id="22"/>
      </w:r>
      <w:r>
        <w:rPr>
          <w:rFonts w:ascii="Palatino Linotype" w:eastAsia="Palatino Linotype" w:hAnsi="Palatino Linotype" w:cs="Palatino Linotype"/>
          <w:color w:val="000000"/>
          <w:sz w:val="24"/>
          <w:szCs w:val="24"/>
        </w:rPr>
        <w:t>, siguiendo el principio de ponderación propuesto por el Tribunal Constitucional Alemán,</w:t>
      </w:r>
      <w:r>
        <w:rPr>
          <w:rFonts w:ascii="Palatino Linotype" w:eastAsia="Palatino Linotype" w:hAnsi="Palatino Linotype" w:cs="Palatino Linotype"/>
          <w:color w:val="000000"/>
          <w:sz w:val="24"/>
          <w:szCs w:val="24"/>
          <w:vertAlign w:val="superscript"/>
        </w:rPr>
        <w:footnoteReference w:id="23"/>
      </w:r>
      <w:r>
        <w:rPr>
          <w:rFonts w:ascii="Palatino Linotype" w:eastAsia="Palatino Linotype" w:hAnsi="Palatino Linotype" w:cs="Palatino Linotype"/>
          <w:color w:val="000000"/>
          <w:sz w:val="24"/>
          <w:szCs w:val="24"/>
        </w:rPr>
        <w:t xml:space="preserve"> el juicio de idoneidad, que la medida adoptada sea la idónea para el ejercicio del derecho; de necesidad, que sea necearía para que el derecho que prevalece se ejerza y el de estricta proporcionalidad esto es, que el </w:t>
      </w:r>
      <w:r>
        <w:rPr>
          <w:rFonts w:ascii="Palatino Linotype" w:eastAsia="Palatino Linotype" w:hAnsi="Palatino Linotype" w:cs="Palatino Linotype"/>
          <w:color w:val="000000"/>
          <w:sz w:val="24"/>
          <w:szCs w:val="24"/>
        </w:rPr>
        <w:lastRenderedPageBreak/>
        <w:t>derecho que prevalezca sea en la dimensión estrictamente proporcional al derecho que retrocede.</w:t>
      </w:r>
    </w:p>
    <w:p w:rsidR="002317EC" w:rsidRDefault="002317EC">
      <w:pPr>
        <w:spacing w:after="0" w:line="360" w:lineRule="auto"/>
        <w:rPr>
          <w:rFonts w:ascii="Palatino Linotype" w:eastAsia="Palatino Linotype" w:hAnsi="Palatino Linotype" w:cs="Palatino Linotype"/>
          <w:color w:val="000000"/>
          <w:sz w:val="24"/>
          <w:szCs w:val="24"/>
        </w:rPr>
      </w:pPr>
    </w:p>
    <w:p w:rsidR="002317EC" w:rsidRDefault="00893457">
      <w:pPr>
        <w:keepNext/>
        <w:keepLines/>
        <w:pBdr>
          <w:top w:val="nil"/>
          <w:left w:val="nil"/>
          <w:bottom w:val="nil"/>
          <w:right w:val="nil"/>
          <w:between w:val="nil"/>
        </w:pBdr>
        <w:spacing w:after="0" w:line="360" w:lineRule="auto"/>
        <w:rPr>
          <w:rFonts w:ascii="Palatino Linotype" w:eastAsia="Palatino Linotype" w:hAnsi="Palatino Linotype" w:cs="Palatino Linotype"/>
          <w:b/>
          <w:color w:val="000000"/>
          <w:sz w:val="24"/>
          <w:szCs w:val="24"/>
        </w:rPr>
      </w:pPr>
      <w:bookmarkStart w:id="28" w:name="_heading=h.1pxezwc" w:colFirst="0" w:colLast="0"/>
      <w:bookmarkEnd w:id="28"/>
      <w:r>
        <w:rPr>
          <w:rFonts w:ascii="Palatino Linotype" w:eastAsia="Palatino Linotype" w:hAnsi="Palatino Linotype" w:cs="Palatino Linotype"/>
          <w:b/>
          <w:color w:val="000000"/>
          <w:sz w:val="24"/>
          <w:szCs w:val="24"/>
        </w:rPr>
        <w:t>c) La clasificación de la información reservada debe ser de manera temporal.</w:t>
      </w:r>
    </w:p>
    <w:p w:rsidR="002317EC" w:rsidRDefault="002317EC">
      <w:pPr>
        <w:spacing w:after="0" w:line="360" w:lineRule="auto"/>
        <w:jc w:val="both"/>
        <w:rPr>
          <w:rFonts w:ascii="Palatino Linotype" w:eastAsia="Palatino Linotype" w:hAnsi="Palatino Linotype" w:cs="Palatino Linotype"/>
          <w:b/>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317EC" w:rsidRDefault="002317EC">
      <w:pPr>
        <w:tabs>
          <w:tab w:val="left" w:pos="426"/>
        </w:tabs>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2317EC" w:rsidRDefault="002317EC">
      <w:pPr>
        <w:tabs>
          <w:tab w:val="left" w:pos="426"/>
        </w:tabs>
        <w:spacing w:after="0" w:line="360" w:lineRule="auto"/>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317EC" w:rsidRDefault="002317EC">
      <w:pPr>
        <w:tabs>
          <w:tab w:val="left" w:pos="426"/>
        </w:tabs>
        <w:spacing w:after="0" w:line="360" w:lineRule="auto"/>
        <w:rPr>
          <w:rFonts w:ascii="Palatino Linotype" w:eastAsia="Palatino Linotype" w:hAnsi="Palatino Linotype" w:cs="Palatino Linotype"/>
          <w:b/>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De</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manera excepcional los sujetos obligados con la aprobación de su Comité de Transparen</w:t>
      </w:r>
      <w:bookmarkStart w:id="29" w:name="_GoBack"/>
      <w:bookmarkEnd w:id="29"/>
      <w:r>
        <w:rPr>
          <w:rFonts w:ascii="Palatino Linotype" w:eastAsia="Palatino Linotype" w:hAnsi="Palatino Linotype" w:cs="Palatino Linotype"/>
          <w:color w:val="000000"/>
          <w:sz w:val="24"/>
          <w:szCs w:val="24"/>
        </w:rPr>
        <w:t xml:space="preserve">cia, podrán ampliar el periodo de reserva hasta por un plazo de cinco años adicionales y por una sola vez, siempre y cuando justifiquen que subsisten las causas que dieron origen a su clasificación, mediante la aplicación de una prueba de daño. </w:t>
      </w:r>
    </w:p>
    <w:p w:rsidR="002317EC" w:rsidRDefault="002317EC">
      <w:pPr>
        <w:tabs>
          <w:tab w:val="left" w:pos="426"/>
        </w:tabs>
        <w:spacing w:after="0" w:line="360" w:lineRule="auto"/>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2317EC" w:rsidRDefault="002317EC">
      <w:pPr>
        <w:spacing w:after="0" w:line="360" w:lineRule="auto"/>
        <w:jc w:val="both"/>
        <w:rPr>
          <w:rFonts w:ascii="Palatino Linotype" w:eastAsia="Palatino Linotype" w:hAnsi="Palatino Linotype" w:cs="Palatino Linotype"/>
          <w:b/>
          <w:color w:val="000000"/>
          <w:sz w:val="24"/>
          <w:szCs w:val="24"/>
        </w:rPr>
      </w:pPr>
    </w:p>
    <w:p w:rsidR="002317EC" w:rsidRDefault="00893457">
      <w:pPr>
        <w:keepNext/>
        <w:keepLines/>
        <w:numPr>
          <w:ilvl w:val="0"/>
          <w:numId w:val="5"/>
        </w:numPr>
        <w:pBdr>
          <w:top w:val="nil"/>
          <w:left w:val="nil"/>
          <w:bottom w:val="nil"/>
          <w:right w:val="nil"/>
          <w:between w:val="nil"/>
        </w:pBdr>
        <w:spacing w:after="0" w:line="360" w:lineRule="auto"/>
        <w:ind w:left="426" w:hanging="426"/>
        <w:jc w:val="both"/>
        <w:rPr>
          <w:rFonts w:ascii="Palatino Linotype" w:eastAsia="Palatino Linotype" w:hAnsi="Palatino Linotype" w:cs="Palatino Linotype"/>
          <w:b/>
          <w:color w:val="000000"/>
          <w:sz w:val="24"/>
          <w:szCs w:val="24"/>
        </w:rPr>
      </w:pPr>
      <w:bookmarkStart w:id="30" w:name="_heading=h.49x2ik5" w:colFirst="0" w:colLast="0"/>
      <w:bookmarkEnd w:id="30"/>
      <w:r>
        <w:rPr>
          <w:rFonts w:ascii="Palatino Linotype" w:eastAsia="Palatino Linotype" w:hAnsi="Palatino Linotype" w:cs="Palatino Linotype"/>
          <w:b/>
          <w:color w:val="000000"/>
          <w:sz w:val="24"/>
          <w:szCs w:val="24"/>
        </w:rPr>
        <w:t>Condiciones especiales de la clasificación de la información como confidencial.</w:t>
      </w:r>
    </w:p>
    <w:p w:rsidR="002317EC" w:rsidRDefault="002317EC">
      <w:pPr>
        <w:shd w:val="clear" w:color="auto" w:fill="FFFFFF"/>
        <w:tabs>
          <w:tab w:val="left" w:pos="426"/>
        </w:tabs>
        <w:spacing w:before="280" w:after="28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shd w:val="clear" w:color="auto" w:fill="FFFFFF"/>
        <w:tabs>
          <w:tab w:val="left" w:pos="426"/>
        </w:tabs>
        <w:spacing w:before="280" w:after="28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b/>
          <w:i/>
          <w:color w:val="000000"/>
          <w:sz w:val="24"/>
          <w:szCs w:val="24"/>
        </w:rPr>
        <w:t>I.</w:t>
      </w:r>
      <w:r>
        <w:rPr>
          <w:rFonts w:ascii="Palatino Linotype" w:eastAsia="Palatino Linotype" w:hAnsi="Palatino Linotype" w:cs="Palatino Linotype"/>
          <w:i/>
          <w:color w:val="000000"/>
          <w:sz w:val="24"/>
          <w:szCs w:val="24"/>
        </w:rPr>
        <w:t xml:space="preserve"> La información se encuentre en registros públicos o fuentes de acceso público;</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lastRenderedPageBreak/>
        <w:t>II.</w:t>
      </w:r>
      <w:r>
        <w:rPr>
          <w:rFonts w:ascii="Palatino Linotype" w:eastAsia="Palatino Linotype" w:hAnsi="Palatino Linotype" w:cs="Palatino Linotype"/>
          <w:i/>
          <w:color w:val="000000"/>
          <w:sz w:val="24"/>
          <w:szCs w:val="24"/>
        </w:rPr>
        <w:t xml:space="preserve"> Por Ley tenga el carácter de pública;</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III.</w:t>
      </w:r>
      <w:r>
        <w:rPr>
          <w:rFonts w:ascii="Palatino Linotype" w:eastAsia="Palatino Linotype" w:hAnsi="Palatino Linotype" w:cs="Palatino Linotype"/>
          <w:i/>
          <w:color w:val="000000"/>
          <w:sz w:val="24"/>
          <w:szCs w:val="24"/>
        </w:rPr>
        <w:t xml:space="preserve"> Exista una orden judicial; </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IV.</w:t>
      </w:r>
      <w:r>
        <w:rPr>
          <w:rFonts w:ascii="Palatino Linotype" w:eastAsia="Palatino Linotype" w:hAnsi="Palatino Linotype" w:cs="Palatino Linotype"/>
          <w:i/>
          <w:color w:val="000000"/>
          <w:sz w:val="24"/>
          <w:szCs w:val="24"/>
        </w:rPr>
        <w:t xml:space="preserve"> Por razones de seguridad pública, o para proteger los derechos de terceros, se requiera su publicación; o </w:t>
      </w:r>
    </w:p>
    <w:p w:rsidR="002317EC" w:rsidRDefault="00893457">
      <w:pPr>
        <w:spacing w:after="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V.</w:t>
      </w:r>
      <w:r>
        <w:rPr>
          <w:rFonts w:ascii="Palatino Linotype" w:eastAsia="Palatino Linotype" w:hAnsi="Palatino Linotype" w:cs="Palatino Linotype"/>
          <w:i/>
          <w:color w:val="000000"/>
          <w:sz w:val="24"/>
          <w:szCs w:val="24"/>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w:t>
      </w:r>
    </w:p>
    <w:p w:rsidR="002317EC" w:rsidRDefault="002317EC">
      <w:pPr>
        <w:spacing w:after="0" w:line="360" w:lineRule="auto"/>
        <w:ind w:left="567" w:right="567"/>
        <w:jc w:val="both"/>
        <w:rPr>
          <w:rFonts w:ascii="Palatino Linotype" w:eastAsia="Palatino Linotype" w:hAnsi="Palatino Linotype" w:cs="Palatino Linotype"/>
          <w:i/>
          <w:color w:val="000000"/>
          <w:sz w:val="24"/>
          <w:szCs w:val="24"/>
        </w:rPr>
      </w:pPr>
    </w:p>
    <w:p w:rsidR="002317EC" w:rsidRDefault="00893457">
      <w:pPr>
        <w:numPr>
          <w:ilvl w:val="0"/>
          <w:numId w:val="7"/>
        </w:numPr>
        <w:shd w:val="clear" w:color="auto" w:fill="FFFFFF"/>
        <w:spacing w:before="280" w:after="28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317EC" w:rsidRDefault="002317EC">
      <w:pPr>
        <w:shd w:val="clear" w:color="auto" w:fill="FFFFFF"/>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shd w:val="clear" w:color="auto" w:fill="FFFFFF"/>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317EC" w:rsidRDefault="002317EC">
      <w:pPr>
        <w:shd w:val="clear" w:color="auto" w:fill="FFFFFF"/>
        <w:spacing w:after="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shd w:val="clear" w:color="auto" w:fill="FFFFFF"/>
        <w:spacing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w:t>
      </w:r>
      <w:r>
        <w:rPr>
          <w:rFonts w:ascii="Palatino Linotype" w:eastAsia="Palatino Linotype" w:hAnsi="Palatino Linotype" w:cs="Palatino Linotype"/>
          <w:color w:val="000000"/>
          <w:sz w:val="24"/>
          <w:szCs w:val="24"/>
        </w:rPr>
        <w:lastRenderedPageBreak/>
        <w:t>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la siguiente tabla.</w:t>
      </w:r>
    </w:p>
    <w:p w:rsidR="002317EC" w:rsidRDefault="002317EC">
      <w:pPr>
        <w:spacing w:after="0" w:line="360" w:lineRule="auto"/>
        <w:rPr>
          <w:rFonts w:ascii="Palatino Linotype" w:eastAsia="Palatino Linotype" w:hAnsi="Palatino Linotype" w:cs="Palatino Linotype"/>
          <w:color w:val="000000"/>
          <w:sz w:val="24"/>
          <w:szCs w:val="24"/>
        </w:rPr>
      </w:pPr>
    </w:p>
    <w:tbl>
      <w:tblPr>
        <w:tblStyle w:val="a"/>
        <w:tblW w:w="845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00"/>
        <w:gridCol w:w="1731"/>
        <w:gridCol w:w="2418"/>
        <w:gridCol w:w="2202"/>
      </w:tblGrid>
      <w:tr w:rsidR="002317EC">
        <w:tc>
          <w:tcPr>
            <w:tcW w:w="2100" w:type="dxa"/>
            <w:vMerge w:val="restart"/>
            <w:shd w:val="clear" w:color="auto" w:fill="D5DCE4"/>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Requisitos previos</w:t>
            </w:r>
          </w:p>
        </w:tc>
        <w:tc>
          <w:tcPr>
            <w:tcW w:w="1731"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sujetos obligados determinan que la información actualiza alguno de los supuestos de clasificación:</w:t>
            </w:r>
          </w:p>
        </w:tc>
        <w:tc>
          <w:tcPr>
            <w:tcW w:w="2418" w:type="dxa"/>
          </w:tcPr>
          <w:p w:rsidR="002317EC" w:rsidRDefault="002317EC">
            <w:pPr>
              <w:spacing w:line="360" w:lineRule="auto"/>
              <w:jc w:val="both"/>
              <w:rPr>
                <w:rFonts w:ascii="Palatino Linotype" w:eastAsia="Palatino Linotype" w:hAnsi="Palatino Linotype" w:cs="Palatino Linotype"/>
                <w:color w:val="000000"/>
              </w:rPr>
            </w:pPr>
          </w:p>
          <w:p w:rsidR="002317EC" w:rsidRDefault="00893457">
            <w:pPr>
              <w:numPr>
                <w:ilvl w:val="0"/>
                <w:numId w:val="3"/>
              </w:num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Confidencialidad </w:t>
            </w:r>
          </w:p>
          <w:p w:rsidR="002317EC" w:rsidRDefault="00893457">
            <w:pPr>
              <w:numPr>
                <w:ilvl w:val="0"/>
                <w:numId w:val="3"/>
              </w:num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Reserva</w:t>
            </w:r>
          </w:p>
        </w:tc>
        <w:tc>
          <w:tcPr>
            <w:tcW w:w="2202" w:type="dxa"/>
          </w:tcPr>
          <w:p w:rsidR="002317EC" w:rsidRDefault="002317EC">
            <w:pPr>
              <w:spacing w:line="360" w:lineRule="auto"/>
              <w:jc w:val="both"/>
              <w:rPr>
                <w:rFonts w:ascii="Palatino Linotype" w:eastAsia="Palatino Linotype" w:hAnsi="Palatino Linotype" w:cs="Palatino Linotype"/>
                <w:color w:val="000000"/>
              </w:rPr>
            </w:pPr>
          </w:p>
        </w:tc>
      </w:tr>
      <w:tr w:rsidR="002317EC">
        <w:tc>
          <w:tcPr>
            <w:tcW w:w="2100" w:type="dxa"/>
            <w:vMerge/>
            <w:shd w:val="clear" w:color="auto" w:fill="D5DCE4"/>
          </w:tcPr>
          <w:p w:rsidR="002317EC" w:rsidRDefault="002317EC">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1731"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titulares de las áreas que administran la información son los que aprueban la clasificación </w:t>
            </w:r>
          </w:p>
        </w:tc>
        <w:tc>
          <w:tcPr>
            <w:tcW w:w="2418" w:type="dxa"/>
          </w:tcPr>
          <w:p w:rsidR="002317EC" w:rsidRDefault="002317EC">
            <w:pPr>
              <w:spacing w:line="360" w:lineRule="auto"/>
              <w:jc w:val="both"/>
              <w:rPr>
                <w:rFonts w:ascii="Palatino Linotype" w:eastAsia="Palatino Linotype" w:hAnsi="Palatino Linotype" w:cs="Palatino Linotype"/>
                <w:color w:val="000000"/>
              </w:rPr>
            </w:pPr>
          </w:p>
        </w:tc>
        <w:tc>
          <w:tcPr>
            <w:tcW w:w="2202" w:type="dxa"/>
          </w:tcPr>
          <w:p w:rsidR="002317EC" w:rsidRDefault="002317EC">
            <w:pPr>
              <w:spacing w:line="360" w:lineRule="auto"/>
              <w:jc w:val="both"/>
              <w:rPr>
                <w:rFonts w:ascii="Palatino Linotype" w:eastAsia="Palatino Linotype" w:hAnsi="Palatino Linotype" w:cs="Palatino Linotype"/>
                <w:color w:val="000000"/>
              </w:rPr>
            </w:pPr>
          </w:p>
        </w:tc>
      </w:tr>
      <w:tr w:rsidR="002317EC">
        <w:tc>
          <w:tcPr>
            <w:tcW w:w="2100" w:type="dxa"/>
            <w:vMerge/>
            <w:shd w:val="clear" w:color="auto" w:fill="D5DCE4"/>
          </w:tcPr>
          <w:p w:rsidR="002317EC" w:rsidRDefault="002317EC">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1731"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clasificación de la información se realiza al momento de:</w:t>
            </w:r>
          </w:p>
        </w:tc>
        <w:tc>
          <w:tcPr>
            <w:tcW w:w="2418" w:type="dxa"/>
          </w:tcPr>
          <w:p w:rsidR="002317EC" w:rsidRDefault="00893457">
            <w:pPr>
              <w:numPr>
                <w:ilvl w:val="0"/>
                <w:numId w:val="2"/>
              </w:num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Atender una solicitud</w:t>
            </w:r>
          </w:p>
          <w:p w:rsidR="002317EC" w:rsidRDefault="00893457">
            <w:pPr>
              <w:numPr>
                <w:ilvl w:val="0"/>
                <w:numId w:val="2"/>
              </w:num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mandato de una autoridad competente</w:t>
            </w:r>
          </w:p>
          <w:p w:rsidR="002317EC" w:rsidRDefault="00893457">
            <w:pPr>
              <w:numPr>
                <w:ilvl w:val="0"/>
                <w:numId w:val="2"/>
              </w:num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Para elaborar una versión pública y cumplir una obligación de transparencia</w:t>
            </w:r>
          </w:p>
        </w:tc>
        <w:tc>
          <w:tcPr>
            <w:tcW w:w="2202" w:type="dxa"/>
          </w:tcPr>
          <w:p w:rsidR="002317EC" w:rsidRDefault="002317EC">
            <w:pPr>
              <w:spacing w:line="360" w:lineRule="auto"/>
              <w:jc w:val="both"/>
              <w:rPr>
                <w:rFonts w:ascii="Palatino Linotype" w:eastAsia="Palatino Linotype" w:hAnsi="Palatino Linotype" w:cs="Palatino Linotype"/>
                <w:color w:val="000000"/>
              </w:rPr>
            </w:pPr>
          </w:p>
        </w:tc>
      </w:tr>
      <w:tr w:rsidR="002317EC">
        <w:tc>
          <w:tcPr>
            <w:tcW w:w="2100" w:type="dxa"/>
            <w:vMerge/>
            <w:shd w:val="clear" w:color="auto" w:fill="D5DCE4"/>
          </w:tcPr>
          <w:p w:rsidR="002317EC" w:rsidRDefault="002317EC">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1731"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se pueden emitir acuerdos de carácter general ni particular</w:t>
            </w:r>
          </w:p>
        </w:tc>
        <w:tc>
          <w:tcPr>
            <w:tcW w:w="2418"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 emitir un acuerdo describiendo y analizando cada documento de un expediente y todos los datos incluidos en un documento </w:t>
            </w:r>
          </w:p>
        </w:tc>
        <w:tc>
          <w:tcPr>
            <w:tcW w:w="2202" w:type="dxa"/>
          </w:tcPr>
          <w:p w:rsidR="002317EC" w:rsidRDefault="002317EC">
            <w:pPr>
              <w:spacing w:line="360" w:lineRule="auto"/>
              <w:jc w:val="both"/>
              <w:rPr>
                <w:rFonts w:ascii="Palatino Linotype" w:eastAsia="Palatino Linotype" w:hAnsi="Palatino Linotype" w:cs="Palatino Linotype"/>
                <w:color w:val="000000"/>
              </w:rPr>
            </w:pPr>
          </w:p>
        </w:tc>
      </w:tr>
      <w:tr w:rsidR="002317EC">
        <w:tc>
          <w:tcPr>
            <w:tcW w:w="2100" w:type="dxa"/>
            <w:vMerge w:val="restart"/>
            <w:shd w:val="clear" w:color="auto" w:fill="D5DCE4"/>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Supuestos de clasificación</w:t>
            </w:r>
          </w:p>
        </w:tc>
        <w:tc>
          <w:tcPr>
            <w:tcW w:w="1731"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clasificar la información </w:t>
            </w:r>
            <w:r>
              <w:rPr>
                <w:rFonts w:ascii="Palatino Linotype" w:eastAsia="Palatino Linotype" w:hAnsi="Palatino Linotype" w:cs="Palatino Linotype"/>
                <w:color w:val="000000"/>
              </w:rPr>
              <w:lastRenderedPageBreak/>
              <w:t>como reservada hay</w:t>
            </w:r>
          </w:p>
        </w:tc>
        <w:tc>
          <w:tcPr>
            <w:tcW w:w="2418" w:type="dxa"/>
          </w:tcPr>
          <w:p w:rsidR="002317EC" w:rsidRDefault="00893457">
            <w:pPr>
              <w:numPr>
                <w:ilvl w:val="0"/>
                <w:numId w:val="4"/>
              </w:num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11 supuestos en la Ley Estatal</w:t>
            </w:r>
          </w:p>
          <w:p w:rsidR="002317EC" w:rsidRDefault="00893457">
            <w:pPr>
              <w:numPr>
                <w:ilvl w:val="0"/>
                <w:numId w:val="4"/>
              </w:num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13 supuestos en la Ley General</w:t>
            </w:r>
          </w:p>
        </w:tc>
        <w:tc>
          <w:tcPr>
            <w:tcW w:w="2202"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 identificar claramente la </w:t>
            </w:r>
            <w:r>
              <w:rPr>
                <w:rFonts w:ascii="Palatino Linotype" w:eastAsia="Palatino Linotype" w:hAnsi="Palatino Linotype" w:cs="Palatino Linotype"/>
                <w:color w:val="000000"/>
              </w:rPr>
              <w:lastRenderedPageBreak/>
              <w:t>información que se pretende clasificar y realizar un juicio de subsunción o encaje</w:t>
            </w:r>
          </w:p>
        </w:tc>
      </w:tr>
      <w:tr w:rsidR="002317EC">
        <w:tc>
          <w:tcPr>
            <w:tcW w:w="2100" w:type="dxa"/>
            <w:vMerge/>
            <w:shd w:val="clear" w:color="auto" w:fill="D5DCE4"/>
          </w:tcPr>
          <w:p w:rsidR="002317EC" w:rsidRDefault="002317EC">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1731"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Para clasificar la información como confidencial hay</w:t>
            </w:r>
          </w:p>
        </w:tc>
        <w:tc>
          <w:tcPr>
            <w:tcW w:w="2418"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que considerar la definición de dato personal</w:t>
            </w:r>
          </w:p>
        </w:tc>
        <w:tc>
          <w:tcPr>
            <w:tcW w:w="2202" w:type="dxa"/>
          </w:tcPr>
          <w:p w:rsidR="002317EC" w:rsidRDefault="002317EC">
            <w:pPr>
              <w:spacing w:line="360" w:lineRule="auto"/>
              <w:jc w:val="both"/>
              <w:rPr>
                <w:rFonts w:ascii="Palatino Linotype" w:eastAsia="Palatino Linotype" w:hAnsi="Palatino Linotype" w:cs="Palatino Linotype"/>
                <w:color w:val="000000"/>
              </w:rPr>
            </w:pPr>
          </w:p>
        </w:tc>
      </w:tr>
      <w:tr w:rsidR="002317EC">
        <w:tc>
          <w:tcPr>
            <w:tcW w:w="2100" w:type="dxa"/>
            <w:vMerge/>
            <w:shd w:val="clear" w:color="auto" w:fill="D5DCE4"/>
          </w:tcPr>
          <w:p w:rsidR="002317EC" w:rsidRDefault="002317EC">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1731"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Estos supuestos se aplican de manera restrictiva y estricta, no pueden ampliarse</w:t>
            </w:r>
          </w:p>
        </w:tc>
        <w:tc>
          <w:tcPr>
            <w:tcW w:w="2418" w:type="dxa"/>
          </w:tcPr>
          <w:p w:rsidR="002317EC" w:rsidRDefault="002317EC">
            <w:pPr>
              <w:spacing w:line="360" w:lineRule="auto"/>
              <w:jc w:val="both"/>
              <w:rPr>
                <w:rFonts w:ascii="Palatino Linotype" w:eastAsia="Palatino Linotype" w:hAnsi="Palatino Linotype" w:cs="Palatino Linotype"/>
                <w:color w:val="000000"/>
              </w:rPr>
            </w:pPr>
          </w:p>
        </w:tc>
        <w:tc>
          <w:tcPr>
            <w:tcW w:w="2202" w:type="dxa"/>
          </w:tcPr>
          <w:p w:rsidR="002317EC" w:rsidRDefault="002317EC">
            <w:pPr>
              <w:spacing w:line="360" w:lineRule="auto"/>
              <w:jc w:val="both"/>
              <w:rPr>
                <w:rFonts w:ascii="Palatino Linotype" w:eastAsia="Palatino Linotype" w:hAnsi="Palatino Linotype" w:cs="Palatino Linotype"/>
                <w:color w:val="000000"/>
              </w:rPr>
            </w:pPr>
          </w:p>
        </w:tc>
      </w:tr>
      <w:tr w:rsidR="002317EC">
        <w:tc>
          <w:tcPr>
            <w:tcW w:w="2100" w:type="dxa"/>
            <w:vMerge w:val="restart"/>
            <w:shd w:val="clear" w:color="auto" w:fill="D5DCE4"/>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Excepciones a la clasificación de reserva</w:t>
            </w:r>
          </w:p>
        </w:tc>
        <w:tc>
          <w:tcPr>
            <w:tcW w:w="1731" w:type="dxa"/>
            <w:vMerge w:val="restart"/>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puede clasificarse como </w:t>
            </w:r>
            <w:r>
              <w:rPr>
                <w:rFonts w:ascii="Palatino Linotype" w:eastAsia="Palatino Linotype" w:hAnsi="Palatino Linotype" w:cs="Palatino Linotype"/>
                <w:color w:val="000000"/>
              </w:rPr>
              <w:lastRenderedPageBreak/>
              <w:t>información reservada la concerniente a:</w:t>
            </w:r>
          </w:p>
        </w:tc>
        <w:tc>
          <w:tcPr>
            <w:tcW w:w="2418"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Actos (probados o en investigación) graves de </w:t>
            </w:r>
            <w:r>
              <w:rPr>
                <w:rFonts w:ascii="Palatino Linotype" w:eastAsia="Palatino Linotype" w:hAnsi="Palatino Linotype" w:cs="Palatino Linotype"/>
                <w:color w:val="000000"/>
              </w:rPr>
              <w:lastRenderedPageBreak/>
              <w:t>violaciones a derechos humanos</w:t>
            </w:r>
          </w:p>
        </w:tc>
        <w:tc>
          <w:tcPr>
            <w:tcW w:w="2202" w:type="dxa"/>
          </w:tcPr>
          <w:p w:rsidR="002317EC" w:rsidRDefault="002317EC">
            <w:pPr>
              <w:spacing w:line="360" w:lineRule="auto"/>
              <w:jc w:val="both"/>
              <w:rPr>
                <w:rFonts w:ascii="Palatino Linotype" w:eastAsia="Palatino Linotype" w:hAnsi="Palatino Linotype" w:cs="Palatino Linotype"/>
                <w:color w:val="000000"/>
              </w:rPr>
            </w:pPr>
          </w:p>
        </w:tc>
      </w:tr>
      <w:tr w:rsidR="002317EC">
        <w:tc>
          <w:tcPr>
            <w:tcW w:w="2100" w:type="dxa"/>
            <w:vMerge/>
            <w:shd w:val="clear" w:color="auto" w:fill="D5DCE4"/>
          </w:tcPr>
          <w:p w:rsidR="002317EC" w:rsidRDefault="002317EC">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1731" w:type="dxa"/>
            <w:vMerge/>
          </w:tcPr>
          <w:p w:rsidR="002317EC" w:rsidRDefault="002317EC">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2418"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Delitos de lessa humanidad</w:t>
            </w:r>
          </w:p>
        </w:tc>
        <w:tc>
          <w:tcPr>
            <w:tcW w:w="2202" w:type="dxa"/>
          </w:tcPr>
          <w:p w:rsidR="002317EC" w:rsidRDefault="002317EC">
            <w:pPr>
              <w:spacing w:line="360" w:lineRule="auto"/>
              <w:jc w:val="both"/>
              <w:rPr>
                <w:rFonts w:ascii="Palatino Linotype" w:eastAsia="Palatino Linotype" w:hAnsi="Palatino Linotype" w:cs="Palatino Linotype"/>
                <w:color w:val="000000"/>
              </w:rPr>
            </w:pPr>
          </w:p>
        </w:tc>
      </w:tr>
      <w:tr w:rsidR="002317EC">
        <w:tc>
          <w:tcPr>
            <w:tcW w:w="2100" w:type="dxa"/>
            <w:vMerge/>
            <w:shd w:val="clear" w:color="auto" w:fill="D5DCE4"/>
          </w:tcPr>
          <w:p w:rsidR="002317EC" w:rsidRDefault="002317EC">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1731" w:type="dxa"/>
            <w:vMerge/>
          </w:tcPr>
          <w:p w:rsidR="002317EC" w:rsidRDefault="002317EC">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2418"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Actos de Corrupción</w:t>
            </w:r>
          </w:p>
        </w:tc>
        <w:tc>
          <w:tcPr>
            <w:tcW w:w="2202"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comprendidos en el Título Sexto del Código Penal del Estado</w:t>
            </w:r>
          </w:p>
        </w:tc>
      </w:tr>
      <w:tr w:rsidR="002317EC">
        <w:tc>
          <w:tcPr>
            <w:tcW w:w="2100" w:type="dxa"/>
            <w:vMerge w:val="restart"/>
            <w:shd w:val="clear" w:color="auto" w:fill="D5DCE4"/>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Participación del Comité de Transparencia</w:t>
            </w:r>
          </w:p>
        </w:tc>
        <w:tc>
          <w:tcPr>
            <w:tcW w:w="1731" w:type="dxa"/>
            <w:vMerge w:val="restart"/>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Formalidades</w:t>
            </w:r>
          </w:p>
        </w:tc>
        <w:tc>
          <w:tcPr>
            <w:tcW w:w="2418"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Comité debe de estar debidamente integrado</w:t>
            </w:r>
          </w:p>
        </w:tc>
        <w:tc>
          <w:tcPr>
            <w:tcW w:w="2202" w:type="dxa"/>
          </w:tcPr>
          <w:p w:rsidR="002317EC" w:rsidRDefault="002317EC">
            <w:pPr>
              <w:spacing w:line="360" w:lineRule="auto"/>
              <w:jc w:val="both"/>
              <w:rPr>
                <w:rFonts w:ascii="Palatino Linotype" w:eastAsia="Palatino Linotype" w:hAnsi="Palatino Linotype" w:cs="Palatino Linotype"/>
                <w:color w:val="000000"/>
              </w:rPr>
            </w:pPr>
          </w:p>
        </w:tc>
      </w:tr>
      <w:tr w:rsidR="002317EC">
        <w:tc>
          <w:tcPr>
            <w:tcW w:w="2100" w:type="dxa"/>
            <w:vMerge/>
            <w:shd w:val="clear" w:color="auto" w:fill="D5DCE4"/>
          </w:tcPr>
          <w:p w:rsidR="002317EC" w:rsidRDefault="002317EC">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1731" w:type="dxa"/>
            <w:vMerge/>
          </w:tcPr>
          <w:p w:rsidR="002317EC" w:rsidRDefault="002317EC">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2418"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Comité no aprueba la clasificación, sólo: confirma, modifica o revoca la decisión de las áreas </w:t>
            </w:r>
          </w:p>
        </w:tc>
        <w:tc>
          <w:tcPr>
            <w:tcW w:w="2202" w:type="dxa"/>
          </w:tcPr>
          <w:p w:rsidR="002317EC" w:rsidRDefault="002317EC">
            <w:pPr>
              <w:spacing w:line="360" w:lineRule="auto"/>
              <w:jc w:val="both"/>
              <w:rPr>
                <w:rFonts w:ascii="Palatino Linotype" w:eastAsia="Palatino Linotype" w:hAnsi="Palatino Linotype" w:cs="Palatino Linotype"/>
                <w:color w:val="000000"/>
              </w:rPr>
            </w:pPr>
          </w:p>
        </w:tc>
      </w:tr>
      <w:tr w:rsidR="002317EC">
        <w:tc>
          <w:tcPr>
            <w:tcW w:w="2100" w:type="dxa"/>
            <w:shd w:val="clear" w:color="auto" w:fill="D5DCE4"/>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Fondo del acuerdo de clasificación</w:t>
            </w:r>
          </w:p>
        </w:tc>
        <w:tc>
          <w:tcPr>
            <w:tcW w:w="1731"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carga de la prueba para justificar la restricción corresponde al </w:t>
            </w:r>
            <w:r>
              <w:rPr>
                <w:rFonts w:ascii="Palatino Linotype" w:eastAsia="Palatino Linotype" w:hAnsi="Palatino Linotype" w:cs="Palatino Linotype"/>
                <w:b/>
                <w:color w:val="000000"/>
              </w:rPr>
              <w:t>SUJETO OBLIGADO</w:t>
            </w:r>
          </w:p>
        </w:tc>
        <w:tc>
          <w:tcPr>
            <w:tcW w:w="2418"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Deber de fundar y motivar</w:t>
            </w:r>
          </w:p>
        </w:tc>
        <w:tc>
          <w:tcPr>
            <w:tcW w:w="2202" w:type="dxa"/>
          </w:tcPr>
          <w:p w:rsidR="002317EC" w:rsidRDefault="002317EC">
            <w:pPr>
              <w:spacing w:line="360" w:lineRule="auto"/>
              <w:jc w:val="both"/>
              <w:rPr>
                <w:rFonts w:ascii="Palatino Linotype" w:eastAsia="Palatino Linotype" w:hAnsi="Palatino Linotype" w:cs="Palatino Linotype"/>
                <w:color w:val="000000"/>
              </w:rPr>
            </w:pPr>
          </w:p>
        </w:tc>
      </w:tr>
      <w:tr w:rsidR="002317EC">
        <w:trPr>
          <w:trHeight w:val="486"/>
        </w:trPr>
        <w:tc>
          <w:tcPr>
            <w:tcW w:w="2100" w:type="dxa"/>
            <w:vMerge w:val="restart"/>
            <w:shd w:val="clear" w:color="auto" w:fill="D5DCE4"/>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Condiciones especiales de la reserva</w:t>
            </w:r>
          </w:p>
        </w:tc>
        <w:tc>
          <w:tcPr>
            <w:tcW w:w="1731" w:type="dxa"/>
            <w:vMerge w:val="restart"/>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Motivar implica</w:t>
            </w:r>
          </w:p>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se debe aplicar, caso por caso, una prueba de daño.</w:t>
            </w:r>
          </w:p>
        </w:tc>
        <w:tc>
          <w:tcPr>
            <w:tcW w:w="2418" w:type="dxa"/>
            <w:vMerge w:val="restart"/>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Señalar las razones, motivos o circunstancias.</w:t>
            </w:r>
          </w:p>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deben señalar las razones objetivas y acreditar.</w:t>
            </w:r>
          </w:p>
          <w:p w:rsidR="002317EC" w:rsidRDefault="002317EC">
            <w:pPr>
              <w:spacing w:line="360" w:lineRule="auto"/>
              <w:jc w:val="both"/>
              <w:rPr>
                <w:rFonts w:ascii="Palatino Linotype" w:eastAsia="Palatino Linotype" w:hAnsi="Palatino Linotype" w:cs="Palatino Linotype"/>
                <w:color w:val="000000"/>
              </w:rPr>
            </w:pPr>
          </w:p>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*Adquiere la condición especial de ser temporal por un periodo de 5 años con la posibilidad de ampliarse por un periodo igual.</w:t>
            </w:r>
          </w:p>
        </w:tc>
        <w:tc>
          <w:tcPr>
            <w:tcW w:w="2202" w:type="dxa"/>
            <w:vMerge w:val="restart"/>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Que entregar la información provoca un riesgo real, demostrable e identificable al interés público o a la seguridad pública</w:t>
            </w:r>
          </w:p>
        </w:tc>
      </w:tr>
      <w:tr w:rsidR="002317EC">
        <w:trPr>
          <w:trHeight w:val="486"/>
        </w:trPr>
        <w:tc>
          <w:tcPr>
            <w:tcW w:w="2100" w:type="dxa"/>
            <w:vMerge/>
            <w:shd w:val="clear" w:color="auto" w:fill="D5DCE4"/>
          </w:tcPr>
          <w:p w:rsidR="002317EC" w:rsidRDefault="002317EC">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1731" w:type="dxa"/>
            <w:vMerge/>
          </w:tcPr>
          <w:p w:rsidR="002317EC" w:rsidRDefault="002317EC">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2418" w:type="dxa"/>
            <w:vMerge/>
          </w:tcPr>
          <w:p w:rsidR="002317EC" w:rsidRDefault="002317EC">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2202" w:type="dxa"/>
            <w:vMerge/>
          </w:tcPr>
          <w:p w:rsidR="002317EC" w:rsidRDefault="002317EC">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r>
      <w:tr w:rsidR="002317EC">
        <w:tc>
          <w:tcPr>
            <w:tcW w:w="2100" w:type="dxa"/>
            <w:vMerge/>
            <w:shd w:val="clear" w:color="auto" w:fill="D5DCE4"/>
          </w:tcPr>
          <w:p w:rsidR="002317EC" w:rsidRDefault="002317EC">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1731" w:type="dxa"/>
            <w:vMerge/>
          </w:tcPr>
          <w:p w:rsidR="002317EC" w:rsidRDefault="002317EC">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2418" w:type="dxa"/>
            <w:vMerge/>
          </w:tcPr>
          <w:p w:rsidR="002317EC" w:rsidRDefault="002317EC">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2202"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riesgo por divulgar es mayor que el interés público de que se difunda  </w:t>
            </w:r>
          </w:p>
        </w:tc>
      </w:tr>
      <w:tr w:rsidR="002317EC">
        <w:trPr>
          <w:trHeight w:val="1454"/>
        </w:trPr>
        <w:tc>
          <w:tcPr>
            <w:tcW w:w="2100" w:type="dxa"/>
            <w:vMerge/>
            <w:shd w:val="clear" w:color="auto" w:fill="D5DCE4"/>
          </w:tcPr>
          <w:p w:rsidR="002317EC" w:rsidRDefault="002317EC">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1731" w:type="dxa"/>
            <w:vMerge/>
          </w:tcPr>
          <w:p w:rsidR="002317EC" w:rsidRDefault="002317EC">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2418" w:type="dxa"/>
            <w:vMerge/>
          </w:tcPr>
          <w:p w:rsidR="002317EC" w:rsidRDefault="002317EC">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2202"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principio de proporcionalidad</w:t>
            </w:r>
          </w:p>
        </w:tc>
      </w:tr>
      <w:tr w:rsidR="002317EC">
        <w:tc>
          <w:tcPr>
            <w:tcW w:w="2100" w:type="dxa"/>
            <w:vMerge w:val="restart"/>
            <w:shd w:val="clear" w:color="auto" w:fill="D5DCE4"/>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Condiciones especiales de la confidencialidad</w:t>
            </w:r>
          </w:p>
        </w:tc>
        <w:tc>
          <w:tcPr>
            <w:tcW w:w="1731"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clasificar se debe verificar que no se encuentre en los supuestos del artículo </w:t>
            </w:r>
            <w:r>
              <w:rPr>
                <w:rFonts w:ascii="Palatino Linotype" w:eastAsia="Palatino Linotype" w:hAnsi="Palatino Linotype" w:cs="Palatino Linotype"/>
                <w:color w:val="000000"/>
              </w:rPr>
              <w:lastRenderedPageBreak/>
              <w:t xml:space="preserve">148 de la ley Estatal </w:t>
            </w:r>
          </w:p>
        </w:tc>
        <w:tc>
          <w:tcPr>
            <w:tcW w:w="2418"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Si se encuentra en los supuestos de dicho artículo se entrega aún sin consentimiento del titular del dato personal </w:t>
            </w:r>
          </w:p>
        </w:tc>
        <w:tc>
          <w:tcPr>
            <w:tcW w:w="2202" w:type="dxa"/>
          </w:tcPr>
          <w:p w:rsidR="002317EC" w:rsidRDefault="002317EC">
            <w:pPr>
              <w:spacing w:line="360" w:lineRule="auto"/>
              <w:jc w:val="both"/>
              <w:rPr>
                <w:rFonts w:ascii="Palatino Linotype" w:eastAsia="Palatino Linotype" w:hAnsi="Palatino Linotype" w:cs="Palatino Linotype"/>
                <w:color w:val="000000"/>
              </w:rPr>
            </w:pPr>
          </w:p>
        </w:tc>
      </w:tr>
      <w:tr w:rsidR="002317EC">
        <w:trPr>
          <w:trHeight w:val="3404"/>
        </w:trPr>
        <w:tc>
          <w:tcPr>
            <w:tcW w:w="2100" w:type="dxa"/>
            <w:vMerge/>
            <w:shd w:val="clear" w:color="auto" w:fill="D5DCE4"/>
          </w:tcPr>
          <w:p w:rsidR="002317EC" w:rsidRDefault="002317EC">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1731" w:type="dxa"/>
          </w:tcPr>
          <w:p w:rsidR="002317EC" w:rsidRDefault="00893457">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 es posible, se debe consultar al titular de los datos para requerir su autorización para entregarlo</w:t>
            </w:r>
          </w:p>
        </w:tc>
        <w:tc>
          <w:tcPr>
            <w:tcW w:w="2418" w:type="dxa"/>
          </w:tcPr>
          <w:p w:rsidR="002317EC" w:rsidRDefault="002317EC">
            <w:pPr>
              <w:spacing w:line="360" w:lineRule="auto"/>
              <w:jc w:val="both"/>
              <w:rPr>
                <w:rFonts w:ascii="Palatino Linotype" w:eastAsia="Palatino Linotype" w:hAnsi="Palatino Linotype" w:cs="Palatino Linotype"/>
                <w:color w:val="000000"/>
              </w:rPr>
            </w:pPr>
          </w:p>
        </w:tc>
        <w:tc>
          <w:tcPr>
            <w:tcW w:w="2202" w:type="dxa"/>
          </w:tcPr>
          <w:p w:rsidR="002317EC" w:rsidRDefault="002317EC">
            <w:pPr>
              <w:spacing w:line="360" w:lineRule="auto"/>
              <w:jc w:val="both"/>
              <w:rPr>
                <w:rFonts w:ascii="Palatino Linotype" w:eastAsia="Palatino Linotype" w:hAnsi="Palatino Linotype" w:cs="Palatino Linotype"/>
                <w:color w:val="000000"/>
              </w:rPr>
            </w:pPr>
          </w:p>
        </w:tc>
      </w:tr>
    </w:tbl>
    <w:p w:rsidR="002317EC" w:rsidRDefault="002317EC">
      <w:pPr>
        <w:shd w:val="clear" w:color="auto" w:fill="FFFFFF"/>
        <w:tabs>
          <w:tab w:val="left" w:pos="426"/>
        </w:tabs>
        <w:spacing w:before="280" w:after="240" w:line="360" w:lineRule="auto"/>
        <w:jc w:val="both"/>
        <w:rPr>
          <w:rFonts w:ascii="Palatino Linotype" w:eastAsia="Palatino Linotype" w:hAnsi="Palatino Linotype" w:cs="Palatino Linotype"/>
          <w:color w:val="000000"/>
          <w:sz w:val="24"/>
          <w:szCs w:val="24"/>
        </w:rPr>
      </w:pPr>
    </w:p>
    <w:p w:rsidR="002317EC" w:rsidRDefault="00893457">
      <w:pPr>
        <w:numPr>
          <w:ilvl w:val="0"/>
          <w:numId w:val="7"/>
        </w:numPr>
        <w:shd w:val="clear" w:color="auto" w:fill="FFFFFF"/>
        <w:tabs>
          <w:tab w:val="left" w:pos="426"/>
        </w:tabs>
        <w:spacing w:before="280" w:after="24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317EC" w:rsidRDefault="00893457">
      <w:pPr>
        <w:numPr>
          <w:ilvl w:val="0"/>
          <w:numId w:val="7"/>
        </w:numPr>
        <w:shd w:val="clear" w:color="auto" w:fill="FFFFFF"/>
        <w:tabs>
          <w:tab w:val="left" w:pos="426"/>
        </w:tabs>
        <w:spacing w:before="240" w:after="0"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317EC" w:rsidRDefault="002317EC">
      <w:pPr>
        <w:tabs>
          <w:tab w:val="left" w:pos="426"/>
        </w:tabs>
        <w:spacing w:after="0" w:line="360" w:lineRule="auto"/>
        <w:rPr>
          <w:rFonts w:ascii="Palatino Linotype" w:eastAsia="Palatino Linotype" w:hAnsi="Palatino Linotype" w:cs="Palatino Linotype"/>
          <w:color w:val="000000"/>
          <w:sz w:val="24"/>
          <w:szCs w:val="24"/>
        </w:rPr>
      </w:pPr>
    </w:p>
    <w:p w:rsidR="002317EC" w:rsidRDefault="00893457">
      <w:pPr>
        <w:numPr>
          <w:ilvl w:val="0"/>
          <w:numId w:val="7"/>
        </w:numPr>
        <w:tabs>
          <w:tab w:val="left" w:pos="426"/>
        </w:tabs>
        <w:spacing w:after="12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lo anteriormente expuesto y fundado, este </w:t>
      </w:r>
      <w:r>
        <w:rPr>
          <w:rFonts w:ascii="Palatino Linotype" w:eastAsia="Palatino Linotype" w:hAnsi="Palatino Linotype" w:cs="Palatino Linotype"/>
          <w:b/>
          <w:color w:val="000000"/>
          <w:sz w:val="24"/>
          <w:szCs w:val="24"/>
        </w:rPr>
        <w:t>ÓRGANO GARANTE</w:t>
      </w:r>
      <w:r>
        <w:rPr>
          <w:rFonts w:ascii="Palatino Linotype" w:eastAsia="Palatino Linotype" w:hAnsi="Palatino Linotype" w:cs="Palatino Linotype"/>
          <w:color w:val="000000"/>
          <w:sz w:val="24"/>
          <w:szCs w:val="24"/>
        </w:rPr>
        <w:t xml:space="preserve"> emite los siguientes: -----------------------------------------------------------------------------------------------------------------------------------------------------------------------------------------------------------</w:t>
      </w:r>
    </w:p>
    <w:p w:rsidR="002317EC" w:rsidRDefault="00893457">
      <w:pPr>
        <w:keepNext/>
        <w:keepLines/>
        <w:spacing w:before="240" w:after="0" w:line="360" w:lineRule="auto"/>
        <w:jc w:val="center"/>
        <w:rPr>
          <w:rFonts w:ascii="Palatino Linotype" w:eastAsia="Palatino Linotype" w:hAnsi="Palatino Linotype" w:cs="Palatino Linotype"/>
          <w:sz w:val="24"/>
          <w:szCs w:val="24"/>
        </w:rPr>
      </w:pPr>
      <w:bookmarkStart w:id="31" w:name="_heading=h.2p2csry" w:colFirst="0" w:colLast="0"/>
      <w:bookmarkEnd w:id="31"/>
      <w:r>
        <w:rPr>
          <w:rFonts w:ascii="Palatino Linotype" w:eastAsia="Palatino Linotype" w:hAnsi="Palatino Linotype" w:cs="Palatino Linotype"/>
          <w:b/>
          <w:sz w:val="24"/>
          <w:szCs w:val="24"/>
        </w:rPr>
        <w:t xml:space="preserve">R E S O L U T I V O S </w:t>
      </w:r>
    </w:p>
    <w:p w:rsidR="002317EC" w:rsidRDefault="002317EC">
      <w:pPr>
        <w:spacing w:after="0" w:line="360" w:lineRule="auto"/>
        <w:rPr>
          <w:rFonts w:ascii="Palatino Linotype" w:eastAsia="Palatino Linotype" w:hAnsi="Palatino Linotype" w:cs="Palatino Linotype"/>
          <w:sz w:val="24"/>
          <w:szCs w:val="24"/>
        </w:rPr>
      </w:pPr>
    </w:p>
    <w:p w:rsidR="002317EC" w:rsidRDefault="0089345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Resultan fundadas las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razones o motivos de inconformidad hechos valer en el recurso de revisión</w:t>
      </w:r>
      <w:r>
        <w:rPr>
          <w:rFonts w:ascii="Palatino Linotype" w:eastAsia="Palatino Linotype" w:hAnsi="Palatino Linotype" w:cs="Palatino Linotype"/>
          <w:b/>
          <w:sz w:val="24"/>
          <w:szCs w:val="24"/>
        </w:rPr>
        <w:t xml:space="preserve"> 01158/INFOEM/IP/RR/2022, </w:t>
      </w:r>
      <w:r>
        <w:rPr>
          <w:rFonts w:ascii="Palatino Linotype" w:eastAsia="Palatino Linotype" w:hAnsi="Palatino Linotype" w:cs="Palatino Linotype"/>
          <w:sz w:val="24"/>
          <w:szCs w:val="24"/>
        </w:rPr>
        <w:t xml:space="preserve">en términos de los </w:t>
      </w:r>
      <w:r>
        <w:rPr>
          <w:rFonts w:ascii="Palatino Linotype" w:eastAsia="Palatino Linotype" w:hAnsi="Palatino Linotype" w:cs="Palatino Linotype"/>
          <w:b/>
          <w:sz w:val="24"/>
          <w:szCs w:val="24"/>
        </w:rPr>
        <w:t xml:space="preserve">Considerandos CUARTO  </w:t>
      </w:r>
      <w:r>
        <w:rPr>
          <w:rFonts w:ascii="Palatino Linotype" w:eastAsia="Palatino Linotype" w:hAnsi="Palatino Linotype" w:cs="Palatino Linotype"/>
          <w:sz w:val="24"/>
          <w:szCs w:val="24"/>
        </w:rPr>
        <w:t xml:space="preserve">y </w:t>
      </w:r>
      <w:r>
        <w:rPr>
          <w:rFonts w:ascii="Palatino Linotype" w:eastAsia="Palatino Linotype" w:hAnsi="Palatino Linotype" w:cs="Palatino Linotype"/>
          <w:b/>
          <w:sz w:val="24"/>
          <w:szCs w:val="24"/>
        </w:rPr>
        <w:t xml:space="preserve"> SÉPTIMO  </w:t>
      </w:r>
      <w:r>
        <w:rPr>
          <w:rFonts w:ascii="Palatino Linotype" w:eastAsia="Palatino Linotype" w:hAnsi="Palatino Linotype" w:cs="Palatino Linotype"/>
          <w:sz w:val="24"/>
          <w:szCs w:val="24"/>
        </w:rPr>
        <w:t>de la presente resolución.</w:t>
      </w:r>
    </w:p>
    <w:p w:rsidR="002317EC" w:rsidRDefault="002317EC">
      <w:pPr>
        <w:spacing w:after="0" w:line="360" w:lineRule="auto"/>
        <w:jc w:val="both"/>
        <w:rPr>
          <w:rFonts w:ascii="Palatino Linotype" w:eastAsia="Palatino Linotype" w:hAnsi="Palatino Linotype" w:cs="Palatino Linotype"/>
          <w:sz w:val="24"/>
          <w:szCs w:val="24"/>
        </w:rPr>
      </w:pPr>
    </w:p>
    <w:p w:rsidR="002317EC" w:rsidRDefault="00893457">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 xml:space="preserve">Se </w:t>
      </w:r>
      <w:r>
        <w:rPr>
          <w:rFonts w:ascii="Palatino Linotype" w:eastAsia="Palatino Linotype" w:hAnsi="Palatino Linotype" w:cs="Palatino Linotype"/>
          <w:b/>
          <w:sz w:val="24"/>
          <w:szCs w:val="24"/>
        </w:rPr>
        <w:t xml:space="preserve">ORDENA </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b/>
          <w:sz w:val="24"/>
          <w:szCs w:val="24"/>
        </w:rPr>
        <w:t xml:space="preserve">Ayuntamiento de  Atizapán </w:t>
      </w:r>
      <w:r>
        <w:rPr>
          <w:rFonts w:ascii="Palatino Linotype" w:eastAsia="Palatino Linotype" w:hAnsi="Palatino Linotype" w:cs="Palatino Linotype"/>
          <w:sz w:val="24"/>
          <w:szCs w:val="24"/>
        </w:rPr>
        <w:t>dar atención a la solicitud de información</w:t>
      </w:r>
      <w:r>
        <w:rPr>
          <w:rFonts w:ascii="Palatino Linotype" w:eastAsia="Palatino Linotype" w:hAnsi="Palatino Linotype" w:cs="Palatino Linotype"/>
          <w:b/>
          <w:sz w:val="24"/>
          <w:szCs w:val="24"/>
        </w:rPr>
        <w:t xml:space="preserve"> 00071/ATIZAPAN/IP/2022</w:t>
      </w:r>
      <w:r>
        <w:rPr>
          <w:rFonts w:ascii="Palatino Linotype" w:eastAsia="Palatino Linotype" w:hAnsi="Palatino Linotype" w:cs="Palatino Linotype"/>
          <w:sz w:val="24"/>
          <w:szCs w:val="24"/>
        </w:rPr>
        <w:t>;</w:t>
      </w:r>
      <w:r>
        <w:rPr>
          <w:rFonts w:ascii="Palatino Linotype" w:eastAsia="Palatino Linotype" w:hAnsi="Palatino Linotype" w:cs="Palatino Linotype"/>
          <w:b/>
          <w:color w:val="FF0000"/>
          <w:sz w:val="24"/>
          <w:szCs w:val="24"/>
        </w:rPr>
        <w:t xml:space="preserve"> </w:t>
      </w:r>
      <w:r>
        <w:rPr>
          <w:rFonts w:ascii="Palatino Linotype" w:eastAsia="Palatino Linotype" w:hAnsi="Palatino Linotype" w:cs="Palatino Linotype"/>
          <w:sz w:val="24"/>
          <w:szCs w:val="24"/>
        </w:rPr>
        <w:t>y, en su caso, entregar la información a través del Sistema de Acceso a Información Mexiquense (SAIMEX) y también por medio del correo electrónico</w:t>
      </w:r>
      <w:r>
        <w:rPr>
          <w:rFonts w:ascii="Palatino Linotype" w:eastAsia="Palatino Linotype" w:hAnsi="Palatino Linotype" w:cs="Palatino Linotype"/>
          <w:b/>
          <w:sz w:val="24"/>
          <w:szCs w:val="24"/>
        </w:rPr>
        <w:t xml:space="preserve"> </w:t>
      </w:r>
      <w:r w:rsidRPr="00893457">
        <w:rPr>
          <w:rFonts w:ascii="Palatino Linotype" w:eastAsia="Palatino Linotype" w:hAnsi="Palatino Linotype" w:cs="Palatino Linotype"/>
          <w:b/>
          <w:sz w:val="24"/>
          <w:szCs w:val="24"/>
        </w:rPr>
        <w:t>xxxxxxxxxxxxxxxxx</w:t>
      </w:r>
      <w:r>
        <w:rPr>
          <w:rFonts w:ascii="Palatino Linotype" w:eastAsia="Palatino Linotype" w:hAnsi="Palatino Linotype" w:cs="Palatino Linotype"/>
          <w:sz w:val="24"/>
          <w:szCs w:val="24"/>
        </w:rPr>
        <w:t>.</w:t>
      </w:r>
    </w:p>
    <w:p w:rsidR="002317EC" w:rsidRDefault="002317EC">
      <w:pPr>
        <w:spacing w:after="0" w:line="360" w:lineRule="auto"/>
        <w:jc w:val="both"/>
        <w:rPr>
          <w:rFonts w:ascii="Palatino Linotype" w:eastAsia="Palatino Linotype" w:hAnsi="Palatino Linotype" w:cs="Palatino Linotype"/>
          <w:sz w:val="24"/>
          <w:szCs w:val="24"/>
        </w:rPr>
      </w:pPr>
    </w:p>
    <w:p w:rsidR="002317EC" w:rsidRDefault="00893457">
      <w:pPr>
        <w:tabs>
          <w:tab w:val="left" w:pos="8080"/>
        </w:tabs>
        <w:spacing w:after="0" w:line="360" w:lineRule="auto"/>
        <w:ind w:right="49"/>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TERCERO. Notifíquese </w:t>
      </w:r>
      <w:r>
        <w:rPr>
          <w:rFonts w:ascii="Palatino Linotype" w:eastAsia="Palatino Linotype" w:hAnsi="Palatino Linotype" w:cs="Palatino Linotype"/>
          <w:sz w:val="24"/>
          <w:szCs w:val="24"/>
        </w:rPr>
        <w:t xml:space="preserve">al Titular de la Unidad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vía Sistema de Acceso a la Información Mexiquense (SAIMEX), para que conforme a los artículos 186 último párrafo, 189 párrafo segundo y 199 de la Ley de Transparencia y Acceso a la Información Pública del Estado de México y Municipios, </w:t>
      </w:r>
      <w:r>
        <w:rPr>
          <w:rFonts w:ascii="Palatino Linotype" w:eastAsia="Palatino Linotype" w:hAnsi="Palatino Linotype" w:cs="Palatino Linotype"/>
          <w:color w:val="222222"/>
          <w:sz w:val="24"/>
          <w:szCs w:val="24"/>
          <w:highlight w:val="white"/>
        </w:rPr>
        <w:t>vigente, dé cumplimiento a lo ordenado dentro del plazo de diez días hábiles, debiendo rendir a este Instituto el informe de cumplimiento de la resolución en un plazo de tres días hábiles posteriores.</w:t>
      </w:r>
    </w:p>
    <w:p w:rsidR="002317EC" w:rsidRDefault="002317EC">
      <w:pPr>
        <w:shd w:val="clear" w:color="auto" w:fill="FFFFFF"/>
        <w:spacing w:after="0" w:line="360" w:lineRule="auto"/>
        <w:jc w:val="both"/>
        <w:rPr>
          <w:rFonts w:ascii="Palatino Linotype" w:eastAsia="Palatino Linotype" w:hAnsi="Palatino Linotype" w:cs="Palatino Linotype"/>
          <w:b/>
          <w:sz w:val="24"/>
          <w:szCs w:val="24"/>
        </w:rPr>
      </w:pPr>
    </w:p>
    <w:p w:rsidR="002317EC" w:rsidRDefault="00893457">
      <w:pPr>
        <w:shd w:val="clear" w:color="auto" w:fill="FFFFFF"/>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 xml:space="preserve">CUARTO. </w:t>
      </w:r>
      <w:r>
        <w:rPr>
          <w:rFonts w:ascii="Palatino Linotype" w:eastAsia="Palatino Linotype" w:hAnsi="Palatino Linotype" w:cs="Palatino Linotype"/>
          <w:b/>
          <w:color w:val="222222"/>
          <w:sz w:val="24"/>
          <w:szCs w:val="24"/>
        </w:rPr>
        <w:t xml:space="preserve">Notifíquese </w:t>
      </w:r>
      <w:r>
        <w:rPr>
          <w:rFonts w:ascii="Palatino Linotype" w:eastAsia="Palatino Linotype" w:hAnsi="Palatino Linotype" w:cs="Palatino Linotype"/>
          <w:color w:val="222222"/>
          <w:sz w:val="24"/>
          <w:szCs w:val="24"/>
        </w:rPr>
        <w:t>al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la presente resolución a través del Sistema de Acceso a la Información Mexiquense (SAIMEX) y también por medio del correo electrónico</w:t>
      </w:r>
      <w:r w:rsidRPr="00893457">
        <w:rPr>
          <w:rFonts w:ascii="Palatino Linotype" w:eastAsia="Palatino Linotype" w:hAnsi="Palatino Linotype" w:cs="Palatino Linotype"/>
          <w:sz w:val="24"/>
          <w:szCs w:val="24"/>
        </w:rPr>
        <w:t xml:space="preserve"> </w:t>
      </w:r>
      <w:r w:rsidRPr="00893457">
        <w:rPr>
          <w:rFonts w:ascii="Palatino Linotype" w:eastAsia="Palatino Linotype" w:hAnsi="Palatino Linotype" w:cs="Palatino Linotype"/>
          <w:b/>
          <w:sz w:val="24"/>
          <w:szCs w:val="24"/>
          <w:u w:val="single"/>
        </w:rPr>
        <w:t>xxxxxxxxxxxxxxxxx</w:t>
      </w:r>
      <w:r>
        <w:rPr>
          <w:rFonts w:ascii="Palatino Linotype" w:eastAsia="Palatino Linotype" w:hAnsi="Palatino Linotype" w:cs="Palatino Linotype"/>
          <w:b/>
          <w:sz w:val="24"/>
          <w:szCs w:val="24"/>
          <w:u w:val="single"/>
        </w:rPr>
        <w:t>.</w:t>
      </w:r>
    </w:p>
    <w:p w:rsidR="002317EC" w:rsidRDefault="002317EC">
      <w:pPr>
        <w:shd w:val="clear" w:color="auto" w:fill="FFFFFF"/>
        <w:spacing w:after="0" w:line="360" w:lineRule="auto"/>
        <w:jc w:val="both"/>
        <w:rPr>
          <w:rFonts w:ascii="Palatino Linotype" w:eastAsia="Palatino Linotype" w:hAnsi="Palatino Linotype" w:cs="Palatino Linotype"/>
          <w:sz w:val="24"/>
          <w:szCs w:val="24"/>
        </w:rPr>
      </w:pPr>
    </w:p>
    <w:p w:rsidR="002317EC" w:rsidRDefault="00893457">
      <w:pPr>
        <w:shd w:val="clear" w:color="auto" w:fill="FFFFFF"/>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w:t>
      </w:r>
      <w:r>
        <w:rPr>
          <w:rFonts w:ascii="Palatino Linotype" w:eastAsia="Palatino Linotype" w:hAnsi="Palatino Linotype" w:cs="Palatino Linotype"/>
          <w:sz w:val="24"/>
          <w:szCs w:val="24"/>
        </w:rPr>
        <w:t xml:space="preserve"> Se hace del conocimiento del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2317EC" w:rsidRDefault="002317EC">
      <w:pPr>
        <w:spacing w:after="0" w:line="360" w:lineRule="auto"/>
        <w:jc w:val="both"/>
        <w:rPr>
          <w:rFonts w:ascii="Palatino Linotype" w:eastAsia="Palatino Linotype" w:hAnsi="Palatino Linotype" w:cs="Palatino Linotype"/>
          <w:b/>
          <w:sz w:val="24"/>
          <w:szCs w:val="24"/>
        </w:rPr>
      </w:pPr>
    </w:p>
    <w:p w:rsidR="002317EC" w:rsidRDefault="0089345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SEXTO. </w:t>
      </w:r>
      <w:r>
        <w:rPr>
          <w:rFonts w:ascii="Palatino Linotype" w:eastAsia="Palatino Linotype" w:hAnsi="Palatino Linotype" w:cs="Palatino Linotype"/>
          <w:sz w:val="24"/>
          <w:szCs w:val="24"/>
        </w:rPr>
        <w:t xml:space="preserve">Hágase del conocimiento del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que la respuesta que dé el</w:t>
      </w:r>
      <w:r>
        <w:rPr>
          <w:rFonts w:ascii="Palatino Linotype" w:eastAsia="Palatino Linotype" w:hAnsi="Palatino Linotype" w:cs="Palatino Linotype"/>
          <w:b/>
          <w:sz w:val="24"/>
          <w:szCs w:val="24"/>
        </w:rPr>
        <w:t xml:space="preserve"> SUJETO OBLIGADO</w:t>
      </w:r>
      <w:r>
        <w:rPr>
          <w:rFonts w:ascii="Palatino Linotype" w:eastAsia="Palatino Linotype" w:hAnsi="Palatino Linotype" w:cs="Palatino Linotype"/>
          <w:sz w:val="24"/>
          <w:szCs w:val="24"/>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2317EC" w:rsidRDefault="002317EC">
      <w:pPr>
        <w:spacing w:after="0" w:line="360" w:lineRule="auto"/>
        <w:jc w:val="both"/>
        <w:rPr>
          <w:rFonts w:ascii="Palatino Linotype" w:eastAsia="Palatino Linotype" w:hAnsi="Palatino Linotype" w:cs="Palatino Linotype"/>
          <w:b/>
          <w:sz w:val="24"/>
          <w:szCs w:val="24"/>
        </w:rPr>
      </w:pPr>
    </w:p>
    <w:p w:rsidR="002317EC" w:rsidRDefault="00893457">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SÉPTIMO.</w:t>
      </w:r>
      <w:r>
        <w:rPr>
          <w:rFonts w:ascii="Palatino Linotype" w:eastAsia="Palatino Linotype" w:hAnsi="Palatino Linotype" w:cs="Palatino Linotype"/>
          <w:sz w:val="24"/>
          <w:szCs w:val="24"/>
        </w:rPr>
        <w:t xml:space="preserve"> Gírese oficio al Titular de la Contraloría Interna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Pr>
          <w:rFonts w:ascii="Palatino Linotype" w:eastAsia="Palatino Linotype" w:hAnsi="Palatino Linotype" w:cs="Palatino Linotype"/>
          <w:b/>
          <w:sz w:val="24"/>
          <w:szCs w:val="24"/>
        </w:rPr>
        <w:t>Considerando SEXTO.</w:t>
      </w:r>
    </w:p>
    <w:p w:rsidR="002317EC" w:rsidRDefault="002317EC">
      <w:pPr>
        <w:spacing w:after="0" w:line="360" w:lineRule="auto"/>
        <w:jc w:val="both"/>
        <w:rPr>
          <w:rFonts w:ascii="Palatino Linotype" w:eastAsia="Palatino Linotype" w:hAnsi="Palatino Linotype" w:cs="Palatino Linotype"/>
          <w:b/>
          <w:sz w:val="24"/>
          <w:szCs w:val="24"/>
        </w:rPr>
      </w:pPr>
    </w:p>
    <w:p w:rsidR="002317EC" w:rsidRDefault="0089345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OCTAVO.</w:t>
      </w:r>
      <w:r>
        <w:rPr>
          <w:rFonts w:ascii="Palatino Linotype" w:eastAsia="Palatino Linotype" w:hAnsi="Palatino Linotype" w:cs="Palatino Linotype"/>
          <w:sz w:val="24"/>
          <w:szCs w:val="24"/>
        </w:rPr>
        <w:t xml:space="preserve"> Con fundamento en el artículo 198 de la Ley de Transparencia y Acceso a la Información Pública del Estado de México y Municipios, se apercibe al </w:t>
      </w:r>
      <w:r>
        <w:rPr>
          <w:rFonts w:ascii="Palatino Linotype" w:eastAsia="Palatino Linotype" w:hAnsi="Palatino Linotype" w:cs="Palatino Linotype"/>
          <w:b/>
          <w:sz w:val="24"/>
          <w:szCs w:val="24"/>
        </w:rPr>
        <w:t xml:space="preserve">SUJETO </w:t>
      </w:r>
      <w:r>
        <w:rPr>
          <w:rFonts w:ascii="Palatino Linotype" w:eastAsia="Palatino Linotype" w:hAnsi="Palatino Linotype" w:cs="Palatino Linotype"/>
          <w:b/>
          <w:sz w:val="24"/>
          <w:szCs w:val="24"/>
        </w:rPr>
        <w:lastRenderedPageBreak/>
        <w:t xml:space="preserve">OBLIGADO </w:t>
      </w:r>
      <w:r>
        <w:rPr>
          <w:rFonts w:ascii="Palatino Linotype" w:eastAsia="Palatino Linotype" w:hAnsi="Palatino Linotype" w:cs="Palatino Linotype"/>
          <w:sz w:val="24"/>
          <w:szCs w:val="24"/>
        </w:rPr>
        <w:t>de que, en caso de incumplimiento total o parcial de la presente resolución, se actuará de conformidad con lo dispuesto en los artículos 213, 214, 215, 216 y 217 de la Ley en cita.</w:t>
      </w:r>
    </w:p>
    <w:p w:rsidR="002317EC" w:rsidRDefault="002317EC">
      <w:pPr>
        <w:spacing w:after="0" w:line="360" w:lineRule="auto"/>
        <w:jc w:val="both"/>
        <w:rPr>
          <w:rFonts w:ascii="Palatino Linotype" w:eastAsia="Palatino Linotype" w:hAnsi="Palatino Linotype" w:cs="Palatino Linotype"/>
          <w:sz w:val="24"/>
          <w:szCs w:val="24"/>
        </w:rPr>
      </w:pPr>
    </w:p>
    <w:p w:rsidR="002317EC" w:rsidRDefault="00893457">
      <w:pPr>
        <w:spacing w:before="240" w:after="240" w:line="360" w:lineRule="auto"/>
        <w:ind w:firstLine="1"/>
        <w:jc w:val="both"/>
        <w:rPr>
          <w:rFonts w:ascii="Palatino Linotype" w:eastAsia="Palatino Linotype" w:hAnsi="Palatino Linotype" w:cs="Palatino Linotype"/>
          <w:sz w:val="23"/>
          <w:szCs w:val="23"/>
        </w:rPr>
      </w:pPr>
      <w:bookmarkStart w:id="32" w:name="_heading=h.147n2zr" w:colFirst="0" w:colLast="0"/>
      <w:bookmarkEnd w:id="32"/>
      <w:r>
        <w:rPr>
          <w:rFonts w:ascii="Palatino Linotype" w:eastAsia="Palatino Linotype" w:hAnsi="Palatino Linotype" w:cs="Palatino Linotype"/>
          <w:sz w:val="23"/>
          <w:szCs w:val="23"/>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Pr>
          <w:rFonts w:ascii="Palatino Linotype" w:eastAsia="Palatino Linotype" w:hAnsi="Palatino Linotype" w:cs="Palatino Linotype"/>
        </w:rPr>
        <w:t>(AUSENCIA JUSTIFICADA)</w:t>
      </w:r>
      <w:r>
        <w:rPr>
          <w:rFonts w:ascii="Palatino Linotype" w:eastAsia="Palatino Linotype" w:hAnsi="Palatino Linotype" w:cs="Palatino Linotype"/>
          <w:sz w:val="23"/>
          <w:szCs w:val="23"/>
        </w:rPr>
        <w:t xml:space="preserve">; Y GUADALUPE RAMÍREZ PEÑA EN LA DÉCIMA PRIMERA SESIÓN ORDINARIA CELEBRADA EL VEINTICUATRO </w:t>
      </w:r>
      <w:r>
        <w:rPr>
          <w:rFonts w:ascii="Palatino Linotype" w:eastAsia="Palatino Linotype" w:hAnsi="Palatino Linotype" w:cs="Palatino Linotype"/>
        </w:rPr>
        <w:t>(24)</w:t>
      </w:r>
      <w:r>
        <w:rPr>
          <w:rFonts w:ascii="Palatino Linotype" w:eastAsia="Palatino Linotype" w:hAnsi="Palatino Linotype" w:cs="Palatino Linotype"/>
          <w:sz w:val="23"/>
          <w:szCs w:val="23"/>
        </w:rPr>
        <w:t xml:space="preserve"> DE MARZO DE DOS MIL VEINTIDÓS, ANTE EL SECRETARIO TÉCNICO DEL PLENO ALEXIS TAPIA RAMÍREZ. </w:t>
      </w:r>
      <w:r>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25401</wp:posOffset>
                </wp:positionH>
                <wp:positionV relativeFrom="paragraph">
                  <wp:posOffset>2705100</wp:posOffset>
                </wp:positionV>
                <wp:extent cx="5505450" cy="3638550"/>
                <wp:effectExtent l="0" t="0" r="0" b="0"/>
                <wp:wrapNone/>
                <wp:docPr id="16" name="Conector recto de flecha 16"/>
                <wp:cNvGraphicFramePr/>
                <a:graphic xmlns:a="http://schemas.openxmlformats.org/drawingml/2006/main">
                  <a:graphicData uri="http://schemas.microsoft.com/office/word/2010/wordprocessingShape">
                    <wps:wsp>
                      <wps:cNvCnPr/>
                      <wps:spPr>
                        <a:xfrm>
                          <a:off x="2598038" y="1965488"/>
                          <a:ext cx="5495925" cy="3629025"/>
                        </a:xfrm>
                        <a:prstGeom prst="straightConnector1">
                          <a:avLst/>
                        </a:prstGeom>
                        <a:noFill/>
                        <a:ln w="9525" cap="flat" cmpd="sng">
                          <a:solidFill>
                            <a:srgbClr val="BBD6EE"/>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2705100</wp:posOffset>
                </wp:positionV>
                <wp:extent cx="5505450" cy="3638550"/>
                <wp:effectExtent b="0" l="0" r="0" t="0"/>
                <wp:wrapNone/>
                <wp:docPr id="16" name="image7.png"/>
                <a:graphic>
                  <a:graphicData uri="http://schemas.openxmlformats.org/drawingml/2006/picture">
                    <pic:pic>
                      <pic:nvPicPr>
                        <pic:cNvPr id="0" name="image7.png"/>
                        <pic:cNvPicPr preferRelativeResize="0"/>
                      </pic:nvPicPr>
                      <pic:blipFill>
                        <a:blip r:embed="rId21"/>
                        <a:srcRect/>
                        <a:stretch>
                          <a:fillRect/>
                        </a:stretch>
                      </pic:blipFill>
                      <pic:spPr>
                        <a:xfrm>
                          <a:off x="0" y="0"/>
                          <a:ext cx="5505450" cy="3638550"/>
                        </a:xfrm>
                        <a:prstGeom prst="rect"/>
                        <a:ln/>
                      </pic:spPr>
                    </pic:pic>
                  </a:graphicData>
                </a:graphic>
              </wp:anchor>
            </w:drawing>
          </mc:Fallback>
        </mc:AlternateContent>
      </w:r>
    </w:p>
    <w:p w:rsidR="002317EC" w:rsidRDefault="002317E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2317EC" w:rsidRDefault="002317E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2317EC" w:rsidRDefault="002317E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2317EC" w:rsidRDefault="002317E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2317EC" w:rsidRDefault="002317E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2317EC" w:rsidRDefault="002317E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2317EC" w:rsidRDefault="002317E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2317EC" w:rsidRDefault="002317E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2317EC" w:rsidRDefault="002317E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2317EC" w:rsidRDefault="002317E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2317EC" w:rsidRDefault="002317E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2317EC" w:rsidRDefault="002317E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2317EC" w:rsidRDefault="002317E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sectPr w:rsidR="002317EC">
      <w:headerReference w:type="default" r:id="rId22"/>
      <w:footerReference w:type="default" r:id="rId23"/>
      <w:headerReference w:type="first" r:id="rId24"/>
      <w:footerReference w:type="first" r:id="rId25"/>
      <w:pgSz w:w="12240" w:h="15840"/>
      <w:pgMar w:top="1417" w:right="1750"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CAD" w:rsidRDefault="00020CAD">
      <w:pPr>
        <w:spacing w:after="0" w:line="240" w:lineRule="auto"/>
      </w:pPr>
      <w:r>
        <w:separator/>
      </w:r>
    </w:p>
  </w:endnote>
  <w:endnote w:type="continuationSeparator" w:id="0">
    <w:p w:rsidR="00020CAD" w:rsidRDefault="00020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457" w:rsidRDefault="00893457">
    <w:pPr>
      <w:pBdr>
        <w:top w:val="nil"/>
        <w:left w:val="nil"/>
        <w:bottom w:val="nil"/>
        <w:right w:val="nil"/>
        <w:between w:val="nil"/>
      </w:pBdr>
      <w:tabs>
        <w:tab w:val="center" w:pos="4252"/>
        <w:tab w:val="right" w:pos="8504"/>
      </w:tabs>
      <w:spacing w:after="0" w:line="240" w:lineRule="auto"/>
      <w:jc w:val="right"/>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PAGE</w:instrText>
    </w:r>
    <w:r>
      <w:rPr>
        <w:rFonts w:ascii="Palatino Linotype" w:eastAsia="Palatino Linotype" w:hAnsi="Palatino Linotype" w:cs="Palatino Linotype"/>
        <w:b/>
        <w:color w:val="000000"/>
      </w:rPr>
      <w:fldChar w:fldCharType="separate"/>
    </w:r>
    <w:r w:rsidR="00E03CA5">
      <w:rPr>
        <w:rFonts w:ascii="Palatino Linotype" w:eastAsia="Palatino Linotype" w:hAnsi="Palatino Linotype" w:cs="Palatino Linotype"/>
        <w:b/>
        <w:noProof/>
        <w:color w:val="000000"/>
      </w:rPr>
      <w:t>74</w:t>
    </w:r>
    <w:r>
      <w:rPr>
        <w:rFonts w:ascii="Palatino Linotype" w:eastAsia="Palatino Linotype" w:hAnsi="Palatino Linotype" w:cs="Palatino Linotype"/>
        <w:b/>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NUMPAGES</w:instrText>
    </w:r>
    <w:r>
      <w:rPr>
        <w:rFonts w:ascii="Palatino Linotype" w:eastAsia="Palatino Linotype" w:hAnsi="Palatino Linotype" w:cs="Palatino Linotype"/>
        <w:b/>
        <w:color w:val="000000"/>
      </w:rPr>
      <w:fldChar w:fldCharType="separate"/>
    </w:r>
    <w:r w:rsidR="00E03CA5">
      <w:rPr>
        <w:rFonts w:ascii="Palatino Linotype" w:eastAsia="Palatino Linotype" w:hAnsi="Palatino Linotype" w:cs="Palatino Linotype"/>
        <w:b/>
        <w:noProof/>
        <w:color w:val="000000"/>
      </w:rPr>
      <w:t>76</w:t>
    </w:r>
    <w:r>
      <w:rPr>
        <w:rFonts w:ascii="Palatino Linotype" w:eastAsia="Palatino Linotype" w:hAnsi="Palatino Linotype" w:cs="Palatino Linotype"/>
        <w:b/>
        <w:color w:val="000000"/>
      </w:rPr>
      <w:fldChar w:fldCharType="end"/>
    </w:r>
  </w:p>
  <w:p w:rsidR="00893457" w:rsidRDefault="00893457">
    <w:pPr>
      <w:pBdr>
        <w:top w:val="nil"/>
        <w:left w:val="nil"/>
        <w:bottom w:val="nil"/>
        <w:right w:val="nil"/>
        <w:between w:val="nil"/>
      </w:pBdr>
      <w:tabs>
        <w:tab w:val="center" w:pos="4252"/>
        <w:tab w:val="right" w:pos="8504"/>
      </w:tabs>
      <w:spacing w:after="0" w:line="240" w:lineRule="auto"/>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457" w:rsidRDefault="00893457">
    <w:pPr>
      <w:pBdr>
        <w:top w:val="nil"/>
        <w:left w:val="nil"/>
        <w:bottom w:val="nil"/>
        <w:right w:val="nil"/>
        <w:between w:val="nil"/>
      </w:pBdr>
      <w:tabs>
        <w:tab w:val="center" w:pos="4252"/>
        <w:tab w:val="right" w:pos="8504"/>
      </w:tabs>
      <w:spacing w:after="0" w:line="240" w:lineRule="auto"/>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PAGE</w:instrText>
    </w:r>
    <w:r>
      <w:rPr>
        <w:rFonts w:ascii="Palatino Linotype" w:eastAsia="Palatino Linotype" w:hAnsi="Palatino Linotype" w:cs="Palatino Linotype"/>
        <w:color w:val="000000"/>
      </w:rPr>
      <w:fldChar w:fldCharType="separate"/>
    </w:r>
    <w:r w:rsidR="00E03CA5">
      <w:rPr>
        <w:rFonts w:ascii="Palatino Linotype" w:eastAsia="Palatino Linotype" w:hAnsi="Palatino Linotype" w:cs="Palatino Linotype"/>
        <w:noProof/>
        <w:color w:val="000000"/>
      </w:rPr>
      <w:t>1</w:t>
    </w:r>
    <w:r>
      <w:rPr>
        <w:rFonts w:ascii="Palatino Linotype" w:eastAsia="Palatino Linotype" w:hAnsi="Palatino Linotype" w:cs="Palatino Linotype"/>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color w:val="000000"/>
      </w:rPr>
      <w:fldChar w:fldCharType="begin"/>
    </w:r>
    <w:r>
      <w:rPr>
        <w:rFonts w:ascii="Palatino Linotype" w:eastAsia="Palatino Linotype" w:hAnsi="Palatino Linotype" w:cs="Palatino Linotype"/>
        <w:color w:val="000000"/>
      </w:rPr>
      <w:instrText>NUMPAGES</w:instrText>
    </w:r>
    <w:r>
      <w:rPr>
        <w:rFonts w:ascii="Palatino Linotype" w:eastAsia="Palatino Linotype" w:hAnsi="Palatino Linotype" w:cs="Palatino Linotype"/>
        <w:color w:val="000000"/>
      </w:rPr>
      <w:fldChar w:fldCharType="separate"/>
    </w:r>
    <w:r w:rsidR="00E03CA5">
      <w:rPr>
        <w:rFonts w:ascii="Palatino Linotype" w:eastAsia="Palatino Linotype" w:hAnsi="Palatino Linotype" w:cs="Palatino Linotype"/>
        <w:noProof/>
        <w:color w:val="000000"/>
      </w:rPr>
      <w:t>76</w:t>
    </w:r>
    <w:r>
      <w:rPr>
        <w:rFonts w:ascii="Palatino Linotype" w:eastAsia="Palatino Linotype" w:hAnsi="Palatino Linotype" w:cs="Palatino Linotype"/>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CAD" w:rsidRDefault="00020CAD">
      <w:pPr>
        <w:spacing w:after="0" w:line="240" w:lineRule="auto"/>
      </w:pPr>
      <w:r>
        <w:separator/>
      </w:r>
    </w:p>
  </w:footnote>
  <w:footnote w:type="continuationSeparator" w:id="0">
    <w:p w:rsidR="00020CAD" w:rsidRDefault="00020CAD">
      <w:pPr>
        <w:spacing w:after="0" w:line="240" w:lineRule="auto"/>
      </w:pPr>
      <w:r>
        <w:continuationSeparator/>
      </w:r>
    </w:p>
  </w:footnote>
  <w:footnote w:id="1">
    <w:p w:rsidR="00893457" w:rsidRDefault="0089345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Artículo 156. Ley de Transparencia y Acceso a la Información Pública del Estado de México y Municipios. Cuando el particular presente su solicitud por medios electrónicos a través de la Plataforma Nacional o la plataforma que para tales efectos habilite el Instituto, se entenderá que acepta que las notificaciones le sean efectuadas por dicho sistema, salvo que señale un medio distinto para efectos de las notificaciones. En el caso de solicitudes recibidas en otros medios, en las que los solicitantes no proporcionen un domicilio o medio para recibir la información o, en su defecto, no haya sido posible practicar la notificación, se notificará por estrados en la oficina de la Unidad de Transparencia.</w:t>
      </w:r>
    </w:p>
  </w:footnote>
  <w:footnote w:id="2">
    <w:p w:rsidR="00893457" w:rsidRDefault="0089345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Convención Americana sobre Derechos Humanos. Artículo 13.</w:t>
      </w:r>
    </w:p>
  </w:footnote>
  <w:footnote w:id="3">
    <w:p w:rsidR="00893457" w:rsidRDefault="0089345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4">
    <w:p w:rsidR="00893457" w:rsidRDefault="0089345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5">
    <w:p w:rsidR="00893457" w:rsidRDefault="0089345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Ibídem. Parr. 87.</w:t>
      </w:r>
    </w:p>
  </w:footnote>
  <w:footnote w:id="6">
    <w:p w:rsidR="00893457" w:rsidRDefault="0089345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Ferrajoli, Luigi.(2013). </w:t>
      </w:r>
      <w:r>
        <w:rPr>
          <w:i/>
          <w:color w:val="000000"/>
          <w:sz w:val="20"/>
          <w:szCs w:val="20"/>
        </w:rPr>
        <w:t>Tomo I ,Principia iuris Teoría del derecho y de la democracia. Teoría del derecho</w:t>
      </w:r>
      <w:r>
        <w:rPr>
          <w:color w:val="000000"/>
          <w:sz w:val="20"/>
          <w:szCs w:val="20"/>
        </w:rPr>
        <w:t xml:space="preserve">. Madrid:Trotta,676 páginas. </w:t>
      </w:r>
    </w:p>
  </w:footnote>
  <w:footnote w:id="7">
    <w:p w:rsidR="00893457" w:rsidRDefault="00893457">
      <w:pPr>
        <w:spacing w:line="276" w:lineRule="auto"/>
        <w:jc w:val="both"/>
        <w:rPr>
          <w:sz w:val="20"/>
          <w:szCs w:val="20"/>
        </w:rPr>
      </w:pPr>
      <w:r>
        <w:rPr>
          <w:vertAlign w:val="superscript"/>
        </w:rPr>
        <w:footnoteRef/>
      </w:r>
      <w:r>
        <w:t xml:space="preserve"> </w:t>
      </w:r>
      <w:r>
        <w:rPr>
          <w:b/>
          <w:sz w:val="20"/>
          <w:szCs w:val="20"/>
        </w:rPr>
        <w:t xml:space="preserve">Artículo 122. </w:t>
      </w:r>
      <w:r>
        <w:rPr>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893457" w:rsidRDefault="00893457">
      <w:pPr>
        <w:spacing w:line="276" w:lineRule="auto"/>
        <w:jc w:val="both"/>
        <w:rPr>
          <w:sz w:val="20"/>
          <w:szCs w:val="20"/>
        </w:rPr>
      </w:pPr>
      <w:r>
        <w:rPr>
          <w:sz w:val="20"/>
          <w:szCs w:val="20"/>
        </w:rPr>
        <w:t>Los supuestos de reserva o confidencialidad previstos en las leyes deberán ser acordes con las bases, principios y disposiciones establecidos en la Ley General y, en ningún caso, podrán contravenirla.</w:t>
      </w:r>
    </w:p>
    <w:p w:rsidR="00893457" w:rsidRDefault="00893457">
      <w:pPr>
        <w:spacing w:line="276" w:lineRule="auto"/>
        <w:jc w:val="both"/>
        <w:rPr>
          <w:sz w:val="20"/>
          <w:szCs w:val="20"/>
        </w:rPr>
      </w:pPr>
      <w:r>
        <w:rPr>
          <w:sz w:val="20"/>
          <w:szCs w:val="20"/>
        </w:rPr>
        <w:t>Los titulares de las áreas de los sujetos obligados serán los responsables de clasificar la información, de conformidad con lo dispuesto en la presente Ley y demás disposiciones jurídicas aplicables.</w:t>
      </w:r>
    </w:p>
  </w:footnote>
  <w:footnote w:id="8">
    <w:p w:rsidR="00893457" w:rsidRDefault="00893457">
      <w:pPr>
        <w:spacing w:line="276" w:lineRule="auto"/>
        <w:jc w:val="both"/>
        <w:rPr>
          <w:sz w:val="20"/>
          <w:szCs w:val="20"/>
        </w:rPr>
      </w:pPr>
      <w:r>
        <w:rPr>
          <w:vertAlign w:val="superscript"/>
        </w:rPr>
        <w:footnoteRef/>
      </w:r>
      <w:r>
        <w:rPr>
          <w:sz w:val="20"/>
          <w:szCs w:val="20"/>
        </w:rPr>
        <w:t xml:space="preserve"> </w:t>
      </w:r>
      <w:r>
        <w:rPr>
          <w:b/>
          <w:sz w:val="20"/>
          <w:szCs w:val="20"/>
        </w:rPr>
        <w:t>Artículo 135.</w:t>
      </w:r>
      <w:r>
        <w:rPr>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9">
    <w:p w:rsidR="00893457" w:rsidRDefault="0089345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b/>
          <w:color w:val="000000"/>
          <w:sz w:val="20"/>
          <w:szCs w:val="20"/>
        </w:rPr>
        <w:t>RESTRICCIONES A LOS DERECHOS FUNDAMENTALES. ELEMENTOS QUE EL JUEZ CONSTITUCIONAL DEBE TOMAR EN CUENTA PARA CONSIDERARLAS VÁLIDAS.</w:t>
      </w:r>
      <w:r>
        <w:rPr>
          <w:color w:val="000000"/>
          <w:sz w:val="20"/>
          <w:szCs w:val="20"/>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893457" w:rsidRDefault="00893457">
      <w:pPr>
        <w:pBdr>
          <w:top w:val="nil"/>
          <w:left w:val="nil"/>
          <w:bottom w:val="nil"/>
          <w:right w:val="nil"/>
          <w:between w:val="nil"/>
        </w:pBdr>
        <w:spacing w:after="0" w:line="240" w:lineRule="auto"/>
        <w:jc w:val="both"/>
        <w:rPr>
          <w:color w:val="000000"/>
          <w:sz w:val="20"/>
          <w:szCs w:val="20"/>
        </w:rPr>
      </w:pPr>
      <w:r>
        <w:rPr>
          <w:color w:val="000000"/>
          <w:sz w:val="20"/>
          <w:szCs w:val="20"/>
        </w:rPr>
        <w:t xml:space="preserve">1a./J. 2/2012 (9a.). Primera Sala. Décima Época. Semanario Judicial de la Federación y su Gaceta. Libro V, Febrero de 2012, Pág. 533.  </w:t>
      </w:r>
    </w:p>
  </w:footnote>
  <w:footnote w:id="10">
    <w:p w:rsidR="00893457" w:rsidRDefault="0089345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i/>
          <w:color w:val="000000"/>
          <w:sz w:val="20"/>
          <w:szCs w:val="20"/>
        </w:rPr>
        <w:t>Marco jurídico interamericano sobre el derecho a la libertad de expresión</w:t>
      </w:r>
      <w:r>
        <w:rPr>
          <w:color w:val="000000"/>
          <w:sz w:val="20"/>
          <w:szCs w:val="20"/>
        </w:rPr>
        <w:t xml:space="preserve">. Párr. 67. </w:t>
      </w:r>
    </w:p>
  </w:footnote>
  <w:footnote w:id="11">
    <w:p w:rsidR="00893457" w:rsidRDefault="0089345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893457" w:rsidRDefault="00893457">
      <w:pPr>
        <w:pBdr>
          <w:top w:val="nil"/>
          <w:left w:val="nil"/>
          <w:bottom w:val="nil"/>
          <w:right w:val="nil"/>
          <w:between w:val="nil"/>
        </w:pBdr>
        <w:spacing w:after="0" w:line="240" w:lineRule="auto"/>
        <w:jc w:val="both"/>
        <w:rPr>
          <w:color w:val="000000"/>
          <w:sz w:val="20"/>
          <w:szCs w:val="20"/>
        </w:rPr>
      </w:pPr>
      <w:r>
        <w:rPr>
          <w:color w:val="000000"/>
          <w:sz w:val="20"/>
          <w:szCs w:val="20"/>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893457" w:rsidRDefault="00893457">
      <w:pPr>
        <w:pBdr>
          <w:top w:val="nil"/>
          <w:left w:val="nil"/>
          <w:bottom w:val="nil"/>
          <w:right w:val="nil"/>
          <w:between w:val="nil"/>
        </w:pBdr>
        <w:spacing w:after="0" w:line="240" w:lineRule="auto"/>
        <w:jc w:val="both"/>
        <w:rPr>
          <w:color w:val="000000"/>
          <w:sz w:val="20"/>
          <w:szCs w:val="20"/>
        </w:rPr>
      </w:pPr>
      <w:r>
        <w:rPr>
          <w:color w:val="000000"/>
          <w:sz w:val="20"/>
          <w:szCs w:val="20"/>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2">
    <w:p w:rsidR="00893457" w:rsidRDefault="0089345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20"/>
          <w:szCs w:val="20"/>
          <w:highlight w:val="white"/>
        </w:rPr>
        <w:t>OVALLE FAVELA, José, “</w:t>
      </w:r>
      <w:r>
        <w:rPr>
          <w:i/>
          <w:color w:val="000000"/>
          <w:sz w:val="20"/>
          <w:szCs w:val="20"/>
          <w:highlight w:val="white"/>
        </w:rPr>
        <w:t>Garantías constitucionales del proceso”</w:t>
      </w:r>
      <w:r>
        <w:rPr>
          <w:color w:val="000000"/>
          <w:sz w:val="20"/>
          <w:szCs w:val="20"/>
          <w:highlight w:val="white"/>
        </w:rPr>
        <w:t>, 2a. ed., México, Oxford University Press, 2002, 474 pp.</w:t>
      </w:r>
    </w:p>
  </w:footnote>
  <w:footnote w:id="13">
    <w:p w:rsidR="00893457" w:rsidRDefault="0089345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Tribunales Colegiados de Circuito. Novena Época. Semanario Judicial de la Federación y su Gaceta. Tomo III, marzo de 1996. Pág 769. Consultado en http://sjf.scjn.gob.mx/sjfsist/Documentos/Tesis/203/203143.pdf  el viernes 16 de junio de 2017.</w:t>
      </w:r>
    </w:p>
    <w:p w:rsidR="00893457" w:rsidRDefault="00893457">
      <w:pPr>
        <w:pBdr>
          <w:top w:val="nil"/>
          <w:left w:val="nil"/>
          <w:bottom w:val="nil"/>
          <w:right w:val="nil"/>
          <w:between w:val="nil"/>
        </w:pBdr>
        <w:spacing w:after="0" w:line="240" w:lineRule="auto"/>
        <w:rPr>
          <w:color w:val="000000"/>
          <w:sz w:val="20"/>
          <w:szCs w:val="20"/>
        </w:rPr>
      </w:pPr>
    </w:p>
  </w:footnote>
  <w:footnote w:id="14">
    <w:p w:rsidR="00893457" w:rsidRDefault="0089345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Artículo 3. Para los efectos de la presente Ley se entenderá por:</w:t>
      </w:r>
    </w:p>
    <w:p w:rsidR="00893457" w:rsidRDefault="00893457">
      <w:pPr>
        <w:pBdr>
          <w:top w:val="nil"/>
          <w:left w:val="nil"/>
          <w:bottom w:val="nil"/>
          <w:right w:val="nil"/>
          <w:between w:val="nil"/>
        </w:pBdr>
        <w:spacing w:after="0" w:line="240" w:lineRule="auto"/>
        <w:jc w:val="both"/>
        <w:rPr>
          <w:color w:val="000000"/>
          <w:sz w:val="20"/>
          <w:szCs w:val="20"/>
        </w:rPr>
      </w:pPr>
      <w:r>
        <w:rPr>
          <w:color w:val="000000"/>
          <w:sz w:val="20"/>
          <w:szCs w:val="20"/>
        </w:rPr>
        <w:t xml:space="preserve"> (…)</w:t>
      </w:r>
    </w:p>
    <w:p w:rsidR="00893457" w:rsidRDefault="00893457">
      <w:pPr>
        <w:pBdr>
          <w:top w:val="nil"/>
          <w:left w:val="nil"/>
          <w:bottom w:val="nil"/>
          <w:right w:val="nil"/>
          <w:between w:val="nil"/>
        </w:pBdr>
        <w:spacing w:after="0" w:line="240" w:lineRule="auto"/>
        <w:jc w:val="both"/>
        <w:rPr>
          <w:color w:val="000000"/>
          <w:sz w:val="20"/>
          <w:szCs w:val="20"/>
        </w:rPr>
      </w:pPr>
      <w:r>
        <w:rPr>
          <w:color w:val="000000"/>
          <w:sz w:val="20"/>
          <w:szCs w:val="20"/>
        </w:rPr>
        <w:t>IX. Datos personales: La información concerniente a una persona, identificada o identificable según lo dispuesto por la Ley de Protección de Datos Personales del Estado de México;</w:t>
      </w:r>
    </w:p>
  </w:footnote>
  <w:footnote w:id="15">
    <w:p w:rsidR="00893457" w:rsidRDefault="0089345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hyperlink r:id="rId1" w:anchor="/entry-id/E216930">
        <w:r>
          <w:rPr>
            <w:color w:val="0563C1"/>
            <w:sz w:val="20"/>
            <w:szCs w:val="20"/>
            <w:u w:val="single"/>
          </w:rPr>
          <w:t>http://dej.rae.es/#/entry-id/E216930</w:t>
        </w:r>
      </w:hyperlink>
      <w:r>
        <w:rPr>
          <w:color w:val="000000"/>
          <w:sz w:val="20"/>
          <w:szCs w:val="20"/>
        </w:rPr>
        <w:t xml:space="preserve"> </w:t>
      </w:r>
    </w:p>
  </w:footnote>
  <w:footnote w:id="16">
    <w:p w:rsidR="00893457" w:rsidRDefault="0089345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hyperlink r:id="rId2" w:anchor="/entry-id/E87450">
        <w:r>
          <w:rPr>
            <w:color w:val="0563C1"/>
            <w:sz w:val="20"/>
            <w:szCs w:val="20"/>
            <w:u w:val="single"/>
          </w:rPr>
          <w:t>http://dej.rae.es/#/entry-id/E87450</w:t>
        </w:r>
      </w:hyperlink>
      <w:r>
        <w:rPr>
          <w:color w:val="000000"/>
          <w:sz w:val="20"/>
          <w:szCs w:val="20"/>
        </w:rPr>
        <w:t xml:space="preserve"> </w:t>
      </w:r>
    </w:p>
  </w:footnote>
  <w:footnote w:id="17">
    <w:p w:rsidR="00893457" w:rsidRDefault="0089345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hyperlink r:id="rId3">
        <w:r>
          <w:rPr>
            <w:color w:val="0563C1"/>
            <w:sz w:val="20"/>
            <w:szCs w:val="20"/>
            <w:u w:val="single"/>
          </w:rPr>
          <w:t>http://dle.rae.es/?id=VGqyuLj|VGtxgAo|VGuc9Wg</w:t>
        </w:r>
      </w:hyperlink>
      <w:r>
        <w:rPr>
          <w:color w:val="000000"/>
          <w:sz w:val="20"/>
          <w:szCs w:val="20"/>
        </w:rPr>
        <w:t xml:space="preserve"> </w:t>
      </w:r>
    </w:p>
  </w:footnote>
  <w:footnote w:id="18">
    <w:p w:rsidR="00893457" w:rsidRDefault="0089345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hyperlink r:id="rId4">
        <w:r>
          <w:rPr>
            <w:color w:val="0563C1"/>
            <w:sz w:val="20"/>
            <w:szCs w:val="20"/>
            <w:u w:val="single"/>
          </w:rPr>
          <w:t>http://dle.rae.es/?id=CAjNzMR</w:t>
        </w:r>
      </w:hyperlink>
      <w:r>
        <w:rPr>
          <w:color w:val="000000"/>
          <w:sz w:val="20"/>
          <w:szCs w:val="20"/>
        </w:rPr>
        <w:t xml:space="preserve"> </w:t>
      </w:r>
    </w:p>
  </w:footnote>
  <w:footnote w:id="19">
    <w:p w:rsidR="00893457" w:rsidRDefault="0089345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hyperlink r:id="rId5">
        <w:r>
          <w:rPr>
            <w:color w:val="0563C1"/>
            <w:sz w:val="20"/>
            <w:szCs w:val="20"/>
            <w:u w:val="single"/>
          </w:rPr>
          <w:t>http://dle.rae.es/?id=CAqWkEB</w:t>
        </w:r>
      </w:hyperlink>
      <w:r>
        <w:rPr>
          <w:color w:val="000000"/>
          <w:sz w:val="20"/>
          <w:szCs w:val="20"/>
        </w:rPr>
        <w:t xml:space="preserve"> </w:t>
      </w:r>
    </w:p>
  </w:footnote>
  <w:footnote w:id="20">
    <w:p w:rsidR="00893457" w:rsidRDefault="0089345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hyperlink r:id="rId6">
        <w:r>
          <w:rPr>
            <w:color w:val="0563C1"/>
            <w:sz w:val="20"/>
            <w:szCs w:val="20"/>
            <w:u w:val="single"/>
          </w:rPr>
          <w:t>http://dle.rae.es/?id=KtnHLLd</w:t>
        </w:r>
      </w:hyperlink>
      <w:r>
        <w:rPr>
          <w:color w:val="000000"/>
          <w:sz w:val="20"/>
          <w:szCs w:val="20"/>
        </w:rPr>
        <w:t xml:space="preserve"> </w:t>
      </w:r>
    </w:p>
  </w:footnote>
  <w:footnote w:id="21">
    <w:p w:rsidR="00893457" w:rsidRDefault="0089345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hyperlink r:id="rId7">
        <w:r>
          <w:rPr>
            <w:color w:val="0563C1"/>
            <w:sz w:val="20"/>
            <w:szCs w:val="20"/>
            <w:u w:val="single"/>
          </w:rPr>
          <w:t>http://dle.rae.es/?id=KtpfgjV</w:t>
        </w:r>
      </w:hyperlink>
      <w:r>
        <w:rPr>
          <w:color w:val="000000"/>
          <w:sz w:val="20"/>
          <w:szCs w:val="20"/>
        </w:rPr>
        <w:t xml:space="preserve"> </w:t>
      </w:r>
    </w:p>
  </w:footnote>
  <w:footnote w:id="22">
    <w:p w:rsidR="00893457" w:rsidRDefault="00893457">
      <w:pPr>
        <w:jc w:val="both"/>
        <w:rPr>
          <w:color w:val="000000"/>
          <w:sz w:val="20"/>
          <w:szCs w:val="20"/>
        </w:rPr>
      </w:pPr>
      <w:r>
        <w:rPr>
          <w:vertAlign w:val="superscript"/>
        </w:rPr>
        <w:footnoteRef/>
      </w:r>
      <w:r>
        <w:t xml:space="preserve"> “</w:t>
      </w:r>
      <w:r>
        <w:rPr>
          <w:color w:val="000000"/>
          <w:sz w:val="20"/>
          <w:szCs w:val="20"/>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3">
    <w:p w:rsidR="00893457" w:rsidRDefault="0089345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457" w:rsidRDefault="00893457">
    <w:pPr>
      <w:pBdr>
        <w:top w:val="nil"/>
        <w:left w:val="nil"/>
        <w:bottom w:val="nil"/>
        <w:right w:val="nil"/>
        <w:between w:val="nil"/>
      </w:pBdr>
      <w:tabs>
        <w:tab w:val="center" w:pos="4252"/>
        <w:tab w:val="right" w:pos="8504"/>
      </w:tabs>
      <w:spacing w:after="0" w:line="240" w:lineRule="auto"/>
      <w:rPr>
        <w:color w:val="000000"/>
        <w:sz w:val="24"/>
        <w:szCs w:val="24"/>
      </w:rPr>
    </w:pPr>
    <w:r>
      <w:rPr>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96.55pt;margin-top:-132.65pt;width:663.5pt;height:12in;z-index:-251658240;mso-position-horizontal:absolute;mso-position-horizontal-relative:margin;mso-position-vertical:absolute;mso-position-vertical-relative:margin" o:allowincell="f">
          <v:imagedata r:id="rId1" o:title="PHOTO-2020-08-13-10-14-39"/>
          <w10:wrap anchorx="margin" anchory="margin"/>
        </v:shape>
      </w:pict>
    </w:r>
  </w:p>
  <w:p w:rsidR="00893457" w:rsidRDefault="00893457">
    <w:pPr>
      <w:pBdr>
        <w:top w:val="nil"/>
        <w:left w:val="nil"/>
        <w:bottom w:val="nil"/>
        <w:right w:val="nil"/>
        <w:between w:val="nil"/>
      </w:pBdr>
      <w:tabs>
        <w:tab w:val="center" w:pos="4252"/>
        <w:tab w:val="right" w:pos="8504"/>
      </w:tabs>
      <w:spacing w:after="0" w:line="240" w:lineRule="auto"/>
      <w:rPr>
        <w:color w:val="000000"/>
        <w:sz w:val="24"/>
        <w:szCs w:val="24"/>
      </w:rPr>
    </w:pPr>
  </w:p>
  <w:tbl>
    <w:tblPr>
      <w:tblStyle w:val="a1"/>
      <w:tblW w:w="6824" w:type="dxa"/>
      <w:tblInd w:w="2603" w:type="dxa"/>
      <w:tblBorders>
        <w:top w:val="nil"/>
        <w:left w:val="nil"/>
        <w:bottom w:val="nil"/>
        <w:right w:val="nil"/>
        <w:insideH w:val="nil"/>
        <w:insideV w:val="nil"/>
      </w:tblBorders>
      <w:tblLayout w:type="fixed"/>
      <w:tblLook w:val="0400" w:firstRow="0" w:lastRow="0" w:firstColumn="0" w:lastColumn="0" w:noHBand="0" w:noVBand="1"/>
    </w:tblPr>
    <w:tblGrid>
      <w:gridCol w:w="2551"/>
      <w:gridCol w:w="3989"/>
      <w:gridCol w:w="284"/>
    </w:tblGrid>
    <w:tr w:rsidR="00893457">
      <w:trPr>
        <w:trHeight w:val="138"/>
      </w:trPr>
      <w:tc>
        <w:tcPr>
          <w:tcW w:w="2551" w:type="dxa"/>
          <w:vAlign w:val="center"/>
        </w:tcPr>
        <w:p w:rsidR="00893457" w:rsidRDefault="008934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73" w:type="dxa"/>
          <w:gridSpan w:val="2"/>
          <w:vAlign w:val="center"/>
        </w:tcPr>
        <w:p w:rsidR="00893457" w:rsidRDefault="00893457">
          <w:pPr>
            <w:pBdr>
              <w:top w:val="nil"/>
              <w:left w:val="nil"/>
              <w:bottom w:val="nil"/>
              <w:right w:val="nil"/>
              <w:between w:val="nil"/>
            </w:pBdr>
            <w:tabs>
              <w:tab w:val="center" w:pos="4252"/>
              <w:tab w:val="right" w:pos="8504"/>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01158/INFOEM/IP/RR/2022</w:t>
          </w:r>
        </w:p>
      </w:tc>
    </w:tr>
    <w:tr w:rsidR="00893457">
      <w:trPr>
        <w:gridAfter w:val="1"/>
        <w:wAfter w:w="284" w:type="dxa"/>
        <w:trHeight w:val="321"/>
      </w:trPr>
      <w:tc>
        <w:tcPr>
          <w:tcW w:w="2551" w:type="dxa"/>
          <w:vAlign w:val="center"/>
        </w:tcPr>
        <w:p w:rsidR="00893457" w:rsidRDefault="008934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89" w:type="dxa"/>
          <w:vAlign w:val="center"/>
        </w:tcPr>
        <w:p w:rsidR="00893457" w:rsidRDefault="00893457">
          <w:pPr>
            <w:pBdr>
              <w:top w:val="nil"/>
              <w:left w:val="nil"/>
              <w:bottom w:val="nil"/>
              <w:right w:val="nil"/>
              <w:between w:val="nil"/>
            </w:pBdr>
            <w:tabs>
              <w:tab w:val="center" w:pos="4252"/>
              <w:tab w:val="right" w:pos="8504"/>
            </w:tabs>
            <w:ind w:right="21"/>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Atizapán</w:t>
          </w:r>
        </w:p>
      </w:tc>
    </w:tr>
    <w:tr w:rsidR="00893457">
      <w:trPr>
        <w:trHeight w:val="321"/>
      </w:trPr>
      <w:tc>
        <w:tcPr>
          <w:tcW w:w="2551" w:type="dxa"/>
          <w:vAlign w:val="center"/>
        </w:tcPr>
        <w:p w:rsidR="00893457" w:rsidRDefault="008934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73" w:type="dxa"/>
          <w:gridSpan w:val="2"/>
          <w:vAlign w:val="center"/>
        </w:tcPr>
        <w:p w:rsidR="00893457" w:rsidRDefault="00893457">
          <w:pPr>
            <w:pBdr>
              <w:top w:val="nil"/>
              <w:left w:val="nil"/>
              <w:bottom w:val="nil"/>
              <w:right w:val="nil"/>
              <w:between w:val="nil"/>
            </w:pBdr>
            <w:tabs>
              <w:tab w:val="center" w:pos="4252"/>
              <w:tab w:val="right" w:pos="8504"/>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María del Rosario Mejía Ayala</w:t>
          </w:r>
        </w:p>
      </w:tc>
    </w:tr>
  </w:tbl>
  <w:p w:rsidR="00893457" w:rsidRDefault="00893457">
    <w:pPr>
      <w:pBdr>
        <w:top w:val="nil"/>
        <w:left w:val="nil"/>
        <w:bottom w:val="nil"/>
        <w:right w:val="nil"/>
        <w:between w:val="nil"/>
      </w:pBdr>
      <w:tabs>
        <w:tab w:val="center" w:pos="4252"/>
        <w:tab w:val="right" w:pos="8504"/>
      </w:tabs>
      <w:spacing w:after="0" w:line="240" w:lineRule="auto"/>
      <w:rPr>
        <w:color w:val="00000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457" w:rsidRDefault="00893457">
    <w:pPr>
      <w:pBdr>
        <w:top w:val="nil"/>
        <w:left w:val="nil"/>
        <w:bottom w:val="nil"/>
        <w:right w:val="nil"/>
        <w:between w:val="nil"/>
      </w:pBdr>
      <w:tabs>
        <w:tab w:val="center" w:pos="4252"/>
        <w:tab w:val="right" w:pos="8504"/>
        <w:tab w:val="left" w:pos="3103"/>
      </w:tabs>
      <w:spacing w:after="0" w:line="240" w:lineRule="auto"/>
      <w:rPr>
        <w:color w:val="000000"/>
        <w:sz w:val="24"/>
        <w:szCs w:val="24"/>
      </w:rPr>
    </w:pPr>
    <w:r>
      <w:rPr>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96.55pt;margin-top:-129.5pt;width:663.5pt;height:12in;z-index:-251659264;mso-position-horizontal:absolute;mso-position-horizontal-relative:margin;mso-position-vertical:absolute;mso-position-vertical-relative:margin">
          <v:imagedata r:id="rId1" o:title="image4"/>
          <w10:wrap anchorx="margin" anchory="margin"/>
        </v:shape>
      </w:pict>
    </w:r>
    <w:r>
      <w:rPr>
        <w:color w:val="000000"/>
        <w:sz w:val="24"/>
        <w:szCs w:val="24"/>
      </w:rPr>
      <w:tab/>
    </w:r>
    <w:r>
      <w:rPr>
        <w:color w:val="000000"/>
        <w:sz w:val="24"/>
        <w:szCs w:val="24"/>
      </w:rPr>
      <w:tab/>
    </w:r>
  </w:p>
  <w:tbl>
    <w:tblPr>
      <w:tblStyle w:val="a0"/>
      <w:tblW w:w="6945" w:type="dxa"/>
      <w:tblInd w:w="1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552"/>
      <w:gridCol w:w="4393"/>
    </w:tblGrid>
    <w:tr w:rsidR="00893457">
      <w:trPr>
        <w:trHeight w:val="138"/>
      </w:trPr>
      <w:tc>
        <w:tcPr>
          <w:tcW w:w="2552" w:type="dxa"/>
          <w:vAlign w:val="center"/>
        </w:tcPr>
        <w:p w:rsidR="00893457" w:rsidRDefault="00893457">
          <w:pPr>
            <w:ind w:right="-572"/>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vAlign w:val="center"/>
        </w:tcPr>
        <w:p w:rsidR="00893457" w:rsidRDefault="00893457">
          <w:pPr>
            <w:pBdr>
              <w:top w:val="nil"/>
              <w:left w:val="nil"/>
              <w:bottom w:val="nil"/>
              <w:right w:val="nil"/>
              <w:between w:val="nil"/>
            </w:pBdr>
            <w:tabs>
              <w:tab w:val="center" w:pos="4252"/>
              <w:tab w:val="right" w:pos="8504"/>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01158/INFOEM/IP/RR/2022</w:t>
          </w:r>
        </w:p>
      </w:tc>
    </w:tr>
    <w:tr w:rsidR="00893457">
      <w:trPr>
        <w:trHeight w:val="227"/>
      </w:trPr>
      <w:tc>
        <w:tcPr>
          <w:tcW w:w="2552" w:type="dxa"/>
          <w:vAlign w:val="center"/>
        </w:tcPr>
        <w:p w:rsidR="00893457" w:rsidRDefault="008934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vAlign w:val="center"/>
        </w:tcPr>
        <w:p w:rsidR="00893457" w:rsidRDefault="00893457">
          <w:pPr>
            <w:pBdr>
              <w:top w:val="nil"/>
              <w:left w:val="nil"/>
              <w:bottom w:val="nil"/>
              <w:right w:val="nil"/>
              <w:between w:val="nil"/>
            </w:pBdr>
            <w:tabs>
              <w:tab w:val="center" w:pos="4252"/>
              <w:tab w:val="right" w:pos="8504"/>
            </w:tabs>
            <w:ind w:right="-250"/>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Xxxx Xxxxxxx Xxxxxxx</w:t>
          </w:r>
        </w:p>
      </w:tc>
    </w:tr>
    <w:tr w:rsidR="00893457">
      <w:trPr>
        <w:trHeight w:val="232"/>
      </w:trPr>
      <w:tc>
        <w:tcPr>
          <w:tcW w:w="2552" w:type="dxa"/>
          <w:vAlign w:val="center"/>
        </w:tcPr>
        <w:p w:rsidR="00893457" w:rsidRDefault="008934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vAlign w:val="center"/>
        </w:tcPr>
        <w:p w:rsidR="00893457" w:rsidRDefault="00893457">
          <w:pPr>
            <w:pBdr>
              <w:top w:val="nil"/>
              <w:left w:val="nil"/>
              <w:bottom w:val="nil"/>
              <w:right w:val="nil"/>
              <w:between w:val="nil"/>
            </w:pBdr>
            <w:tabs>
              <w:tab w:val="center" w:pos="4252"/>
              <w:tab w:val="right" w:pos="8504"/>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Atizapán</w:t>
          </w:r>
        </w:p>
      </w:tc>
    </w:tr>
    <w:tr w:rsidR="00893457">
      <w:trPr>
        <w:trHeight w:val="320"/>
      </w:trPr>
      <w:tc>
        <w:tcPr>
          <w:tcW w:w="2552" w:type="dxa"/>
          <w:vAlign w:val="center"/>
        </w:tcPr>
        <w:p w:rsidR="00893457" w:rsidRDefault="008934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vAlign w:val="center"/>
        </w:tcPr>
        <w:p w:rsidR="00893457" w:rsidRDefault="00893457">
          <w:pPr>
            <w:pBdr>
              <w:top w:val="nil"/>
              <w:left w:val="nil"/>
              <w:bottom w:val="nil"/>
              <w:right w:val="nil"/>
              <w:between w:val="nil"/>
            </w:pBdr>
            <w:tabs>
              <w:tab w:val="center" w:pos="4252"/>
              <w:tab w:val="right" w:pos="8504"/>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María del Rosario Mejía Ayala</w:t>
          </w:r>
        </w:p>
      </w:tc>
    </w:tr>
  </w:tbl>
  <w:p w:rsidR="00893457" w:rsidRDefault="00893457">
    <w:pPr>
      <w:pBdr>
        <w:top w:val="nil"/>
        <w:left w:val="nil"/>
        <w:bottom w:val="nil"/>
        <w:right w:val="nil"/>
        <w:between w:val="nil"/>
      </w:pBdr>
      <w:tabs>
        <w:tab w:val="center" w:pos="4252"/>
        <w:tab w:val="right" w:pos="8504"/>
      </w:tabs>
      <w:spacing w:after="0" w:line="240" w:lineRule="auto"/>
      <w:rPr>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383CEF"/>
    <w:multiLevelType w:val="multilevel"/>
    <w:tmpl w:val="AE8CCD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17455B5B"/>
    <w:multiLevelType w:val="multilevel"/>
    <w:tmpl w:val="DC8ED2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3F847167"/>
    <w:multiLevelType w:val="multilevel"/>
    <w:tmpl w:val="ADB204E8"/>
    <w:lvl w:ilvl="0">
      <w:start w:val="4"/>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36E0C78"/>
    <w:multiLevelType w:val="multilevel"/>
    <w:tmpl w:val="24845A8A"/>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5A5E1EA8"/>
    <w:multiLevelType w:val="multilevel"/>
    <w:tmpl w:val="8670FC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6E841F34"/>
    <w:multiLevelType w:val="multilevel"/>
    <w:tmpl w:val="9B3CF4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718E1E95"/>
    <w:multiLevelType w:val="multilevel"/>
    <w:tmpl w:val="F3C0CED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right"/>
      <w:pPr>
        <w:ind w:left="1800" w:hanging="720"/>
      </w:pPr>
      <w:rPr>
        <w:b/>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7EC"/>
    <w:rsid w:val="00020CAD"/>
    <w:rsid w:val="002317EC"/>
    <w:rsid w:val="00893457"/>
    <w:rsid w:val="00E03C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992BA237-818B-4DFE-B786-5F9A123A5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_tradnl"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86BDF"/>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486B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486BDF"/>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486BDF"/>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486BDF"/>
  </w:style>
  <w:style w:type="numbering" w:customStyle="1" w:styleId="Sinlista11">
    <w:name w:val="Sin lista11"/>
    <w:next w:val="Sinlista"/>
    <w:uiPriority w:val="99"/>
    <w:semiHidden/>
    <w:unhideWhenUsed/>
    <w:rsid w:val="00486BDF"/>
  </w:style>
  <w:style w:type="paragraph" w:styleId="Encabezado">
    <w:name w:val="header"/>
    <w:basedOn w:val="Normal"/>
    <w:link w:val="EncabezadoCar"/>
    <w:uiPriority w:val="99"/>
    <w:unhideWhenUsed/>
    <w:rsid w:val="00486BDF"/>
    <w:pPr>
      <w:tabs>
        <w:tab w:val="center" w:pos="4252"/>
        <w:tab w:val="right" w:pos="8504"/>
      </w:tabs>
      <w:spacing w:after="0" w:line="240" w:lineRule="auto"/>
    </w:pPr>
    <w:rPr>
      <w:rFonts w:eastAsiaTheme="minorEastAsia"/>
      <w:sz w:val="24"/>
      <w:szCs w:val="24"/>
      <w:lang w:eastAsia="es-ES"/>
    </w:rPr>
  </w:style>
  <w:style w:type="character" w:customStyle="1" w:styleId="EncabezadoCar">
    <w:name w:val="Encabezado Car"/>
    <w:basedOn w:val="Fuentedeprrafopredeter"/>
    <w:link w:val="Encabezado"/>
    <w:uiPriority w:val="99"/>
    <w:rsid w:val="00486BDF"/>
    <w:rPr>
      <w:rFonts w:eastAsiaTheme="minorEastAsia"/>
      <w:sz w:val="24"/>
      <w:szCs w:val="24"/>
      <w:lang w:val="es-ES_tradnl" w:eastAsia="es-ES"/>
    </w:rPr>
  </w:style>
  <w:style w:type="paragraph" w:styleId="Piedepgina">
    <w:name w:val="footer"/>
    <w:basedOn w:val="Normal"/>
    <w:link w:val="PiedepginaCar"/>
    <w:uiPriority w:val="99"/>
    <w:unhideWhenUsed/>
    <w:rsid w:val="00486BDF"/>
    <w:pPr>
      <w:tabs>
        <w:tab w:val="center" w:pos="4252"/>
        <w:tab w:val="right" w:pos="8504"/>
      </w:tabs>
      <w:spacing w:after="0" w:line="240" w:lineRule="auto"/>
    </w:pPr>
    <w:rPr>
      <w:rFonts w:eastAsiaTheme="minorEastAsia"/>
      <w:sz w:val="24"/>
      <w:szCs w:val="24"/>
      <w:lang w:eastAsia="es-ES"/>
    </w:rPr>
  </w:style>
  <w:style w:type="character" w:customStyle="1" w:styleId="PiedepginaCar">
    <w:name w:val="Pie de página Car"/>
    <w:basedOn w:val="Fuentedeprrafopredeter"/>
    <w:link w:val="Piedepgina"/>
    <w:uiPriority w:val="99"/>
    <w:rsid w:val="00486BDF"/>
    <w:rPr>
      <w:rFonts w:eastAsiaTheme="minorEastAsia"/>
      <w:sz w:val="24"/>
      <w:szCs w:val="24"/>
      <w:lang w:val="es-ES_tradnl" w:eastAsia="es-ES"/>
    </w:rPr>
  </w:style>
  <w:style w:type="table" w:styleId="Tablaconcuadrcula">
    <w:name w:val="Table Grid"/>
    <w:basedOn w:val="Tablanormal"/>
    <w:uiPriority w:val="39"/>
    <w:rsid w:val="00486BDF"/>
    <w:pPr>
      <w:spacing w:after="0" w:line="240" w:lineRule="auto"/>
    </w:pPr>
    <w:rPr>
      <w:rFonts w:eastAsiaTheme="minorEastAsia"/>
      <w:sz w:val="24"/>
      <w:szCs w:val="24"/>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86BDF"/>
    <w:pPr>
      <w:spacing w:after="0" w:line="240" w:lineRule="auto"/>
      <w:ind w:left="720"/>
      <w:contextualSpacing/>
    </w:pPr>
    <w:rPr>
      <w:rFonts w:eastAsiaTheme="minorEastAsia"/>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86BDF"/>
    <w:rPr>
      <w:rFonts w:eastAsiaTheme="minorEastAsia"/>
      <w:sz w:val="24"/>
      <w:szCs w:val="24"/>
      <w:lang w:val="es-ES_tradnl" w:eastAsia="es-ES"/>
    </w:rPr>
  </w:style>
  <w:style w:type="character" w:styleId="Hipervnculo">
    <w:name w:val="Hyperlink"/>
    <w:basedOn w:val="Fuentedeprrafopredeter"/>
    <w:uiPriority w:val="99"/>
    <w:unhideWhenUsed/>
    <w:rsid w:val="00486BDF"/>
    <w:rPr>
      <w:color w:val="0563C1" w:themeColor="hyperlink"/>
      <w:u w:val="single"/>
    </w:rPr>
  </w:style>
  <w:style w:type="paragraph" w:styleId="TDC1">
    <w:name w:val="toc 1"/>
    <w:basedOn w:val="Normal"/>
    <w:next w:val="Normal"/>
    <w:autoRedefine/>
    <w:uiPriority w:val="39"/>
    <w:unhideWhenUsed/>
    <w:rsid w:val="00486BDF"/>
    <w:pPr>
      <w:tabs>
        <w:tab w:val="left" w:pos="660"/>
        <w:tab w:val="right" w:leader="dot" w:pos="8779"/>
      </w:tabs>
      <w:spacing w:after="100" w:line="240" w:lineRule="auto"/>
      <w:ind w:left="426" w:hanging="426"/>
    </w:pPr>
    <w:rPr>
      <w:rFonts w:eastAsiaTheme="minorEastAsia"/>
      <w:sz w:val="24"/>
      <w:szCs w:val="24"/>
      <w:lang w:eastAsia="es-ES"/>
    </w:rPr>
  </w:style>
  <w:style w:type="paragraph" w:styleId="TDC2">
    <w:name w:val="toc 2"/>
    <w:basedOn w:val="Normal"/>
    <w:next w:val="Normal"/>
    <w:autoRedefine/>
    <w:uiPriority w:val="39"/>
    <w:unhideWhenUsed/>
    <w:rsid w:val="00486BDF"/>
    <w:pPr>
      <w:tabs>
        <w:tab w:val="left" w:pos="480"/>
        <w:tab w:val="right" w:leader="dot" w:pos="8779"/>
      </w:tabs>
      <w:spacing w:after="100" w:line="240" w:lineRule="auto"/>
      <w:ind w:left="426" w:hanging="426"/>
    </w:pPr>
    <w:rPr>
      <w:rFonts w:eastAsiaTheme="minorEastAsia"/>
      <w:sz w:val="24"/>
      <w:szCs w:val="24"/>
      <w:lang w:eastAsia="es-ES"/>
    </w:rPr>
  </w:style>
  <w:style w:type="table" w:customStyle="1" w:styleId="Tablaconcuadrcula1">
    <w:name w:val="Tabla con cuadrícula1"/>
    <w:basedOn w:val="Tablanormal"/>
    <w:next w:val="Tablaconcuadrcula"/>
    <w:uiPriority w:val="59"/>
    <w:rsid w:val="00486BDF"/>
    <w:pPr>
      <w:spacing w:after="0" w:line="240" w:lineRule="auto"/>
    </w:pPr>
    <w:rPr>
      <w:rFonts w:eastAsia="Times New Roman"/>
      <w:sz w:val="24"/>
      <w:szCs w:val="24"/>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486BDF"/>
    <w:pPr>
      <w:outlineLvl w:val="9"/>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86BD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86BDF"/>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486BDF"/>
    <w:rPr>
      <w:vertAlign w:val="superscript"/>
    </w:rPr>
  </w:style>
  <w:style w:type="character" w:customStyle="1" w:styleId="normaltextrun">
    <w:name w:val="normaltextrun"/>
    <w:basedOn w:val="Fuentedeprrafopredeter"/>
    <w:rsid w:val="00486BDF"/>
  </w:style>
  <w:style w:type="paragraph" w:styleId="Textosinformato">
    <w:name w:val="Plain Text"/>
    <w:basedOn w:val="Normal"/>
    <w:link w:val="TextosinformatoCar"/>
    <w:rsid w:val="00486BD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86BDF"/>
    <w:rPr>
      <w:rFonts w:ascii="Courier New" w:eastAsia="Times New Roman" w:hAnsi="Courier New" w:cs="Times New Roman"/>
      <w:sz w:val="20"/>
      <w:szCs w:val="20"/>
      <w:lang w:val="es-ES" w:eastAsia="es-ES"/>
    </w:rPr>
  </w:style>
  <w:style w:type="paragraph" w:customStyle="1" w:styleId="Texto">
    <w:name w:val="Texto"/>
    <w:basedOn w:val="Normal"/>
    <w:rsid w:val="00486BDF"/>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86BDF"/>
    <w:pPr>
      <w:spacing w:after="0" w:line="240" w:lineRule="auto"/>
    </w:pPr>
    <w:rPr>
      <w:rFonts w:ascii="Segoe UI" w:eastAsiaTheme="minorEastAsia" w:hAnsi="Segoe UI" w:cs="Segoe UI"/>
      <w:sz w:val="18"/>
      <w:szCs w:val="18"/>
      <w:lang w:eastAsia="es-ES"/>
    </w:rPr>
  </w:style>
  <w:style w:type="character" w:customStyle="1" w:styleId="TextodegloboCar">
    <w:name w:val="Texto de globo Car"/>
    <w:basedOn w:val="Fuentedeprrafopredeter"/>
    <w:link w:val="Textodeglobo"/>
    <w:uiPriority w:val="99"/>
    <w:semiHidden/>
    <w:rsid w:val="00486BDF"/>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486BDF"/>
    <w:pPr>
      <w:spacing w:after="0" w:line="240" w:lineRule="auto"/>
    </w:pPr>
    <w:rPr>
      <w:rFonts w:eastAsia="Times New Roman"/>
      <w:sz w:val="24"/>
      <w:szCs w:val="24"/>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486BDF"/>
    <w:pPr>
      <w:spacing w:after="0" w:line="240" w:lineRule="auto"/>
    </w:pPr>
    <w:rPr>
      <w:rFonts w:eastAsia="Times New Roman"/>
      <w:sz w:val="24"/>
      <w:szCs w:val="24"/>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486BDF"/>
  </w:style>
  <w:style w:type="table" w:customStyle="1" w:styleId="Tablaconcuadrcula2">
    <w:name w:val="Tabla con cuadrícula2"/>
    <w:basedOn w:val="Tablanormal"/>
    <w:next w:val="Tablaconcuadrcula"/>
    <w:uiPriority w:val="39"/>
    <w:rsid w:val="00486BDF"/>
    <w:pPr>
      <w:spacing w:after="0" w:line="240" w:lineRule="auto"/>
    </w:pPr>
    <w:rPr>
      <w:rFonts w:eastAsiaTheme="minorEastAsia"/>
      <w:sz w:val="24"/>
      <w:szCs w:val="24"/>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486BD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486BD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486BDF"/>
    <w:pPr>
      <w:tabs>
        <w:tab w:val="left" w:pos="1100"/>
        <w:tab w:val="right" w:leader="dot" w:pos="8779"/>
      </w:tabs>
      <w:spacing w:after="100" w:line="240" w:lineRule="auto"/>
      <w:ind w:left="567" w:hanging="567"/>
    </w:pPr>
    <w:rPr>
      <w:rFonts w:eastAsiaTheme="minorEastAsia"/>
      <w:sz w:val="24"/>
      <w:szCs w:val="24"/>
      <w:lang w:eastAsia="es-ES"/>
    </w:rPr>
  </w:style>
  <w:style w:type="paragraph" w:styleId="Textonotaalfinal">
    <w:name w:val="endnote text"/>
    <w:basedOn w:val="Normal"/>
    <w:link w:val="TextonotaalfinalCar"/>
    <w:uiPriority w:val="99"/>
    <w:semiHidden/>
    <w:unhideWhenUsed/>
    <w:rsid w:val="00486BD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86BDF"/>
    <w:rPr>
      <w:sz w:val="20"/>
      <w:szCs w:val="20"/>
    </w:rPr>
  </w:style>
  <w:style w:type="character" w:styleId="Refdenotaalfinal">
    <w:name w:val="endnote reference"/>
    <w:basedOn w:val="Fuentedeprrafopredeter"/>
    <w:uiPriority w:val="99"/>
    <w:semiHidden/>
    <w:unhideWhenUsed/>
    <w:rsid w:val="00486BDF"/>
    <w:rPr>
      <w:vertAlign w:val="superscript"/>
    </w:rPr>
  </w:style>
  <w:style w:type="paragraph" w:styleId="Sinespaciado">
    <w:name w:val="No Spacing"/>
    <w:aliases w:val="Francesa"/>
    <w:link w:val="SinespaciadoCar"/>
    <w:uiPriority w:val="1"/>
    <w:qFormat/>
    <w:rsid w:val="00BA6FF7"/>
    <w:pPr>
      <w:spacing w:after="0" w:line="240" w:lineRule="auto"/>
    </w:pPr>
    <w:rPr>
      <w:rFonts w:eastAsiaTheme="minorEastAsia"/>
      <w:sz w:val="24"/>
      <w:szCs w:val="24"/>
      <w:lang w:eastAsia="es-ES"/>
    </w:rPr>
  </w:style>
  <w:style w:type="character" w:customStyle="1" w:styleId="SinespaciadoCar">
    <w:name w:val="Sin espaciado Car"/>
    <w:aliases w:val="Francesa Car"/>
    <w:link w:val="Sinespaciado"/>
    <w:uiPriority w:val="1"/>
    <w:locked/>
    <w:rsid w:val="00BA6FF7"/>
    <w:rPr>
      <w:rFonts w:eastAsiaTheme="minorEastAsia"/>
      <w:sz w:val="24"/>
      <w:szCs w:val="24"/>
      <w:lang w:val="es-ES_tradnl"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43808.page"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saimex.org.mx/saimex/solicitud/downloadAttach/1343809.page"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43808.pag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aimex.org.mx/saimex/solicitud/downloadAttach/1343810.page" TargetMode="External"/><Relationship Id="rId23" Type="http://schemas.openxmlformats.org/officeDocument/2006/relationships/footer" Target="footer1.xml"/><Relationship Id="rId10" Type="http://schemas.openxmlformats.org/officeDocument/2006/relationships/hyperlink" Target="https://www.saimex.org.mx/saimex/solicitud/downloadAttach/1343810.page" TargetMode="External"/><Relationship Id="rId4" Type="http://schemas.openxmlformats.org/officeDocument/2006/relationships/settings" Target="settings.xml"/><Relationship Id="rId9" Type="http://schemas.openxmlformats.org/officeDocument/2006/relationships/hyperlink" Target="https://www.saimex.org.mx/saimex/solicitud/downloadAttach/1343809.page" TargetMode="Externa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7CVGtxgAo%7C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NoArPE5IzP12kYTsWASK3CkpAA==">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15252</Words>
  <Characters>83887</Characters>
  <Application>Microsoft Office Word</Application>
  <DocSecurity>0</DocSecurity>
  <Lines>699</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USUARIO</cp:lastModifiedBy>
  <cp:revision>2</cp:revision>
  <dcterms:created xsi:type="dcterms:W3CDTF">2022-04-06T20:27:00Z</dcterms:created>
  <dcterms:modified xsi:type="dcterms:W3CDTF">2022-04-06T20:27:00Z</dcterms:modified>
</cp:coreProperties>
</file>