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C34" w:rsidRDefault="008D328D">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diez de febrero de dos mil veintidós.</w:t>
      </w:r>
    </w:p>
    <w:p w:rsidR="00930C34" w:rsidRDefault="008D328D">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06394/INFOEM/IP/RR/2021</w:t>
      </w:r>
      <w:r>
        <w:rPr>
          <w:rFonts w:ascii="Palatino Linotype" w:eastAsia="Palatino Linotype" w:hAnsi="Palatino Linotype" w:cs="Palatino Linotype"/>
          <w:sz w:val="24"/>
          <w:szCs w:val="24"/>
        </w:rPr>
        <w:t>, interpuesto por</w:t>
      </w:r>
      <w:r>
        <w:rPr>
          <w:rFonts w:ascii="Palatino Linotype" w:eastAsia="Palatino Linotype" w:hAnsi="Palatino Linotype" w:cs="Palatino Linotype"/>
          <w:b/>
          <w:color w:val="000000"/>
          <w:sz w:val="24"/>
          <w:szCs w:val="24"/>
        </w:rPr>
        <w:t xml:space="preserve"> </w:t>
      </w:r>
      <w:r w:rsidR="00391E77">
        <w:rPr>
          <w:rFonts w:ascii="Palatino Linotype" w:eastAsia="Palatino Linotype" w:hAnsi="Palatino Linotype" w:cs="Palatino Linotype"/>
          <w:b/>
          <w:color w:val="000000"/>
          <w:sz w:val="24"/>
          <w:szCs w:val="24"/>
        </w:rPr>
        <w:t>xxxx</w:t>
      </w:r>
      <w:r>
        <w:rPr>
          <w:rFonts w:ascii="Palatino Linotype" w:eastAsia="Palatino Linotype" w:hAnsi="Palatino Linotype" w:cs="Palatino Linotype"/>
          <w:b/>
          <w:color w:val="000000"/>
          <w:sz w:val="24"/>
          <w:szCs w:val="24"/>
        </w:rPr>
        <w:t xml:space="preserve"> </w:t>
      </w:r>
      <w:r w:rsidR="00391E77">
        <w:rPr>
          <w:rFonts w:ascii="Palatino Linotype" w:eastAsia="Palatino Linotype" w:hAnsi="Palatino Linotype" w:cs="Palatino Linotype"/>
          <w:b/>
          <w:color w:val="000000"/>
          <w:sz w:val="24"/>
          <w:szCs w:val="24"/>
        </w:rPr>
        <w:t>xxxxxxxx</w:t>
      </w:r>
      <w:r>
        <w:rPr>
          <w:rFonts w:ascii="Palatino Linotype" w:eastAsia="Palatino Linotype" w:hAnsi="Palatino Linotype" w:cs="Palatino Linotype"/>
          <w:b/>
          <w:color w:val="000000"/>
          <w:sz w:val="24"/>
          <w:szCs w:val="24"/>
        </w:rPr>
        <w:t xml:space="preserve"> </w:t>
      </w:r>
      <w:r w:rsidR="00391E77">
        <w:rPr>
          <w:rFonts w:ascii="Palatino Linotype" w:eastAsia="Palatino Linotype" w:hAnsi="Palatino Linotype" w:cs="Palatino Linotype"/>
          <w:b/>
          <w:color w:val="000000"/>
          <w:sz w:val="24"/>
          <w:szCs w:val="24"/>
        </w:rPr>
        <w:t>xxxxxxx</w:t>
      </w:r>
      <w:r>
        <w:rPr>
          <w:rFonts w:ascii="Palatino Linotype" w:eastAsia="Palatino Linotype" w:hAnsi="Palatino Linotype" w:cs="Palatino Linotype"/>
          <w:sz w:val="24"/>
          <w:szCs w:val="24"/>
        </w:rPr>
        <w:t xml:space="preserve">,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Verdana" w:eastAsia="Verdana" w:hAnsi="Verdana" w:cs="Verdana"/>
          <w:b/>
          <w:color w:val="FF0000"/>
        </w:rPr>
        <w:t>  </w:t>
      </w:r>
      <w:r>
        <w:rPr>
          <w:rFonts w:ascii="Palatino Linotype" w:eastAsia="Palatino Linotype" w:hAnsi="Palatino Linotype" w:cs="Palatino Linotype"/>
          <w:b/>
          <w:color w:val="000000"/>
          <w:sz w:val="24"/>
          <w:szCs w:val="24"/>
        </w:rPr>
        <w:t>00090/SANTOTOM/IP/2021</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xml:space="preserve"> por parte de </w:t>
      </w:r>
      <w:r>
        <w:rPr>
          <w:rFonts w:ascii="Palatino Linotype" w:eastAsia="Palatino Linotype" w:hAnsi="Palatino Linotype" w:cs="Palatino Linotype"/>
          <w:b/>
          <w:sz w:val="24"/>
          <w:szCs w:val="24"/>
        </w:rPr>
        <w:t>Ayuntamiento de Santo Tomas</w:t>
      </w:r>
      <w:r>
        <w:rPr>
          <w:rFonts w:ascii="Palatino Linotype" w:eastAsia="Palatino Linotype" w:hAnsi="Palatino Linotype" w:cs="Palatino Linotype"/>
          <w:sz w:val="24"/>
          <w:szCs w:val="24"/>
        </w:rPr>
        <w:t>, en lo sucesivo</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 xml:space="preserve">se procede a dictar la presente resolución, con base en lo siguiente. </w:t>
      </w:r>
    </w:p>
    <w:p w:rsidR="00930C34" w:rsidRDefault="008D328D">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T E S   </w:t>
      </w:r>
    </w:p>
    <w:p w:rsidR="00930C34" w:rsidRDefault="008D328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DE LA SOLICITUD DE INFORMACIÓN.</w:t>
      </w:r>
    </w:p>
    <w:p w:rsidR="00930C34" w:rsidRDefault="008D328D">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fecha veintidós de noviembre de dos mil veintiuno,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Pr>
          <w:rFonts w:ascii="Verdana" w:eastAsia="Verdana" w:hAnsi="Verdana" w:cs="Verdana"/>
          <w:b/>
          <w:color w:val="FF0000"/>
        </w:rPr>
        <w:t> </w:t>
      </w:r>
      <w:r>
        <w:rPr>
          <w:rFonts w:ascii="Palatino Linotype" w:eastAsia="Palatino Linotype" w:hAnsi="Palatino Linotype" w:cs="Palatino Linotype"/>
          <w:b/>
          <w:color w:val="000000"/>
          <w:sz w:val="24"/>
          <w:szCs w:val="24"/>
        </w:rPr>
        <w:t>00090/SANTOTOM/IP/2021</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930C34" w:rsidRDefault="008D328D">
      <w:pPr>
        <w:spacing w:before="120" w:after="120" w:line="360" w:lineRule="auto"/>
        <w:ind w:left="709" w:right="758"/>
        <w:jc w:val="both"/>
        <w:rPr>
          <w:rFonts w:ascii="Palatino Linotype" w:eastAsia="Palatino Linotype" w:hAnsi="Palatino Linotype" w:cs="Palatino Linotype"/>
          <w:i/>
        </w:rPr>
      </w:pPr>
      <w:r>
        <w:rPr>
          <w:rFonts w:ascii="Palatino Linotype" w:eastAsia="Palatino Linotype" w:hAnsi="Palatino Linotype" w:cs="Palatino Linotype"/>
          <w:i/>
          <w:color w:val="000000"/>
        </w:rPr>
        <w:t>“Se solicita de la manera más atenta y respetuosa, con fundamento en el artículo 6° de la Constitución Política de los Estados Unidos Mexicanos, que se proporcione la información solicitada en el archivo adjunto de nombre "CensoAP"” (Sic).</w:t>
      </w:r>
    </w:p>
    <w:p w:rsidR="00930C34" w:rsidRDefault="008D328D">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930C34" w:rsidRDefault="008D328D">
      <w:pPr>
        <w:spacing w:before="280" w:after="280" w:line="240" w:lineRule="auto"/>
        <w:rPr>
          <w:rFonts w:ascii="Arial" w:eastAsia="Arial" w:hAnsi="Arial" w:cs="Arial"/>
          <w:color w:val="333333"/>
          <w:sz w:val="27"/>
          <w:szCs w:val="27"/>
        </w:rPr>
      </w:pPr>
      <w:r>
        <w:rPr>
          <w:rFonts w:ascii="Palatino Linotype" w:eastAsia="Palatino Linotype" w:hAnsi="Palatino Linotype" w:cs="Palatino Linotype"/>
          <w:color w:val="000000"/>
          <w:sz w:val="24"/>
          <w:szCs w:val="24"/>
        </w:rPr>
        <w:lastRenderedPageBreak/>
        <w:t>Resulta preciso señalar que el Recurrente adjuntó el documento electrónico “</w:t>
      </w:r>
      <w:hyperlink r:id="rId8">
        <w:r>
          <w:rPr>
            <w:rFonts w:ascii="Palatino Linotype" w:eastAsia="Palatino Linotype" w:hAnsi="Palatino Linotype" w:cs="Palatino Linotype"/>
            <w:b/>
            <w:color w:val="000000"/>
            <w:sz w:val="24"/>
            <w:szCs w:val="24"/>
          </w:rPr>
          <w:t>CensoAP.docx</w:t>
        </w:r>
      </w:hyperlink>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en el que precisa lo siguiente:</w:t>
      </w:r>
    </w:p>
    <w:p w:rsidR="00930C34" w:rsidRDefault="008D328D">
      <w:pPr>
        <w:rPr>
          <w:rFonts w:ascii="Palatino Linotype" w:eastAsia="Palatino Linotype" w:hAnsi="Palatino Linotype" w:cs="Palatino Linotype"/>
          <w:i/>
        </w:rPr>
      </w:pPr>
      <w:r>
        <w:rPr>
          <w:rFonts w:ascii="Palatino Linotype" w:eastAsia="Palatino Linotype" w:hAnsi="Palatino Linotype" w:cs="Palatino Linotype"/>
          <w:i/>
        </w:rPr>
        <w:t>Se solicita.</w:t>
      </w:r>
    </w:p>
    <w:p w:rsidR="00930C34" w:rsidRDefault="008D328D">
      <w:pPr>
        <w:numPr>
          <w:ilvl w:val="0"/>
          <w:numId w:val="4"/>
        </w:numPr>
        <w:pBdr>
          <w:top w:val="nil"/>
          <w:left w:val="nil"/>
          <w:bottom w:val="nil"/>
          <w:right w:val="nil"/>
          <w:between w:val="nil"/>
        </w:pBdr>
        <w:spacing w:after="0"/>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Censo de luminarios de alumbrado público realizado y firmado por la Comisión Federal de Electricidad (CFE), correspondiente a los años 2018, 2019, 2020 y 2021;</w:t>
      </w:r>
    </w:p>
    <w:p w:rsidR="00930C34" w:rsidRDefault="008D328D">
      <w:pPr>
        <w:numPr>
          <w:ilvl w:val="0"/>
          <w:numId w:val="4"/>
        </w:numPr>
        <w:pBdr>
          <w:top w:val="nil"/>
          <w:left w:val="nil"/>
          <w:bottom w:val="nil"/>
          <w:right w:val="nil"/>
          <w:between w:val="nil"/>
        </w:pBdr>
        <w:spacing w:after="0"/>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Convenio para la recaudación del Derecho de Alumbrado Público (DAP), entre la CFE y el Municipio, correspondiente a los años 2018, 2019, 2020 y 2021;</w:t>
      </w:r>
    </w:p>
    <w:p w:rsidR="00930C34" w:rsidRDefault="008D328D">
      <w:pPr>
        <w:numPr>
          <w:ilvl w:val="0"/>
          <w:numId w:val="4"/>
        </w:numPr>
        <w:pBdr>
          <w:top w:val="nil"/>
          <w:left w:val="nil"/>
          <w:bottom w:val="nil"/>
          <w:right w:val="nil"/>
          <w:between w:val="nil"/>
        </w:pBd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rsidR="00930C34" w:rsidRDefault="00930C34">
      <w:pPr>
        <w:rPr>
          <w:rFonts w:ascii="Palatino Linotype" w:eastAsia="Palatino Linotype" w:hAnsi="Palatino Linotype" w:cs="Palatino Linotype"/>
          <w:i/>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2018</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Facturación alumbrado público</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DAP</w:t>
            </w: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Enero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Febrero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Marzo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Abril</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Mayo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Junio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Julio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Agosto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Septiembre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Octubre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Noviembre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Diciembre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bl>
    <w:p w:rsidR="00930C34" w:rsidRDefault="00930C34">
      <w:pPr>
        <w:rPr>
          <w:rFonts w:ascii="Palatino Linotype" w:eastAsia="Palatino Linotype" w:hAnsi="Palatino Linotype" w:cs="Palatino Linotype"/>
          <w:i/>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2019</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Facturación alumbrado público</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DAP</w:t>
            </w: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Enero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Febrero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Marzo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Abril</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Mayo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Junio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Julio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Agosto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Septiembre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Octubre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Noviembre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Diciembre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bl>
    <w:p w:rsidR="00930C34" w:rsidRDefault="00930C34">
      <w:pPr>
        <w:rPr>
          <w:rFonts w:ascii="Palatino Linotype" w:eastAsia="Palatino Linotype" w:hAnsi="Palatino Linotype" w:cs="Palatino Linotype"/>
          <w:i/>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2020</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Facturación alumbrado público</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DAP</w:t>
            </w: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Enero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Febrero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Marzo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Abril</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Mayo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Junio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Julio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Agosto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Septiembre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Octubre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Noviembre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Diciembre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bl>
    <w:p w:rsidR="00930C34" w:rsidRDefault="00930C34">
      <w:pPr>
        <w:rPr>
          <w:rFonts w:ascii="Palatino Linotype" w:eastAsia="Palatino Linotype" w:hAnsi="Palatino Linotype" w:cs="Palatino Linotype"/>
          <w:i/>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2021</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Facturación alumbrado público</w:t>
            </w:r>
          </w:p>
        </w:tc>
        <w:tc>
          <w:tcPr>
            <w:tcW w:w="2943"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DAP</w:t>
            </w: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Enero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Febrero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Marzo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Abril</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Mayo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Junio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Julio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Agosto</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Septiembre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Octubre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lastRenderedPageBreak/>
              <w:t>Noviembre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r w:rsidR="00930C34">
        <w:tc>
          <w:tcPr>
            <w:tcW w:w="2942" w:type="dxa"/>
            <w:vAlign w:val="center"/>
          </w:tcPr>
          <w:p w:rsidR="00930C34" w:rsidRDefault="008D328D">
            <w:pPr>
              <w:jc w:val="center"/>
              <w:rPr>
                <w:rFonts w:ascii="Palatino Linotype" w:eastAsia="Palatino Linotype" w:hAnsi="Palatino Linotype" w:cs="Palatino Linotype"/>
                <w:i/>
              </w:rPr>
            </w:pPr>
            <w:r>
              <w:rPr>
                <w:rFonts w:ascii="Palatino Linotype" w:eastAsia="Palatino Linotype" w:hAnsi="Palatino Linotype" w:cs="Palatino Linotype"/>
                <w:i/>
              </w:rPr>
              <w:t>Diciembre</w:t>
            </w:r>
          </w:p>
        </w:tc>
        <w:tc>
          <w:tcPr>
            <w:tcW w:w="2943" w:type="dxa"/>
            <w:vAlign w:val="center"/>
          </w:tcPr>
          <w:p w:rsidR="00930C34" w:rsidRDefault="00930C34">
            <w:pPr>
              <w:jc w:val="center"/>
              <w:rPr>
                <w:rFonts w:ascii="Palatino Linotype" w:eastAsia="Palatino Linotype" w:hAnsi="Palatino Linotype" w:cs="Palatino Linotype"/>
                <w:i/>
              </w:rPr>
            </w:pPr>
          </w:p>
        </w:tc>
        <w:tc>
          <w:tcPr>
            <w:tcW w:w="2943" w:type="dxa"/>
            <w:vAlign w:val="center"/>
          </w:tcPr>
          <w:p w:rsidR="00930C34" w:rsidRDefault="00930C34">
            <w:pPr>
              <w:jc w:val="center"/>
              <w:rPr>
                <w:rFonts w:ascii="Palatino Linotype" w:eastAsia="Palatino Linotype" w:hAnsi="Palatino Linotype" w:cs="Palatino Linotype"/>
                <w:i/>
              </w:rPr>
            </w:pPr>
          </w:p>
        </w:tc>
      </w:tr>
    </w:tbl>
    <w:p w:rsidR="00930C34" w:rsidRDefault="00930C34">
      <w:pPr>
        <w:spacing w:before="240" w:line="360" w:lineRule="auto"/>
        <w:jc w:val="both"/>
        <w:rPr>
          <w:rFonts w:ascii="Palatino Linotype" w:eastAsia="Palatino Linotype" w:hAnsi="Palatino Linotype" w:cs="Palatino Linotype"/>
          <w:b/>
          <w:sz w:val="24"/>
          <w:szCs w:val="24"/>
        </w:rPr>
      </w:pPr>
    </w:p>
    <w:p w:rsidR="00930C34" w:rsidRDefault="008D328D">
      <w:pPr>
        <w:spacing w:before="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2. DE LA RESPUESTA DEL SUJETO OBLIGADO. </w:t>
      </w:r>
    </w:p>
    <w:p w:rsidR="00930C34" w:rsidRDefault="008D328D">
      <w:pPr>
        <w:spacing w:before="120" w:after="120" w:line="360" w:lineRule="auto"/>
        <w:jc w:val="both"/>
      </w:pPr>
      <w:r>
        <w:rPr>
          <w:rFonts w:ascii="Palatino Linotype" w:eastAsia="Palatino Linotype" w:hAnsi="Palatino Linotype" w:cs="Palatino Linotype"/>
          <w:sz w:val="24"/>
          <w:szCs w:val="24"/>
        </w:rPr>
        <w:t xml:space="preserve">Con fecha trece de diciembre del dos mil veintiuno,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930C34" w:rsidRDefault="00930C34">
      <w:pPr>
        <w:rPr>
          <w:rFonts w:ascii="Palatino Linotype" w:eastAsia="Palatino Linotype" w:hAnsi="Palatino Linotype" w:cs="Palatino Linotype"/>
          <w:i/>
        </w:rPr>
      </w:pPr>
    </w:p>
    <w:p w:rsidR="00930C34" w:rsidRDefault="008D328D">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30C34" w:rsidRDefault="008D328D">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Por este medio me permito notificar la respuesta proporcionada por el Servidor Público habilitado de la Tesorería Municipal, C. P. Marco Antonio González González y Secretaria del Ayuntamiento, C. Jaime Garfías Colín; respecto de su solicitud de información consistente en: “Se solicita de la manera más atenta y respetuosa, con fundamento en el artículo 6° de la Constitución Política de los Estados Unidos Mexicanos, que se proporcione la información solicitada en el archivo adjunto de nombre "CensoAP"”. Por lo que permito adjuntar los siguientes documentos: 1. Oficio de respuesta No. ST/TM/0172/2021 de la Tesorería Municipal, C. P. Marco Antonio González González; dirigido a la Unidad de Transparencia en fecha 13 de diciembre de 2021. 2. Oficio de respuesta No. ST/SM/101/2021 de la Secretaria del Ayuntamiento, C. Jaime Garfias Colín; dirigido a la Unidad de Transparencia en fecha 30 de noviembre de 2021. 3. Archivo PDF. Atentamente Areli Vásquez Blanquel Encargada del Despacho de la Unidad de Transparencia</w:t>
      </w:r>
    </w:p>
    <w:p w:rsidR="00930C34" w:rsidRDefault="008D328D">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930C34" w:rsidRDefault="008D328D">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ARELI VÁSQUEZ BLANQUEL</w:t>
      </w:r>
    </w:p>
    <w:p w:rsidR="00930C34" w:rsidRDefault="008D328D">
      <w:pPr>
        <w:spacing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Adjuntando para tal efecto los archivo electrónicos “</w:t>
      </w:r>
      <w:hyperlink r:id="rId9">
        <w:r>
          <w:rPr>
            <w:rFonts w:ascii="Palatino Linotype" w:eastAsia="Palatino Linotype" w:hAnsi="Palatino Linotype" w:cs="Palatino Linotype"/>
            <w:b/>
            <w:color w:val="000000"/>
            <w:sz w:val="24"/>
            <w:szCs w:val="24"/>
          </w:rPr>
          <w:t>Oficio Sria.pdf</w:t>
        </w:r>
      </w:hyperlink>
      <w:r>
        <w:rPr>
          <w:rFonts w:ascii="Palatino Linotype" w:eastAsia="Palatino Linotype" w:hAnsi="Palatino Linotype" w:cs="Palatino Linotype"/>
          <w:i/>
          <w:color w:val="000000"/>
          <w:sz w:val="24"/>
          <w:szCs w:val="24"/>
        </w:rPr>
        <w:t>”, “</w:t>
      </w:r>
      <w:hyperlink r:id="rId10">
        <w:r>
          <w:rPr>
            <w:rFonts w:ascii="Palatino Linotype" w:eastAsia="Palatino Linotype" w:hAnsi="Palatino Linotype" w:cs="Palatino Linotype"/>
            <w:b/>
            <w:color w:val="000000"/>
            <w:sz w:val="24"/>
            <w:szCs w:val="24"/>
          </w:rPr>
          <w:t>CensoAP.pdf</w:t>
        </w:r>
      </w:hyperlink>
      <w:r>
        <w:rPr>
          <w:rFonts w:ascii="Palatino Linotype" w:eastAsia="Palatino Linotype" w:hAnsi="Palatino Linotype" w:cs="Palatino Linotype"/>
          <w:color w:val="000000"/>
          <w:sz w:val="24"/>
          <w:szCs w:val="24"/>
        </w:rPr>
        <w:t>” y “</w:t>
      </w:r>
      <w:hyperlink r:id="rId11">
        <w:r>
          <w:rPr>
            <w:rFonts w:ascii="Palatino Linotype" w:eastAsia="Palatino Linotype" w:hAnsi="Palatino Linotype" w:cs="Palatino Linotype"/>
            <w:b/>
            <w:color w:val="000000"/>
            <w:sz w:val="24"/>
            <w:szCs w:val="24"/>
          </w:rPr>
          <w:t>Oficio Tesorería.pdf</w:t>
        </w:r>
      </w:hyperlink>
      <w:r>
        <w:rPr>
          <w:rFonts w:ascii="Palatino Linotype" w:eastAsia="Palatino Linotype" w:hAnsi="Palatino Linotype" w:cs="Palatino Linotype"/>
          <w:color w:val="000000"/>
          <w:sz w:val="24"/>
          <w:szCs w:val="24"/>
        </w:rPr>
        <w:t>”; los cuales no se insertan en el presente apartado por ser del conocimiento de las partes, sin embargo, habrá de hacerse el análisis y estudio correspondiente en párrafos posteriores.</w:t>
      </w:r>
    </w:p>
    <w:p w:rsidR="00930C34" w:rsidRDefault="008D328D">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3. DEL RECURSO DE REVISIÓN.</w:t>
      </w:r>
    </w:p>
    <w:p w:rsidR="00930C34" w:rsidRDefault="008D328D">
      <w:pPr>
        <w:spacing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EL RECURRENTE </w:t>
      </w:r>
      <w:r>
        <w:rPr>
          <w:rFonts w:ascii="Palatino Linotype" w:eastAsia="Palatino Linotype" w:hAnsi="Palatino Linotype" w:cs="Palatino Linotype"/>
          <w:sz w:val="24"/>
          <w:szCs w:val="24"/>
        </w:rPr>
        <w:t>interpuso el recurso de revisión, en fecha dieciséis de diciembre de dos mil veintiuno,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06394/INFOEM/IP/RR/2021</w:t>
      </w:r>
      <w:r>
        <w:rPr>
          <w:rFonts w:ascii="Palatino Linotype" w:eastAsia="Palatino Linotype" w:hAnsi="Palatino Linotype" w:cs="Palatino Linotype"/>
          <w:sz w:val="24"/>
          <w:szCs w:val="24"/>
        </w:rPr>
        <w:t>, en el cual manifiesta, lo siguiente:</w:t>
      </w:r>
    </w:p>
    <w:p w:rsidR="00930C34" w:rsidRDefault="00930C34">
      <w:pPr>
        <w:spacing w:line="360" w:lineRule="auto"/>
        <w:ind w:right="-234"/>
        <w:jc w:val="both"/>
        <w:rPr>
          <w:rFonts w:ascii="Palatino Linotype" w:eastAsia="Palatino Linotype" w:hAnsi="Palatino Linotype" w:cs="Palatino Linotype"/>
          <w:sz w:val="24"/>
          <w:szCs w:val="24"/>
        </w:rPr>
      </w:pPr>
    </w:p>
    <w:p w:rsidR="00930C34" w:rsidRDefault="008D328D">
      <w:pPr>
        <w:numPr>
          <w:ilvl w:val="0"/>
          <w:numId w:val="6"/>
        </w:numPr>
        <w:pBdr>
          <w:top w:val="nil"/>
          <w:left w:val="nil"/>
          <w:bottom w:val="nil"/>
          <w:right w:val="nil"/>
          <w:between w:val="nil"/>
        </w:pBdr>
        <w:spacing w:before="120" w:after="12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930C34" w:rsidRDefault="008D328D">
      <w:pPr>
        <w:spacing w:before="120" w:after="120" w:line="360" w:lineRule="auto"/>
        <w:ind w:left="851"/>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i/>
          <w:color w:val="000000"/>
          <w:sz w:val="24"/>
          <w:szCs w:val="24"/>
        </w:rPr>
        <w:t>La respuesta del Sujeto Obligado</w:t>
      </w:r>
      <w:r>
        <w:rPr>
          <w:rFonts w:ascii="Palatino Linotype" w:eastAsia="Palatino Linotype" w:hAnsi="Palatino Linotype" w:cs="Palatino Linotype"/>
          <w:i/>
          <w:sz w:val="24"/>
          <w:szCs w:val="24"/>
        </w:rPr>
        <w:t>” [sic]</w:t>
      </w:r>
    </w:p>
    <w:p w:rsidR="00930C34" w:rsidRDefault="008D328D">
      <w:pPr>
        <w:numPr>
          <w:ilvl w:val="0"/>
          <w:numId w:val="6"/>
        </w:numPr>
        <w:pBdr>
          <w:top w:val="nil"/>
          <w:left w:val="nil"/>
          <w:bottom w:val="nil"/>
          <w:right w:val="nil"/>
          <w:between w:val="nil"/>
        </w:pBdr>
        <w:spacing w:before="120" w:after="12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930C34" w:rsidRDefault="008D328D">
      <w:pPr>
        <w:ind w:left="851"/>
        <w:jc w:val="both"/>
        <w:rPr>
          <w:rFonts w:ascii="Palatino Linotype" w:eastAsia="Palatino Linotype" w:hAnsi="Palatino Linotype" w:cs="Palatino Linotype"/>
          <w:i/>
          <w:sz w:val="24"/>
          <w:szCs w:val="24"/>
        </w:rPr>
      </w:pPr>
      <w:r>
        <w:rPr>
          <w:rFonts w:ascii="Palatino Linotype" w:eastAsia="Palatino Linotype" w:hAnsi="Palatino Linotype" w:cs="Palatino Linotype"/>
          <w:i/>
          <w:color w:val="000000"/>
          <w:sz w:val="24"/>
          <w:szCs w:val="24"/>
        </w:rPr>
        <w:t xml:space="preserve">“Las razones de la inconformidad se detallan en el archivo adjunto de nombre "Recurso_Santo Tomas"” </w:t>
      </w:r>
      <w:r>
        <w:rPr>
          <w:rFonts w:ascii="Palatino Linotype" w:eastAsia="Palatino Linotype" w:hAnsi="Palatino Linotype" w:cs="Palatino Linotype"/>
          <w:i/>
          <w:sz w:val="24"/>
          <w:szCs w:val="24"/>
        </w:rPr>
        <w:t>[sic]</w:t>
      </w:r>
    </w:p>
    <w:p w:rsidR="00930C34" w:rsidRDefault="00930C34">
      <w:pPr>
        <w:ind w:left="851" w:right="900"/>
        <w:jc w:val="both"/>
      </w:pPr>
    </w:p>
    <w:p w:rsidR="00930C34" w:rsidRDefault="008D328D">
      <w:pPr>
        <w:spacing w:before="280" w:after="28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Resulta preciso señalar que el Recurrente adjuntó el documento electrónico “</w:t>
      </w:r>
      <w:hyperlink r:id="rId12">
        <w:r>
          <w:rPr>
            <w:rFonts w:ascii="Palatino Linotype" w:eastAsia="Palatino Linotype" w:hAnsi="Palatino Linotype" w:cs="Palatino Linotype"/>
            <w:b/>
            <w:color w:val="000000"/>
            <w:sz w:val="24"/>
            <w:szCs w:val="24"/>
          </w:rPr>
          <w:t>Recurso_Santo Tomas.pdf</w:t>
        </w:r>
      </w:hyperlink>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en el que precisa lo siguiente:</w:t>
      </w:r>
    </w:p>
    <w:p w:rsidR="00930C34" w:rsidRDefault="008D328D">
      <w:pPr>
        <w:spacing w:before="280" w:after="280" w:line="360" w:lineRule="auto"/>
        <w:rPr>
          <w:rFonts w:ascii="Palatino Linotype" w:eastAsia="Palatino Linotype" w:hAnsi="Palatino Linotype" w:cs="Palatino Linotype"/>
          <w:color w:val="000000"/>
          <w:sz w:val="24"/>
          <w:szCs w:val="24"/>
        </w:rPr>
      </w:pPr>
      <w:r>
        <w:rPr>
          <w:noProof/>
        </w:rPr>
        <w:lastRenderedPageBreak/>
        <w:drawing>
          <wp:inline distT="0" distB="0" distL="0" distR="0">
            <wp:extent cx="5742348" cy="2405951"/>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40903" t="19916" r="26679" b="51417"/>
                    <a:stretch>
                      <a:fillRect/>
                    </a:stretch>
                  </pic:blipFill>
                  <pic:spPr>
                    <a:xfrm>
                      <a:off x="0" y="0"/>
                      <a:ext cx="5742348" cy="2405951"/>
                    </a:xfrm>
                    <a:prstGeom prst="rect">
                      <a:avLst/>
                    </a:prstGeom>
                    <a:ln/>
                  </pic:spPr>
                </pic:pic>
              </a:graphicData>
            </a:graphic>
          </wp:inline>
        </w:drawing>
      </w:r>
    </w:p>
    <w:p w:rsidR="00930C34" w:rsidRDefault="008937A4">
      <w:pPr>
        <w:spacing w:before="120" w:after="12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4</w:t>
      </w:r>
      <w:r w:rsidR="008D328D">
        <w:rPr>
          <w:rFonts w:ascii="Palatino Linotype" w:eastAsia="Palatino Linotype" w:hAnsi="Palatino Linotype" w:cs="Palatino Linotype"/>
          <w:b/>
          <w:sz w:val="24"/>
          <w:szCs w:val="24"/>
        </w:rPr>
        <w:t xml:space="preserve">. TURNO. </w:t>
      </w:r>
    </w:p>
    <w:p w:rsidR="00930C34" w:rsidRDefault="008D328D">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06394/INFOEM/IP/RR/2021 </w:t>
      </w:r>
      <w:r>
        <w:rPr>
          <w:rFonts w:ascii="Palatino Linotype" w:eastAsia="Palatino Linotype" w:hAnsi="Palatino Linotype" w:cs="Palatino Linotype"/>
          <w:sz w:val="24"/>
          <w:szCs w:val="24"/>
        </w:rPr>
        <w:t xml:space="preserve">fue turnado en fecha dieciséis de diciembre de dos mil veintiuno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930C34" w:rsidRDefault="008937A4">
      <w:pPr>
        <w:spacing w:before="120" w:after="12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5</w:t>
      </w:r>
      <w:r w:rsidR="008D328D">
        <w:rPr>
          <w:rFonts w:ascii="Palatino Linotype" w:eastAsia="Palatino Linotype" w:hAnsi="Palatino Linotype" w:cs="Palatino Linotype"/>
          <w:b/>
          <w:sz w:val="24"/>
          <w:szCs w:val="24"/>
        </w:rPr>
        <w:t>. ADMISIÓN.</w:t>
      </w:r>
    </w:p>
    <w:p w:rsidR="00930C34" w:rsidRDefault="008D328D">
      <w:pPr>
        <w:spacing w:before="120" w:after="12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fecha veintidós de diciembre del año dos mil veintiuno, en términos de lo dispuesto en el artículo 185 fracciones I, II y IV de la Ley de Transparencia y Acceso a la Información Pública del Estado de México y Municipios, se admitió a trámite el recurso de revisión al rubro indicado.</w:t>
      </w:r>
    </w:p>
    <w:p w:rsidR="008937A4" w:rsidRDefault="008937A4" w:rsidP="008937A4">
      <w:pPr>
        <w:spacing w:before="120" w:after="120" w:line="360" w:lineRule="auto"/>
        <w:ind w:right="-234"/>
        <w:jc w:val="both"/>
        <w:rPr>
          <w:rFonts w:ascii="Palatino Linotype" w:eastAsia="Palatino Linotype" w:hAnsi="Palatino Linotype" w:cs="Palatino Linotype"/>
          <w:b/>
          <w:color w:val="202124"/>
          <w:sz w:val="24"/>
          <w:szCs w:val="24"/>
        </w:rPr>
      </w:pPr>
    </w:p>
    <w:p w:rsidR="008937A4" w:rsidRDefault="008937A4" w:rsidP="008937A4">
      <w:pPr>
        <w:spacing w:before="120" w:after="120" w:line="360" w:lineRule="auto"/>
        <w:ind w:right="-234"/>
        <w:jc w:val="both"/>
        <w:rPr>
          <w:rFonts w:ascii="Palatino Linotype" w:eastAsia="Palatino Linotype" w:hAnsi="Palatino Linotype" w:cs="Palatino Linotype"/>
          <w:b/>
          <w:color w:val="202124"/>
          <w:sz w:val="24"/>
          <w:szCs w:val="24"/>
        </w:rPr>
      </w:pPr>
    </w:p>
    <w:p w:rsidR="008937A4" w:rsidRDefault="008937A4" w:rsidP="008937A4">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202124"/>
          <w:sz w:val="24"/>
          <w:szCs w:val="24"/>
        </w:rPr>
        <w:lastRenderedPageBreak/>
        <w:t>6</w:t>
      </w:r>
      <w:r w:rsidR="008D328D">
        <w:rPr>
          <w:rFonts w:ascii="Palatino Linotype" w:eastAsia="Palatino Linotype" w:hAnsi="Palatino Linotype" w:cs="Palatino Linotype"/>
          <w:b/>
          <w:color w:val="202124"/>
          <w:sz w:val="24"/>
          <w:szCs w:val="24"/>
        </w:rPr>
        <w:t xml:space="preserve">. </w:t>
      </w:r>
      <w:r w:rsidR="008D328D">
        <w:rPr>
          <w:rFonts w:ascii="Palatino Linotype" w:eastAsia="Palatino Linotype" w:hAnsi="Palatino Linotype" w:cs="Palatino Linotype"/>
          <w:b/>
          <w:sz w:val="24"/>
          <w:szCs w:val="24"/>
        </w:rPr>
        <w:t>INFORME JUSTIFICADO O MANIFESTACIONES.</w:t>
      </w:r>
    </w:p>
    <w:p w:rsidR="00930C34" w:rsidRPr="008937A4" w:rsidRDefault="008D328D" w:rsidP="008937A4">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las constancias que integran el expediente en que se actúa se advierte que la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fue omisa en ofrecer pruebas o expresar alegatos; en términos del artículo 185 fracciones II de la ley que nos ocupa. Por su parte,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 igual forma, fue omiso en presentar el Informe Justificado correspondiente.</w:t>
      </w:r>
    </w:p>
    <w:p w:rsidR="00930C34" w:rsidRDefault="008937A4">
      <w:pPr>
        <w:spacing w:before="120" w:after="120" w:line="360" w:lineRule="auto"/>
        <w:ind w:right="-234"/>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7</w:t>
      </w:r>
      <w:r w:rsidR="008D328D">
        <w:rPr>
          <w:rFonts w:ascii="Palatino Linotype" w:eastAsia="Palatino Linotype" w:hAnsi="Palatino Linotype" w:cs="Palatino Linotype"/>
          <w:b/>
          <w:sz w:val="24"/>
          <w:szCs w:val="24"/>
        </w:rPr>
        <w:t>. DEL CIERRE DE INSTRUCCIÓN.</w:t>
      </w:r>
      <w:r w:rsidR="008D328D">
        <w:rPr>
          <w:rFonts w:ascii="Palatino Linotype" w:eastAsia="Palatino Linotype" w:hAnsi="Palatino Linotype" w:cs="Palatino Linotype"/>
          <w:b/>
          <w:sz w:val="24"/>
          <w:szCs w:val="24"/>
        </w:rPr>
        <w:tab/>
      </w:r>
    </w:p>
    <w:p w:rsidR="00930C34" w:rsidRDefault="008D328D">
      <w:pPr>
        <w:pBdr>
          <w:top w:val="nil"/>
          <w:left w:val="nil"/>
          <w:bottom w:val="nil"/>
          <w:right w:val="nil"/>
          <w:between w:val="nil"/>
        </w:pBdr>
        <w:spacing w:before="120" w:after="120" w:line="360" w:lineRule="auto"/>
        <w:ind w:right="-234" w:hanging="2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diecinueve de enero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930C34" w:rsidRDefault="00930C34">
      <w:pPr>
        <w:spacing w:after="0" w:line="360" w:lineRule="auto"/>
        <w:jc w:val="both"/>
        <w:rPr>
          <w:rFonts w:ascii="Palatino Linotype" w:eastAsia="Palatino Linotype" w:hAnsi="Palatino Linotype" w:cs="Palatino Linotype"/>
          <w:b/>
          <w:sz w:val="24"/>
          <w:szCs w:val="24"/>
        </w:rPr>
      </w:pPr>
    </w:p>
    <w:p w:rsidR="00930C34" w:rsidRDefault="008D328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PRIMERO. COMPETENCIA.</w:t>
      </w: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w:t>
      </w:r>
      <w:r>
        <w:rPr>
          <w:rFonts w:ascii="Palatino Linotype" w:eastAsia="Palatino Linotype" w:hAnsi="Palatino Linotype" w:cs="Palatino Linotype"/>
          <w:sz w:val="24"/>
          <w:szCs w:val="24"/>
        </w:rPr>
        <w:lastRenderedPageBreak/>
        <w:t>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SEGUNDO. Oportunidad y Procedibilidad. </w:t>
      </w:r>
    </w:p>
    <w:p w:rsidR="00930C34" w:rsidRDefault="008D328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emitió su respuesta a la solicitud planteada por el solicitante en fecha trece de diciembre del año dos mil veintiuno y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presentó su recurso de revisión el dieciséis de diciembre del mismo año, esto es al tercer día hábil siguiente de aquel en que tuvo conocimiento de la respuesta</w:t>
      </w:r>
      <w:r>
        <w:rPr>
          <w:rFonts w:ascii="Palatino Linotype" w:eastAsia="Palatino Linotype" w:hAnsi="Palatino Linotype" w:cs="Palatino Linotype"/>
          <w:sz w:val="24"/>
          <w:szCs w:val="24"/>
          <w:highlight w:val="white"/>
        </w:rPr>
        <w:t>;</w:t>
      </w:r>
      <w:r>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rsidR="00930C34" w:rsidRDefault="008D328D">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por cuanto hace a la procedibilidad del recurso de revisión, es de suma importancia señalar que la parte recurrente se identifica como "</w:t>
      </w:r>
      <w:r w:rsidR="00CC465C">
        <w:rPr>
          <w:rFonts w:ascii="Palatino Linotype" w:eastAsia="Palatino Linotype" w:hAnsi="Palatino Linotype" w:cs="Palatino Linotype"/>
        </w:rPr>
        <w:t>xxxx</w:t>
      </w:r>
      <w:r>
        <w:rPr>
          <w:rFonts w:ascii="Palatino Linotype" w:eastAsia="Palatino Linotype" w:hAnsi="Palatino Linotype" w:cs="Palatino Linotype"/>
        </w:rPr>
        <w:t xml:space="preserve"> </w:t>
      </w:r>
      <w:r w:rsidR="00CC465C">
        <w:rPr>
          <w:rFonts w:ascii="Palatino Linotype" w:eastAsia="Palatino Linotype" w:hAnsi="Palatino Linotype" w:cs="Palatino Linotype"/>
        </w:rPr>
        <w:t>xxxxxxxxx</w:t>
      </w:r>
      <w:r>
        <w:rPr>
          <w:rFonts w:ascii="Palatino Linotype" w:eastAsia="Palatino Linotype" w:hAnsi="Palatino Linotype" w:cs="Palatino Linotype"/>
        </w:rPr>
        <w:t xml:space="preserve"> </w:t>
      </w:r>
      <w:r w:rsidR="00CC465C">
        <w:rPr>
          <w:rFonts w:ascii="Palatino Linotype" w:eastAsia="Palatino Linotype" w:hAnsi="Palatino Linotype" w:cs="Palatino Linotype"/>
        </w:rPr>
        <w:t>xxxxxxx</w:t>
      </w:r>
      <w:bookmarkStart w:id="0" w:name="_GoBack"/>
      <w:bookmarkEnd w:id="0"/>
      <w:r>
        <w:rPr>
          <w:rFonts w:ascii="Palatino Linotype" w:eastAsia="Palatino Linotype" w:hAnsi="Palatino Linotype" w:cs="Palatino Linotype"/>
          <w:sz w:val="24"/>
          <w:szCs w:val="24"/>
        </w:rPr>
        <w:t xml:space="preserve">" como se advierte en el detalle de seguimiento del SAIMEX, no obstante lo anterior, no proporcionar el nombre no es motivo para archivar la solicitud de acceso </w:t>
      </w:r>
      <w:r>
        <w:rPr>
          <w:rFonts w:ascii="Palatino Linotype" w:eastAsia="Palatino Linotype" w:hAnsi="Palatino Linotype" w:cs="Palatino Linotype"/>
          <w:sz w:val="24"/>
          <w:szCs w:val="24"/>
        </w:rPr>
        <w:lastRenderedPageBreak/>
        <w:t>a la información pública como concluida, conforme a lo previsto en el artículo 155, penúltimo párrafo de la Ley de Transparencia y Acceso a la Información Pública del Estado de México y Municipios que establece lo siguiente:</w:t>
      </w:r>
    </w:p>
    <w:p w:rsidR="00930C34" w:rsidRDefault="00930C34">
      <w:pPr>
        <w:ind w:left="567" w:right="474"/>
        <w:jc w:val="both"/>
        <w:rPr>
          <w:rFonts w:ascii="Palatino Linotype" w:eastAsia="Palatino Linotype" w:hAnsi="Palatino Linotype" w:cs="Palatino Linotype"/>
          <w:i/>
        </w:rPr>
      </w:pP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 xml:space="preserve">"Las solicitudes anónimas, con nombre incompleto o </w:t>
      </w:r>
      <w:r>
        <w:rPr>
          <w:rFonts w:ascii="Palatino Linotype" w:eastAsia="Palatino Linotype" w:hAnsi="Palatino Linotype" w:cs="Palatino Linotype"/>
          <w:b/>
          <w:i/>
        </w:rPr>
        <w:t>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solicitante."(Sic)</w:t>
      </w:r>
    </w:p>
    <w:p w:rsidR="00930C34" w:rsidRDefault="00930C34">
      <w:pPr>
        <w:spacing w:line="360" w:lineRule="auto"/>
        <w:jc w:val="both"/>
        <w:rPr>
          <w:i/>
          <w:color w:val="1F1F1F"/>
        </w:rPr>
      </w:pP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Robusteciendo lo anterior se encuentra lo dispuesto en el artículo 6, Apartado A, fracciones III de la Constitución Política de los Estados Unidos Mexicanos que establece:</w:t>
      </w:r>
    </w:p>
    <w:p w:rsidR="00930C34" w:rsidRDefault="00930C34">
      <w:pPr>
        <w:ind w:left="567" w:right="474"/>
        <w:jc w:val="both"/>
        <w:rPr>
          <w:rFonts w:ascii="Palatino Linotype" w:eastAsia="Palatino Linotype" w:hAnsi="Palatino Linotype" w:cs="Palatino Linotype"/>
          <w:i/>
        </w:rPr>
      </w:pP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rsidR="00930C34" w:rsidRDefault="00930C34">
      <w:pPr>
        <w:ind w:left="567" w:right="474"/>
        <w:jc w:val="both"/>
        <w:rPr>
          <w:rFonts w:ascii="Palatino Linotype" w:eastAsia="Palatino Linotype" w:hAnsi="Palatino Linotype" w:cs="Palatino Linotype"/>
          <w:i/>
        </w:rPr>
      </w:pP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930C34" w:rsidRDefault="00930C34">
      <w:pPr>
        <w:ind w:left="567" w:right="474"/>
        <w:jc w:val="both"/>
        <w:rPr>
          <w:rFonts w:ascii="Palatino Linotype" w:eastAsia="Palatino Linotype" w:hAnsi="Palatino Linotype" w:cs="Palatino Linotype"/>
          <w:i/>
        </w:rPr>
      </w:pP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como el artículo 5 fracción III, párrafos vigésimo noveno, trigésimo y trigésimo primero, de la Constitución Política del Estado Libre y Soberano de México, que determina lo siguiente:</w:t>
      </w:r>
    </w:p>
    <w:p w:rsidR="00930C34" w:rsidRDefault="00930C34">
      <w:pPr>
        <w:ind w:right="474"/>
        <w:jc w:val="both"/>
        <w:rPr>
          <w:rFonts w:ascii="Palatino Linotype" w:eastAsia="Palatino Linotype" w:hAnsi="Palatino Linotype" w:cs="Palatino Linotype"/>
          <w:i/>
        </w:rPr>
      </w:pP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930C34" w:rsidRDefault="00930C34">
      <w:pPr>
        <w:ind w:left="567" w:right="474"/>
        <w:jc w:val="both"/>
        <w:rPr>
          <w:rFonts w:ascii="Palatino Linotype" w:eastAsia="Palatino Linotype" w:hAnsi="Palatino Linotype" w:cs="Palatino Linotype"/>
          <w:i/>
        </w:rPr>
      </w:pP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del contenido del artículo 1 de la Constitución Política de los Estados</w:t>
      </w: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Unidos mexicanos, se destaca lo siguiente:</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930C34" w:rsidRDefault="008D328D">
      <w:pPr>
        <w:ind w:left="567" w:right="474"/>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sz w:val="24"/>
          <w:szCs w:val="24"/>
        </w:rPr>
        <w:t>derecho fundamental exime a quien lo ejerce</w:t>
      </w:r>
      <w:r>
        <w:rPr>
          <w:rFonts w:ascii="Palatino Linotype" w:eastAsia="Palatino Linotype" w:hAnsi="Palatino Linotype" w:cs="Palatino Linotype"/>
          <w:sz w:val="24"/>
          <w:szCs w:val="24"/>
        </w:rPr>
        <w:t xml:space="preserve">, de acreditar su legitimación en la causa o su interés en el asunto, lo que permite la posibilidad de que, incluso, la solicitud de acceso a la </w:t>
      </w:r>
      <w:r>
        <w:rPr>
          <w:rFonts w:ascii="Palatino Linotype" w:eastAsia="Palatino Linotype" w:hAnsi="Palatino Linotype" w:cs="Palatino Linotype"/>
          <w:sz w:val="24"/>
          <w:szCs w:val="24"/>
        </w:rPr>
        <w:lastRenderedPageBreak/>
        <w:t>información pueda ser anónima o no contener un nombre que identifique al solicitante o que permita tener certeza sobre su identidad.</w:t>
      </w: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930C34" w:rsidRDefault="008D328D">
      <w:pPr>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de la Constitución Política del Estado Libre y Soberano de México, debido a que el acceso a la información pública es un derecho humano que no requiere legitimación en la causa, si no que </w:t>
      </w:r>
      <w:r>
        <w:rPr>
          <w:rFonts w:ascii="Palatino Linotype" w:eastAsia="Palatino Linotype" w:hAnsi="Palatino Linotype" w:cs="Palatino Linotype"/>
          <w:sz w:val="24"/>
          <w:szCs w:val="24"/>
        </w:rPr>
        <w:lastRenderedPageBreak/>
        <w:t>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930C34" w:rsidRDefault="008D328D">
      <w:pPr>
        <w:spacing w:before="240" w:after="24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930C34" w:rsidRDefault="008D328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resulta procedente la interposición del recurso revisión, según lo aducido por el recurrente en su acto impugnado como en sus motivos de inconformidad, de acuerdo al artículo 179 fracción V de la Ley de Transparencia y Acceso a la Información Pública del Estado de México y Municipios; que a la letra dice:</w:t>
      </w:r>
    </w:p>
    <w:p w:rsidR="00930C34" w:rsidRDefault="008D328D">
      <w:pPr>
        <w:pBdr>
          <w:top w:val="nil"/>
          <w:left w:val="nil"/>
          <w:bottom w:val="nil"/>
          <w:right w:val="nil"/>
          <w:between w:val="nil"/>
        </w:pBdr>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179</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recurso de revisión</w:t>
      </w:r>
      <w:r>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rPr>
        <w:t>, y procederá en contra de las siguientes causas</w:t>
      </w:r>
      <w:r>
        <w:rPr>
          <w:rFonts w:ascii="Palatino Linotype" w:eastAsia="Palatino Linotype" w:hAnsi="Palatino Linotype" w:cs="Palatino Linotype"/>
          <w:i/>
          <w:color w:val="000000"/>
        </w:rPr>
        <w:t>:</w:t>
      </w:r>
    </w:p>
    <w:p w:rsidR="00930C34" w:rsidRDefault="008D328D">
      <w:pPr>
        <w:pBdr>
          <w:top w:val="nil"/>
          <w:left w:val="nil"/>
          <w:bottom w:val="nil"/>
          <w:right w:val="nil"/>
          <w:between w:val="nil"/>
        </w:pBdr>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4"/>
          <w:szCs w:val="24"/>
        </w:rPr>
        <w:t>…</w:t>
      </w:r>
    </w:p>
    <w:p w:rsidR="00930C34" w:rsidRDefault="008D328D">
      <w:pPr>
        <w:pBdr>
          <w:top w:val="nil"/>
          <w:left w:val="nil"/>
          <w:bottom w:val="nil"/>
          <w:right w:val="nil"/>
          <w:between w:val="nil"/>
        </w:pBdr>
        <w:ind w:left="992" w:right="1043"/>
        <w:jc w:val="both"/>
        <w:rPr>
          <w:rFonts w:ascii="Palatino Linotype" w:eastAsia="Palatino Linotype" w:hAnsi="Palatino Linotype" w:cs="Palatino Linotype"/>
          <w:i/>
          <w:color w:val="000000"/>
        </w:rPr>
      </w:pPr>
      <w:r>
        <w:rPr>
          <w:rFonts w:ascii="Palatino Linotype" w:eastAsia="Palatino Linotype" w:hAnsi="Palatino Linotype" w:cs="Palatino Linotype"/>
          <w:i/>
        </w:rPr>
        <w:t>V. La entrega de información incompleta;</w:t>
      </w:r>
      <w:r>
        <w:rPr>
          <w:rFonts w:ascii="Palatino Linotype" w:eastAsia="Palatino Linotype" w:hAnsi="Palatino Linotype" w:cs="Palatino Linotype"/>
          <w:i/>
          <w:color w:val="000000"/>
        </w:rPr>
        <w:t>…” (Sic)</w:t>
      </w:r>
    </w:p>
    <w:p w:rsidR="00930C34" w:rsidRDefault="00930C34">
      <w:pPr>
        <w:spacing w:before="120" w:after="120" w:line="360" w:lineRule="auto"/>
        <w:ind w:right="-234"/>
        <w:jc w:val="both"/>
        <w:rPr>
          <w:rFonts w:ascii="Palatino Linotype" w:eastAsia="Palatino Linotype" w:hAnsi="Palatino Linotype" w:cs="Palatino Linotype"/>
          <w:b/>
          <w:sz w:val="28"/>
          <w:szCs w:val="28"/>
        </w:rPr>
      </w:pPr>
    </w:p>
    <w:p w:rsidR="00DE01BE" w:rsidRDefault="00DE01BE">
      <w:pPr>
        <w:spacing w:before="120" w:after="120" w:line="360" w:lineRule="auto"/>
        <w:ind w:right="-234"/>
        <w:jc w:val="both"/>
        <w:rPr>
          <w:rFonts w:ascii="Palatino Linotype" w:eastAsia="Palatino Linotype" w:hAnsi="Palatino Linotype" w:cs="Palatino Linotype"/>
          <w:b/>
          <w:sz w:val="28"/>
          <w:szCs w:val="28"/>
        </w:rPr>
      </w:pPr>
    </w:p>
    <w:p w:rsidR="00DE01BE" w:rsidRDefault="00DE01BE">
      <w:pPr>
        <w:spacing w:before="120" w:after="120" w:line="360" w:lineRule="auto"/>
        <w:ind w:right="-234"/>
        <w:jc w:val="both"/>
        <w:rPr>
          <w:rFonts w:ascii="Palatino Linotype" w:eastAsia="Palatino Linotype" w:hAnsi="Palatino Linotype" w:cs="Palatino Linotype"/>
          <w:b/>
          <w:sz w:val="28"/>
          <w:szCs w:val="28"/>
        </w:rPr>
      </w:pPr>
    </w:p>
    <w:p w:rsidR="00930C34" w:rsidRDefault="008D328D">
      <w:pPr>
        <w:spacing w:before="120" w:after="120" w:line="360" w:lineRule="auto"/>
        <w:ind w:right="-234"/>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TERCERO. Materia de la Revisión.</w:t>
      </w:r>
    </w:p>
    <w:p w:rsidR="00930C34" w:rsidRDefault="008D328D">
      <w:pPr>
        <w:pBdr>
          <w:top w:val="nil"/>
          <w:left w:val="nil"/>
          <w:bottom w:val="nil"/>
          <w:right w:val="nil"/>
          <w:between w:val="nil"/>
        </w:pBdr>
        <w:spacing w:before="120" w:after="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Pr>
          <w:rFonts w:ascii="Palatino Linotype" w:eastAsia="Palatino Linotype" w:hAnsi="Palatino Linotype" w:cs="Palatino Linotype"/>
          <w:b/>
          <w:color w:val="000000"/>
          <w:sz w:val="24"/>
          <w:szCs w:val="24"/>
        </w:rPr>
        <w:t>EL SUJETO OBLIGADO</w:t>
      </w:r>
      <w:r>
        <w:rPr>
          <w:rFonts w:ascii="Palatino Linotype" w:eastAsia="Palatino Linotype" w:hAnsi="Palatino Linotype" w:cs="Palatino Linotype"/>
          <w:color w:val="000000"/>
          <w:sz w:val="24"/>
          <w:szCs w:val="24"/>
        </w:rPr>
        <w:t xml:space="preserve"> es adecuada y suficiente para satisfacer el derecho de acceso a la información pública del recurrente, o en su defecto, en caso de ser procedente, ordenar la entrega de información oportuna. </w:t>
      </w:r>
    </w:p>
    <w:p w:rsidR="00930C34" w:rsidRDefault="00930C34">
      <w:pPr>
        <w:pBdr>
          <w:top w:val="nil"/>
          <w:left w:val="nil"/>
          <w:bottom w:val="nil"/>
          <w:right w:val="nil"/>
          <w:between w:val="nil"/>
        </w:pBdr>
        <w:spacing w:after="0" w:line="360" w:lineRule="auto"/>
        <w:jc w:val="both"/>
        <w:rPr>
          <w:rFonts w:ascii="Palatino Linotype" w:eastAsia="Palatino Linotype" w:hAnsi="Palatino Linotype" w:cs="Palatino Linotype"/>
          <w:b/>
          <w:sz w:val="28"/>
          <w:szCs w:val="28"/>
        </w:rPr>
      </w:pPr>
    </w:p>
    <w:p w:rsidR="00930C34" w:rsidRDefault="008D328D">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CUARTO. Estudio y resolución del Asunto. </w:t>
      </w:r>
    </w:p>
    <w:p w:rsidR="00930C34" w:rsidRDefault="008D328D">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ntes de entrar al análisis de los pronunciamientos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30C34" w:rsidRDefault="008D328D">
      <w:pPr>
        <w:tabs>
          <w:tab w:val="left" w:pos="709"/>
        </w:tabs>
        <w:spacing w:after="0" w:line="240"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1"/>
          <w:szCs w:val="21"/>
        </w:rPr>
        <w:t>, así como de las garantías para su protección, cuyo ejercicio no podrá restringirse ni suspenderse, salvo en los casos y bajo las condiciones que esta Constitución establece.</w:t>
      </w:r>
    </w:p>
    <w:p w:rsidR="00930C34" w:rsidRDefault="008D328D">
      <w:pPr>
        <w:tabs>
          <w:tab w:val="left" w:pos="709"/>
        </w:tabs>
        <w:spacing w:after="0" w:line="240" w:lineRule="auto"/>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rsidR="00930C34" w:rsidRDefault="008D328D">
      <w:pPr>
        <w:tabs>
          <w:tab w:val="left" w:pos="709"/>
        </w:tabs>
        <w:spacing w:after="0" w:line="240"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consecuencia, el Estado deberá prevenir, investigar, sancionar y reparar las violaciones a los derechos humanos, en los términos que establezca la ley</w:t>
      </w:r>
    </w:p>
    <w:p w:rsidR="00930C34" w:rsidRDefault="008D328D">
      <w:pPr>
        <w:tabs>
          <w:tab w:val="left" w:pos="709"/>
        </w:tabs>
        <w:spacing w:after="0" w:line="240" w:lineRule="auto"/>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rsidR="00930C34" w:rsidRDefault="008D328D">
      <w:pPr>
        <w:spacing w:after="0" w:line="240" w:lineRule="auto"/>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rsidR="00930C34" w:rsidRDefault="008D328D">
      <w:pPr>
        <w:spacing w:after="0" w:line="240" w:lineRule="auto"/>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 los datos personales será protegida en los términos y con las excepciones que fijen las leyes.</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personales o a la rectificación de éstos.</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rsidR="00930C34" w:rsidRDefault="00930C34">
      <w:pPr>
        <w:spacing w:after="0" w:line="240" w:lineRule="auto"/>
        <w:ind w:left="851" w:right="851"/>
        <w:jc w:val="both"/>
        <w:rPr>
          <w:rFonts w:ascii="Palatino Linotype" w:eastAsia="Palatino Linotype" w:hAnsi="Palatino Linotype" w:cs="Palatino Linotype"/>
          <w:i/>
          <w:sz w:val="21"/>
          <w:szCs w:val="21"/>
        </w:rPr>
      </w:pP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 xml:space="preserve">Los sujetos obligados deberán preservar sus documentos en archivos administrativos actualizados y publicarán, a través de los medios electrónicos disponibles, la información completa y actualizada sobre el ejercicio de los recursos </w:t>
      </w:r>
      <w:r>
        <w:rPr>
          <w:rFonts w:ascii="Palatino Linotype" w:eastAsia="Palatino Linotype" w:hAnsi="Palatino Linotype" w:cs="Palatino Linotype"/>
          <w:i/>
          <w:sz w:val="21"/>
          <w:szCs w:val="21"/>
        </w:rPr>
        <w:lastRenderedPageBreak/>
        <w:t>públicos y los indicadores que permitan rendir cuenta del cumplimiento de sus objetivos y de los resultados obtenidos.</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físicas o morales.</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rsidR="00930C34" w:rsidRDefault="008D328D">
      <w:pPr>
        <w:spacing w:after="0" w:line="240" w:lineRule="auto"/>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rsidR="00930C34" w:rsidRDefault="00930C34">
      <w:pPr>
        <w:spacing w:after="0" w:line="240" w:lineRule="auto"/>
        <w:ind w:right="851"/>
        <w:jc w:val="both"/>
        <w:rPr>
          <w:rFonts w:ascii="Palatino Linotype" w:eastAsia="Palatino Linotype" w:hAnsi="Palatino Linotype" w:cs="Palatino Linotype"/>
          <w:i/>
          <w:sz w:val="21"/>
          <w:szCs w:val="21"/>
        </w:rPr>
      </w:pPr>
    </w:p>
    <w:p w:rsidR="00930C34" w:rsidRDefault="008D328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930C34" w:rsidRDefault="008D328D">
      <w:pPr>
        <w:spacing w:before="240" w:after="0" w:line="240"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30C34" w:rsidRDefault="00930C34">
      <w:pPr>
        <w:spacing w:before="240" w:after="0" w:line="240" w:lineRule="auto"/>
        <w:ind w:left="709" w:right="760"/>
        <w:jc w:val="both"/>
        <w:rPr>
          <w:rFonts w:ascii="Palatino Linotype" w:eastAsia="Palatino Linotype" w:hAnsi="Palatino Linotype" w:cs="Palatino Linotype"/>
          <w:i/>
        </w:rPr>
      </w:pPr>
    </w:p>
    <w:p w:rsidR="00930C34" w:rsidRDefault="008D328D">
      <w:pPr>
        <w:spacing w:after="0" w:line="240" w:lineRule="auto"/>
        <w:ind w:left="709" w:right="76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Pr>
          <w:rFonts w:ascii="Palatino Linotype" w:eastAsia="Palatino Linotype" w:hAnsi="Palatino Linotype" w:cs="Palatino Linotype"/>
          <w:b/>
          <w:i/>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rsidR="00930C34" w:rsidRDefault="00930C34">
      <w:pPr>
        <w:spacing w:after="0" w:line="240" w:lineRule="auto"/>
        <w:ind w:left="709" w:right="760"/>
        <w:jc w:val="both"/>
        <w:rPr>
          <w:rFonts w:ascii="Palatino Linotype" w:eastAsia="Palatino Linotype" w:hAnsi="Palatino Linotype" w:cs="Palatino Linotype"/>
          <w:b/>
          <w:i/>
        </w:rPr>
      </w:pPr>
    </w:p>
    <w:p w:rsidR="00930C34" w:rsidRDefault="008D328D">
      <w:pPr>
        <w:spacing w:after="0" w:line="240" w:lineRule="auto"/>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930C34" w:rsidRDefault="00930C34">
      <w:pPr>
        <w:spacing w:after="0" w:line="24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930C34" w:rsidRDefault="00930C34">
      <w:pPr>
        <w:spacing w:after="0" w:line="240" w:lineRule="auto"/>
        <w:jc w:val="both"/>
        <w:rPr>
          <w:rFonts w:ascii="Palatino Linotype" w:eastAsia="Palatino Linotype" w:hAnsi="Palatino Linotype" w:cs="Palatino Linotype"/>
          <w:sz w:val="24"/>
          <w:szCs w:val="24"/>
        </w:rPr>
      </w:pPr>
    </w:p>
    <w:p w:rsidR="00930C34" w:rsidRDefault="008D328D">
      <w:pPr>
        <w:spacing w:after="0" w:line="240"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930C34" w:rsidRDefault="00930C34">
      <w:pPr>
        <w:spacing w:after="0" w:line="240" w:lineRule="auto"/>
        <w:ind w:left="567" w:right="758"/>
        <w:jc w:val="both"/>
        <w:rPr>
          <w:rFonts w:ascii="Palatino Linotype" w:eastAsia="Palatino Linotype" w:hAnsi="Palatino Linotype" w:cs="Palatino Linotype"/>
          <w:i/>
        </w:rPr>
      </w:pPr>
    </w:p>
    <w:p w:rsidR="00930C34" w:rsidRDefault="008D328D">
      <w:pPr>
        <w:spacing w:after="0" w:line="240" w:lineRule="auto"/>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xml:space="preserve">, para satisfacer el derecho de acceso a la información pública, como así lo establece los criterios 09/10 y 03/17 emitidos por el </w:t>
      </w:r>
      <w:r>
        <w:rPr>
          <w:rFonts w:ascii="Palatino Linotype" w:eastAsia="Palatino Linotype" w:hAnsi="Palatino Linotype" w:cs="Palatino Linotype"/>
          <w:sz w:val="24"/>
          <w:szCs w:val="24"/>
        </w:rPr>
        <w:lastRenderedPageBreak/>
        <w:t>Instituto Nacional de Transparencia, Acceso a la Información Pública y Protección de Datos Personales, los cuales señalan lo siguiente:</w:t>
      </w:r>
    </w:p>
    <w:p w:rsidR="00930C34" w:rsidRDefault="008D328D">
      <w:pPr>
        <w:spacing w:before="120" w:after="240" w:line="240"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rsidR="00930C34" w:rsidRDefault="008D328D">
      <w:pPr>
        <w:spacing w:before="120" w:after="240" w:line="240"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rsidR="00930C34" w:rsidRDefault="008D328D">
      <w:pPr>
        <w:spacing w:before="120" w:after="240" w:line="240"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930C34" w:rsidRDefault="008D328D">
      <w:pPr>
        <w:spacing w:before="120" w:after="240" w:line="240"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rsidR="00930C34" w:rsidRDefault="008D328D">
      <w:pPr>
        <w:spacing w:before="120" w:after="240" w:line="240" w:lineRule="auto"/>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DOCUMENTOS AD HOC PARA ATENDER LAS SOLICITUDES DE ACCESO A LA INFORMACIÓN.</w:t>
      </w:r>
    </w:p>
    <w:p w:rsidR="00930C34" w:rsidRDefault="008D328D">
      <w:pPr>
        <w:spacing w:before="120" w:after="240" w:line="240" w:lineRule="auto"/>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930C34" w:rsidRDefault="00930C34">
      <w:pPr>
        <w:spacing w:before="120" w:after="240" w:line="240" w:lineRule="auto"/>
        <w:ind w:left="1134" w:right="902"/>
        <w:jc w:val="both"/>
        <w:rPr>
          <w:rFonts w:ascii="Palatino Linotype" w:eastAsia="Palatino Linotype" w:hAnsi="Palatino Linotype" w:cs="Palatino Linotype"/>
          <w:i/>
          <w:sz w:val="20"/>
          <w:szCs w:val="20"/>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Pr>
          <w:rFonts w:ascii="Palatino Linotype" w:eastAsia="Palatino Linotype" w:hAnsi="Palatino Linotype" w:cs="Palatino Linotype"/>
          <w:sz w:val="24"/>
          <w:szCs w:val="24"/>
        </w:rPr>
        <w:lastRenderedPageBreak/>
        <w:t>persona, lo que implica que es deber de los Sujetos Obligados, garantizar el Derecho de Acceso a la Información Pública.</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30C34" w:rsidRDefault="00930C34">
      <w:pPr>
        <w:spacing w:after="0" w:line="24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30C34" w:rsidRDefault="00930C34">
      <w:pPr>
        <w:spacing w:after="0" w:line="240" w:lineRule="auto"/>
        <w:ind w:left="1134" w:right="899"/>
        <w:jc w:val="both"/>
        <w:rPr>
          <w:rFonts w:ascii="Palatino Linotype" w:eastAsia="Palatino Linotype" w:hAnsi="Palatino Linotype" w:cs="Palatino Linotype"/>
          <w:i/>
        </w:rPr>
      </w:pPr>
    </w:p>
    <w:p w:rsidR="00930C34" w:rsidRDefault="008D328D">
      <w:pPr>
        <w:spacing w:after="0" w:line="24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930C34" w:rsidRDefault="008D328D">
      <w:pPr>
        <w:spacing w:after="0" w:line="24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spacing w:after="0" w:line="24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w:t>
      </w:r>
      <w:r>
        <w:rPr>
          <w:rFonts w:ascii="Palatino Linotype" w:eastAsia="Palatino Linotype" w:hAnsi="Palatino Linotype" w:cs="Palatino Linotype"/>
          <w:b/>
          <w:i/>
        </w:rPr>
        <w:t>actas,</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w:t>
      </w:r>
      <w:r>
        <w:rPr>
          <w:rFonts w:ascii="Palatino Linotype" w:eastAsia="Palatino Linotype" w:hAnsi="Palatino Linotype" w:cs="Palatino Linotype"/>
          <w:i/>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 (Sic)</w:t>
      </w:r>
    </w:p>
    <w:p w:rsidR="00930C34" w:rsidRDefault="00930C34">
      <w:pPr>
        <w:spacing w:after="0" w:line="240" w:lineRule="auto"/>
        <w:ind w:left="851" w:right="899"/>
        <w:jc w:val="both"/>
        <w:rPr>
          <w:rFonts w:ascii="Palatino Linotype" w:eastAsia="Palatino Linotype" w:hAnsi="Palatino Linotype" w:cs="Palatino Linotype"/>
          <w:i/>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30C34" w:rsidRDefault="00930C34">
      <w:pPr>
        <w:spacing w:after="0" w:line="240" w:lineRule="auto"/>
        <w:ind w:left="851" w:right="899"/>
        <w:jc w:val="both"/>
        <w:rPr>
          <w:rFonts w:ascii="Palatino Linotype" w:eastAsia="Palatino Linotype" w:hAnsi="Palatino Linotype" w:cs="Palatino Linotype"/>
          <w:sz w:val="24"/>
          <w:szCs w:val="24"/>
        </w:rPr>
      </w:pPr>
    </w:p>
    <w:p w:rsidR="00930C34" w:rsidRDefault="008D328D">
      <w:pPr>
        <w:spacing w:after="0" w:line="240" w:lineRule="auto"/>
        <w:ind w:left="1134" w:right="899"/>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930C34" w:rsidRDefault="008D328D">
      <w:pPr>
        <w:spacing w:after="0" w:line="24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30C34" w:rsidRDefault="00930C34">
      <w:pPr>
        <w:spacing w:after="0" w:line="240" w:lineRule="auto"/>
        <w:ind w:left="1134" w:right="899"/>
        <w:jc w:val="both"/>
        <w:rPr>
          <w:rFonts w:ascii="Palatino Linotype" w:eastAsia="Palatino Linotype" w:hAnsi="Palatino Linotype" w:cs="Palatino Linotype"/>
          <w:i/>
        </w:rPr>
      </w:pPr>
    </w:p>
    <w:p w:rsidR="00930C34" w:rsidRDefault="008D328D">
      <w:pPr>
        <w:spacing w:after="0" w:line="240" w:lineRule="auto"/>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930C34" w:rsidRDefault="00930C34">
      <w:pPr>
        <w:spacing w:after="0" w:line="240" w:lineRule="auto"/>
        <w:ind w:left="1134" w:right="899"/>
        <w:jc w:val="both"/>
        <w:rPr>
          <w:rFonts w:ascii="Palatino Linotype" w:eastAsia="Palatino Linotype" w:hAnsi="Palatino Linotype" w:cs="Palatino Linotype"/>
          <w:i/>
        </w:rPr>
      </w:pPr>
    </w:p>
    <w:p w:rsidR="00930C34" w:rsidRDefault="008D328D">
      <w:pPr>
        <w:numPr>
          <w:ilvl w:val="0"/>
          <w:numId w:val="5"/>
        </w:numPr>
        <w:spacing w:after="0" w:line="240" w:lineRule="auto"/>
        <w:ind w:right="899"/>
        <w:jc w:val="both"/>
        <w:rPr>
          <w:rFonts w:ascii="Palatino Linotype" w:eastAsia="Palatino Linotype" w:hAnsi="Palatino Linotype" w:cs="Palatino Linotype"/>
          <w:b/>
          <w:i/>
        </w:rPr>
      </w:pPr>
      <w:r>
        <w:rPr>
          <w:rFonts w:ascii="Palatino Linotype" w:eastAsia="Palatino Linotype" w:hAnsi="Palatino Linotype" w:cs="Palatino Linotype"/>
          <w:b/>
          <w:i/>
        </w:rPr>
        <w:t>Que se trate de información registrada en cualquier soporte documental, que en ejercicio de las atribuciones conferidas, sea generada por los Sujetos Obligados;</w:t>
      </w:r>
    </w:p>
    <w:p w:rsidR="00930C34" w:rsidRDefault="00930C34">
      <w:pPr>
        <w:spacing w:after="0" w:line="240" w:lineRule="auto"/>
        <w:ind w:left="1494" w:right="899"/>
        <w:jc w:val="both"/>
        <w:rPr>
          <w:rFonts w:ascii="Palatino Linotype" w:eastAsia="Palatino Linotype" w:hAnsi="Palatino Linotype" w:cs="Palatino Linotype"/>
          <w:b/>
          <w:i/>
        </w:rPr>
      </w:pPr>
    </w:p>
    <w:p w:rsidR="00930C34" w:rsidRDefault="008D328D">
      <w:pPr>
        <w:numPr>
          <w:ilvl w:val="0"/>
          <w:numId w:val="5"/>
        </w:numPr>
        <w:spacing w:after="0" w:line="240" w:lineRule="auto"/>
        <w:ind w:right="899"/>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930C34" w:rsidRDefault="00930C34">
      <w:pPr>
        <w:spacing w:after="0" w:line="240" w:lineRule="auto"/>
        <w:ind w:left="720"/>
        <w:rPr>
          <w:rFonts w:ascii="Palatino Linotype" w:eastAsia="Palatino Linotype" w:hAnsi="Palatino Linotype" w:cs="Palatino Linotype"/>
          <w:i/>
        </w:rPr>
      </w:pPr>
    </w:p>
    <w:p w:rsidR="00930C34" w:rsidRDefault="00930C34">
      <w:pPr>
        <w:spacing w:after="0" w:line="240" w:lineRule="auto"/>
        <w:ind w:left="1494" w:right="899"/>
        <w:jc w:val="both"/>
        <w:rPr>
          <w:rFonts w:ascii="Palatino Linotype" w:eastAsia="Palatino Linotype" w:hAnsi="Palatino Linotype" w:cs="Palatino Linotype"/>
          <w:i/>
        </w:rPr>
      </w:pPr>
    </w:p>
    <w:p w:rsidR="00930C34" w:rsidRDefault="008D328D">
      <w:pPr>
        <w:spacing w:after="0" w:line="240" w:lineRule="auto"/>
        <w:ind w:left="1418" w:right="899" w:hanging="284"/>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 (Sic)</w:t>
      </w:r>
    </w:p>
    <w:p w:rsidR="00930C34" w:rsidRDefault="00930C34">
      <w:pPr>
        <w:spacing w:after="0" w:line="240" w:lineRule="auto"/>
        <w:ind w:left="1134" w:right="1041"/>
        <w:jc w:val="both"/>
        <w:rPr>
          <w:rFonts w:ascii="Palatino Linotype" w:eastAsia="Palatino Linotype" w:hAnsi="Palatino Linotype" w:cs="Palatino Linotype"/>
        </w:rPr>
      </w:pPr>
    </w:p>
    <w:p w:rsidR="00930C34" w:rsidRDefault="008D328D">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ahí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sz w:val="24"/>
          <w:szCs w:val="24"/>
          <w:vertAlign w:val="superscript"/>
        </w:rPr>
        <w:footnoteReference w:id="2"/>
      </w:r>
      <w:r>
        <w:rPr>
          <w:rFonts w:ascii="Palatino Linotype" w:eastAsia="Palatino Linotype" w:hAnsi="Palatino Linotype" w:cs="Palatino Linotype"/>
          <w:sz w:val="24"/>
          <w:szCs w:val="24"/>
        </w:rPr>
        <w:t>.</w:t>
      </w:r>
    </w:p>
    <w:p w:rsidR="00930C34" w:rsidRDefault="008D328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la solicitud de información motivo del Recurso de Revisión que ahora se resuelve, se advierte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rsidR="00930C34" w:rsidRDefault="008D328D">
      <w:pPr>
        <w:numPr>
          <w:ilvl w:val="0"/>
          <w:numId w:val="1"/>
        </w:num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Censo de luminari</w:t>
      </w:r>
      <w:r>
        <w:rPr>
          <w:rFonts w:ascii="Palatino Linotype" w:eastAsia="Palatino Linotype" w:hAnsi="Palatino Linotype" w:cs="Palatino Linotype"/>
          <w:sz w:val="24"/>
          <w:szCs w:val="24"/>
        </w:rPr>
        <w:t>a</w:t>
      </w:r>
      <w:r>
        <w:rPr>
          <w:rFonts w:ascii="Palatino Linotype" w:eastAsia="Palatino Linotype" w:hAnsi="Palatino Linotype" w:cs="Palatino Linotype"/>
          <w:color w:val="000000"/>
          <w:sz w:val="24"/>
          <w:szCs w:val="24"/>
        </w:rPr>
        <w:t>s de alumbrado público realizado y firmado por la Comisión Federal de Electricidad (CFE), correspondiente a los años 2018, 2019, 2020 y 2021;</w:t>
      </w:r>
    </w:p>
    <w:p w:rsidR="00930C34" w:rsidRDefault="008D328D">
      <w:pPr>
        <w:numPr>
          <w:ilvl w:val="0"/>
          <w:numId w:val="1"/>
        </w:numPr>
        <w:pBdr>
          <w:top w:val="nil"/>
          <w:left w:val="nil"/>
          <w:bottom w:val="nil"/>
          <w:right w:val="nil"/>
          <w:between w:val="nil"/>
        </w:pBdr>
        <w:spacing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Convenio para la recaudación del Derecho de Alumbrado Público (DAP), entre la CFE y el Municipio, correspondiente a los años 2018, 2019, 2020 y 2021;</w:t>
      </w:r>
    </w:p>
    <w:p w:rsidR="00930C34" w:rsidRDefault="008D328D">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Facturación por el consumo de energía eléctrica en el alumbrado público municipal, así como la recaudación del DAP, ambos desglosados de manera mensual, correspondiente a los años 2018, 2019, 2020 y 2021.</w:t>
      </w:r>
    </w:p>
    <w:p w:rsidR="00930C34" w:rsidRDefault="00DE01B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337185</wp:posOffset>
                </wp:positionH>
                <wp:positionV relativeFrom="paragraph">
                  <wp:posOffset>962025</wp:posOffset>
                </wp:positionV>
                <wp:extent cx="5135880" cy="4183380"/>
                <wp:effectExtent l="0" t="0" r="26670" b="26670"/>
                <wp:wrapNone/>
                <wp:docPr id="1" name="Conector recto 1"/>
                <wp:cNvGraphicFramePr/>
                <a:graphic xmlns:a="http://schemas.openxmlformats.org/drawingml/2006/main">
                  <a:graphicData uri="http://schemas.microsoft.com/office/word/2010/wordprocessingShape">
                    <wps:wsp>
                      <wps:cNvCnPr/>
                      <wps:spPr>
                        <a:xfrm>
                          <a:off x="0" y="0"/>
                          <a:ext cx="5135880" cy="418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3912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5pt,75.75pt" to="430.95pt,4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" strokecolor="#5b9bd5 [3204]" strokeweight=".5pt">
                <v:stroke joinstyle="miter"/>
              </v:line>
            </w:pict>
          </mc:Fallback>
        </mc:AlternateContent>
      </w:r>
      <w:r w:rsidR="008D328D">
        <w:rPr>
          <w:rFonts w:ascii="Palatino Linotype" w:eastAsia="Palatino Linotype" w:hAnsi="Palatino Linotype" w:cs="Palatino Linotype"/>
          <w:sz w:val="24"/>
          <w:szCs w:val="24"/>
        </w:rPr>
        <w:t xml:space="preserve">Por su parte </w:t>
      </w:r>
      <w:r w:rsidR="008D328D">
        <w:rPr>
          <w:rFonts w:ascii="Palatino Linotype" w:eastAsia="Palatino Linotype" w:hAnsi="Palatino Linotype" w:cs="Palatino Linotype"/>
          <w:b/>
          <w:sz w:val="24"/>
          <w:szCs w:val="24"/>
        </w:rPr>
        <w:t>EL SUJETO OBLIGADO</w:t>
      </w:r>
      <w:r w:rsidR="008D328D">
        <w:rPr>
          <w:rFonts w:ascii="Palatino Linotype" w:eastAsia="Palatino Linotype" w:hAnsi="Palatino Linotype" w:cs="Palatino Linotype"/>
          <w:color w:val="000000"/>
          <w:sz w:val="24"/>
          <w:szCs w:val="24"/>
        </w:rPr>
        <w:t>, en respuesta al requerimiento formulado por el particular, respondió:</w:t>
      </w:r>
    </w:p>
    <w:p w:rsidR="00930C34" w:rsidRDefault="008D328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color w:val="000000"/>
        </w:rPr>
        <w:lastRenderedPageBreak/>
        <w:drawing>
          <wp:inline distT="0" distB="0" distL="0" distR="0">
            <wp:extent cx="5532821" cy="6043102"/>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40903" t="12069" r="25152" b="10984"/>
                    <a:stretch>
                      <a:fillRect/>
                    </a:stretch>
                  </pic:blipFill>
                  <pic:spPr>
                    <a:xfrm>
                      <a:off x="0" y="0"/>
                      <a:ext cx="5532821" cy="6043102"/>
                    </a:xfrm>
                    <a:prstGeom prst="rect">
                      <a:avLst/>
                    </a:prstGeom>
                    <a:ln/>
                  </pic:spPr>
                </pic:pic>
              </a:graphicData>
            </a:graphic>
          </wp:inline>
        </w:drawing>
      </w:r>
    </w:p>
    <w:p w:rsidR="00930C34" w:rsidRDefault="008D328D">
      <w:pPr>
        <w:pBdr>
          <w:top w:val="nil"/>
          <w:left w:val="nil"/>
          <w:bottom w:val="nil"/>
          <w:right w:val="nil"/>
          <w:between w:val="nil"/>
        </w:pBdr>
        <w:spacing w:after="0" w:line="360" w:lineRule="auto"/>
        <w:jc w:val="center"/>
        <w:rPr>
          <w:rFonts w:ascii="Palatino Linotype" w:eastAsia="Palatino Linotype" w:hAnsi="Palatino Linotype" w:cs="Palatino Linotype"/>
          <w:color w:val="000000"/>
          <w:sz w:val="24"/>
          <w:szCs w:val="24"/>
        </w:rPr>
      </w:pPr>
      <w:r>
        <w:rPr>
          <w:noProof/>
          <w:color w:val="000000"/>
        </w:rPr>
        <w:lastRenderedPageBreak/>
        <w:drawing>
          <wp:inline distT="0" distB="0" distL="0" distR="0">
            <wp:extent cx="5468374" cy="699507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41073" t="12673" r="25492" b="11285"/>
                    <a:stretch>
                      <a:fillRect/>
                    </a:stretch>
                  </pic:blipFill>
                  <pic:spPr>
                    <a:xfrm>
                      <a:off x="0" y="0"/>
                      <a:ext cx="5468374" cy="6995078"/>
                    </a:xfrm>
                    <a:prstGeom prst="rect">
                      <a:avLst/>
                    </a:prstGeom>
                    <a:ln/>
                  </pic:spPr>
                </pic:pic>
              </a:graphicData>
            </a:graphic>
          </wp:inline>
        </w:drawing>
      </w:r>
    </w:p>
    <w:p w:rsidR="00930C34" w:rsidRDefault="00930C34">
      <w:pPr>
        <w:pBdr>
          <w:top w:val="nil"/>
          <w:left w:val="nil"/>
          <w:bottom w:val="nil"/>
          <w:right w:val="nil"/>
          <w:between w:val="nil"/>
        </w:pBdr>
        <w:spacing w:line="360" w:lineRule="auto"/>
        <w:jc w:val="center"/>
        <w:rPr>
          <w:rFonts w:ascii="Palatino Linotype" w:eastAsia="Palatino Linotype" w:hAnsi="Palatino Linotype" w:cs="Palatino Linotype"/>
          <w:color w:val="000000"/>
          <w:sz w:val="24"/>
          <w:szCs w:val="24"/>
        </w:rPr>
      </w:pPr>
    </w:p>
    <w:p w:rsidR="00930C34" w:rsidRDefault="008D328D">
      <w:pPr>
        <w:spacing w:line="360" w:lineRule="auto"/>
        <w:ind w:left="851" w:right="900"/>
        <w:jc w:val="both"/>
      </w:pPr>
      <w:r>
        <w:rPr>
          <w:noProof/>
        </w:rPr>
        <w:drawing>
          <wp:inline distT="0" distB="0" distL="0" distR="0">
            <wp:extent cx="4964459" cy="5745669"/>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41073" t="19312" r="25492" b="11890"/>
                    <a:stretch>
                      <a:fillRect/>
                    </a:stretch>
                  </pic:blipFill>
                  <pic:spPr>
                    <a:xfrm>
                      <a:off x="0" y="0"/>
                      <a:ext cx="4964459" cy="5745669"/>
                    </a:xfrm>
                    <a:prstGeom prst="rect">
                      <a:avLst/>
                    </a:prstGeom>
                    <a:ln/>
                  </pic:spPr>
                </pic:pic>
              </a:graphicData>
            </a:graphic>
          </wp:inline>
        </w:drawing>
      </w:r>
    </w:p>
    <w:p w:rsidR="00930C34" w:rsidRDefault="008D328D">
      <w:pPr>
        <w:spacing w:line="360" w:lineRule="auto"/>
        <w:ind w:left="851" w:right="900"/>
      </w:pPr>
      <w:r>
        <w:rPr>
          <w:noProof/>
        </w:rPr>
        <w:lastRenderedPageBreak/>
        <w:drawing>
          <wp:inline distT="0" distB="0" distL="0" distR="0">
            <wp:extent cx="5086384" cy="4782719"/>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9715" t="30778" r="26171" b="12191"/>
                    <a:stretch>
                      <a:fillRect/>
                    </a:stretch>
                  </pic:blipFill>
                  <pic:spPr>
                    <a:xfrm>
                      <a:off x="0" y="0"/>
                      <a:ext cx="5086384" cy="4782719"/>
                    </a:xfrm>
                    <a:prstGeom prst="rect">
                      <a:avLst/>
                    </a:prstGeom>
                    <a:ln/>
                  </pic:spPr>
                </pic:pic>
              </a:graphicData>
            </a:graphic>
          </wp:inline>
        </w:drawing>
      </w:r>
    </w:p>
    <w:p w:rsidR="00930C34" w:rsidRDefault="008D328D">
      <w:pPr>
        <w:tabs>
          <w:tab w:val="left" w:pos="8647"/>
        </w:tabs>
        <w:spacing w:line="360" w:lineRule="auto"/>
        <w:ind w:right="14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así que derivado de la respuesta emitida por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interpuso el presente recurso de revisión, señalando sustancialmente como sus razones o motivos de inconformidad, lo siguiente:</w:t>
      </w:r>
    </w:p>
    <w:p w:rsidR="00930C34" w:rsidRDefault="008D328D">
      <w:pPr>
        <w:spacing w:line="360" w:lineRule="auto"/>
        <w:ind w:right="141"/>
        <w:jc w:val="both"/>
        <w:rPr>
          <w:rFonts w:ascii="Palatino Linotype" w:eastAsia="Palatino Linotype" w:hAnsi="Palatino Linotype" w:cs="Palatino Linotype"/>
          <w:sz w:val="24"/>
          <w:szCs w:val="24"/>
        </w:rPr>
      </w:pPr>
      <w:r>
        <w:rPr>
          <w:rFonts w:ascii="Palatino Linotype" w:eastAsia="Palatino Linotype" w:hAnsi="Palatino Linotype" w:cs="Palatino Linotype"/>
          <w:b/>
        </w:rPr>
        <w:t>Acto Impugnado:</w:t>
      </w:r>
    </w:p>
    <w:p w:rsidR="00930C34" w:rsidRDefault="008D328D">
      <w:pPr>
        <w:spacing w:before="120" w:after="12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w:t>
      </w:r>
      <w:r>
        <w:rPr>
          <w:rFonts w:ascii="Palatino Linotype" w:eastAsia="Palatino Linotype" w:hAnsi="Palatino Linotype" w:cs="Palatino Linotype"/>
          <w:i/>
          <w:color w:val="000000"/>
          <w:sz w:val="24"/>
          <w:szCs w:val="24"/>
        </w:rPr>
        <w:t>La respuesta del Sujeto Obligado</w:t>
      </w:r>
      <w:r>
        <w:rPr>
          <w:rFonts w:ascii="Palatino Linotype" w:eastAsia="Palatino Linotype" w:hAnsi="Palatino Linotype" w:cs="Palatino Linotype"/>
          <w:i/>
          <w:sz w:val="24"/>
          <w:szCs w:val="24"/>
        </w:rPr>
        <w:t>” [sic]</w:t>
      </w:r>
    </w:p>
    <w:p w:rsidR="00930C34" w:rsidRDefault="00930C34">
      <w:pPr>
        <w:spacing w:before="120" w:after="120" w:line="360" w:lineRule="auto"/>
        <w:jc w:val="both"/>
        <w:rPr>
          <w:rFonts w:ascii="Palatino Linotype" w:eastAsia="Palatino Linotype" w:hAnsi="Palatino Linotype" w:cs="Palatino Linotype"/>
          <w:b/>
        </w:rPr>
      </w:pPr>
    </w:p>
    <w:p w:rsidR="00930C34" w:rsidRDefault="00930C34">
      <w:pPr>
        <w:spacing w:before="120" w:after="120" w:line="360" w:lineRule="auto"/>
        <w:jc w:val="both"/>
        <w:rPr>
          <w:rFonts w:ascii="Palatino Linotype" w:eastAsia="Palatino Linotype" w:hAnsi="Palatino Linotype" w:cs="Palatino Linotype"/>
          <w:b/>
        </w:rPr>
      </w:pPr>
    </w:p>
    <w:p w:rsidR="00930C34" w:rsidRDefault="008D328D">
      <w:pPr>
        <w:spacing w:before="120" w:after="12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930C34" w:rsidRDefault="008D328D">
      <w:pPr>
        <w:jc w:val="both"/>
        <w:rPr>
          <w:rFonts w:ascii="Palatino Linotype" w:eastAsia="Palatino Linotype" w:hAnsi="Palatino Linotype" w:cs="Palatino Linotype"/>
          <w:i/>
        </w:rPr>
      </w:pP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El Sujeto Obligado entrega adjunto a su respuesta los archivos de nombre “CensoAP”, “Oficio Sria” y “Oficio Tesorería” en el cual desahoga dos de los puntos requeridos en la solicitud de información, el correspondiente a la facturación y la recaudación por servicio de alumbrado público, el convenio firmado entre el Municipio y la CFE para la recaudación del Derecho de Alumbrado Público, permaneciendo sin atención un punto restante de la solicitud. La información requerida correspondiente a los Censos realizados por la CFE, correspondientes a los años 2018, 2019, 2020 y 2021 no han sido entregados, por lo que se tiene una respuesta incompleta a la solicitud realizada respetuosa y formalmente. Por estos motivos, solicito interponer el Recurso de Revisión correspondiente a la solicitud de información interpuesta y se dé respuesta a la misma.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rsidR="00930C34" w:rsidRDefault="008D328D">
      <w:pPr>
        <w:pBdr>
          <w:top w:val="nil"/>
          <w:left w:val="nil"/>
          <w:bottom w:val="nil"/>
          <w:right w:val="nil"/>
          <w:between w:val="nil"/>
        </w:pBdr>
        <w:spacing w:before="240" w:after="0" w:line="360" w:lineRule="auto"/>
        <w:jc w:val="both"/>
        <w:rPr>
          <w:rFonts w:ascii="Palatino Linotype" w:eastAsia="Palatino Linotype" w:hAnsi="Palatino Linotype" w:cs="Palatino Linotype"/>
          <w:b/>
          <w:i/>
        </w:rPr>
      </w:pPr>
      <w:r>
        <w:rPr>
          <w:rFonts w:ascii="Palatino Linotype" w:eastAsia="Palatino Linotype" w:hAnsi="Palatino Linotype" w:cs="Palatino Linotype"/>
          <w:color w:val="000000"/>
          <w:sz w:val="24"/>
          <w:szCs w:val="24"/>
        </w:rPr>
        <w:t xml:space="preserve">Cabe precisar que durante la etapa de manifestaciones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b/>
          <w:color w:val="000000"/>
          <w:sz w:val="24"/>
          <w:szCs w:val="24"/>
        </w:rPr>
        <w:t xml:space="preserve">EL </w:t>
      </w:r>
      <w:r>
        <w:rPr>
          <w:rFonts w:ascii="Palatino Linotype" w:eastAsia="Palatino Linotype" w:hAnsi="Palatino Linotype" w:cs="Palatino Linotype"/>
          <w:b/>
          <w:sz w:val="24"/>
          <w:szCs w:val="24"/>
        </w:rPr>
        <w:t>SUJETO</w:t>
      </w:r>
      <w:r>
        <w:rPr>
          <w:rFonts w:ascii="Palatino Linotype" w:eastAsia="Palatino Linotype" w:hAnsi="Palatino Linotype" w:cs="Palatino Linotype"/>
          <w:b/>
          <w:color w:val="000000"/>
          <w:sz w:val="24"/>
          <w:szCs w:val="24"/>
        </w:rPr>
        <w:t xml:space="preserve"> OBLIGADO</w:t>
      </w:r>
      <w:r>
        <w:rPr>
          <w:rFonts w:ascii="Palatino Linotype" w:eastAsia="Palatino Linotype" w:hAnsi="Palatino Linotype" w:cs="Palatino Linotype"/>
          <w:color w:val="000000"/>
          <w:sz w:val="24"/>
          <w:szCs w:val="24"/>
        </w:rPr>
        <w:t>, fueron de rendir su informe justificado conforme a derecho les corresponde.</w:t>
      </w:r>
    </w:p>
    <w:p w:rsidR="00930C34" w:rsidRDefault="008D328D">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bien, resulta oportuno mencionar que de los motivos de inconformidad, se advierte que,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solo se inconforma, de que no han sido entregados los censos realizados por la CFE, correspondientes a los años 2018, 2019, 2020 y 2021, e</w:t>
      </w:r>
      <w:r>
        <w:rPr>
          <w:rFonts w:ascii="Palatino Linotype" w:eastAsia="Palatino Linotype" w:hAnsi="Palatino Linotype" w:cs="Palatino Linotype"/>
          <w:color w:val="000000"/>
          <w:sz w:val="24"/>
          <w:szCs w:val="24"/>
        </w:rPr>
        <w:t xml:space="preserve">n consecuencia, la parte de la </w:t>
      </w:r>
      <w:r>
        <w:rPr>
          <w:rFonts w:ascii="Palatino Linotype" w:eastAsia="Palatino Linotype" w:hAnsi="Palatino Linotype" w:cs="Palatino Linotype"/>
          <w:sz w:val="24"/>
          <w:szCs w:val="24"/>
        </w:rPr>
        <w:t>respuesta que</w:t>
      </w:r>
      <w:r>
        <w:rPr>
          <w:rFonts w:ascii="Palatino Linotype" w:eastAsia="Palatino Linotype" w:hAnsi="Palatino Linotype" w:cs="Palatino Linotype"/>
          <w:color w:val="000000"/>
          <w:sz w:val="24"/>
          <w:szCs w:val="24"/>
        </w:rPr>
        <w:t xml:space="preserve"> no fue impugnada debe declararse consentida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por lo que no pueden producirse efectos jurídicos tendentes a revocar, confirmar o modificar el acto reclamado ya que se infiere un consentimiento del</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rsidR="00930C34" w:rsidRDefault="008D328D">
      <w:pPr>
        <w:shd w:val="clear" w:color="auto" w:fill="FFFFFF"/>
        <w:spacing w:before="120" w:after="12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rsidR="00930C34" w:rsidRDefault="00930C34">
      <w:pPr>
        <w:shd w:val="clear" w:color="auto" w:fill="FFFFFF"/>
        <w:spacing w:before="120" w:after="120" w:line="360" w:lineRule="auto"/>
        <w:jc w:val="both"/>
        <w:rPr>
          <w:rFonts w:ascii="Palatino Linotype" w:eastAsia="Palatino Linotype" w:hAnsi="Palatino Linotype" w:cs="Palatino Linotype"/>
          <w:sz w:val="24"/>
          <w:szCs w:val="24"/>
        </w:rPr>
      </w:pPr>
    </w:p>
    <w:p w:rsidR="00930C34" w:rsidRDefault="008D328D">
      <w:pPr>
        <w:shd w:val="clear" w:color="auto" w:fill="FFFFFF"/>
        <w:spacing w:before="120" w:after="120" w:line="360" w:lineRule="auto"/>
        <w:ind w:left="851" w:right="902"/>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ACTOS CONSENTIDOS. SON LOS QUE NO SE IMPUGNAN MEDIANTE EL RECURSO IDÓNEO</w:t>
      </w:r>
      <w:r>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30C34" w:rsidRDefault="00930C34">
      <w:pPr>
        <w:pBdr>
          <w:top w:val="nil"/>
          <w:left w:val="nil"/>
          <w:bottom w:val="nil"/>
          <w:right w:val="nil"/>
          <w:between w:val="nil"/>
        </w:pBdr>
        <w:spacing w:line="360" w:lineRule="auto"/>
        <w:jc w:val="both"/>
        <w:rPr>
          <w:rFonts w:ascii="Palatino Linotype" w:eastAsia="Palatino Linotype" w:hAnsi="Palatino Linotype" w:cs="Palatino Linotype"/>
          <w:sz w:val="24"/>
          <w:szCs w:val="24"/>
        </w:rPr>
      </w:pPr>
    </w:p>
    <w:p w:rsidR="00930C34" w:rsidRDefault="008D328D">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anterior es así, debido a que, cuando el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impugnó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está conforme con la información al no contravenir la misma.</w:t>
      </w:r>
    </w:p>
    <w:p w:rsidR="00930C34" w:rsidRDefault="008D328D">
      <w:pPr>
        <w:spacing w:before="28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Consecuentemente, la parte de la respuesta que no fue impugnada debe declararse consentida, toda vez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rsidR="00930C34" w:rsidRDefault="00930C34">
      <w:pPr>
        <w:spacing w:after="0" w:line="360" w:lineRule="auto"/>
        <w:ind w:right="49"/>
        <w:jc w:val="both"/>
        <w:rPr>
          <w:rFonts w:ascii="Helvetica Neue" w:eastAsia="Helvetica Neue" w:hAnsi="Helvetica Neue" w:cs="Helvetica Neue"/>
          <w:color w:val="FFFFFF"/>
          <w:sz w:val="18"/>
          <w:szCs w:val="18"/>
        </w:rPr>
      </w:pPr>
    </w:p>
    <w:p w:rsidR="00930C34" w:rsidRDefault="008D328D">
      <w:pPr>
        <w:spacing w:after="280" w:line="360" w:lineRule="auto"/>
        <w:ind w:right="49"/>
        <w:jc w:val="both"/>
        <w:rPr>
          <w:rFonts w:ascii="Helvetica Neue" w:eastAsia="Helvetica Neue" w:hAnsi="Helvetica Neue" w:cs="Helvetica Neue"/>
          <w:color w:val="FFFFFF"/>
          <w:sz w:val="18"/>
          <w:szCs w:val="18"/>
        </w:rPr>
      </w:pPr>
      <w:r>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rsidR="00930C34" w:rsidRDefault="008D328D">
      <w:pPr>
        <w:spacing w:after="0" w:line="240" w:lineRule="auto"/>
        <w:ind w:left="1080" w:right="918"/>
        <w:jc w:val="both"/>
        <w:rPr>
          <w:rFonts w:ascii="Times New Roman" w:eastAsia="Times New Roman" w:hAnsi="Times New Roman" w:cs="Times New Roman"/>
          <w:sz w:val="24"/>
          <w:szCs w:val="24"/>
        </w:rPr>
      </w:pPr>
      <w:r>
        <w:rPr>
          <w:rFonts w:ascii="Palatino Linotype" w:eastAsia="Palatino Linotype" w:hAnsi="Palatino Linotype" w:cs="Palatino Linotype"/>
          <w:b/>
          <w:i/>
        </w:rPr>
        <w:lastRenderedPageBreak/>
        <w:t xml:space="preserve">“REVISIÓN EN AMPARO. LOS RESOLUTIVOS NO COMBATIDOS DEBEN DECLARARSE FIRMES. </w:t>
      </w:r>
      <w:r>
        <w:rPr>
          <w:rFonts w:ascii="Palatino Linotype" w:eastAsia="Palatino Linotype" w:hAnsi="Palatino Linotype" w:cs="Palatino Linotype"/>
          <w:i/>
        </w:rPr>
        <w:t xml:space="preserve">Cuando algún resolutivo de la sentencia impugnada afecta a la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rPr>
        <w:t>RECURRENTE</w:t>
      </w:r>
      <w:r>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930C34" w:rsidRDefault="00930C34">
      <w:pPr>
        <w:spacing w:after="0" w:line="360" w:lineRule="auto"/>
        <w:jc w:val="both"/>
        <w:rPr>
          <w:rFonts w:ascii="Palatino Linotype" w:eastAsia="Palatino Linotype" w:hAnsi="Palatino Linotype" w:cs="Palatino Linotype"/>
          <w:sz w:val="24"/>
          <w:szCs w:val="24"/>
          <w:highlight w:val="yellow"/>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antes expuesto, este Instituto procede a analizar el ámbito competencial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generar, administrar y poseer la información, tal como fue solicitada por el particular.</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tenor resulta conducente analizar la siguiente normatividad a fin de determinar si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es susceptible de contar con la información particularmente respecto a los censos solicitados. </w:t>
      </w:r>
    </w:p>
    <w:p w:rsidR="00930C34" w:rsidRDefault="008D328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principio, cabe recordar que la solicitud materia de la presente Resolución,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rsidR="00930C34" w:rsidRDefault="00930C34">
      <w:pPr>
        <w:tabs>
          <w:tab w:val="left" w:pos="4962"/>
        </w:tabs>
        <w:spacing w:after="0" w:line="360" w:lineRule="auto"/>
        <w:rPr>
          <w:rFonts w:ascii="Palatino Linotype" w:eastAsia="Palatino Linotype" w:hAnsi="Palatino Linotype" w:cs="Palatino Linotype"/>
          <w:sz w:val="24"/>
          <w:szCs w:val="24"/>
        </w:rPr>
      </w:pPr>
    </w:p>
    <w:p w:rsidR="00930C34" w:rsidRDefault="008D328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la misma manera, el segundo párrafo, del artículo 122 de la Constitución Política del Estado Libre y Soberano de México, establece que los Ayuntamientos de los </w:t>
      </w:r>
      <w:r>
        <w:rPr>
          <w:rFonts w:ascii="Palatino Linotype" w:eastAsia="Palatino Linotype" w:hAnsi="Palatino Linotype" w:cs="Palatino Linotype"/>
          <w:sz w:val="24"/>
          <w:szCs w:val="24"/>
        </w:rPr>
        <w:lastRenderedPageBreak/>
        <w:t>municipios, tendrán a su cargo las funciones y servicios públicos que señale la fracción III, del artículo 115 de la Carta Magna.</w:t>
      </w:r>
    </w:p>
    <w:p w:rsidR="00930C34" w:rsidRDefault="00930C34">
      <w:pPr>
        <w:tabs>
          <w:tab w:val="left" w:pos="4962"/>
        </w:tabs>
        <w:spacing w:after="0" w:line="360" w:lineRule="auto"/>
        <w:jc w:val="both"/>
        <w:rPr>
          <w:rFonts w:ascii="Palatino Linotype" w:eastAsia="Palatino Linotype" w:hAnsi="Palatino Linotype" w:cs="Palatino Linotype"/>
          <w:sz w:val="24"/>
          <w:szCs w:val="24"/>
        </w:rPr>
      </w:pPr>
    </w:p>
    <w:p w:rsidR="00930C34" w:rsidRDefault="008D328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 los artículos 125, fracción II y 126 de la Ley Orgánica Municipal del Estado de México,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rsidR="00930C34" w:rsidRDefault="00930C34">
      <w:pPr>
        <w:tabs>
          <w:tab w:val="left" w:pos="4962"/>
        </w:tabs>
        <w:spacing w:after="0" w:line="360" w:lineRule="auto"/>
        <w:jc w:val="both"/>
        <w:rPr>
          <w:rFonts w:ascii="Palatino Linotype" w:eastAsia="Palatino Linotype" w:hAnsi="Palatino Linotype" w:cs="Palatino Linotype"/>
          <w:sz w:val="24"/>
          <w:szCs w:val="24"/>
        </w:rPr>
      </w:pPr>
    </w:p>
    <w:p w:rsidR="00930C34" w:rsidRDefault="008D328D">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orden de ideas, el </w:t>
      </w:r>
      <w:r>
        <w:rPr>
          <w:rFonts w:ascii="Palatino Linotype" w:eastAsia="Palatino Linotype" w:hAnsi="Palatino Linotype" w:cs="Palatino Linotype"/>
          <w:b/>
          <w:i/>
        </w:rPr>
        <w:t xml:space="preserve">BANDO MUNICIPAL 2021, SANTO TOMÁS, ESTADO DE MÉXICO </w:t>
      </w:r>
      <w:r>
        <w:rPr>
          <w:rFonts w:ascii="Palatino Linotype" w:eastAsia="Palatino Linotype" w:hAnsi="Palatino Linotype" w:cs="Palatino Linotype"/>
          <w:sz w:val="24"/>
          <w:szCs w:val="24"/>
        </w:rPr>
        <w:t>establece lo siguiente:</w:t>
      </w:r>
    </w:p>
    <w:p w:rsidR="00930C34" w:rsidRDefault="00930C34">
      <w:pPr>
        <w:tabs>
          <w:tab w:val="left" w:pos="4962"/>
        </w:tabs>
        <w:spacing w:after="0" w:line="360" w:lineRule="auto"/>
        <w:jc w:val="both"/>
        <w:rPr>
          <w:rFonts w:ascii="Palatino Linotype" w:eastAsia="Palatino Linotype" w:hAnsi="Palatino Linotype" w:cs="Palatino Linotype"/>
          <w:sz w:val="24"/>
          <w:szCs w:val="24"/>
        </w:rPr>
      </w:pP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57. Son atribuciones de la Dirección de Servicios Públicos y Administración: </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 Coordinar los servicios de limpia, recolección, transporte, transferencia y disposición final de residuos sólidos urbanos y de manejo especial, alumbrado público, parques, jardines, panteones y mantenimiento urbano, así como propiciar el mejoramiento y ampliación de la cobertura de los mismos;</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ARTÍCULO 81. El gobierno municipal de Santo Tomás, tiene a cargo la prestación, explotación, administración y conservación de los servicios públicos, siguientes:</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 Alumbrado público;</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93. El alumbrado público es el servicio de iluminación que el Municipio otorga a la comunidad, el cual se instala en calles, calzadas, plazas, parques, jardines y en general en todos los lugares públicos, a través de la colocación de luminarias, infraestructura y sus elementos de control, encargándose posteriormente del mantenimiento y operación del mismo, conforme a las disposiciones legales federales, estatales y municipales aplicables.</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94. Será responsabilidad de la Dirección de Servicios Públicos y Administración la rehabilitación y mantenimiento de la red de alumbrado público.</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95. La prestación del servicio municipal de alumbrado público comprenderá: </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III. Administrar y operar eficientemente los sistemas de alumbrado público, conforme a las normas de la materia y especificaciones técnicas que recomienda la industria eléctrica, las disposiciones internacionales y las propias del Municipio; </w:t>
      </w:r>
    </w:p>
    <w:p w:rsidR="00930C34" w:rsidRDefault="008D328D">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IV. La planeación estratégica del alumbrado público; </w:t>
      </w:r>
    </w:p>
    <w:p w:rsidR="00930C34" w:rsidRDefault="008D328D">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Conforme a la normatividad analizada, se logra vislumbrar que el Sujeto Obligado es competente para pronunciarse sobre la información requerida, en virtud de ser el encargado de ver todas las cuestiones relacionadas con el servicio de alumbrado público, dentro de la circunscripción territorial de dicho Municipio, por lo cual el presente proyecto se enfocará  </w:t>
      </w:r>
      <w:r>
        <w:rPr>
          <w:rFonts w:ascii="Palatino Linotype" w:eastAsia="Palatino Linotype" w:hAnsi="Palatino Linotype" w:cs="Palatino Linotype"/>
          <w:b/>
          <w:i/>
          <w:sz w:val="24"/>
          <w:szCs w:val="24"/>
        </w:rPr>
        <w:t>al censo de alumbrado público.</w:t>
      </w:r>
      <w:r>
        <w:rPr>
          <w:rFonts w:ascii="Palatino Linotype" w:eastAsia="Palatino Linotype" w:hAnsi="Palatino Linotype" w:cs="Palatino Linotype"/>
          <w:sz w:val="24"/>
          <w:szCs w:val="24"/>
        </w:rPr>
        <w:t xml:space="preserve"> </w:t>
      </w: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sentido, cabe señalar que un censo es un proceso por medio del cual se realiza el conteo y diagnóstico de un tema en específico; en ese orden de ideas, este Instituto localizó el documento denominado </w:t>
      </w:r>
      <w:r>
        <w:rPr>
          <w:rFonts w:ascii="Palatino Linotype" w:eastAsia="Palatino Linotype" w:hAnsi="Palatino Linotype" w:cs="Palatino Linotype"/>
          <w:b/>
          <w:i/>
          <w:sz w:val="24"/>
          <w:szCs w:val="24"/>
        </w:rPr>
        <w:t>Procedimiento del Control de Servicios de Alumbrado Público</w:t>
      </w:r>
      <w:r>
        <w:rPr>
          <w:rFonts w:ascii="Palatino Linotype" w:eastAsia="Palatino Linotype" w:hAnsi="Palatino Linotype" w:cs="Palatino Linotype"/>
          <w:sz w:val="24"/>
          <w:szCs w:val="24"/>
        </w:rPr>
        <w:t xml:space="preserve"> consultado en la página electrónica https://www.gob.mx/cms/uploads/attachment/file/127275/Proc_Control_Servicios_Alumbrado_P_blico_2011.pdf, realizado por la Subdirección de Distribución de la Comisión Federal de Electricidad, que establece que los censos de alumbrado público deberán realizarse conjuntamente con los funcionarios autorizados por la autoridad municipal. </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 </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numPr>
          <w:ilvl w:val="0"/>
          <w:numId w:val="7"/>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Ciudades con más de 100,000 usuarios.</w:t>
      </w:r>
    </w:p>
    <w:p w:rsidR="00930C34" w:rsidRDefault="008D328D">
      <w:pPr>
        <w:numPr>
          <w:ilvl w:val="0"/>
          <w:numId w:val="7"/>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resto de las ciudades, cuando menos una vez al año.</w:t>
      </w:r>
    </w:p>
    <w:p w:rsidR="00930C34" w:rsidRDefault="008D328D">
      <w:pPr>
        <w:numPr>
          <w:ilvl w:val="0"/>
          <w:numId w:val="7"/>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Censos entregados a las administraciones estatales o municipales salientes:</w:t>
      </w:r>
      <w:r>
        <w:rPr>
          <w:rFonts w:ascii="Palatino Linotype" w:eastAsia="Palatino Linotype" w:hAnsi="Palatino Linotype" w:cs="Palatino Linotype"/>
          <w:sz w:val="24"/>
          <w:szCs w:val="24"/>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dicho censo se conformará por los siguientes Anexos: </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Convenio;</w:t>
      </w: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Desglose del censo;</w:t>
      </w: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Resumen del censo;</w:t>
      </w: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Minuta;</w:t>
      </w: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Reporte de alta, bajas o modificaciones; </w:t>
      </w:r>
    </w:p>
    <w:p w:rsidR="00930C34" w:rsidRDefault="008D328D">
      <w:pPr>
        <w:numPr>
          <w:ilvl w:val="0"/>
          <w:numId w:val="3"/>
        </w:numPr>
        <w:spacing w:after="0" w:line="360" w:lineRule="auto"/>
        <w:ind w:firstLine="98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Reporte de correcciones de lámparas 24 horas, y</w:t>
      </w:r>
    </w:p>
    <w:p w:rsidR="00930C34" w:rsidRDefault="008D328D">
      <w:pPr>
        <w:numPr>
          <w:ilvl w:val="0"/>
          <w:numId w:val="3"/>
        </w:numPr>
        <w:spacing w:after="0" w:line="360" w:lineRule="auto"/>
        <w:ind w:left="2127" w:hanging="425"/>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Formato de verificación de ahorros de lámparas de alumbrado  público con atenuador.</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de las documentales que obran en el expediente electrónico se advierte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omitió remitir información sobre este requerimiento; por lo que, al no proporcionar información relativa a este punto de la solicitud, éste deberá realizar una búsqueda exhaustiva y razonable en todos los </w:t>
      </w:r>
      <w:r>
        <w:rPr>
          <w:rFonts w:ascii="Palatino Linotype" w:eastAsia="Palatino Linotype" w:hAnsi="Palatino Linotype" w:cs="Palatino Linotype"/>
          <w:sz w:val="24"/>
          <w:szCs w:val="24"/>
        </w:rPr>
        <w:lastRenderedPageBreak/>
        <w:t xml:space="preserve">archivos, sobre todo de la Dirección de Servicios Públicos a efecto de que proporcione todos los documentos que conforman los censos solicitados. </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otra parte, se localizó en la página de internet https://campusdcoc.cfe.mx/cvdcsr/pluginfile.php/31041/mod_resource/content/0/Manual%20de%20Procedimiento%20para%20Integraci%C3%B3n%20de%20Consumos%20de%20Servicios%20de%20Alumbrado%20P%C3%Bablico%2C%20Sem%C3%A1foros%20y%20Otras%20Cargas%20Directas.pdf, el documento denominado </w:t>
      </w:r>
      <w:r>
        <w:rPr>
          <w:rFonts w:ascii="Palatino Linotype" w:eastAsia="Palatino Linotype" w:hAnsi="Palatino Linotype" w:cs="Palatino Linotype"/>
          <w:b/>
          <w:i/>
          <w:sz w:val="24"/>
          <w:szCs w:val="24"/>
        </w:rPr>
        <w:t>Manual de Procedimiento para la Integración de Consumos de los Servicios de Alumbrado Público, Semáforos y otras Cargas Directas de 2018</w:t>
      </w:r>
      <w:r>
        <w:rPr>
          <w:rFonts w:ascii="Palatino Linotype" w:eastAsia="Palatino Linotype" w:hAnsi="Palatino Linotype" w:cs="Palatino Linotype"/>
          <w:sz w:val="24"/>
          <w:szCs w:val="24"/>
        </w:rPr>
        <w:t>,  con un ámbito de aplicación local en áreas de servicio al cliente en CFE distribución, del cual se desprende lo siguiente:</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ind w:left="851" w:right="758"/>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“1. INTRODUCCIÓN </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 xml:space="preserve">Derivado de la publicación de los Términos de la Estricta Separación Legal de la Comisión Federal de Electricidad y la Ley de la Industria Eléctrica, </w:t>
      </w:r>
      <w:r>
        <w:rPr>
          <w:rFonts w:ascii="Palatino Linotype" w:eastAsia="Palatino Linotype" w:hAnsi="Palatino Linotype" w:cs="Palatino Linotype"/>
          <w:b/>
          <w:i/>
        </w:rPr>
        <w:t>los usuarios de alumbrado público, semáforos y otras cargas directas tendrán que celebrar un contrato con un suministrador,</w:t>
      </w:r>
      <w:r>
        <w:rPr>
          <w:rFonts w:ascii="Palatino Linotype" w:eastAsia="Palatino Linotype" w:hAnsi="Palatino Linotype" w:cs="Palatino Linotype"/>
          <w:i/>
        </w:rPr>
        <w:t xml:space="preserve"> </w:t>
      </w:r>
      <w:r>
        <w:rPr>
          <w:rFonts w:ascii="Palatino Linotype" w:eastAsia="Palatino Linotype" w:hAnsi="Palatino Linotype" w:cs="Palatino Linotype"/>
          <w:b/>
          <w:i/>
        </w:rPr>
        <w:t>por lo que CFE Distribución deberá establecer canales de comunicación y coordinación con los suministradores para la realización y actualización de los contratos. Para llevar a cabo los censos de alumbrado público, semáforos y otras cargas directas se requerirá la interacción entre el usuario y CFE Distribución</w:t>
      </w:r>
      <w:r>
        <w:rPr>
          <w:rFonts w:ascii="Palatino Linotype" w:eastAsia="Palatino Linotype" w:hAnsi="Palatino Linotype" w:cs="Palatino Linotype"/>
          <w:i/>
        </w:rPr>
        <w:t xml:space="preserve">. </w:t>
      </w:r>
    </w:p>
    <w:p w:rsidR="00930C34" w:rsidRDefault="00930C34">
      <w:pPr>
        <w:spacing w:after="0" w:line="360" w:lineRule="auto"/>
        <w:ind w:left="851" w:right="758"/>
        <w:jc w:val="both"/>
        <w:rPr>
          <w:rFonts w:ascii="Palatino Linotype" w:eastAsia="Palatino Linotype" w:hAnsi="Palatino Linotype" w:cs="Palatino Linotype"/>
          <w:i/>
        </w:rPr>
      </w:pP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Con base en lo establecido en el Reglamento de la Ley de la Industria Eléctrica, las obras e instalaciones requeridas para la prestación del servicio de alumbrado público no se considerarán elementos del Sistema Eléctrico Nacional, por lo que los responsables de los sistemas de alumbrado público serán los encargados de su construcción, operación, mantenimiento y reparación. La ejecución de los proyectos y demás trabajos relacionados con los servicios de alumbrado público no serán materia del servicio público de distribución, por lo que no estarán a cargo de CFE Distribución. </w:t>
      </w:r>
    </w:p>
    <w:p w:rsidR="00930C34" w:rsidRDefault="00930C34">
      <w:pPr>
        <w:spacing w:after="0" w:line="360" w:lineRule="auto"/>
        <w:ind w:left="851" w:right="758"/>
        <w:jc w:val="both"/>
        <w:rPr>
          <w:rFonts w:ascii="Palatino Linotype" w:eastAsia="Palatino Linotype" w:hAnsi="Palatino Linotype" w:cs="Palatino Linotype"/>
          <w:i/>
        </w:rPr>
      </w:pP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 xml:space="preserve">Existen servicios de alumbrado público, semáforos y otras cargas directas que, por solicitud del usuario al suministrador, requieren la integración del consumo de energía eléctrica por parte de CFE Distribución mediante una base de estimación determinada por un censo de las cargas instaladas, por lo cual es importante realizar de manera sistemática y ordenada los censos de alumbrado público, semáforos y otras cargas directas en todo el país. </w:t>
      </w:r>
    </w:p>
    <w:p w:rsidR="00930C34" w:rsidRDefault="00930C34">
      <w:pPr>
        <w:spacing w:after="0" w:line="360" w:lineRule="auto"/>
        <w:ind w:left="851" w:right="758"/>
        <w:jc w:val="both"/>
        <w:rPr>
          <w:rFonts w:ascii="Palatino Linotype" w:eastAsia="Palatino Linotype" w:hAnsi="Palatino Linotype" w:cs="Palatino Linotype"/>
          <w:b/>
          <w:i/>
        </w:rPr>
      </w:pP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b/>
          <w:i/>
        </w:rPr>
        <w:t>3. OBJETIVO</w:t>
      </w:r>
      <w:r>
        <w:rPr>
          <w:rFonts w:ascii="Palatino Linotype" w:eastAsia="Palatino Linotype" w:hAnsi="Palatino Linotype" w:cs="Palatino Linotype"/>
          <w:i/>
        </w:rPr>
        <w:t xml:space="preserve"> </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b/>
          <w:i/>
        </w:rPr>
        <w:t>Normalizar los criterios y la metodología de atención de las modificaciones de servicios de alumbrado públic</w:t>
      </w:r>
      <w:r>
        <w:rPr>
          <w:rFonts w:ascii="Palatino Linotype" w:eastAsia="Palatino Linotype" w:hAnsi="Palatino Linotype" w:cs="Palatino Linotype"/>
          <w:i/>
        </w:rPr>
        <w:t>o, semáforos y otras cargas directas, para la correcta integración de los consumos de energía eléctrica.</w:t>
      </w:r>
    </w:p>
    <w:p w:rsidR="00930C34" w:rsidRDefault="00930C34">
      <w:pPr>
        <w:spacing w:after="0" w:line="360" w:lineRule="auto"/>
        <w:ind w:left="851" w:right="758"/>
        <w:jc w:val="both"/>
        <w:rPr>
          <w:rFonts w:ascii="Palatino Linotype" w:eastAsia="Palatino Linotype" w:hAnsi="Palatino Linotype" w:cs="Palatino Linotype"/>
          <w:i/>
        </w:rPr>
      </w:pPr>
    </w:p>
    <w:p w:rsidR="00930C34" w:rsidRDefault="008D328D">
      <w:pPr>
        <w:spacing w:after="0" w:line="360" w:lineRule="auto"/>
        <w:ind w:left="720" w:right="758"/>
        <w:jc w:val="both"/>
        <w:rPr>
          <w:rFonts w:ascii="Palatino Linotype" w:eastAsia="Palatino Linotype" w:hAnsi="Palatino Linotype" w:cs="Palatino Linotype"/>
          <w:b/>
          <w:i/>
        </w:rPr>
      </w:pPr>
      <w:r>
        <w:rPr>
          <w:rFonts w:ascii="Palatino Linotype" w:eastAsia="Palatino Linotype" w:hAnsi="Palatino Linotype" w:cs="Palatino Linotype"/>
          <w:b/>
          <w:i/>
        </w:rPr>
        <w:t>POLÍTICA</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b/>
          <w:i/>
        </w:rPr>
        <w:t>Integrar correctamente los consumos de energía eléctrica de los servicios de alumbrado público</w:t>
      </w:r>
      <w:r>
        <w:rPr>
          <w:rFonts w:ascii="Palatino Linotype" w:eastAsia="Palatino Linotype" w:hAnsi="Palatino Linotype" w:cs="Palatino Linotype"/>
          <w:i/>
        </w:rPr>
        <w:t>, semáforos y otras cargas directas para efectuar oportunamente las actualizaciones de carga de estos servicios.</w:t>
      </w:r>
    </w:p>
    <w:p w:rsidR="00930C34" w:rsidRDefault="00930C34">
      <w:pPr>
        <w:spacing w:after="0" w:line="240" w:lineRule="auto"/>
        <w:ind w:left="851" w:right="758"/>
        <w:rPr>
          <w:rFonts w:ascii="Times New Roman" w:eastAsia="Times New Roman" w:hAnsi="Times New Roman" w:cs="Times New Roman"/>
          <w:i/>
        </w:rPr>
      </w:pPr>
    </w:p>
    <w:p w:rsidR="00930C34" w:rsidRDefault="008D328D">
      <w:pPr>
        <w:spacing w:after="0" w:line="240" w:lineRule="auto"/>
        <w:ind w:left="720" w:right="758"/>
        <w:rPr>
          <w:rFonts w:ascii="Palatino Linotype" w:eastAsia="Palatino Linotype" w:hAnsi="Palatino Linotype" w:cs="Palatino Linotype"/>
          <w:b/>
          <w:i/>
        </w:rPr>
      </w:pPr>
      <w:r>
        <w:rPr>
          <w:rFonts w:ascii="Palatino Linotype" w:eastAsia="Palatino Linotype" w:hAnsi="Palatino Linotype" w:cs="Palatino Linotype"/>
          <w:b/>
          <w:i/>
        </w:rPr>
        <w:t>NORMAS</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spacing w:after="0" w:line="360" w:lineRule="auto"/>
        <w:ind w:left="851" w:right="758"/>
        <w:jc w:val="both"/>
        <w:rPr>
          <w:rFonts w:ascii="Palatino Linotype" w:eastAsia="Palatino Linotype" w:hAnsi="Palatino Linotype" w:cs="Palatino Linotype"/>
          <w:b/>
          <w:i/>
        </w:rPr>
      </w:pPr>
      <w:r>
        <w:rPr>
          <w:rFonts w:ascii="Palatino Linotype" w:eastAsia="Palatino Linotype" w:hAnsi="Palatino Linotype" w:cs="Palatino Linotype"/>
          <w:b/>
          <w:i/>
        </w:rPr>
        <w:t>CENSOS</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Se llevará cabo la ejecución de los censos de alumbrado público, semáforos y otras cargas directas de la siguiente manera:</w:t>
      </w:r>
    </w:p>
    <w:p w:rsidR="00930C34" w:rsidRDefault="008D328D">
      <w:pPr>
        <w:spacing w:after="0" w:line="360" w:lineRule="auto"/>
        <w:ind w:left="851" w:right="758"/>
        <w:jc w:val="both"/>
        <w:rPr>
          <w:rFonts w:ascii="Palatino Linotype" w:eastAsia="Palatino Linotype" w:hAnsi="Palatino Linotype" w:cs="Palatino Linotype"/>
          <w:b/>
          <w:i/>
        </w:rPr>
      </w:pPr>
      <w:r>
        <w:rPr>
          <w:rFonts w:ascii="Palatino Linotype" w:eastAsia="Palatino Linotype" w:hAnsi="Palatino Linotype" w:cs="Palatino Linotype"/>
          <w:i/>
        </w:rPr>
        <w:t xml:space="preserve">a) </w:t>
      </w:r>
      <w:r>
        <w:rPr>
          <w:rFonts w:ascii="Palatino Linotype" w:eastAsia="Palatino Linotype" w:hAnsi="Palatino Linotype" w:cs="Palatino Linotype"/>
          <w:b/>
          <w:i/>
        </w:rPr>
        <w:t>Se coordinará con el representante del sistema de alumbrado público o el particular, para llevar a cabo el levantamiento en campo de manera conjunta con personal de ambas partes.</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b) Se identificarán en un plano las luminarias y equipos que integran cada servicio, ya sean medidos o directos.</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c) Se sectorizará el área geográfica para identificar los servicios correspondientes.</w:t>
      </w:r>
    </w:p>
    <w:p w:rsidR="00930C34" w:rsidRDefault="008D328D">
      <w:pPr>
        <w:spacing w:after="0" w:line="360" w:lineRule="auto"/>
        <w:ind w:left="851" w:right="758"/>
        <w:jc w:val="both"/>
        <w:rPr>
          <w:rFonts w:ascii="Palatino Linotype" w:eastAsia="Palatino Linotype" w:hAnsi="Palatino Linotype" w:cs="Palatino Linotype"/>
          <w:b/>
          <w:i/>
        </w:rPr>
      </w:pPr>
      <w:r>
        <w:rPr>
          <w:rFonts w:ascii="Palatino Linotype" w:eastAsia="Palatino Linotype" w:hAnsi="Palatino Linotype" w:cs="Palatino Linotype"/>
          <w:i/>
        </w:rPr>
        <w:t xml:space="preserve">d) </w:t>
      </w:r>
      <w:r>
        <w:rPr>
          <w:rFonts w:ascii="Palatino Linotype" w:eastAsia="Palatino Linotype" w:hAnsi="Palatino Linotype" w:cs="Palatino Linotype"/>
          <w:b/>
          <w:i/>
        </w:rPr>
        <w:t>Se elaborarán los censos de alumbrado público, semáforos y otras cargas directas, relativos a cada servicio por sector y se continuará de la misma manera con los sectores restantes hasta cubrir la totalidad del área geográfica, incluyendo las poblaciones rurales y comunidades, si así fuera el caso.</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e) El levantamiento físico para ubicar las luminarias y otras cargas directas deberá contar con las georeferencias correspondientes.</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f) Una vez concluido el censo de todos los sectores, se iniciará el proceso de preparación del nuevo censo con el primer sector, de tal manera que el programa de censos de alumbrado público, semáforos y otras cargas directas sea lo más continuo posible.</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g) Se deberá realizar un censo de alumbrado púbico, semáforos y otras cargas directas al menos una vez al año.</w:t>
      </w:r>
    </w:p>
    <w:p w:rsidR="00930C34" w:rsidRDefault="00930C34">
      <w:pPr>
        <w:spacing w:after="0" w:line="360" w:lineRule="auto"/>
        <w:ind w:left="851" w:right="758"/>
        <w:jc w:val="both"/>
        <w:rPr>
          <w:rFonts w:ascii="Palatino Linotype" w:eastAsia="Palatino Linotype" w:hAnsi="Palatino Linotype" w:cs="Palatino Linotype"/>
          <w:i/>
        </w:rPr>
      </w:pP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b/>
          <w:i/>
        </w:rPr>
        <w:t>Una vez ejecutado el censo y acordado el resultado con el representante del sistema de alumbrado público o el particular</w:t>
      </w:r>
      <w:r>
        <w:rPr>
          <w:rFonts w:ascii="Palatino Linotype" w:eastAsia="Palatino Linotype" w:hAnsi="Palatino Linotype" w:cs="Palatino Linotype"/>
          <w:i/>
        </w:rPr>
        <w:t>, se entregará por escrito al suministrador el resultado obtenido del mismo incluyendo cargos o créditos que procedan, en un máximo de 10 días naturales después de terminado el censo de cada sector, municipio o delegación.</w:t>
      </w:r>
    </w:p>
    <w:p w:rsidR="00930C34" w:rsidRDefault="00930C34">
      <w:pPr>
        <w:spacing w:after="0" w:line="360" w:lineRule="auto"/>
        <w:ind w:left="851" w:right="758"/>
        <w:jc w:val="both"/>
        <w:rPr>
          <w:rFonts w:ascii="Palatino Linotype" w:eastAsia="Palatino Linotype" w:hAnsi="Palatino Linotype" w:cs="Palatino Linotype"/>
          <w:i/>
        </w:rPr>
      </w:pP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rPr>
        <w:t xml:space="preserve">El suministrador actualizará los contratos en un máximo de 15 días naturales después de recibir la comunicación por escrito de los datos finales del censo de cada sector, municipio o delegación, así mismo actualizará en su sistema comercial, la carga y demanda contratada, fecha del censo, número de lámparas y otros datos de modificaciones que puedan surgir a partir de la ejecución del censo. </w:t>
      </w:r>
    </w:p>
    <w:p w:rsidR="00930C34" w:rsidRDefault="008D328D">
      <w:pPr>
        <w:spacing w:after="0" w:line="360" w:lineRule="auto"/>
        <w:ind w:left="851" w:right="758"/>
        <w:jc w:val="both"/>
        <w:rPr>
          <w:rFonts w:ascii="Palatino Linotype" w:eastAsia="Palatino Linotype" w:hAnsi="Palatino Linotype" w:cs="Palatino Linotype"/>
          <w:i/>
        </w:rPr>
      </w:pPr>
      <w:r>
        <w:rPr>
          <w:rFonts w:ascii="Palatino Linotype" w:eastAsia="Palatino Linotype" w:hAnsi="Palatino Linotype" w:cs="Palatino Linotype"/>
          <w:i/>
          <w:noProof/>
        </w:rPr>
        <w:lastRenderedPageBreak/>
        <w:drawing>
          <wp:inline distT="0" distB="0" distL="0" distR="0">
            <wp:extent cx="5430599" cy="7182836"/>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430599" cy="7182836"/>
                    </a:xfrm>
                    <a:prstGeom prst="rect">
                      <a:avLst/>
                    </a:prstGeom>
                    <a:ln/>
                  </pic:spPr>
                </pic:pic>
              </a:graphicData>
            </a:graphic>
          </wp:inline>
        </w:drawing>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extent cx="5051715" cy="6739882"/>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051715" cy="6739882"/>
                    </a:xfrm>
                    <a:prstGeom prst="rect">
                      <a:avLst/>
                    </a:prstGeom>
                    <a:ln/>
                  </pic:spPr>
                </pic:pic>
              </a:graphicData>
            </a:graphic>
          </wp:inline>
        </w:drawing>
      </w:r>
    </w:p>
    <w:p w:rsidR="00930C34" w:rsidRDefault="008D328D">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5054600" cy="603504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054600" cy="6035040"/>
                    </a:xfrm>
                    <a:prstGeom prst="rect">
                      <a:avLst/>
                    </a:prstGeom>
                    <a:ln/>
                  </pic:spPr>
                </pic:pic>
              </a:graphicData>
            </a:graphic>
          </wp:inline>
        </w:drawing>
      </w:r>
    </w:p>
    <w:p w:rsidR="00930C34" w:rsidRDefault="008D328D">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5181600" cy="6934200"/>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181600" cy="6934200"/>
                    </a:xfrm>
                    <a:prstGeom prst="rect">
                      <a:avLst/>
                    </a:prstGeom>
                    <a:ln/>
                  </pic:spPr>
                </pic:pic>
              </a:graphicData>
            </a:graphic>
          </wp:inline>
        </w:drawing>
      </w:r>
    </w:p>
    <w:p w:rsidR="00930C34" w:rsidRDefault="008D328D">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5003800" cy="61976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003800" cy="6197600"/>
                    </a:xfrm>
                    <a:prstGeom prst="rect">
                      <a:avLst/>
                    </a:prstGeom>
                    <a:ln/>
                  </pic:spPr>
                </pic:pic>
              </a:graphicData>
            </a:graphic>
          </wp:inline>
        </w:drawing>
      </w: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extent cx="5612130" cy="6769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612130" cy="6769100"/>
                    </a:xfrm>
                    <a:prstGeom prst="rect">
                      <a:avLst/>
                    </a:prstGeom>
                    <a:ln/>
                  </pic:spPr>
                </pic:pic>
              </a:graphicData>
            </a:graphic>
          </wp:inline>
        </w:drawing>
      </w:r>
    </w:p>
    <w:p w:rsidR="00930C34" w:rsidRDefault="008D328D">
      <w:pPr>
        <w:spacing w:after="0" w:line="360" w:lineRule="auto"/>
        <w:jc w:val="center"/>
        <w:rPr>
          <w:rFonts w:ascii="Palatino Linotype" w:eastAsia="Palatino Linotype" w:hAnsi="Palatino Linotype" w:cs="Palatino Linotype"/>
          <w:sz w:val="24"/>
          <w:szCs w:val="24"/>
          <w:highlight w:val="green"/>
        </w:rPr>
      </w:pPr>
      <w:r>
        <w:rPr>
          <w:rFonts w:ascii="Palatino Linotype" w:eastAsia="Palatino Linotype" w:hAnsi="Palatino Linotype" w:cs="Palatino Linotype"/>
          <w:noProof/>
          <w:sz w:val="24"/>
          <w:szCs w:val="24"/>
        </w:rPr>
        <w:lastRenderedPageBreak/>
        <w:drawing>
          <wp:inline distT="0" distB="0" distL="0" distR="0">
            <wp:extent cx="5382216" cy="705255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382216" cy="7052559"/>
                    </a:xfrm>
                    <a:prstGeom prst="rect">
                      <a:avLst/>
                    </a:prstGeom>
                    <a:ln/>
                  </pic:spPr>
                </pic:pic>
              </a:graphicData>
            </a:graphic>
          </wp:inline>
        </w:drawing>
      </w:r>
    </w:p>
    <w:p w:rsidR="00930C34" w:rsidRDefault="008D328D">
      <w:pPr>
        <w:spacing w:after="0" w:line="360" w:lineRule="auto"/>
        <w:jc w:val="both"/>
        <w:rPr>
          <w:rFonts w:ascii="Palatino Linotype" w:eastAsia="Palatino Linotype" w:hAnsi="Palatino Linotype" w:cs="Palatino Linotype"/>
          <w:sz w:val="24"/>
          <w:szCs w:val="24"/>
          <w:highlight w:val="green"/>
        </w:rPr>
      </w:pPr>
      <w:r>
        <w:rPr>
          <w:rFonts w:ascii="Palatino Linotype" w:eastAsia="Palatino Linotype" w:hAnsi="Palatino Linotype" w:cs="Palatino Linotype"/>
          <w:noProof/>
          <w:sz w:val="24"/>
          <w:szCs w:val="24"/>
        </w:rPr>
        <w:lastRenderedPageBreak/>
        <w:drawing>
          <wp:inline distT="0" distB="0" distL="0" distR="0">
            <wp:extent cx="5491078" cy="5599277"/>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491078" cy="5599277"/>
                    </a:xfrm>
                    <a:prstGeom prst="rect">
                      <a:avLst/>
                    </a:prstGeom>
                    <a:ln/>
                  </pic:spPr>
                </pic:pic>
              </a:graphicData>
            </a:graphic>
          </wp:inline>
        </w:drawing>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este documento se desprende que los usuarios de alumbrado público, tendrán que celebrar un contrato con un Suministrador, por otra parte señala que para llevar a cabo los censos de alumbrado público, semáforos y otras cargas directas se requerirá de la interacción entre el usuario y CFE Distribución, y en la descripción </w:t>
      </w:r>
      <w:r>
        <w:rPr>
          <w:rFonts w:ascii="Palatino Linotype" w:eastAsia="Palatino Linotype" w:hAnsi="Palatino Linotype" w:cs="Palatino Linotype"/>
          <w:sz w:val="24"/>
          <w:szCs w:val="24"/>
        </w:rPr>
        <w:lastRenderedPageBreak/>
        <w:t>de su procedimiento, podrán recibir una solicitud por parte de los usuarios para modificación de servicios de alumbrado público y que se llevará cabo la ejecución de los censos de alumbrado público, a través de la coordinación con el representante del sistema de alumbrado público o el particular, para llevar a cabo el levantamiento en campo de manera conjunta con personal de ambas partes,  elaborándose  los censos de alumbrado público, relativos a cada servicio por sector y que se deberá realizar un censo de alumbrado púbico, al menos una vez al año, notificando de manera oficial el nombre y cargo de los representantes de los municipios o delegaciones que participarán en el desarrollo de dicho censo.</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puede concluir que en efecto si bien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genera la información, si debe poseerla y administrarla pues participa en su elaboración como usuario del servicio, pero además dicha información es de acceso público ya que a través de esta se tiene la certeza de que la facturación que se está realizando por concepto de la prestación del servicio de energía eléctrica para la prestación del alumbrado público es la correcta, es decir, es proporcional con las lámparas y sus características y demás equipos que integran el alumbrado público, por lo que se puede concluir que en efecto cuenta con la información solicitada.</w:t>
      </w: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conviene señalar que la información solicitada es pública, porque está respaldada en documentos que posee y administra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en el cumplimiento de sus atribuciones de conformidad a la normatividad anteriormente descrita, en este sentido la Ley de la materia, establece que las dependencias y </w:t>
      </w:r>
      <w:r>
        <w:rPr>
          <w:rFonts w:ascii="Palatino Linotype" w:eastAsia="Palatino Linotype" w:hAnsi="Palatino Linotype" w:cs="Palatino Linotype"/>
          <w:sz w:val="24"/>
          <w:szCs w:val="24"/>
        </w:rPr>
        <w:lastRenderedPageBreak/>
        <w:t>entidades públicas o cualquier autoridad estarán obligadas a entregar documentos que se encuentren en sus archivos; que la obligación de acceso a la información se dará por cumplida cuando se pongan a disposición del solicitante los documentos respectivos.</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este contexto, para este pleno,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tiene la facultad de poseer la información solicitada por el hoy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por lo que en este sentido se trata de información pública que debe obrar en los archivos del citado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y al ser información pública es que se debió entregar al hoy </w:t>
      </w:r>
      <w:r>
        <w:rPr>
          <w:rFonts w:ascii="Palatino Linotype" w:eastAsia="Palatino Linotype" w:hAnsi="Palatino Linotype" w:cs="Palatino Linotype"/>
          <w:b/>
          <w:sz w:val="24"/>
          <w:szCs w:val="24"/>
        </w:rPr>
        <w:t>RECURRENT</w:t>
      </w:r>
      <w:r>
        <w:rPr>
          <w:rFonts w:ascii="Palatino Linotype" w:eastAsia="Palatino Linotype" w:hAnsi="Palatino Linotype" w:cs="Palatino Linotype"/>
          <w:sz w:val="24"/>
          <w:szCs w:val="24"/>
        </w:rPr>
        <w:t xml:space="preserve">E, ya que como ha quedado asentado los </w:t>
      </w:r>
      <w:r>
        <w:rPr>
          <w:rFonts w:ascii="Palatino Linotype" w:eastAsia="Palatino Linotype" w:hAnsi="Palatino Linotype" w:cs="Palatino Linotype"/>
          <w:b/>
          <w:sz w:val="24"/>
          <w:szCs w:val="24"/>
        </w:rPr>
        <w:t>SUJETOS OBLIGADOS</w:t>
      </w:r>
      <w:r>
        <w:rPr>
          <w:rFonts w:ascii="Palatino Linotype" w:eastAsia="Palatino Linotype" w:hAnsi="Palatino Linotype" w:cs="Palatino Linotype"/>
          <w:sz w:val="24"/>
          <w:szCs w:val="24"/>
        </w:rPr>
        <w:t xml:space="preserve">, deben proporcionar la información que generen en el ejercicio de sus atribuciones; a la vez que están obligados a proporcionar la información que obre en sus archivos. </w:t>
      </w:r>
    </w:p>
    <w:p w:rsidR="00930C34" w:rsidRDefault="00930C34">
      <w:pPr>
        <w:spacing w:after="0" w:line="360" w:lineRule="auto"/>
        <w:jc w:val="both"/>
        <w:rPr>
          <w:rFonts w:ascii="Palatino Linotype" w:eastAsia="Palatino Linotype" w:hAnsi="Palatino Linotype" w:cs="Palatino Linotype"/>
          <w:sz w:val="24"/>
          <w:szCs w:val="24"/>
        </w:rPr>
      </w:pPr>
    </w:p>
    <w:p w:rsidR="00930C34" w:rsidRDefault="008D328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mérito de lo anterior, es que se determina que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deberá dar cumplimiento a su obligación en materia de derecho de acceso a la información dando acceso al censo más reciente que obren en sus archivos, en la forma en la que fueron generados, finalmente no pasa desapercibido que dichos censos pudieron haber sido generados en administraciones pasadas, por lo anterior deberá realizar una búsqueda y localización de la información en el área competente, para generar, poseer y administrar la información, por lo que de conformidad con lo ya señalado corresponde al Sujeto Obligado la prestación del servicio público de alumbrado.</w:t>
      </w:r>
    </w:p>
    <w:p w:rsidR="00930C34" w:rsidRDefault="00930C34">
      <w:pPr>
        <w:spacing w:line="360" w:lineRule="auto"/>
        <w:jc w:val="both"/>
        <w:rPr>
          <w:rFonts w:ascii="Palatino Linotype" w:eastAsia="Palatino Linotype" w:hAnsi="Palatino Linotype" w:cs="Palatino Linotype"/>
          <w:sz w:val="24"/>
          <w:szCs w:val="24"/>
        </w:rPr>
      </w:pPr>
    </w:p>
    <w:p w:rsidR="00DE01BE" w:rsidRDefault="00DE01BE">
      <w:pPr>
        <w:spacing w:line="360" w:lineRule="auto"/>
        <w:jc w:val="both"/>
        <w:rPr>
          <w:rFonts w:ascii="Palatino Linotype" w:eastAsia="Palatino Linotype" w:hAnsi="Palatino Linotype" w:cs="Palatino Linotype"/>
          <w:sz w:val="24"/>
          <w:szCs w:val="24"/>
        </w:rPr>
      </w:pPr>
    </w:p>
    <w:p w:rsidR="00930C34" w:rsidRDefault="008D328D">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 xml:space="preserve">QUINTO. Versión Pública. </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Debe señalarse que de ser el caso en que los documentos que vayan a ser entregados para dar cumplimiento a la presente resolución, contengan datos que deban ser clasificados,</w:t>
      </w:r>
      <w:r>
        <w:rPr>
          <w:rFonts w:ascii="Palatino Linotype" w:eastAsia="Palatino Linotype" w:hAnsi="Palatino Linotype" w:cs="Palatino Linotype"/>
          <w:b/>
          <w:color w:val="000000"/>
          <w:sz w:val="24"/>
          <w:szCs w:val="24"/>
        </w:rPr>
        <w:t xml:space="preserve"> EL SUJETO OBLIGADO</w:t>
      </w:r>
      <w:r>
        <w:rPr>
          <w:rFonts w:ascii="Palatino Linotype" w:eastAsia="Palatino Linotype" w:hAnsi="Palatino Linotype" w:cs="Palatino Linotype"/>
          <w:color w:val="000000"/>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Para los efectos de la presente Ley se entenderá por:</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IX. Datos personales: La información concerniente a una persona, identificada o identificable según lo dispuesto por la Ley de Protección de Datos Personales del Estado de México; </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XX. Información clasificada: Aquella considerada por la presente Ley como reservada o confidencial;</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XLV. Versión pública: Documento en el que se elimine, suprime o borra la información clasificada como reservada o confidencial para permitir su acceso.</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lastRenderedPageBreak/>
        <w:t>Artículo 91.</w:t>
      </w:r>
      <w:r>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132.</w:t>
      </w:r>
      <w:r>
        <w:rPr>
          <w:rFonts w:ascii="Palatino Linotype" w:eastAsia="Palatino Linotype" w:hAnsi="Palatino Linotype" w:cs="Palatino Linotype"/>
          <w:i/>
          <w:color w:val="000000"/>
        </w:rPr>
        <w:t xml:space="preserve"> La clasificación de la información se llevará a cabo en el momento en que:</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 Se reciba una solicitud de acceso a la información;</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 Se determine mediante resolución de autoridad competente; o</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III. Se generen versiones públicas para dar cumplimiento a las obligaciones de transparencia previstas en esta Ley.</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Para los efectos de esta Ley se considera información confidencial, la clasificada como tal, de manera permanente, por su naturaleza, cuando:</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 Se refiera a la información privada y los datos personales concernientes a una persona física o jurídico colectiva identificada o identificable;</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 Los secretos bancario, fiduciario, industrial, comercial, fiscal, bursátil y postal, cuya titularidad corresponda a particulares, sujetos de derecho internacional o a sujetos obligados cuando no involucren el ejercicio de recursos públicos; y</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III. La que presenten los particulares a los sujetos obligados, de conformidad con lo dispuesto por las leyes o los tratados internacionales.</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La información confidencial no estará sujeta a temporalidad alguna y sólo podrán tener acceso a ella los titulares de la misma, sus representantes y los servidores públicos facultados para ello.</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No se considerará confidencial la información que se encuentre en los registros públicos o en fuentes de acceso público, ni tampoco la que sea considerada por la presente ley como información pública.”</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Pr>
          <w:rFonts w:ascii="Palatino Linotype" w:eastAsia="Palatino Linotype" w:hAnsi="Palatino Linotype" w:cs="Palatino Linotype"/>
          <w:color w:val="000000"/>
          <w:sz w:val="24"/>
          <w:szCs w:val="24"/>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Entorno a lo que aquí nos interesa, los Lineamientos Quincuagésimo sexto, Quincuagésimo séptimo y Quincuagésimo octavo, establecen lo siguiente:</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Quincuagésimo séptimo. Se considera, en principio, como información pública y no podrá omitirse de las versiones públicas la siguiente: </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 La relativa a las Obligaciones de Transparencia que contempla el Título V de la Ley General y las demás disposiciones legales aplicables; </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 El nombre de los servidores públicos en los documentos, y sus firmas autógrafas, cuando sean utilizados en el ejercicio de las facultades conferidas para el desempeño del servicio público, y </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III. La información que documente decisiones y los actos de autoridad concluidos de los sujetos obligados, así como el ejercicio de las facultades o actividades de los servidores públicos, de manera que se pueda valorar el desempeño de los mismos.</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Lo anterior, siempre y cuando no se acredite alguna causal de clasificación, prevista en las leyes o en los tratados internaciones suscritos por el Estado mexicano. </w:t>
      </w:r>
    </w:p>
    <w:p w:rsidR="00930C34" w:rsidRDefault="008D328D">
      <w:pPr>
        <w:spacing w:before="120" w:after="120" w:line="240" w:lineRule="auto"/>
        <w:ind w:left="851" w:right="902"/>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Quincuagésimo octavo. Los sujetos obligados garantizarán que los sistemas o medios empleados para eliminar la información en las versiones públicas no permitan la recuperación o visualización de la misma.”</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Por lo tanto, la entrega de documentos en su versión pública debe acompañarse necesariamente del Acuerdo del Comité de Transparencia que la sustente el cual </w:t>
      </w:r>
      <w:r>
        <w:rPr>
          <w:rFonts w:ascii="Palatino Linotype" w:eastAsia="Palatino Linotype" w:hAnsi="Palatino Linotype" w:cs="Palatino Linotype"/>
          <w:color w:val="000000"/>
          <w:sz w:val="24"/>
          <w:szCs w:val="24"/>
        </w:rPr>
        <w:lastRenderedPageBreak/>
        <w:t>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En relación directa con ello, los Lineamientos en estudio establecen los formatos para la clasificación parcial y total de los documentos, que atienden a lo siguiente:</w:t>
      </w:r>
    </w:p>
    <w:p w:rsidR="00930C34" w:rsidRDefault="00930C34">
      <w:pPr>
        <w:spacing w:after="0" w:line="240" w:lineRule="auto"/>
        <w:rPr>
          <w:rFonts w:ascii="Times New Roman" w:eastAsia="Times New Roman" w:hAnsi="Times New Roman" w:cs="Times New Roman"/>
          <w:sz w:val="24"/>
          <w:szCs w:val="24"/>
        </w:rPr>
      </w:pPr>
    </w:p>
    <w:tbl>
      <w:tblPr>
        <w:tblStyle w:val="a3"/>
        <w:tblW w:w="8828" w:type="dxa"/>
        <w:tblInd w:w="0" w:type="dxa"/>
        <w:tblLayout w:type="fixed"/>
        <w:tblLook w:val="0400" w:firstRow="0" w:lastRow="0" w:firstColumn="0" w:lastColumn="0" w:noHBand="0" w:noVBand="1"/>
      </w:tblPr>
      <w:tblGrid>
        <w:gridCol w:w="1282"/>
        <w:gridCol w:w="3392"/>
        <w:gridCol w:w="1366"/>
        <w:gridCol w:w="2788"/>
      </w:tblGrid>
      <w:tr w:rsidR="00930C34">
        <w:tc>
          <w:tcPr>
            <w:tcW w:w="4674" w:type="dxa"/>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Parcial</w:t>
            </w:r>
          </w:p>
        </w:tc>
        <w:tc>
          <w:tcPr>
            <w:tcW w:w="4154" w:type="dxa"/>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Total</w:t>
            </w:r>
          </w:p>
        </w:tc>
      </w:tr>
      <w:tr w:rsidR="00930C34">
        <w:tc>
          <w:tcPr>
            <w:tcW w:w="1282"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Concepto</w:t>
            </w:r>
          </w:p>
        </w:tc>
        <w:tc>
          <w:tcPr>
            <w:tcW w:w="3392"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Dónde</w:t>
            </w:r>
          </w:p>
        </w:tc>
        <w:tc>
          <w:tcPr>
            <w:tcW w:w="1366"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Concepto</w:t>
            </w:r>
          </w:p>
        </w:tc>
        <w:tc>
          <w:tcPr>
            <w:tcW w:w="2788" w:type="dxa"/>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Dónde</w:t>
            </w:r>
          </w:p>
        </w:tc>
      </w:tr>
      <w:tr w:rsidR="00930C34">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center"/>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Sello oficial o logotipo del sujeto obligado</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clasificación</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clasificación</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Área</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área del cual es titular quien 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Área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área de la cual es el titular quien clasifica.</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Información reservada</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Reservado</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Leyenda de información RESERVADA.</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Periodo de reserva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Ampliación del periodo de reserva</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Confidencial</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Ampliación del periodo de reserva</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Confidencial</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Leyenda de información CONFIDENCIAL.</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del titular del área</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Fundamento legal</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lastRenderedPageBreak/>
              <w:t>Fecha de desclasificación</w:t>
            </w: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que se desclasifica el documento.</w:t>
            </w: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del titular del área</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clasifica.</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y cargo del servidor público</w:t>
            </w: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desclasifica.</w:t>
            </w: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Fecha de desclasificación</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Se anotará la fecha en que se desclasifica.</w:t>
            </w:r>
          </w:p>
        </w:tc>
      </w:tr>
      <w:tr w:rsidR="00930C34">
        <w:tc>
          <w:tcPr>
            <w:tcW w:w="128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930C34">
            <w:pPr>
              <w:spacing w:after="0" w:line="240" w:lineRule="auto"/>
              <w:rPr>
                <w:rFonts w:ascii="Times New Roman" w:eastAsia="Times New Roman" w:hAnsi="Times New Roman" w:cs="Times New Roman"/>
                <w:sz w:val="24"/>
                <w:szCs w:val="24"/>
              </w:rPr>
            </w:pPr>
          </w:p>
        </w:tc>
        <w:tc>
          <w:tcPr>
            <w:tcW w:w="3392"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930C34">
            <w:pPr>
              <w:spacing w:after="0" w:line="240" w:lineRule="auto"/>
              <w:rPr>
                <w:rFonts w:ascii="Times New Roman" w:eastAsia="Times New Roman" w:hAnsi="Times New Roman" w:cs="Times New Roman"/>
                <w:sz w:val="24"/>
                <w:szCs w:val="24"/>
              </w:rPr>
            </w:pPr>
          </w:p>
        </w:tc>
        <w:tc>
          <w:tcPr>
            <w:tcW w:w="1366"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Partes o secciones reservadas o confidenciales</w:t>
            </w:r>
          </w:p>
        </w:tc>
        <w:tc>
          <w:tcPr>
            <w:tcW w:w="278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En caso que una vez desclasificado el expediente, subsistanpartes o secciones del mismo reservadas o confidenciales, se señalará este hecho.</w:t>
            </w:r>
          </w:p>
        </w:tc>
      </w:tr>
      <w:tr w:rsidR="00930C34">
        <w:tc>
          <w:tcPr>
            <w:tcW w:w="12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930C34">
            <w:pPr>
              <w:spacing w:after="0" w:line="240" w:lineRule="auto"/>
              <w:rPr>
                <w:rFonts w:ascii="Times New Roman" w:eastAsia="Times New Roman" w:hAnsi="Times New Roman" w:cs="Times New Roman"/>
                <w:sz w:val="24"/>
                <w:szCs w:val="24"/>
              </w:rPr>
            </w:pPr>
          </w:p>
        </w:tc>
        <w:tc>
          <w:tcPr>
            <w:tcW w:w="3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930C34">
            <w:pPr>
              <w:spacing w:after="0" w:line="240" w:lineRule="auto"/>
              <w:rPr>
                <w:rFonts w:ascii="Times New Roman" w:eastAsia="Times New Roman" w:hAnsi="Times New Roman" w:cs="Times New Roman"/>
                <w:sz w:val="24"/>
                <w:szCs w:val="24"/>
              </w:rPr>
            </w:pPr>
          </w:p>
        </w:tc>
        <w:tc>
          <w:tcPr>
            <w:tcW w:w="13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b/>
                <w:color w:val="000000"/>
                <w:sz w:val="12"/>
                <w:szCs w:val="12"/>
              </w:rPr>
              <w:t>Rúbrica y cargo del servidor público</w:t>
            </w:r>
          </w:p>
        </w:tc>
        <w:tc>
          <w:tcPr>
            <w:tcW w:w="27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0C34" w:rsidRDefault="008D328D">
            <w:pPr>
              <w:spacing w:after="0" w:line="24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12"/>
                <w:szCs w:val="12"/>
              </w:rPr>
              <w:t>Rúbrica autógrafa de quien desclasifica.</w:t>
            </w:r>
          </w:p>
        </w:tc>
      </w:tr>
    </w:tbl>
    <w:p w:rsidR="00930C34" w:rsidRDefault="008D328D">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930C34" w:rsidRDefault="008D328D">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 S U E L V E:</w:t>
      </w:r>
    </w:p>
    <w:p w:rsidR="00930C34" w:rsidRDefault="00930C34">
      <w:pPr>
        <w:spacing w:after="0" w:line="360" w:lineRule="auto"/>
        <w:ind w:left="-142" w:right="49"/>
        <w:jc w:val="both"/>
        <w:rPr>
          <w:rFonts w:ascii="Palatino Linotype" w:eastAsia="Palatino Linotype" w:hAnsi="Palatino Linotype" w:cs="Palatino Linotype"/>
          <w:sz w:val="24"/>
          <w:szCs w:val="24"/>
        </w:rPr>
      </w:pPr>
    </w:p>
    <w:p w:rsidR="00930C34" w:rsidRDefault="008D328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06394/INFOEM/IP/RR/2021</w:t>
      </w:r>
      <w:r>
        <w:rPr>
          <w:rFonts w:ascii="Palatino Linotype" w:eastAsia="Palatino Linotype" w:hAnsi="Palatino Linotype" w:cs="Palatino Linotype"/>
          <w:sz w:val="24"/>
          <w:szCs w:val="24"/>
        </w:rPr>
        <w:t>, en términos del considerando cuarto.</w:t>
      </w:r>
    </w:p>
    <w:p w:rsidR="00930C34" w:rsidRDefault="00930C34">
      <w:pPr>
        <w:spacing w:after="0" w:line="360" w:lineRule="auto"/>
        <w:ind w:right="49"/>
        <w:jc w:val="both"/>
        <w:rPr>
          <w:rFonts w:ascii="Palatino Linotype" w:eastAsia="Palatino Linotype" w:hAnsi="Palatino Linotype" w:cs="Palatino Linotype"/>
          <w:b/>
          <w:sz w:val="24"/>
          <w:szCs w:val="24"/>
        </w:rPr>
      </w:pPr>
    </w:p>
    <w:p w:rsidR="00930C34" w:rsidRDefault="008D328D">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MODIFICA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que en términos del Considerando Cuarto y Quinto de esta resolución haga entrega, vía SAIMEX en versión pública de ser procedente, previa búsqueda exhaustiva y razonable del documento o documentos en donde conste lo siguiente: </w:t>
      </w:r>
    </w:p>
    <w:p w:rsidR="00930C34" w:rsidRDefault="008D328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L</w:t>
      </w:r>
      <w:r>
        <w:rPr>
          <w:rFonts w:ascii="Palatino Linotype" w:eastAsia="Palatino Linotype" w:hAnsi="Palatino Linotype" w:cs="Palatino Linotype"/>
          <w:color w:val="000000"/>
          <w:sz w:val="24"/>
          <w:szCs w:val="24"/>
        </w:rPr>
        <w:t xml:space="preserve">os Censos de luminarios de alumbrado público realizado y firmado por la Comisión Federal de Electricidad (CFE), correspondiente a los años 2018, 2019, 2020 y 2021. </w:t>
      </w:r>
    </w:p>
    <w:p w:rsidR="00930C34" w:rsidRDefault="008D328D">
      <w:pPr>
        <w:pBdr>
          <w:top w:val="nil"/>
          <w:left w:val="nil"/>
          <w:bottom w:val="nil"/>
          <w:right w:val="nil"/>
          <w:between w:val="nil"/>
        </w:pBdr>
        <w:spacing w:line="360" w:lineRule="auto"/>
        <w:ind w:left="720"/>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highlight w:val="white"/>
        </w:rPr>
        <w:lastRenderedPageBreak/>
        <w:t xml:space="preserve">Así mismo,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sz w:val="24"/>
          <w:szCs w:val="24"/>
          <w:highlight w:val="white"/>
        </w:rPr>
        <w:t>RECURRENTE</w:t>
      </w:r>
      <w:r>
        <w:rPr>
          <w:rFonts w:ascii="Palatino Linotype" w:eastAsia="Palatino Linotype" w:hAnsi="Palatino Linotype" w:cs="Palatino Linotype"/>
          <w:sz w:val="24"/>
          <w:szCs w:val="24"/>
          <w:highlight w:val="white"/>
        </w:rPr>
        <w:t>.</w:t>
      </w:r>
    </w:p>
    <w:p w:rsidR="00930C34" w:rsidRDefault="00930C34">
      <w:pPr>
        <w:spacing w:after="0" w:line="360" w:lineRule="auto"/>
        <w:ind w:right="49"/>
        <w:jc w:val="both"/>
        <w:rPr>
          <w:rFonts w:ascii="Palatino Linotype" w:eastAsia="Palatino Linotype" w:hAnsi="Palatino Linotype" w:cs="Palatino Linotype"/>
          <w:sz w:val="24"/>
          <w:szCs w:val="24"/>
        </w:rPr>
      </w:pPr>
    </w:p>
    <w:p w:rsidR="00930C34" w:rsidRDefault="008D328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30C34" w:rsidRDefault="00930C34">
      <w:pPr>
        <w:spacing w:after="0" w:line="360" w:lineRule="auto"/>
        <w:ind w:right="49"/>
        <w:jc w:val="both"/>
        <w:rPr>
          <w:rFonts w:ascii="Palatino Linotype" w:eastAsia="Palatino Linotype" w:hAnsi="Palatino Linotype" w:cs="Palatino Linotype"/>
          <w:sz w:val="24"/>
          <w:szCs w:val="24"/>
        </w:rPr>
      </w:pPr>
    </w:p>
    <w:p w:rsidR="00930C34" w:rsidRDefault="008D328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30C34" w:rsidRDefault="00930C34">
      <w:pPr>
        <w:spacing w:after="0" w:line="360" w:lineRule="auto"/>
        <w:ind w:right="49"/>
        <w:jc w:val="both"/>
        <w:rPr>
          <w:rFonts w:ascii="Palatino Linotype" w:eastAsia="Palatino Linotype" w:hAnsi="Palatino Linotype" w:cs="Palatino Linotype"/>
          <w:sz w:val="24"/>
          <w:szCs w:val="24"/>
        </w:rPr>
      </w:pPr>
    </w:p>
    <w:p w:rsidR="00930C34" w:rsidRDefault="008D328D">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w:t>
      </w:r>
      <w:r>
        <w:rPr>
          <w:rFonts w:ascii="Palatino Linotype" w:eastAsia="Palatino Linotype" w:hAnsi="Palatino Linotype" w:cs="Palatino Linotype"/>
          <w:sz w:val="24"/>
          <w:szCs w:val="24"/>
        </w:rPr>
        <w:lastRenderedPageBreak/>
        <w:t>Municipios, podrá impugnarla vía Juicio de Amparo en los términos de las leyes aplicables.</w:t>
      </w:r>
    </w:p>
    <w:p w:rsidR="00930C34" w:rsidRDefault="00930C34">
      <w:pPr>
        <w:spacing w:after="120" w:line="360" w:lineRule="auto"/>
        <w:ind w:right="49"/>
        <w:jc w:val="both"/>
        <w:rPr>
          <w:rFonts w:ascii="Palatino Linotype" w:eastAsia="Palatino Linotype" w:hAnsi="Palatino Linotype" w:cs="Palatino Linotype"/>
          <w:b/>
          <w:sz w:val="24"/>
          <w:szCs w:val="24"/>
        </w:rPr>
      </w:pPr>
    </w:p>
    <w:p w:rsidR="00930C34" w:rsidRDefault="008D328D">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VEINTIDÓS, ANTE EL SECRETARIO TÉCNICO DEL PLENO ALEXIS TAPIA RAMÍREZ.</w:t>
      </w:r>
    </w:p>
    <w:p w:rsidR="00930C34" w:rsidRDefault="00930C34">
      <w:pPr>
        <w:spacing w:line="360" w:lineRule="auto"/>
        <w:jc w:val="both"/>
        <w:rPr>
          <w:rFonts w:ascii="Palatino Linotype" w:eastAsia="Palatino Linotype" w:hAnsi="Palatino Linotype" w:cs="Palatino Linotype"/>
          <w:b/>
          <w:sz w:val="28"/>
          <w:szCs w:val="28"/>
        </w:rPr>
      </w:pPr>
    </w:p>
    <w:p w:rsidR="00930C34" w:rsidRDefault="00930C34">
      <w:pPr>
        <w:spacing w:line="360" w:lineRule="auto"/>
        <w:jc w:val="both"/>
        <w:rPr>
          <w:rFonts w:ascii="Palatino Linotype" w:eastAsia="Palatino Linotype" w:hAnsi="Palatino Linotype" w:cs="Palatino Linotype"/>
          <w:b/>
          <w:sz w:val="28"/>
          <w:szCs w:val="28"/>
        </w:rPr>
      </w:pPr>
    </w:p>
    <w:p w:rsidR="00DE01BE" w:rsidRDefault="00DE01BE">
      <w:pPr>
        <w:spacing w:line="360" w:lineRule="auto"/>
        <w:jc w:val="both"/>
        <w:rPr>
          <w:rFonts w:ascii="Palatino Linotype" w:eastAsia="Palatino Linotype" w:hAnsi="Palatino Linotype" w:cs="Palatino Linotype"/>
          <w:b/>
          <w:sz w:val="28"/>
          <w:szCs w:val="28"/>
        </w:rPr>
      </w:pPr>
    </w:p>
    <w:p w:rsidR="00DE01BE" w:rsidRDefault="00DE01BE">
      <w:pPr>
        <w:spacing w:line="360" w:lineRule="auto"/>
        <w:jc w:val="both"/>
        <w:rPr>
          <w:rFonts w:ascii="Palatino Linotype" w:eastAsia="Palatino Linotype" w:hAnsi="Palatino Linotype" w:cs="Palatino Linotype"/>
          <w:b/>
          <w:sz w:val="28"/>
          <w:szCs w:val="28"/>
        </w:rPr>
      </w:pPr>
    </w:p>
    <w:p w:rsidR="00DE01BE" w:rsidRDefault="00DE01BE">
      <w:pPr>
        <w:spacing w:line="360" w:lineRule="auto"/>
        <w:jc w:val="both"/>
        <w:rPr>
          <w:rFonts w:ascii="Palatino Linotype" w:eastAsia="Palatino Linotype" w:hAnsi="Palatino Linotype" w:cs="Palatino Linotype"/>
          <w:b/>
          <w:sz w:val="28"/>
          <w:szCs w:val="28"/>
        </w:rPr>
      </w:pPr>
    </w:p>
    <w:p w:rsidR="00DE01BE" w:rsidRDefault="00DE01BE">
      <w:pPr>
        <w:spacing w:line="360" w:lineRule="auto"/>
        <w:jc w:val="both"/>
        <w:rPr>
          <w:rFonts w:ascii="Palatino Linotype" w:eastAsia="Palatino Linotype" w:hAnsi="Palatino Linotype" w:cs="Palatino Linotype"/>
          <w:b/>
          <w:sz w:val="28"/>
          <w:szCs w:val="28"/>
        </w:rPr>
      </w:pPr>
    </w:p>
    <w:p w:rsidR="00DE01BE" w:rsidRDefault="00DE01BE">
      <w:pPr>
        <w:spacing w:line="360" w:lineRule="auto"/>
        <w:jc w:val="both"/>
        <w:rPr>
          <w:rFonts w:ascii="Palatino Linotype" w:eastAsia="Palatino Linotype" w:hAnsi="Palatino Linotype" w:cs="Palatino Linotype"/>
          <w:b/>
          <w:sz w:val="28"/>
          <w:szCs w:val="28"/>
        </w:rPr>
      </w:pPr>
    </w:p>
    <w:p w:rsidR="00930C34" w:rsidRDefault="00930C34">
      <w:pPr>
        <w:spacing w:line="360" w:lineRule="auto"/>
        <w:ind w:right="49"/>
        <w:jc w:val="both"/>
        <w:rPr>
          <w:rFonts w:ascii="Palatino Linotype" w:eastAsia="Palatino Linotype" w:hAnsi="Palatino Linotype" w:cs="Palatino Linotype"/>
          <w:sz w:val="24"/>
          <w:szCs w:val="24"/>
        </w:rPr>
      </w:pPr>
      <w:bookmarkStart w:id="1" w:name="_heading=h.gjdgxs" w:colFirst="0" w:colLast="0"/>
      <w:bookmarkEnd w:id="1"/>
    </w:p>
    <w:sectPr w:rsidR="00930C34">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4C5" w:rsidRDefault="008764C5">
      <w:pPr>
        <w:spacing w:after="0" w:line="240" w:lineRule="auto"/>
      </w:pPr>
      <w:r>
        <w:separator/>
      </w:r>
    </w:p>
  </w:endnote>
  <w:endnote w:type="continuationSeparator" w:id="0">
    <w:p w:rsidR="008764C5" w:rsidRDefault="0087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7A4" w:rsidRDefault="00CC465C" w:rsidP="008937A4">
    <w:pPr>
      <w:pStyle w:val="Piedepgina"/>
      <w:jc w:val="right"/>
    </w:pPr>
    <w:sdt>
      <w:sdtPr>
        <w:id w:val="-95483169"/>
        <w:docPartObj>
          <w:docPartGallery w:val="Page Numbers (Top of Page)"/>
          <w:docPartUnique/>
        </w:docPartObj>
      </w:sdtPr>
      <w:sdtEndPr/>
      <w:sdtContent>
        <w:r w:rsidR="008937A4">
          <w:rPr>
            <w:lang w:val="es-ES"/>
          </w:rPr>
          <w:t xml:space="preserve">Página </w:t>
        </w:r>
        <w:r w:rsidR="008937A4">
          <w:rPr>
            <w:b/>
            <w:bCs/>
            <w:sz w:val="24"/>
            <w:szCs w:val="24"/>
          </w:rPr>
          <w:fldChar w:fldCharType="begin"/>
        </w:r>
        <w:r w:rsidR="008937A4">
          <w:rPr>
            <w:b/>
            <w:bCs/>
          </w:rPr>
          <w:instrText>PAGE</w:instrText>
        </w:r>
        <w:r w:rsidR="008937A4">
          <w:rPr>
            <w:b/>
            <w:bCs/>
            <w:sz w:val="24"/>
            <w:szCs w:val="24"/>
          </w:rPr>
          <w:fldChar w:fldCharType="separate"/>
        </w:r>
        <w:r>
          <w:rPr>
            <w:b/>
            <w:bCs/>
            <w:noProof/>
          </w:rPr>
          <w:t>6</w:t>
        </w:r>
        <w:r w:rsidR="008937A4">
          <w:rPr>
            <w:b/>
            <w:bCs/>
            <w:sz w:val="24"/>
            <w:szCs w:val="24"/>
          </w:rPr>
          <w:fldChar w:fldCharType="end"/>
        </w:r>
        <w:r w:rsidR="008937A4">
          <w:rPr>
            <w:lang w:val="es-ES"/>
          </w:rPr>
          <w:t xml:space="preserve"> de </w:t>
        </w:r>
        <w:r w:rsidR="008937A4">
          <w:rPr>
            <w:b/>
            <w:bCs/>
            <w:sz w:val="24"/>
            <w:szCs w:val="24"/>
          </w:rPr>
          <w:fldChar w:fldCharType="begin"/>
        </w:r>
        <w:r w:rsidR="008937A4">
          <w:rPr>
            <w:b/>
            <w:bCs/>
          </w:rPr>
          <w:instrText>NUMPAGES</w:instrText>
        </w:r>
        <w:r w:rsidR="008937A4">
          <w:rPr>
            <w:b/>
            <w:bCs/>
            <w:sz w:val="24"/>
            <w:szCs w:val="24"/>
          </w:rPr>
          <w:fldChar w:fldCharType="separate"/>
        </w:r>
        <w:r>
          <w:rPr>
            <w:b/>
            <w:bCs/>
            <w:noProof/>
          </w:rPr>
          <w:t>55</w:t>
        </w:r>
        <w:r w:rsidR="008937A4">
          <w:rPr>
            <w:b/>
            <w:bCs/>
            <w:sz w:val="24"/>
            <w:szCs w:val="24"/>
          </w:rPr>
          <w:fldChar w:fldCharType="end"/>
        </w:r>
      </w:sdtContent>
    </w:sdt>
  </w:p>
  <w:p w:rsidR="008937A4" w:rsidRDefault="008937A4" w:rsidP="008937A4">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7A4" w:rsidRDefault="00CC465C" w:rsidP="008937A4">
    <w:pPr>
      <w:pStyle w:val="Piedepgina"/>
      <w:jc w:val="right"/>
    </w:pPr>
    <w:sdt>
      <w:sdtPr>
        <w:id w:val="1819303530"/>
        <w:docPartObj>
          <w:docPartGallery w:val="Page Numbers (Top of Page)"/>
          <w:docPartUnique/>
        </w:docPartObj>
      </w:sdtPr>
      <w:sdtEndPr/>
      <w:sdtContent>
        <w:r w:rsidR="008937A4">
          <w:rPr>
            <w:lang w:val="es-ES"/>
          </w:rPr>
          <w:t xml:space="preserve">Página </w:t>
        </w:r>
        <w:r w:rsidR="008937A4">
          <w:rPr>
            <w:b/>
            <w:bCs/>
            <w:sz w:val="24"/>
            <w:szCs w:val="24"/>
          </w:rPr>
          <w:fldChar w:fldCharType="begin"/>
        </w:r>
        <w:r w:rsidR="008937A4">
          <w:rPr>
            <w:b/>
            <w:bCs/>
          </w:rPr>
          <w:instrText>PAGE</w:instrText>
        </w:r>
        <w:r w:rsidR="008937A4">
          <w:rPr>
            <w:b/>
            <w:bCs/>
            <w:sz w:val="24"/>
            <w:szCs w:val="24"/>
          </w:rPr>
          <w:fldChar w:fldCharType="separate"/>
        </w:r>
        <w:r>
          <w:rPr>
            <w:b/>
            <w:bCs/>
            <w:noProof/>
          </w:rPr>
          <w:t>1</w:t>
        </w:r>
        <w:r w:rsidR="008937A4">
          <w:rPr>
            <w:b/>
            <w:bCs/>
            <w:sz w:val="24"/>
            <w:szCs w:val="24"/>
          </w:rPr>
          <w:fldChar w:fldCharType="end"/>
        </w:r>
        <w:r w:rsidR="008937A4">
          <w:rPr>
            <w:lang w:val="es-ES"/>
          </w:rPr>
          <w:t xml:space="preserve"> de </w:t>
        </w:r>
        <w:r w:rsidR="008937A4">
          <w:rPr>
            <w:b/>
            <w:bCs/>
            <w:sz w:val="24"/>
            <w:szCs w:val="24"/>
          </w:rPr>
          <w:fldChar w:fldCharType="begin"/>
        </w:r>
        <w:r w:rsidR="008937A4">
          <w:rPr>
            <w:b/>
            <w:bCs/>
          </w:rPr>
          <w:instrText>NUMPAGES</w:instrText>
        </w:r>
        <w:r w:rsidR="008937A4">
          <w:rPr>
            <w:b/>
            <w:bCs/>
            <w:sz w:val="24"/>
            <w:szCs w:val="24"/>
          </w:rPr>
          <w:fldChar w:fldCharType="separate"/>
        </w:r>
        <w:r>
          <w:rPr>
            <w:b/>
            <w:bCs/>
            <w:noProof/>
          </w:rPr>
          <w:t>55</w:t>
        </w:r>
        <w:r w:rsidR="008937A4">
          <w:rPr>
            <w:b/>
            <w:bCs/>
            <w:sz w:val="24"/>
            <w:szCs w:val="24"/>
          </w:rPr>
          <w:fldChar w:fldCharType="end"/>
        </w:r>
      </w:sdtContent>
    </w:sdt>
  </w:p>
  <w:p w:rsidR="008937A4" w:rsidRDefault="008937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4C5" w:rsidRDefault="008764C5">
      <w:pPr>
        <w:spacing w:after="0" w:line="240" w:lineRule="auto"/>
      </w:pPr>
      <w:r>
        <w:separator/>
      </w:r>
    </w:p>
  </w:footnote>
  <w:footnote w:type="continuationSeparator" w:id="0">
    <w:p w:rsidR="008764C5" w:rsidRDefault="008764C5">
      <w:pPr>
        <w:spacing w:after="0" w:line="240" w:lineRule="auto"/>
      </w:pPr>
      <w:r>
        <w:continuationSeparator/>
      </w:r>
    </w:p>
  </w:footnote>
  <w:footnote w:id="1">
    <w:p w:rsidR="00930C34" w:rsidRDefault="008D328D">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930C34" w:rsidRDefault="008D328D">
      <w:pPr>
        <w:spacing w:after="0" w:line="240" w:lineRule="auto"/>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34" w:rsidRDefault="00930C34">
    <w:pPr>
      <w:widowControl w:val="0"/>
      <w:pBdr>
        <w:top w:val="nil"/>
        <w:left w:val="nil"/>
        <w:bottom w:val="nil"/>
        <w:right w:val="nil"/>
        <w:between w:val="nil"/>
      </w:pBdr>
      <w:spacing w:after="0" w:line="276" w:lineRule="auto"/>
      <w:rPr>
        <w:color w:val="000000"/>
      </w:rPr>
    </w:pPr>
  </w:p>
  <w:tbl>
    <w:tblPr>
      <w:tblStyle w:val="a5"/>
      <w:tblW w:w="10346" w:type="dxa"/>
      <w:tblInd w:w="-1281" w:type="dxa"/>
      <w:tblLayout w:type="fixed"/>
      <w:tblLook w:val="0400" w:firstRow="0" w:lastRow="0" w:firstColumn="0" w:lastColumn="0" w:noHBand="0" w:noVBand="1"/>
    </w:tblPr>
    <w:tblGrid>
      <w:gridCol w:w="5684"/>
      <w:gridCol w:w="4662"/>
    </w:tblGrid>
    <w:tr w:rsidR="00930C34">
      <w:trPr>
        <w:trHeight w:val="244"/>
      </w:trPr>
      <w:tc>
        <w:tcPr>
          <w:tcW w:w="5684" w:type="dxa"/>
        </w:tcPr>
        <w:p w:rsidR="00930C34" w:rsidRDefault="008D328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930C34" w:rsidRDefault="008D328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06394/INFOEM/IP/RR/2021</w:t>
          </w:r>
        </w:p>
      </w:tc>
    </w:tr>
    <w:tr w:rsidR="00930C34">
      <w:trPr>
        <w:trHeight w:val="210"/>
      </w:trPr>
      <w:tc>
        <w:tcPr>
          <w:tcW w:w="5684" w:type="dxa"/>
        </w:tcPr>
        <w:p w:rsidR="00930C34" w:rsidRDefault="008D328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930C34" w:rsidRDefault="00930C34">
          <w:pPr>
            <w:spacing w:after="120"/>
            <w:ind w:left="-486" w:right="214" w:firstLine="567"/>
            <w:jc w:val="right"/>
            <w:rPr>
              <w:rFonts w:ascii="Palatino Linotype" w:eastAsia="Palatino Linotype" w:hAnsi="Palatino Linotype" w:cs="Palatino Linotype"/>
              <w:sz w:val="24"/>
              <w:szCs w:val="24"/>
            </w:rPr>
          </w:pPr>
        </w:p>
      </w:tc>
    </w:tr>
    <w:tr w:rsidR="00930C34">
      <w:trPr>
        <w:trHeight w:val="261"/>
      </w:trPr>
      <w:tc>
        <w:tcPr>
          <w:tcW w:w="5684" w:type="dxa"/>
        </w:tcPr>
        <w:p w:rsidR="00930C34" w:rsidRDefault="008D328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930C34" w:rsidRDefault="008D328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Santo Tomas</w:t>
          </w:r>
        </w:p>
      </w:tc>
    </w:tr>
    <w:tr w:rsidR="00930C34">
      <w:trPr>
        <w:trHeight w:val="368"/>
      </w:trPr>
      <w:tc>
        <w:tcPr>
          <w:tcW w:w="5684" w:type="dxa"/>
        </w:tcPr>
        <w:p w:rsidR="00930C34" w:rsidRDefault="008D328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930C34" w:rsidRDefault="008D328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930C34" w:rsidRDefault="008D328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-1083944</wp:posOffset>
          </wp:positionH>
          <wp:positionV relativeFrom="paragraph">
            <wp:posOffset>-1550034</wp:posOffset>
          </wp:positionV>
          <wp:extent cx="7867650" cy="1013333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C34" w:rsidRDefault="00930C3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4"/>
      <w:tblW w:w="10346" w:type="dxa"/>
      <w:tblInd w:w="-1281" w:type="dxa"/>
      <w:tblLayout w:type="fixed"/>
      <w:tblLook w:val="0400" w:firstRow="0" w:lastRow="0" w:firstColumn="0" w:lastColumn="0" w:noHBand="0" w:noVBand="1"/>
    </w:tblPr>
    <w:tblGrid>
      <w:gridCol w:w="5684"/>
      <w:gridCol w:w="4662"/>
    </w:tblGrid>
    <w:tr w:rsidR="00930C34">
      <w:trPr>
        <w:trHeight w:val="244"/>
      </w:trPr>
      <w:tc>
        <w:tcPr>
          <w:tcW w:w="5684" w:type="dxa"/>
        </w:tcPr>
        <w:p w:rsidR="00930C34" w:rsidRDefault="008D328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930C34" w:rsidRDefault="008D328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06394/INFOEM/IP/RR/2021</w:t>
          </w:r>
        </w:p>
      </w:tc>
    </w:tr>
    <w:tr w:rsidR="00930C34">
      <w:trPr>
        <w:trHeight w:val="210"/>
      </w:trPr>
      <w:tc>
        <w:tcPr>
          <w:tcW w:w="5684" w:type="dxa"/>
        </w:tcPr>
        <w:p w:rsidR="00930C34" w:rsidRDefault="008D328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930C34" w:rsidRDefault="00391E77">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xxxx xxxxxxxx xxxxxxx</w:t>
          </w:r>
          <w:r w:rsidR="008D328D">
            <w:rPr>
              <w:rFonts w:ascii="Palatino Linotype" w:eastAsia="Palatino Linotype" w:hAnsi="Palatino Linotype" w:cs="Palatino Linotype"/>
              <w:sz w:val="24"/>
              <w:szCs w:val="24"/>
            </w:rPr>
            <w:t xml:space="preserve"> </w:t>
          </w:r>
        </w:p>
      </w:tc>
    </w:tr>
    <w:tr w:rsidR="00930C34">
      <w:trPr>
        <w:trHeight w:val="261"/>
      </w:trPr>
      <w:tc>
        <w:tcPr>
          <w:tcW w:w="5684" w:type="dxa"/>
        </w:tcPr>
        <w:p w:rsidR="00930C34" w:rsidRDefault="008D328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930C34" w:rsidRDefault="008D328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Santo Tomas</w:t>
          </w:r>
        </w:p>
      </w:tc>
    </w:tr>
    <w:tr w:rsidR="00930C34">
      <w:trPr>
        <w:trHeight w:val="368"/>
      </w:trPr>
      <w:tc>
        <w:tcPr>
          <w:tcW w:w="5684" w:type="dxa"/>
        </w:tcPr>
        <w:p w:rsidR="00930C34" w:rsidRDefault="008D328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930C34" w:rsidRDefault="008D328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930C34" w:rsidRDefault="008D328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-1080134</wp:posOffset>
          </wp:positionH>
          <wp:positionV relativeFrom="paragraph">
            <wp:posOffset>-1536064</wp:posOffset>
          </wp:positionV>
          <wp:extent cx="7867650" cy="1013333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ABE"/>
    <w:multiLevelType w:val="multilevel"/>
    <w:tmpl w:val="74AC6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E4493A"/>
    <w:multiLevelType w:val="multilevel"/>
    <w:tmpl w:val="EFBA6AD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BC3009"/>
    <w:multiLevelType w:val="multilevel"/>
    <w:tmpl w:val="EAE63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1F771F"/>
    <w:multiLevelType w:val="multilevel"/>
    <w:tmpl w:val="7744F3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7F422B"/>
    <w:multiLevelType w:val="multilevel"/>
    <w:tmpl w:val="59EE6A52"/>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6EBD2477"/>
    <w:multiLevelType w:val="multilevel"/>
    <w:tmpl w:val="38E64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364722"/>
    <w:multiLevelType w:val="multilevel"/>
    <w:tmpl w:val="4FB42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C34"/>
    <w:rsid w:val="00391E77"/>
    <w:rsid w:val="008764C5"/>
    <w:rsid w:val="008937A4"/>
    <w:rsid w:val="008D328D"/>
    <w:rsid w:val="00930C34"/>
    <w:rsid w:val="00AD5C79"/>
    <w:rsid w:val="00CC465C"/>
    <w:rsid w:val="00DE01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D7ABB0B-2672-4133-859F-81B6A56C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8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D1C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C38"/>
  </w:style>
  <w:style w:type="paragraph" w:styleId="Piedepgina">
    <w:name w:val="footer"/>
    <w:basedOn w:val="Normal"/>
    <w:link w:val="PiedepginaCar"/>
    <w:uiPriority w:val="99"/>
    <w:unhideWhenUsed/>
    <w:rsid w:val="001D1C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C38"/>
  </w:style>
  <w:style w:type="character" w:styleId="Hipervnculo">
    <w:name w:val="Hyperlink"/>
    <w:basedOn w:val="Fuentedeprrafopredeter"/>
    <w:uiPriority w:val="99"/>
    <w:unhideWhenUsed/>
    <w:rsid w:val="001D1C38"/>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1EEA"/>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6B1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B34"/>
  </w:style>
  <w:style w:type="paragraph" w:styleId="NormalWeb">
    <w:name w:val="Normal (Web)"/>
    <w:basedOn w:val="Normal"/>
    <w:uiPriority w:val="99"/>
    <w:semiHidden/>
    <w:unhideWhenUsed/>
    <w:rsid w:val="00CE3F3E"/>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INAI"/>
    <w:link w:val="SinespaciadoCar"/>
    <w:uiPriority w:val="1"/>
    <w:qFormat/>
    <w:rsid w:val="00AA466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A466A"/>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C7082C"/>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68808.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1294440.page"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91772.pag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s://www.saimex.org.mx/saimex/solicitud/downloadAttach/1291771.page"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291770.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oF2S3l3VLv7FlvFP3jW/IUxtaA==">AMUW2mVNS2Coi96G3nf1U/P3MqrtDcG6+hRlr+jePtszRwYsIbLcBX6Xv41sFPEsc2bNtXSJkebt17RTEf5pxDK8JHOOvInCIuz3R+uVr+hsS2HuoPbEZrXUkyaZptX1Gm3UNOuObMEB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9796</Words>
  <Characters>53880</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2022-03-03T17:44:00Z</dcterms:created>
  <dcterms:modified xsi:type="dcterms:W3CDTF">2022-03-03T17:58:00Z</dcterms:modified>
</cp:coreProperties>
</file>