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7107" w14:textId="77777777" w:rsidR="00F406CE" w:rsidRDefault="00F406CE" w:rsidP="00AD62BD">
      <w:pPr>
        <w:spacing w:after="0" w:line="360" w:lineRule="auto"/>
        <w:jc w:val="center"/>
        <w:rPr>
          <w:rFonts w:eastAsia="Times New Roman" w:cs="Tahoma"/>
          <w:b/>
          <w:color w:val="auto"/>
          <w:lang w:val="es-ES" w:eastAsia="es-ES"/>
        </w:rPr>
      </w:pPr>
    </w:p>
    <w:p w14:paraId="0BE1BFD6" w14:textId="18DC731B" w:rsidR="00F406CE" w:rsidRPr="00D82B73" w:rsidRDefault="00F406CE" w:rsidP="00AD62BD">
      <w:pPr>
        <w:spacing w:after="0" w:line="360" w:lineRule="auto"/>
        <w:rPr>
          <w:rFonts w:eastAsia="Times New Roman" w:cs="Tahoma"/>
          <w:color w:val="auto"/>
          <w:lang w:eastAsia="es-ES"/>
        </w:rPr>
      </w:pPr>
      <w:r w:rsidRPr="00D82B73">
        <w:rPr>
          <w:rFonts w:eastAsia="Times New Roman" w:cs="Tahoma"/>
          <w:color w:val="auto"/>
          <w:lang w:eastAsia="es-ES"/>
        </w:rPr>
        <w:t xml:space="preserve">Resolución del Pleno del Instituto de Transparencia, Acceso a la Información Pública y Protección de Datos Personales del Estado de México y Municipios, con domicilio en Metepec, Estado de México, de fecha </w:t>
      </w:r>
      <w:r w:rsidR="009537B7">
        <w:rPr>
          <w:rFonts w:eastAsia="Times New Roman" w:cs="Tahoma"/>
          <w:color w:val="auto"/>
          <w:lang w:eastAsia="es-ES"/>
        </w:rPr>
        <w:t>siete</w:t>
      </w:r>
      <w:r w:rsidR="00701875">
        <w:rPr>
          <w:rFonts w:eastAsia="Times New Roman" w:cs="Tahoma"/>
          <w:color w:val="auto"/>
          <w:lang w:eastAsia="es-ES"/>
        </w:rPr>
        <w:t xml:space="preserve"> de abril</w:t>
      </w:r>
      <w:r w:rsidR="004A7747">
        <w:rPr>
          <w:rFonts w:eastAsia="Times New Roman" w:cs="Tahoma"/>
          <w:color w:val="auto"/>
          <w:lang w:eastAsia="es-ES"/>
        </w:rPr>
        <w:t xml:space="preserve"> </w:t>
      </w:r>
      <w:r w:rsidRPr="00D82B73">
        <w:rPr>
          <w:rFonts w:eastAsia="Times New Roman" w:cs="Tahoma"/>
          <w:color w:val="auto"/>
          <w:lang w:eastAsia="es-ES"/>
        </w:rPr>
        <w:t xml:space="preserve">de dos mil veintidós. </w:t>
      </w:r>
    </w:p>
    <w:p w14:paraId="1F43193C" w14:textId="77777777" w:rsidR="00F406CE" w:rsidRPr="00D82B73" w:rsidRDefault="00F406CE" w:rsidP="00AD62BD">
      <w:pPr>
        <w:spacing w:after="0" w:line="360" w:lineRule="auto"/>
        <w:rPr>
          <w:rFonts w:eastAsia="Times New Roman" w:cs="Tahoma"/>
          <w:color w:val="auto"/>
          <w:lang w:eastAsia="es-ES"/>
        </w:rPr>
      </w:pPr>
    </w:p>
    <w:p w14:paraId="08106844" w14:textId="5E6389AA" w:rsidR="00093915" w:rsidRPr="00D82B73" w:rsidRDefault="00F406CE" w:rsidP="00AD62BD">
      <w:pPr>
        <w:spacing w:after="0" w:line="360" w:lineRule="auto"/>
        <w:rPr>
          <w:rFonts w:eastAsia="Times New Roman" w:cs="Tahoma"/>
          <w:color w:val="auto"/>
          <w:lang w:eastAsia="es-ES"/>
        </w:rPr>
      </w:pPr>
      <w:r w:rsidRPr="00D82B73">
        <w:rPr>
          <w:rFonts w:eastAsia="Times New Roman" w:cs="Tahoma"/>
          <w:color w:val="auto"/>
          <w:lang w:eastAsia="es-ES"/>
        </w:rPr>
        <w:t xml:space="preserve">VISTO el expediente conformado con motivo del Recurso de Revisión </w:t>
      </w:r>
      <w:r w:rsidR="00A66618" w:rsidRPr="00A66618">
        <w:rPr>
          <w:rFonts w:eastAsia="Times New Roman" w:cs="Tahoma"/>
          <w:color w:val="auto"/>
          <w:lang w:eastAsia="es-ES"/>
        </w:rPr>
        <w:t>00556/INFOEM/IP/RR/2022</w:t>
      </w:r>
      <w:r w:rsidRPr="00D82B73">
        <w:rPr>
          <w:rFonts w:eastAsia="Times New Roman" w:cs="Tahoma"/>
          <w:color w:val="auto"/>
          <w:lang w:eastAsia="es-ES"/>
        </w:rPr>
        <w:t>, interpuesto por</w:t>
      </w:r>
      <w:r w:rsidR="00A66618">
        <w:rPr>
          <w:rFonts w:eastAsia="Times New Roman" w:cs="Tahoma"/>
          <w:color w:val="auto"/>
          <w:lang w:eastAsia="es-ES"/>
        </w:rPr>
        <w:t xml:space="preserve"> </w:t>
      </w:r>
      <w:r w:rsidR="00701875">
        <w:rPr>
          <w:rFonts w:eastAsia="Times New Roman" w:cs="Tahoma"/>
          <w:color w:val="auto"/>
          <w:lang w:eastAsia="es-ES"/>
        </w:rPr>
        <w:t xml:space="preserve">el </w:t>
      </w:r>
      <w:r w:rsidRPr="00D82B73">
        <w:rPr>
          <w:rFonts w:eastAsia="Times New Roman" w:cs="Tahoma"/>
          <w:color w:val="auto"/>
          <w:lang w:eastAsia="es-ES"/>
        </w:rPr>
        <w:t xml:space="preserve">Recurrente o Particular, en contra de la respuesta del Sujeto Obligado, </w:t>
      </w:r>
      <w:r w:rsidR="00A66618" w:rsidRPr="00A66618">
        <w:rPr>
          <w:rFonts w:eastAsia="Times New Roman" w:cs="Tahoma"/>
          <w:color w:val="auto"/>
          <w:lang w:eastAsia="es-ES"/>
        </w:rPr>
        <w:t>Ayuntamiento de Tenancingo</w:t>
      </w:r>
      <w:r w:rsidRPr="00D82B73">
        <w:rPr>
          <w:rFonts w:eastAsia="Times New Roman" w:cs="Tahoma"/>
          <w:color w:val="auto"/>
          <w:lang w:eastAsia="es-ES"/>
        </w:rPr>
        <w:t xml:space="preserve">, a la solicitud de acceso a la información pública </w:t>
      </w:r>
      <w:r w:rsidR="00A66618" w:rsidRPr="00A66618">
        <w:rPr>
          <w:rFonts w:eastAsia="Times New Roman" w:cs="Tahoma"/>
          <w:color w:val="auto"/>
          <w:lang w:eastAsia="es-ES"/>
        </w:rPr>
        <w:t>00014/TENANCIN/IP/2022</w:t>
      </w:r>
      <w:r w:rsidRPr="00D82B73">
        <w:rPr>
          <w:rFonts w:eastAsia="Times New Roman" w:cs="Tahoma"/>
          <w:color w:val="auto"/>
          <w:lang w:eastAsia="es-ES"/>
        </w:rPr>
        <w:t xml:space="preserve">, se emite la presente Resolución, con base en los Antecedentes y Considerandos que se exponen a continuación: </w:t>
      </w:r>
    </w:p>
    <w:p w14:paraId="64840879" w14:textId="77777777" w:rsidR="00093915" w:rsidRPr="00D82B73" w:rsidRDefault="00093915" w:rsidP="00AD62BD">
      <w:pPr>
        <w:spacing w:after="0" w:line="360" w:lineRule="auto"/>
        <w:rPr>
          <w:rFonts w:eastAsia="Times New Roman" w:cs="Tahoma"/>
          <w:color w:val="auto"/>
          <w:lang w:eastAsia="es-ES"/>
        </w:rPr>
      </w:pPr>
    </w:p>
    <w:p w14:paraId="601D26F2" w14:textId="1CA79822" w:rsidR="00093915" w:rsidRPr="00D82B73" w:rsidRDefault="00F406CE" w:rsidP="00AD62BD">
      <w:pPr>
        <w:spacing w:after="0" w:line="360" w:lineRule="auto"/>
        <w:jc w:val="center"/>
        <w:rPr>
          <w:rFonts w:eastAsia="Times New Roman" w:cs="Tahoma"/>
          <w:color w:val="auto"/>
          <w:lang w:eastAsia="es-ES"/>
        </w:rPr>
      </w:pPr>
      <w:r w:rsidRPr="00D82B73">
        <w:rPr>
          <w:rFonts w:eastAsia="Times New Roman" w:cs="Tahoma"/>
          <w:b/>
          <w:color w:val="auto"/>
          <w:lang w:eastAsia="es-ES"/>
        </w:rPr>
        <w:t>A N T E C E D E N T E S</w:t>
      </w:r>
      <w:r w:rsidRPr="00D82B73">
        <w:rPr>
          <w:rFonts w:eastAsia="Times New Roman" w:cs="Tahoma"/>
          <w:color w:val="auto"/>
          <w:lang w:eastAsia="es-ES"/>
        </w:rPr>
        <w:t>:</w:t>
      </w:r>
    </w:p>
    <w:p w14:paraId="3845E5AC" w14:textId="77777777" w:rsidR="00093915" w:rsidRPr="00D82B73" w:rsidRDefault="00093915" w:rsidP="00AD62BD">
      <w:pPr>
        <w:spacing w:after="0" w:line="360" w:lineRule="auto"/>
        <w:jc w:val="center"/>
        <w:rPr>
          <w:rFonts w:eastAsia="Times New Roman" w:cs="Tahoma"/>
          <w:color w:val="auto"/>
          <w:lang w:eastAsia="es-ES"/>
        </w:rPr>
      </w:pPr>
    </w:p>
    <w:p w14:paraId="4D64EE63" w14:textId="19F9773A" w:rsidR="00701875" w:rsidRDefault="00701875" w:rsidP="00AD62BD">
      <w:pPr>
        <w:spacing w:after="0" w:line="360" w:lineRule="auto"/>
        <w:rPr>
          <w:rFonts w:eastAsia="Calibri" w:cs="Tahoma"/>
          <w:b/>
          <w:bCs/>
        </w:rPr>
      </w:pPr>
      <w:r>
        <w:rPr>
          <w:rFonts w:eastAsia="Calibri" w:cs="Tahoma"/>
          <w:b/>
          <w:bCs/>
        </w:rPr>
        <w:t xml:space="preserve">I. Presentación de la solicitud de información. </w:t>
      </w:r>
    </w:p>
    <w:p w14:paraId="125FB175" w14:textId="77777777" w:rsidR="00AD62BD" w:rsidRDefault="00AD62BD" w:rsidP="00AD62BD">
      <w:pPr>
        <w:spacing w:after="0" w:line="360" w:lineRule="auto"/>
        <w:rPr>
          <w:rFonts w:eastAsia="Calibri" w:cs="Tahoma"/>
          <w:b/>
          <w:bCs/>
        </w:rPr>
      </w:pPr>
    </w:p>
    <w:p w14:paraId="6C88B78C" w14:textId="5C879DFC" w:rsidR="00093915" w:rsidRPr="00701875" w:rsidRDefault="00F406CE" w:rsidP="00AD62BD">
      <w:pPr>
        <w:spacing w:after="0" w:line="360" w:lineRule="auto"/>
        <w:rPr>
          <w:rFonts w:cs="Tahoma"/>
        </w:rPr>
      </w:pPr>
      <w:r w:rsidRPr="00701875">
        <w:rPr>
          <w:rFonts w:cs="Tahoma"/>
        </w:rPr>
        <w:t xml:space="preserve">Con fecha </w:t>
      </w:r>
      <w:r w:rsidR="00A66618" w:rsidRPr="00701875">
        <w:rPr>
          <w:rFonts w:cs="Tahoma"/>
        </w:rPr>
        <w:t>diez de enero de dos mil veintidós</w:t>
      </w:r>
      <w:r w:rsidRPr="00701875">
        <w:rPr>
          <w:rFonts w:cs="Tahoma"/>
        </w:rPr>
        <w:t xml:space="preserve">, </w:t>
      </w:r>
      <w:r w:rsidR="002B0B6F">
        <w:rPr>
          <w:rFonts w:cs="Tahoma"/>
        </w:rPr>
        <w:t>se tuvo por presentada una</w:t>
      </w:r>
      <w:r w:rsidR="002B0B6F" w:rsidRPr="002B0B6F">
        <w:rPr>
          <w:rFonts w:cs="Tahoma"/>
        </w:rPr>
        <w:t xml:space="preserve"> </w:t>
      </w:r>
      <w:r w:rsidR="002B0B6F" w:rsidRPr="00701875">
        <w:rPr>
          <w:rFonts w:cs="Tahoma"/>
        </w:rPr>
        <w:t>solicitud de acceso a la información pública</w:t>
      </w:r>
      <w:r w:rsidR="002B0B6F">
        <w:rPr>
          <w:rFonts w:cs="Tahoma"/>
        </w:rPr>
        <w:t xml:space="preserve"> del Particular, </w:t>
      </w:r>
      <w:r w:rsidRPr="00701875">
        <w:rPr>
          <w:rFonts w:cs="Tahoma"/>
        </w:rPr>
        <w:t xml:space="preserve">a través del Sistema de Acceso a la Información Mexiquense (SAIMEX), ante el Ayuntamiento de </w:t>
      </w:r>
      <w:r w:rsidR="00A66618" w:rsidRPr="00701875">
        <w:rPr>
          <w:rFonts w:cs="Tahoma"/>
        </w:rPr>
        <w:t>Tenancingo</w:t>
      </w:r>
      <w:r w:rsidR="002B0B6F">
        <w:rPr>
          <w:rFonts w:cs="Tahoma"/>
          <w:bCs/>
        </w:rPr>
        <w:t>;</w:t>
      </w:r>
      <w:r w:rsidR="002B0B6F" w:rsidRPr="00613198">
        <w:rPr>
          <w:bCs/>
        </w:rPr>
        <w:t xml:space="preserve"> </w:t>
      </w:r>
      <w:r w:rsidR="002B0B6F">
        <w:rPr>
          <w:color w:val="000000"/>
        </w:rPr>
        <w:t>lo anterior</w:t>
      </w:r>
      <w:r w:rsidR="002B0B6F" w:rsidRPr="00A71B93">
        <w:rPr>
          <w:rFonts w:eastAsia="Calibri" w:cs="Tahoma"/>
          <w:b/>
          <w:bCs/>
          <w:lang w:val="es-ES"/>
        </w:rPr>
        <w:t xml:space="preserve">, ya que si bien, se </w:t>
      </w:r>
      <w:r w:rsidR="002B0B6F">
        <w:rPr>
          <w:rFonts w:eastAsia="Calibri" w:cs="Tahoma"/>
          <w:b/>
          <w:bCs/>
          <w:lang w:val="es-ES"/>
        </w:rPr>
        <w:t>registró el primero de dicho</w:t>
      </w:r>
      <w:r w:rsidR="002B0B6F" w:rsidRPr="00A71B93">
        <w:rPr>
          <w:rFonts w:eastAsia="Calibri" w:cs="Tahoma"/>
          <w:b/>
          <w:bCs/>
          <w:lang w:val="es-ES"/>
        </w:rPr>
        <w:t xml:space="preserve"> mes y año, también lo es, que fue inhábil, de conformidad con el artículo 3°, fracción X, de la Ley de Transparencia y Acceso a la Información Pública del Estado de México y Municipios y </w:t>
      </w:r>
      <w:r w:rsidR="002B0B6F" w:rsidRPr="00A71B93">
        <w:rPr>
          <w:rFonts w:eastAsia="Calibri" w:cs="Tahoma"/>
          <w:b/>
          <w:bCs/>
        </w:rPr>
        <w:t xml:space="preserve">el Calendario Oficial en Materia de Transparencia, Acceso a la Información Pública y Protección de Datos Personales del Estado de México y Municipios, así como de laborales de este Instituto, para el año dos mil </w:t>
      </w:r>
      <w:r w:rsidR="002B0B6F">
        <w:rPr>
          <w:rFonts w:eastAsia="Calibri" w:cs="Tahoma"/>
          <w:b/>
          <w:bCs/>
        </w:rPr>
        <w:t>veintiuno</w:t>
      </w:r>
      <w:r w:rsidR="002B0B6F" w:rsidRPr="00A71B93">
        <w:rPr>
          <w:rFonts w:eastAsia="Calibri" w:cs="Tahoma"/>
          <w:b/>
          <w:bCs/>
        </w:rPr>
        <w:t xml:space="preserve"> y enero dos mil </w:t>
      </w:r>
      <w:r w:rsidR="002B0B6F">
        <w:rPr>
          <w:rFonts w:eastAsia="Calibri" w:cs="Tahoma"/>
          <w:b/>
          <w:bCs/>
        </w:rPr>
        <w:t xml:space="preserve">veintidós; </w:t>
      </w:r>
      <w:r w:rsidR="002B0B6F" w:rsidRPr="002B0B6F">
        <w:rPr>
          <w:rFonts w:eastAsia="Calibri" w:cs="Tahoma"/>
        </w:rPr>
        <w:t xml:space="preserve">dicha </w:t>
      </w:r>
      <w:r w:rsidRPr="00701875">
        <w:rPr>
          <w:rFonts w:cs="Tahoma"/>
        </w:rPr>
        <w:t xml:space="preserve">en los siguientes términos: </w:t>
      </w:r>
    </w:p>
    <w:p w14:paraId="1E65C469" w14:textId="77777777" w:rsidR="00D82B73" w:rsidRPr="00D82B73" w:rsidRDefault="00D82B73" w:rsidP="00AD62BD">
      <w:pPr>
        <w:pStyle w:val="Prrafodelista"/>
        <w:spacing w:line="360" w:lineRule="auto"/>
        <w:ind w:left="142"/>
        <w:rPr>
          <w:rFonts w:cs="Tahoma"/>
          <w:szCs w:val="22"/>
        </w:rPr>
      </w:pPr>
    </w:p>
    <w:p w14:paraId="0000C417" w14:textId="3D3EAE49" w:rsidR="00D82B73" w:rsidRPr="00AD62BD" w:rsidRDefault="00D82B73" w:rsidP="00AD62BD">
      <w:pPr>
        <w:spacing w:after="0" w:line="360" w:lineRule="auto"/>
        <w:ind w:left="567" w:right="567"/>
        <w:rPr>
          <w:rFonts w:eastAsia="Times New Roman" w:cs="Tahoma"/>
          <w:b/>
          <w:bCs/>
          <w:i/>
          <w:iCs/>
          <w:color w:val="auto"/>
          <w:sz w:val="20"/>
          <w:szCs w:val="20"/>
          <w:lang w:val="es-ES_tradnl" w:eastAsia="es-ES"/>
        </w:rPr>
      </w:pPr>
      <w:r w:rsidRPr="00AD62BD">
        <w:rPr>
          <w:rFonts w:eastAsia="Times New Roman" w:cs="Tahoma"/>
          <w:b/>
          <w:bCs/>
          <w:i/>
          <w:iCs/>
          <w:color w:val="auto"/>
          <w:sz w:val="20"/>
          <w:szCs w:val="20"/>
          <w:lang w:val="es-ES_tradnl" w:eastAsia="es-ES"/>
        </w:rPr>
        <w:t>“</w:t>
      </w:r>
      <w:r w:rsidR="00F406CE" w:rsidRPr="00AD62BD">
        <w:rPr>
          <w:rFonts w:eastAsia="Times New Roman" w:cs="Tahoma"/>
          <w:b/>
          <w:bCs/>
          <w:i/>
          <w:iCs/>
          <w:color w:val="auto"/>
          <w:sz w:val="20"/>
          <w:szCs w:val="20"/>
          <w:lang w:val="es-ES_tradnl" w:eastAsia="es-ES"/>
        </w:rPr>
        <w:t>DESCRIPCIÓN CLARA Y PRECISA DE LA INFORMACIÓN SOLICITADA</w:t>
      </w:r>
    </w:p>
    <w:p w14:paraId="55806B1E" w14:textId="67D07418" w:rsidR="00D82B73" w:rsidRPr="00AD62BD" w:rsidRDefault="00A66618" w:rsidP="00AD62BD">
      <w:pPr>
        <w:tabs>
          <w:tab w:val="left" w:pos="0"/>
          <w:tab w:val="left" w:pos="6266"/>
        </w:tabs>
        <w:spacing w:after="0" w:line="360" w:lineRule="auto"/>
        <w:ind w:left="567" w:right="567"/>
        <w:rPr>
          <w:rFonts w:eastAsia="Times New Roman" w:cs="Times New Roman"/>
          <w:i/>
          <w:color w:val="auto"/>
          <w:sz w:val="20"/>
          <w:szCs w:val="20"/>
          <w:lang w:val="es-ES_tradnl" w:eastAsia="es-ES"/>
        </w:rPr>
      </w:pPr>
      <w:r w:rsidRPr="00AD62BD">
        <w:rPr>
          <w:rFonts w:eastAsia="Times New Roman" w:cs="Times New Roman"/>
          <w:i/>
          <w:color w:val="auto"/>
          <w:sz w:val="20"/>
          <w:szCs w:val="20"/>
          <w:lang w:val="es-ES_tradnl" w:eastAsia="es-ES"/>
        </w:rPr>
        <w:t>Solicito todas las actas de entrega recepción que se generaron por el cambio de administración</w:t>
      </w:r>
      <w:r w:rsidR="00F406CE" w:rsidRPr="00AD62BD">
        <w:rPr>
          <w:rFonts w:eastAsia="Times New Roman" w:cs="Times New Roman"/>
          <w:i/>
          <w:color w:val="auto"/>
          <w:sz w:val="20"/>
          <w:szCs w:val="20"/>
          <w:lang w:val="es-ES_tradnl" w:eastAsia="es-ES"/>
        </w:rPr>
        <w:t>. (Sic)</w:t>
      </w:r>
      <w:r w:rsidR="00D82B73" w:rsidRPr="00AD62BD">
        <w:rPr>
          <w:rFonts w:eastAsia="Times New Roman" w:cs="Times New Roman"/>
          <w:i/>
          <w:color w:val="auto"/>
          <w:sz w:val="20"/>
          <w:szCs w:val="20"/>
          <w:lang w:val="es-ES_tradnl" w:eastAsia="es-ES"/>
        </w:rPr>
        <w:t>”</w:t>
      </w:r>
    </w:p>
    <w:p w14:paraId="4D97AE72" w14:textId="77777777" w:rsidR="00D82B73" w:rsidRPr="00D82B73" w:rsidRDefault="00D82B73" w:rsidP="00AD62BD">
      <w:pPr>
        <w:pStyle w:val="Prrafodelista"/>
        <w:spacing w:line="360" w:lineRule="auto"/>
        <w:ind w:left="142"/>
        <w:rPr>
          <w:rFonts w:cs="Tahoma"/>
          <w:i/>
          <w:sz w:val="20"/>
          <w:szCs w:val="22"/>
        </w:rPr>
      </w:pPr>
    </w:p>
    <w:p w14:paraId="61865F31" w14:textId="77777777" w:rsidR="00AD62BD" w:rsidRPr="00AD62BD" w:rsidRDefault="00AD62BD" w:rsidP="00AD62BD">
      <w:pPr>
        <w:tabs>
          <w:tab w:val="left" w:pos="0"/>
          <w:tab w:val="left" w:pos="6266"/>
        </w:tabs>
        <w:spacing w:after="0" w:line="360" w:lineRule="auto"/>
        <w:ind w:left="567" w:right="567"/>
        <w:rPr>
          <w:rFonts w:eastAsia="Times New Roman" w:cs="Tahoma"/>
          <w:b/>
          <w:bCs/>
          <w:i/>
          <w:iCs/>
          <w:color w:val="auto"/>
          <w:sz w:val="20"/>
          <w:lang w:eastAsia="es-ES"/>
        </w:rPr>
      </w:pPr>
      <w:r w:rsidRPr="00AD62BD">
        <w:rPr>
          <w:rFonts w:eastAsia="Times New Roman" w:cs="Tahoma"/>
          <w:b/>
          <w:bCs/>
          <w:i/>
          <w:iCs/>
          <w:color w:val="auto"/>
          <w:sz w:val="20"/>
          <w:lang w:eastAsia="es-ES"/>
        </w:rPr>
        <w:t>“MODALIDAD DE ENTREGA</w:t>
      </w:r>
    </w:p>
    <w:p w14:paraId="7AFEC725" w14:textId="77777777" w:rsidR="00AD62BD" w:rsidRPr="00AD62BD" w:rsidRDefault="00AD62BD" w:rsidP="00AD62BD">
      <w:pPr>
        <w:tabs>
          <w:tab w:val="left" w:pos="0"/>
          <w:tab w:val="left" w:pos="6266"/>
        </w:tabs>
        <w:spacing w:after="0" w:line="360" w:lineRule="auto"/>
        <w:ind w:left="567" w:right="567"/>
        <w:rPr>
          <w:rFonts w:eastAsia="Times New Roman" w:cs="Tahoma"/>
          <w:b/>
          <w:bCs/>
          <w:i/>
          <w:iCs/>
          <w:color w:val="auto"/>
          <w:sz w:val="20"/>
          <w:lang w:eastAsia="es-ES"/>
        </w:rPr>
      </w:pPr>
      <w:r w:rsidRPr="00AD62BD">
        <w:rPr>
          <w:rFonts w:eastAsia="Times New Roman" w:cs="Tahoma"/>
          <w:i/>
          <w:iCs/>
          <w:color w:val="auto"/>
          <w:sz w:val="20"/>
          <w:lang w:eastAsia="es-ES"/>
        </w:rPr>
        <w:t xml:space="preserve"> </w:t>
      </w:r>
      <w:r w:rsidRPr="00AD62BD">
        <w:rPr>
          <w:rFonts w:eastAsia="Times New Roman" w:cs="Tahoma"/>
          <w:i/>
          <w:color w:val="auto"/>
          <w:sz w:val="20"/>
          <w:lang w:eastAsia="es-ES"/>
        </w:rPr>
        <w:t>A través del SAIMEX”</w:t>
      </w:r>
    </w:p>
    <w:p w14:paraId="658E6BF0" w14:textId="77777777" w:rsidR="00D82B73" w:rsidRDefault="00D82B73" w:rsidP="00AD62BD">
      <w:pPr>
        <w:pStyle w:val="Prrafodelista"/>
        <w:spacing w:line="360" w:lineRule="auto"/>
        <w:ind w:left="142"/>
        <w:rPr>
          <w:rFonts w:cs="Tahoma"/>
          <w:szCs w:val="22"/>
        </w:rPr>
      </w:pPr>
    </w:p>
    <w:p w14:paraId="7854A5F0" w14:textId="77777777" w:rsidR="00A66618" w:rsidRPr="001C2EB4" w:rsidRDefault="00F406CE" w:rsidP="001C2EB4">
      <w:pPr>
        <w:spacing w:after="0" w:line="360" w:lineRule="auto"/>
        <w:rPr>
          <w:rFonts w:eastAsia="Calibri" w:cs="Tahoma"/>
          <w:b/>
          <w:bCs/>
        </w:rPr>
      </w:pPr>
      <w:r w:rsidRPr="001C2EB4">
        <w:rPr>
          <w:rFonts w:eastAsia="Calibri" w:cs="Tahoma"/>
          <w:b/>
          <w:bCs/>
        </w:rPr>
        <w:t xml:space="preserve">II. Respuesta del Sujeto Obligado. </w:t>
      </w:r>
    </w:p>
    <w:p w14:paraId="53A25867" w14:textId="1251D8B7" w:rsidR="00A66618" w:rsidRDefault="00A66618" w:rsidP="00AD62BD">
      <w:pPr>
        <w:pStyle w:val="Prrafodelista"/>
        <w:spacing w:line="360" w:lineRule="auto"/>
        <w:ind w:left="142"/>
        <w:rPr>
          <w:rFonts w:cs="Tahoma"/>
          <w:szCs w:val="22"/>
        </w:rPr>
      </w:pPr>
    </w:p>
    <w:p w14:paraId="68F39628" w14:textId="77777777" w:rsidR="001C2EB4" w:rsidRDefault="001C2EB4" w:rsidP="00AD62BD">
      <w:pPr>
        <w:pStyle w:val="Prrafodelista"/>
        <w:spacing w:line="360" w:lineRule="auto"/>
        <w:ind w:left="142"/>
        <w:rPr>
          <w:rFonts w:cs="Tahoma"/>
          <w:szCs w:val="22"/>
        </w:rPr>
      </w:pPr>
    </w:p>
    <w:p w14:paraId="4FC47D89" w14:textId="2E1E15B1" w:rsidR="0037048D" w:rsidRDefault="00A66618" w:rsidP="001C2EB4">
      <w:pPr>
        <w:spacing w:after="0" w:line="360" w:lineRule="auto"/>
        <w:rPr>
          <w:rFonts w:eastAsia="Times New Roman" w:cs="Tahoma"/>
          <w:bCs/>
          <w:iCs/>
          <w:lang w:eastAsia="es-ES"/>
        </w:rPr>
      </w:pPr>
      <w:r w:rsidRPr="001C2EB4">
        <w:rPr>
          <w:rFonts w:cs="Tahoma"/>
        </w:rPr>
        <w:t xml:space="preserve">Con fecha treinta y uno de enero de dos mil veintidós, el Ayuntamiento de Tenancingo, a través del Sistema de Acceso a la Información Mexiquense (SAIMEX), notificó la respuesta al Solicitante, por medio del cual </w:t>
      </w:r>
      <w:r w:rsidR="001C2EB4">
        <w:rPr>
          <w:rFonts w:cs="Tahoma"/>
        </w:rPr>
        <w:t xml:space="preserve">proporciona el oficio </w:t>
      </w:r>
      <w:r w:rsidR="0037048D" w:rsidRPr="0037048D">
        <w:rPr>
          <w:rFonts w:eastAsia="Times New Roman" w:cs="Tahoma"/>
          <w:bCs/>
          <w:iCs/>
          <w:lang w:eastAsia="es-ES"/>
        </w:rPr>
        <w:t>PMT058/CM0025/2022</w:t>
      </w:r>
      <w:r w:rsidR="001C2EB4">
        <w:rPr>
          <w:rFonts w:eastAsia="Times New Roman" w:cs="Tahoma"/>
          <w:bCs/>
          <w:iCs/>
          <w:lang w:eastAsia="es-ES"/>
        </w:rPr>
        <w:t>, del diecinueve de dicho mes y año, suscrito por e</w:t>
      </w:r>
      <w:r w:rsidR="0037048D" w:rsidRPr="0037048D">
        <w:rPr>
          <w:rFonts w:eastAsia="Times New Roman" w:cs="Tahoma"/>
          <w:bCs/>
          <w:iCs/>
          <w:lang w:eastAsia="es-ES"/>
        </w:rPr>
        <w:t xml:space="preserve">l </w:t>
      </w:r>
      <w:r w:rsidR="0037048D">
        <w:rPr>
          <w:rFonts w:eastAsia="Times New Roman" w:cs="Tahoma"/>
          <w:bCs/>
          <w:iCs/>
          <w:lang w:eastAsia="es-ES"/>
        </w:rPr>
        <w:t>Contralor Municipal</w:t>
      </w:r>
      <w:r w:rsidR="001C2EB4">
        <w:rPr>
          <w:rFonts w:eastAsia="Times New Roman" w:cs="Tahoma"/>
          <w:bCs/>
          <w:iCs/>
          <w:lang w:eastAsia="es-ES"/>
        </w:rPr>
        <w:t xml:space="preserve"> y</w:t>
      </w:r>
      <w:r w:rsidR="0037048D">
        <w:rPr>
          <w:rFonts w:eastAsia="Times New Roman" w:cs="Tahoma"/>
          <w:bCs/>
          <w:iCs/>
          <w:lang w:eastAsia="es-ES"/>
        </w:rPr>
        <w:t xml:space="preserve"> dirigido a la Coordinadora</w:t>
      </w:r>
      <w:r w:rsidR="0004695D">
        <w:rPr>
          <w:rFonts w:eastAsia="Times New Roman" w:cs="Tahoma"/>
          <w:bCs/>
          <w:iCs/>
          <w:lang w:eastAsia="es-ES"/>
        </w:rPr>
        <w:t xml:space="preserve"> </w:t>
      </w:r>
      <w:r w:rsidR="0037048D">
        <w:rPr>
          <w:rFonts w:eastAsia="Times New Roman" w:cs="Tahoma"/>
          <w:bCs/>
          <w:iCs/>
          <w:lang w:eastAsia="es-ES"/>
        </w:rPr>
        <w:t>de Transparencia y Acceso a la Información,</w:t>
      </w:r>
      <w:r w:rsidR="0004695D">
        <w:rPr>
          <w:rFonts w:eastAsia="Times New Roman" w:cs="Tahoma"/>
          <w:bCs/>
          <w:iCs/>
          <w:lang w:eastAsia="es-ES"/>
        </w:rPr>
        <w:t xml:space="preserve"> </w:t>
      </w:r>
      <w:r w:rsidR="0037048D">
        <w:rPr>
          <w:rFonts w:eastAsia="Times New Roman" w:cs="Tahoma"/>
          <w:bCs/>
          <w:iCs/>
          <w:lang w:eastAsia="es-ES"/>
        </w:rPr>
        <w:t>donde refiere que la documentación para dar respuesta a la solicitud de información, contiene información confidencial, por lo que solicita, se convoque al Comité de Transparencia para confirmar la versión pública de dichos documentos.</w:t>
      </w:r>
    </w:p>
    <w:p w14:paraId="189105A6" w14:textId="0E927B90" w:rsidR="001C2EB4" w:rsidRDefault="001C2EB4" w:rsidP="001C2EB4">
      <w:pPr>
        <w:spacing w:after="0" w:line="360" w:lineRule="auto"/>
        <w:rPr>
          <w:rFonts w:eastAsia="Times New Roman" w:cs="Tahoma"/>
          <w:bCs/>
          <w:iCs/>
          <w:lang w:eastAsia="es-ES"/>
        </w:rPr>
      </w:pPr>
    </w:p>
    <w:p w14:paraId="249AF704" w14:textId="0D0FFA60" w:rsidR="001C2EB4" w:rsidRDefault="001C2EB4" w:rsidP="001C2EB4">
      <w:pPr>
        <w:spacing w:after="0" w:line="360" w:lineRule="auto"/>
        <w:rPr>
          <w:rFonts w:eastAsia="Times New Roman" w:cs="Tahoma"/>
          <w:bCs/>
          <w:iCs/>
          <w:lang w:eastAsia="es-ES"/>
        </w:rPr>
      </w:pPr>
      <w:r>
        <w:rPr>
          <w:rFonts w:eastAsia="Times New Roman" w:cs="Tahoma"/>
          <w:bCs/>
          <w:iCs/>
          <w:lang w:eastAsia="es-ES"/>
        </w:rPr>
        <w:t xml:space="preserve">El Sujeto Obligado adjuntó la digitalización </w:t>
      </w:r>
      <w:r w:rsidR="00E02169">
        <w:rPr>
          <w:rFonts w:eastAsia="Times New Roman" w:cs="Tahoma"/>
          <w:bCs/>
          <w:iCs/>
          <w:lang w:eastAsia="es-ES"/>
        </w:rPr>
        <w:t>de los siguientes documentos:</w:t>
      </w:r>
    </w:p>
    <w:p w14:paraId="593CB125" w14:textId="77777777" w:rsidR="001C2EB4" w:rsidRDefault="001C2EB4" w:rsidP="001C2EB4">
      <w:pPr>
        <w:spacing w:after="0" w:line="360" w:lineRule="auto"/>
        <w:rPr>
          <w:rFonts w:eastAsia="Times New Roman" w:cs="Tahoma"/>
          <w:bCs/>
          <w:iCs/>
          <w:lang w:eastAsia="es-ES"/>
        </w:rPr>
      </w:pPr>
    </w:p>
    <w:p w14:paraId="4A9D7C1B" w14:textId="53A7500D" w:rsidR="00A66618" w:rsidRPr="00A66618" w:rsidRDefault="00E02169" w:rsidP="00E02169">
      <w:pPr>
        <w:spacing w:after="0" w:line="360" w:lineRule="auto"/>
        <w:contextualSpacing/>
        <w:rPr>
          <w:rFonts w:eastAsia="Times New Roman" w:cs="Tahoma"/>
          <w:bCs/>
          <w:iCs/>
          <w:lang w:eastAsia="es-ES"/>
        </w:rPr>
      </w:pPr>
      <w:r>
        <w:rPr>
          <w:rFonts w:eastAsia="Times New Roman" w:cs="Tahoma"/>
          <w:bCs/>
          <w:iCs/>
          <w:lang w:eastAsia="es-ES"/>
        </w:rPr>
        <w:t xml:space="preserve">i) </w:t>
      </w:r>
      <w:r w:rsidR="0037048D">
        <w:rPr>
          <w:rFonts w:eastAsia="Times New Roman" w:cs="Tahoma"/>
          <w:bCs/>
          <w:iCs/>
          <w:lang w:eastAsia="es-ES"/>
        </w:rPr>
        <w:t>Actas de entrega recepción de</w:t>
      </w:r>
      <w:r>
        <w:rPr>
          <w:rFonts w:eastAsia="Times New Roman" w:cs="Tahoma"/>
          <w:bCs/>
          <w:iCs/>
          <w:lang w:eastAsia="es-ES"/>
        </w:rPr>
        <w:t xml:space="preserve"> las áreas del Ayuntamiento de Tenancingo, emitidas del primero al diez de enero de dos mil veintiuno</w:t>
      </w:r>
      <w:r w:rsidR="00A66618" w:rsidRPr="00A66618">
        <w:rPr>
          <w:rFonts w:eastAsia="Times New Roman" w:cs="Tahoma"/>
          <w:bCs/>
          <w:iCs/>
          <w:lang w:eastAsia="es-ES"/>
        </w:rPr>
        <w:t>.</w:t>
      </w:r>
    </w:p>
    <w:p w14:paraId="6F61A253" w14:textId="77777777" w:rsidR="00E02169" w:rsidRDefault="00E02169" w:rsidP="00E02169">
      <w:pPr>
        <w:spacing w:after="0" w:line="360" w:lineRule="auto"/>
        <w:contextualSpacing/>
        <w:rPr>
          <w:rFonts w:eastAsia="Times New Roman" w:cs="Tahoma"/>
          <w:bCs/>
          <w:iCs/>
          <w:lang w:eastAsia="es-ES"/>
        </w:rPr>
      </w:pPr>
    </w:p>
    <w:p w14:paraId="1CA5D2DC" w14:textId="342EDAC3" w:rsidR="00A66618" w:rsidRPr="00DA3D2D" w:rsidRDefault="00E02169" w:rsidP="00E02169">
      <w:pPr>
        <w:spacing w:after="0" w:line="360" w:lineRule="auto"/>
        <w:contextualSpacing/>
        <w:rPr>
          <w:rFonts w:cs="Tahoma"/>
        </w:rPr>
      </w:pPr>
      <w:r>
        <w:rPr>
          <w:rFonts w:eastAsia="Times New Roman" w:cs="Tahoma"/>
          <w:bCs/>
          <w:iCs/>
          <w:lang w:eastAsia="es-ES"/>
        </w:rPr>
        <w:t xml:space="preserve">ii) </w:t>
      </w:r>
      <w:r w:rsidR="00A66618" w:rsidRPr="00A66618">
        <w:rPr>
          <w:rFonts w:eastAsia="Times New Roman" w:cs="Tahoma"/>
          <w:bCs/>
          <w:iCs/>
          <w:lang w:eastAsia="es-ES"/>
        </w:rPr>
        <w:t xml:space="preserve">Acta de la </w:t>
      </w:r>
      <w:r w:rsidR="00DA3D2D" w:rsidRPr="00DA3D2D">
        <w:rPr>
          <w:rFonts w:eastAsia="Times New Roman" w:cs="Tahoma"/>
          <w:bCs/>
          <w:iCs/>
          <w:lang w:eastAsia="es-ES"/>
        </w:rPr>
        <w:t>Primera</w:t>
      </w:r>
      <w:r w:rsidR="00A66618" w:rsidRPr="00A66618">
        <w:rPr>
          <w:rFonts w:eastAsia="Times New Roman" w:cs="Tahoma"/>
          <w:bCs/>
          <w:iCs/>
          <w:lang w:eastAsia="es-ES"/>
        </w:rPr>
        <w:t xml:space="preserve"> Sesión Extraordinaria del Comité de Transparencia donde </w:t>
      </w:r>
      <w:r w:rsidR="0022288F">
        <w:rPr>
          <w:rFonts w:eastAsia="Times New Roman" w:cs="Tahoma"/>
          <w:bCs/>
          <w:iCs/>
          <w:lang w:eastAsia="es-ES"/>
        </w:rPr>
        <w:t>aprueba la entrega de la información solicitada, en versión pública.</w:t>
      </w:r>
    </w:p>
    <w:p w14:paraId="66E3A7D9" w14:textId="24C483FC" w:rsidR="00DA3D2D" w:rsidRPr="00DA3D2D" w:rsidRDefault="00821B22" w:rsidP="00AD62BD">
      <w:pPr>
        <w:spacing w:after="0" w:line="360" w:lineRule="auto"/>
        <w:ind w:left="1080"/>
        <w:contextualSpacing/>
        <w:rPr>
          <w:rFonts w:cs="Tahoma"/>
        </w:rPr>
      </w:pPr>
      <w:r>
        <w:rPr>
          <w:rFonts w:eastAsia="Times New Roman" w:cs="Tahoma"/>
          <w:bCs/>
          <w:iCs/>
          <w:lang w:eastAsia="es-ES"/>
        </w:rPr>
        <w:t xml:space="preserve"> </w:t>
      </w:r>
    </w:p>
    <w:p w14:paraId="6DED97D8" w14:textId="77777777" w:rsidR="0022288F" w:rsidRPr="0022288F" w:rsidRDefault="00F406CE" w:rsidP="0022288F">
      <w:pPr>
        <w:spacing w:after="0" w:line="360" w:lineRule="auto"/>
        <w:rPr>
          <w:rFonts w:eastAsia="Calibri" w:cs="Tahoma"/>
          <w:b/>
          <w:bCs/>
        </w:rPr>
      </w:pPr>
      <w:r w:rsidRPr="0022288F">
        <w:rPr>
          <w:rFonts w:eastAsia="Calibri" w:cs="Tahoma"/>
          <w:b/>
          <w:bCs/>
        </w:rPr>
        <w:t xml:space="preserve">III. Interposición del Recurso de Revisión. </w:t>
      </w:r>
    </w:p>
    <w:p w14:paraId="185A04B3" w14:textId="77777777" w:rsidR="0022288F" w:rsidRDefault="0022288F" w:rsidP="00AD62BD">
      <w:pPr>
        <w:pStyle w:val="Prrafodelista"/>
        <w:spacing w:line="360" w:lineRule="auto"/>
        <w:ind w:left="142"/>
        <w:rPr>
          <w:rFonts w:cs="Tahoma"/>
          <w:szCs w:val="22"/>
        </w:rPr>
      </w:pPr>
    </w:p>
    <w:p w14:paraId="47FCB975" w14:textId="77926EAC" w:rsidR="00D82B73" w:rsidRDefault="00F406CE" w:rsidP="0022288F">
      <w:pPr>
        <w:spacing w:after="0" w:line="360" w:lineRule="auto"/>
        <w:rPr>
          <w:rFonts w:cs="Tahoma"/>
        </w:rPr>
      </w:pPr>
      <w:r w:rsidRPr="00D82B73">
        <w:rPr>
          <w:rFonts w:cs="Tahoma"/>
        </w:rPr>
        <w:lastRenderedPageBreak/>
        <w:t xml:space="preserve">Con fecha </w:t>
      </w:r>
      <w:r w:rsidR="00821B22">
        <w:rPr>
          <w:rFonts w:cs="Tahoma"/>
        </w:rPr>
        <w:t>tres de febrero de dos mil veintidós</w:t>
      </w:r>
      <w:r w:rsidRPr="00D82B73">
        <w:rPr>
          <w:rFonts w:cs="Tahoma"/>
        </w:rPr>
        <w:t>, se recibió en este Instituto, a través del Sistema de Acceso a la Información Mexiquense (SAIMEX), el Recurso de Revisión interpuesto por la parte Recurrente, en co</w:t>
      </w:r>
      <w:r w:rsidR="00821B22">
        <w:rPr>
          <w:rFonts w:cs="Tahoma"/>
        </w:rPr>
        <w:t xml:space="preserve">ntra de la </w:t>
      </w:r>
      <w:r w:rsidRPr="00D82B73">
        <w:rPr>
          <w:rFonts w:cs="Tahoma"/>
        </w:rPr>
        <w:t xml:space="preserve">respuesta del Sujeto Obligado, en los siguientes términos: </w:t>
      </w:r>
    </w:p>
    <w:p w14:paraId="5901A386" w14:textId="77777777" w:rsidR="003E7E96" w:rsidRDefault="003E7E96" w:rsidP="00AD62BD">
      <w:pPr>
        <w:pStyle w:val="Prrafodelista"/>
        <w:spacing w:line="360" w:lineRule="auto"/>
        <w:ind w:left="142"/>
        <w:rPr>
          <w:rFonts w:cs="Tahoma"/>
          <w:szCs w:val="22"/>
        </w:rPr>
      </w:pPr>
    </w:p>
    <w:p w14:paraId="405882C9" w14:textId="5F71A138" w:rsidR="00D82B73" w:rsidRPr="0022288F" w:rsidRDefault="00821B22" w:rsidP="0022288F">
      <w:pPr>
        <w:spacing w:after="0" w:line="360" w:lineRule="auto"/>
        <w:ind w:left="567" w:right="567"/>
        <w:rPr>
          <w:rFonts w:eastAsia="Times New Roman" w:cs="Tahoma"/>
          <w:b/>
          <w:bCs/>
          <w:i/>
          <w:iCs/>
          <w:color w:val="auto"/>
          <w:sz w:val="20"/>
          <w:szCs w:val="20"/>
          <w:lang w:val="es-ES_tradnl" w:eastAsia="es-ES"/>
        </w:rPr>
      </w:pPr>
      <w:r w:rsidRPr="0022288F">
        <w:rPr>
          <w:rFonts w:eastAsia="Times New Roman" w:cs="Tahoma"/>
          <w:b/>
          <w:bCs/>
          <w:i/>
          <w:iCs/>
          <w:color w:val="auto"/>
          <w:sz w:val="20"/>
          <w:szCs w:val="20"/>
          <w:lang w:val="es-ES_tradnl" w:eastAsia="es-ES"/>
        </w:rPr>
        <w:t>“</w:t>
      </w:r>
      <w:r w:rsidR="00F406CE" w:rsidRPr="0022288F">
        <w:rPr>
          <w:rFonts w:eastAsia="Times New Roman" w:cs="Tahoma"/>
          <w:b/>
          <w:bCs/>
          <w:i/>
          <w:iCs/>
          <w:color w:val="auto"/>
          <w:sz w:val="20"/>
          <w:szCs w:val="20"/>
          <w:lang w:val="es-ES_tradnl" w:eastAsia="es-ES"/>
        </w:rPr>
        <w:t xml:space="preserve">ACTO IMPUGNADO </w:t>
      </w:r>
    </w:p>
    <w:p w14:paraId="73364416" w14:textId="4A2F3FCF" w:rsidR="00D82B73" w:rsidRPr="0022288F" w:rsidRDefault="00821B22" w:rsidP="0022288F">
      <w:pPr>
        <w:spacing w:after="0" w:line="360" w:lineRule="auto"/>
        <w:ind w:left="567" w:right="567"/>
        <w:rPr>
          <w:rFonts w:eastAsia="Times New Roman" w:cs="Tahoma"/>
          <w:i/>
          <w:iCs/>
          <w:color w:val="auto"/>
          <w:sz w:val="20"/>
          <w:szCs w:val="20"/>
          <w:lang w:val="es-ES_tradnl" w:eastAsia="es-ES"/>
        </w:rPr>
      </w:pPr>
      <w:r w:rsidRPr="0022288F">
        <w:rPr>
          <w:rFonts w:eastAsia="Times New Roman" w:cs="Tahoma"/>
          <w:i/>
          <w:iCs/>
          <w:color w:val="auto"/>
          <w:sz w:val="20"/>
          <w:szCs w:val="20"/>
          <w:lang w:val="es-ES_tradnl" w:eastAsia="es-ES"/>
        </w:rPr>
        <w:t>La respuesta”</w:t>
      </w:r>
      <w:r w:rsidR="00F406CE" w:rsidRPr="0022288F">
        <w:rPr>
          <w:rFonts w:eastAsia="Times New Roman" w:cs="Tahoma"/>
          <w:i/>
          <w:iCs/>
          <w:color w:val="auto"/>
          <w:sz w:val="20"/>
          <w:szCs w:val="20"/>
          <w:lang w:val="es-ES_tradnl" w:eastAsia="es-ES"/>
        </w:rPr>
        <w:t xml:space="preserve">. (Sic) </w:t>
      </w:r>
    </w:p>
    <w:p w14:paraId="4AF80587" w14:textId="77777777" w:rsidR="00821B22" w:rsidRDefault="00821B22" w:rsidP="00AD62BD">
      <w:pPr>
        <w:pStyle w:val="Prrafodelista"/>
        <w:spacing w:line="360" w:lineRule="auto"/>
        <w:ind w:left="142"/>
        <w:rPr>
          <w:rFonts w:cs="Tahoma"/>
          <w:szCs w:val="22"/>
        </w:rPr>
      </w:pPr>
    </w:p>
    <w:p w14:paraId="02828EFB" w14:textId="37467DED" w:rsidR="00821B22" w:rsidRPr="00821B22" w:rsidRDefault="00821B22" w:rsidP="0022288F">
      <w:pPr>
        <w:spacing w:after="0" w:line="360" w:lineRule="auto"/>
        <w:ind w:left="567" w:right="567"/>
        <w:rPr>
          <w:rFonts w:cs="Tahoma"/>
          <w:i/>
          <w:sz w:val="20"/>
        </w:rPr>
      </w:pPr>
      <w:r w:rsidRPr="0022288F">
        <w:rPr>
          <w:rFonts w:eastAsia="Times New Roman" w:cs="Tahoma"/>
          <w:b/>
          <w:bCs/>
          <w:i/>
          <w:iCs/>
          <w:color w:val="auto"/>
          <w:sz w:val="20"/>
          <w:szCs w:val="20"/>
          <w:lang w:val="es-ES_tradnl" w:eastAsia="es-ES"/>
        </w:rPr>
        <w:t>“RAZONES O MOTIVOS DE LA INCONFORMIDAD</w:t>
      </w:r>
      <w:r w:rsidRPr="00821B22">
        <w:rPr>
          <w:rFonts w:cs="Tahoma"/>
          <w:i/>
          <w:sz w:val="20"/>
        </w:rPr>
        <w:tab/>
      </w:r>
    </w:p>
    <w:p w14:paraId="19687A55" w14:textId="3C73E5F3" w:rsidR="00D82B73" w:rsidRPr="0022288F" w:rsidRDefault="00821B22" w:rsidP="0022288F">
      <w:pPr>
        <w:spacing w:after="0" w:line="360" w:lineRule="auto"/>
        <w:ind w:left="567" w:right="567"/>
        <w:rPr>
          <w:rFonts w:eastAsia="Times New Roman" w:cs="Tahoma"/>
          <w:i/>
          <w:iCs/>
          <w:color w:val="auto"/>
          <w:sz w:val="20"/>
          <w:szCs w:val="20"/>
          <w:lang w:val="es-ES_tradnl" w:eastAsia="es-ES"/>
        </w:rPr>
      </w:pPr>
      <w:r w:rsidRPr="0022288F">
        <w:rPr>
          <w:rFonts w:eastAsia="Times New Roman" w:cs="Tahoma"/>
          <w:i/>
          <w:iCs/>
          <w:color w:val="auto"/>
          <w:sz w:val="20"/>
          <w:szCs w:val="20"/>
          <w:lang w:val="es-ES_tradnl" w:eastAsia="es-ES"/>
        </w:rPr>
        <w:t xml:space="preserve">Envían un proyecto de versión pública en la que </w:t>
      </w:r>
      <w:r w:rsidR="0022288F">
        <w:rPr>
          <w:rFonts w:eastAsia="Times New Roman" w:cs="Tahoma"/>
          <w:i/>
          <w:iCs/>
          <w:color w:val="auto"/>
          <w:sz w:val="20"/>
          <w:szCs w:val="20"/>
          <w:lang w:val="es-ES_tradnl" w:eastAsia="es-ES"/>
        </w:rPr>
        <w:t>‘</w:t>
      </w:r>
      <w:r w:rsidRPr="0022288F">
        <w:rPr>
          <w:rFonts w:eastAsia="Times New Roman" w:cs="Tahoma"/>
          <w:i/>
          <w:iCs/>
          <w:color w:val="auto"/>
          <w:sz w:val="20"/>
          <w:szCs w:val="20"/>
          <w:lang w:val="es-ES_tradnl" w:eastAsia="es-ES"/>
        </w:rPr>
        <w:t>fundan y motivan</w:t>
      </w:r>
      <w:r w:rsidR="0022288F">
        <w:rPr>
          <w:rFonts w:eastAsia="Times New Roman" w:cs="Tahoma"/>
          <w:i/>
          <w:iCs/>
          <w:color w:val="auto"/>
          <w:sz w:val="20"/>
          <w:szCs w:val="20"/>
          <w:lang w:val="es-ES_tradnl" w:eastAsia="es-ES"/>
        </w:rPr>
        <w:t>’</w:t>
      </w:r>
      <w:r w:rsidRPr="0022288F">
        <w:rPr>
          <w:rFonts w:eastAsia="Times New Roman" w:cs="Tahoma"/>
          <w:i/>
          <w:iCs/>
          <w:color w:val="auto"/>
          <w:sz w:val="20"/>
          <w:szCs w:val="20"/>
          <w:lang w:val="es-ES_tradnl" w:eastAsia="es-ES"/>
        </w:rPr>
        <w:t xml:space="preserve"> la necesidad de testar 3 datos personales (CURP, RFC, CÓDIGO QR) pero ya en la entrega de la documentación se testan más datos y ni siquiera se mencionan cuáles son, tampoco colocan una debida leyenda de testado, considerando entonces como un documento alterado y este solicitante queda en la incógnita de qué datos se restan y porque lo hacen si no lo mencionan en el proyecto. Como ejemplo se testa la firma y está no es procedente testarla pues es un dato público. No cumplen con lo que señalan los lineamientos.”</w:t>
      </w:r>
    </w:p>
    <w:p w14:paraId="677F87C2" w14:textId="77777777" w:rsidR="00821B22" w:rsidRPr="00821B22" w:rsidRDefault="00821B22" w:rsidP="00AD62BD">
      <w:pPr>
        <w:pStyle w:val="Prrafodelista"/>
        <w:spacing w:line="360" w:lineRule="auto"/>
        <w:ind w:left="142"/>
        <w:rPr>
          <w:rFonts w:cs="Tahoma"/>
          <w:i/>
          <w:sz w:val="20"/>
          <w:szCs w:val="22"/>
        </w:rPr>
      </w:pPr>
    </w:p>
    <w:p w14:paraId="5829D1DD" w14:textId="055E7A19" w:rsidR="00D82B73" w:rsidRDefault="00F406CE" w:rsidP="0022288F">
      <w:pPr>
        <w:autoSpaceDE w:val="0"/>
        <w:autoSpaceDN w:val="0"/>
        <w:adjustRightInd w:val="0"/>
        <w:spacing w:after="0" w:line="360" w:lineRule="auto"/>
        <w:rPr>
          <w:rFonts w:cs="Tahoma"/>
        </w:rPr>
      </w:pPr>
      <w:r w:rsidRPr="0022288F">
        <w:rPr>
          <w:rFonts w:eastAsia="Times New Roman" w:cs="Tahoma"/>
          <w:b/>
          <w:color w:val="0D0D0D" w:themeColor="text1" w:themeTint="F2"/>
          <w:lang w:val="es-ES_tradnl" w:eastAsia="es-ES"/>
        </w:rPr>
        <w:t>IV</w:t>
      </w:r>
      <w:r w:rsidRPr="00443A58">
        <w:rPr>
          <w:rFonts w:cs="Tahoma"/>
          <w:b/>
        </w:rPr>
        <w:t>. Trámite del Recurso de Revisión ante este Instituto.</w:t>
      </w:r>
      <w:r w:rsidRPr="00443A58">
        <w:rPr>
          <w:rFonts w:cs="Tahoma"/>
        </w:rPr>
        <w:t xml:space="preserve"> </w:t>
      </w:r>
    </w:p>
    <w:p w14:paraId="147EBEDE" w14:textId="77777777" w:rsidR="0022288F" w:rsidRPr="00443A58" w:rsidRDefault="0022288F" w:rsidP="0022288F">
      <w:pPr>
        <w:autoSpaceDE w:val="0"/>
        <w:autoSpaceDN w:val="0"/>
        <w:adjustRightInd w:val="0"/>
        <w:spacing w:after="0" w:line="360" w:lineRule="auto"/>
        <w:rPr>
          <w:rFonts w:cs="Tahoma"/>
        </w:rPr>
      </w:pPr>
    </w:p>
    <w:p w14:paraId="38DF531B" w14:textId="2997C618" w:rsidR="00D82B73" w:rsidRDefault="00F406CE" w:rsidP="00AD62BD">
      <w:pPr>
        <w:pStyle w:val="Prrafodelista"/>
        <w:spacing w:line="360" w:lineRule="auto"/>
        <w:ind w:left="0"/>
        <w:rPr>
          <w:rFonts w:cs="Tahoma"/>
          <w:szCs w:val="22"/>
        </w:rPr>
      </w:pPr>
      <w:r w:rsidRPr="00443A58">
        <w:rPr>
          <w:rFonts w:cs="Tahoma"/>
          <w:b/>
          <w:szCs w:val="22"/>
        </w:rPr>
        <w:t>a) Turno del Medio de Impugnación</w:t>
      </w:r>
      <w:r w:rsidRPr="00443A58">
        <w:rPr>
          <w:rFonts w:cs="Tahoma"/>
          <w:szCs w:val="22"/>
        </w:rPr>
        <w:t xml:space="preserve">. El </w:t>
      </w:r>
      <w:r w:rsidR="00443A58" w:rsidRPr="00443A58">
        <w:rPr>
          <w:rFonts w:cs="Tahoma"/>
          <w:szCs w:val="22"/>
        </w:rPr>
        <w:t>tres</w:t>
      </w:r>
      <w:r w:rsidR="00443A58">
        <w:rPr>
          <w:rFonts w:cs="Tahoma"/>
          <w:szCs w:val="22"/>
        </w:rPr>
        <w:t xml:space="preserve"> de febrero de dos mil veintidós</w:t>
      </w:r>
      <w:r w:rsidRPr="00D82B73">
        <w:rPr>
          <w:rFonts w:cs="Tahoma"/>
          <w:szCs w:val="22"/>
        </w:rPr>
        <w:t xml:space="preserve">, el Sistema de Acceso a la Información Mexiquense (SAIMEX), asignó el número de expediente </w:t>
      </w:r>
      <w:r w:rsidR="00443A58" w:rsidRPr="00443A58">
        <w:rPr>
          <w:rFonts w:cs="Tahoma"/>
          <w:szCs w:val="22"/>
        </w:rPr>
        <w:t>00556/INFOEM/IP/RR/2022</w:t>
      </w:r>
      <w:r w:rsidRPr="00D82B73">
        <w:rPr>
          <w:rFonts w:cs="Tahoma"/>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14:paraId="4991B030" w14:textId="77777777" w:rsidR="004A7747" w:rsidRDefault="004A7747" w:rsidP="00AD62BD">
      <w:pPr>
        <w:pStyle w:val="Prrafodelista"/>
        <w:spacing w:line="360" w:lineRule="auto"/>
        <w:ind w:left="0"/>
        <w:rPr>
          <w:rFonts w:cs="Tahoma"/>
          <w:szCs w:val="22"/>
        </w:rPr>
      </w:pPr>
    </w:p>
    <w:p w14:paraId="660B97CE" w14:textId="7F289315" w:rsidR="00D82B73" w:rsidRDefault="00F406CE" w:rsidP="00AD62BD">
      <w:pPr>
        <w:pStyle w:val="Prrafodelista"/>
        <w:spacing w:line="360" w:lineRule="auto"/>
        <w:ind w:left="0"/>
        <w:rPr>
          <w:rFonts w:cs="Tahoma"/>
          <w:szCs w:val="22"/>
        </w:rPr>
      </w:pPr>
      <w:r w:rsidRPr="00D82B73">
        <w:rPr>
          <w:rFonts w:cs="Tahoma"/>
          <w:b/>
          <w:szCs w:val="22"/>
        </w:rPr>
        <w:t>b) Admisión del Recurso de Revisión</w:t>
      </w:r>
      <w:r w:rsidRPr="00D82B73">
        <w:rPr>
          <w:rFonts w:cs="Tahoma"/>
          <w:szCs w:val="22"/>
        </w:rPr>
        <w:t xml:space="preserve">. El </w:t>
      </w:r>
      <w:r w:rsidR="00443A58">
        <w:rPr>
          <w:rFonts w:cs="Tahoma"/>
          <w:szCs w:val="22"/>
        </w:rPr>
        <w:t>nueve de febrero de dos mil veintidós</w:t>
      </w:r>
      <w:r w:rsidRPr="00D82B73">
        <w:rPr>
          <w:rFonts w:cs="Tahoma"/>
          <w:szCs w:val="22"/>
        </w:rPr>
        <w:t xml:space="preserve">, se acordó la admisión del Recurso de Revisión interpuesto por el Recurrente en contra del Sujeto Obligado, en términos del artículo 185, fracciones I y II de la Ley de Transparencia y Acceso a la </w:t>
      </w:r>
      <w:r w:rsidRPr="00D82B73">
        <w:rPr>
          <w:rFonts w:cs="Tahoma"/>
          <w:szCs w:val="22"/>
        </w:rPr>
        <w:lastRenderedPageBreak/>
        <w:t xml:space="preserve">Información Pública del Estado de México y Municipios, el cual fue notificado a las partes, el tres de dicho mes y año, a través del Sistema de Acceso a la Información Mexiquense (SAIMEX), en el que se les otorgó un plazo de siete días hábiles posteriores a la misma, para que manifestaran lo que a su derecho conviniera y formularan alegatos. </w:t>
      </w:r>
    </w:p>
    <w:p w14:paraId="18C10030" w14:textId="77777777" w:rsidR="00443A58" w:rsidRDefault="00443A58" w:rsidP="00AD62BD">
      <w:pPr>
        <w:pStyle w:val="Prrafodelista"/>
        <w:spacing w:line="360" w:lineRule="auto"/>
        <w:ind w:left="142"/>
        <w:rPr>
          <w:rFonts w:cs="Tahoma"/>
          <w:szCs w:val="22"/>
        </w:rPr>
      </w:pPr>
    </w:p>
    <w:p w14:paraId="116451AC" w14:textId="57C94E1E" w:rsidR="00443A58" w:rsidRDefault="0022288F" w:rsidP="0022288F">
      <w:pPr>
        <w:spacing w:after="0" w:line="360" w:lineRule="auto"/>
        <w:rPr>
          <w:rFonts w:eastAsia="Times New Roman" w:cs="Tahoma"/>
          <w:bCs/>
          <w:color w:val="auto"/>
          <w:lang w:val="es-ES_tradnl" w:eastAsia="es-ES"/>
        </w:rPr>
      </w:pPr>
      <w:r>
        <w:rPr>
          <w:rFonts w:eastAsia="Times New Roman" w:cs="Tahoma"/>
          <w:b/>
          <w:color w:val="auto"/>
          <w:lang w:val="es-ES_tradnl" w:eastAsia="es-ES"/>
        </w:rPr>
        <w:t>c</w:t>
      </w:r>
      <w:r w:rsidR="00443A58" w:rsidRPr="00443A58">
        <w:rPr>
          <w:rFonts w:eastAsia="Times New Roman" w:cs="Tahoma"/>
          <w:b/>
          <w:color w:val="auto"/>
          <w:lang w:val="es-ES_tradnl" w:eastAsia="es-ES"/>
        </w:rPr>
        <w:t>) Informe Justificado</w:t>
      </w:r>
      <w:r>
        <w:rPr>
          <w:rFonts w:eastAsia="Times New Roman" w:cs="Tahoma"/>
          <w:b/>
          <w:color w:val="auto"/>
          <w:lang w:val="es-ES_tradnl" w:eastAsia="es-ES"/>
        </w:rPr>
        <w:t xml:space="preserve"> o manifestaciones. </w:t>
      </w:r>
      <w:r>
        <w:rPr>
          <w:rFonts w:eastAsia="Times New Roman" w:cs="Tahoma"/>
          <w:bCs/>
          <w:color w:val="auto"/>
          <w:lang w:val="es-ES_tradnl" w:eastAsia="es-ES"/>
        </w:rPr>
        <w:t>Las partes fueron omisas en emitir manifestaciones o alegatos.</w:t>
      </w:r>
    </w:p>
    <w:p w14:paraId="60C6AA04" w14:textId="77777777" w:rsidR="001A4A1F" w:rsidRPr="0022288F" w:rsidRDefault="001A4A1F" w:rsidP="0022288F">
      <w:pPr>
        <w:spacing w:after="0" w:line="360" w:lineRule="auto"/>
        <w:rPr>
          <w:rFonts w:eastAsia="Times New Roman" w:cs="Tahoma"/>
          <w:bCs/>
          <w:color w:val="auto"/>
          <w:lang w:val="es-ES_tradnl" w:eastAsia="es-ES"/>
        </w:rPr>
      </w:pPr>
    </w:p>
    <w:p w14:paraId="509DE769" w14:textId="65F09D0F" w:rsidR="00443A58" w:rsidRPr="00443A58" w:rsidRDefault="0022288F" w:rsidP="00AD62BD">
      <w:pPr>
        <w:spacing w:after="0" w:line="360" w:lineRule="auto"/>
        <w:rPr>
          <w:rFonts w:eastAsia="Palatino Linotype" w:cs="Palatino Linotype"/>
          <w:color w:val="auto"/>
          <w:lang w:val="es-ES" w:eastAsia="es-ES"/>
        </w:rPr>
      </w:pPr>
      <w:r>
        <w:rPr>
          <w:rFonts w:eastAsia="Palatino Linotype" w:cs="Palatino Linotype"/>
          <w:b/>
          <w:bCs/>
          <w:color w:val="auto"/>
          <w:lang w:val="es-ES" w:eastAsia="es-ES"/>
        </w:rPr>
        <w:t>d</w:t>
      </w:r>
      <w:r w:rsidR="00443A58" w:rsidRPr="00443A58">
        <w:rPr>
          <w:rFonts w:eastAsia="Palatino Linotype" w:cs="Palatino Linotype"/>
          <w:b/>
          <w:bCs/>
          <w:color w:val="auto"/>
          <w:lang w:val="es-ES" w:eastAsia="es-ES"/>
        </w:rPr>
        <w:t xml:space="preserve">) Ampliación de plazo para resolver. </w:t>
      </w:r>
      <w:r w:rsidR="00443A58" w:rsidRPr="00443A58">
        <w:rPr>
          <w:rFonts w:eastAsia="Palatino Linotype" w:cs="Palatino Linotype"/>
          <w:color w:val="auto"/>
          <w:lang w:val="es-ES" w:eastAsia="es-ES"/>
        </w:rPr>
        <w:t xml:space="preserve">El </w:t>
      </w:r>
      <w:r w:rsidR="00443A58">
        <w:rPr>
          <w:rFonts w:eastAsia="Palatino Linotype" w:cs="Palatino Linotype"/>
          <w:color w:val="auto"/>
          <w:lang w:val="es-ES" w:eastAsia="es-ES"/>
        </w:rPr>
        <w:t>veintiocho de marzo</w:t>
      </w:r>
      <w:r w:rsidR="0004695D">
        <w:rPr>
          <w:rFonts w:eastAsia="Palatino Linotype" w:cs="Palatino Linotype"/>
          <w:color w:val="auto"/>
          <w:lang w:val="es-ES" w:eastAsia="es-ES"/>
        </w:rPr>
        <w:t xml:space="preserve"> </w:t>
      </w:r>
      <w:r w:rsidR="00443A58" w:rsidRPr="00443A58">
        <w:rPr>
          <w:rFonts w:eastAsia="Palatino Linotype" w:cs="Palatino Linotype"/>
          <w:color w:val="auto"/>
          <w:lang w:val="es-ES" w:eastAsia="es-ES"/>
        </w:rPr>
        <w:t>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54C37C43" w14:textId="77777777" w:rsidR="00443A58" w:rsidRPr="00443A58" w:rsidRDefault="00443A58" w:rsidP="00AD62BD">
      <w:pPr>
        <w:spacing w:after="0" w:line="360" w:lineRule="auto"/>
        <w:rPr>
          <w:rFonts w:eastAsia="Palatino Linotype" w:cs="Palatino Linotype"/>
          <w:color w:val="auto"/>
          <w:lang w:val="es-ES" w:eastAsia="es-ES"/>
        </w:rPr>
      </w:pPr>
    </w:p>
    <w:p w14:paraId="6A82FD5D" w14:textId="0245D2B5" w:rsidR="00443A58" w:rsidRPr="00443A58" w:rsidRDefault="00D54C5E" w:rsidP="00AD62BD">
      <w:pPr>
        <w:spacing w:after="0" w:line="360" w:lineRule="auto"/>
        <w:rPr>
          <w:rFonts w:eastAsia="Palatino Linotype" w:cs="Palatino Linotype"/>
          <w:color w:val="auto"/>
          <w:lang w:val="es-ES" w:eastAsia="es-ES"/>
        </w:rPr>
      </w:pPr>
      <w:r w:rsidRPr="008C3029">
        <w:rPr>
          <w:rFonts w:eastAsia="Palatino Linotype" w:cs="Palatino Linotype"/>
          <w:b/>
          <w:bCs/>
          <w:color w:val="auto"/>
          <w:lang w:val="es-ES" w:eastAsia="es-ES"/>
        </w:rPr>
        <w:t>e</w:t>
      </w:r>
      <w:r w:rsidR="00443A58" w:rsidRPr="008C3029">
        <w:rPr>
          <w:rFonts w:eastAsia="Palatino Linotype" w:cs="Palatino Linotype"/>
          <w:b/>
          <w:bCs/>
          <w:color w:val="auto"/>
          <w:lang w:val="es-ES" w:eastAsia="es-ES"/>
        </w:rPr>
        <w:t>)</w:t>
      </w:r>
      <w:r w:rsidR="00443A58" w:rsidRPr="00443A58">
        <w:rPr>
          <w:rFonts w:eastAsia="Palatino Linotype" w:cs="Palatino Linotype"/>
          <w:b/>
          <w:color w:val="auto"/>
          <w:lang w:val="es-ES" w:eastAsia="es-ES"/>
        </w:rPr>
        <w:t xml:space="preserve"> Cierre de instrucción</w:t>
      </w:r>
      <w:r w:rsidR="00443A58" w:rsidRPr="00443A58">
        <w:rPr>
          <w:rFonts w:eastAsia="Palatino Linotype" w:cs="Palatino Linotype"/>
          <w:color w:val="auto"/>
          <w:lang w:val="es-ES" w:eastAsia="es-ES"/>
        </w:rPr>
        <w:t>. El v</w:t>
      </w:r>
      <w:r>
        <w:rPr>
          <w:rFonts w:eastAsia="Palatino Linotype" w:cs="Palatino Linotype"/>
          <w:color w:val="auto"/>
          <w:lang w:val="es-ES" w:eastAsia="es-ES"/>
        </w:rPr>
        <w:t>eintidós</w:t>
      </w:r>
      <w:r w:rsidR="00443A58" w:rsidRPr="00443A58">
        <w:rPr>
          <w:rFonts w:eastAsia="Palatino Linotype" w:cs="Palatino Linotype"/>
          <w:color w:val="auto"/>
          <w:lang w:val="es-ES" w:eastAsia="es-ES"/>
        </w:rPr>
        <w:t xml:space="preserve"> de marzo</w:t>
      </w:r>
      <w:r w:rsidR="0004695D">
        <w:rPr>
          <w:rFonts w:eastAsia="Palatino Linotype" w:cs="Palatino Linotype"/>
          <w:color w:val="auto"/>
          <w:lang w:val="es-ES" w:eastAsia="es-ES"/>
        </w:rPr>
        <w:t xml:space="preserve"> </w:t>
      </w:r>
      <w:r w:rsidR="00443A58" w:rsidRPr="00443A58">
        <w:rPr>
          <w:rFonts w:eastAsia="Palatino Linotype" w:cs="Palatino Linotype"/>
          <w:color w:val="auto"/>
          <w:lang w:val="es-ES" w:eastAsia="es-ES"/>
        </w:rPr>
        <w:t xml:space="preserve">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w:t>
      </w:r>
      <w:r>
        <w:rPr>
          <w:rFonts w:eastAsia="Palatino Linotype" w:cs="Palatino Linotype"/>
          <w:color w:val="auto"/>
          <w:lang w:val="es-ES" w:eastAsia="es-ES"/>
        </w:rPr>
        <w:t>veintitrés de dicho mes y año</w:t>
      </w:r>
      <w:r w:rsidR="00443A58" w:rsidRPr="00443A58">
        <w:rPr>
          <w:rFonts w:eastAsia="Palatino Linotype" w:cs="Palatino Linotype"/>
          <w:color w:val="auto"/>
          <w:lang w:val="es-ES" w:eastAsia="es-ES"/>
        </w:rPr>
        <w:t>, a través del Sistema de Acceso a la Información Mexiquense (SAIMEX).</w:t>
      </w:r>
    </w:p>
    <w:p w14:paraId="3E3ECF9F" w14:textId="7D42456A" w:rsidR="00443A58" w:rsidRDefault="00443A58" w:rsidP="00AD62BD">
      <w:pPr>
        <w:spacing w:after="0" w:line="360" w:lineRule="auto"/>
        <w:rPr>
          <w:rFonts w:eastAsia="Palatino Linotype" w:cs="Palatino Linotype"/>
          <w:color w:val="auto"/>
          <w:lang w:val="es-ES" w:eastAsia="es-ES"/>
        </w:rPr>
      </w:pPr>
    </w:p>
    <w:p w14:paraId="2154391A" w14:textId="39E47C8E" w:rsidR="00D54C5E" w:rsidRPr="00D54C5E" w:rsidRDefault="00D54C5E" w:rsidP="00D54C5E">
      <w:pPr>
        <w:spacing w:after="0" w:line="360" w:lineRule="auto"/>
        <w:rPr>
          <w:rFonts w:eastAsia="Palatino Linotype" w:cs="Palatino Linotype"/>
          <w:color w:val="auto"/>
          <w:lang w:val="es-ES" w:eastAsia="es-MX"/>
        </w:rPr>
      </w:pPr>
      <w:r w:rsidRPr="00D54C5E">
        <w:rPr>
          <w:rFonts w:eastAsia="Palatino Linotype" w:cs="Palatino Linotype"/>
          <w:b/>
          <w:bCs/>
          <w:color w:val="auto"/>
          <w:lang w:val="es-ES" w:eastAsia="es-MX"/>
        </w:rPr>
        <w:t xml:space="preserve">f) Ampliación de plazo para resolver. </w:t>
      </w:r>
      <w:r w:rsidRPr="00D54C5E">
        <w:rPr>
          <w:rFonts w:eastAsia="Palatino Linotype" w:cs="Palatino Linotype"/>
          <w:color w:val="auto"/>
          <w:lang w:val="es-ES" w:eastAsia="es-MX"/>
        </w:rPr>
        <w:t xml:space="preserve">El </w:t>
      </w:r>
      <w:r>
        <w:rPr>
          <w:rFonts w:eastAsia="Palatino Linotype" w:cs="Palatino Linotype"/>
          <w:color w:val="auto"/>
          <w:lang w:val="es-ES" w:eastAsia="es-MX"/>
        </w:rPr>
        <w:t xml:space="preserve">veintinueve </w:t>
      </w:r>
      <w:r w:rsidRPr="00D54C5E">
        <w:rPr>
          <w:rFonts w:eastAsia="Palatino Linotype" w:cs="Palatino Linotype"/>
          <w:color w:val="auto"/>
          <w:lang w:val="es-ES" w:eastAsia="es-MX"/>
        </w:rPr>
        <w:t xml:space="preserve">de marzo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w:t>
      </w:r>
      <w:r w:rsidRPr="00D54C5E">
        <w:rPr>
          <w:rFonts w:eastAsia="Palatino Linotype" w:cs="Palatino Linotype"/>
          <w:color w:val="auto"/>
          <w:lang w:val="es-ES" w:eastAsia="es-MX"/>
        </w:rPr>
        <w:lastRenderedPageBreak/>
        <w:t>Revisión que nos ocupa; acto que fue notificado a las partes, mediante el Sistema de Acceso a la Información Mexiquense (SAIMEX).</w:t>
      </w:r>
    </w:p>
    <w:p w14:paraId="01562C7B" w14:textId="77777777" w:rsidR="00D54C5E" w:rsidRPr="00443A58" w:rsidRDefault="00D54C5E" w:rsidP="00AD62BD">
      <w:pPr>
        <w:spacing w:after="0" w:line="360" w:lineRule="auto"/>
        <w:rPr>
          <w:rFonts w:eastAsia="Palatino Linotype" w:cs="Palatino Linotype"/>
          <w:color w:val="auto"/>
          <w:lang w:val="es-ES" w:eastAsia="es-ES"/>
        </w:rPr>
      </w:pPr>
    </w:p>
    <w:p w14:paraId="77051ADD" w14:textId="043FD015" w:rsidR="00D82B73" w:rsidRDefault="00443A58" w:rsidP="00D54C5E">
      <w:pPr>
        <w:spacing w:after="0" w:line="360" w:lineRule="auto"/>
        <w:rPr>
          <w:rFonts w:eastAsia="Times New Roman" w:cs="Tahoma"/>
          <w:color w:val="000000"/>
          <w:lang w:val="es-ES_tradnl" w:eastAsia="es-ES"/>
        </w:rPr>
      </w:pPr>
      <w:r w:rsidRPr="00443A58">
        <w:rPr>
          <w:rFonts w:eastAsia="Times New Roman" w:cs="Tahoma"/>
          <w:color w:val="000000"/>
          <w:lang w:val="es-ES_tradnl" w:eastAsia="es-ES"/>
        </w:rPr>
        <w:t xml:space="preserve">En razón de que fue debidamente sustanciado el expediente electrónico y no existe diligencia pendiente de desahogo, se emite la resolución que conforme a Derecho proceda, de acuerdo a los siguientes: </w:t>
      </w:r>
    </w:p>
    <w:p w14:paraId="1F1E5746" w14:textId="77777777" w:rsidR="00D54C5E" w:rsidRPr="00D54C5E" w:rsidRDefault="00D54C5E" w:rsidP="00D54C5E">
      <w:pPr>
        <w:spacing w:after="0" w:line="360" w:lineRule="auto"/>
        <w:rPr>
          <w:rFonts w:eastAsia="Times New Roman" w:cs="Tahoma"/>
          <w:color w:val="000000"/>
          <w:lang w:val="es-ES_tradnl" w:eastAsia="es-ES"/>
        </w:rPr>
      </w:pPr>
    </w:p>
    <w:p w14:paraId="4647AD46" w14:textId="77777777" w:rsidR="00C853D1" w:rsidRPr="00FF32E9" w:rsidRDefault="00C853D1" w:rsidP="00AD62BD">
      <w:pPr>
        <w:spacing w:after="0" w:line="360" w:lineRule="auto"/>
        <w:jc w:val="center"/>
        <w:rPr>
          <w:rFonts w:eastAsia="Times New Roman" w:cs="Tahoma"/>
          <w:b/>
          <w:color w:val="auto"/>
          <w:lang w:val="es-ES" w:eastAsia="es-ES"/>
        </w:rPr>
      </w:pPr>
      <w:r w:rsidRPr="00157C2F">
        <w:rPr>
          <w:rFonts w:eastAsia="Times New Roman" w:cs="Tahoma"/>
          <w:b/>
          <w:color w:val="auto"/>
          <w:lang w:val="es-ES" w:eastAsia="es-ES"/>
        </w:rPr>
        <w:t>C O N S I D E R A N D O S:</w:t>
      </w:r>
    </w:p>
    <w:p w14:paraId="46CF2E78" w14:textId="6A06E142" w:rsidR="00C853D1" w:rsidRDefault="00C853D1" w:rsidP="00AD62BD">
      <w:pPr>
        <w:spacing w:after="0" w:line="360" w:lineRule="auto"/>
        <w:rPr>
          <w:b/>
        </w:rPr>
      </w:pPr>
    </w:p>
    <w:p w14:paraId="24FC9019" w14:textId="77777777" w:rsidR="00D54C5E" w:rsidRPr="00FF32E9" w:rsidRDefault="00D54C5E" w:rsidP="00AD62BD">
      <w:pPr>
        <w:spacing w:after="0" w:line="360" w:lineRule="auto"/>
        <w:rPr>
          <w:b/>
        </w:rPr>
      </w:pPr>
    </w:p>
    <w:p w14:paraId="15369BD8" w14:textId="77777777" w:rsidR="00C853D1" w:rsidRPr="00FF32E9" w:rsidRDefault="00C853D1" w:rsidP="00AD62BD">
      <w:pPr>
        <w:autoSpaceDE w:val="0"/>
        <w:autoSpaceDN w:val="0"/>
        <w:adjustRightInd w:val="0"/>
        <w:spacing w:after="0" w:line="360" w:lineRule="auto"/>
        <w:rPr>
          <w:rFonts w:eastAsia="Times New Roman" w:cs="Tahoma"/>
          <w:b/>
          <w:color w:val="auto"/>
          <w:szCs w:val="24"/>
          <w:lang w:val="es-ES" w:eastAsia="es-ES"/>
        </w:rPr>
      </w:pPr>
      <w:r w:rsidRPr="00FF32E9">
        <w:rPr>
          <w:rFonts w:eastAsia="Calibri" w:cs="Tahoma"/>
          <w:b/>
          <w:color w:val="000000"/>
          <w:szCs w:val="24"/>
          <w:lang w:val="es-ES" w:eastAsia="es-MX"/>
        </w:rPr>
        <w:t>PRIMERO</w:t>
      </w:r>
      <w:r w:rsidRPr="00FF32E9">
        <w:rPr>
          <w:rFonts w:eastAsia="Calibri" w:cs="Tahoma"/>
          <w:color w:val="000000"/>
          <w:szCs w:val="24"/>
          <w:lang w:val="es-ES" w:eastAsia="es-MX"/>
        </w:rPr>
        <w:t xml:space="preserve">. </w:t>
      </w:r>
      <w:r w:rsidRPr="00FF32E9">
        <w:rPr>
          <w:rFonts w:eastAsia="Times New Roman" w:cs="Tahoma"/>
          <w:b/>
          <w:color w:val="auto"/>
          <w:szCs w:val="24"/>
          <w:lang w:val="es-ES" w:eastAsia="es-ES"/>
        </w:rPr>
        <w:t>Competencia.</w:t>
      </w:r>
    </w:p>
    <w:p w14:paraId="6B0576AC" w14:textId="77777777" w:rsidR="00C853D1" w:rsidRPr="00FF32E9" w:rsidRDefault="00C853D1" w:rsidP="00AD62BD">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FF32E9" w:rsidRDefault="00C853D1" w:rsidP="00AD62BD">
      <w:pPr>
        <w:spacing w:after="0" w:line="360" w:lineRule="auto"/>
        <w:rPr>
          <w:rFonts w:eastAsia="Times New Roman" w:cs="Tahoma"/>
          <w:bCs/>
          <w:color w:val="auto"/>
          <w:lang w:eastAsia="es-ES"/>
        </w:rPr>
      </w:pPr>
      <w:r w:rsidRPr="00FF32E9">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82222" w:rsidRPr="00FF32E9">
        <w:rPr>
          <w:rFonts w:eastAsia="Times New Roman" w:cs="Tahoma"/>
          <w:bCs/>
          <w:color w:val="auto"/>
          <w:lang w:eastAsia="es-ES"/>
        </w:rPr>
        <w:t>trig</w:t>
      </w:r>
      <w:r w:rsidR="00682222" w:rsidRPr="00FF32E9">
        <w:rPr>
          <w:rFonts w:eastAsia="Times New Roman" w:cs="Tahoma"/>
          <w:bCs/>
          <w:color w:val="auto"/>
          <w:lang w:val="x-none" w:eastAsia="es-ES"/>
        </w:rPr>
        <w:t>ésimo, trigésimo primero</w:t>
      </w:r>
      <w:r w:rsidRPr="00FF32E9">
        <w:rPr>
          <w:rFonts w:eastAsia="Times New Roman" w:cs="Tahoma"/>
          <w:bCs/>
          <w:color w:val="auto"/>
          <w:lang w:eastAsia="es-ES"/>
        </w:rPr>
        <w:t xml:space="preserve"> y trigésimo </w:t>
      </w:r>
      <w:r w:rsidR="00682222" w:rsidRPr="00FF32E9">
        <w:rPr>
          <w:rFonts w:eastAsia="Times New Roman" w:cs="Tahoma"/>
          <w:bCs/>
          <w:color w:val="auto"/>
          <w:lang w:eastAsia="es-ES"/>
        </w:rPr>
        <w:t>segundo</w:t>
      </w:r>
      <w:r w:rsidRPr="00FF32E9">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F32E9">
        <w:rPr>
          <w:rFonts w:eastAsia="Times New Roman" w:cs="Times New Roman"/>
          <w:bCs/>
          <w:color w:val="auto"/>
          <w:lang w:eastAsia="es-ES"/>
        </w:rPr>
        <w:t xml:space="preserve"> 7°, </w:t>
      </w:r>
      <w:r w:rsidRPr="00FF32E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FF32E9" w:rsidRDefault="00C853D1" w:rsidP="00AD62BD">
      <w:pPr>
        <w:spacing w:after="0" w:line="360" w:lineRule="auto"/>
        <w:rPr>
          <w:rFonts w:eastAsia="Times New Roman" w:cs="Tahoma"/>
          <w:bCs/>
          <w:color w:val="auto"/>
          <w:lang w:eastAsia="es-ES"/>
        </w:rPr>
      </w:pPr>
    </w:p>
    <w:p w14:paraId="1CEE0B22" w14:textId="77777777" w:rsidR="00C853D1" w:rsidRPr="00FF32E9" w:rsidRDefault="00C853D1" w:rsidP="00AD62BD">
      <w:pPr>
        <w:autoSpaceDE w:val="0"/>
        <w:autoSpaceDN w:val="0"/>
        <w:adjustRightInd w:val="0"/>
        <w:spacing w:after="0" w:line="360" w:lineRule="auto"/>
        <w:rPr>
          <w:rFonts w:eastAsia="Times New Roman" w:cs="Tahoma"/>
          <w:color w:val="auto"/>
          <w:szCs w:val="24"/>
          <w:lang w:val="es-ES" w:eastAsia="es-ES"/>
        </w:rPr>
      </w:pPr>
      <w:r w:rsidRPr="00FF32E9">
        <w:rPr>
          <w:rFonts w:eastAsia="Calibri" w:cs="Tahoma"/>
          <w:b/>
          <w:color w:val="000000"/>
          <w:szCs w:val="24"/>
          <w:lang w:val="es-ES" w:eastAsia="es-MX"/>
        </w:rPr>
        <w:t>SEGUNDO</w:t>
      </w:r>
      <w:r w:rsidRPr="00FF32E9">
        <w:rPr>
          <w:rFonts w:eastAsia="Calibri" w:cs="Tahoma"/>
          <w:color w:val="000000"/>
          <w:szCs w:val="24"/>
          <w:lang w:val="es-ES" w:eastAsia="es-MX"/>
        </w:rPr>
        <w:t xml:space="preserve">. </w:t>
      </w:r>
      <w:r w:rsidRPr="00FF32E9">
        <w:rPr>
          <w:rFonts w:eastAsia="Times New Roman" w:cs="Tahoma"/>
          <w:b/>
          <w:color w:val="auto"/>
          <w:szCs w:val="24"/>
          <w:lang w:val="es-ES" w:eastAsia="es-ES"/>
        </w:rPr>
        <w:t>Causales de improcedencia y sobreseimiento.</w:t>
      </w:r>
      <w:r w:rsidRPr="00FF32E9">
        <w:rPr>
          <w:rFonts w:eastAsia="Times New Roman" w:cs="Tahoma"/>
          <w:color w:val="auto"/>
          <w:szCs w:val="24"/>
          <w:lang w:val="es-ES" w:eastAsia="es-ES"/>
        </w:rPr>
        <w:t xml:space="preserve"> </w:t>
      </w:r>
    </w:p>
    <w:p w14:paraId="732DCB46" w14:textId="77777777" w:rsidR="00C853D1" w:rsidRPr="00FF32E9" w:rsidRDefault="00C853D1" w:rsidP="00AD62BD">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FF32E9" w:rsidRDefault="00C853D1" w:rsidP="00AD62BD">
      <w:pPr>
        <w:autoSpaceDE w:val="0"/>
        <w:autoSpaceDN w:val="0"/>
        <w:adjustRightInd w:val="0"/>
        <w:spacing w:after="0" w:line="360" w:lineRule="auto"/>
        <w:rPr>
          <w:rFonts w:eastAsia="Times New Roman" w:cs="Tahoma"/>
          <w:color w:val="auto"/>
          <w:szCs w:val="24"/>
          <w:lang w:val="es-ES" w:eastAsia="es-ES"/>
        </w:rPr>
      </w:pPr>
      <w:r w:rsidRPr="00FF32E9">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FF32E9">
        <w:rPr>
          <w:rFonts w:eastAsia="Times New Roman" w:cs="Tahoma"/>
          <w:i/>
          <w:color w:val="auto"/>
          <w:szCs w:val="24"/>
          <w:lang w:val="es-ES" w:eastAsia="es-ES"/>
        </w:rPr>
        <w:t>litis</w:t>
      </w:r>
      <w:r w:rsidRPr="00FF32E9">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FF32E9" w:rsidRDefault="00C853D1" w:rsidP="00AD62BD">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FF32E9" w:rsidRDefault="00C853D1" w:rsidP="00AD62BD">
      <w:pPr>
        <w:autoSpaceDE w:val="0"/>
        <w:autoSpaceDN w:val="0"/>
        <w:adjustRightInd w:val="0"/>
        <w:spacing w:after="0" w:line="360" w:lineRule="auto"/>
        <w:rPr>
          <w:rFonts w:eastAsia="Calibri" w:cs="Tahoma"/>
          <w:color w:val="000000"/>
          <w:szCs w:val="24"/>
          <w:lang w:val="es-ES" w:eastAsia="es-MX"/>
        </w:rPr>
      </w:pPr>
      <w:r w:rsidRPr="00FF32E9">
        <w:rPr>
          <w:rFonts w:eastAsia="Calibri" w:cs="Tahoma"/>
          <w:b/>
          <w:color w:val="000000"/>
          <w:szCs w:val="24"/>
          <w:lang w:val="es-ES" w:eastAsia="es-MX"/>
        </w:rPr>
        <w:t>Causales de improcedencia.</w:t>
      </w:r>
      <w:r w:rsidRPr="00FF32E9">
        <w:rPr>
          <w:rFonts w:eastAsia="Calibri" w:cs="Tahoma"/>
          <w:color w:val="000000"/>
          <w:szCs w:val="24"/>
          <w:lang w:val="es-ES" w:eastAsia="es-MX"/>
        </w:rPr>
        <w:t xml:space="preserve"> </w:t>
      </w:r>
    </w:p>
    <w:p w14:paraId="61973DFD" w14:textId="77777777" w:rsidR="00C853D1" w:rsidRPr="00FF32E9" w:rsidRDefault="00C853D1" w:rsidP="00AD62BD">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FF32E9" w:rsidRDefault="00C853D1" w:rsidP="00AD62BD">
      <w:pPr>
        <w:autoSpaceDE w:val="0"/>
        <w:autoSpaceDN w:val="0"/>
        <w:adjustRightInd w:val="0"/>
        <w:spacing w:after="0" w:line="360" w:lineRule="auto"/>
        <w:rPr>
          <w:rFonts w:eastAsia="Calibri" w:cs="Tahoma"/>
          <w:color w:val="000000"/>
          <w:lang w:val="es-ES" w:eastAsia="es-MX"/>
        </w:rPr>
      </w:pPr>
      <w:r w:rsidRPr="00FF32E9">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FF32E9">
        <w:rPr>
          <w:rFonts w:eastAsia="Calibri" w:cs="Tahoma"/>
          <w:b/>
          <w:bCs/>
          <w:color w:val="000000"/>
          <w:lang w:eastAsia="es-MX"/>
        </w:rPr>
        <w:t xml:space="preserve"> </w:t>
      </w:r>
      <w:r w:rsidRPr="00FF32E9">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FF32E9" w:rsidRDefault="00C853D1" w:rsidP="00AD62BD">
      <w:pPr>
        <w:autoSpaceDE w:val="0"/>
        <w:autoSpaceDN w:val="0"/>
        <w:adjustRightInd w:val="0"/>
        <w:spacing w:after="0" w:line="360" w:lineRule="auto"/>
        <w:rPr>
          <w:rFonts w:eastAsia="Calibri" w:cs="Tahoma"/>
          <w:color w:val="000000"/>
          <w:lang w:eastAsia="es-MX"/>
        </w:rPr>
      </w:pPr>
    </w:p>
    <w:p w14:paraId="0EA74A57" w14:textId="77777777" w:rsidR="00C853D1" w:rsidRPr="00FF32E9" w:rsidRDefault="00C853D1" w:rsidP="00AD62BD">
      <w:pPr>
        <w:autoSpaceDE w:val="0"/>
        <w:autoSpaceDN w:val="0"/>
        <w:adjustRightInd w:val="0"/>
        <w:spacing w:after="0" w:line="360" w:lineRule="auto"/>
        <w:rPr>
          <w:rFonts w:eastAsia="Calibri" w:cs="Tahoma"/>
          <w:color w:val="000000"/>
          <w:lang w:eastAsia="es-MX"/>
        </w:rPr>
      </w:pPr>
      <w:r w:rsidRPr="00FF32E9">
        <w:rPr>
          <w:rFonts w:eastAsia="Calibri" w:cs="Tahoma"/>
          <w:color w:val="000000"/>
          <w:lang w:eastAsia="es-MX"/>
        </w:rPr>
        <w:t xml:space="preserve">En el presente caso, </w:t>
      </w:r>
      <w:r w:rsidRPr="00FF32E9">
        <w:rPr>
          <w:rFonts w:eastAsia="Calibri" w:cs="Tahoma"/>
          <w:b/>
          <w:color w:val="000000"/>
          <w:lang w:eastAsia="es-MX"/>
        </w:rPr>
        <w:t>no se actualiza ninguna de las causales de improcedencia</w:t>
      </w:r>
      <w:r w:rsidRPr="00FF32E9">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FF32E9" w:rsidRDefault="00C853D1" w:rsidP="00AD62BD">
      <w:pPr>
        <w:spacing w:after="0" w:line="360" w:lineRule="auto"/>
        <w:rPr>
          <w:rFonts w:eastAsia="Times New Roman" w:cs="Tahoma"/>
          <w:b/>
          <w:bCs/>
          <w:color w:val="auto"/>
          <w:lang w:eastAsia="es-ES"/>
        </w:rPr>
      </w:pPr>
    </w:p>
    <w:p w14:paraId="009D8158" w14:textId="0F2FC9DA" w:rsidR="00C853D1" w:rsidRPr="00FF32E9" w:rsidRDefault="00DD116F" w:rsidP="00AD62BD">
      <w:pPr>
        <w:spacing w:after="0" w:line="360" w:lineRule="auto"/>
        <w:rPr>
          <w:rFonts w:eastAsia="Times New Roman" w:cs="Tahoma"/>
          <w:color w:val="auto"/>
          <w:lang w:val="es-ES" w:eastAsia="es-ES"/>
        </w:rPr>
      </w:pPr>
      <w:r w:rsidRPr="00FF32E9">
        <w:rPr>
          <w:rFonts w:eastAsia="Times New Roman" w:cs="Tahoma"/>
          <w:color w:val="auto"/>
          <w:lang w:eastAsia="es-ES"/>
        </w:rPr>
        <w:t xml:space="preserve">Asimismo, </w:t>
      </w:r>
      <w:r w:rsidR="00C853D1" w:rsidRPr="00FF32E9">
        <w:rPr>
          <w:rFonts w:eastAsia="Times New Roman" w:cs="Tahoma"/>
          <w:color w:val="auto"/>
          <w:lang w:eastAsia="es-ES"/>
        </w:rPr>
        <w:t xml:space="preserve">se actualiza la causal de procedencia del Recurso de Revisión señalada </w:t>
      </w:r>
      <w:r w:rsidR="00CD7B85">
        <w:rPr>
          <w:rFonts w:eastAsia="Times New Roman" w:cs="Tahoma"/>
          <w:color w:val="auto"/>
          <w:lang w:eastAsia="es-ES"/>
        </w:rPr>
        <w:t>en el artículo 179, fracciones I</w:t>
      </w:r>
      <w:r w:rsidR="00502A03">
        <w:rPr>
          <w:rFonts w:eastAsia="Times New Roman" w:cs="Tahoma"/>
          <w:color w:val="auto"/>
          <w:lang w:eastAsia="es-ES"/>
        </w:rPr>
        <w:t>I</w:t>
      </w:r>
      <w:r w:rsidR="00682222" w:rsidRPr="00FF32E9">
        <w:rPr>
          <w:rFonts w:eastAsia="Times New Roman" w:cs="Tahoma"/>
          <w:color w:val="auto"/>
          <w:lang w:eastAsia="es-ES"/>
        </w:rPr>
        <w:t>,</w:t>
      </w:r>
      <w:r w:rsidR="00C853D1" w:rsidRPr="00FF32E9">
        <w:rPr>
          <w:rFonts w:eastAsia="Times New Roman" w:cs="Tahoma"/>
          <w:color w:val="auto"/>
          <w:lang w:eastAsia="es-ES"/>
        </w:rPr>
        <w:t xml:space="preserve"> de la Ley en cita, </w:t>
      </w:r>
      <w:r w:rsidR="00C853D1" w:rsidRPr="00FF32E9">
        <w:rPr>
          <w:rFonts w:eastAsia="Calibri" w:cs="Tahoma"/>
          <w:color w:val="000000"/>
          <w:lang w:eastAsia="es-MX"/>
        </w:rPr>
        <w:t xml:space="preserve">pues la Recurrente se inconformó </w:t>
      </w:r>
      <w:r w:rsidR="00C853D1" w:rsidRPr="00FF32E9">
        <w:rPr>
          <w:rFonts w:eastAsia="Times New Roman" w:cs="Tahoma"/>
          <w:color w:val="auto"/>
          <w:lang w:val="es-ES" w:eastAsia="es-ES"/>
        </w:rPr>
        <w:t xml:space="preserve">con </w:t>
      </w:r>
      <w:r w:rsidR="00502A03">
        <w:rPr>
          <w:rFonts w:eastAsia="Times New Roman" w:cs="Tahoma"/>
          <w:color w:val="auto"/>
          <w:lang w:val="es-ES" w:eastAsia="es-ES"/>
        </w:rPr>
        <w:t>la clasificación de la información.</w:t>
      </w:r>
    </w:p>
    <w:p w14:paraId="3577CA43" w14:textId="77777777" w:rsidR="00C853D1" w:rsidRPr="00FF32E9" w:rsidRDefault="00C853D1" w:rsidP="00AD62BD">
      <w:pPr>
        <w:spacing w:after="0" w:line="360" w:lineRule="auto"/>
        <w:rPr>
          <w:rFonts w:eastAsia="Times New Roman" w:cs="Tahoma"/>
          <w:b/>
          <w:bCs/>
          <w:color w:val="auto"/>
          <w:lang w:eastAsia="es-ES"/>
        </w:rPr>
      </w:pPr>
    </w:p>
    <w:p w14:paraId="4F973625" w14:textId="77777777" w:rsidR="00C853D1" w:rsidRPr="00FF32E9" w:rsidRDefault="00C853D1" w:rsidP="00AD62BD">
      <w:pPr>
        <w:spacing w:after="0" w:line="360" w:lineRule="auto"/>
        <w:rPr>
          <w:rFonts w:eastAsia="Times New Roman" w:cs="Tahoma"/>
          <w:b/>
          <w:bCs/>
          <w:color w:val="auto"/>
          <w:lang w:eastAsia="es-ES"/>
        </w:rPr>
      </w:pPr>
      <w:r w:rsidRPr="00FF32E9">
        <w:rPr>
          <w:rFonts w:eastAsia="Times New Roman" w:cs="Tahoma"/>
          <w:b/>
          <w:bCs/>
          <w:color w:val="auto"/>
          <w:lang w:eastAsia="es-ES"/>
        </w:rPr>
        <w:t>Causales de sobreseimiento.</w:t>
      </w:r>
    </w:p>
    <w:p w14:paraId="77050B85" w14:textId="77777777" w:rsidR="00C853D1" w:rsidRPr="00FF32E9" w:rsidRDefault="00C853D1" w:rsidP="00AD62BD">
      <w:pPr>
        <w:spacing w:after="0" w:line="360" w:lineRule="auto"/>
        <w:rPr>
          <w:rFonts w:eastAsia="Times New Roman" w:cs="Tahoma"/>
          <w:color w:val="auto"/>
          <w:szCs w:val="24"/>
          <w:lang w:eastAsia="es-ES"/>
        </w:rPr>
      </w:pPr>
      <w:r w:rsidRPr="00FF32E9">
        <w:rPr>
          <w:rFonts w:eastAsia="Times New Roman" w:cs="Tahoma"/>
          <w:color w:val="auto"/>
          <w:szCs w:val="24"/>
          <w:lang w:eastAsia="es-ES"/>
        </w:rPr>
        <w:lastRenderedPageBreak/>
        <w:t>Por ser de previo y especial pronunciamiento, este Instituto analiza si se actualiza alguna causal de sobreseimiento.</w:t>
      </w:r>
    </w:p>
    <w:p w14:paraId="1797E49B" w14:textId="77777777" w:rsidR="00C853D1" w:rsidRPr="00FF32E9" w:rsidRDefault="00C853D1" w:rsidP="00AD62BD">
      <w:pPr>
        <w:spacing w:after="0" w:line="360" w:lineRule="auto"/>
        <w:rPr>
          <w:rFonts w:eastAsia="Times New Roman" w:cs="Tahoma"/>
          <w:color w:val="auto"/>
          <w:szCs w:val="24"/>
          <w:lang w:eastAsia="es-ES"/>
        </w:rPr>
      </w:pPr>
    </w:p>
    <w:p w14:paraId="3929C861" w14:textId="63086B59" w:rsidR="00C853D1" w:rsidRDefault="00C853D1" w:rsidP="00AD62BD">
      <w:pPr>
        <w:spacing w:after="0" w:line="360" w:lineRule="auto"/>
        <w:rPr>
          <w:rFonts w:eastAsia="Times New Roman" w:cs="Tahoma"/>
          <w:color w:val="auto"/>
          <w:szCs w:val="24"/>
          <w:lang w:eastAsia="es-ES"/>
        </w:rPr>
      </w:pPr>
      <w:r w:rsidRPr="00FF32E9">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50B1085" w14:textId="77777777" w:rsidR="002B0B6F" w:rsidRPr="00FF32E9" w:rsidRDefault="002B0B6F" w:rsidP="00AD62BD">
      <w:pPr>
        <w:spacing w:after="0" w:line="360" w:lineRule="auto"/>
        <w:rPr>
          <w:rFonts w:eastAsia="Times New Roman" w:cs="Tahoma"/>
          <w:color w:val="auto"/>
          <w:szCs w:val="24"/>
          <w:lang w:eastAsia="es-ES"/>
        </w:rPr>
      </w:pPr>
    </w:p>
    <w:p w14:paraId="75DA7F11" w14:textId="77777777" w:rsidR="00C853D1" w:rsidRPr="00FF32E9" w:rsidRDefault="00C853D1" w:rsidP="00AD62BD">
      <w:pPr>
        <w:spacing w:after="0" w:line="360" w:lineRule="auto"/>
        <w:rPr>
          <w:rFonts w:eastAsia="Times New Roman" w:cs="Tahoma"/>
          <w:color w:val="auto"/>
          <w:szCs w:val="24"/>
          <w:lang w:val="es-ES" w:eastAsia="es-ES"/>
        </w:rPr>
      </w:pPr>
      <w:r w:rsidRPr="00FF32E9">
        <w:rPr>
          <w:rFonts w:eastAsia="Times New Roman" w:cs="Tahoma"/>
          <w:bCs/>
          <w:color w:val="auto"/>
          <w:szCs w:val="24"/>
          <w:lang w:val="es-ES" w:eastAsia="es-ES"/>
        </w:rPr>
        <w:t xml:space="preserve">Por tales motivos, </w:t>
      </w:r>
      <w:r w:rsidRPr="00FF32E9">
        <w:rPr>
          <w:rFonts w:eastAsia="Times New Roman" w:cs="Tahoma"/>
          <w:color w:val="auto"/>
          <w:szCs w:val="24"/>
          <w:lang w:val="es-ES" w:eastAsia="es-ES"/>
        </w:rPr>
        <w:t>se considera procedente entrar al fondo del presente asunto.</w:t>
      </w:r>
    </w:p>
    <w:p w14:paraId="5A499E5E" w14:textId="77777777" w:rsidR="00C853D1" w:rsidRPr="00FF32E9" w:rsidRDefault="00C853D1" w:rsidP="00AD62BD">
      <w:pPr>
        <w:spacing w:after="0" w:line="360" w:lineRule="auto"/>
      </w:pPr>
    </w:p>
    <w:p w14:paraId="554D6B44" w14:textId="77777777" w:rsidR="00C853D1" w:rsidRPr="00FF32E9" w:rsidRDefault="00C853D1" w:rsidP="00AD62BD">
      <w:pPr>
        <w:spacing w:after="0" w:line="360" w:lineRule="auto"/>
        <w:rPr>
          <w:rFonts w:eastAsia="Times New Roman" w:cs="Tahoma"/>
          <w:b/>
          <w:bCs/>
          <w:iCs/>
          <w:color w:val="auto"/>
          <w:lang w:val="es-ES" w:eastAsia="es-ES"/>
        </w:rPr>
      </w:pPr>
      <w:r w:rsidRPr="00FF32E9">
        <w:rPr>
          <w:rFonts w:eastAsia="Times New Roman" w:cs="Tahoma"/>
          <w:b/>
          <w:bCs/>
          <w:iCs/>
          <w:color w:val="auto"/>
          <w:lang w:val="es-ES" w:eastAsia="es-ES"/>
        </w:rPr>
        <w:t xml:space="preserve">TERCERO. Determinación de la Controversia. </w:t>
      </w:r>
    </w:p>
    <w:p w14:paraId="1618F7DB" w14:textId="77777777" w:rsidR="00C853D1" w:rsidRPr="00FF32E9" w:rsidRDefault="00C853D1" w:rsidP="00AD62BD">
      <w:pPr>
        <w:autoSpaceDE w:val="0"/>
        <w:autoSpaceDN w:val="0"/>
        <w:adjustRightInd w:val="0"/>
        <w:spacing w:after="0" w:line="360" w:lineRule="auto"/>
        <w:rPr>
          <w:rFonts w:eastAsia="Calibri" w:cs="Tahoma"/>
          <w:color w:val="000000"/>
          <w:szCs w:val="24"/>
          <w:lang w:val="es-ES" w:eastAsia="es-MX"/>
        </w:rPr>
      </w:pPr>
    </w:p>
    <w:p w14:paraId="08B98D49" w14:textId="4BF87854" w:rsidR="00502A03" w:rsidRDefault="00FA17A5" w:rsidP="00AD62BD">
      <w:pPr>
        <w:autoSpaceDE w:val="0"/>
        <w:autoSpaceDN w:val="0"/>
        <w:adjustRightInd w:val="0"/>
        <w:spacing w:after="0" w:line="360" w:lineRule="auto"/>
        <w:rPr>
          <w:rFonts w:eastAsia="Calibri" w:cs="Tahoma"/>
          <w:color w:val="000000"/>
          <w:szCs w:val="24"/>
          <w:lang w:val="es-ES" w:eastAsia="es-MX"/>
        </w:rPr>
      </w:pPr>
      <w:r w:rsidRPr="00FA17A5">
        <w:rPr>
          <w:rFonts w:eastAsia="Calibri" w:cs="Tahoma"/>
          <w:color w:val="000000"/>
          <w:szCs w:val="24"/>
          <w:lang w:val="es-ES" w:eastAsia="es-MX"/>
        </w:rPr>
        <w:t>Con el objeto de ilustrar la controversia planteada, resulta conveniente precisar, que una vez</w:t>
      </w:r>
      <w:r>
        <w:rPr>
          <w:rFonts w:eastAsia="Calibri" w:cs="Tahoma"/>
          <w:color w:val="000000"/>
          <w:szCs w:val="24"/>
          <w:lang w:val="es-ES" w:eastAsia="es-MX"/>
        </w:rPr>
        <w:t xml:space="preserve"> </w:t>
      </w:r>
      <w:r w:rsidRPr="00FA17A5">
        <w:rPr>
          <w:rFonts w:eastAsia="Calibri" w:cs="Tahoma"/>
          <w:color w:val="000000"/>
          <w:szCs w:val="24"/>
          <w:lang w:val="es-ES" w:eastAsia="es-MX"/>
        </w:rPr>
        <w:t>realizado el estudio de las constancias que integran el expediente en que se actúa, se</w:t>
      </w:r>
      <w:r>
        <w:rPr>
          <w:rFonts w:eastAsia="Calibri" w:cs="Tahoma"/>
          <w:color w:val="000000"/>
          <w:szCs w:val="24"/>
          <w:lang w:val="es-ES" w:eastAsia="es-MX"/>
        </w:rPr>
        <w:t xml:space="preserve"> </w:t>
      </w:r>
      <w:r w:rsidRPr="00FA17A5">
        <w:rPr>
          <w:rFonts w:eastAsia="Calibri" w:cs="Tahoma"/>
          <w:color w:val="000000"/>
          <w:szCs w:val="24"/>
          <w:lang w:val="es-ES" w:eastAsia="es-MX"/>
        </w:rPr>
        <w:t>desprende que el Particular requirió</w:t>
      </w:r>
      <w:r w:rsidR="002B0B6F">
        <w:rPr>
          <w:rFonts w:eastAsia="Calibri" w:cs="Tahoma"/>
          <w:color w:val="000000"/>
          <w:szCs w:val="24"/>
          <w:lang w:val="es-ES" w:eastAsia="es-MX"/>
        </w:rPr>
        <w:t xml:space="preserve"> </w:t>
      </w:r>
      <w:r w:rsidR="002B0B6F" w:rsidRPr="005303BB">
        <w:rPr>
          <w:rFonts w:eastAsia="Batang" w:cs="Tahoma"/>
          <w:bCs/>
        </w:rPr>
        <w:t xml:space="preserve">las actas Entrega-Recepción </w:t>
      </w:r>
      <w:r w:rsidR="002B0B6F">
        <w:rPr>
          <w:rFonts w:eastAsia="Batang" w:cs="Tahoma"/>
          <w:bCs/>
        </w:rPr>
        <w:t xml:space="preserve">generadas </w:t>
      </w:r>
      <w:r w:rsidR="002B0B6F">
        <w:rPr>
          <w:rFonts w:eastAsia="Calibri" w:cs="Tahoma"/>
          <w:color w:val="000000"/>
          <w:lang w:val="es-ES" w:eastAsia="es-MX"/>
        </w:rPr>
        <w:t>con motivo d</w:t>
      </w:r>
      <w:r w:rsidR="002B0B6F" w:rsidRPr="00502A03">
        <w:rPr>
          <w:rFonts w:eastAsia="Calibri" w:cs="Tahoma"/>
          <w:color w:val="000000"/>
          <w:lang w:val="es-ES" w:eastAsia="es-MX"/>
        </w:rPr>
        <w:t>el cambio de administración</w:t>
      </w:r>
      <w:r w:rsidR="002B0B6F">
        <w:rPr>
          <w:rFonts w:eastAsia="Calibri" w:cs="Tahoma"/>
          <w:color w:val="000000"/>
          <w:lang w:val="es-ES" w:eastAsia="es-MX"/>
        </w:rPr>
        <w:t>, del primero al diez de enero de dos mil veintidós.</w:t>
      </w:r>
    </w:p>
    <w:p w14:paraId="409625B3" w14:textId="77777777" w:rsidR="00502A03" w:rsidRDefault="00502A03" w:rsidP="00AD62BD">
      <w:pPr>
        <w:autoSpaceDE w:val="0"/>
        <w:autoSpaceDN w:val="0"/>
        <w:adjustRightInd w:val="0"/>
        <w:spacing w:after="0" w:line="360" w:lineRule="auto"/>
        <w:rPr>
          <w:rFonts w:eastAsia="Calibri" w:cs="Tahoma"/>
          <w:color w:val="000000"/>
          <w:szCs w:val="24"/>
          <w:lang w:val="es-ES" w:eastAsia="es-MX"/>
        </w:rPr>
      </w:pPr>
    </w:p>
    <w:p w14:paraId="0CE496F6" w14:textId="29889C8E" w:rsidR="00055FDE" w:rsidRPr="00FF32E9" w:rsidRDefault="008C3029" w:rsidP="00AD62BD">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En respuesta, </w:t>
      </w:r>
      <w:r w:rsidR="00502A03">
        <w:rPr>
          <w:rFonts w:eastAsia="Calibri" w:cs="Tahoma"/>
          <w:color w:val="000000"/>
          <w:szCs w:val="24"/>
          <w:lang w:val="es-ES" w:eastAsia="es-MX"/>
        </w:rPr>
        <w:t xml:space="preserve">el Sujeto Obligado remitió </w:t>
      </w:r>
      <w:r>
        <w:rPr>
          <w:rFonts w:eastAsia="Calibri" w:cs="Tahoma"/>
          <w:color w:val="000000"/>
          <w:szCs w:val="24"/>
          <w:lang w:val="es-ES" w:eastAsia="es-MX"/>
        </w:rPr>
        <w:t>la versión pública de las Actas Entrega-Recepción emitidas del primero al diez de enero de dos mil veintidós; a</w:t>
      </w:r>
      <w:r w:rsidR="00502A03">
        <w:rPr>
          <w:rFonts w:eastAsia="Calibri" w:cs="Tahoma"/>
          <w:color w:val="000000"/>
          <w:szCs w:val="24"/>
          <w:lang w:val="es-ES" w:eastAsia="es-MX"/>
        </w:rPr>
        <w:t xml:space="preserve">nte </w:t>
      </w:r>
      <w:r>
        <w:rPr>
          <w:rFonts w:eastAsia="Calibri" w:cs="Tahoma"/>
          <w:color w:val="000000"/>
          <w:szCs w:val="24"/>
          <w:lang w:val="es-ES" w:eastAsia="es-MX"/>
        </w:rPr>
        <w:t>tal circunstancia</w:t>
      </w:r>
      <w:r w:rsidR="00FA17A5" w:rsidRPr="00FA17A5">
        <w:rPr>
          <w:rFonts w:eastAsia="Calibri" w:cs="Tahoma"/>
          <w:color w:val="000000"/>
          <w:szCs w:val="24"/>
          <w:lang w:val="es-ES" w:eastAsia="es-MX"/>
        </w:rPr>
        <w:t xml:space="preserve"> el Particular, justamente se inconformó </w:t>
      </w:r>
      <w:r>
        <w:rPr>
          <w:rFonts w:eastAsia="Calibri" w:cs="Tahoma"/>
          <w:color w:val="000000"/>
          <w:szCs w:val="24"/>
          <w:lang w:val="es-ES" w:eastAsia="es-MX"/>
        </w:rPr>
        <w:t>con la clasificación de la información, al señalar que se habían testado datos de naturaleza pública, por</w:t>
      </w:r>
      <w:r w:rsidR="0038233A">
        <w:rPr>
          <w:rFonts w:eastAsia="Calibri" w:cs="Tahoma"/>
          <w:color w:val="000000"/>
          <w:szCs w:val="24"/>
          <w:lang w:val="es-ES" w:eastAsia="es-MX"/>
        </w:rPr>
        <w:t xml:space="preserve"> </w:t>
      </w:r>
      <w:r w:rsidR="00FA17A5" w:rsidRPr="00FA17A5">
        <w:rPr>
          <w:rFonts w:eastAsia="Calibri" w:cs="Tahoma"/>
          <w:color w:val="000000"/>
          <w:szCs w:val="24"/>
          <w:lang w:val="es-ES" w:eastAsia="es-MX"/>
        </w:rPr>
        <w:t>lo cual se actualiza el supuesto previsto en el</w:t>
      </w:r>
      <w:r w:rsidR="00FA17A5">
        <w:rPr>
          <w:rFonts w:eastAsia="Calibri" w:cs="Tahoma"/>
          <w:color w:val="000000"/>
          <w:szCs w:val="24"/>
          <w:lang w:val="es-ES" w:eastAsia="es-MX"/>
        </w:rPr>
        <w:t xml:space="preserve"> </w:t>
      </w:r>
      <w:r w:rsidR="0038233A">
        <w:rPr>
          <w:rFonts w:eastAsia="Calibri" w:cs="Tahoma"/>
          <w:color w:val="000000"/>
          <w:szCs w:val="24"/>
          <w:lang w:val="es-ES" w:eastAsia="es-MX"/>
        </w:rPr>
        <w:t xml:space="preserve">artículo 179, fracción </w:t>
      </w:r>
      <w:r w:rsidR="00FA17A5" w:rsidRPr="00FA17A5">
        <w:rPr>
          <w:rFonts w:eastAsia="Calibri" w:cs="Tahoma"/>
          <w:color w:val="000000"/>
          <w:szCs w:val="24"/>
          <w:lang w:val="es-ES" w:eastAsia="es-MX"/>
        </w:rPr>
        <w:t>II, de la Ley de Transparencia y Acceso a la Información Pública del</w:t>
      </w:r>
      <w:r w:rsidR="00FA17A5">
        <w:rPr>
          <w:rFonts w:eastAsia="Calibri" w:cs="Tahoma"/>
          <w:color w:val="000000"/>
          <w:szCs w:val="24"/>
          <w:lang w:val="es-ES" w:eastAsia="es-MX"/>
        </w:rPr>
        <w:t xml:space="preserve"> </w:t>
      </w:r>
      <w:r w:rsidR="00FA17A5" w:rsidRPr="00FA17A5">
        <w:rPr>
          <w:rFonts w:eastAsia="Calibri" w:cs="Tahoma"/>
          <w:color w:val="000000"/>
          <w:szCs w:val="24"/>
          <w:lang w:val="es-ES" w:eastAsia="es-MX"/>
        </w:rPr>
        <w:t xml:space="preserve">Estado de México y Municipios. </w:t>
      </w:r>
      <w:r w:rsidR="001A4A1F">
        <w:rPr>
          <w:rFonts w:eastAsia="Calibri" w:cs="Tahoma"/>
          <w:color w:val="000000"/>
          <w:szCs w:val="24"/>
          <w:lang w:val="es-ES" w:eastAsia="es-MX"/>
        </w:rPr>
        <w:t>Así las cosas, una vez admitido y notificado el Recurso de Revisión a las partes, estas fueron omisas en emitir manifestaciones o alegatos.</w:t>
      </w:r>
    </w:p>
    <w:p w14:paraId="47A7D7E9" w14:textId="0033819F" w:rsidR="00C853D1" w:rsidRPr="00FF32E9" w:rsidRDefault="00C853D1" w:rsidP="00AD62BD">
      <w:pPr>
        <w:spacing w:after="0" w:line="360" w:lineRule="auto"/>
      </w:pPr>
      <w:r w:rsidRPr="00FF32E9">
        <w:lastRenderedPageBreak/>
        <w:t>Lo anterior, se desprende de las documentales que obran en el expediente de referencia, materia de la presente Resolución, consistentes en: la solicitud de acceso a la información; la respuesta del Sujeto Obligado</w:t>
      </w:r>
      <w:r w:rsidR="008C3029">
        <w:t xml:space="preserve"> y</w:t>
      </w:r>
      <w:r w:rsidRPr="00FF32E9">
        <w:t xml:space="preserve"> </w:t>
      </w:r>
      <w:r w:rsidRPr="00FF32E9">
        <w:rPr>
          <w:bCs/>
        </w:rPr>
        <w:t xml:space="preserve">el </w:t>
      </w:r>
      <w:r w:rsidRPr="00FF32E9">
        <w:t>escrito recursa</w:t>
      </w:r>
      <w:r w:rsidR="008C3029">
        <w:t>l;</w:t>
      </w:r>
      <w:r w:rsidRPr="00FF32E9">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FF32E9" w:rsidRDefault="00C853D1" w:rsidP="00AD62BD">
      <w:pPr>
        <w:spacing w:after="0" w:line="360" w:lineRule="auto"/>
      </w:pPr>
    </w:p>
    <w:p w14:paraId="4AD760E5" w14:textId="77777777" w:rsidR="00C853D1" w:rsidRPr="00FF32E9" w:rsidRDefault="00C853D1" w:rsidP="00AD62BD">
      <w:pPr>
        <w:spacing w:after="0" w:line="360" w:lineRule="auto"/>
        <w:rPr>
          <w:rFonts w:eastAsia="Times New Roman" w:cs="Tahoma"/>
          <w:b/>
          <w:bCs/>
          <w:iCs/>
          <w:color w:val="auto"/>
          <w:lang w:eastAsia="es-ES"/>
        </w:rPr>
      </w:pPr>
      <w:r w:rsidRPr="00FF32E9">
        <w:rPr>
          <w:rFonts w:eastAsia="Times New Roman" w:cs="Tahoma"/>
          <w:b/>
          <w:bCs/>
          <w:iCs/>
          <w:color w:val="auto"/>
          <w:lang w:val="es-ES" w:eastAsia="es-ES"/>
        </w:rPr>
        <w:t xml:space="preserve">CUARTO. </w:t>
      </w:r>
      <w:r w:rsidRPr="00FF32E9">
        <w:rPr>
          <w:rFonts w:eastAsia="Times New Roman" w:cs="Tahoma"/>
          <w:b/>
          <w:bCs/>
          <w:iCs/>
          <w:color w:val="auto"/>
          <w:lang w:eastAsia="es-ES"/>
        </w:rPr>
        <w:t>Marco normativo aplicable en materia de transparencia y acceso a la información pública.</w:t>
      </w:r>
    </w:p>
    <w:p w14:paraId="43AD0F27" w14:textId="77777777" w:rsidR="00C853D1" w:rsidRPr="00FF32E9" w:rsidRDefault="00C853D1" w:rsidP="00AD62BD">
      <w:pPr>
        <w:spacing w:after="0" w:line="360" w:lineRule="auto"/>
        <w:rPr>
          <w:rFonts w:eastAsia="Times New Roman" w:cs="Tahoma"/>
          <w:b/>
          <w:bCs/>
          <w:iCs/>
          <w:color w:val="auto"/>
          <w:lang w:eastAsia="es-ES"/>
        </w:rPr>
      </w:pPr>
    </w:p>
    <w:p w14:paraId="612B1C77" w14:textId="77777777" w:rsidR="00C853D1" w:rsidRPr="00FF32E9" w:rsidRDefault="00C853D1" w:rsidP="00AD62BD">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FF32E9" w:rsidRDefault="00C853D1" w:rsidP="00AD62BD">
      <w:pPr>
        <w:spacing w:after="0" w:line="360" w:lineRule="auto"/>
        <w:rPr>
          <w:rFonts w:eastAsia="Times New Roman" w:cs="Tahoma"/>
          <w:bCs/>
          <w:iCs/>
          <w:color w:val="auto"/>
          <w:lang w:eastAsia="es-ES"/>
        </w:rPr>
      </w:pPr>
    </w:p>
    <w:p w14:paraId="0629EDEA" w14:textId="77777777" w:rsidR="00C853D1" w:rsidRPr="00FF32E9" w:rsidRDefault="00C853D1" w:rsidP="00AD62BD">
      <w:pPr>
        <w:spacing w:after="0" w:line="360" w:lineRule="auto"/>
        <w:rPr>
          <w:rFonts w:eastAsia="Times New Roman" w:cs="Tahoma"/>
          <w:bCs/>
          <w:iCs/>
          <w:color w:val="auto"/>
          <w:lang w:eastAsia="es-ES"/>
        </w:rPr>
      </w:pPr>
      <w:r w:rsidRPr="00FF32E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FF32E9" w:rsidRDefault="00C853D1" w:rsidP="00AD62BD">
      <w:pPr>
        <w:spacing w:after="0" w:line="360" w:lineRule="auto"/>
        <w:rPr>
          <w:rFonts w:eastAsia="Times New Roman" w:cs="Tahoma"/>
          <w:bCs/>
          <w:iCs/>
          <w:color w:val="auto"/>
          <w:lang w:eastAsia="es-ES"/>
        </w:rPr>
      </w:pPr>
    </w:p>
    <w:p w14:paraId="2E116B44" w14:textId="77777777" w:rsidR="00C853D1" w:rsidRPr="00FF32E9" w:rsidRDefault="00C853D1" w:rsidP="00AD62BD">
      <w:pPr>
        <w:spacing w:after="0" w:line="360" w:lineRule="auto"/>
        <w:rPr>
          <w:rFonts w:eastAsia="Times New Roman" w:cs="Tahoma"/>
          <w:bCs/>
          <w:iCs/>
          <w:color w:val="auto"/>
          <w:lang w:eastAsia="es-ES"/>
        </w:rPr>
      </w:pPr>
      <w:r w:rsidRPr="00FF32E9">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FF32E9" w:rsidRDefault="00C853D1" w:rsidP="00AD62BD">
      <w:pPr>
        <w:spacing w:after="0" w:line="360" w:lineRule="auto"/>
        <w:rPr>
          <w:rFonts w:eastAsia="Times New Roman" w:cs="Tahoma"/>
          <w:bCs/>
          <w:iCs/>
          <w:color w:val="auto"/>
          <w:lang w:eastAsia="es-ES"/>
        </w:rPr>
      </w:pPr>
    </w:p>
    <w:p w14:paraId="39E7B3D5" w14:textId="77777777" w:rsidR="00C853D1" w:rsidRPr="00FF32E9" w:rsidRDefault="00C853D1" w:rsidP="00AD62BD">
      <w:pPr>
        <w:spacing w:after="0" w:line="360" w:lineRule="auto"/>
        <w:rPr>
          <w:rFonts w:eastAsia="Times New Roman" w:cs="Tahoma"/>
          <w:bCs/>
          <w:iCs/>
          <w:color w:val="auto"/>
          <w:lang w:eastAsia="es-ES"/>
        </w:rPr>
      </w:pPr>
      <w:r w:rsidRPr="00FF32E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FF32E9" w:rsidRDefault="00C853D1" w:rsidP="00AD62BD">
      <w:pPr>
        <w:spacing w:after="0" w:line="360" w:lineRule="auto"/>
        <w:rPr>
          <w:rFonts w:eastAsia="Times New Roman" w:cs="Tahoma"/>
          <w:bCs/>
          <w:iCs/>
          <w:color w:val="auto"/>
          <w:lang w:eastAsia="es-ES"/>
        </w:rPr>
      </w:pPr>
    </w:p>
    <w:p w14:paraId="33BD459A" w14:textId="77777777" w:rsidR="00C853D1" w:rsidRPr="00FF32E9" w:rsidRDefault="00C853D1" w:rsidP="00AD62BD">
      <w:pPr>
        <w:spacing w:after="0" w:line="360" w:lineRule="auto"/>
        <w:rPr>
          <w:rFonts w:eastAsia="Times New Roman" w:cs="Tahoma"/>
          <w:bCs/>
          <w:iCs/>
          <w:color w:val="auto"/>
          <w:lang w:eastAsia="es-ES"/>
        </w:rPr>
      </w:pPr>
      <w:r w:rsidRPr="00FF32E9">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14:paraId="7F23F258" w14:textId="77777777" w:rsidR="00C853D1" w:rsidRPr="00FF32E9" w:rsidRDefault="00C853D1" w:rsidP="00AD62BD">
      <w:pPr>
        <w:spacing w:after="0" w:line="360" w:lineRule="auto"/>
        <w:rPr>
          <w:rFonts w:eastAsia="Times New Roman" w:cs="Tahoma"/>
          <w:bCs/>
          <w:iCs/>
          <w:color w:val="auto"/>
          <w:lang w:eastAsia="es-ES"/>
        </w:rPr>
      </w:pPr>
    </w:p>
    <w:p w14:paraId="21150C29" w14:textId="77777777" w:rsidR="00C853D1" w:rsidRPr="00FF32E9" w:rsidRDefault="00C853D1" w:rsidP="00AD62BD">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FF32E9" w:rsidRDefault="00C853D1" w:rsidP="00AD62BD">
      <w:pPr>
        <w:spacing w:after="0" w:line="360" w:lineRule="auto"/>
        <w:rPr>
          <w:rFonts w:eastAsia="Times New Roman" w:cs="Tahoma"/>
          <w:bCs/>
          <w:iCs/>
          <w:color w:val="auto"/>
          <w:lang w:eastAsia="es-ES"/>
        </w:rPr>
      </w:pPr>
    </w:p>
    <w:p w14:paraId="391D3BDE" w14:textId="77777777" w:rsidR="00C853D1" w:rsidRPr="00FF32E9" w:rsidRDefault="00C853D1" w:rsidP="00AD62BD">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FF32E9" w:rsidRDefault="00C853D1" w:rsidP="00AD62BD">
      <w:pPr>
        <w:spacing w:after="0" w:line="360" w:lineRule="auto"/>
        <w:rPr>
          <w:rFonts w:eastAsia="Times New Roman" w:cs="Tahoma"/>
          <w:b/>
          <w:bCs/>
          <w:iCs/>
          <w:color w:val="auto"/>
          <w:lang w:val="es-ES" w:eastAsia="es-ES"/>
        </w:rPr>
      </w:pPr>
    </w:p>
    <w:p w14:paraId="4CD9F9A9" w14:textId="77777777" w:rsidR="00C853D1" w:rsidRPr="00FF32E9" w:rsidRDefault="00C853D1" w:rsidP="00AD62BD">
      <w:pPr>
        <w:spacing w:after="0" w:line="360" w:lineRule="auto"/>
        <w:rPr>
          <w:rFonts w:eastAsia="Times New Roman" w:cs="Tahoma"/>
          <w:b/>
          <w:bCs/>
          <w:iCs/>
          <w:color w:val="auto"/>
          <w:lang w:val="es-ES" w:eastAsia="es-ES"/>
        </w:rPr>
      </w:pPr>
      <w:r w:rsidRPr="00FF32E9">
        <w:rPr>
          <w:rFonts w:eastAsia="Times New Roman" w:cs="Tahoma"/>
          <w:b/>
          <w:bCs/>
          <w:iCs/>
          <w:color w:val="auto"/>
          <w:lang w:val="es-ES" w:eastAsia="es-ES"/>
        </w:rPr>
        <w:t>Quinto. Estudio de Fondo.</w:t>
      </w:r>
    </w:p>
    <w:p w14:paraId="614B9665" w14:textId="76C81823" w:rsidR="00C853D1" w:rsidRDefault="00C853D1" w:rsidP="00AD62BD">
      <w:pPr>
        <w:spacing w:after="0" w:line="360" w:lineRule="auto"/>
        <w:rPr>
          <w:rFonts w:eastAsia="Times New Roman" w:cs="Tahoma"/>
          <w:iCs/>
          <w:color w:val="auto"/>
          <w:lang w:val="es-ES" w:eastAsia="es-ES"/>
        </w:rPr>
      </w:pPr>
    </w:p>
    <w:p w14:paraId="73158582" w14:textId="49FA0473" w:rsidR="00E27F64" w:rsidRPr="001A4A1F" w:rsidRDefault="00E27F64" w:rsidP="00E27F64">
      <w:pPr>
        <w:spacing w:after="0" w:line="360" w:lineRule="auto"/>
        <w:rPr>
          <w:rFonts w:eastAsia="Batang" w:cs="Tahoma"/>
          <w:bCs/>
          <w:iCs/>
          <w:color w:val="auto"/>
          <w:lang w:eastAsia="es-ES"/>
        </w:rPr>
      </w:pPr>
      <w:bookmarkStart w:id="0" w:name="_Hlk99537811"/>
      <w:r w:rsidRPr="00E27F64">
        <w:rPr>
          <w:rFonts w:eastAsia="Batang" w:cs="Tahoma"/>
          <w:bCs/>
          <w:iCs/>
          <w:color w:val="auto"/>
          <w:lang w:eastAsia="es-ES"/>
        </w:rPr>
        <w:t>Expuestas las posturas de las partes, se procede al análisis del agravio hecho valer por el ahora Recurrente, concerniente a la entrega de la información en versión pública</w:t>
      </w:r>
      <w:r w:rsidRPr="00E27F64">
        <w:rPr>
          <w:rFonts w:eastAsia="Batang" w:cs="Tahoma"/>
          <w:bCs/>
          <w:iCs/>
          <w:color w:val="auto"/>
          <w:lang w:val="x-none" w:eastAsia="es-ES"/>
        </w:rPr>
        <w:t>; por lo que, en principio, resulta necesario contextualizar el requerimiento de información, concerniente a las Actas de Entrega-Recepción generadas</w:t>
      </w:r>
      <w:bookmarkEnd w:id="0"/>
      <w:r w:rsidR="001A4A1F">
        <w:rPr>
          <w:rFonts w:eastAsia="Batang" w:cs="Tahoma"/>
          <w:bCs/>
          <w:iCs/>
          <w:color w:val="auto"/>
          <w:lang w:eastAsia="es-ES"/>
        </w:rPr>
        <w:t xml:space="preserve"> por motivo del cambio de administración.</w:t>
      </w:r>
    </w:p>
    <w:p w14:paraId="1BAFBC8C" w14:textId="77777777" w:rsidR="00E27F64" w:rsidRPr="00E27F64" w:rsidRDefault="00E27F64" w:rsidP="00E27F64">
      <w:pPr>
        <w:spacing w:after="0" w:line="360" w:lineRule="auto"/>
        <w:ind w:right="-28"/>
        <w:rPr>
          <w:rFonts w:eastAsia="Batang" w:cs="Tahoma"/>
          <w:bCs/>
          <w:color w:val="auto"/>
          <w:lang w:val="es-ES" w:eastAsia="es-ES"/>
        </w:rPr>
      </w:pPr>
    </w:p>
    <w:p w14:paraId="3FE10520" w14:textId="2420B7B9" w:rsidR="00E27F64" w:rsidRPr="00E27F64" w:rsidRDefault="00E27F64" w:rsidP="00E27F64">
      <w:pPr>
        <w:spacing w:after="0" w:line="360" w:lineRule="auto"/>
        <w:ind w:right="-28"/>
        <w:rPr>
          <w:rFonts w:eastAsia="Batang" w:cs="Tahoma"/>
          <w:bCs/>
          <w:color w:val="auto"/>
          <w:lang w:val="x-none" w:eastAsia="es-ES"/>
        </w:rPr>
      </w:pPr>
      <w:r w:rsidRPr="00E27F64">
        <w:rPr>
          <w:rFonts w:eastAsia="Batang" w:cs="Tahoma"/>
          <w:bCs/>
          <w:color w:val="auto"/>
          <w:lang w:val="es-ES" w:eastAsia="es-ES"/>
        </w:rPr>
        <w:t xml:space="preserve">En principio, es necesario traer a </w:t>
      </w:r>
      <w:r w:rsidR="008E3B54" w:rsidRPr="00E27F64">
        <w:rPr>
          <w:rFonts w:eastAsia="Batang" w:cs="Tahoma"/>
          <w:bCs/>
          <w:color w:val="auto"/>
          <w:lang w:val="es-ES" w:eastAsia="es-ES"/>
        </w:rPr>
        <w:t>colaci</w:t>
      </w:r>
      <w:r w:rsidR="008E3B54">
        <w:rPr>
          <w:rFonts w:eastAsia="Batang" w:cs="Tahoma"/>
          <w:bCs/>
          <w:color w:val="auto"/>
          <w:lang w:val="es-ES" w:eastAsia="es-ES"/>
        </w:rPr>
        <w:t>ón</w:t>
      </w:r>
      <w:r w:rsidRPr="00E27F64">
        <w:rPr>
          <w:rFonts w:eastAsia="Batang" w:cs="Tahoma"/>
          <w:bCs/>
          <w:color w:val="auto"/>
          <w:lang w:val="x-none" w:eastAsia="es-ES"/>
        </w:rPr>
        <w:t xml:space="preserve"> el artículo 3, fracciones I y IX, del Reglamento para los procesos de Entrega y Recepción y Rendición de Cuentas de la Administración Pública del Estado de México, que establece lo siguiente:</w:t>
      </w:r>
    </w:p>
    <w:p w14:paraId="368E744B" w14:textId="77777777" w:rsidR="00E27F64" w:rsidRPr="00E27F64" w:rsidRDefault="00E27F64" w:rsidP="00E27F64">
      <w:pPr>
        <w:spacing w:after="0" w:line="360" w:lineRule="auto"/>
        <w:ind w:right="-28"/>
        <w:rPr>
          <w:rFonts w:eastAsia="Batang" w:cs="Tahoma"/>
          <w:bCs/>
          <w:color w:val="auto"/>
          <w:lang w:val="es-ES" w:eastAsia="es-ES"/>
        </w:rPr>
      </w:pPr>
    </w:p>
    <w:p w14:paraId="121028A8" w14:textId="4D7DD0AD" w:rsidR="00E27F64" w:rsidRPr="00E27F64" w:rsidRDefault="00E27F64" w:rsidP="008E3B54">
      <w:pPr>
        <w:numPr>
          <w:ilvl w:val="0"/>
          <w:numId w:val="9"/>
        </w:numPr>
        <w:spacing w:after="0" w:line="360" w:lineRule="auto"/>
        <w:ind w:right="-28"/>
        <w:contextualSpacing/>
        <w:rPr>
          <w:rFonts w:eastAsia="Batang" w:cs="Tahoma"/>
          <w:bCs/>
          <w:color w:val="auto"/>
          <w:lang w:val="es-ES" w:eastAsia="es-ES"/>
        </w:rPr>
      </w:pPr>
      <w:r w:rsidRPr="00E27F64">
        <w:rPr>
          <w:rFonts w:eastAsia="Batang" w:cs="Tahoma"/>
          <w:b/>
          <w:bCs/>
          <w:color w:val="auto"/>
          <w:lang w:val="es-ES" w:eastAsia="es-ES"/>
        </w:rPr>
        <w:t xml:space="preserve">Acta Administrativa: </w:t>
      </w:r>
      <w:r w:rsidRPr="00E27F64">
        <w:rPr>
          <w:rFonts w:eastAsia="Batang" w:cs="Tahoma"/>
          <w:bCs/>
          <w:color w:val="auto"/>
          <w:lang w:val="es-ES" w:eastAsia="es-ES"/>
        </w:rPr>
        <w:t xml:space="preserve">Documento que debe presentar la persona servidora </w:t>
      </w:r>
      <w:r w:rsidR="008E3B54" w:rsidRPr="00E27F64">
        <w:rPr>
          <w:rFonts w:eastAsia="Batang" w:cs="Tahoma"/>
          <w:bCs/>
          <w:color w:val="auto"/>
          <w:lang w:val="x-none" w:eastAsia="es-ES"/>
        </w:rPr>
        <w:t>pública</w:t>
      </w:r>
      <w:r w:rsidRPr="00E27F64">
        <w:rPr>
          <w:rFonts w:eastAsia="Batang" w:cs="Tahoma"/>
          <w:bCs/>
          <w:color w:val="auto"/>
          <w:lang w:val="x-none" w:eastAsia="es-ES"/>
        </w:rPr>
        <w:t xml:space="preserve"> que concluye sus labores, en el que consta la Entrega y Recepción.</w:t>
      </w:r>
    </w:p>
    <w:p w14:paraId="10F46C7B" w14:textId="77777777" w:rsidR="00E27F64" w:rsidRPr="00E27F64" w:rsidRDefault="00E27F64" w:rsidP="00E27F64">
      <w:pPr>
        <w:spacing w:after="0" w:line="360" w:lineRule="auto"/>
        <w:ind w:left="720" w:right="-28"/>
        <w:contextualSpacing/>
        <w:rPr>
          <w:rFonts w:eastAsia="Batang" w:cs="Tahoma"/>
          <w:bCs/>
          <w:color w:val="auto"/>
          <w:lang w:val="es-ES" w:eastAsia="es-ES"/>
        </w:rPr>
      </w:pPr>
    </w:p>
    <w:p w14:paraId="0BF26E0C" w14:textId="77777777" w:rsidR="00E27F64" w:rsidRPr="00E27F64" w:rsidRDefault="00E27F64" w:rsidP="008E3B54">
      <w:pPr>
        <w:numPr>
          <w:ilvl w:val="0"/>
          <w:numId w:val="9"/>
        </w:numPr>
        <w:spacing w:after="0" w:line="360" w:lineRule="auto"/>
        <w:ind w:right="-28"/>
        <w:contextualSpacing/>
        <w:rPr>
          <w:rFonts w:eastAsia="Batang" w:cs="Tahoma"/>
          <w:bCs/>
          <w:color w:val="auto"/>
          <w:lang w:val="es-ES" w:eastAsia="es-ES"/>
        </w:rPr>
      </w:pPr>
      <w:r w:rsidRPr="00E27F64">
        <w:rPr>
          <w:rFonts w:eastAsia="Batang" w:cs="Tahoma"/>
          <w:b/>
          <w:bCs/>
          <w:color w:val="auto"/>
          <w:lang w:val="es-ES" w:eastAsia="es-ES"/>
        </w:rPr>
        <w:lastRenderedPageBreak/>
        <w:t>Entrega y Recepción</w:t>
      </w:r>
      <w:r w:rsidRPr="00E27F64">
        <w:rPr>
          <w:rFonts w:eastAsia="Batang" w:cs="Tahoma"/>
          <w:b/>
          <w:bCs/>
          <w:color w:val="auto"/>
          <w:lang w:val="x-none" w:eastAsia="es-ES"/>
        </w:rPr>
        <w:t xml:space="preserve">: </w:t>
      </w:r>
      <w:r w:rsidRPr="00E27F64">
        <w:rPr>
          <w:rFonts w:eastAsia="Batang" w:cs="Tahoma"/>
          <w:bCs/>
          <w:color w:val="auto"/>
          <w:lang w:val="x-none" w:eastAsia="es-ES"/>
        </w:rPr>
        <w:t>Proceso administrativo por el que una persona servidora pública, que concluye su empleo, cargo o comisión hace entrega y rinde cuentas de los recursos asignados, de los programas, proyectos, asuntos y acciones a su cargo, así como, de la información documental que tenga a su disposición, a quien reciba (superior jerárquico, encargado o su sustitución)</w:t>
      </w:r>
    </w:p>
    <w:p w14:paraId="6E748126" w14:textId="77777777" w:rsidR="00E27F64" w:rsidRPr="00E27F64" w:rsidRDefault="00E27F64" w:rsidP="00E27F64">
      <w:pPr>
        <w:spacing w:after="0" w:line="360" w:lineRule="auto"/>
        <w:ind w:right="-28"/>
        <w:rPr>
          <w:rFonts w:eastAsia="Batang" w:cs="Tahoma"/>
          <w:bCs/>
          <w:color w:val="auto"/>
          <w:lang w:val="es-ES" w:eastAsia="es-ES"/>
        </w:rPr>
      </w:pPr>
    </w:p>
    <w:p w14:paraId="068B70E4" w14:textId="0EA8BDBB" w:rsidR="00E27F64" w:rsidRPr="00E27F64" w:rsidRDefault="00E27F64" w:rsidP="00E27F64">
      <w:pPr>
        <w:spacing w:after="0" w:line="360" w:lineRule="auto"/>
        <w:ind w:right="-28"/>
        <w:rPr>
          <w:rFonts w:eastAsia="Batang" w:cs="Tahoma"/>
          <w:bCs/>
          <w:color w:val="auto"/>
          <w:lang w:val="es-ES" w:eastAsia="es-ES"/>
        </w:rPr>
      </w:pPr>
      <w:r w:rsidRPr="00E27F64">
        <w:rPr>
          <w:rFonts w:eastAsia="Batang" w:cs="Tahoma"/>
          <w:bCs/>
          <w:color w:val="auto"/>
          <w:lang w:val="es-ES" w:eastAsia="es-ES"/>
        </w:rPr>
        <w:t>En ese orden de ideas, el art</w:t>
      </w:r>
      <w:r w:rsidR="008E3B54">
        <w:rPr>
          <w:rFonts w:eastAsia="Batang" w:cs="Tahoma"/>
          <w:bCs/>
          <w:color w:val="auto"/>
          <w:lang w:eastAsia="es-ES"/>
        </w:rPr>
        <w:t>í</w:t>
      </w:r>
      <w:r w:rsidRPr="00E27F64">
        <w:rPr>
          <w:rFonts w:eastAsia="Batang" w:cs="Tahoma"/>
          <w:bCs/>
          <w:color w:val="auto"/>
          <w:lang w:val="x-none" w:eastAsia="es-ES"/>
        </w:rPr>
        <w:t>cul</w:t>
      </w:r>
      <w:r w:rsidR="008E3B54">
        <w:rPr>
          <w:rFonts w:eastAsia="Batang" w:cs="Tahoma"/>
          <w:bCs/>
          <w:color w:val="auto"/>
          <w:lang w:eastAsia="es-ES"/>
        </w:rPr>
        <w:t>o</w:t>
      </w:r>
      <w:r w:rsidRPr="00E27F64">
        <w:rPr>
          <w:rFonts w:eastAsia="Batang" w:cs="Tahoma"/>
          <w:bCs/>
          <w:color w:val="auto"/>
          <w:lang w:val="x-none" w:eastAsia="es-ES"/>
        </w:rPr>
        <w:t xml:space="preserve"> 2˚, fracciones III y XVIII de los </w:t>
      </w:r>
      <w:r w:rsidRPr="00E27F64">
        <w:rPr>
          <w:rFonts w:eastAsia="Batang" w:cs="Tahoma"/>
          <w:bCs/>
          <w:color w:val="auto"/>
          <w:lang w:val="es-ES" w:eastAsia="es-ES"/>
        </w:rPr>
        <w:t xml:space="preserve">Lineamientos que </w:t>
      </w:r>
      <w:r w:rsidR="008C1F90">
        <w:rPr>
          <w:rFonts w:eastAsia="Batang" w:cs="Tahoma"/>
          <w:bCs/>
          <w:color w:val="auto"/>
          <w:lang w:val="es-ES" w:eastAsia="es-ES"/>
        </w:rPr>
        <w:t>Norman la Entrega-Recepción de los Ayuntamientos, sus Dependencias y Organismos Descentralizados Municipales</w:t>
      </w:r>
      <w:r w:rsidRPr="00E27F64">
        <w:rPr>
          <w:rFonts w:eastAsia="Batang" w:cs="Tahoma"/>
          <w:bCs/>
          <w:color w:val="auto"/>
          <w:lang w:val="es-ES" w:eastAsia="es-ES"/>
        </w:rPr>
        <w:t xml:space="preserve"> del Estado de México, establece lo siguiente:</w:t>
      </w:r>
    </w:p>
    <w:p w14:paraId="2E768577" w14:textId="77777777" w:rsidR="00E27F64" w:rsidRPr="00E27F64" w:rsidRDefault="00E27F64" w:rsidP="00E27F64">
      <w:pPr>
        <w:spacing w:after="0" w:line="360" w:lineRule="auto"/>
        <w:ind w:right="-28"/>
        <w:rPr>
          <w:rFonts w:eastAsia="Batang" w:cs="Tahoma"/>
          <w:bCs/>
          <w:color w:val="auto"/>
          <w:lang w:val="es-ES" w:eastAsia="es-ES"/>
        </w:rPr>
      </w:pPr>
    </w:p>
    <w:p w14:paraId="13EAE745" w14:textId="630C178E" w:rsidR="00E27F64" w:rsidRPr="00E27F64" w:rsidRDefault="00E27F64" w:rsidP="008E3B54">
      <w:pPr>
        <w:numPr>
          <w:ilvl w:val="0"/>
          <w:numId w:val="10"/>
        </w:numPr>
        <w:spacing w:after="0" w:line="360" w:lineRule="auto"/>
        <w:ind w:right="-28"/>
        <w:contextualSpacing/>
        <w:rPr>
          <w:rFonts w:eastAsia="Batang" w:cs="Tahoma"/>
          <w:b/>
          <w:bCs/>
          <w:color w:val="auto"/>
          <w:lang w:val="es-ES" w:eastAsia="es-ES"/>
        </w:rPr>
      </w:pPr>
      <w:r w:rsidRPr="00E27F64">
        <w:rPr>
          <w:rFonts w:eastAsia="Batang" w:cs="Tahoma"/>
          <w:b/>
          <w:bCs/>
          <w:color w:val="auto"/>
          <w:lang w:val="es-ES" w:eastAsia="es-ES"/>
        </w:rPr>
        <w:t>Acta de entrega-</w:t>
      </w:r>
      <w:r w:rsidR="008E3B54" w:rsidRPr="00E27F64">
        <w:rPr>
          <w:rFonts w:eastAsia="Batang" w:cs="Tahoma"/>
          <w:b/>
          <w:bCs/>
          <w:color w:val="auto"/>
          <w:lang w:val="es-ES" w:eastAsia="es-ES"/>
        </w:rPr>
        <w:t>recepción</w:t>
      </w:r>
      <w:r w:rsidRPr="00E27F64">
        <w:rPr>
          <w:rFonts w:eastAsia="Batang" w:cs="Tahoma"/>
          <w:b/>
          <w:bCs/>
          <w:color w:val="auto"/>
          <w:lang w:val="x-none" w:eastAsia="es-ES"/>
        </w:rPr>
        <w:t xml:space="preserve">: </w:t>
      </w:r>
      <w:r w:rsidRPr="00E27F64">
        <w:rPr>
          <w:rFonts w:eastAsia="Batang" w:cs="Tahoma"/>
          <w:bCs/>
          <w:color w:val="auto"/>
          <w:lang w:val="x-none" w:eastAsia="es-ES"/>
        </w:rPr>
        <w:t>Documento Jurídico mediante el cual se formaliza el acto de entrega-recepción, en el que se establecen los datos de los participantes, la relación de la información y el soporte documental de la gestión municipal, observaciones, firmas y anexos; existen dos tipos, acta final o de conclusión y extraordinaria.</w:t>
      </w:r>
    </w:p>
    <w:p w14:paraId="35B70F05" w14:textId="77777777" w:rsidR="00E27F64" w:rsidRPr="00E27F64" w:rsidRDefault="00E27F64" w:rsidP="00E27F64">
      <w:pPr>
        <w:spacing w:after="0" w:line="360" w:lineRule="auto"/>
        <w:ind w:left="720" w:right="-28"/>
        <w:contextualSpacing/>
        <w:rPr>
          <w:rFonts w:eastAsia="Batang" w:cs="Tahoma"/>
          <w:b/>
          <w:bCs/>
          <w:color w:val="auto"/>
          <w:lang w:val="es-ES" w:eastAsia="es-ES"/>
        </w:rPr>
      </w:pPr>
    </w:p>
    <w:p w14:paraId="4AC7FB32" w14:textId="3F98F10A" w:rsidR="00E27F64" w:rsidRPr="00E27F64" w:rsidRDefault="00E27F64" w:rsidP="008E3B54">
      <w:pPr>
        <w:numPr>
          <w:ilvl w:val="0"/>
          <w:numId w:val="10"/>
        </w:numPr>
        <w:spacing w:after="0" w:line="360" w:lineRule="auto"/>
        <w:ind w:right="-28"/>
        <w:contextualSpacing/>
        <w:rPr>
          <w:rFonts w:eastAsia="Batang" w:cs="Tahoma"/>
          <w:b/>
          <w:bCs/>
          <w:color w:val="auto"/>
          <w:lang w:val="es-ES" w:eastAsia="es-ES"/>
        </w:rPr>
      </w:pPr>
      <w:r w:rsidRPr="00E27F64">
        <w:rPr>
          <w:rFonts w:eastAsia="Batang" w:cs="Tahoma"/>
          <w:b/>
          <w:bCs/>
          <w:color w:val="auto"/>
          <w:lang w:val="es-ES" w:eastAsia="es-ES"/>
        </w:rPr>
        <w:t>Entrega-</w:t>
      </w:r>
      <w:r w:rsidR="008E3B54">
        <w:rPr>
          <w:rFonts w:eastAsia="Batang" w:cs="Tahoma"/>
          <w:b/>
          <w:bCs/>
          <w:color w:val="auto"/>
          <w:lang w:val="es-ES" w:eastAsia="es-ES"/>
        </w:rPr>
        <w:t>recepción:</w:t>
      </w:r>
      <w:r w:rsidRPr="00E27F64">
        <w:rPr>
          <w:rFonts w:eastAsia="Batang" w:cs="Tahoma"/>
          <w:b/>
          <w:bCs/>
          <w:color w:val="auto"/>
          <w:lang w:val="x-none" w:eastAsia="es-ES"/>
        </w:rPr>
        <w:t xml:space="preserve"> </w:t>
      </w:r>
      <w:r w:rsidRPr="00E27F64">
        <w:rPr>
          <w:rFonts w:eastAsia="Batang" w:cs="Tahoma"/>
          <w:bCs/>
          <w:color w:val="auto"/>
          <w:lang w:val="x-none" w:eastAsia="es-ES"/>
        </w:rPr>
        <w:t xml:space="preserve">Procedimiento administrativo de interés público de cumplimiento obligatorio y formal, mediante el cual un servidor público obligado que concluye su </w:t>
      </w:r>
      <w:proofErr w:type="gramStart"/>
      <w:r w:rsidRPr="00E27F64">
        <w:rPr>
          <w:rFonts w:eastAsia="Batang" w:cs="Tahoma"/>
          <w:bCs/>
          <w:color w:val="auto"/>
          <w:lang w:val="x-none" w:eastAsia="es-ES"/>
        </w:rPr>
        <w:t>función,</w:t>
      </w:r>
      <w:proofErr w:type="gramEnd"/>
      <w:r w:rsidRPr="00E27F64">
        <w:rPr>
          <w:rFonts w:eastAsia="Batang" w:cs="Tahoma"/>
          <w:bCs/>
          <w:color w:val="auto"/>
          <w:lang w:val="x-none" w:eastAsia="es-ES"/>
        </w:rPr>
        <w:t xml:space="preserve"> hace entrega del despacho al servidor público entrante, con la información económica, financiera, patrimonial, presupuestal, programática y administrativa, así como, todos aquellos documentos e información vinculada a las atribuciones, funciones, facultades y actividades de la unidad.</w:t>
      </w:r>
    </w:p>
    <w:p w14:paraId="74FC98D5" w14:textId="77777777" w:rsidR="00E27F64" w:rsidRPr="00E27F64" w:rsidRDefault="00E27F64" w:rsidP="00E27F64">
      <w:pPr>
        <w:tabs>
          <w:tab w:val="left" w:pos="4962"/>
        </w:tabs>
        <w:spacing w:after="0" w:line="360" w:lineRule="auto"/>
        <w:ind w:right="539"/>
        <w:rPr>
          <w:rFonts w:eastAsia="Calibri" w:cs="Tahoma"/>
          <w:b/>
          <w:i/>
          <w:iCs/>
          <w:color w:val="auto"/>
          <w:lang w:val="es-ES" w:eastAsia="es-ES_tradnl"/>
        </w:rPr>
      </w:pPr>
    </w:p>
    <w:p w14:paraId="19802442" w14:textId="6F635901" w:rsidR="00E27F64" w:rsidRPr="00E27F64" w:rsidRDefault="00E27F64" w:rsidP="00E27F64">
      <w:pPr>
        <w:tabs>
          <w:tab w:val="left" w:pos="4962"/>
        </w:tabs>
        <w:spacing w:after="0" w:line="360" w:lineRule="auto"/>
        <w:rPr>
          <w:rFonts w:eastAsia="Calibri" w:cs="Tahoma"/>
          <w:iCs/>
          <w:color w:val="auto"/>
          <w:lang w:val="es-ES" w:eastAsia="es-ES_tradnl"/>
        </w:rPr>
      </w:pPr>
      <w:r w:rsidRPr="00E27F64">
        <w:rPr>
          <w:rFonts w:eastAsia="Calibri" w:cs="Tahoma"/>
          <w:iCs/>
          <w:color w:val="auto"/>
          <w:lang w:val="es-ES" w:eastAsia="es-ES_tradnl"/>
        </w:rPr>
        <w:t>Ad</w:t>
      </w:r>
      <w:r w:rsidR="008E3B54">
        <w:rPr>
          <w:rFonts w:eastAsia="Calibri" w:cs="Tahoma"/>
          <w:iCs/>
          <w:color w:val="auto"/>
          <w:lang w:val="es-ES" w:eastAsia="es-ES_tradnl"/>
        </w:rPr>
        <w:t>e</w:t>
      </w:r>
      <w:r w:rsidRPr="00E27F64">
        <w:rPr>
          <w:rFonts w:eastAsia="Calibri" w:cs="Tahoma"/>
          <w:iCs/>
          <w:color w:val="auto"/>
          <w:lang w:val="es-ES" w:eastAsia="es-ES_tradnl"/>
        </w:rPr>
        <w:t>m</w:t>
      </w:r>
      <w:r w:rsidRPr="00E27F64">
        <w:rPr>
          <w:rFonts w:eastAsia="Calibri" w:cs="Tahoma"/>
          <w:iCs/>
          <w:color w:val="auto"/>
          <w:lang w:val="x-none" w:eastAsia="es-ES_tradnl"/>
        </w:rPr>
        <w:t>ás, el artículo 4˚</w:t>
      </w:r>
      <w:r w:rsidR="008C1F90">
        <w:rPr>
          <w:rFonts w:eastAsia="Calibri" w:cs="Tahoma"/>
          <w:iCs/>
          <w:color w:val="auto"/>
          <w:lang w:eastAsia="es-ES_tradnl"/>
        </w:rPr>
        <w:t xml:space="preserve"> </w:t>
      </w:r>
      <w:r w:rsidRPr="00E27F64">
        <w:rPr>
          <w:rFonts w:eastAsia="Calibri" w:cs="Tahoma"/>
          <w:iCs/>
          <w:color w:val="auto"/>
          <w:lang w:val="x-none" w:eastAsia="es-ES_tradnl"/>
        </w:rPr>
        <w:t xml:space="preserve">de los Lineamientos citados, establece que los servidores públicos entrantes y salientes de unidades administrativas, deben generar el procedimiento administrativo de entrega-recepción. </w:t>
      </w:r>
    </w:p>
    <w:p w14:paraId="63FBBBA3" w14:textId="77777777" w:rsidR="00E27F64" w:rsidRPr="00E27F64" w:rsidRDefault="00E27F64" w:rsidP="00E27F64">
      <w:pPr>
        <w:tabs>
          <w:tab w:val="left" w:pos="4962"/>
        </w:tabs>
        <w:spacing w:after="0" w:line="360" w:lineRule="auto"/>
        <w:rPr>
          <w:rFonts w:eastAsia="Calibri" w:cs="Tahoma"/>
          <w:b/>
          <w:i/>
          <w:iCs/>
          <w:color w:val="auto"/>
          <w:lang w:val="es-ES" w:eastAsia="es-ES_tradnl"/>
        </w:rPr>
      </w:pPr>
    </w:p>
    <w:p w14:paraId="4B5A36E1" w14:textId="44C6A095" w:rsidR="00E27F64" w:rsidRPr="00E27F64" w:rsidRDefault="00E27F64" w:rsidP="00E27F64">
      <w:pPr>
        <w:tabs>
          <w:tab w:val="left" w:pos="4962"/>
        </w:tabs>
        <w:spacing w:after="0" w:line="360" w:lineRule="auto"/>
        <w:rPr>
          <w:rFonts w:eastAsia="Batang" w:cs="Tahoma"/>
          <w:bCs/>
          <w:color w:val="auto"/>
          <w:lang w:val="x-none" w:eastAsia="es-ES"/>
        </w:rPr>
      </w:pPr>
      <w:r w:rsidRPr="00E27F64">
        <w:rPr>
          <w:rFonts w:eastAsia="Calibri" w:cs="Tahoma"/>
          <w:iCs/>
          <w:color w:val="auto"/>
          <w:lang w:val="es-ES" w:eastAsia="es-ES_tradnl"/>
        </w:rPr>
        <w:lastRenderedPageBreak/>
        <w:t xml:space="preserve">En ese orden de ideas, el </w:t>
      </w:r>
      <w:r w:rsidR="008E3B54">
        <w:rPr>
          <w:rFonts w:eastAsia="Calibri" w:cs="Tahoma"/>
          <w:iCs/>
          <w:color w:val="auto"/>
          <w:lang w:val="es-ES" w:eastAsia="es-ES_tradnl"/>
        </w:rPr>
        <w:t>artículo</w:t>
      </w:r>
      <w:r w:rsidRPr="00E27F64">
        <w:rPr>
          <w:rFonts w:eastAsia="Calibri" w:cs="Tahoma"/>
          <w:iCs/>
          <w:color w:val="auto"/>
          <w:lang w:val="x-none" w:eastAsia="es-ES_tradnl"/>
        </w:rPr>
        <w:t xml:space="preserve"> 13, de </w:t>
      </w:r>
      <w:r w:rsidRPr="00E27F64">
        <w:rPr>
          <w:rFonts w:eastAsia="Batang" w:cs="Tahoma"/>
          <w:bCs/>
          <w:color w:val="auto"/>
          <w:lang w:val="x-none" w:eastAsia="es-ES"/>
        </w:rPr>
        <w:t xml:space="preserve">los </w:t>
      </w:r>
      <w:r w:rsidRPr="00E27F64">
        <w:rPr>
          <w:rFonts w:eastAsia="Batang" w:cs="Tahoma"/>
          <w:bCs/>
          <w:color w:val="auto"/>
          <w:lang w:val="es-ES" w:eastAsia="es-ES"/>
        </w:rPr>
        <w:t xml:space="preserve">Lineamientos </w:t>
      </w:r>
      <w:r w:rsidR="00190B1D" w:rsidRPr="00CB3B17">
        <w:rPr>
          <w:rFonts w:eastAsia="Batang" w:cs="Tahoma"/>
          <w:bCs/>
          <w:lang w:val="es-ES"/>
        </w:rPr>
        <w:t>que Norman la Entrega-Recepción de los Ayuntamientos, sus Dependencias y Organismos Descentralizados Municipales del Estado de México</w:t>
      </w:r>
      <w:r w:rsidRPr="00E27F64">
        <w:rPr>
          <w:rFonts w:eastAsia="Batang" w:cs="Tahoma"/>
          <w:bCs/>
          <w:color w:val="auto"/>
          <w:lang w:val="es-ES" w:eastAsia="es-ES"/>
        </w:rPr>
        <w:t>, precisa que el procedimiento administrativo de entrega-</w:t>
      </w:r>
      <w:r w:rsidR="008E3B54">
        <w:rPr>
          <w:rFonts w:eastAsia="Batang" w:cs="Tahoma"/>
          <w:bCs/>
          <w:color w:val="auto"/>
          <w:lang w:val="es-ES" w:eastAsia="es-ES"/>
        </w:rPr>
        <w:t>recepción</w:t>
      </w:r>
      <w:r w:rsidRPr="00E27F64">
        <w:rPr>
          <w:rFonts w:eastAsia="Batang" w:cs="Tahoma"/>
          <w:bCs/>
          <w:color w:val="auto"/>
          <w:lang w:val="x-none" w:eastAsia="es-ES"/>
        </w:rPr>
        <w:t>, se realizará cuando el servidor público culmine con el periodo constitucional municipal, o cuando se ausente o separe del empleo, cargo o comisión.</w:t>
      </w:r>
    </w:p>
    <w:p w14:paraId="1DA1530F" w14:textId="25D706B5" w:rsidR="00F86B31" w:rsidRDefault="00F86B31" w:rsidP="00AD62BD">
      <w:pPr>
        <w:spacing w:after="0" w:line="360" w:lineRule="auto"/>
        <w:rPr>
          <w:rFonts w:eastAsia="Times New Roman" w:cs="Tahoma"/>
          <w:iCs/>
          <w:color w:val="auto"/>
          <w:lang w:val="es-ES" w:eastAsia="es-ES"/>
        </w:rPr>
      </w:pPr>
    </w:p>
    <w:p w14:paraId="528E15AE" w14:textId="5FF90276" w:rsidR="008E3B54" w:rsidRPr="005C5AB1" w:rsidRDefault="008E3B54" w:rsidP="008E3B54">
      <w:pPr>
        <w:tabs>
          <w:tab w:val="left" w:pos="4962"/>
        </w:tabs>
        <w:spacing w:after="0" w:line="360" w:lineRule="auto"/>
        <w:rPr>
          <w:rFonts w:eastAsia="Calibri" w:cs="Tahoma"/>
          <w:iCs/>
          <w:szCs w:val="24"/>
          <w:lang w:val="es-ES" w:eastAsia="es-ES_tradnl"/>
        </w:rPr>
      </w:pPr>
      <w:r w:rsidRPr="005C5AB1">
        <w:rPr>
          <w:rFonts w:eastAsia="Calibri" w:cs="Tahoma"/>
          <w:iCs/>
          <w:szCs w:val="24"/>
          <w:lang w:val="es-ES" w:eastAsia="es-ES_tradnl"/>
        </w:rPr>
        <w:t>Conforme a lo anterior, se logra vislumbrar que la pretensi</w:t>
      </w:r>
      <w:r>
        <w:rPr>
          <w:rFonts w:eastAsia="Calibri" w:cs="Tahoma"/>
          <w:iCs/>
          <w:szCs w:val="24"/>
          <w:lang w:val="es-ES" w:eastAsia="es-ES_tradnl"/>
        </w:rPr>
        <w:t>ón</w:t>
      </w:r>
      <w:r w:rsidRPr="005C5AB1">
        <w:rPr>
          <w:rFonts w:eastAsia="Calibri" w:cs="Tahoma"/>
          <w:iCs/>
          <w:szCs w:val="24"/>
          <w:lang w:val="x-none" w:eastAsia="es-ES_tradnl"/>
        </w:rPr>
        <w:t xml:space="preserve"> del ahora Recurrente es obtener todas las Actas de Entrega-Recepción </w:t>
      </w:r>
      <w:r>
        <w:rPr>
          <w:rFonts w:eastAsia="Calibri" w:cs="Tahoma"/>
          <w:iCs/>
          <w:szCs w:val="24"/>
          <w:lang w:eastAsia="es-ES_tradnl"/>
        </w:rPr>
        <w:t>generadas por motivo del cambio de administración</w:t>
      </w:r>
      <w:r w:rsidRPr="005C5AB1">
        <w:rPr>
          <w:rFonts w:eastAsia="Calibri" w:cs="Tahoma"/>
          <w:iCs/>
          <w:szCs w:val="24"/>
          <w:lang w:val="x-none" w:eastAsia="es-ES_tradnl"/>
        </w:rPr>
        <w:t xml:space="preserve">, del primero </w:t>
      </w:r>
      <w:r>
        <w:rPr>
          <w:rFonts w:eastAsia="Calibri" w:cs="Tahoma"/>
          <w:iCs/>
          <w:szCs w:val="24"/>
          <w:lang w:eastAsia="es-ES_tradnl"/>
        </w:rPr>
        <w:t>al diez de enero de dos mil veintidós</w:t>
      </w:r>
      <w:r w:rsidRPr="005C5AB1">
        <w:rPr>
          <w:rFonts w:eastAsia="Calibri" w:cs="Tahoma"/>
          <w:iCs/>
          <w:szCs w:val="24"/>
          <w:lang w:val="x-none" w:eastAsia="es-ES_tradnl"/>
        </w:rPr>
        <w:t>.</w:t>
      </w:r>
    </w:p>
    <w:p w14:paraId="45290ABF" w14:textId="60163EAC" w:rsidR="008E3B54" w:rsidRDefault="008E3B54" w:rsidP="00AD62BD">
      <w:pPr>
        <w:spacing w:after="0" w:line="360" w:lineRule="auto"/>
        <w:rPr>
          <w:rFonts w:eastAsia="Times New Roman" w:cs="Tahoma"/>
          <w:iCs/>
          <w:color w:val="auto"/>
          <w:lang w:val="es-ES" w:eastAsia="es-ES"/>
        </w:rPr>
      </w:pPr>
    </w:p>
    <w:p w14:paraId="479435FF" w14:textId="583278C3" w:rsidR="00263945" w:rsidRPr="00263945" w:rsidRDefault="008E3B54" w:rsidP="00263945">
      <w:pPr>
        <w:spacing w:after="0" w:line="360" w:lineRule="auto"/>
        <w:rPr>
          <w:rFonts w:eastAsia="Times New Roman" w:cs="Tahoma"/>
          <w:bCs/>
          <w:color w:val="auto"/>
          <w:lang w:eastAsia="es-ES"/>
        </w:rPr>
      </w:pPr>
      <w:r>
        <w:rPr>
          <w:rFonts w:eastAsia="Times New Roman" w:cs="Tahoma"/>
          <w:iCs/>
          <w:color w:val="auto"/>
          <w:lang w:val="es-ES" w:eastAsia="es-ES"/>
        </w:rPr>
        <w:t xml:space="preserve">Ahora bien, la Contraloría Municipal </w:t>
      </w:r>
      <w:r w:rsidR="00766FC9">
        <w:rPr>
          <w:rFonts w:eastAsia="Times New Roman" w:cs="Tahoma"/>
          <w:iCs/>
          <w:color w:val="auto"/>
          <w:lang w:val="es-ES" w:eastAsia="es-ES"/>
        </w:rPr>
        <w:t xml:space="preserve">en respuesta </w:t>
      </w:r>
      <w:r w:rsidR="00263945">
        <w:rPr>
          <w:rFonts w:eastAsia="Times New Roman" w:cs="Tahoma"/>
          <w:iCs/>
          <w:color w:val="auto"/>
          <w:lang w:val="es-ES" w:eastAsia="es-ES"/>
        </w:rPr>
        <w:t>proporcionó</w:t>
      </w:r>
      <w:r w:rsidR="00766FC9">
        <w:rPr>
          <w:rFonts w:eastAsia="Times New Roman" w:cs="Tahoma"/>
          <w:iCs/>
          <w:color w:val="auto"/>
          <w:lang w:val="es-ES" w:eastAsia="es-ES"/>
        </w:rPr>
        <w:t xml:space="preserve"> </w:t>
      </w:r>
      <w:r w:rsidR="00E04C2F">
        <w:rPr>
          <w:rFonts w:eastAsia="Times New Roman" w:cs="Tahoma"/>
          <w:iCs/>
          <w:color w:val="auto"/>
          <w:lang w:val="es-ES" w:eastAsia="es-ES"/>
        </w:rPr>
        <w:t xml:space="preserve">las Actas de Entrega-Recepción </w:t>
      </w:r>
      <w:r w:rsidR="00263945">
        <w:rPr>
          <w:rFonts w:eastAsia="Times New Roman" w:cs="Tahoma"/>
          <w:iCs/>
          <w:color w:val="auto"/>
          <w:lang w:val="es-ES" w:eastAsia="es-ES"/>
        </w:rPr>
        <w:t>con motivo del cambio de administración, esto es, las generadas del primero al diez de enero de dos mil veintidós; al respecto</w:t>
      </w:r>
      <w:r w:rsidR="00263945" w:rsidRPr="00263945">
        <w:rPr>
          <w:rFonts w:eastAsia="Times New Roman" w:cs="Tahoma"/>
          <w:bCs/>
          <w:color w:val="auto"/>
          <w:lang w:eastAsia="es-ES"/>
        </w:rPr>
        <w:t>, es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1BE8627D" w14:textId="77777777" w:rsidR="00263945" w:rsidRPr="00263945" w:rsidRDefault="00263945" w:rsidP="00263945">
      <w:pPr>
        <w:spacing w:after="0" w:line="360" w:lineRule="auto"/>
        <w:rPr>
          <w:rFonts w:eastAsia="Times New Roman" w:cs="Tahoma"/>
          <w:bCs/>
          <w:color w:val="auto"/>
          <w:lang w:eastAsia="es-ES"/>
        </w:rPr>
      </w:pPr>
    </w:p>
    <w:p w14:paraId="3D1709A3" w14:textId="77777777" w:rsidR="00263945" w:rsidRPr="00263945" w:rsidRDefault="00263945" w:rsidP="00263945">
      <w:pPr>
        <w:spacing w:after="0" w:line="360" w:lineRule="auto"/>
        <w:ind w:left="567" w:right="567"/>
        <w:rPr>
          <w:rFonts w:eastAsia="Times New Roman" w:cs="Tahoma"/>
          <w:bCs/>
          <w:i/>
          <w:color w:val="auto"/>
          <w:sz w:val="20"/>
          <w:szCs w:val="20"/>
          <w:lang w:eastAsia="es-ES"/>
        </w:rPr>
      </w:pPr>
      <w:r w:rsidRPr="00263945">
        <w:rPr>
          <w:rFonts w:eastAsia="Times New Roman" w:cs="Tahoma"/>
          <w:b/>
          <w:bCs/>
          <w:i/>
          <w:color w:val="auto"/>
          <w:sz w:val="20"/>
          <w:szCs w:val="20"/>
          <w:lang w:eastAsia="es-ES"/>
        </w:rPr>
        <w:t xml:space="preserve">“El Instituto Federal de Acceso a la Información y Protección de Datos </w:t>
      </w:r>
      <w:r w:rsidRPr="00263945">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263945">
        <w:rPr>
          <w:rFonts w:eastAsia="Times New Roman" w:cs="Tahoma"/>
          <w:bCs/>
          <w:i/>
          <w:color w:val="auto"/>
          <w:sz w:val="20"/>
          <w:szCs w:val="20"/>
          <w:lang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w:t>
      </w:r>
      <w:r w:rsidRPr="00263945">
        <w:rPr>
          <w:rFonts w:eastAsia="Times New Roman" w:cs="Tahoma"/>
          <w:bCs/>
          <w:i/>
          <w:color w:val="auto"/>
          <w:sz w:val="20"/>
          <w:szCs w:val="20"/>
          <w:lang w:eastAsia="es-ES"/>
        </w:rPr>
        <w:lastRenderedPageBreak/>
        <w:t>al Instituto Federal de Acceso a la Información y Protección de Datos conocer, vía recurso revisión, al respecto.”</w:t>
      </w:r>
    </w:p>
    <w:p w14:paraId="0DD5B1B7" w14:textId="3977E65E" w:rsidR="00CA7E22" w:rsidRPr="00FF32E9" w:rsidRDefault="00263945" w:rsidP="00AD62BD">
      <w:pPr>
        <w:spacing w:after="0" w:line="360" w:lineRule="auto"/>
      </w:pPr>
      <w:r>
        <w:rPr>
          <w:rFonts w:eastAsia="Times New Roman" w:cs="Tahoma"/>
          <w:iCs/>
          <w:color w:val="auto"/>
          <w:lang w:val="es-ES" w:eastAsia="es-ES"/>
        </w:rPr>
        <w:t>Conforme a lo anterior, se logra vislumbrar que desde contestación, el Sujeto Obligado proporcionó los documentos que dan cuenta de lo solicitado; sobre</w:t>
      </w:r>
      <w:r w:rsidR="00CA7E22" w:rsidRPr="00FF32E9">
        <w:rPr>
          <w:bCs/>
        </w:rPr>
        <w:t xml:space="preserve"> dicha situación, el</w:t>
      </w:r>
      <w:r w:rsidR="00CA7E22" w:rsidRPr="00FF32E9">
        <w:t xml:space="preserve"> artículo 12 de la Ley de Transparencia y Acceso a la Información Pública del Estado de México y Municipios,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A0F67DC" w14:textId="77777777" w:rsidR="00CA7E22" w:rsidRPr="00FF32E9" w:rsidRDefault="00CA7E22" w:rsidP="00AD62BD">
      <w:pPr>
        <w:spacing w:after="0" w:line="360" w:lineRule="auto"/>
      </w:pPr>
    </w:p>
    <w:p w14:paraId="2C92581F" w14:textId="77777777" w:rsidR="0022757C" w:rsidRPr="00FF32E9" w:rsidRDefault="00CA7E22" w:rsidP="00AD62BD">
      <w:pPr>
        <w:spacing w:after="0" w:line="360" w:lineRule="auto"/>
      </w:pPr>
      <w:r w:rsidRPr="00FF32E9">
        <w:t xml:space="preserve">De esta manera, </w:t>
      </w:r>
      <w:r w:rsidRPr="00FF32E9">
        <w:rPr>
          <w:lang w:val="es-ES"/>
        </w:rPr>
        <w:t xml:space="preserve">el derecho de acceso a la información pública se satisface en aquellos casos en que se entregue el soporte documental en el que conste la información solicitada, sin necesidad de elaborar documentos </w:t>
      </w:r>
      <w:r w:rsidRPr="00FF32E9">
        <w:rPr>
          <w:i/>
        </w:rPr>
        <w:t>ad hoc</w:t>
      </w:r>
      <w:r w:rsidRPr="00FF32E9">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7567DF6" w14:textId="77777777" w:rsidR="0022757C" w:rsidRPr="00FF32E9" w:rsidRDefault="0022757C" w:rsidP="00AD62BD">
      <w:pPr>
        <w:spacing w:after="0" w:line="360" w:lineRule="auto"/>
      </w:pPr>
    </w:p>
    <w:p w14:paraId="1A03FA30" w14:textId="42B70E9D" w:rsidR="00CA7E22" w:rsidRPr="00FF32E9" w:rsidRDefault="00CA7E22" w:rsidP="00AD62BD">
      <w:pPr>
        <w:spacing w:after="0" w:line="360" w:lineRule="auto"/>
        <w:rPr>
          <w:lang w:val="es-ES"/>
        </w:rPr>
      </w:pPr>
      <w:r w:rsidRPr="00FF32E9">
        <w:rPr>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263945">
        <w:rPr>
          <w:lang w:val="es-ES"/>
        </w:rPr>
        <w:t xml:space="preserve"> lo cual aconteció, pues proporciono las Actas de Entrega-Recepción requeridas.</w:t>
      </w:r>
    </w:p>
    <w:p w14:paraId="3FB297EE" w14:textId="77777777" w:rsidR="00CA7E22" w:rsidRDefault="00CA7E22" w:rsidP="00AD62BD">
      <w:pPr>
        <w:spacing w:after="0" w:line="360" w:lineRule="auto"/>
      </w:pPr>
    </w:p>
    <w:p w14:paraId="563F6659" w14:textId="4B6221BC" w:rsidR="00263945" w:rsidRDefault="00263945" w:rsidP="00AD62BD">
      <w:pPr>
        <w:spacing w:after="0" w:line="360" w:lineRule="auto"/>
        <w:rPr>
          <w:rFonts w:eastAsia="Times New Roman" w:cs="Tahoma"/>
          <w:color w:val="0D0D0D" w:themeColor="text1" w:themeTint="F2"/>
          <w:lang w:val="es-ES_tradnl" w:eastAsia="es-MX"/>
        </w:rPr>
      </w:pPr>
      <w:r>
        <w:rPr>
          <w:rFonts w:eastAsia="Times New Roman" w:cs="Tahoma"/>
          <w:color w:val="0D0D0D" w:themeColor="text1" w:themeTint="F2"/>
          <w:lang w:val="es-ES_tradnl" w:eastAsia="es-MX"/>
        </w:rPr>
        <w:t>En ese orden de ideas, si bien desde contestación proporcionó las expresiones document</w:t>
      </w:r>
      <w:r w:rsidR="00C30FE2">
        <w:rPr>
          <w:rFonts w:eastAsia="Times New Roman" w:cs="Tahoma"/>
          <w:color w:val="0D0D0D" w:themeColor="text1" w:themeTint="F2"/>
          <w:lang w:val="es-ES_tradnl" w:eastAsia="es-MX"/>
        </w:rPr>
        <w:t>ales que dan cuenta de lo requerido, lo cierto es que dio acceso a estas, en versión pública, de cuyo análisis y revisión, se logra vislumbrar que clasificó lo siguientes datos:</w:t>
      </w:r>
    </w:p>
    <w:p w14:paraId="0EB508C2" w14:textId="521DBDB0" w:rsidR="00C30FE2" w:rsidRDefault="00C30FE2" w:rsidP="00AD62BD">
      <w:pPr>
        <w:spacing w:after="0" w:line="360" w:lineRule="auto"/>
        <w:rPr>
          <w:rFonts w:eastAsia="Times New Roman" w:cs="Tahoma"/>
          <w:color w:val="0D0D0D" w:themeColor="text1" w:themeTint="F2"/>
          <w:lang w:val="es-ES_tradnl" w:eastAsia="es-MX"/>
        </w:rPr>
      </w:pPr>
    </w:p>
    <w:p w14:paraId="5A02E027" w14:textId="5B05DA08" w:rsidR="00C30FE2" w:rsidRDefault="00121E17" w:rsidP="00121E17">
      <w:pPr>
        <w:pStyle w:val="Prrafodelista"/>
        <w:numPr>
          <w:ilvl w:val="0"/>
          <w:numId w:val="18"/>
        </w:numPr>
        <w:spacing w:line="360" w:lineRule="auto"/>
        <w:rPr>
          <w:rFonts w:cs="Tahoma"/>
          <w:color w:val="0D0D0D" w:themeColor="text1" w:themeTint="F2"/>
          <w:lang w:val="es-ES_tradnl" w:eastAsia="es-MX"/>
        </w:rPr>
      </w:pPr>
      <w:r w:rsidRPr="00121E17">
        <w:rPr>
          <w:rFonts w:cs="Tahoma"/>
          <w:color w:val="0D0D0D" w:themeColor="text1" w:themeTint="F2"/>
          <w:lang w:val="es-ES_tradnl" w:eastAsia="es-MX"/>
        </w:rPr>
        <w:t>Nombre de testigos (servidor público o particulares)</w:t>
      </w:r>
      <w:r>
        <w:rPr>
          <w:rFonts w:cs="Tahoma"/>
          <w:color w:val="0D0D0D" w:themeColor="text1" w:themeTint="F2"/>
          <w:lang w:val="es-ES_tradnl" w:eastAsia="es-MX"/>
        </w:rPr>
        <w:t>;</w:t>
      </w:r>
    </w:p>
    <w:p w14:paraId="0A8A3D2D" w14:textId="700C362E" w:rsidR="00121E17" w:rsidRDefault="00121E17" w:rsidP="00121E17">
      <w:pPr>
        <w:pStyle w:val="Prrafodelista"/>
        <w:numPr>
          <w:ilvl w:val="0"/>
          <w:numId w:val="18"/>
        </w:numPr>
        <w:spacing w:line="360" w:lineRule="auto"/>
        <w:rPr>
          <w:rFonts w:cs="Tahoma"/>
          <w:color w:val="0D0D0D" w:themeColor="text1" w:themeTint="F2"/>
          <w:lang w:val="es-ES_tradnl" w:eastAsia="es-MX"/>
        </w:rPr>
      </w:pPr>
      <w:r>
        <w:rPr>
          <w:rFonts w:cs="Tahoma"/>
          <w:color w:val="0D0D0D" w:themeColor="text1" w:themeTint="F2"/>
          <w:lang w:val="es-ES_tradnl" w:eastAsia="es-MX"/>
        </w:rPr>
        <w:t>Clave Única de Registro de Población;</w:t>
      </w:r>
    </w:p>
    <w:p w14:paraId="1F87743B" w14:textId="490E075E" w:rsidR="00121E17" w:rsidRDefault="00121E17" w:rsidP="00121E17">
      <w:pPr>
        <w:pStyle w:val="Prrafodelista"/>
        <w:numPr>
          <w:ilvl w:val="0"/>
          <w:numId w:val="18"/>
        </w:numPr>
        <w:spacing w:line="360" w:lineRule="auto"/>
        <w:rPr>
          <w:rFonts w:cs="Tahoma"/>
          <w:color w:val="0D0D0D" w:themeColor="text1" w:themeTint="F2"/>
          <w:lang w:val="es-ES_tradnl" w:eastAsia="es-MX"/>
        </w:rPr>
      </w:pPr>
      <w:r>
        <w:rPr>
          <w:rFonts w:cs="Tahoma"/>
          <w:color w:val="0D0D0D" w:themeColor="text1" w:themeTint="F2"/>
          <w:lang w:val="es-ES_tradnl" w:eastAsia="es-MX"/>
        </w:rPr>
        <w:lastRenderedPageBreak/>
        <w:t>Registro Federal de Contribuyentes;</w:t>
      </w:r>
    </w:p>
    <w:p w14:paraId="3A3D85C7" w14:textId="3F63BA2C" w:rsidR="00121E17" w:rsidRDefault="00121E17" w:rsidP="00121E17">
      <w:pPr>
        <w:pStyle w:val="Prrafodelista"/>
        <w:numPr>
          <w:ilvl w:val="0"/>
          <w:numId w:val="18"/>
        </w:numPr>
        <w:spacing w:line="360" w:lineRule="auto"/>
        <w:rPr>
          <w:rFonts w:cs="Tahoma"/>
          <w:color w:val="0D0D0D" w:themeColor="text1" w:themeTint="F2"/>
          <w:lang w:val="es-ES_tradnl" w:eastAsia="es-MX"/>
        </w:rPr>
      </w:pPr>
      <w:r>
        <w:rPr>
          <w:rFonts w:cs="Tahoma"/>
          <w:color w:val="0D0D0D" w:themeColor="text1" w:themeTint="F2"/>
          <w:lang w:val="es-ES_tradnl" w:eastAsia="es-MX"/>
        </w:rPr>
        <w:t>Código Bidimensional;</w:t>
      </w:r>
    </w:p>
    <w:p w14:paraId="5C9030A2" w14:textId="7D73E069" w:rsidR="00121E17" w:rsidRDefault="00121E17" w:rsidP="00121E17">
      <w:pPr>
        <w:pStyle w:val="Prrafodelista"/>
        <w:numPr>
          <w:ilvl w:val="0"/>
          <w:numId w:val="18"/>
        </w:numPr>
        <w:spacing w:line="360" w:lineRule="auto"/>
        <w:rPr>
          <w:rFonts w:cs="Tahoma"/>
          <w:color w:val="0D0D0D" w:themeColor="text1" w:themeTint="F2"/>
          <w:lang w:val="es-ES_tradnl" w:eastAsia="es-MX"/>
        </w:rPr>
      </w:pPr>
      <w:r>
        <w:rPr>
          <w:rFonts w:cs="Tahoma"/>
          <w:color w:val="0D0D0D" w:themeColor="text1" w:themeTint="F2"/>
          <w:lang w:val="es-ES_tradnl" w:eastAsia="es-MX"/>
        </w:rPr>
        <w:t>Teléfono particular;</w:t>
      </w:r>
    </w:p>
    <w:p w14:paraId="617515C0" w14:textId="59878A04" w:rsidR="00121E17" w:rsidRDefault="00121E17" w:rsidP="00121E17">
      <w:pPr>
        <w:pStyle w:val="Prrafodelista"/>
        <w:numPr>
          <w:ilvl w:val="0"/>
          <w:numId w:val="18"/>
        </w:numPr>
        <w:spacing w:line="360" w:lineRule="auto"/>
        <w:rPr>
          <w:rFonts w:cs="Tahoma"/>
          <w:color w:val="0D0D0D" w:themeColor="text1" w:themeTint="F2"/>
          <w:lang w:val="es-ES_tradnl" w:eastAsia="es-MX"/>
        </w:rPr>
      </w:pPr>
      <w:r>
        <w:rPr>
          <w:rFonts w:cs="Tahoma"/>
          <w:color w:val="0D0D0D" w:themeColor="text1" w:themeTint="F2"/>
          <w:lang w:val="es-ES_tradnl" w:eastAsia="es-MX"/>
        </w:rPr>
        <w:t>Número de clave de elector;</w:t>
      </w:r>
    </w:p>
    <w:p w14:paraId="3FC6A10E" w14:textId="64DFD213" w:rsidR="00121E17" w:rsidRPr="00121E17" w:rsidRDefault="00121E17" w:rsidP="00121E17">
      <w:pPr>
        <w:pStyle w:val="Prrafodelista"/>
        <w:numPr>
          <w:ilvl w:val="0"/>
          <w:numId w:val="18"/>
        </w:numPr>
        <w:spacing w:line="360" w:lineRule="auto"/>
        <w:rPr>
          <w:rFonts w:cs="Tahoma"/>
          <w:color w:val="0D0D0D" w:themeColor="text1" w:themeTint="F2"/>
          <w:lang w:val="es-ES_tradnl" w:eastAsia="es-MX"/>
        </w:rPr>
      </w:pPr>
      <w:r>
        <w:rPr>
          <w:rFonts w:cs="Tahoma"/>
          <w:color w:val="0D0D0D" w:themeColor="text1" w:themeTint="F2"/>
          <w:lang w:val="es-ES_tradnl" w:eastAsia="es-MX"/>
        </w:rPr>
        <w:t>Firma de servidores públicos o particulares.</w:t>
      </w:r>
    </w:p>
    <w:p w14:paraId="790DB5A9" w14:textId="77777777" w:rsidR="00263945" w:rsidRDefault="00263945" w:rsidP="00AD62BD">
      <w:pPr>
        <w:spacing w:after="0" w:line="360" w:lineRule="auto"/>
        <w:rPr>
          <w:rFonts w:eastAsia="Times New Roman" w:cs="Tahoma"/>
          <w:color w:val="0D0D0D" w:themeColor="text1" w:themeTint="F2"/>
          <w:lang w:val="es-ES_tradnl" w:eastAsia="es-MX"/>
        </w:rPr>
      </w:pPr>
    </w:p>
    <w:p w14:paraId="3B7DA5D6" w14:textId="77777777" w:rsidR="000114B7" w:rsidRPr="000114B7" w:rsidRDefault="000114B7" w:rsidP="000114B7">
      <w:pPr>
        <w:spacing w:after="0" w:line="360" w:lineRule="auto"/>
        <w:rPr>
          <w:rFonts w:eastAsia="Calibri" w:cs="Tahoma"/>
          <w:bCs/>
        </w:rPr>
      </w:pPr>
      <w:r w:rsidRPr="000114B7">
        <w:rPr>
          <w:rFonts w:eastAsia="Calibri" w:cs="Tahoma"/>
          <w:bC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w:t>
      </w:r>
      <w:proofErr w:type="gramStart"/>
      <w:r w:rsidRPr="000114B7">
        <w:rPr>
          <w:rFonts w:eastAsia="Calibri" w:cs="Tahoma"/>
          <w:bCs/>
        </w:rPr>
        <w:t>personales,</w:t>
      </w:r>
      <w:proofErr w:type="gramEnd"/>
      <w:r w:rsidRPr="000114B7">
        <w:rPr>
          <w:rFonts w:eastAsia="Calibri" w:cs="Tahoma"/>
          <w:bCs/>
        </w:rPr>
        <w:t xml:space="preserve">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E4FE126" w14:textId="77777777" w:rsidR="000114B7" w:rsidRPr="000114B7" w:rsidRDefault="000114B7" w:rsidP="000114B7">
      <w:pPr>
        <w:spacing w:after="0" w:line="360" w:lineRule="auto"/>
        <w:rPr>
          <w:rFonts w:eastAsia="Calibri" w:cs="Tahoma"/>
          <w:bCs/>
        </w:rPr>
      </w:pPr>
    </w:p>
    <w:p w14:paraId="397D69EA" w14:textId="77777777" w:rsidR="000114B7" w:rsidRPr="000114B7" w:rsidRDefault="000114B7" w:rsidP="000114B7">
      <w:pPr>
        <w:spacing w:after="0" w:line="360" w:lineRule="auto"/>
        <w:rPr>
          <w:rFonts w:eastAsia="Calibri" w:cs="Tahoma"/>
          <w:bCs/>
        </w:rPr>
      </w:pPr>
      <w:r w:rsidRPr="000114B7">
        <w:rPr>
          <w:rFonts w:eastAsia="Calibri" w:cs="Tahoma"/>
          <w:b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B54FA32" w14:textId="77777777" w:rsidR="000114B7" w:rsidRPr="000114B7" w:rsidRDefault="000114B7" w:rsidP="000114B7">
      <w:pPr>
        <w:spacing w:after="0" w:line="360" w:lineRule="auto"/>
        <w:rPr>
          <w:rFonts w:eastAsia="Calibri" w:cs="Tahoma"/>
          <w:bCs/>
        </w:rPr>
      </w:pPr>
    </w:p>
    <w:p w14:paraId="260F0EE2" w14:textId="77777777" w:rsidR="000114B7" w:rsidRPr="000114B7" w:rsidRDefault="000114B7" w:rsidP="000114B7">
      <w:pPr>
        <w:spacing w:after="0" w:line="360" w:lineRule="auto"/>
        <w:rPr>
          <w:rFonts w:eastAsia="Calibri" w:cs="Tahoma"/>
          <w:bCs/>
        </w:rPr>
      </w:pPr>
      <w:r w:rsidRPr="000114B7">
        <w:rPr>
          <w:rFonts w:eastAsia="Calibri" w:cs="Tahoma"/>
          <w:b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ABAA8DA" w14:textId="77777777" w:rsidR="000114B7" w:rsidRPr="000114B7" w:rsidRDefault="000114B7" w:rsidP="000114B7">
      <w:pPr>
        <w:spacing w:after="0" w:line="360" w:lineRule="auto"/>
        <w:rPr>
          <w:rFonts w:eastAsia="Calibri" w:cs="Tahoma"/>
          <w:bCs/>
        </w:rPr>
      </w:pPr>
    </w:p>
    <w:p w14:paraId="55EC883D" w14:textId="77777777" w:rsidR="000114B7" w:rsidRPr="000114B7" w:rsidRDefault="000114B7" w:rsidP="000114B7">
      <w:pPr>
        <w:spacing w:after="0" w:line="360" w:lineRule="auto"/>
        <w:rPr>
          <w:rFonts w:eastAsia="Calibri" w:cs="Tahoma"/>
          <w:bCs/>
        </w:rPr>
      </w:pPr>
      <w:r w:rsidRPr="000114B7">
        <w:rPr>
          <w:rFonts w:eastAsia="Calibri" w:cs="Tahoma"/>
          <w:bCs/>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E336C37" w14:textId="77777777" w:rsidR="000114B7" w:rsidRPr="000114B7" w:rsidRDefault="000114B7" w:rsidP="000114B7">
      <w:pPr>
        <w:spacing w:after="0" w:line="360" w:lineRule="auto"/>
        <w:rPr>
          <w:rFonts w:eastAsia="Calibri" w:cs="Tahoma"/>
          <w:bCs/>
        </w:rPr>
      </w:pPr>
    </w:p>
    <w:p w14:paraId="45CB74F0" w14:textId="77777777" w:rsidR="000114B7" w:rsidRPr="000114B7" w:rsidRDefault="000114B7" w:rsidP="000114B7">
      <w:pPr>
        <w:spacing w:after="0" w:line="360" w:lineRule="auto"/>
        <w:rPr>
          <w:rFonts w:eastAsia="Calibri" w:cs="Tahoma"/>
          <w:bCs/>
        </w:rPr>
      </w:pPr>
      <w:r w:rsidRPr="000114B7">
        <w:rPr>
          <w:rFonts w:eastAsia="Calibri" w:cs="Tahoma"/>
          <w:bC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951F7E0" w14:textId="77777777" w:rsidR="000114B7" w:rsidRPr="000114B7" w:rsidRDefault="000114B7" w:rsidP="000114B7">
      <w:pPr>
        <w:spacing w:after="0" w:line="360" w:lineRule="auto"/>
        <w:rPr>
          <w:rFonts w:eastAsia="Calibri" w:cs="Tahoma"/>
          <w:bCs/>
        </w:rPr>
      </w:pPr>
    </w:p>
    <w:p w14:paraId="489F1A4D" w14:textId="77777777" w:rsidR="000114B7" w:rsidRPr="000114B7" w:rsidRDefault="000114B7" w:rsidP="000114B7">
      <w:pPr>
        <w:spacing w:after="0" w:line="360" w:lineRule="auto"/>
        <w:rPr>
          <w:rFonts w:eastAsia="Calibri" w:cs="Tahoma"/>
          <w:bCs/>
        </w:rPr>
      </w:pPr>
      <w:r w:rsidRPr="000114B7">
        <w:rPr>
          <w:rFonts w:eastAsia="Calibri" w:cs="Tahoma"/>
          <w:bC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AC0D238" w14:textId="77777777" w:rsidR="000114B7" w:rsidRPr="000114B7" w:rsidRDefault="000114B7" w:rsidP="000114B7">
      <w:pPr>
        <w:spacing w:after="0" w:line="360" w:lineRule="auto"/>
        <w:rPr>
          <w:rFonts w:eastAsia="Calibri" w:cs="Tahoma"/>
          <w:bCs/>
        </w:rPr>
      </w:pPr>
    </w:p>
    <w:p w14:paraId="724D6470" w14:textId="77777777" w:rsidR="000114B7" w:rsidRPr="000114B7" w:rsidRDefault="000114B7" w:rsidP="000114B7">
      <w:pPr>
        <w:spacing w:after="0" w:line="360" w:lineRule="auto"/>
        <w:rPr>
          <w:rFonts w:eastAsia="Calibri" w:cs="Tahoma"/>
          <w:bCs/>
        </w:rPr>
      </w:pPr>
      <w:r w:rsidRPr="000114B7">
        <w:rPr>
          <w:rFonts w:eastAsia="Calibri" w:cs="Tahoma"/>
          <w:bCs/>
        </w:rPr>
        <w:t>En términos de lo expuesto, la documentación y aquellos datos que se consideren confidenciales, serán una limitante del derecho de acceso a la información, siempre y cuando:</w:t>
      </w:r>
    </w:p>
    <w:p w14:paraId="1E132270" w14:textId="77777777" w:rsidR="000114B7" w:rsidRPr="000114B7" w:rsidRDefault="000114B7" w:rsidP="000114B7">
      <w:pPr>
        <w:spacing w:after="0" w:line="360" w:lineRule="auto"/>
        <w:rPr>
          <w:rFonts w:eastAsia="Calibri" w:cs="Tahoma"/>
          <w:bCs/>
        </w:rPr>
      </w:pPr>
    </w:p>
    <w:p w14:paraId="5F1CDF01" w14:textId="77777777" w:rsidR="000114B7" w:rsidRPr="000114B7" w:rsidRDefault="000114B7" w:rsidP="000114B7">
      <w:pPr>
        <w:numPr>
          <w:ilvl w:val="0"/>
          <w:numId w:val="20"/>
        </w:numPr>
        <w:spacing w:after="0" w:line="360" w:lineRule="auto"/>
        <w:jc w:val="left"/>
        <w:rPr>
          <w:rFonts w:eastAsia="Calibri" w:cs="Tahoma"/>
          <w:bCs/>
        </w:rPr>
      </w:pPr>
      <w:r w:rsidRPr="000114B7">
        <w:rPr>
          <w:rFonts w:eastAsia="Calibri" w:cs="Tahoma"/>
          <w:bCs/>
        </w:rPr>
        <w:t xml:space="preserve">Se trate de datos personales o información privada; esto es, información concerniente a una persona física o jurídico colectiva y que esta sea identificada o identificable. </w:t>
      </w:r>
    </w:p>
    <w:p w14:paraId="71A40BAB" w14:textId="77777777" w:rsidR="000114B7" w:rsidRPr="000114B7" w:rsidRDefault="000114B7" w:rsidP="000114B7">
      <w:pPr>
        <w:spacing w:after="0" w:line="360" w:lineRule="auto"/>
        <w:rPr>
          <w:rFonts w:eastAsia="Calibri" w:cs="Tahoma"/>
          <w:bCs/>
        </w:rPr>
      </w:pPr>
    </w:p>
    <w:p w14:paraId="3D6084F3" w14:textId="77777777" w:rsidR="000114B7" w:rsidRPr="000114B7" w:rsidRDefault="000114B7" w:rsidP="000114B7">
      <w:pPr>
        <w:numPr>
          <w:ilvl w:val="0"/>
          <w:numId w:val="20"/>
        </w:numPr>
        <w:spacing w:after="0" w:line="360" w:lineRule="auto"/>
        <w:jc w:val="left"/>
        <w:rPr>
          <w:rFonts w:eastAsia="Calibri" w:cs="Tahoma"/>
          <w:bCs/>
        </w:rPr>
      </w:pPr>
      <w:r w:rsidRPr="000114B7">
        <w:rPr>
          <w:rFonts w:eastAsia="Calibri" w:cs="Tahoma"/>
          <w:bCs/>
        </w:rPr>
        <w:t xml:space="preserve">Para la difusión de los datos, se requiera el consentimiento del titular. </w:t>
      </w:r>
    </w:p>
    <w:p w14:paraId="3AD9326C" w14:textId="77777777" w:rsidR="000114B7" w:rsidRPr="000114B7" w:rsidRDefault="000114B7" w:rsidP="000114B7">
      <w:pPr>
        <w:spacing w:after="0" w:line="360" w:lineRule="auto"/>
        <w:rPr>
          <w:rFonts w:eastAsia="Calibri" w:cs="Tahoma"/>
          <w:bCs/>
        </w:rPr>
      </w:pPr>
    </w:p>
    <w:p w14:paraId="39703266" w14:textId="77777777" w:rsidR="000114B7" w:rsidRPr="000114B7" w:rsidRDefault="000114B7" w:rsidP="000114B7">
      <w:pPr>
        <w:spacing w:after="0" w:line="360" w:lineRule="auto"/>
        <w:rPr>
          <w:rFonts w:eastAsia="Calibri" w:cs="Tahoma"/>
          <w:bCs/>
        </w:rPr>
      </w:pPr>
      <w:r w:rsidRPr="000114B7">
        <w:rPr>
          <w:rFonts w:eastAsia="Calibri" w:cs="Tahoma"/>
          <w:bCs/>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04A52BE" w14:textId="77777777" w:rsidR="000114B7" w:rsidRPr="000114B7" w:rsidRDefault="000114B7" w:rsidP="000114B7">
      <w:pPr>
        <w:spacing w:after="0" w:line="360" w:lineRule="auto"/>
        <w:rPr>
          <w:rFonts w:eastAsia="Calibri" w:cs="Tahoma"/>
          <w:bCs/>
        </w:rPr>
      </w:pPr>
    </w:p>
    <w:p w14:paraId="5E54F4C6" w14:textId="77777777" w:rsidR="000114B7" w:rsidRPr="000114B7" w:rsidRDefault="000114B7" w:rsidP="000114B7">
      <w:pPr>
        <w:spacing w:after="0" w:line="360" w:lineRule="auto"/>
        <w:rPr>
          <w:rFonts w:eastAsia="Calibri" w:cs="Tahoma"/>
          <w:bCs/>
        </w:rPr>
      </w:pPr>
      <w:r w:rsidRPr="000114B7">
        <w:rPr>
          <w:rFonts w:eastAsia="Calibri" w:cs="Tahoma"/>
          <w:bCs/>
        </w:rPr>
        <w:t>Además, en el artículo 5° de dicho ordenamiento jurídico, establece que es la Ley aplicable para todo tratamiento de datos personales.</w:t>
      </w:r>
    </w:p>
    <w:p w14:paraId="7C3F4125" w14:textId="77777777" w:rsidR="000114B7" w:rsidRPr="000114B7" w:rsidRDefault="000114B7" w:rsidP="000114B7">
      <w:pPr>
        <w:spacing w:after="0" w:line="360" w:lineRule="auto"/>
        <w:rPr>
          <w:rFonts w:eastAsia="Calibri" w:cs="Tahoma"/>
          <w:bCs/>
        </w:rPr>
      </w:pPr>
    </w:p>
    <w:p w14:paraId="21B313E4" w14:textId="77777777" w:rsidR="000114B7" w:rsidRPr="000114B7" w:rsidRDefault="000114B7" w:rsidP="000114B7">
      <w:pPr>
        <w:spacing w:after="0" w:line="360" w:lineRule="auto"/>
        <w:rPr>
          <w:rFonts w:eastAsia="Calibri" w:cs="Tahoma"/>
          <w:bCs/>
        </w:rPr>
      </w:pPr>
      <w:r w:rsidRPr="000114B7">
        <w:rPr>
          <w:rFonts w:eastAsia="Calibri" w:cs="Tahoma"/>
          <w:b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E0ED795" w14:textId="77777777" w:rsidR="000114B7" w:rsidRPr="000114B7" w:rsidRDefault="000114B7" w:rsidP="000114B7">
      <w:pPr>
        <w:spacing w:after="0" w:line="360" w:lineRule="auto"/>
        <w:rPr>
          <w:rFonts w:eastAsia="Calibri" w:cs="Tahoma"/>
          <w:bCs/>
        </w:rPr>
      </w:pPr>
    </w:p>
    <w:p w14:paraId="4A717374" w14:textId="77777777" w:rsidR="000114B7" w:rsidRPr="000114B7" w:rsidRDefault="000114B7" w:rsidP="000114B7">
      <w:pPr>
        <w:spacing w:after="0" w:line="360" w:lineRule="auto"/>
        <w:rPr>
          <w:rFonts w:eastAsia="Calibri" w:cs="Tahoma"/>
          <w:bCs/>
        </w:rPr>
      </w:pPr>
      <w:r w:rsidRPr="000114B7">
        <w:rPr>
          <w:rFonts w:eastAsia="Calibri" w:cs="Tahoma"/>
          <w:b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D66FA96" w14:textId="77777777" w:rsidR="000114B7" w:rsidRPr="000114B7" w:rsidRDefault="000114B7" w:rsidP="000114B7">
      <w:pPr>
        <w:spacing w:after="0" w:line="360" w:lineRule="auto"/>
        <w:rPr>
          <w:rFonts w:eastAsia="Calibri" w:cs="Tahoma"/>
          <w:bCs/>
        </w:rPr>
      </w:pPr>
    </w:p>
    <w:p w14:paraId="72A83756" w14:textId="77777777" w:rsidR="000114B7" w:rsidRPr="000114B7" w:rsidRDefault="000114B7" w:rsidP="000114B7">
      <w:pPr>
        <w:spacing w:after="0" w:line="360" w:lineRule="auto"/>
        <w:rPr>
          <w:rFonts w:eastAsia="Calibri" w:cs="Tahoma"/>
          <w:bCs/>
        </w:rPr>
      </w:pPr>
      <w:r w:rsidRPr="000114B7">
        <w:rPr>
          <w:rFonts w:eastAsia="Calibri" w:cs="Tahoma"/>
          <w:bCs/>
        </w:rPr>
        <w:lastRenderedPageBreak/>
        <w:t xml:space="preserve">Por lo cual, la confidencialidad de los datos </w:t>
      </w:r>
      <w:proofErr w:type="gramStart"/>
      <w:r w:rsidRPr="000114B7">
        <w:rPr>
          <w:rFonts w:eastAsia="Calibri" w:cs="Tahoma"/>
          <w:bCs/>
        </w:rPr>
        <w:t>personales,</w:t>
      </w:r>
      <w:proofErr w:type="gramEnd"/>
      <w:r w:rsidRPr="000114B7">
        <w:rPr>
          <w:rFonts w:eastAsia="Calibri" w:cs="Tahoma"/>
          <w:bCs/>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A5FDF58" w14:textId="77777777" w:rsidR="000114B7" w:rsidRPr="000114B7" w:rsidRDefault="000114B7" w:rsidP="000114B7">
      <w:pPr>
        <w:spacing w:after="0" w:line="360" w:lineRule="auto"/>
        <w:rPr>
          <w:rFonts w:eastAsia="Calibri" w:cs="Tahoma"/>
          <w:bCs/>
        </w:rPr>
      </w:pPr>
    </w:p>
    <w:p w14:paraId="0B080B9D" w14:textId="77777777" w:rsidR="000114B7" w:rsidRPr="000114B7" w:rsidRDefault="000114B7" w:rsidP="000114B7">
      <w:pPr>
        <w:spacing w:after="0" w:line="360" w:lineRule="auto"/>
        <w:rPr>
          <w:rFonts w:eastAsia="Calibri" w:cs="Tahoma"/>
          <w:bCs/>
        </w:rPr>
      </w:pPr>
      <w:r w:rsidRPr="000114B7">
        <w:rPr>
          <w:rFonts w:eastAsia="Calibri" w:cs="Tahoma"/>
          <w:bCs/>
        </w:rPr>
        <w:t>De tal suerte, las instituciones públicas tienen la doble responsabilidad, por un lado, de proteger los datos personales y por otro, darles publicidad cuando la relevancia de esos datos sea de interés público.</w:t>
      </w:r>
    </w:p>
    <w:p w14:paraId="4EB234F1" w14:textId="77777777" w:rsidR="000114B7" w:rsidRPr="000114B7" w:rsidRDefault="000114B7" w:rsidP="000114B7">
      <w:pPr>
        <w:spacing w:after="0" w:line="360" w:lineRule="auto"/>
        <w:rPr>
          <w:rFonts w:eastAsia="Calibri" w:cs="Tahoma"/>
          <w:bCs/>
        </w:rPr>
      </w:pPr>
    </w:p>
    <w:p w14:paraId="25A5D027" w14:textId="77777777" w:rsidR="000114B7" w:rsidRPr="000114B7" w:rsidRDefault="000114B7" w:rsidP="000114B7">
      <w:pPr>
        <w:spacing w:after="0" w:line="360" w:lineRule="auto"/>
        <w:rPr>
          <w:rFonts w:eastAsia="Calibri" w:cs="Tahoma"/>
          <w:bCs/>
        </w:rPr>
      </w:pPr>
      <w:r w:rsidRPr="000114B7">
        <w:rPr>
          <w:rFonts w:eastAsia="Calibri" w:cs="Tahoma"/>
          <w:b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52F3066" w14:textId="77777777" w:rsidR="000114B7" w:rsidRPr="000114B7" w:rsidRDefault="000114B7" w:rsidP="000114B7">
      <w:pPr>
        <w:spacing w:after="0" w:line="360" w:lineRule="auto"/>
        <w:rPr>
          <w:rFonts w:eastAsia="Calibri" w:cs="Tahoma"/>
          <w:bCs/>
        </w:rPr>
      </w:pPr>
    </w:p>
    <w:p w14:paraId="5E6096CA" w14:textId="77777777" w:rsidR="000114B7" w:rsidRPr="000114B7" w:rsidRDefault="000114B7" w:rsidP="000114B7">
      <w:pPr>
        <w:spacing w:after="0" w:line="360" w:lineRule="auto"/>
        <w:rPr>
          <w:rFonts w:eastAsia="Calibri" w:cs="Tahoma"/>
          <w:bCs/>
        </w:rPr>
      </w:pPr>
      <w:r w:rsidRPr="000114B7">
        <w:rPr>
          <w:rFonts w:eastAsia="Calibri" w:cs="Tahoma"/>
          <w:bC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w:t>
      </w:r>
      <w:r w:rsidRPr="000114B7">
        <w:rPr>
          <w:rFonts w:eastAsia="Calibri" w:cs="Tahoma"/>
          <w:bCs/>
        </w:rPr>
        <w:lastRenderedPageBreak/>
        <w:t>y favorecen la rendición de cuentas, constituyen información de naturaleza pública, en razón de que el beneficio de su publicidad es mayor que el beneficio de su clasificación, aun tratándose de información personal.</w:t>
      </w:r>
    </w:p>
    <w:p w14:paraId="3A85A624" w14:textId="77777777" w:rsidR="000114B7" w:rsidRPr="000114B7" w:rsidRDefault="000114B7" w:rsidP="000114B7">
      <w:pPr>
        <w:spacing w:after="0" w:line="360" w:lineRule="auto"/>
        <w:rPr>
          <w:rFonts w:eastAsia="Calibri" w:cs="Tahoma"/>
          <w:bCs/>
        </w:rPr>
      </w:pPr>
      <w:r w:rsidRPr="000114B7">
        <w:rPr>
          <w:rFonts w:eastAsia="Calibri" w:cs="Tahoma"/>
          <w:b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44375FD" w14:textId="77777777" w:rsidR="000114B7" w:rsidRPr="000114B7" w:rsidRDefault="000114B7" w:rsidP="000114B7">
      <w:pPr>
        <w:spacing w:after="0" w:line="360" w:lineRule="auto"/>
        <w:rPr>
          <w:rFonts w:eastAsia="Calibri" w:cs="Tahoma"/>
          <w:bCs/>
        </w:rPr>
      </w:pPr>
    </w:p>
    <w:p w14:paraId="1B124C9F" w14:textId="77777777" w:rsidR="000114B7" w:rsidRPr="000114B7" w:rsidRDefault="000114B7" w:rsidP="000114B7">
      <w:pPr>
        <w:spacing w:after="0" w:line="360" w:lineRule="auto"/>
        <w:rPr>
          <w:rFonts w:eastAsia="Calibri" w:cs="Tahoma"/>
          <w:bCs/>
        </w:rPr>
      </w:pPr>
      <w:r w:rsidRPr="000114B7">
        <w:rPr>
          <w:rFonts w:eastAsia="Calibri" w:cs="Tahoma"/>
          <w:bCs/>
        </w:rPr>
        <w:t>Bajo ese contexto, se analizarán si los datos mencionados, deben ser considerados confidenciales, en términos del artículo 143, fracción I, de la Ley de Transparencia y Acceso a la Información Pública del Estado de México y Municipios, o públicos.</w:t>
      </w:r>
    </w:p>
    <w:p w14:paraId="28121DD8" w14:textId="12710ED9" w:rsidR="000114B7" w:rsidRDefault="000114B7" w:rsidP="000114B7">
      <w:pPr>
        <w:spacing w:after="0" w:line="360" w:lineRule="auto"/>
        <w:rPr>
          <w:rFonts w:eastAsia="Calibri" w:cs="Tahoma"/>
          <w:bCs/>
        </w:rPr>
      </w:pPr>
    </w:p>
    <w:p w14:paraId="16535A13" w14:textId="14A200F3" w:rsidR="000114B7" w:rsidRDefault="000114B7" w:rsidP="000114B7">
      <w:pPr>
        <w:numPr>
          <w:ilvl w:val="0"/>
          <w:numId w:val="1"/>
        </w:numPr>
        <w:spacing w:after="0" w:line="360" w:lineRule="auto"/>
        <w:jc w:val="left"/>
        <w:rPr>
          <w:rFonts w:eastAsia="Calibri" w:cs="Tahoma"/>
          <w:bCs/>
        </w:rPr>
      </w:pPr>
      <w:r>
        <w:rPr>
          <w:rFonts w:eastAsia="Calibri" w:cs="Tahoma"/>
          <w:b/>
        </w:rPr>
        <w:t>Nombre de testigos (particulares o servidores públicos).</w:t>
      </w:r>
    </w:p>
    <w:p w14:paraId="772D4CBB" w14:textId="6AAEE5A7" w:rsidR="000114B7" w:rsidRDefault="000114B7" w:rsidP="000114B7">
      <w:pPr>
        <w:spacing w:after="0" w:line="360" w:lineRule="auto"/>
        <w:rPr>
          <w:rFonts w:eastAsia="Calibri" w:cs="Tahoma"/>
          <w:bCs/>
        </w:rPr>
      </w:pPr>
    </w:p>
    <w:p w14:paraId="52AD364C" w14:textId="526DC3E6" w:rsidR="00384DC9" w:rsidRPr="00384DC9" w:rsidRDefault="00384DC9" w:rsidP="000114B7">
      <w:pPr>
        <w:spacing w:after="0" w:line="360" w:lineRule="auto"/>
        <w:rPr>
          <w:rFonts w:eastAsia="Calibri" w:cs="Tahoma"/>
          <w:b/>
        </w:rPr>
      </w:pPr>
      <w:r>
        <w:rPr>
          <w:rFonts w:eastAsia="Calibri" w:cs="Tahoma"/>
          <w:b/>
        </w:rPr>
        <w:t>Particular</w:t>
      </w:r>
    </w:p>
    <w:p w14:paraId="20AF5E43" w14:textId="77777777" w:rsidR="00384DC9" w:rsidRDefault="00384DC9" w:rsidP="000114B7">
      <w:pPr>
        <w:spacing w:after="0" w:line="360" w:lineRule="auto"/>
        <w:rPr>
          <w:rFonts w:eastAsia="Calibri" w:cs="Tahoma"/>
          <w:bCs/>
        </w:rPr>
      </w:pPr>
    </w:p>
    <w:p w14:paraId="007D66B9" w14:textId="77777777" w:rsidR="00384DC9" w:rsidRPr="00384DC9" w:rsidRDefault="00384DC9" w:rsidP="00384DC9">
      <w:pPr>
        <w:spacing w:after="0" w:line="360" w:lineRule="auto"/>
        <w:ind w:right="-93"/>
        <w:rPr>
          <w:rFonts w:eastAsia="Calibri" w:cs="Tahoma"/>
          <w:b/>
          <w:bCs/>
          <w:color w:val="auto"/>
          <w:lang w:val="es-ES_tradnl"/>
        </w:rPr>
      </w:pPr>
      <w:r w:rsidRPr="00384DC9">
        <w:rPr>
          <w:rFonts w:eastAsia="Calibri" w:cs="Tahoma"/>
          <w:bCs/>
          <w:color w:val="auto"/>
        </w:rPr>
        <w:t xml:space="preserve">Al respecto, se considera que el nombre de una persona se integra </w:t>
      </w:r>
      <w:r w:rsidRPr="00384DC9">
        <w:rPr>
          <w:rFonts w:eastAsia="Calibri" w:cs="Tahoma"/>
          <w:bCs/>
          <w:color w:val="auto"/>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84DC9">
        <w:rPr>
          <w:rFonts w:eastAsia="Calibri" w:cs="Tahoma"/>
          <w:bCs/>
          <w:i/>
          <w:color w:val="auto"/>
          <w:lang w:val="es-ES_tradnl"/>
        </w:rPr>
        <w:t>per se</w:t>
      </w:r>
      <w:r w:rsidRPr="00384DC9">
        <w:rPr>
          <w:rFonts w:eastAsia="Calibri" w:cs="Tahoma"/>
          <w:bCs/>
          <w:color w:val="auto"/>
          <w:lang w:val="es-ES_tradnl"/>
        </w:rPr>
        <w:t xml:space="preserve"> es un elemento que hace a una persona física identificada o identificable, por lo que, </w:t>
      </w:r>
      <w:r w:rsidRPr="00384DC9">
        <w:rPr>
          <w:rFonts w:eastAsia="Calibri" w:cs="Tahoma"/>
          <w:b/>
          <w:bCs/>
          <w:color w:val="auto"/>
          <w:lang w:val="es-ES_tradnl"/>
        </w:rPr>
        <w:t>se considera un dato personal.</w:t>
      </w:r>
    </w:p>
    <w:p w14:paraId="65DA6A46" w14:textId="77777777" w:rsidR="00384DC9" w:rsidRPr="00384DC9" w:rsidRDefault="00384DC9" w:rsidP="00384DC9">
      <w:pPr>
        <w:spacing w:after="0" w:line="360" w:lineRule="auto"/>
        <w:ind w:right="-93"/>
        <w:rPr>
          <w:rFonts w:eastAsia="Calibri" w:cs="Tahoma"/>
          <w:b/>
          <w:bCs/>
          <w:color w:val="auto"/>
          <w:lang w:val="es-ES_tradnl"/>
        </w:rPr>
      </w:pPr>
    </w:p>
    <w:p w14:paraId="0DED58E8" w14:textId="0B2083C9" w:rsidR="00384DC9" w:rsidRPr="00384DC9" w:rsidRDefault="00384DC9" w:rsidP="00384DC9">
      <w:pPr>
        <w:spacing w:after="0" w:line="360" w:lineRule="auto"/>
        <w:rPr>
          <w:rFonts w:eastAsia="Times New Roman" w:cs="Tahoma"/>
          <w:color w:val="auto"/>
          <w:lang w:val="es-ES" w:eastAsia="es-ES"/>
        </w:rPr>
      </w:pPr>
      <w:r w:rsidRPr="00384DC9">
        <w:rPr>
          <w:rFonts w:eastAsia="Times New Roman" w:cs="Tahoma"/>
          <w:color w:val="auto"/>
          <w:lang w:val="es-ES" w:eastAsia="es-ES"/>
        </w:rPr>
        <w:lastRenderedPageBreak/>
        <w:t xml:space="preserve">En el presente caso, es de referir que el nombre corresponde a una persona </w:t>
      </w:r>
      <w:r>
        <w:rPr>
          <w:rFonts w:eastAsia="Times New Roman" w:cs="Tahoma"/>
          <w:color w:val="auto"/>
          <w:lang w:val="es-ES" w:eastAsia="es-ES"/>
        </w:rPr>
        <w:t>particular que fungió como testigo para el servidor público entrante o saliente, y que no tiene relación alguna con el Ayuntamiento</w:t>
      </w:r>
      <w:r w:rsidRPr="00384DC9">
        <w:rPr>
          <w:rFonts w:eastAsia="Times New Roman" w:cs="Tahoma"/>
          <w:color w:val="auto"/>
          <w:lang w:val="es-ES" w:eastAsia="es-ES"/>
        </w:rPr>
        <w:t>, por lo que, se considera que el dato actualiza la causal de clasificación, establecida en el artículo 143, fracción I, de la Ley de la materia.</w:t>
      </w:r>
    </w:p>
    <w:p w14:paraId="58013A60" w14:textId="0D4F4063" w:rsidR="00384DC9" w:rsidRDefault="00384DC9" w:rsidP="00384DC9">
      <w:pPr>
        <w:spacing w:after="0" w:line="360" w:lineRule="auto"/>
        <w:rPr>
          <w:rFonts w:eastAsia="Calibri" w:cs="Tahoma"/>
          <w:b/>
        </w:rPr>
      </w:pPr>
      <w:r>
        <w:rPr>
          <w:rFonts w:eastAsia="Calibri" w:cs="Tahoma"/>
          <w:b/>
        </w:rPr>
        <w:t>Servidor Público.</w:t>
      </w:r>
    </w:p>
    <w:p w14:paraId="3465BFED" w14:textId="3E80B626" w:rsidR="00384DC9" w:rsidRDefault="00384DC9" w:rsidP="00384DC9">
      <w:pPr>
        <w:spacing w:after="0" w:line="360" w:lineRule="auto"/>
        <w:rPr>
          <w:rFonts w:eastAsia="Calibri" w:cs="Tahoma"/>
          <w:b/>
        </w:rPr>
      </w:pPr>
    </w:p>
    <w:p w14:paraId="698F56BF" w14:textId="6026C73F" w:rsidR="006644A2" w:rsidRPr="006644A2" w:rsidRDefault="006644A2" w:rsidP="006644A2">
      <w:pPr>
        <w:spacing w:after="0" w:line="360" w:lineRule="auto"/>
        <w:ind w:right="-93"/>
        <w:rPr>
          <w:rFonts w:eastAsia="Calibri" w:cs="Tahoma"/>
          <w:bCs/>
          <w:color w:val="auto"/>
          <w:lang w:val="es-ES_tradnl"/>
        </w:rPr>
      </w:pPr>
      <w:r>
        <w:rPr>
          <w:rFonts w:eastAsia="Calibri" w:cs="Tahoma"/>
          <w:bCs/>
          <w:color w:val="auto"/>
          <w:lang w:val="es-ES_tradnl"/>
        </w:rPr>
        <w:t xml:space="preserve">Al respecto, </w:t>
      </w:r>
      <w:r w:rsidRPr="006644A2">
        <w:rPr>
          <w:rFonts w:eastAsia="Calibri" w:cs="Tahoma"/>
          <w:bCs/>
          <w:color w:val="auto"/>
          <w:lang w:val="es-ES_tradnl"/>
        </w:rPr>
        <w:t>es importante mencionar que</w:t>
      </w:r>
      <w:r>
        <w:rPr>
          <w:rFonts w:eastAsia="Calibri" w:cs="Tahoma"/>
          <w:bCs/>
          <w:color w:val="auto"/>
          <w:lang w:val="es-ES_tradnl"/>
        </w:rPr>
        <w:t>,</w:t>
      </w:r>
      <w:r w:rsidRPr="006644A2">
        <w:rPr>
          <w:rFonts w:eastAsia="Calibri" w:cs="Tahoma"/>
          <w:bCs/>
          <w:color w:val="auto"/>
          <w:lang w:val="es-ES_tradnl"/>
        </w:rPr>
        <w:t xml:space="preserv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3AFFCD41" w14:textId="77777777" w:rsidR="006644A2" w:rsidRPr="006644A2" w:rsidRDefault="006644A2" w:rsidP="006644A2">
      <w:pPr>
        <w:spacing w:after="0" w:line="360" w:lineRule="auto"/>
        <w:ind w:right="-93"/>
        <w:rPr>
          <w:rFonts w:eastAsia="Calibri" w:cs="Tahoma"/>
          <w:bCs/>
          <w:color w:val="auto"/>
          <w:lang w:val="es-ES_tradnl"/>
        </w:rPr>
      </w:pPr>
    </w:p>
    <w:p w14:paraId="027217B9" w14:textId="77777777" w:rsidR="006644A2" w:rsidRPr="006644A2" w:rsidRDefault="006644A2" w:rsidP="006644A2">
      <w:pPr>
        <w:spacing w:after="0" w:line="360" w:lineRule="auto"/>
        <w:ind w:right="-93"/>
        <w:rPr>
          <w:rFonts w:eastAsia="Calibri" w:cs="Tahoma"/>
          <w:b/>
          <w:bCs/>
          <w:color w:val="auto"/>
          <w:lang w:val="es-ES_tradnl"/>
        </w:rPr>
      </w:pPr>
      <w:r w:rsidRPr="006644A2">
        <w:rPr>
          <w:rFonts w:eastAsia="Calibri" w:cs="Tahoma"/>
          <w:bCs/>
          <w:color w:val="auto"/>
          <w:lang w:val="es-ES_tradnl"/>
        </w:rPr>
        <w:t xml:space="preserve">Lo anterior, toma sustento con el artículo 70, fracción VII, de la Ley General de Transparencia y Acceso a la Información Pública y el 92, fracción VII, de la Ley de Transparencia y Acceso a la Información Pública del Estado de México y Municipios,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6644A2">
        <w:rPr>
          <w:rFonts w:eastAsia="Calibri" w:cs="Tahoma"/>
          <w:b/>
          <w:bCs/>
          <w:color w:val="auto"/>
          <w:lang w:val="es-ES_tradnl"/>
        </w:rPr>
        <w:t>el nombre del servidor público.</w:t>
      </w:r>
    </w:p>
    <w:p w14:paraId="6E04D744" w14:textId="77777777" w:rsidR="006644A2" w:rsidRPr="006644A2" w:rsidRDefault="006644A2" w:rsidP="006644A2">
      <w:pPr>
        <w:spacing w:after="0" w:line="360" w:lineRule="auto"/>
        <w:ind w:right="-93"/>
        <w:rPr>
          <w:rFonts w:eastAsia="Calibri" w:cs="Tahoma"/>
          <w:b/>
          <w:bCs/>
          <w:color w:val="auto"/>
          <w:lang w:val="es-ES_tradnl"/>
        </w:rPr>
      </w:pPr>
    </w:p>
    <w:p w14:paraId="4AC33B59" w14:textId="77777777" w:rsidR="006644A2" w:rsidRPr="006644A2" w:rsidRDefault="006644A2" w:rsidP="006644A2">
      <w:pPr>
        <w:spacing w:after="0" w:line="360" w:lineRule="auto"/>
        <w:ind w:right="-93"/>
        <w:rPr>
          <w:rFonts w:eastAsia="Calibri" w:cs="Tahoma"/>
          <w:bCs/>
          <w:color w:val="auto"/>
          <w:lang w:val="es-ES_tradnl"/>
        </w:rPr>
      </w:pPr>
      <w:r w:rsidRPr="006644A2">
        <w:rPr>
          <w:rFonts w:eastAsia="Calibri" w:cs="Tahoma"/>
          <w:bCs/>
          <w:color w:val="auto"/>
          <w:lang w:val="es-ES_tradnl"/>
        </w:rPr>
        <w:t xml:space="preserve">Por lo tanto, las Leyes de Transparencia, considera que </w:t>
      </w:r>
      <w:r w:rsidRPr="006644A2">
        <w:rPr>
          <w:rFonts w:eastAsia="Calibri" w:cs="Tahoma"/>
          <w:b/>
          <w:bCs/>
          <w:color w:val="auto"/>
          <w:lang w:val="es-ES_tradnl"/>
        </w:rPr>
        <w:t xml:space="preserve">los datos, como el nombre de servidores públicos, por regla general, </w:t>
      </w:r>
      <w:r w:rsidRPr="006644A2">
        <w:rPr>
          <w:rFonts w:eastAsia="Calibri" w:cs="Tahoma"/>
          <w:bCs/>
          <w:color w:val="auto"/>
          <w:lang w:val="es-ES_tradnl"/>
        </w:rPr>
        <w:t>son de naturaleza pública, ya que su publicidad orienta a cumplir los objetivos que persigue la Ley y, por lo tanto, no procede la clasificación en términos del artículo 143, fracción I, de la Ley Local.</w:t>
      </w:r>
    </w:p>
    <w:p w14:paraId="6AD89B7B" w14:textId="77777777" w:rsidR="00384DC9" w:rsidRPr="00384DC9" w:rsidRDefault="00384DC9" w:rsidP="00384DC9">
      <w:pPr>
        <w:spacing w:after="0" w:line="360" w:lineRule="auto"/>
        <w:rPr>
          <w:rFonts w:eastAsia="Calibri" w:cs="Tahoma"/>
          <w:b/>
        </w:rPr>
      </w:pPr>
    </w:p>
    <w:p w14:paraId="68619694" w14:textId="43B3C3AE" w:rsidR="008A024A" w:rsidRPr="008A024A" w:rsidRDefault="008A024A" w:rsidP="008A024A">
      <w:pPr>
        <w:numPr>
          <w:ilvl w:val="0"/>
          <w:numId w:val="1"/>
        </w:numPr>
        <w:spacing w:after="0" w:line="360" w:lineRule="auto"/>
        <w:contextualSpacing/>
        <w:jc w:val="left"/>
        <w:rPr>
          <w:rFonts w:eastAsia="Calibri" w:cs="Tahoma"/>
          <w:b/>
          <w:bCs/>
          <w:color w:val="auto"/>
        </w:rPr>
      </w:pPr>
      <w:r w:rsidRPr="008A024A">
        <w:rPr>
          <w:rFonts w:eastAsia="Calibri" w:cs="Tahoma"/>
          <w:b/>
          <w:bCs/>
          <w:color w:val="auto"/>
        </w:rPr>
        <w:t>Domicilio particula</w:t>
      </w:r>
      <w:r>
        <w:rPr>
          <w:rFonts w:eastAsia="Calibri" w:cs="Tahoma"/>
          <w:b/>
          <w:bCs/>
          <w:color w:val="auto"/>
        </w:rPr>
        <w:t>r, así como, para recibir todo tipo de notificaciones.</w:t>
      </w:r>
    </w:p>
    <w:p w14:paraId="02DA8D67" w14:textId="77777777" w:rsidR="008A024A" w:rsidRPr="008A024A" w:rsidRDefault="008A024A" w:rsidP="008A024A">
      <w:pPr>
        <w:spacing w:after="0" w:line="360" w:lineRule="auto"/>
        <w:ind w:left="720"/>
        <w:contextualSpacing/>
        <w:jc w:val="left"/>
        <w:rPr>
          <w:rFonts w:eastAsia="Calibri" w:cs="Tahoma"/>
          <w:b/>
          <w:bCs/>
          <w:color w:val="auto"/>
        </w:rPr>
      </w:pPr>
    </w:p>
    <w:p w14:paraId="156F4F89" w14:textId="77777777" w:rsidR="008A024A" w:rsidRPr="008A024A" w:rsidRDefault="008A024A" w:rsidP="008A024A">
      <w:pPr>
        <w:spacing w:after="0" w:line="360" w:lineRule="auto"/>
        <w:ind w:right="-93"/>
        <w:rPr>
          <w:rFonts w:eastAsia="Times New Roman" w:cs="Tahoma"/>
          <w:color w:val="auto"/>
          <w:lang w:val="es-ES" w:eastAsia="es-ES"/>
        </w:rPr>
      </w:pPr>
      <w:r w:rsidRPr="008A024A">
        <w:rPr>
          <w:rFonts w:eastAsia="Times New Roman" w:cs="Tahoma"/>
          <w:color w:val="auto"/>
          <w:lang w:val="es-ES" w:eastAsia="es-ES"/>
        </w:rPr>
        <w:lastRenderedPageBreak/>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6A4AE734" w14:textId="77777777" w:rsidR="008A024A" w:rsidRPr="008A024A" w:rsidRDefault="008A024A" w:rsidP="008A024A">
      <w:pPr>
        <w:spacing w:after="0" w:line="360" w:lineRule="auto"/>
        <w:ind w:right="-93"/>
        <w:rPr>
          <w:rFonts w:eastAsia="Times New Roman" w:cs="Tahoma"/>
          <w:color w:val="auto"/>
          <w:lang w:val="es-ES" w:eastAsia="es-ES"/>
        </w:rPr>
      </w:pPr>
    </w:p>
    <w:p w14:paraId="56949BB8" w14:textId="77777777" w:rsidR="008A024A" w:rsidRPr="008A024A" w:rsidRDefault="008A024A" w:rsidP="008A024A">
      <w:pPr>
        <w:spacing w:after="0" w:line="360" w:lineRule="auto"/>
        <w:ind w:right="-93"/>
        <w:rPr>
          <w:rFonts w:eastAsia="Times New Roman" w:cs="Tahoma"/>
          <w:b/>
          <w:color w:val="auto"/>
          <w:lang w:val="es-ES" w:eastAsia="es-ES"/>
        </w:rPr>
      </w:pPr>
      <w:r w:rsidRPr="008A024A">
        <w:rPr>
          <w:rFonts w:eastAsia="Times New Roman" w:cs="Tahoma"/>
          <w:color w:val="auto"/>
          <w:lang w:val="es-ES" w:eastAsia="es-ES"/>
        </w:rPr>
        <w:t>De la misma manera, lo establece el artículo 29 del Código Civil Federal, al precisar que el domicilio de personas físicas</w:t>
      </w:r>
      <w:r w:rsidRPr="008A024A">
        <w:rPr>
          <w:rFonts w:eastAsia="Times New Roman" w:cs="Tahoma"/>
          <w:b/>
          <w:color w:val="auto"/>
          <w:lang w:val="es-ES" w:eastAsia="es-ES"/>
        </w:rPr>
        <w:t>, es el lugar donde residen habitualmente, el lugar del centro principal de sus negocios, donde residan o el lugar donde se encuentren.</w:t>
      </w:r>
    </w:p>
    <w:p w14:paraId="1E26B5EA" w14:textId="77777777" w:rsidR="008A024A" w:rsidRPr="008A024A" w:rsidRDefault="008A024A" w:rsidP="008A024A">
      <w:pPr>
        <w:spacing w:after="0" w:line="360" w:lineRule="auto"/>
        <w:rPr>
          <w:rFonts w:eastAsia="Calibri" w:cs="Tahoma"/>
          <w:b/>
          <w:bCs/>
          <w:color w:val="auto"/>
          <w:sz w:val="20"/>
        </w:rPr>
      </w:pPr>
    </w:p>
    <w:p w14:paraId="4E1DA434" w14:textId="77777777" w:rsidR="008A024A" w:rsidRPr="008A024A" w:rsidRDefault="008A024A" w:rsidP="008A024A">
      <w:pPr>
        <w:spacing w:after="0" w:line="360" w:lineRule="auto"/>
        <w:ind w:right="-93"/>
        <w:rPr>
          <w:rFonts w:eastAsia="Times New Roman" w:cs="Tahoma"/>
          <w:color w:val="auto"/>
          <w:lang w:val="es-ES" w:eastAsia="es-ES"/>
        </w:rPr>
      </w:pPr>
      <w:r w:rsidRPr="008A024A">
        <w:rPr>
          <w:rFonts w:eastAsia="Times New Roman" w:cs="Tahoma"/>
          <w:color w:val="auto"/>
          <w:lang w:val="es-ES" w:eastAsia="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23142B1" w14:textId="77777777" w:rsidR="008A024A" w:rsidRPr="008A024A" w:rsidRDefault="008A024A" w:rsidP="008A024A">
      <w:pPr>
        <w:spacing w:after="0" w:line="360" w:lineRule="auto"/>
        <w:ind w:right="-93"/>
        <w:rPr>
          <w:rFonts w:eastAsia="Times New Roman" w:cs="Tahoma"/>
          <w:color w:val="auto"/>
          <w:lang w:val="es-ES" w:eastAsia="es-ES"/>
        </w:rPr>
      </w:pPr>
    </w:p>
    <w:p w14:paraId="16D87E68" w14:textId="075396CB" w:rsidR="008A024A" w:rsidRPr="008A024A" w:rsidRDefault="008A024A" w:rsidP="008A024A">
      <w:pPr>
        <w:spacing w:after="0" w:line="360" w:lineRule="auto"/>
        <w:ind w:right="-93"/>
        <w:rPr>
          <w:rFonts w:eastAsia="Times New Roman" w:cs="Tahoma"/>
          <w:color w:val="auto"/>
          <w:lang w:val="es-ES" w:eastAsia="es-ES"/>
        </w:rPr>
      </w:pPr>
      <w:r w:rsidRPr="008A024A">
        <w:rPr>
          <w:rFonts w:eastAsia="Times New Roman" w:cs="Tahoma"/>
          <w:color w:val="auto"/>
          <w:lang w:val="es-ES" w:eastAsia="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0A762A29" w14:textId="77777777" w:rsidR="008A024A" w:rsidRPr="008A024A" w:rsidRDefault="008A024A" w:rsidP="008A024A">
      <w:pPr>
        <w:spacing w:after="0" w:line="360" w:lineRule="auto"/>
        <w:ind w:right="-93"/>
        <w:rPr>
          <w:rFonts w:eastAsia="Times New Roman" w:cs="Tahoma"/>
          <w:color w:val="auto"/>
          <w:lang w:val="es-ES" w:eastAsia="es-ES"/>
        </w:rPr>
      </w:pPr>
    </w:p>
    <w:p w14:paraId="723C1A38" w14:textId="77777777" w:rsidR="008A024A" w:rsidRPr="008A024A" w:rsidRDefault="008A024A" w:rsidP="008A024A">
      <w:pPr>
        <w:spacing w:after="0" w:line="360" w:lineRule="auto"/>
        <w:ind w:right="-93"/>
        <w:rPr>
          <w:rFonts w:eastAsia="Times New Roman" w:cs="Tahoma"/>
          <w:color w:val="auto"/>
          <w:lang w:val="es-ES" w:eastAsia="es-ES"/>
        </w:rPr>
      </w:pPr>
      <w:r w:rsidRPr="008A024A">
        <w:rPr>
          <w:rFonts w:eastAsia="Times New Roman" w:cs="Tahoma"/>
          <w:color w:val="auto"/>
          <w:lang w:val="es-ES" w:eastAsia="es-ES"/>
        </w:rPr>
        <w:t>Por lo tanto, se actualiza la clasificación del domicilio y su comprobante, de conformidad con la fracción I, del artículo 143 de la Ley de Transparencia y Acceso a la Información Pública del Estado de México y Municipios.</w:t>
      </w:r>
    </w:p>
    <w:p w14:paraId="0598B7C0" w14:textId="77777777" w:rsidR="00384DC9" w:rsidRPr="000114B7" w:rsidRDefault="00384DC9" w:rsidP="000114B7">
      <w:pPr>
        <w:spacing w:after="0" w:line="360" w:lineRule="auto"/>
        <w:rPr>
          <w:rFonts w:eastAsia="Calibri" w:cs="Tahoma"/>
          <w:bCs/>
        </w:rPr>
      </w:pPr>
    </w:p>
    <w:p w14:paraId="5A0FB624" w14:textId="77777777" w:rsidR="000114B7" w:rsidRPr="000114B7" w:rsidRDefault="000114B7" w:rsidP="000114B7">
      <w:pPr>
        <w:numPr>
          <w:ilvl w:val="0"/>
          <w:numId w:val="1"/>
        </w:numPr>
        <w:spacing w:after="0" w:line="360" w:lineRule="auto"/>
        <w:jc w:val="left"/>
        <w:rPr>
          <w:rFonts w:eastAsia="Calibri" w:cs="Tahoma"/>
          <w:b/>
          <w:bCs/>
          <w:iCs/>
          <w:lang w:val="es-ES_tradnl"/>
        </w:rPr>
      </w:pPr>
      <w:r w:rsidRPr="000114B7">
        <w:rPr>
          <w:rFonts w:eastAsia="Calibri" w:cs="Tahoma"/>
          <w:b/>
          <w:bCs/>
          <w:iCs/>
        </w:rPr>
        <w:lastRenderedPageBreak/>
        <w:t>C</w:t>
      </w:r>
      <w:r w:rsidRPr="000114B7">
        <w:rPr>
          <w:rFonts w:eastAsia="Calibri" w:cs="Tahoma"/>
          <w:b/>
          <w:bCs/>
          <w:iCs/>
          <w:lang w:val="es-ES_tradnl"/>
        </w:rPr>
        <w:t>lave Única de Registro de Población (CURP).</w:t>
      </w:r>
    </w:p>
    <w:p w14:paraId="27CB78A4" w14:textId="77777777" w:rsidR="000114B7" w:rsidRPr="000114B7" w:rsidRDefault="000114B7" w:rsidP="000114B7">
      <w:pPr>
        <w:spacing w:after="0" w:line="360" w:lineRule="auto"/>
        <w:rPr>
          <w:rFonts w:eastAsia="Calibri" w:cs="Tahoma"/>
          <w:bCs/>
          <w:iCs/>
        </w:rPr>
      </w:pPr>
    </w:p>
    <w:p w14:paraId="43E00531" w14:textId="77777777" w:rsidR="000114B7" w:rsidRPr="000114B7" w:rsidRDefault="000114B7" w:rsidP="000114B7">
      <w:pPr>
        <w:spacing w:after="0" w:line="360" w:lineRule="auto"/>
        <w:rPr>
          <w:rFonts w:eastAsia="Calibri" w:cs="Tahoma"/>
          <w:bCs/>
          <w:iCs/>
        </w:rPr>
      </w:pPr>
      <w:r w:rsidRPr="000114B7">
        <w:rPr>
          <w:rFonts w:eastAsia="Calibri" w:cs="Tahoma"/>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4340BEF" w14:textId="77777777" w:rsidR="000114B7" w:rsidRPr="000114B7" w:rsidRDefault="000114B7" w:rsidP="000114B7">
      <w:pPr>
        <w:spacing w:after="0" w:line="360" w:lineRule="auto"/>
        <w:rPr>
          <w:rFonts w:eastAsia="Calibri" w:cs="Tahoma"/>
          <w:bCs/>
          <w:iCs/>
        </w:rPr>
      </w:pPr>
    </w:p>
    <w:p w14:paraId="5BBA8F36" w14:textId="77777777" w:rsidR="000114B7" w:rsidRPr="000114B7" w:rsidRDefault="000114B7" w:rsidP="000114B7">
      <w:pPr>
        <w:spacing w:after="0" w:line="360" w:lineRule="auto"/>
        <w:rPr>
          <w:rFonts w:eastAsia="Calibri" w:cs="Tahoma"/>
          <w:bCs/>
          <w:iCs/>
        </w:rPr>
      </w:pPr>
      <w:r w:rsidRPr="000114B7">
        <w:rPr>
          <w:rFonts w:eastAsia="Calibri" w:cs="Tahoma"/>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F14FE16" w14:textId="77777777" w:rsidR="000114B7" w:rsidRPr="000114B7" w:rsidRDefault="000114B7" w:rsidP="000114B7">
      <w:pPr>
        <w:spacing w:after="0" w:line="360" w:lineRule="auto"/>
        <w:rPr>
          <w:rFonts w:eastAsia="Calibri" w:cs="Tahoma"/>
          <w:bCs/>
          <w:iCs/>
        </w:rPr>
      </w:pPr>
    </w:p>
    <w:p w14:paraId="036441F3" w14:textId="618AFCA9" w:rsidR="000114B7" w:rsidRPr="000114B7" w:rsidRDefault="000114B7" w:rsidP="000114B7">
      <w:pPr>
        <w:spacing w:after="0" w:line="360" w:lineRule="auto"/>
        <w:rPr>
          <w:rFonts w:eastAsia="Calibri" w:cs="Tahoma"/>
          <w:bCs/>
          <w:iCs/>
        </w:rPr>
      </w:pPr>
      <w:r w:rsidRPr="000114B7">
        <w:rPr>
          <w:rFonts w:eastAsia="Calibri" w:cs="Tahoma"/>
          <w:bCs/>
          <w:iCs/>
        </w:rPr>
        <w:t xml:space="preserve">En ese orden de ideas, la Secretaría de Gobernación en las direcciones </w:t>
      </w:r>
      <w:hyperlink r:id="rId8" w:history="1">
        <w:r w:rsidRPr="000114B7">
          <w:rPr>
            <w:rFonts w:eastAsia="Calibri" w:cs="Tahoma"/>
            <w:bCs/>
            <w:iCs/>
            <w:u w:val="single"/>
          </w:rPr>
          <w:t>https://consultas.curp.gob.mx/CurpSP/html/informacionecurpPS.html</w:t>
        </w:r>
      </w:hyperlink>
      <w:r w:rsidRPr="000114B7">
        <w:rPr>
          <w:rFonts w:eastAsia="Calibri" w:cs="Tahoma"/>
          <w:bCs/>
          <w:iCs/>
        </w:rPr>
        <w:t xml:space="preserve"> y </w:t>
      </w:r>
      <w:hyperlink r:id="rId9" w:history="1">
        <w:r w:rsidRPr="000114B7">
          <w:rPr>
            <w:rFonts w:eastAsia="Calibri" w:cs="Tahoma"/>
            <w:bCs/>
            <w:iCs/>
            <w:u w:val="single"/>
          </w:rPr>
          <w:t>https://www.gob.mx/segob/renapo/acciones-y-programas/clave-unica-de-registro-de-poblacion-curp-142226</w:t>
        </w:r>
      </w:hyperlink>
      <w:r w:rsidRPr="000114B7">
        <w:rPr>
          <w:rFonts w:eastAsia="Calibri" w:cs="Tahoma"/>
          <w:bCs/>
          <w:iCs/>
        </w:rPr>
        <w:t xml:space="preserve"> (consultadas el </w:t>
      </w:r>
      <w:r w:rsidR="008A024A">
        <w:rPr>
          <w:rFonts w:eastAsia="Calibri" w:cs="Tahoma"/>
          <w:bCs/>
          <w:iCs/>
        </w:rPr>
        <w:t>veintiocho de marzo</w:t>
      </w:r>
      <w:r w:rsidRPr="000114B7">
        <w:rPr>
          <w:rFonts w:eastAsia="Calibri" w:cs="Tahoma"/>
          <w:bCs/>
          <w:iCs/>
        </w:rPr>
        <w:t xml:space="preserv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0114B7">
        <w:rPr>
          <w:rFonts w:eastAsia="Calibri" w:cs="Tahoma"/>
          <w:b/>
          <w:bCs/>
          <w:iCs/>
        </w:rPr>
        <w:t>se generan a partir de los datos contenidos en el documento probatorio de la identidad</w:t>
      </w:r>
      <w:r w:rsidRPr="000114B7">
        <w:rPr>
          <w:rFonts w:eastAsia="Calibri" w:cs="Tahoma"/>
          <w:bCs/>
          <w:iCs/>
        </w:rPr>
        <w:t xml:space="preserve"> </w:t>
      </w:r>
      <w:r w:rsidRPr="000114B7">
        <w:rPr>
          <w:rFonts w:eastAsia="Calibri" w:cs="Tahoma"/>
          <w:b/>
          <w:bCs/>
          <w:iCs/>
        </w:rPr>
        <w:t xml:space="preserve">del interesado </w:t>
      </w:r>
      <w:r w:rsidRPr="000114B7">
        <w:rPr>
          <w:rFonts w:eastAsia="Calibri" w:cs="Tahoma"/>
          <w:bCs/>
          <w:iCs/>
        </w:rPr>
        <w:t>(acta de nacimiento, carta de naturalización o documento migratorio) de la siguiente forma:</w:t>
      </w:r>
    </w:p>
    <w:p w14:paraId="3842C458" w14:textId="77777777" w:rsidR="000114B7" w:rsidRPr="000114B7" w:rsidRDefault="000114B7" w:rsidP="000114B7">
      <w:pPr>
        <w:spacing w:after="0" w:line="360" w:lineRule="auto"/>
        <w:rPr>
          <w:rFonts w:eastAsia="Calibri" w:cs="Tahoma"/>
          <w:bCs/>
          <w:iCs/>
        </w:rPr>
      </w:pPr>
    </w:p>
    <w:p w14:paraId="74733F3B" w14:textId="77777777" w:rsidR="000114B7" w:rsidRPr="000114B7" w:rsidRDefault="000114B7" w:rsidP="000114B7">
      <w:pPr>
        <w:numPr>
          <w:ilvl w:val="0"/>
          <w:numId w:val="19"/>
        </w:numPr>
        <w:spacing w:after="0" w:line="360" w:lineRule="auto"/>
        <w:jc w:val="left"/>
        <w:rPr>
          <w:rFonts w:eastAsia="Calibri" w:cs="Tahoma"/>
          <w:bCs/>
          <w:iCs/>
        </w:rPr>
      </w:pPr>
      <w:r w:rsidRPr="000114B7">
        <w:rPr>
          <w:rFonts w:eastAsia="Calibri" w:cs="Tahoma"/>
          <w:bCs/>
          <w:iCs/>
        </w:rPr>
        <w:t>El primero y segundo apellidos, así como al nombre de pila;</w:t>
      </w:r>
    </w:p>
    <w:p w14:paraId="044D9D6B" w14:textId="77777777" w:rsidR="000114B7" w:rsidRPr="000114B7" w:rsidRDefault="000114B7" w:rsidP="000114B7">
      <w:pPr>
        <w:numPr>
          <w:ilvl w:val="0"/>
          <w:numId w:val="19"/>
        </w:numPr>
        <w:spacing w:after="0" w:line="360" w:lineRule="auto"/>
        <w:jc w:val="left"/>
        <w:rPr>
          <w:rFonts w:eastAsia="Calibri" w:cs="Tahoma"/>
          <w:bCs/>
          <w:iCs/>
        </w:rPr>
      </w:pPr>
      <w:r w:rsidRPr="000114B7">
        <w:rPr>
          <w:rFonts w:eastAsia="Calibri" w:cs="Tahoma"/>
          <w:bCs/>
          <w:iCs/>
        </w:rPr>
        <w:t>La fecha de nacimiento;</w:t>
      </w:r>
    </w:p>
    <w:p w14:paraId="309CC366" w14:textId="77777777" w:rsidR="000114B7" w:rsidRPr="000114B7" w:rsidRDefault="000114B7" w:rsidP="000114B7">
      <w:pPr>
        <w:numPr>
          <w:ilvl w:val="0"/>
          <w:numId w:val="19"/>
        </w:numPr>
        <w:spacing w:after="0" w:line="360" w:lineRule="auto"/>
        <w:jc w:val="left"/>
        <w:rPr>
          <w:rFonts w:eastAsia="Calibri" w:cs="Tahoma"/>
          <w:bCs/>
          <w:iCs/>
        </w:rPr>
      </w:pPr>
      <w:r w:rsidRPr="000114B7">
        <w:rPr>
          <w:rFonts w:eastAsia="Calibri" w:cs="Tahoma"/>
          <w:bCs/>
          <w:iCs/>
        </w:rPr>
        <w:lastRenderedPageBreak/>
        <w:t>El sexo, y</w:t>
      </w:r>
    </w:p>
    <w:p w14:paraId="0900FC5F" w14:textId="77777777" w:rsidR="000114B7" w:rsidRPr="000114B7" w:rsidRDefault="000114B7" w:rsidP="000114B7">
      <w:pPr>
        <w:numPr>
          <w:ilvl w:val="0"/>
          <w:numId w:val="19"/>
        </w:numPr>
        <w:spacing w:after="0" w:line="360" w:lineRule="auto"/>
        <w:jc w:val="left"/>
        <w:rPr>
          <w:rFonts w:eastAsia="Calibri" w:cs="Tahoma"/>
          <w:bCs/>
          <w:iCs/>
        </w:rPr>
      </w:pPr>
      <w:r w:rsidRPr="000114B7">
        <w:rPr>
          <w:rFonts w:eastAsia="Calibri" w:cs="Tahoma"/>
          <w:bCs/>
          <w:iCs/>
        </w:rPr>
        <w:t>La entidad federativa de nacimiento.</w:t>
      </w:r>
    </w:p>
    <w:p w14:paraId="05DE7399" w14:textId="77777777" w:rsidR="000114B7" w:rsidRPr="000114B7" w:rsidRDefault="000114B7" w:rsidP="000114B7">
      <w:pPr>
        <w:spacing w:after="0" w:line="360" w:lineRule="auto"/>
        <w:rPr>
          <w:rFonts w:eastAsia="Calibri" w:cs="Tahoma"/>
          <w:bCs/>
          <w:iCs/>
        </w:rPr>
      </w:pPr>
    </w:p>
    <w:p w14:paraId="42057911" w14:textId="77777777" w:rsidR="000114B7" w:rsidRPr="000114B7" w:rsidRDefault="000114B7" w:rsidP="000114B7">
      <w:pPr>
        <w:spacing w:after="0" w:line="360" w:lineRule="auto"/>
        <w:rPr>
          <w:rFonts w:eastAsia="Calibri" w:cs="Tahoma"/>
          <w:bCs/>
          <w:iCs/>
        </w:rPr>
      </w:pPr>
      <w:r w:rsidRPr="000114B7">
        <w:rPr>
          <w:rFonts w:eastAsia="Calibri" w:cs="Tahoma"/>
          <w:bCs/>
          <w:iCs/>
        </w:rPr>
        <w:t>Los dos últimos elementos de la Clave Única de Registro de Población evitan la duplicidad de la Clave y garantizan su correcta integración.</w:t>
      </w:r>
    </w:p>
    <w:p w14:paraId="67025BC3" w14:textId="77777777" w:rsidR="000114B7" w:rsidRPr="000114B7" w:rsidRDefault="000114B7" w:rsidP="000114B7">
      <w:pPr>
        <w:spacing w:after="0" w:line="360" w:lineRule="auto"/>
        <w:rPr>
          <w:rFonts w:eastAsia="Calibri" w:cs="Tahoma"/>
          <w:bCs/>
          <w:iCs/>
        </w:rPr>
      </w:pPr>
    </w:p>
    <w:p w14:paraId="608738D4" w14:textId="77777777" w:rsidR="000114B7" w:rsidRPr="000114B7" w:rsidRDefault="000114B7" w:rsidP="000114B7">
      <w:pPr>
        <w:spacing w:after="0" w:line="360" w:lineRule="auto"/>
        <w:rPr>
          <w:rFonts w:eastAsia="Calibri" w:cs="Tahoma"/>
          <w:bCs/>
          <w:iCs/>
        </w:rPr>
      </w:pPr>
      <w:r w:rsidRPr="000114B7">
        <w:rPr>
          <w:rFonts w:eastAsia="Calibri" w:cs="Tahoma"/>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E9C19EC" w14:textId="77777777" w:rsidR="000114B7" w:rsidRPr="000114B7" w:rsidRDefault="000114B7" w:rsidP="000114B7">
      <w:pPr>
        <w:spacing w:after="0" w:line="360" w:lineRule="auto"/>
        <w:rPr>
          <w:rFonts w:eastAsia="Calibri" w:cs="Tahoma"/>
          <w:bCs/>
          <w:iCs/>
        </w:rPr>
      </w:pPr>
    </w:p>
    <w:p w14:paraId="059B44B6" w14:textId="77777777" w:rsidR="000114B7" w:rsidRPr="000114B7" w:rsidRDefault="000114B7" w:rsidP="000114B7">
      <w:pPr>
        <w:spacing w:after="0" w:line="360" w:lineRule="auto"/>
        <w:rPr>
          <w:rFonts w:eastAsia="Calibri" w:cs="Tahoma"/>
          <w:bCs/>
          <w:iCs/>
        </w:rPr>
      </w:pPr>
      <w:r w:rsidRPr="000114B7">
        <w:rPr>
          <w:rFonts w:eastAsia="Calibri" w:cs="Tahoma"/>
          <w:bCs/>
          <w:iCs/>
        </w:rPr>
        <w:t>Situación que se robustece, con el Criterio 18/17, emitido por el Instituto Nacional de Transparencia, Acceso a la Información y Protección de Datos Personales, que establece lo siguiente:</w:t>
      </w:r>
    </w:p>
    <w:p w14:paraId="30A7A2A8" w14:textId="77777777" w:rsidR="000114B7" w:rsidRPr="000114B7" w:rsidRDefault="000114B7" w:rsidP="000114B7">
      <w:pPr>
        <w:spacing w:after="0" w:line="360" w:lineRule="auto"/>
        <w:rPr>
          <w:rFonts w:eastAsia="Calibri" w:cs="Tahoma"/>
          <w:bCs/>
          <w:iCs/>
        </w:rPr>
      </w:pPr>
    </w:p>
    <w:p w14:paraId="2A17C4C6" w14:textId="77777777" w:rsidR="000114B7" w:rsidRPr="000114B7" w:rsidRDefault="000114B7" w:rsidP="000114B7">
      <w:pPr>
        <w:spacing w:after="0" w:line="360" w:lineRule="auto"/>
        <w:ind w:left="567" w:right="567"/>
        <w:rPr>
          <w:rFonts w:eastAsia="Calibri" w:cs="Tahoma"/>
          <w:bCs/>
          <w:i/>
          <w:iCs/>
          <w:sz w:val="20"/>
          <w:szCs w:val="20"/>
        </w:rPr>
      </w:pPr>
      <w:r w:rsidRPr="000114B7">
        <w:rPr>
          <w:rFonts w:eastAsia="Calibri" w:cs="Tahoma"/>
          <w:b/>
          <w:bCs/>
          <w:i/>
          <w:iCs/>
          <w:sz w:val="20"/>
          <w:szCs w:val="20"/>
        </w:rPr>
        <w:t xml:space="preserve">“Clave Única de Registro de Población (CURP). </w:t>
      </w:r>
      <w:r w:rsidRPr="000114B7">
        <w:rPr>
          <w:rFonts w:eastAsia="Calibri" w:cs="Tahoma"/>
          <w:bCs/>
          <w:i/>
          <w:iCs/>
          <w:sz w:val="20"/>
          <w:szCs w:val="20"/>
        </w:rPr>
        <w:t xml:space="preserve">La Clave Única de Registro de Población se integra por datos personales que sólo conciernen al particular titular de </w:t>
      </w:r>
      <w:proofErr w:type="gramStart"/>
      <w:r w:rsidRPr="000114B7">
        <w:rPr>
          <w:rFonts w:eastAsia="Calibri" w:cs="Tahoma"/>
          <w:bCs/>
          <w:i/>
          <w:iCs/>
          <w:sz w:val="20"/>
          <w:szCs w:val="20"/>
        </w:rPr>
        <w:t>la misma</w:t>
      </w:r>
      <w:proofErr w:type="gramEnd"/>
      <w:r w:rsidRPr="000114B7">
        <w:rPr>
          <w:rFonts w:eastAsia="Calibri" w:cs="Tahoma"/>
          <w:bCs/>
          <w:i/>
          <w:iCs/>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CE4AD2E" w14:textId="77777777" w:rsidR="000114B7" w:rsidRPr="000114B7" w:rsidRDefault="000114B7" w:rsidP="000114B7">
      <w:pPr>
        <w:spacing w:after="0" w:line="360" w:lineRule="auto"/>
        <w:rPr>
          <w:rFonts w:eastAsia="Calibri" w:cs="Tahoma"/>
          <w:bCs/>
          <w:iCs/>
        </w:rPr>
      </w:pPr>
    </w:p>
    <w:p w14:paraId="1BD4A1F8" w14:textId="77777777" w:rsidR="000114B7" w:rsidRPr="000114B7" w:rsidRDefault="000114B7" w:rsidP="000114B7">
      <w:pPr>
        <w:spacing w:after="0" w:line="360" w:lineRule="auto"/>
        <w:rPr>
          <w:rFonts w:eastAsia="Calibri" w:cs="Tahoma"/>
          <w:bCs/>
          <w:iCs/>
        </w:rPr>
      </w:pPr>
      <w:r w:rsidRPr="000114B7">
        <w:rPr>
          <w:rFonts w:eastAsia="Calibri" w:cs="Tahoma"/>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7565C11" w14:textId="77777777" w:rsidR="000114B7" w:rsidRPr="000114B7" w:rsidRDefault="000114B7" w:rsidP="000114B7">
      <w:pPr>
        <w:spacing w:after="0" w:line="360" w:lineRule="auto"/>
        <w:rPr>
          <w:rFonts w:eastAsia="Calibri" w:cs="Tahoma"/>
          <w:bCs/>
          <w:iCs/>
          <w:lang w:val="es-ES"/>
        </w:rPr>
      </w:pPr>
    </w:p>
    <w:p w14:paraId="5716E220" w14:textId="77777777" w:rsidR="000114B7" w:rsidRPr="000114B7" w:rsidRDefault="000114B7" w:rsidP="000114B7">
      <w:pPr>
        <w:numPr>
          <w:ilvl w:val="0"/>
          <w:numId w:val="1"/>
        </w:numPr>
        <w:spacing w:after="0" w:line="360" w:lineRule="auto"/>
        <w:jc w:val="left"/>
        <w:rPr>
          <w:rFonts w:eastAsia="Calibri" w:cs="Tahoma"/>
          <w:b/>
          <w:bCs/>
          <w:iCs/>
          <w:lang w:val="es-ES_tradnl"/>
        </w:rPr>
      </w:pPr>
      <w:r w:rsidRPr="000114B7">
        <w:rPr>
          <w:rFonts w:eastAsia="Calibri" w:cs="Tahoma"/>
          <w:b/>
          <w:bCs/>
          <w:iCs/>
          <w:lang w:val="es-ES_tradnl"/>
        </w:rPr>
        <w:lastRenderedPageBreak/>
        <w:t>Registro Federal de Contribuyentes (RFC).</w:t>
      </w:r>
    </w:p>
    <w:p w14:paraId="23EDB952" w14:textId="77777777" w:rsidR="000114B7" w:rsidRPr="000114B7" w:rsidRDefault="000114B7" w:rsidP="000114B7">
      <w:pPr>
        <w:spacing w:after="0" w:line="360" w:lineRule="auto"/>
        <w:rPr>
          <w:rFonts w:eastAsia="Calibri" w:cs="Tahoma"/>
          <w:bCs/>
          <w:iCs/>
        </w:rPr>
      </w:pPr>
    </w:p>
    <w:p w14:paraId="71EB5481" w14:textId="77777777" w:rsidR="000114B7" w:rsidRPr="000114B7" w:rsidRDefault="000114B7" w:rsidP="000114B7">
      <w:pPr>
        <w:spacing w:after="0" w:line="360" w:lineRule="auto"/>
        <w:rPr>
          <w:rFonts w:eastAsia="Calibri" w:cs="Tahoma"/>
          <w:bCs/>
          <w:iCs/>
        </w:rPr>
      </w:pPr>
      <w:r w:rsidRPr="000114B7">
        <w:rPr>
          <w:rFonts w:eastAsia="Calibri"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C15D145" w14:textId="77777777" w:rsidR="000114B7" w:rsidRPr="000114B7" w:rsidRDefault="000114B7" w:rsidP="000114B7">
      <w:pPr>
        <w:spacing w:after="0" w:line="360" w:lineRule="auto"/>
        <w:rPr>
          <w:rFonts w:eastAsia="Calibri" w:cs="Tahoma"/>
          <w:bCs/>
          <w:iCs/>
        </w:rPr>
      </w:pPr>
    </w:p>
    <w:p w14:paraId="1C0A4060" w14:textId="77777777" w:rsidR="000114B7" w:rsidRPr="000114B7" w:rsidRDefault="000114B7" w:rsidP="000114B7">
      <w:pPr>
        <w:spacing w:after="0" w:line="360" w:lineRule="auto"/>
        <w:rPr>
          <w:rFonts w:eastAsia="Calibri" w:cs="Tahoma"/>
          <w:bCs/>
          <w:iCs/>
        </w:rPr>
      </w:pPr>
      <w:r w:rsidRPr="000114B7">
        <w:rPr>
          <w:rFonts w:eastAsia="Calibri" w:cs="Tahoma"/>
          <w:bCs/>
          <w:iC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054638A" w14:textId="77777777" w:rsidR="000114B7" w:rsidRPr="000114B7" w:rsidRDefault="000114B7" w:rsidP="000114B7">
      <w:pPr>
        <w:spacing w:after="0" w:line="360" w:lineRule="auto"/>
        <w:rPr>
          <w:rFonts w:eastAsia="Calibri" w:cs="Tahoma"/>
          <w:bCs/>
          <w:iCs/>
        </w:rPr>
      </w:pPr>
    </w:p>
    <w:p w14:paraId="507B759B" w14:textId="77777777" w:rsidR="000114B7" w:rsidRPr="000114B7" w:rsidRDefault="000114B7" w:rsidP="000114B7">
      <w:pPr>
        <w:spacing w:after="0" w:line="360" w:lineRule="auto"/>
        <w:rPr>
          <w:rFonts w:eastAsia="Calibri" w:cs="Tahoma"/>
          <w:bCs/>
          <w:iCs/>
        </w:rPr>
      </w:pPr>
      <w:r w:rsidRPr="000114B7">
        <w:rPr>
          <w:rFonts w:eastAsia="Calibri" w:cs="Tahoma"/>
          <w:bCs/>
          <w:iCs/>
        </w:rPr>
        <w:t xml:space="preserve">Ahora bien, la clave del Registro Federal de </w:t>
      </w:r>
      <w:proofErr w:type="gramStart"/>
      <w:r w:rsidRPr="000114B7">
        <w:rPr>
          <w:rFonts w:eastAsia="Calibri" w:cs="Tahoma"/>
          <w:bCs/>
          <w:iCs/>
        </w:rPr>
        <w:t>Contribuyentes,</w:t>
      </w:r>
      <w:proofErr w:type="gramEnd"/>
      <w:r w:rsidRPr="000114B7">
        <w:rPr>
          <w:rFonts w:eastAsia="Calibri" w:cs="Tahoma"/>
          <w:bCs/>
          <w:iCs/>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B5B984C" w14:textId="77777777" w:rsidR="000114B7" w:rsidRPr="000114B7" w:rsidRDefault="000114B7" w:rsidP="000114B7">
      <w:pPr>
        <w:spacing w:after="0" w:line="360" w:lineRule="auto"/>
        <w:rPr>
          <w:rFonts w:eastAsia="Calibri" w:cs="Tahoma"/>
          <w:bCs/>
          <w:iCs/>
        </w:rPr>
      </w:pPr>
    </w:p>
    <w:p w14:paraId="73EE5F0B" w14:textId="77777777" w:rsidR="000114B7" w:rsidRPr="000114B7" w:rsidRDefault="000114B7" w:rsidP="000114B7">
      <w:pPr>
        <w:spacing w:after="0" w:line="360" w:lineRule="auto"/>
        <w:rPr>
          <w:rFonts w:eastAsia="Calibri" w:cs="Tahoma"/>
          <w:bCs/>
          <w:iCs/>
        </w:rPr>
      </w:pPr>
      <w:r w:rsidRPr="000114B7">
        <w:rPr>
          <w:rFonts w:eastAsia="Calibri" w:cs="Tahoma"/>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AC1151F" w14:textId="77777777" w:rsidR="000114B7" w:rsidRPr="000114B7" w:rsidRDefault="000114B7" w:rsidP="000114B7">
      <w:pPr>
        <w:spacing w:after="0" w:line="360" w:lineRule="auto"/>
        <w:rPr>
          <w:rFonts w:eastAsia="Calibri" w:cs="Tahoma"/>
          <w:bCs/>
          <w:iCs/>
        </w:rPr>
      </w:pPr>
    </w:p>
    <w:p w14:paraId="7C53FDEE" w14:textId="77777777" w:rsidR="000114B7" w:rsidRPr="000114B7" w:rsidRDefault="000114B7" w:rsidP="000114B7">
      <w:pPr>
        <w:spacing w:after="0" w:line="360" w:lineRule="auto"/>
        <w:rPr>
          <w:rFonts w:eastAsia="Calibri" w:cs="Tahoma"/>
          <w:bCs/>
          <w:iCs/>
        </w:rPr>
      </w:pPr>
      <w:r w:rsidRPr="000114B7">
        <w:rPr>
          <w:rFonts w:eastAsia="Calibri" w:cs="Tahoma"/>
          <w:bCs/>
          <w:iCs/>
        </w:rPr>
        <w:lastRenderedPageBreak/>
        <w:t>Lo anterior, resulta congruente con el Criterio 19/17 emitido por el Instituto Nacional de Transparencia, Acceso a la Información y Protección de Datos Personales, en el cual se señala lo siguiente:</w:t>
      </w:r>
    </w:p>
    <w:p w14:paraId="3D419217" w14:textId="77777777" w:rsidR="000114B7" w:rsidRPr="000114B7" w:rsidRDefault="000114B7" w:rsidP="000114B7">
      <w:pPr>
        <w:spacing w:after="0" w:line="360" w:lineRule="auto"/>
        <w:rPr>
          <w:rFonts w:eastAsia="Calibri" w:cs="Tahoma"/>
          <w:bCs/>
          <w:iCs/>
        </w:rPr>
      </w:pPr>
    </w:p>
    <w:p w14:paraId="178E554C" w14:textId="77777777" w:rsidR="000114B7" w:rsidRPr="000114B7" w:rsidRDefault="000114B7" w:rsidP="000114B7">
      <w:pPr>
        <w:spacing w:after="0" w:line="360" w:lineRule="auto"/>
        <w:ind w:left="567" w:right="567"/>
        <w:rPr>
          <w:rFonts w:eastAsia="Calibri" w:cs="Tahoma"/>
          <w:bCs/>
          <w:i/>
          <w:iCs/>
          <w:sz w:val="20"/>
          <w:szCs w:val="20"/>
        </w:rPr>
      </w:pPr>
      <w:r w:rsidRPr="000114B7">
        <w:rPr>
          <w:rFonts w:eastAsia="Calibri" w:cs="Tahoma"/>
          <w:b/>
          <w:bCs/>
          <w:i/>
          <w:iCs/>
          <w:sz w:val="20"/>
          <w:szCs w:val="20"/>
        </w:rPr>
        <w:t>“Registro Federal de Contribuyentes (RFC) de personas físicas.</w:t>
      </w:r>
      <w:r w:rsidRPr="000114B7">
        <w:rPr>
          <w:rFonts w:eastAsia="Calibri" w:cs="Tahoma"/>
          <w:bCs/>
          <w:i/>
          <w:iCs/>
          <w:sz w:val="20"/>
          <w:szCs w:val="20"/>
        </w:rPr>
        <w:t xml:space="preserve"> El RFC es una clave de carácter fiscal, única e irrepetible, que permite identificar al titular, su edad y fecha de nacimiento, por lo que es un dato personal de carácter confidencial.”</w:t>
      </w:r>
    </w:p>
    <w:p w14:paraId="4A6B0F63" w14:textId="77777777" w:rsidR="000114B7" w:rsidRPr="000114B7" w:rsidRDefault="000114B7" w:rsidP="000114B7">
      <w:pPr>
        <w:spacing w:after="0" w:line="360" w:lineRule="auto"/>
        <w:rPr>
          <w:rFonts w:eastAsia="Calibri" w:cs="Tahoma"/>
          <w:bCs/>
          <w:iCs/>
        </w:rPr>
      </w:pPr>
    </w:p>
    <w:p w14:paraId="083A2D73" w14:textId="77777777" w:rsidR="000114B7" w:rsidRPr="000114B7" w:rsidRDefault="000114B7" w:rsidP="000114B7">
      <w:pPr>
        <w:spacing w:after="0" w:line="360" w:lineRule="auto"/>
        <w:rPr>
          <w:rFonts w:eastAsia="Calibri" w:cs="Tahoma"/>
          <w:bCs/>
          <w:iCs/>
        </w:rPr>
      </w:pPr>
      <w:r w:rsidRPr="000114B7">
        <w:rPr>
          <w:rFonts w:eastAsia="Calibri" w:cs="Tahoma"/>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AEE3825" w14:textId="77777777" w:rsidR="000114B7" w:rsidRPr="000114B7" w:rsidRDefault="000114B7" w:rsidP="000114B7">
      <w:pPr>
        <w:spacing w:after="0" w:line="360" w:lineRule="auto"/>
        <w:rPr>
          <w:rFonts w:eastAsia="Calibri" w:cs="Tahoma"/>
          <w:bCs/>
          <w:iCs/>
        </w:rPr>
      </w:pPr>
    </w:p>
    <w:p w14:paraId="5FECB317" w14:textId="77777777" w:rsidR="000114B7" w:rsidRPr="000114B7" w:rsidRDefault="000114B7" w:rsidP="000114B7">
      <w:pPr>
        <w:numPr>
          <w:ilvl w:val="0"/>
          <w:numId w:val="1"/>
        </w:numPr>
        <w:spacing w:after="0" w:line="360" w:lineRule="auto"/>
        <w:jc w:val="left"/>
        <w:rPr>
          <w:rFonts w:eastAsia="Calibri" w:cs="Tahoma"/>
          <w:b/>
          <w:bCs/>
          <w:iCs/>
        </w:rPr>
      </w:pPr>
      <w:r w:rsidRPr="000114B7">
        <w:rPr>
          <w:rFonts w:eastAsia="Calibri" w:cs="Tahoma"/>
          <w:b/>
          <w:bCs/>
          <w:iCs/>
        </w:rPr>
        <w:t xml:space="preserve">Código bidimensional o </w:t>
      </w:r>
      <w:proofErr w:type="spellStart"/>
      <w:r w:rsidRPr="000114B7">
        <w:rPr>
          <w:rFonts w:eastAsia="Calibri" w:cs="Tahoma"/>
          <w:b/>
          <w:bCs/>
          <w:iCs/>
        </w:rPr>
        <w:t>Qr</w:t>
      </w:r>
      <w:proofErr w:type="spellEnd"/>
      <w:r w:rsidRPr="000114B7">
        <w:rPr>
          <w:rFonts w:eastAsia="Calibri" w:cs="Tahoma"/>
          <w:b/>
          <w:bCs/>
          <w:iCs/>
        </w:rPr>
        <w:t>.</w:t>
      </w:r>
    </w:p>
    <w:p w14:paraId="169F566B" w14:textId="77777777" w:rsidR="000114B7" w:rsidRPr="000114B7" w:rsidRDefault="000114B7" w:rsidP="000114B7">
      <w:pPr>
        <w:spacing w:after="0" w:line="360" w:lineRule="auto"/>
        <w:rPr>
          <w:rFonts w:eastAsia="Calibri" w:cs="Tahoma"/>
          <w:b/>
          <w:bCs/>
          <w:iCs/>
        </w:rPr>
      </w:pPr>
    </w:p>
    <w:p w14:paraId="4B7A926E" w14:textId="01B1B13F" w:rsidR="000114B7" w:rsidRDefault="00FD77C5" w:rsidP="000114B7">
      <w:pPr>
        <w:spacing w:after="0" w:line="360" w:lineRule="auto"/>
        <w:rPr>
          <w:rFonts w:eastAsia="Calibri" w:cs="Tahoma"/>
          <w:bCs/>
          <w:iCs/>
        </w:rPr>
      </w:pPr>
      <w:r>
        <w:rPr>
          <w:rFonts w:eastAsia="Calibri" w:cs="Tahoma"/>
          <w:bCs/>
          <w:iCs/>
        </w:rPr>
        <w:t>Al respecto, es de señalar que dicho dato, corresponde a un módulo o matriz para almacenar información que permite su lectura inmediate mediante el uso de un dispositivo electrónico, el cual puede contener información o datos personales.</w:t>
      </w:r>
    </w:p>
    <w:p w14:paraId="18E97FE7" w14:textId="50DC755F" w:rsidR="00FD77C5" w:rsidRDefault="00FD77C5" w:rsidP="000114B7">
      <w:pPr>
        <w:spacing w:after="0" w:line="360" w:lineRule="auto"/>
        <w:rPr>
          <w:rFonts w:eastAsia="Calibri" w:cs="Tahoma"/>
          <w:bCs/>
          <w:iCs/>
        </w:rPr>
      </w:pPr>
    </w:p>
    <w:p w14:paraId="3850644C" w14:textId="76F14C40" w:rsidR="000114B7" w:rsidRPr="000114B7" w:rsidRDefault="00FD77C5" w:rsidP="000114B7">
      <w:pPr>
        <w:spacing w:after="0" w:line="360" w:lineRule="auto"/>
        <w:rPr>
          <w:rFonts w:eastAsia="Calibri" w:cs="Tahoma"/>
          <w:b/>
          <w:iCs/>
        </w:rPr>
      </w:pPr>
      <w:r>
        <w:rPr>
          <w:rFonts w:eastAsia="Calibri" w:cs="Tahoma"/>
          <w:bCs/>
          <w:iCs/>
        </w:rPr>
        <w:t>En ese contexto, el Sujeto Obligado aclaró que en el presente caso, el Código QR</w:t>
      </w:r>
      <w:r w:rsidR="00A918B0">
        <w:rPr>
          <w:rFonts w:eastAsia="Calibri" w:cs="Tahoma"/>
          <w:bCs/>
          <w:iCs/>
        </w:rPr>
        <w:t xml:space="preserve"> daba acceso a datos personales de los participantes en el proceso de entrega-recepción; por lo que, se considera que actualiza </w:t>
      </w:r>
      <w:r w:rsidR="000114B7" w:rsidRPr="000114B7">
        <w:rPr>
          <w:rFonts w:eastAsia="Calibri" w:cs="Tahoma"/>
          <w:bCs/>
          <w:iCs/>
        </w:rPr>
        <w:t>la causal de clasificación prevista en el artículo 143, fracción I de la Ley de la materia</w:t>
      </w:r>
      <w:r w:rsidR="00A918B0">
        <w:rPr>
          <w:rFonts w:eastAsia="Calibri" w:cs="Tahoma"/>
          <w:bCs/>
          <w:iCs/>
        </w:rPr>
        <w:t>.</w:t>
      </w:r>
    </w:p>
    <w:p w14:paraId="5A4DCB5D" w14:textId="77777777" w:rsidR="00263945" w:rsidRDefault="00263945" w:rsidP="00AD62BD">
      <w:pPr>
        <w:spacing w:after="0" w:line="360" w:lineRule="auto"/>
        <w:rPr>
          <w:rFonts w:eastAsia="Times New Roman" w:cs="Tahoma"/>
          <w:color w:val="0D0D0D" w:themeColor="text1" w:themeTint="F2"/>
          <w:lang w:val="es-ES_tradnl" w:eastAsia="es-MX"/>
        </w:rPr>
      </w:pPr>
    </w:p>
    <w:p w14:paraId="468BFB00" w14:textId="77777777" w:rsidR="0026066D" w:rsidRPr="00682222" w:rsidRDefault="0026066D" w:rsidP="00AD62BD">
      <w:pPr>
        <w:numPr>
          <w:ilvl w:val="0"/>
          <w:numId w:val="1"/>
        </w:numPr>
        <w:spacing w:after="0" w:line="360" w:lineRule="auto"/>
        <w:contextualSpacing/>
        <w:jc w:val="left"/>
        <w:rPr>
          <w:rFonts w:eastAsia="Times New Roman" w:cs="Tahoma"/>
          <w:color w:val="auto"/>
          <w:lang w:eastAsia="es-ES"/>
        </w:rPr>
      </w:pPr>
      <w:r w:rsidRPr="00682222">
        <w:rPr>
          <w:rFonts w:eastAsia="Times New Roman" w:cs="Tahoma"/>
          <w:b/>
          <w:color w:val="auto"/>
          <w:lang w:eastAsia="es-ES"/>
        </w:rPr>
        <w:t>Teléfono y celular particular.</w:t>
      </w:r>
    </w:p>
    <w:p w14:paraId="03290AF1" w14:textId="77777777" w:rsidR="0026066D" w:rsidRPr="00682222" w:rsidRDefault="0026066D" w:rsidP="00AD62BD">
      <w:pPr>
        <w:spacing w:after="0" w:line="360" w:lineRule="auto"/>
        <w:rPr>
          <w:rFonts w:eastAsia="Times New Roman" w:cs="Tahoma"/>
          <w:color w:val="auto"/>
          <w:lang w:eastAsia="es-ES"/>
        </w:rPr>
      </w:pPr>
    </w:p>
    <w:p w14:paraId="58956E28" w14:textId="561CCB48" w:rsidR="0026066D" w:rsidRPr="00682222" w:rsidRDefault="008A024A" w:rsidP="00AD62BD">
      <w:pPr>
        <w:spacing w:after="0" w:line="360" w:lineRule="auto"/>
        <w:rPr>
          <w:rFonts w:eastAsia="Times New Roman" w:cs="Tahoma"/>
          <w:color w:val="auto"/>
          <w:lang w:eastAsia="es-ES"/>
        </w:rPr>
      </w:pPr>
      <w:r>
        <w:rPr>
          <w:rFonts w:eastAsia="Times New Roman" w:cs="Tahoma"/>
          <w:color w:val="auto"/>
          <w:lang w:eastAsia="es-ES"/>
        </w:rPr>
        <w:lastRenderedPageBreak/>
        <w:t>Dicho dato corresponde a</w:t>
      </w:r>
      <w:r w:rsidR="0026066D" w:rsidRPr="00682222">
        <w:rPr>
          <w:rFonts w:eastAsia="Times New Roman" w:cs="Tahoma"/>
          <w:color w:val="auto"/>
          <w:lang w:eastAsia="es-ES"/>
        </w:rPr>
        <w:t>l número asignado a un teléfono particular o celular</w:t>
      </w:r>
      <w:r>
        <w:rPr>
          <w:rFonts w:eastAsia="Times New Roman" w:cs="Tahoma"/>
          <w:color w:val="auto"/>
          <w:lang w:eastAsia="es-ES"/>
        </w:rPr>
        <w:t>, el cual</w:t>
      </w:r>
      <w:r w:rsidR="0026066D" w:rsidRPr="00682222">
        <w:rPr>
          <w:rFonts w:eastAsia="Times New Roman" w:cs="Tahoma"/>
          <w:color w:val="auto"/>
          <w:lang w:eastAsia="es-ES"/>
        </w:rPr>
        <w:t xml:space="preserve"> permite localizar a una persona física identificada o identificable, ya sea a través de un dispositivo móvil o bien, en un lugar como el domicili</w:t>
      </w:r>
      <w:r w:rsidR="0026066D">
        <w:rPr>
          <w:rFonts w:eastAsia="Times New Roman" w:cs="Tahoma"/>
          <w:color w:val="auto"/>
          <w:lang w:eastAsia="es-ES"/>
        </w:rPr>
        <w:t>o</w:t>
      </w:r>
      <w:r w:rsidR="0026066D" w:rsidRPr="00682222">
        <w:rPr>
          <w:rFonts w:eastAsia="Times New Roman" w:cs="Tahoma"/>
          <w:color w:val="auto"/>
          <w:lang w:eastAsia="es-ES"/>
        </w:rPr>
        <w:t xml:space="preserve">; por lo que, la titularidad del </w:t>
      </w:r>
      <w:proofErr w:type="gramStart"/>
      <w:r w:rsidR="0026066D" w:rsidRPr="00682222">
        <w:rPr>
          <w:rFonts w:eastAsia="Times New Roman" w:cs="Tahoma"/>
          <w:color w:val="auto"/>
          <w:lang w:eastAsia="es-ES"/>
        </w:rPr>
        <w:t>mismo,</w:t>
      </w:r>
      <w:proofErr w:type="gramEnd"/>
      <w:r w:rsidR="0026066D" w:rsidRPr="00682222">
        <w:rPr>
          <w:rFonts w:eastAsia="Times New Roman" w:cs="Tahoma"/>
          <w:color w:val="auto"/>
          <w:lang w:eastAsia="es-ES"/>
        </w:rPr>
        <w:t xml:space="preserve"> corresponde a la persona física</w:t>
      </w:r>
      <w:r>
        <w:rPr>
          <w:rFonts w:eastAsia="Times New Roman" w:cs="Tahoma"/>
          <w:color w:val="auto"/>
          <w:lang w:eastAsia="es-ES"/>
        </w:rPr>
        <w:t xml:space="preserve"> servidor público (entrante o saliente), </w:t>
      </w:r>
      <w:r w:rsidR="0026066D" w:rsidRPr="00682222">
        <w:rPr>
          <w:rFonts w:eastAsia="Times New Roman" w:cs="Tahoma"/>
          <w:color w:val="auto"/>
          <w:lang w:eastAsia="es-ES"/>
        </w:rPr>
        <w:t>en su calidad de particular</w:t>
      </w:r>
      <w:r w:rsidR="0026066D">
        <w:rPr>
          <w:rFonts w:eastAsia="Times New Roman" w:cs="Tahoma"/>
          <w:color w:val="auto"/>
          <w:lang w:eastAsia="es-ES"/>
        </w:rPr>
        <w:t>.</w:t>
      </w:r>
    </w:p>
    <w:p w14:paraId="77AFCD9F" w14:textId="77777777" w:rsidR="0026066D" w:rsidRPr="00682222" w:rsidRDefault="0026066D" w:rsidP="00AD62BD">
      <w:pPr>
        <w:spacing w:after="0" w:line="360" w:lineRule="auto"/>
        <w:rPr>
          <w:rFonts w:eastAsia="Times New Roman" w:cs="Tahoma"/>
          <w:color w:val="auto"/>
          <w:lang w:eastAsia="es-ES"/>
        </w:rPr>
      </w:pPr>
    </w:p>
    <w:p w14:paraId="2E703C7B" w14:textId="77777777" w:rsidR="0026066D" w:rsidRDefault="0026066D" w:rsidP="00AD62BD">
      <w:pPr>
        <w:spacing w:after="0" w:line="360" w:lineRule="auto"/>
        <w:rPr>
          <w:rFonts w:eastAsia="Times New Roman" w:cs="Tahoma"/>
          <w:color w:val="auto"/>
          <w:lang w:eastAsia="es-ES"/>
        </w:rPr>
      </w:pPr>
      <w:r w:rsidRPr="00682222">
        <w:rPr>
          <w:rFonts w:eastAsia="Times New Roman" w:cs="Tahoma"/>
          <w:color w:val="auto"/>
          <w:lang w:eastAsia="es-ES"/>
        </w:rPr>
        <w:t>En tales consideraciones, dicho dato personal es susceptible de ser clasificado como confidencial, con fundamento en el artículo 143, fracción I de la Ley de Transparencia y Acceso a la Información Pública.</w:t>
      </w:r>
    </w:p>
    <w:p w14:paraId="4C1058CB" w14:textId="2A2B50FE" w:rsidR="008A024A" w:rsidRDefault="008A024A" w:rsidP="00AD62BD">
      <w:pPr>
        <w:spacing w:after="0" w:line="360" w:lineRule="auto"/>
        <w:rPr>
          <w:rFonts w:eastAsia="Times New Roman" w:cs="Tahoma"/>
          <w:color w:val="auto"/>
          <w:lang w:eastAsia="es-ES"/>
        </w:rPr>
      </w:pPr>
    </w:p>
    <w:p w14:paraId="2A58AD1E" w14:textId="77777777" w:rsidR="008A024A" w:rsidRPr="008A024A" w:rsidRDefault="008A024A" w:rsidP="008A024A">
      <w:pPr>
        <w:numPr>
          <w:ilvl w:val="0"/>
          <w:numId w:val="1"/>
        </w:numPr>
        <w:spacing w:after="0" w:line="360" w:lineRule="auto"/>
        <w:contextualSpacing/>
        <w:jc w:val="left"/>
        <w:rPr>
          <w:rFonts w:eastAsia="Calibri" w:cs="Tahoma"/>
          <w:b/>
          <w:iCs/>
          <w:color w:val="auto"/>
          <w:szCs w:val="24"/>
          <w:lang w:eastAsia="es-ES_tradnl"/>
        </w:rPr>
      </w:pPr>
      <w:r w:rsidRPr="008A024A">
        <w:rPr>
          <w:rFonts w:eastAsia="Calibri" w:cs="Tahoma"/>
          <w:b/>
          <w:iCs/>
          <w:color w:val="auto"/>
          <w:szCs w:val="24"/>
          <w:lang w:eastAsia="es-ES_tradnl"/>
        </w:rPr>
        <w:t>Clave de registro o elector</w:t>
      </w:r>
    </w:p>
    <w:p w14:paraId="26F62FA4" w14:textId="77777777" w:rsidR="008A024A" w:rsidRPr="008A024A" w:rsidRDefault="008A024A" w:rsidP="008A024A">
      <w:pPr>
        <w:tabs>
          <w:tab w:val="left" w:pos="4962"/>
        </w:tabs>
        <w:spacing w:after="0" w:line="360" w:lineRule="auto"/>
        <w:ind w:right="-28"/>
        <w:rPr>
          <w:rFonts w:eastAsia="Calibri" w:cs="Tahoma"/>
          <w:b/>
          <w:iCs/>
          <w:color w:val="auto"/>
          <w:szCs w:val="24"/>
          <w:lang w:eastAsia="es-ES_tradnl"/>
        </w:rPr>
      </w:pPr>
    </w:p>
    <w:p w14:paraId="4D8E74F4" w14:textId="77777777" w:rsidR="008A024A" w:rsidRPr="008A024A" w:rsidRDefault="008A024A" w:rsidP="008A024A">
      <w:pPr>
        <w:tabs>
          <w:tab w:val="left" w:pos="4962"/>
        </w:tabs>
        <w:spacing w:after="0" w:line="360" w:lineRule="auto"/>
        <w:ind w:right="-28"/>
        <w:rPr>
          <w:rFonts w:eastAsia="Calibri" w:cs="Tahoma"/>
          <w:bCs/>
          <w:iCs/>
          <w:color w:val="auto"/>
          <w:szCs w:val="24"/>
          <w:lang w:eastAsia="es-ES_tradnl"/>
        </w:rPr>
      </w:pPr>
      <w:r w:rsidRPr="008A024A">
        <w:rPr>
          <w:rFonts w:eastAsia="Calibri" w:cs="Tahoma"/>
          <w:bCs/>
          <w:iCs/>
          <w:color w:val="auto"/>
          <w:szCs w:val="24"/>
          <w:lang w:eastAsia="es-ES_tradnl"/>
        </w:rPr>
        <w:t>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homoclave compuesta de tres dígitos, dando un total de 18 caracteres.</w:t>
      </w:r>
    </w:p>
    <w:p w14:paraId="6D298E54" w14:textId="77777777" w:rsidR="008A024A" w:rsidRPr="008A024A" w:rsidRDefault="008A024A" w:rsidP="008A024A">
      <w:pPr>
        <w:tabs>
          <w:tab w:val="left" w:pos="4962"/>
        </w:tabs>
        <w:spacing w:after="0" w:line="360" w:lineRule="auto"/>
        <w:ind w:right="-28"/>
        <w:rPr>
          <w:rFonts w:eastAsia="Calibri" w:cs="Tahoma"/>
          <w:b/>
          <w:iCs/>
          <w:color w:val="auto"/>
          <w:szCs w:val="24"/>
          <w:lang w:eastAsia="es-ES_tradnl"/>
        </w:rPr>
      </w:pPr>
    </w:p>
    <w:p w14:paraId="6E46169D" w14:textId="77777777" w:rsidR="008A024A" w:rsidRPr="008A024A" w:rsidRDefault="008A024A" w:rsidP="008A024A">
      <w:pPr>
        <w:shd w:val="clear" w:color="auto" w:fill="FFFFFF" w:themeFill="background1"/>
        <w:spacing w:after="0" w:line="360" w:lineRule="auto"/>
        <w:rPr>
          <w:rFonts w:eastAsia="Calibri" w:cs="Tahoma"/>
          <w:bCs/>
          <w:iCs/>
          <w:color w:val="auto"/>
        </w:rPr>
      </w:pPr>
      <w:r w:rsidRPr="008A024A">
        <w:rPr>
          <w:rFonts w:eastAsia="Calibri" w:cs="Tahoma"/>
          <w:bCs/>
          <w:iCs/>
          <w:color w:val="auto"/>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11DE66AB" w14:textId="77777777" w:rsidR="008A024A" w:rsidRPr="008A024A" w:rsidRDefault="008A024A" w:rsidP="008A024A">
      <w:pPr>
        <w:shd w:val="clear" w:color="auto" w:fill="FFFFFF" w:themeFill="background1"/>
        <w:spacing w:after="0" w:line="360" w:lineRule="auto"/>
        <w:rPr>
          <w:rFonts w:eastAsia="Calibri" w:cs="Tahoma"/>
          <w:bCs/>
          <w:iCs/>
          <w:color w:val="auto"/>
        </w:rPr>
      </w:pPr>
    </w:p>
    <w:p w14:paraId="1C157BAD" w14:textId="77777777" w:rsidR="008A024A" w:rsidRPr="008A024A" w:rsidRDefault="008A024A" w:rsidP="008A024A">
      <w:pPr>
        <w:tabs>
          <w:tab w:val="left" w:pos="4962"/>
        </w:tabs>
        <w:spacing w:after="0" w:line="360" w:lineRule="auto"/>
        <w:ind w:right="-28"/>
        <w:rPr>
          <w:rFonts w:eastAsia="Calibri" w:cs="Tahoma"/>
          <w:bCs/>
          <w:iCs/>
          <w:color w:val="auto"/>
          <w:szCs w:val="24"/>
          <w:lang w:eastAsia="es-ES_tradnl"/>
        </w:rPr>
      </w:pPr>
      <w:r w:rsidRPr="008A024A">
        <w:rPr>
          <w:rFonts w:eastAsia="Calibri" w:cs="Tahoma"/>
          <w:bCs/>
          <w:iCs/>
          <w:color w:val="auto"/>
          <w:szCs w:val="24"/>
          <w:lang w:eastAsia="es-ES_tradnl"/>
        </w:rPr>
        <w:lastRenderedPageBreak/>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5ACEF3AB" w14:textId="77777777" w:rsidR="008A024A" w:rsidRPr="00682222" w:rsidRDefault="008A024A" w:rsidP="00AD62BD">
      <w:pPr>
        <w:spacing w:after="0" w:line="360" w:lineRule="auto"/>
        <w:rPr>
          <w:rFonts w:eastAsia="Times New Roman" w:cs="Tahoma"/>
          <w:color w:val="auto"/>
          <w:lang w:eastAsia="es-ES"/>
        </w:rPr>
      </w:pPr>
    </w:p>
    <w:p w14:paraId="37669C5F" w14:textId="57FB7730" w:rsidR="00013773" w:rsidRPr="00932C12" w:rsidRDefault="00013773" w:rsidP="00AD62BD">
      <w:pPr>
        <w:pStyle w:val="Prrafodelista"/>
        <w:numPr>
          <w:ilvl w:val="0"/>
          <w:numId w:val="1"/>
        </w:numPr>
        <w:spacing w:line="360" w:lineRule="auto"/>
        <w:rPr>
          <w:rFonts w:cs="Tahoma"/>
          <w:b/>
          <w:color w:val="0D0D0D" w:themeColor="text1" w:themeTint="F2"/>
          <w:lang w:val="es-ES"/>
        </w:rPr>
      </w:pPr>
      <w:r w:rsidRPr="00932C12">
        <w:rPr>
          <w:rFonts w:cs="Tahoma"/>
          <w:b/>
          <w:color w:val="0D0D0D" w:themeColor="text1" w:themeTint="F2"/>
          <w:lang w:val="es-ES"/>
        </w:rPr>
        <w:t>Firma de servidores públicos</w:t>
      </w:r>
      <w:r w:rsidR="00EC2202">
        <w:rPr>
          <w:rFonts w:cs="Tahoma"/>
          <w:b/>
          <w:color w:val="0D0D0D" w:themeColor="text1" w:themeTint="F2"/>
          <w:lang w:val="es-ES"/>
        </w:rPr>
        <w:t xml:space="preserve"> y particulares</w:t>
      </w:r>
      <w:r w:rsidRPr="00932C12">
        <w:rPr>
          <w:rFonts w:cs="Tahoma"/>
          <w:b/>
          <w:color w:val="0D0D0D" w:themeColor="text1" w:themeTint="F2"/>
          <w:lang w:val="es-ES"/>
        </w:rPr>
        <w:t xml:space="preserve">. </w:t>
      </w:r>
    </w:p>
    <w:p w14:paraId="72EAEEB2" w14:textId="786D8833" w:rsidR="00E156A5" w:rsidRDefault="00E156A5" w:rsidP="00AD62BD">
      <w:pPr>
        <w:spacing w:after="0" w:line="360" w:lineRule="auto"/>
        <w:rPr>
          <w:rFonts w:eastAsia="Times New Roman" w:cs="Tahoma"/>
          <w:b/>
          <w:color w:val="0D0D0D" w:themeColor="text1" w:themeTint="F2"/>
          <w:lang w:val="es-ES" w:eastAsia="es-ES"/>
        </w:rPr>
      </w:pPr>
    </w:p>
    <w:p w14:paraId="1D0F089C" w14:textId="2DD37D09" w:rsidR="00BB4A78" w:rsidRDefault="00BB4A78" w:rsidP="00AD62BD">
      <w:pPr>
        <w:spacing w:after="0" w:line="360" w:lineRule="auto"/>
        <w:rPr>
          <w:rFonts w:eastAsia="Times New Roman" w:cs="Tahoma"/>
          <w:b/>
          <w:color w:val="0D0D0D" w:themeColor="text1" w:themeTint="F2"/>
          <w:lang w:val="es-ES" w:eastAsia="es-ES"/>
        </w:rPr>
      </w:pPr>
      <w:r>
        <w:rPr>
          <w:rFonts w:eastAsia="Times New Roman" w:cs="Tahoma"/>
          <w:b/>
          <w:color w:val="0D0D0D" w:themeColor="text1" w:themeTint="F2"/>
          <w:lang w:val="es-ES" w:eastAsia="es-ES"/>
        </w:rPr>
        <w:t>Particulares</w:t>
      </w:r>
    </w:p>
    <w:p w14:paraId="386FDAB6" w14:textId="25708B40" w:rsidR="00BB4A78" w:rsidRDefault="00BB4A78" w:rsidP="00AD62BD">
      <w:pPr>
        <w:spacing w:after="0" w:line="360" w:lineRule="auto"/>
        <w:rPr>
          <w:rFonts w:eastAsia="Times New Roman" w:cs="Tahoma"/>
          <w:b/>
          <w:color w:val="0D0D0D" w:themeColor="text1" w:themeTint="F2"/>
          <w:lang w:val="es-ES" w:eastAsia="es-ES"/>
        </w:rPr>
      </w:pPr>
    </w:p>
    <w:p w14:paraId="28E0E888" w14:textId="7C90175C" w:rsidR="00BB4A78" w:rsidRPr="00BB4A78" w:rsidRDefault="00BB4A78" w:rsidP="00BB4A78">
      <w:pPr>
        <w:spacing w:after="0" w:line="360" w:lineRule="auto"/>
        <w:rPr>
          <w:rFonts w:eastAsia="Calibri" w:cs="Tahoma"/>
          <w:b/>
          <w:bCs/>
          <w:color w:val="auto"/>
        </w:rPr>
      </w:pPr>
      <w:r w:rsidRPr="00BB4A78">
        <w:rPr>
          <w:rFonts w:eastAsia="Calibri" w:cs="Tahoma"/>
          <w:bCs/>
          <w:color w:val="auto"/>
        </w:rPr>
        <w:t xml:space="preserve">En principio, cabe señalar que la firma corresponde de aquellas personas físicas que </w:t>
      </w:r>
      <w:r>
        <w:rPr>
          <w:rFonts w:eastAsia="Calibri" w:cs="Tahoma"/>
          <w:bCs/>
          <w:color w:val="auto"/>
        </w:rPr>
        <w:t>fungieron como testigos de los servidores públicos entrantes y salientes</w:t>
      </w:r>
      <w:r w:rsidRPr="00BB4A78">
        <w:rPr>
          <w:rFonts w:eastAsia="Calibri" w:cs="Tahoma"/>
          <w:bCs/>
          <w:color w:val="auto"/>
        </w:rPr>
        <w:t xml:space="preserve">, por lo que, no se trata de empleados o servidores públicos de este, </w:t>
      </w:r>
      <w:r w:rsidRPr="00BB4A78">
        <w:rPr>
          <w:rFonts w:eastAsia="Calibri" w:cs="Tahoma"/>
          <w:b/>
          <w:bCs/>
          <w:color w:val="auto"/>
        </w:rPr>
        <w:t>sino de particulares.</w:t>
      </w:r>
    </w:p>
    <w:p w14:paraId="57456DAB" w14:textId="77777777" w:rsidR="00BB4A78" w:rsidRPr="00BB4A78" w:rsidRDefault="00BB4A78" w:rsidP="00BB4A78">
      <w:pPr>
        <w:spacing w:after="0" w:line="360" w:lineRule="auto"/>
        <w:rPr>
          <w:rFonts w:eastAsia="Calibri" w:cs="Tahoma"/>
          <w:bCs/>
          <w:color w:val="auto"/>
        </w:rPr>
      </w:pPr>
    </w:p>
    <w:p w14:paraId="1D8D15CF" w14:textId="77777777" w:rsidR="00BB4A78" w:rsidRPr="00BB4A78" w:rsidRDefault="00BB4A78" w:rsidP="00BB4A78">
      <w:pPr>
        <w:spacing w:after="0" w:line="360" w:lineRule="auto"/>
        <w:rPr>
          <w:rFonts w:eastAsia="Calibri" w:cs="Tahoma"/>
          <w:bCs/>
          <w:color w:val="auto"/>
        </w:rPr>
      </w:pPr>
      <w:r w:rsidRPr="00BB4A78">
        <w:rPr>
          <w:rFonts w:eastAsia="Calibri" w:cs="Tahoma"/>
          <w:bCs/>
          <w:color w:val="auto"/>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BB4A78">
        <w:rPr>
          <w:rFonts w:eastAsia="Calibri" w:cs="Tahoma"/>
          <w:b/>
          <w:bCs/>
          <w:color w:val="auto"/>
        </w:rPr>
        <w:t>, ya que también haría identificable a los individuos en cuestión.</w:t>
      </w:r>
    </w:p>
    <w:p w14:paraId="488A7420" w14:textId="77777777" w:rsidR="00BB4A78" w:rsidRPr="00BB4A78" w:rsidRDefault="00BB4A78" w:rsidP="00BB4A78">
      <w:pPr>
        <w:spacing w:after="0" w:line="360" w:lineRule="auto"/>
        <w:rPr>
          <w:rFonts w:eastAsia="Calibri" w:cs="Tahoma"/>
          <w:bCs/>
          <w:iCs/>
          <w:color w:val="auto"/>
        </w:rPr>
      </w:pPr>
    </w:p>
    <w:p w14:paraId="0295C5DF" w14:textId="4AF3DAD1" w:rsidR="00BB4A78" w:rsidRPr="00BB4A78" w:rsidRDefault="00BB4A78" w:rsidP="00BB4A78">
      <w:pPr>
        <w:spacing w:after="0" w:line="360" w:lineRule="auto"/>
        <w:rPr>
          <w:rFonts w:eastAsia="Calibri" w:cs="Tahoma"/>
          <w:bCs/>
          <w:color w:val="auto"/>
        </w:rPr>
      </w:pPr>
      <w:r w:rsidRPr="00BB4A78">
        <w:rPr>
          <w:rFonts w:eastAsia="Calibri" w:cs="Tahoma"/>
          <w:bCs/>
          <w:iCs/>
          <w:color w:val="auto"/>
        </w:rPr>
        <w:t xml:space="preserve">Además, aún y cuando se encuentra asentada en un documento público, elaborado en ejercicio de las facultades con las que cuenta el </w:t>
      </w:r>
      <w:r>
        <w:rPr>
          <w:rFonts w:eastAsia="Calibri" w:cs="Tahoma"/>
          <w:bCs/>
          <w:iCs/>
          <w:color w:val="auto"/>
        </w:rPr>
        <w:t>S</w:t>
      </w:r>
      <w:r w:rsidRPr="00BB4A78">
        <w:rPr>
          <w:rFonts w:eastAsia="Calibri" w:cs="Tahoma"/>
          <w:bCs/>
          <w:iCs/>
          <w:color w:val="auto"/>
        </w:rPr>
        <w:t xml:space="preserve">ujeto </w:t>
      </w:r>
      <w:r>
        <w:rPr>
          <w:rFonts w:eastAsia="Calibri" w:cs="Tahoma"/>
          <w:bCs/>
          <w:iCs/>
          <w:color w:val="auto"/>
        </w:rPr>
        <w:t>O</w:t>
      </w:r>
      <w:r w:rsidRPr="00BB4A78">
        <w:rPr>
          <w:rFonts w:eastAsia="Calibri" w:cs="Tahoma"/>
          <w:bCs/>
          <w:iCs/>
          <w:color w:val="auto"/>
        </w:rPr>
        <w:t xml:space="preserve">bligado, lo cierto es que es un dato que exterioriza su voluntad y aceptación </w:t>
      </w:r>
      <w:r>
        <w:rPr>
          <w:rFonts w:eastAsia="Calibri" w:cs="Tahoma"/>
          <w:bCs/>
          <w:iCs/>
          <w:color w:val="auto"/>
        </w:rPr>
        <w:t>de la información señalada en el Acta</w:t>
      </w:r>
      <w:r w:rsidRPr="00BB4A78">
        <w:rPr>
          <w:rFonts w:eastAsia="Calibri" w:cs="Tahoma"/>
          <w:bCs/>
          <w:iCs/>
          <w:color w:val="auto"/>
        </w:rPr>
        <w:t>. Por lo que, se actualiza la causal de clasificación establecida en el artículo 143, fracción I, de la L</w:t>
      </w:r>
      <w:r w:rsidRPr="00BB4A78">
        <w:rPr>
          <w:rFonts w:eastAsia="Calibri" w:cs="Tahoma"/>
          <w:bCs/>
          <w:color w:val="auto"/>
        </w:rPr>
        <w:t>ey de Transparencia y Acceso a la Información Pública del Estado de México y Municipios.</w:t>
      </w:r>
    </w:p>
    <w:p w14:paraId="699AECF1" w14:textId="7780B975" w:rsidR="00BB4A78" w:rsidRDefault="00BB4A78" w:rsidP="00AD62BD">
      <w:pPr>
        <w:spacing w:after="0" w:line="360" w:lineRule="auto"/>
        <w:rPr>
          <w:rFonts w:eastAsia="Times New Roman" w:cs="Tahoma"/>
          <w:b/>
          <w:color w:val="0D0D0D" w:themeColor="text1" w:themeTint="F2"/>
          <w:lang w:val="es-ES" w:eastAsia="es-ES"/>
        </w:rPr>
      </w:pPr>
    </w:p>
    <w:p w14:paraId="2E209E5D" w14:textId="77777777" w:rsidR="00F169E1" w:rsidRPr="00054A7A" w:rsidRDefault="00F169E1" w:rsidP="00F169E1">
      <w:pPr>
        <w:numPr>
          <w:ilvl w:val="0"/>
          <w:numId w:val="21"/>
        </w:numPr>
        <w:spacing w:after="0" w:line="360" w:lineRule="auto"/>
        <w:rPr>
          <w:rFonts w:eastAsia="Calibri" w:cs="Tahoma"/>
          <w:b/>
          <w:bCs/>
          <w:color w:val="auto"/>
        </w:rPr>
      </w:pPr>
      <w:r w:rsidRPr="00054A7A">
        <w:rPr>
          <w:rFonts w:eastAsia="Calibri" w:cs="Tahoma"/>
          <w:b/>
          <w:bCs/>
          <w:color w:val="auto"/>
        </w:rPr>
        <w:t>Firma de servidores públicos.</w:t>
      </w:r>
    </w:p>
    <w:p w14:paraId="34682FB3" w14:textId="77777777" w:rsidR="00F169E1" w:rsidRPr="00054A7A" w:rsidRDefault="00F169E1" w:rsidP="00F169E1">
      <w:pPr>
        <w:spacing w:after="0" w:line="360" w:lineRule="auto"/>
        <w:rPr>
          <w:rFonts w:eastAsia="Calibri" w:cs="Tahoma"/>
          <w:bCs/>
          <w:color w:val="auto"/>
        </w:rPr>
      </w:pPr>
    </w:p>
    <w:p w14:paraId="1BFABEAC" w14:textId="7A861285" w:rsidR="00F169E1" w:rsidRPr="00054A7A" w:rsidRDefault="00F169E1" w:rsidP="00F169E1">
      <w:pPr>
        <w:spacing w:after="0" w:line="360" w:lineRule="auto"/>
        <w:rPr>
          <w:rFonts w:eastAsia="Calibri" w:cs="Tahoma"/>
          <w:bCs/>
          <w:color w:val="auto"/>
        </w:rPr>
      </w:pPr>
      <w:r w:rsidRPr="00054A7A">
        <w:rPr>
          <w:rFonts w:eastAsia="Calibri" w:cs="Tahoma"/>
          <w:bCs/>
          <w:color w:val="auto"/>
        </w:rPr>
        <w:lastRenderedPageBreak/>
        <w:t xml:space="preserve">Al respecto, cabe precisar </w:t>
      </w:r>
      <w:proofErr w:type="gramStart"/>
      <w:r w:rsidRPr="00054A7A">
        <w:rPr>
          <w:rFonts w:eastAsia="Calibri" w:cs="Tahoma"/>
          <w:bCs/>
          <w:color w:val="auto"/>
        </w:rPr>
        <w:t>que</w:t>
      </w:r>
      <w:proofErr w:type="gramEnd"/>
      <w:r w:rsidRPr="00054A7A">
        <w:rPr>
          <w:rFonts w:eastAsia="Calibri" w:cs="Tahoma"/>
          <w:bCs/>
          <w:color w:val="auto"/>
        </w:rPr>
        <w:t xml:space="preserve"> en el presente caso, se trata de </w:t>
      </w:r>
      <w:r w:rsidR="00DB34B8">
        <w:rPr>
          <w:rFonts w:eastAsia="Calibri" w:cs="Tahoma"/>
          <w:bCs/>
          <w:color w:val="auto"/>
        </w:rPr>
        <w:t>testigos, en su calidad de</w:t>
      </w:r>
      <w:r w:rsidRPr="00054A7A">
        <w:rPr>
          <w:rFonts w:eastAsia="Calibri" w:cs="Tahoma"/>
          <w:bCs/>
          <w:color w:val="auto"/>
        </w:rPr>
        <w:t xml:space="preserve"> servidores públicos</w:t>
      </w:r>
      <w:r w:rsidR="00DB34B8">
        <w:rPr>
          <w:rFonts w:eastAsia="Calibri" w:cs="Tahoma"/>
          <w:bCs/>
          <w:color w:val="auto"/>
        </w:rPr>
        <w:t xml:space="preserve">; </w:t>
      </w:r>
      <w:r w:rsidRPr="00054A7A">
        <w:rPr>
          <w:rFonts w:eastAsia="Calibri" w:cs="Tahoma"/>
          <w:bCs/>
          <w:color w:val="auto"/>
        </w:rPr>
        <w:t xml:space="preserve">por lo que, si bien la firma es un dato personal confidencial, </w:t>
      </w:r>
      <w:r w:rsidR="00DB34B8">
        <w:rPr>
          <w:rFonts w:eastAsia="Calibri" w:cs="Tahoma"/>
          <w:bCs/>
          <w:color w:val="auto"/>
        </w:rPr>
        <w:t>lo cierto es que en el presente caso, acreditaron que la información señalada en el Acta, es correcta, por lo que,</w:t>
      </w:r>
      <w:r w:rsidRPr="00054A7A">
        <w:rPr>
          <w:rFonts w:eastAsia="Calibri" w:cs="Tahoma"/>
          <w:bCs/>
          <w:color w:val="auto"/>
        </w:rPr>
        <w:t xml:space="preserve"> es de naturaleza pública; lo anterior, pues la plasmó en cumplimiento a las obligaciones que le corresponden.</w:t>
      </w:r>
    </w:p>
    <w:p w14:paraId="7D717B63" w14:textId="77777777" w:rsidR="00F169E1" w:rsidRPr="00054A7A" w:rsidRDefault="00F169E1" w:rsidP="00F169E1">
      <w:pPr>
        <w:spacing w:after="0" w:line="360" w:lineRule="auto"/>
        <w:rPr>
          <w:rFonts w:eastAsia="Calibri" w:cs="Tahoma"/>
          <w:bCs/>
          <w:color w:val="auto"/>
        </w:rPr>
      </w:pPr>
    </w:p>
    <w:p w14:paraId="059779EF" w14:textId="04816BB6" w:rsidR="00F169E1" w:rsidRDefault="00F169E1" w:rsidP="00F169E1">
      <w:pPr>
        <w:spacing w:after="0" w:line="360" w:lineRule="auto"/>
        <w:rPr>
          <w:rFonts w:eastAsia="Calibri" w:cs="Tahoma"/>
          <w:bCs/>
          <w:color w:val="auto"/>
        </w:rPr>
      </w:pPr>
      <w:r w:rsidRPr="00054A7A">
        <w:rPr>
          <w:rFonts w:eastAsia="Calibri" w:cs="Tahoma"/>
          <w:bCs/>
          <w:color w:val="auto"/>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740DCE1A" w14:textId="77777777" w:rsidR="00DB34B8" w:rsidRPr="00054A7A" w:rsidRDefault="00DB34B8" w:rsidP="00F169E1">
      <w:pPr>
        <w:spacing w:after="0" w:line="360" w:lineRule="auto"/>
        <w:rPr>
          <w:rFonts w:eastAsia="Calibri" w:cs="Tahoma"/>
          <w:bCs/>
          <w:color w:val="auto"/>
        </w:rPr>
      </w:pPr>
    </w:p>
    <w:p w14:paraId="1F2D67C5" w14:textId="7081EBAC" w:rsidR="00F169E1" w:rsidRPr="00054A7A" w:rsidRDefault="00F169E1" w:rsidP="00F169E1">
      <w:pPr>
        <w:spacing w:after="0" w:line="360" w:lineRule="auto"/>
        <w:rPr>
          <w:rFonts w:eastAsia="Calibri" w:cs="Tahoma"/>
          <w:bCs/>
          <w:color w:val="auto"/>
        </w:rPr>
      </w:pPr>
      <w:r w:rsidRPr="00054A7A">
        <w:rPr>
          <w:rFonts w:eastAsia="Calibri" w:cs="Tahoma"/>
          <w:bCs/>
          <w:color w:val="auto"/>
        </w:rPr>
        <w:t xml:space="preserve">La publicidad de dicho </w:t>
      </w:r>
      <w:proofErr w:type="gramStart"/>
      <w:r w:rsidRPr="00054A7A">
        <w:rPr>
          <w:rFonts w:eastAsia="Calibri" w:cs="Tahoma"/>
          <w:bCs/>
          <w:color w:val="auto"/>
        </w:rPr>
        <w:t>dato,</w:t>
      </w:r>
      <w:proofErr w:type="gramEnd"/>
      <w:r w:rsidRPr="00054A7A">
        <w:rPr>
          <w:rFonts w:eastAsia="Calibri" w:cs="Tahoma"/>
          <w:bCs/>
          <w:color w:val="auto"/>
        </w:rPr>
        <w:t xml:space="preserve"> se robustece, con el criterio 02/19, emitido por el Instituto Nacional de Transparencia, Acceso a la Información y Protección de Datos Personales, que establece lo siguiente:</w:t>
      </w:r>
    </w:p>
    <w:p w14:paraId="2BF2AEE9" w14:textId="77777777" w:rsidR="00F169E1" w:rsidRPr="00054A7A" w:rsidRDefault="00F169E1" w:rsidP="00F169E1">
      <w:pPr>
        <w:spacing w:after="0" w:line="360" w:lineRule="auto"/>
        <w:rPr>
          <w:rFonts w:eastAsia="Calibri" w:cs="Tahoma"/>
          <w:bCs/>
          <w:color w:val="auto"/>
        </w:rPr>
      </w:pPr>
    </w:p>
    <w:p w14:paraId="182CD8EB" w14:textId="77777777" w:rsidR="00F169E1" w:rsidRPr="00054A7A" w:rsidRDefault="00F169E1" w:rsidP="00F169E1">
      <w:pPr>
        <w:spacing w:after="0" w:line="360" w:lineRule="auto"/>
        <w:ind w:left="567" w:right="567"/>
        <w:rPr>
          <w:rFonts w:eastAsia="Calibri" w:cs="Tahoma"/>
          <w:bCs/>
          <w:i/>
          <w:color w:val="auto"/>
          <w:sz w:val="20"/>
          <w:szCs w:val="20"/>
        </w:rPr>
      </w:pPr>
      <w:r w:rsidRPr="00054A7A">
        <w:rPr>
          <w:rFonts w:eastAsia="Calibri" w:cs="Tahoma"/>
          <w:b/>
          <w:bCs/>
          <w:i/>
          <w:color w:val="auto"/>
          <w:sz w:val="20"/>
          <w:szCs w:val="20"/>
        </w:rPr>
        <w:t>“Firma y rúbrica de servidores públicos.</w:t>
      </w:r>
      <w:r w:rsidRPr="00054A7A">
        <w:rPr>
          <w:rFonts w:eastAsia="Calibri" w:cs="Tahoma"/>
          <w:bCs/>
          <w:i/>
          <w:color w:val="auto"/>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B8A72A9" w14:textId="77777777" w:rsidR="00F169E1" w:rsidRPr="00054A7A" w:rsidRDefault="00F169E1" w:rsidP="00F169E1">
      <w:pPr>
        <w:spacing w:after="0" w:line="360" w:lineRule="auto"/>
        <w:rPr>
          <w:rFonts w:eastAsia="Calibri" w:cs="Tahoma"/>
          <w:bCs/>
          <w:color w:val="auto"/>
          <w:lang w:val="es-ES"/>
        </w:rPr>
      </w:pPr>
    </w:p>
    <w:p w14:paraId="595D7537" w14:textId="112DE22A" w:rsidR="00F169E1" w:rsidRPr="00054A7A" w:rsidRDefault="00F169E1" w:rsidP="00F169E1">
      <w:pPr>
        <w:spacing w:after="0" w:line="360" w:lineRule="auto"/>
        <w:rPr>
          <w:rFonts w:eastAsia="Calibri" w:cs="Tahoma"/>
          <w:bCs/>
          <w:color w:val="auto"/>
          <w:lang w:val="es-ES"/>
        </w:rPr>
      </w:pPr>
      <w:r w:rsidRPr="00054A7A">
        <w:rPr>
          <w:rFonts w:eastAsia="Calibri" w:cs="Tahoma"/>
          <w:bCs/>
          <w:color w:val="auto"/>
          <w:lang w:val="es-ES"/>
        </w:rPr>
        <w:t>Conforme a lo expuesto, no procede la clasificación, en términos del artículo 143, fracción I de la Ley de Transparencia y Acceso a la Información Pública del Estado de México y Municipios, de la firma de los servidores públicos</w:t>
      </w:r>
      <w:r w:rsidR="00DB34B8">
        <w:rPr>
          <w:rFonts w:eastAsia="Calibri" w:cs="Tahoma"/>
          <w:bCs/>
          <w:color w:val="auto"/>
          <w:lang w:val="es-ES"/>
        </w:rPr>
        <w:t xml:space="preserve"> que fungieron como testigos.</w:t>
      </w:r>
    </w:p>
    <w:p w14:paraId="3BE8DCA4" w14:textId="77777777" w:rsidR="00013773" w:rsidRDefault="00013773" w:rsidP="00AD62BD">
      <w:pPr>
        <w:spacing w:after="0" w:line="360" w:lineRule="auto"/>
        <w:rPr>
          <w:rFonts w:eastAsia="Times New Roman" w:cs="Tahoma"/>
          <w:color w:val="0D0D0D" w:themeColor="text1" w:themeTint="F2"/>
          <w:lang w:val="es-ES" w:eastAsia="es-ES"/>
        </w:rPr>
      </w:pPr>
    </w:p>
    <w:p w14:paraId="731E377E" w14:textId="61A5E33C" w:rsidR="00EC2202" w:rsidRPr="00DB34B8" w:rsidRDefault="00DB34B8" w:rsidP="00AD62BD">
      <w:pPr>
        <w:spacing w:after="0" w:line="360" w:lineRule="auto"/>
        <w:rPr>
          <w:rFonts w:cs="Tahoma"/>
          <w:bCs/>
        </w:rPr>
      </w:pPr>
      <w:r>
        <w:rPr>
          <w:rFonts w:cs="Tahoma"/>
          <w:bCs/>
        </w:rPr>
        <w:t>En ese orden de ideas, se puede advertir que el Sujeto Obligado clasificó datos de naturaleza pública, tales como, el nombre de testigos (servidores públicos) y la firma de servidores público</w:t>
      </w:r>
      <w:r w:rsidR="00B542BD">
        <w:rPr>
          <w:rFonts w:cs="Tahoma"/>
          <w:bCs/>
        </w:rPr>
        <w:t xml:space="preserve">s, lo cual da como resultado que el agravio sea </w:t>
      </w:r>
      <w:r w:rsidR="00B542BD" w:rsidRPr="00B542BD">
        <w:rPr>
          <w:rFonts w:cs="Tahoma"/>
          <w:b/>
        </w:rPr>
        <w:t>FUNDADO</w:t>
      </w:r>
      <w:r>
        <w:rPr>
          <w:rFonts w:cs="Tahoma"/>
          <w:bCs/>
        </w:rPr>
        <w:t xml:space="preserve">; por lo que, en el presente caso, para dar por atendido el requerimiento de información, deberá proporcionarlos en versión pública, en donde únicamente podrá clasificar el nombre y firma de los testigos </w:t>
      </w:r>
      <w:r>
        <w:rPr>
          <w:rFonts w:cs="Tahoma"/>
          <w:bCs/>
        </w:rPr>
        <w:lastRenderedPageBreak/>
        <w:t>particulares,</w:t>
      </w:r>
      <w:r w:rsidR="00DA3DB6">
        <w:rPr>
          <w:rFonts w:cs="Tahoma"/>
          <w:bCs/>
        </w:rPr>
        <w:t xml:space="preserve"> el domicilio particular y para recibir notificaciones,</w:t>
      </w:r>
      <w:r>
        <w:rPr>
          <w:rFonts w:cs="Tahoma"/>
          <w:bCs/>
        </w:rPr>
        <w:t xml:space="preserve"> </w:t>
      </w:r>
      <w:r w:rsidR="00DA3DB6">
        <w:rPr>
          <w:rFonts w:cs="Tahoma"/>
          <w:bCs/>
        </w:rPr>
        <w:t xml:space="preserve">la </w:t>
      </w:r>
      <w:r>
        <w:rPr>
          <w:rFonts w:cs="Tahoma"/>
          <w:bCs/>
        </w:rPr>
        <w:t>Clave Única de Registro de Población,</w:t>
      </w:r>
      <w:r w:rsidR="00DA3DB6">
        <w:rPr>
          <w:rFonts w:cs="Tahoma"/>
          <w:bCs/>
        </w:rPr>
        <w:t xml:space="preserve"> el</w:t>
      </w:r>
      <w:r>
        <w:rPr>
          <w:rFonts w:cs="Tahoma"/>
          <w:bCs/>
        </w:rPr>
        <w:t xml:space="preserve"> Registro Federal de Contribuyentes</w:t>
      </w:r>
      <w:r w:rsidR="00DA3DB6">
        <w:rPr>
          <w:rFonts w:cs="Tahoma"/>
          <w:bCs/>
        </w:rPr>
        <w:t>, la Clave Bidimensional o QR y la clave de elector</w:t>
      </w:r>
      <w:r w:rsidR="00B542BD">
        <w:rPr>
          <w:rFonts w:cs="Tahoma"/>
          <w:bCs/>
        </w:rPr>
        <w:t>.</w:t>
      </w:r>
    </w:p>
    <w:p w14:paraId="686D9800" w14:textId="77777777" w:rsidR="00EC2202" w:rsidRDefault="00EC2202" w:rsidP="00AD62BD">
      <w:pPr>
        <w:spacing w:after="0" w:line="360" w:lineRule="auto"/>
        <w:rPr>
          <w:rFonts w:cs="Tahoma"/>
          <w:b/>
        </w:rPr>
      </w:pPr>
    </w:p>
    <w:p w14:paraId="3CE08679" w14:textId="77777777" w:rsidR="0038233A" w:rsidRPr="0038233A" w:rsidRDefault="0038233A" w:rsidP="00AD62BD">
      <w:pPr>
        <w:spacing w:after="0" w:line="360" w:lineRule="auto"/>
        <w:rPr>
          <w:rFonts w:eastAsia="Times New Roman" w:cs="Tahoma"/>
          <w:bCs/>
          <w:color w:val="auto"/>
          <w:lang w:val="es-ES" w:eastAsia="es-ES"/>
        </w:rPr>
      </w:pPr>
      <w:r w:rsidRPr="0038233A">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C93AD3F" w14:textId="77777777" w:rsidR="0038233A" w:rsidRPr="0038233A" w:rsidRDefault="0038233A" w:rsidP="00AD62BD">
      <w:pPr>
        <w:spacing w:after="0" w:line="360" w:lineRule="auto"/>
        <w:rPr>
          <w:rFonts w:eastAsia="Times New Roman" w:cs="Tahoma"/>
          <w:iCs/>
          <w:color w:val="auto"/>
          <w:lang w:val="es-ES_tradnl" w:eastAsia="es-ES"/>
        </w:rPr>
      </w:pPr>
    </w:p>
    <w:p w14:paraId="186A02D6" w14:textId="46F933D2" w:rsidR="0038233A" w:rsidRPr="0038233A" w:rsidRDefault="0038233A" w:rsidP="00AD62BD">
      <w:pPr>
        <w:spacing w:after="0" w:line="360" w:lineRule="auto"/>
        <w:rPr>
          <w:rFonts w:eastAsia="Batang" w:cs="Tahoma"/>
          <w:b/>
          <w:bCs/>
          <w:color w:val="auto"/>
          <w:lang w:val="es-ES" w:eastAsia="es-ES"/>
        </w:rPr>
      </w:pPr>
      <w:r w:rsidRPr="0038233A">
        <w:rPr>
          <w:rFonts w:eastAsia="Batang" w:cs="Tahoma"/>
          <w:b/>
          <w:bCs/>
          <w:color w:val="auto"/>
          <w:lang w:val="es-ES" w:eastAsia="es-ES"/>
        </w:rPr>
        <w:t>SEXTO. Decisión.</w:t>
      </w:r>
      <w:r w:rsidR="00932C12">
        <w:rPr>
          <w:rFonts w:eastAsia="Batang" w:cs="Tahoma"/>
          <w:b/>
          <w:bCs/>
          <w:color w:val="auto"/>
          <w:lang w:val="es-ES" w:eastAsia="es-ES"/>
        </w:rPr>
        <w:t xml:space="preserve"> </w:t>
      </w:r>
    </w:p>
    <w:p w14:paraId="35FB8104" w14:textId="77777777" w:rsidR="0038233A" w:rsidRPr="0038233A" w:rsidRDefault="0038233A" w:rsidP="00AD62BD">
      <w:pPr>
        <w:spacing w:after="0" w:line="360" w:lineRule="auto"/>
        <w:rPr>
          <w:rFonts w:eastAsia="Batang" w:cs="Tahoma"/>
          <w:b/>
          <w:bCs/>
          <w:color w:val="auto"/>
          <w:lang w:val="es-ES" w:eastAsia="es-ES"/>
        </w:rPr>
      </w:pPr>
    </w:p>
    <w:p w14:paraId="0C9155EA" w14:textId="7F7F585E" w:rsidR="0038233A" w:rsidRPr="0038233A" w:rsidRDefault="0038233A" w:rsidP="00AD62BD">
      <w:pPr>
        <w:spacing w:after="0" w:line="360" w:lineRule="auto"/>
        <w:rPr>
          <w:rFonts w:eastAsia="Times New Roman" w:cs="Tahoma"/>
          <w:bCs/>
          <w:color w:val="auto"/>
          <w:lang w:val="es-ES_tradnl" w:eastAsia="es-ES"/>
        </w:rPr>
      </w:pPr>
      <w:r w:rsidRPr="0038233A">
        <w:rPr>
          <w:rFonts w:eastAsia="Times New Roman" w:cs="Tahoma"/>
          <w:color w:val="auto"/>
          <w:lang w:val="es-ES_tradnl" w:eastAsia="es-ES"/>
        </w:rPr>
        <w:t xml:space="preserve">Con fundamento en el artículo 186, fracción III, de la Ley de Transparencia y Acceso a la Información Pública del Estado de México y Municipios, este Instituto considera procedente </w:t>
      </w:r>
      <w:r w:rsidR="00932C12">
        <w:rPr>
          <w:rFonts w:eastAsia="Times New Roman" w:cs="Tahoma"/>
          <w:b/>
          <w:color w:val="auto"/>
          <w:lang w:val="es-ES_tradnl" w:eastAsia="es-ES"/>
        </w:rPr>
        <w:t>MODIFICAR</w:t>
      </w:r>
      <w:r w:rsidRPr="0038233A">
        <w:rPr>
          <w:rFonts w:eastAsia="Times New Roman" w:cs="Tahoma"/>
          <w:b/>
          <w:color w:val="auto"/>
          <w:lang w:val="es-ES_tradnl" w:eastAsia="es-ES"/>
        </w:rPr>
        <w:t xml:space="preserve"> </w:t>
      </w:r>
      <w:r w:rsidRPr="0038233A">
        <w:rPr>
          <w:rFonts w:eastAsia="Times New Roman" w:cs="Tahoma"/>
          <w:color w:val="auto"/>
          <w:lang w:val="es-ES_tradnl" w:eastAsia="es-ES"/>
        </w:rPr>
        <w:t xml:space="preserve">la respuesta otorgada por el Sujeto Obligado, a la solicitud de acceso a la información </w:t>
      </w:r>
      <w:r w:rsidR="00932C12" w:rsidRPr="00932C12">
        <w:rPr>
          <w:rFonts w:eastAsia="Times New Roman" w:cs="Tahoma"/>
          <w:color w:val="0D0D0D" w:themeColor="text1" w:themeTint="F2"/>
          <w:lang w:val="es-ES_tradnl" w:eastAsia="es-ES"/>
        </w:rPr>
        <w:t>00014/TENANCIN/IP/2022</w:t>
      </w:r>
      <w:r w:rsidRPr="0038233A">
        <w:rPr>
          <w:rFonts w:eastAsia="Times New Roman" w:cs="Tahoma"/>
          <w:color w:val="auto"/>
          <w:lang w:val="es-ES_tradnl" w:eastAsia="es-ES"/>
        </w:rPr>
        <w:t xml:space="preserve">, </w:t>
      </w:r>
      <w:r w:rsidRPr="0038233A">
        <w:rPr>
          <w:rFonts w:eastAsia="Times New Roman" w:cs="Tahoma"/>
          <w:bCs/>
          <w:color w:val="auto"/>
          <w:lang w:val="es-ES_tradnl" w:eastAsia="es-ES"/>
        </w:rPr>
        <w:t>a efecto de que, entregue,</w:t>
      </w:r>
      <w:r w:rsidRPr="0038233A">
        <w:rPr>
          <w:rFonts w:ascii="Times New Roman" w:eastAsia="Times New Roman" w:hAnsi="Times New Roman" w:cs="Times New Roman"/>
          <w:color w:val="auto"/>
          <w:sz w:val="20"/>
          <w:szCs w:val="20"/>
          <w:lang w:val="es-ES_tradnl" w:eastAsia="es-ES"/>
        </w:rPr>
        <w:t xml:space="preserve"> </w:t>
      </w:r>
      <w:r w:rsidRPr="0038233A">
        <w:rPr>
          <w:rFonts w:eastAsia="Times New Roman" w:cs="Tahoma"/>
          <w:bCs/>
          <w:color w:val="auto"/>
          <w:lang w:val="es-ES_tradnl" w:eastAsia="es-ES"/>
        </w:rPr>
        <w:t xml:space="preserve">a través del Sistema de Acceso a la Información Mexiquense (SAIMEX), </w:t>
      </w:r>
      <w:r w:rsidR="00DA3DB6">
        <w:rPr>
          <w:rFonts w:eastAsia="Times New Roman" w:cs="Tahoma"/>
          <w:bCs/>
          <w:color w:val="auto"/>
          <w:lang w:val="es-ES_tradnl" w:eastAsia="es-ES"/>
        </w:rPr>
        <w:t>en</w:t>
      </w:r>
      <w:r w:rsidR="00932C12">
        <w:rPr>
          <w:rFonts w:eastAsia="Times New Roman" w:cs="Tahoma"/>
          <w:bCs/>
          <w:color w:val="auto"/>
          <w:lang w:val="es-ES_tradnl" w:eastAsia="es-ES"/>
        </w:rPr>
        <w:t xml:space="preserve"> </w:t>
      </w:r>
      <w:r w:rsidRPr="0038233A">
        <w:rPr>
          <w:rFonts w:eastAsia="Times New Roman" w:cs="Tahoma"/>
          <w:bCs/>
          <w:color w:val="auto"/>
          <w:lang w:val="es-ES_tradnl" w:eastAsia="es-ES"/>
        </w:rPr>
        <w:t>versión pública, las Actas de Entrega-Recepción</w:t>
      </w:r>
      <w:r w:rsidR="00DA3DB6">
        <w:rPr>
          <w:rFonts w:eastAsia="Times New Roman" w:cs="Tahoma"/>
          <w:bCs/>
          <w:color w:val="auto"/>
          <w:lang w:val="es-ES_tradnl" w:eastAsia="es-ES"/>
        </w:rPr>
        <w:t xml:space="preserve"> proporcionadas en respuesta</w:t>
      </w:r>
      <w:r w:rsidR="00932C12">
        <w:rPr>
          <w:rFonts w:eastAsia="Times New Roman" w:cs="Tahoma"/>
          <w:bCs/>
          <w:color w:val="auto"/>
          <w:lang w:val="es-ES_tradnl" w:eastAsia="es-ES"/>
        </w:rPr>
        <w:t>.</w:t>
      </w:r>
    </w:p>
    <w:p w14:paraId="3E99B538" w14:textId="77777777" w:rsidR="0038233A" w:rsidRPr="0038233A" w:rsidRDefault="0038233A" w:rsidP="00AD62BD">
      <w:pPr>
        <w:spacing w:after="0" w:line="360" w:lineRule="auto"/>
        <w:rPr>
          <w:rFonts w:eastAsia="Times New Roman" w:cs="Tahoma"/>
          <w:bCs/>
          <w:color w:val="auto"/>
          <w:lang w:val="es-ES_tradnl" w:eastAsia="es-ES"/>
        </w:rPr>
      </w:pPr>
    </w:p>
    <w:p w14:paraId="29C9FC90" w14:textId="340B6351" w:rsidR="0038233A" w:rsidRPr="0038233A" w:rsidRDefault="0038233A" w:rsidP="00AD62BD">
      <w:pPr>
        <w:autoSpaceDE w:val="0"/>
        <w:autoSpaceDN w:val="0"/>
        <w:adjustRightInd w:val="0"/>
        <w:spacing w:after="0" w:line="360" w:lineRule="auto"/>
        <w:rPr>
          <w:rFonts w:eastAsia="Calibri" w:cs="Tahoma"/>
          <w:bCs/>
          <w:iCs/>
          <w:color w:val="000000"/>
          <w:lang w:val="es-ES_tradnl"/>
        </w:rPr>
      </w:pPr>
      <w:r w:rsidRPr="0038233A">
        <w:rPr>
          <w:rFonts w:eastAsia="Calibri" w:cs="Tahoma"/>
          <w:bCs/>
          <w:iCs/>
          <w:color w:val="000000"/>
          <w:lang w:val="es-ES_tradnl"/>
        </w:rPr>
        <w:t xml:space="preserve">Además, deberá proporcionar el Acuerdo de Clasificación donde el Comité de Transparencia, confirme la eliminación de los datos </w:t>
      </w:r>
      <w:r w:rsidR="00DA3DB6">
        <w:rPr>
          <w:rFonts w:eastAsia="Calibri" w:cs="Tahoma"/>
          <w:bCs/>
          <w:iCs/>
          <w:color w:val="000000"/>
          <w:lang w:val="es-ES_tradnl"/>
        </w:rPr>
        <w:t>clasificados</w:t>
      </w:r>
      <w:r w:rsidRPr="0038233A">
        <w:rPr>
          <w:rFonts w:eastAsia="Calibri" w:cs="Tahoma"/>
          <w:bCs/>
          <w:iCs/>
          <w:color w:val="000000"/>
          <w:lang w:val="es-ES_tradnl"/>
        </w:rPr>
        <w:t>, en la versión pública, de conformidad con los artículos 49, fracciones II y VIII</w:t>
      </w:r>
      <w:r w:rsidR="00DA3DB6">
        <w:rPr>
          <w:rFonts w:eastAsia="Calibri" w:cs="Tahoma"/>
          <w:bCs/>
          <w:iCs/>
          <w:color w:val="000000"/>
          <w:lang w:val="es-ES_tradnl"/>
        </w:rPr>
        <w:t>,</w:t>
      </w:r>
      <w:r w:rsidRPr="0038233A">
        <w:rPr>
          <w:rFonts w:eastAsia="Calibri" w:cs="Tahoma"/>
          <w:bCs/>
          <w:iCs/>
          <w:color w:val="000000"/>
          <w:lang w:val="es-ES_tradnl"/>
        </w:rPr>
        <w:t xml:space="preserve"> 132, fracción II</w:t>
      </w:r>
      <w:r w:rsidR="00DA3DB6">
        <w:rPr>
          <w:rFonts w:eastAsia="Calibri" w:cs="Tahoma"/>
          <w:bCs/>
          <w:iCs/>
          <w:color w:val="000000"/>
          <w:lang w:val="es-ES_tradnl"/>
        </w:rPr>
        <w:t>, y 149</w:t>
      </w:r>
      <w:r w:rsidRPr="0038233A">
        <w:rPr>
          <w:rFonts w:eastAsia="Calibri" w:cs="Tahoma"/>
          <w:bCs/>
          <w:iCs/>
          <w:color w:val="000000"/>
          <w:lang w:val="es-ES_tradnl"/>
        </w:rPr>
        <w:t xml:space="preserve"> de la Ley de Transparencia y Acceso a la Información Pública del Estado de México y Municipios.</w:t>
      </w:r>
    </w:p>
    <w:p w14:paraId="44EAE446" w14:textId="77777777" w:rsidR="0038233A" w:rsidRPr="0038233A" w:rsidRDefault="0038233A" w:rsidP="00AD62BD">
      <w:pPr>
        <w:spacing w:after="0" w:line="360" w:lineRule="auto"/>
        <w:rPr>
          <w:rFonts w:eastAsia="Batang" w:cs="Tahoma"/>
          <w:bCs/>
          <w:color w:val="auto"/>
          <w:lang w:val="es-ES" w:eastAsia="es-ES"/>
        </w:rPr>
      </w:pPr>
    </w:p>
    <w:p w14:paraId="0244219B" w14:textId="77777777" w:rsidR="0038233A" w:rsidRPr="0038233A" w:rsidRDefault="0038233A" w:rsidP="00AD62BD">
      <w:pPr>
        <w:spacing w:after="0" w:line="360" w:lineRule="auto"/>
        <w:rPr>
          <w:rFonts w:eastAsia="Batang" w:cs="Tahoma"/>
          <w:b/>
          <w:bCs/>
          <w:color w:val="auto"/>
          <w:lang w:val="es-ES" w:eastAsia="es-ES"/>
        </w:rPr>
      </w:pPr>
      <w:r w:rsidRPr="0038233A">
        <w:rPr>
          <w:rFonts w:eastAsia="Batang" w:cs="Tahoma"/>
          <w:b/>
          <w:bCs/>
          <w:color w:val="auto"/>
          <w:lang w:val="es-ES" w:eastAsia="es-ES"/>
        </w:rPr>
        <w:t>Términos de la resolución para el Particular.</w:t>
      </w:r>
    </w:p>
    <w:p w14:paraId="0AC9F86D" w14:textId="77777777" w:rsidR="0038233A" w:rsidRPr="0038233A" w:rsidRDefault="0038233A" w:rsidP="00AD62BD">
      <w:pPr>
        <w:spacing w:after="0" w:line="360" w:lineRule="auto"/>
        <w:contextualSpacing/>
        <w:rPr>
          <w:rFonts w:eastAsia="Times New Roman" w:cs="Times New Roman"/>
          <w:b/>
          <w:bCs/>
          <w:color w:val="auto"/>
          <w:lang w:val="es-ES_tradnl" w:eastAsia="es-ES"/>
        </w:rPr>
      </w:pPr>
    </w:p>
    <w:p w14:paraId="16E9FABF" w14:textId="455CBC2B" w:rsidR="0038233A" w:rsidRPr="0038233A" w:rsidRDefault="0038233A" w:rsidP="00AD62BD">
      <w:pPr>
        <w:spacing w:after="0" w:line="360" w:lineRule="auto"/>
        <w:contextualSpacing/>
        <w:rPr>
          <w:rFonts w:eastAsia="Times New Roman" w:cs="Tahoma"/>
          <w:b/>
          <w:color w:val="auto"/>
          <w:lang w:val="es-ES" w:eastAsia="es-ES"/>
        </w:rPr>
      </w:pPr>
      <w:r w:rsidRPr="0038233A">
        <w:rPr>
          <w:rFonts w:eastAsia="Times New Roman" w:cs="Times New Roman"/>
          <w:color w:val="auto"/>
          <w:lang w:val="es-ES_tradnl" w:eastAsia="es-ES"/>
        </w:rPr>
        <w:t>Se le hace del conocimiento al ahora Recurrente que, en el presente caso, se le da la razón, dado que el Sujeto Obligado</w:t>
      </w:r>
      <w:r w:rsidR="00157C2F">
        <w:rPr>
          <w:rFonts w:eastAsia="Times New Roman" w:cs="Times New Roman"/>
          <w:color w:val="auto"/>
          <w:lang w:val="es-ES_tradnl" w:eastAsia="es-ES"/>
        </w:rPr>
        <w:t xml:space="preserve"> </w:t>
      </w:r>
      <w:r w:rsidR="00B542BD">
        <w:rPr>
          <w:rFonts w:eastAsia="Times New Roman" w:cs="Times New Roman"/>
          <w:color w:val="auto"/>
          <w:lang w:val="es-ES_tradnl" w:eastAsia="es-ES"/>
        </w:rPr>
        <w:t xml:space="preserve">si bien entrego los documentos solicitados, lo cierto es que, los </w:t>
      </w:r>
      <w:r w:rsidR="00B542BD">
        <w:rPr>
          <w:rFonts w:eastAsia="Times New Roman" w:cs="Times New Roman"/>
          <w:color w:val="auto"/>
          <w:lang w:val="es-ES_tradnl" w:eastAsia="es-ES"/>
        </w:rPr>
        <w:lastRenderedPageBreak/>
        <w:t>proporcionó clasificando datos de naturaleza pública, por lo que, deberá entregarlos en una correcta versión pública.</w:t>
      </w:r>
      <w:r w:rsidR="00AF5626">
        <w:rPr>
          <w:rFonts w:eastAsia="Times New Roman" w:cs="Times New Roman"/>
          <w:color w:val="auto"/>
          <w:lang w:val="es-ES_tradnl" w:eastAsia="es-ES"/>
        </w:rPr>
        <w:t xml:space="preserve"> </w:t>
      </w:r>
      <w:r w:rsidRPr="0038233A">
        <w:rPr>
          <w:rFonts w:eastAsia="Calibri" w:cs="Tahoma"/>
          <w:bCs/>
          <w:iCs/>
          <w:color w:val="auto"/>
          <w:lang w:val="es-ES_tradnl"/>
        </w:rPr>
        <w:t xml:space="preserve">Finalmente, la labor </w:t>
      </w:r>
      <w:r w:rsidR="00AF5626">
        <w:rPr>
          <w:rFonts w:eastAsia="Calibri" w:cs="Tahoma"/>
          <w:bCs/>
          <w:iCs/>
          <w:color w:val="auto"/>
          <w:lang w:val="es-ES_tradnl"/>
        </w:rPr>
        <w:t xml:space="preserve">del </w:t>
      </w:r>
      <w:proofErr w:type="gramStart"/>
      <w:r w:rsidR="00AF5626">
        <w:rPr>
          <w:rFonts w:eastAsia="Calibri" w:cs="Tahoma"/>
          <w:bCs/>
          <w:iCs/>
          <w:color w:val="auto"/>
          <w:lang w:val="es-ES_tradnl"/>
        </w:rPr>
        <w:t>Instituto</w:t>
      </w:r>
      <w:r w:rsidRPr="0038233A">
        <w:rPr>
          <w:rFonts w:eastAsia="Calibri" w:cs="Tahoma"/>
          <w:bCs/>
          <w:iCs/>
          <w:color w:val="auto"/>
          <w:lang w:val="es-ES_tradnl"/>
        </w:rPr>
        <w:t>,</w:t>
      </w:r>
      <w:proofErr w:type="gramEnd"/>
      <w:r w:rsidRPr="0038233A">
        <w:rPr>
          <w:rFonts w:eastAsia="Calibri" w:cs="Tahoma"/>
          <w:bCs/>
          <w:iCs/>
          <w:color w:val="auto"/>
          <w:lang w:val="es-ES_tradnl"/>
        </w:rPr>
        <w:t xml:space="preserve"> es apoyar a la población a acceder a la información pública y garantizar la protección de los datos personales.</w:t>
      </w:r>
    </w:p>
    <w:p w14:paraId="294533A0" w14:textId="11A1149C" w:rsidR="0038233A" w:rsidRDefault="0038233A" w:rsidP="00AD62BD">
      <w:pPr>
        <w:spacing w:after="0" w:line="360" w:lineRule="auto"/>
        <w:rPr>
          <w:rFonts w:eastAsia="Batang" w:cs="Tahoma"/>
          <w:bCs/>
          <w:color w:val="auto"/>
          <w:lang w:val="es-ES" w:eastAsia="es-ES"/>
        </w:rPr>
      </w:pPr>
    </w:p>
    <w:p w14:paraId="0BECF251" w14:textId="77777777" w:rsidR="00A81572" w:rsidRPr="00A81572" w:rsidRDefault="00A81572" w:rsidP="00A81572">
      <w:pPr>
        <w:spacing w:after="0" w:line="360" w:lineRule="auto"/>
        <w:ind w:right="-28"/>
        <w:rPr>
          <w:rFonts w:eastAsia="Calibri" w:cs="Tahoma"/>
          <w:b/>
          <w:bCs/>
          <w:iCs/>
          <w:color w:val="auto"/>
          <w:lang w:val="es-ES"/>
        </w:rPr>
      </w:pPr>
      <w:r w:rsidRPr="00A81572">
        <w:rPr>
          <w:rFonts w:eastAsia="Calibri" w:cs="Tahoma"/>
          <w:b/>
          <w:bCs/>
          <w:iCs/>
          <w:color w:val="auto"/>
          <w:lang w:val="es-ES"/>
        </w:rPr>
        <w:t xml:space="preserve">SÉPTIMO. </w:t>
      </w:r>
      <w:r w:rsidRPr="00A81572">
        <w:rPr>
          <w:rFonts w:eastAsia="Calibri" w:cs="Tahoma"/>
          <w:b/>
          <w:bCs/>
          <w:iCs/>
          <w:color w:val="auto"/>
        </w:rPr>
        <w:t>Vista a la Contraloría Interna y Órgano de Control y Vigilancia.</w:t>
      </w:r>
    </w:p>
    <w:p w14:paraId="1C18D5BC" w14:textId="77777777" w:rsidR="00A81572" w:rsidRPr="00A81572" w:rsidRDefault="00A81572" w:rsidP="00A81572">
      <w:pPr>
        <w:spacing w:after="0" w:line="360" w:lineRule="auto"/>
        <w:ind w:right="-28"/>
        <w:rPr>
          <w:rFonts w:eastAsia="Calibri" w:cs="Tahoma"/>
          <w:b/>
          <w:bCs/>
          <w:iCs/>
          <w:color w:val="auto"/>
          <w:lang w:val="es-ES"/>
        </w:rPr>
      </w:pPr>
    </w:p>
    <w:p w14:paraId="7FCC4BA2" w14:textId="71915550" w:rsidR="00A81572" w:rsidRPr="00A81572" w:rsidRDefault="00A81572" w:rsidP="00A81572">
      <w:pPr>
        <w:spacing w:after="0" w:line="360" w:lineRule="auto"/>
        <w:ind w:right="-28"/>
        <w:rPr>
          <w:rFonts w:eastAsia="Calibri" w:cs="Tahoma"/>
          <w:bCs/>
          <w:iCs/>
          <w:color w:val="auto"/>
          <w:lang w:val="es-ES"/>
        </w:rPr>
      </w:pPr>
      <w:r w:rsidRPr="00A81572">
        <w:rPr>
          <w:rFonts w:eastAsia="Calibri" w:cs="Tahoma"/>
          <w:bCs/>
          <w:iCs/>
          <w:color w:val="auto"/>
          <w:lang w:val="es-ES"/>
        </w:rPr>
        <w:t xml:space="preserve">Ahora bien, de la revisión de las constancias que obran en el expediente, se logra advertir que el Sujeto Obligado entregó en respuesta información de naturaleza confidencial, </w:t>
      </w:r>
      <w:r>
        <w:rPr>
          <w:rFonts w:eastAsia="Calibri" w:cs="Tahoma"/>
          <w:bCs/>
          <w:iCs/>
          <w:color w:val="auto"/>
          <w:lang w:val="es-ES"/>
        </w:rPr>
        <w:t xml:space="preserve">tal como la Clave de elector o número de credencial para </w:t>
      </w:r>
      <w:proofErr w:type="spellStart"/>
      <w:r>
        <w:rPr>
          <w:rFonts w:eastAsia="Calibri" w:cs="Tahoma"/>
          <w:bCs/>
          <w:iCs/>
          <w:color w:val="auto"/>
          <w:lang w:val="es-ES"/>
        </w:rPr>
        <w:t>bvotar</w:t>
      </w:r>
      <w:proofErr w:type="spellEnd"/>
      <w:r w:rsidRPr="00A81572">
        <w:rPr>
          <w:rFonts w:eastAsia="Calibri" w:cs="Tahoma"/>
          <w:bCs/>
          <w:iCs/>
          <w:color w:val="auto"/>
        </w:rPr>
        <w:t xml:space="preserve">, siendo datos </w:t>
      </w:r>
      <w:r w:rsidRPr="00A81572">
        <w:rPr>
          <w:rFonts w:eastAsia="Calibri" w:cs="Tahoma"/>
          <w:bCs/>
          <w:iCs/>
          <w:color w:val="auto"/>
          <w:lang w:val="es-ES"/>
        </w:rPr>
        <w:t>de carácter personal</w:t>
      </w:r>
      <w:r w:rsidRPr="00A81572">
        <w:rPr>
          <w:rFonts w:eastAsia="Calibri" w:cs="Tahoma"/>
          <w:bCs/>
          <w:iCs/>
          <w:color w:val="auto"/>
        </w:rPr>
        <w:t xml:space="preserve">, circunstancia que </w:t>
      </w:r>
      <w:r w:rsidRPr="00A81572">
        <w:rPr>
          <w:rFonts w:eastAsia="Calibri" w:cs="Tahoma"/>
          <w:bCs/>
          <w:iCs/>
          <w:color w:val="auto"/>
          <w:lang w:val="es-ES"/>
        </w:rPr>
        <w:t>transgrede lo establecido en el artículo 143, fracción I, de la Ley de Transparencia y Acceso a la Información Pública del Estado de México y Municipios.</w:t>
      </w:r>
    </w:p>
    <w:p w14:paraId="5B7E8AD9" w14:textId="77777777" w:rsidR="00A81572" w:rsidRPr="00A81572" w:rsidRDefault="00A81572" w:rsidP="00A81572">
      <w:pPr>
        <w:spacing w:after="0" w:line="360" w:lineRule="auto"/>
        <w:ind w:right="-28"/>
        <w:rPr>
          <w:rFonts w:eastAsia="Calibri" w:cs="Tahoma"/>
          <w:b/>
          <w:bCs/>
          <w:iCs/>
          <w:color w:val="auto"/>
          <w:lang w:val="es-ES"/>
        </w:rPr>
      </w:pPr>
    </w:p>
    <w:p w14:paraId="20A1908F" w14:textId="77777777" w:rsidR="00A81572" w:rsidRPr="00A81572" w:rsidRDefault="00A81572" w:rsidP="00A81572">
      <w:pPr>
        <w:spacing w:after="0" w:line="360" w:lineRule="auto"/>
        <w:ind w:right="-28"/>
        <w:rPr>
          <w:rFonts w:eastAsia="Calibri" w:cs="Tahoma"/>
          <w:bCs/>
          <w:iCs/>
          <w:color w:val="auto"/>
          <w:lang w:val="es-ES"/>
        </w:rPr>
      </w:pPr>
      <w:r w:rsidRPr="00A81572">
        <w:rPr>
          <w:rFonts w:eastAsia="Calibri" w:cs="Tahoma"/>
          <w:bCs/>
          <w:iCs/>
          <w:color w:val="auto"/>
          <w:lang w:val="es-E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al Contralor Interno y Titular del Órgano de Control y Vigilancia de este Instituto. En ese contexto,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 </w:t>
      </w:r>
    </w:p>
    <w:p w14:paraId="71337CBD" w14:textId="77777777" w:rsidR="00A81572" w:rsidRPr="00A81572" w:rsidRDefault="00A81572" w:rsidP="00A81572">
      <w:pPr>
        <w:spacing w:after="0" w:line="360" w:lineRule="auto"/>
        <w:ind w:right="-28"/>
        <w:rPr>
          <w:rFonts w:eastAsia="Calibri" w:cs="Tahoma"/>
          <w:bCs/>
          <w:iCs/>
          <w:color w:val="auto"/>
          <w:lang w:val="es-ES"/>
        </w:rPr>
      </w:pPr>
    </w:p>
    <w:p w14:paraId="5F4540BD" w14:textId="77777777" w:rsidR="00A81572" w:rsidRPr="00A81572" w:rsidRDefault="00A81572" w:rsidP="00A81572">
      <w:pPr>
        <w:spacing w:after="0" w:line="360" w:lineRule="auto"/>
        <w:ind w:right="-28"/>
        <w:rPr>
          <w:rFonts w:eastAsia="Calibri" w:cs="Tahoma"/>
          <w:bCs/>
          <w:iCs/>
          <w:color w:val="auto"/>
          <w:lang w:val="es-ES"/>
        </w:rPr>
      </w:pPr>
      <w:r w:rsidRPr="00A81572">
        <w:rPr>
          <w:rFonts w:eastAsia="Calibri" w:cs="Tahoma"/>
          <w:bCs/>
          <w:iCs/>
          <w:color w:val="auto"/>
          <w:lang w:val="es-ES"/>
        </w:rPr>
        <w:t>En ese sentido, de conformidad con lo previsto en el artículo 222, fracción V, de dicho ordenamiento, son causas de responsabilidad administrativa,</w:t>
      </w:r>
      <w:r w:rsidRPr="00A81572">
        <w:rPr>
          <w:rFonts w:eastAsia="Calibri" w:cs="Tahoma"/>
          <w:bCs/>
          <w:iCs/>
          <w:color w:val="auto"/>
        </w:rPr>
        <w:t xml:space="preserve"> entregar información clasificada como confidencial. </w:t>
      </w:r>
    </w:p>
    <w:p w14:paraId="7ED18A04" w14:textId="77777777" w:rsidR="00A81572" w:rsidRPr="00A81572" w:rsidRDefault="00A81572" w:rsidP="00A81572">
      <w:pPr>
        <w:spacing w:after="0" w:line="360" w:lineRule="auto"/>
        <w:ind w:right="-28"/>
        <w:rPr>
          <w:rFonts w:eastAsia="Calibri" w:cs="Tahoma"/>
          <w:bCs/>
          <w:iCs/>
          <w:color w:val="auto"/>
          <w:lang w:val="es-ES"/>
        </w:rPr>
      </w:pPr>
    </w:p>
    <w:p w14:paraId="47A8C938" w14:textId="77777777" w:rsidR="00A81572" w:rsidRPr="00A81572" w:rsidRDefault="00A81572" w:rsidP="00A81572">
      <w:pPr>
        <w:spacing w:after="0" w:line="360" w:lineRule="auto"/>
        <w:ind w:right="-28"/>
        <w:rPr>
          <w:rFonts w:eastAsia="Calibri" w:cs="Tahoma"/>
          <w:bCs/>
          <w:iCs/>
          <w:color w:val="auto"/>
          <w:lang w:val="es-ES"/>
        </w:rPr>
      </w:pPr>
      <w:r w:rsidRPr="00A81572">
        <w:rPr>
          <w:rFonts w:eastAsia="Calibri" w:cs="Tahoma"/>
          <w:bCs/>
          <w:iCs/>
          <w:color w:val="auto"/>
          <w:lang w:val="es-ES"/>
        </w:rPr>
        <w:t xml:space="preserve">Por su parte, el artículo 223 de la Ley de Transparencia y Acceso a la Información Pública del Estado de México y Municipios, prevé que este Instituto deberá dar vista a la Contraloría </w:t>
      </w:r>
      <w:r w:rsidRPr="00A81572">
        <w:rPr>
          <w:rFonts w:eastAsia="Calibri" w:cs="Tahoma"/>
          <w:bCs/>
          <w:iCs/>
          <w:color w:val="auto"/>
          <w:lang w:val="es-ES"/>
        </w:rPr>
        <w:lastRenderedPageBreak/>
        <w:t>Interna, con el fin de que determine el grado de responsabilidad de los servidores públicos que incumplan con las obligaciones establecidas en la Ley.</w:t>
      </w:r>
    </w:p>
    <w:p w14:paraId="43FD171E" w14:textId="77777777" w:rsidR="00A81572" w:rsidRPr="0038233A" w:rsidRDefault="00A81572" w:rsidP="00AD62BD">
      <w:pPr>
        <w:spacing w:after="0" w:line="360" w:lineRule="auto"/>
        <w:rPr>
          <w:rFonts w:eastAsia="Batang" w:cs="Tahoma"/>
          <w:bCs/>
          <w:color w:val="auto"/>
          <w:lang w:val="es-ES" w:eastAsia="es-ES"/>
        </w:rPr>
      </w:pPr>
    </w:p>
    <w:p w14:paraId="5EDA4A7A" w14:textId="77777777" w:rsidR="0038233A" w:rsidRPr="0038233A" w:rsidRDefault="0038233A" w:rsidP="00AD62BD">
      <w:pPr>
        <w:spacing w:after="0" w:line="360" w:lineRule="auto"/>
        <w:rPr>
          <w:rFonts w:eastAsia="Batang" w:cs="Tahoma"/>
          <w:bCs/>
          <w:color w:val="auto"/>
          <w:lang w:val="es-ES" w:eastAsia="es-ES"/>
        </w:rPr>
      </w:pPr>
      <w:r w:rsidRPr="0038233A">
        <w:rPr>
          <w:rFonts w:eastAsia="Batang" w:cs="Tahoma"/>
          <w:bCs/>
          <w:color w:val="auto"/>
          <w:lang w:val="es-ES" w:eastAsia="es-ES"/>
        </w:rPr>
        <w:t>Por lo expuesto y fundado, este Pleno:</w:t>
      </w:r>
    </w:p>
    <w:p w14:paraId="776823DA" w14:textId="77777777" w:rsidR="0038233A" w:rsidRPr="0038233A" w:rsidRDefault="0038233A" w:rsidP="00AD62BD">
      <w:pPr>
        <w:spacing w:after="0" w:line="360" w:lineRule="auto"/>
        <w:rPr>
          <w:rFonts w:eastAsia="Batang" w:cs="Tahoma"/>
          <w:bCs/>
          <w:color w:val="auto"/>
          <w:lang w:val="es-ES" w:eastAsia="es-ES"/>
        </w:rPr>
      </w:pPr>
    </w:p>
    <w:p w14:paraId="713453DC" w14:textId="77777777" w:rsidR="0038233A" w:rsidRPr="0038233A" w:rsidRDefault="0038233A" w:rsidP="00AD62BD">
      <w:pPr>
        <w:spacing w:after="0" w:line="360" w:lineRule="auto"/>
        <w:jc w:val="center"/>
        <w:rPr>
          <w:rFonts w:eastAsia="Batang" w:cs="Tahoma"/>
          <w:b/>
          <w:bCs/>
          <w:color w:val="auto"/>
          <w:lang w:val="es-ES" w:eastAsia="es-ES"/>
        </w:rPr>
      </w:pPr>
      <w:r w:rsidRPr="0038233A">
        <w:rPr>
          <w:rFonts w:eastAsia="Batang" w:cs="Tahoma"/>
          <w:b/>
          <w:bCs/>
          <w:color w:val="auto"/>
          <w:lang w:val="es-ES" w:eastAsia="es-ES"/>
        </w:rPr>
        <w:t>R E S U E L V E</w:t>
      </w:r>
    </w:p>
    <w:p w14:paraId="7F820DE3" w14:textId="77777777" w:rsidR="0038233A" w:rsidRPr="0038233A" w:rsidRDefault="0038233A" w:rsidP="00AD62BD">
      <w:pPr>
        <w:spacing w:after="0" w:line="360" w:lineRule="auto"/>
        <w:rPr>
          <w:rFonts w:eastAsia="Batang" w:cs="Tahoma"/>
          <w:bCs/>
          <w:color w:val="auto"/>
          <w:lang w:val="es-ES" w:eastAsia="es-ES"/>
        </w:rPr>
      </w:pPr>
    </w:p>
    <w:p w14:paraId="3B5BBE1E" w14:textId="259D86BE" w:rsidR="0038233A" w:rsidRPr="0038233A" w:rsidRDefault="0038233A" w:rsidP="00AD62BD">
      <w:pPr>
        <w:spacing w:after="0" w:line="360" w:lineRule="auto"/>
        <w:rPr>
          <w:rFonts w:eastAsia="Batang" w:cs="Tahoma"/>
          <w:bCs/>
          <w:color w:val="auto"/>
          <w:lang w:val="es-ES" w:eastAsia="es-ES"/>
        </w:rPr>
      </w:pPr>
      <w:r w:rsidRPr="0038233A">
        <w:rPr>
          <w:rFonts w:eastAsia="Batang" w:cs="Tahoma"/>
          <w:b/>
          <w:bCs/>
          <w:color w:val="auto"/>
          <w:lang w:val="es-ES" w:eastAsia="es-ES"/>
        </w:rPr>
        <w:t>PRIMERO</w:t>
      </w:r>
      <w:r w:rsidRPr="0038233A">
        <w:rPr>
          <w:rFonts w:eastAsia="Batang" w:cs="Tahoma"/>
          <w:bCs/>
          <w:color w:val="auto"/>
          <w:lang w:val="es-ES" w:eastAsia="es-ES"/>
        </w:rPr>
        <w:t xml:space="preserve">. Se </w:t>
      </w:r>
      <w:r w:rsidR="00157C2F">
        <w:rPr>
          <w:rFonts w:eastAsia="Batang" w:cs="Tahoma"/>
          <w:b/>
          <w:bCs/>
          <w:color w:val="auto"/>
          <w:lang w:val="es-ES" w:eastAsia="es-ES"/>
        </w:rPr>
        <w:t>MODIFICA</w:t>
      </w:r>
      <w:r w:rsidRPr="0038233A">
        <w:rPr>
          <w:rFonts w:eastAsia="Batang" w:cs="Tahoma"/>
          <w:bCs/>
          <w:color w:val="auto"/>
          <w:lang w:val="es-ES" w:eastAsia="es-ES"/>
        </w:rPr>
        <w:t xml:space="preserve"> la respuesta a la solicitud de información pública</w:t>
      </w:r>
      <w:r w:rsidRPr="0038233A">
        <w:rPr>
          <w:rFonts w:eastAsia="Batang" w:cs="Tahoma"/>
          <w:b/>
          <w:bCs/>
          <w:color w:val="auto"/>
          <w:lang w:val="es-ES" w:eastAsia="es-ES"/>
        </w:rPr>
        <w:t xml:space="preserve"> </w:t>
      </w:r>
      <w:r w:rsidR="00157C2F" w:rsidRPr="00157C2F">
        <w:rPr>
          <w:rFonts w:eastAsia="Batang" w:cs="Tahoma"/>
          <w:b/>
          <w:bCs/>
          <w:color w:val="auto"/>
          <w:lang w:val="es-ES" w:eastAsia="es-ES"/>
        </w:rPr>
        <w:t>00014/TENANCIN/IP/2022</w:t>
      </w:r>
      <w:r w:rsidRPr="0038233A">
        <w:rPr>
          <w:rFonts w:eastAsia="Batang" w:cs="Tahoma"/>
          <w:bCs/>
          <w:color w:val="auto"/>
          <w:lang w:val="es-ES" w:eastAsia="es-ES"/>
        </w:rPr>
        <w:t xml:space="preserve">, por resultar </w:t>
      </w:r>
      <w:r w:rsidRPr="0038233A">
        <w:rPr>
          <w:rFonts w:eastAsia="Batang" w:cs="Tahoma"/>
          <w:b/>
          <w:bCs/>
          <w:color w:val="auto"/>
          <w:lang w:val="es-ES" w:eastAsia="es-ES"/>
        </w:rPr>
        <w:t>FUNDADAS</w:t>
      </w:r>
      <w:r w:rsidRPr="0038233A">
        <w:rPr>
          <w:rFonts w:eastAsia="Batang" w:cs="Tahoma"/>
          <w:bCs/>
          <w:color w:val="auto"/>
          <w:lang w:val="es-ES" w:eastAsia="es-ES"/>
        </w:rPr>
        <w:t xml:space="preserve"> las razones o motivos de inconformidad hechos valer por el Recurrente, en el Recurso de Revisión </w:t>
      </w:r>
      <w:r w:rsidR="00157C2F" w:rsidRPr="00157C2F">
        <w:rPr>
          <w:rFonts w:eastAsia="Batang" w:cs="Tahoma"/>
          <w:b/>
          <w:bCs/>
          <w:color w:val="auto"/>
          <w:lang w:val="es-ES" w:eastAsia="es-ES"/>
        </w:rPr>
        <w:t>00556/INFOEM/IP/RR/2022</w:t>
      </w:r>
      <w:r w:rsidRPr="0038233A">
        <w:rPr>
          <w:rFonts w:eastAsia="Batang" w:cs="Tahoma"/>
          <w:b/>
          <w:bCs/>
          <w:color w:val="auto"/>
          <w:lang w:val="es-ES" w:eastAsia="es-ES"/>
        </w:rPr>
        <w:t>,</w:t>
      </w:r>
      <w:r w:rsidRPr="0038233A">
        <w:rPr>
          <w:rFonts w:eastAsia="Batang" w:cs="Tahoma"/>
          <w:bCs/>
          <w:color w:val="auto"/>
          <w:lang w:val="es-ES" w:eastAsia="es-ES"/>
        </w:rPr>
        <w:t xml:space="preserve"> en términos de los Considerandos </w:t>
      </w:r>
      <w:r w:rsidRPr="0038233A">
        <w:rPr>
          <w:rFonts w:eastAsia="Batang" w:cs="Tahoma"/>
          <w:b/>
          <w:bCs/>
          <w:color w:val="auto"/>
          <w:lang w:val="es-ES" w:eastAsia="es-ES"/>
        </w:rPr>
        <w:t>QUINTO y SEXTO</w:t>
      </w:r>
      <w:r w:rsidRPr="0038233A">
        <w:rPr>
          <w:rFonts w:eastAsia="Batang" w:cs="Tahoma"/>
          <w:bCs/>
          <w:color w:val="auto"/>
          <w:lang w:val="es-ES" w:eastAsia="es-ES"/>
        </w:rPr>
        <w:t xml:space="preserve"> de esta Resolución.</w:t>
      </w:r>
    </w:p>
    <w:p w14:paraId="49995A17" w14:textId="77777777" w:rsidR="0038233A" w:rsidRPr="0038233A" w:rsidRDefault="0038233A" w:rsidP="00AD62BD">
      <w:pPr>
        <w:spacing w:after="0" w:line="360" w:lineRule="auto"/>
        <w:rPr>
          <w:rFonts w:eastAsia="Batang" w:cs="Tahoma"/>
          <w:bCs/>
          <w:color w:val="auto"/>
          <w:lang w:val="es-ES" w:eastAsia="es-ES"/>
        </w:rPr>
      </w:pPr>
    </w:p>
    <w:p w14:paraId="1B22125A" w14:textId="4984F137" w:rsidR="0038233A" w:rsidRPr="0038233A" w:rsidRDefault="0038233A" w:rsidP="00AD62BD">
      <w:pPr>
        <w:spacing w:after="0" w:line="360" w:lineRule="auto"/>
        <w:rPr>
          <w:rFonts w:eastAsia="Batang" w:cs="Tahoma"/>
          <w:bCs/>
          <w:color w:val="auto"/>
          <w:lang w:val="es-ES" w:eastAsia="es-ES"/>
        </w:rPr>
      </w:pPr>
      <w:r w:rsidRPr="0038233A">
        <w:rPr>
          <w:rFonts w:eastAsia="Batang" w:cs="Tahoma"/>
          <w:b/>
          <w:bCs/>
          <w:color w:val="auto"/>
          <w:lang w:val="es-ES" w:eastAsia="es-ES"/>
        </w:rPr>
        <w:t xml:space="preserve">SEGUNDO. </w:t>
      </w:r>
      <w:r w:rsidRPr="0038233A">
        <w:rPr>
          <w:rFonts w:eastAsia="Batang" w:cs="Tahoma"/>
          <w:bCs/>
          <w:color w:val="auto"/>
          <w:lang w:val="es-ES" w:eastAsia="es-ES"/>
        </w:rPr>
        <w:t xml:space="preserve">Se </w:t>
      </w:r>
      <w:r w:rsidRPr="0038233A">
        <w:rPr>
          <w:rFonts w:eastAsia="Batang" w:cs="Tahoma"/>
          <w:b/>
          <w:bCs/>
          <w:color w:val="auto"/>
          <w:lang w:val="es-ES" w:eastAsia="es-ES"/>
        </w:rPr>
        <w:t>ORDENA</w:t>
      </w:r>
      <w:r w:rsidR="00157C2F">
        <w:rPr>
          <w:rFonts w:eastAsia="Batang" w:cs="Tahoma"/>
          <w:bCs/>
          <w:color w:val="auto"/>
          <w:lang w:val="es-ES" w:eastAsia="es-ES"/>
        </w:rPr>
        <w:t xml:space="preserve"> al Ayuntamiento de Tenancingo</w:t>
      </w:r>
      <w:r w:rsidRPr="0038233A">
        <w:rPr>
          <w:rFonts w:eastAsia="Batang" w:cs="Tahoma"/>
          <w:bCs/>
          <w:color w:val="auto"/>
          <w:lang w:val="es-ES" w:eastAsia="es-ES"/>
        </w:rPr>
        <w:t>, a</w:t>
      </w:r>
      <w:r w:rsidR="00B542BD">
        <w:rPr>
          <w:rFonts w:eastAsia="Batang" w:cs="Tahoma"/>
          <w:bCs/>
          <w:color w:val="auto"/>
          <w:lang w:val="es-ES" w:eastAsia="es-ES"/>
        </w:rPr>
        <w:t xml:space="preserve"> efecto de</w:t>
      </w:r>
      <w:r w:rsidRPr="0038233A">
        <w:rPr>
          <w:rFonts w:eastAsia="Batang" w:cs="Tahoma"/>
          <w:bCs/>
          <w:color w:val="auto"/>
          <w:lang w:val="es-ES" w:eastAsia="es-ES"/>
        </w:rPr>
        <w:t xml:space="preserve"> que</w:t>
      </w:r>
      <w:r w:rsidR="00B542BD">
        <w:rPr>
          <w:rFonts w:eastAsia="Batang" w:cs="Tahoma"/>
          <w:bCs/>
          <w:color w:val="auto"/>
          <w:lang w:val="es-ES" w:eastAsia="es-ES"/>
        </w:rPr>
        <w:t>,</w:t>
      </w:r>
      <w:r w:rsidRPr="0038233A">
        <w:rPr>
          <w:rFonts w:eastAsia="Batang" w:cs="Tahoma"/>
          <w:bCs/>
          <w:color w:val="auto"/>
          <w:lang w:val="es-ES" w:eastAsia="es-ES"/>
        </w:rPr>
        <w:t xml:space="preserve"> entregue, a tr</w:t>
      </w:r>
      <w:r w:rsidRPr="0038233A">
        <w:rPr>
          <w:rFonts w:eastAsia="Batang" w:cs="Tahoma"/>
          <w:bCs/>
          <w:color w:val="auto"/>
          <w:lang w:val="x-none" w:eastAsia="es-ES"/>
        </w:rPr>
        <w:t xml:space="preserve">avés, </w:t>
      </w:r>
      <w:r w:rsidRPr="0038233A">
        <w:rPr>
          <w:rFonts w:eastAsia="Batang" w:cs="Tahoma"/>
          <w:bCs/>
          <w:color w:val="auto"/>
          <w:lang w:val="es-ES" w:eastAsia="es-ES"/>
        </w:rPr>
        <w:t>del Sistema de Acceso a la Información Mexiquense (SAIMEX), en versión pública, lo siguiente:</w:t>
      </w:r>
    </w:p>
    <w:p w14:paraId="0526D30D" w14:textId="77777777" w:rsidR="0038233A" w:rsidRPr="0038233A" w:rsidRDefault="0038233A" w:rsidP="00AD62BD">
      <w:pPr>
        <w:spacing w:after="0" w:line="360" w:lineRule="auto"/>
        <w:rPr>
          <w:rFonts w:eastAsia="Batang" w:cs="Tahoma"/>
          <w:bCs/>
          <w:color w:val="auto"/>
          <w:lang w:val="es-ES" w:eastAsia="es-ES"/>
        </w:rPr>
      </w:pPr>
    </w:p>
    <w:p w14:paraId="68AC7A0A" w14:textId="65618806" w:rsidR="00B542BD" w:rsidRPr="00B542BD" w:rsidRDefault="00B542BD" w:rsidP="00B542BD">
      <w:pPr>
        <w:pStyle w:val="Prrafodelista"/>
        <w:numPr>
          <w:ilvl w:val="0"/>
          <w:numId w:val="22"/>
        </w:numPr>
        <w:spacing w:line="360" w:lineRule="auto"/>
        <w:rPr>
          <w:rFonts w:cs="Tahoma"/>
          <w:bCs/>
          <w:lang w:val="es-ES_tradnl"/>
        </w:rPr>
      </w:pPr>
      <w:r w:rsidRPr="00B542BD">
        <w:rPr>
          <w:rFonts w:cs="Tahoma"/>
          <w:bCs/>
          <w:lang w:val="es-ES_tradnl"/>
        </w:rPr>
        <w:t>Las Actas de Entrega-Recepción proporcionadas en respuesta.</w:t>
      </w:r>
    </w:p>
    <w:p w14:paraId="3BD2D309" w14:textId="77777777" w:rsidR="00B542BD" w:rsidRPr="0038233A" w:rsidRDefault="00B542BD" w:rsidP="00B542BD">
      <w:pPr>
        <w:spacing w:after="0" w:line="360" w:lineRule="auto"/>
        <w:rPr>
          <w:rFonts w:eastAsia="Times New Roman" w:cs="Tahoma"/>
          <w:bCs/>
          <w:color w:val="auto"/>
          <w:lang w:val="es-ES_tradnl" w:eastAsia="es-ES"/>
        </w:rPr>
      </w:pPr>
    </w:p>
    <w:p w14:paraId="21F6CE59" w14:textId="77777777" w:rsidR="00B542BD" w:rsidRPr="0038233A" w:rsidRDefault="00B542BD" w:rsidP="00B542BD">
      <w:pPr>
        <w:autoSpaceDE w:val="0"/>
        <w:autoSpaceDN w:val="0"/>
        <w:adjustRightInd w:val="0"/>
        <w:spacing w:after="0" w:line="360" w:lineRule="auto"/>
        <w:rPr>
          <w:rFonts w:eastAsia="Calibri" w:cs="Tahoma"/>
          <w:bCs/>
          <w:iCs/>
          <w:color w:val="000000"/>
          <w:lang w:val="es-ES_tradnl"/>
        </w:rPr>
      </w:pPr>
      <w:r w:rsidRPr="0038233A">
        <w:rPr>
          <w:rFonts w:eastAsia="Calibri" w:cs="Tahoma"/>
          <w:bCs/>
          <w:iCs/>
          <w:color w:val="000000"/>
          <w:lang w:val="es-ES_tradnl"/>
        </w:rPr>
        <w:t xml:space="preserve">Además, deberá proporcionar el Acuerdo de Clasificación donde el Comité de Transparencia, confirme la eliminación de los datos </w:t>
      </w:r>
      <w:r>
        <w:rPr>
          <w:rFonts w:eastAsia="Calibri" w:cs="Tahoma"/>
          <w:bCs/>
          <w:iCs/>
          <w:color w:val="000000"/>
          <w:lang w:val="es-ES_tradnl"/>
        </w:rPr>
        <w:t>clasificados</w:t>
      </w:r>
      <w:r w:rsidRPr="0038233A">
        <w:rPr>
          <w:rFonts w:eastAsia="Calibri" w:cs="Tahoma"/>
          <w:bCs/>
          <w:iCs/>
          <w:color w:val="000000"/>
          <w:lang w:val="es-ES_tradnl"/>
        </w:rPr>
        <w:t>, en la versión pública, de conformidad con los artículos 49, fracciones II y VIII</w:t>
      </w:r>
      <w:r>
        <w:rPr>
          <w:rFonts w:eastAsia="Calibri" w:cs="Tahoma"/>
          <w:bCs/>
          <w:iCs/>
          <w:color w:val="000000"/>
          <w:lang w:val="es-ES_tradnl"/>
        </w:rPr>
        <w:t>,</w:t>
      </w:r>
      <w:r w:rsidRPr="0038233A">
        <w:rPr>
          <w:rFonts w:eastAsia="Calibri" w:cs="Tahoma"/>
          <w:bCs/>
          <w:iCs/>
          <w:color w:val="000000"/>
          <w:lang w:val="es-ES_tradnl"/>
        </w:rPr>
        <w:t xml:space="preserve"> 132, fracción II</w:t>
      </w:r>
      <w:r>
        <w:rPr>
          <w:rFonts w:eastAsia="Calibri" w:cs="Tahoma"/>
          <w:bCs/>
          <w:iCs/>
          <w:color w:val="000000"/>
          <w:lang w:val="es-ES_tradnl"/>
        </w:rPr>
        <w:t>, y 149</w:t>
      </w:r>
      <w:r w:rsidRPr="0038233A">
        <w:rPr>
          <w:rFonts w:eastAsia="Calibri" w:cs="Tahoma"/>
          <w:bCs/>
          <w:iCs/>
          <w:color w:val="000000"/>
          <w:lang w:val="es-ES_tradnl"/>
        </w:rPr>
        <w:t xml:space="preserve"> de la Ley de Transparencia y Acceso a la Información Pública del Estado de México y Municipios.</w:t>
      </w:r>
    </w:p>
    <w:p w14:paraId="7DF14F1F" w14:textId="77777777" w:rsidR="0038233A" w:rsidRPr="0038233A" w:rsidRDefault="0038233A" w:rsidP="00AD62BD">
      <w:pPr>
        <w:spacing w:after="0" w:line="360" w:lineRule="auto"/>
        <w:rPr>
          <w:rFonts w:eastAsia="Batang" w:cs="Tahoma"/>
          <w:bCs/>
          <w:color w:val="auto"/>
          <w:lang w:val="es-ES" w:eastAsia="es-ES"/>
        </w:rPr>
      </w:pPr>
    </w:p>
    <w:p w14:paraId="2D7564C1" w14:textId="77777777" w:rsidR="0038233A" w:rsidRPr="0038233A" w:rsidRDefault="0038233A" w:rsidP="00AD62BD">
      <w:pPr>
        <w:spacing w:after="0" w:line="360" w:lineRule="auto"/>
        <w:rPr>
          <w:rFonts w:eastAsia="Batang" w:cs="Tahoma"/>
          <w:bCs/>
          <w:color w:val="auto"/>
          <w:lang w:val="es-ES" w:eastAsia="es-ES"/>
        </w:rPr>
      </w:pPr>
      <w:r w:rsidRPr="0038233A">
        <w:rPr>
          <w:rFonts w:eastAsia="Batang" w:cs="Tahoma"/>
          <w:b/>
          <w:bCs/>
          <w:color w:val="auto"/>
          <w:lang w:val="es-ES" w:eastAsia="es-ES"/>
        </w:rPr>
        <w:t xml:space="preserve">TERCERO. NOTIFÍQUESE </w:t>
      </w:r>
      <w:r w:rsidRPr="0038233A">
        <w:rPr>
          <w:rFonts w:eastAsia="Batang" w:cs="Tahoma"/>
          <w:bCs/>
          <w:color w:val="auto"/>
          <w:lang w:val="es-ES"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38233A">
        <w:rPr>
          <w:rFonts w:eastAsia="Batang" w:cs="Tahoma"/>
          <w:bCs/>
          <w:color w:val="auto"/>
          <w:lang w:val="es-ES" w:eastAsia="es-ES"/>
        </w:rPr>
        <w:lastRenderedPageBreak/>
        <w:t>este Instituto en un plazo de tres días hábiles siguientes sobre el cumplimiento dado a la presente.</w:t>
      </w:r>
    </w:p>
    <w:p w14:paraId="0BA709C5" w14:textId="77777777" w:rsidR="0038233A" w:rsidRPr="0038233A" w:rsidRDefault="0038233A" w:rsidP="00AD62BD">
      <w:pPr>
        <w:spacing w:after="0" w:line="360" w:lineRule="auto"/>
        <w:rPr>
          <w:rFonts w:eastAsia="Batang" w:cs="Tahoma"/>
          <w:bCs/>
          <w:color w:val="auto"/>
          <w:lang w:val="es-ES" w:eastAsia="es-ES"/>
        </w:rPr>
      </w:pPr>
    </w:p>
    <w:p w14:paraId="222E9340" w14:textId="77777777" w:rsidR="0038233A" w:rsidRPr="0038233A" w:rsidRDefault="0038233A" w:rsidP="00AD62BD">
      <w:pPr>
        <w:spacing w:after="0" w:line="360" w:lineRule="auto"/>
        <w:rPr>
          <w:rFonts w:eastAsia="Times New Roman" w:cs="Arial"/>
          <w:bCs/>
          <w:color w:val="auto"/>
          <w:lang w:val="es-ES_tradnl" w:eastAsia="es-ES"/>
        </w:rPr>
      </w:pPr>
      <w:bookmarkStart w:id="1" w:name="_Hlk61509110"/>
      <w:r w:rsidRPr="0038233A">
        <w:rPr>
          <w:rFonts w:eastAsia="Times New Roman" w:cs="Arial"/>
          <w:bCs/>
          <w:color w:val="auto"/>
          <w:lang w:val="es-ES_tradnl"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14:paraId="6FD3B911" w14:textId="77777777" w:rsidR="0038233A" w:rsidRPr="0038233A" w:rsidRDefault="0038233A" w:rsidP="00AD62BD">
      <w:pPr>
        <w:spacing w:after="0" w:line="360" w:lineRule="auto"/>
        <w:rPr>
          <w:rFonts w:eastAsia="Batang" w:cs="Tahoma"/>
          <w:bCs/>
          <w:color w:val="auto"/>
          <w:lang w:val="es-ES" w:eastAsia="es-ES"/>
        </w:rPr>
      </w:pPr>
    </w:p>
    <w:p w14:paraId="286FB192" w14:textId="77777777" w:rsidR="0038233A" w:rsidRPr="0038233A" w:rsidRDefault="0038233A" w:rsidP="00AD62BD">
      <w:pPr>
        <w:spacing w:after="0" w:line="360" w:lineRule="auto"/>
        <w:rPr>
          <w:rFonts w:eastAsia="Batang" w:cs="Tahoma"/>
          <w:bCs/>
          <w:color w:val="auto"/>
          <w:lang w:val="es-ES" w:eastAsia="es-ES"/>
        </w:rPr>
      </w:pPr>
      <w:r w:rsidRPr="0038233A">
        <w:rPr>
          <w:rFonts w:eastAsia="Batang" w:cs="Tahoma"/>
          <w:b/>
          <w:bCs/>
          <w:color w:val="auto"/>
          <w:lang w:val="es-ES" w:eastAsia="es-ES"/>
        </w:rPr>
        <w:t>CUARTO. NOTIFÍQUESE</w:t>
      </w:r>
      <w:r w:rsidRPr="0038233A">
        <w:rPr>
          <w:rFonts w:eastAsia="Batang" w:cs="Tahoma"/>
          <w:bCs/>
          <w:color w:val="auto"/>
          <w:lang w:val="es-ES"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FFBF332" w14:textId="6F82CA2E" w:rsidR="0038233A" w:rsidRDefault="0038233A" w:rsidP="00AD62BD">
      <w:pPr>
        <w:spacing w:after="0" w:line="360" w:lineRule="auto"/>
        <w:contextualSpacing/>
        <w:rPr>
          <w:rFonts w:eastAsia="Calibri" w:cs="Tahoma"/>
          <w:color w:val="auto"/>
          <w:lang w:val="es-ES" w:eastAsia="es-ES_tradnl"/>
        </w:rPr>
      </w:pPr>
    </w:p>
    <w:p w14:paraId="4DBB14A8" w14:textId="77777777" w:rsidR="00A81572" w:rsidRPr="00A81572" w:rsidRDefault="00A81572" w:rsidP="00A81572">
      <w:pPr>
        <w:spacing w:after="0" w:line="360" w:lineRule="auto"/>
        <w:contextualSpacing/>
        <w:rPr>
          <w:rFonts w:eastAsia="Calibri" w:cs="Tahoma"/>
          <w:bCs/>
          <w:color w:val="auto"/>
          <w:lang w:val="es-ES_tradnl" w:eastAsia="es-ES_tradnl"/>
        </w:rPr>
      </w:pPr>
      <w:r w:rsidRPr="00A81572">
        <w:rPr>
          <w:rFonts w:eastAsia="Calibri" w:cs="Tahoma"/>
          <w:b/>
          <w:bCs/>
          <w:iCs/>
          <w:color w:val="auto"/>
          <w:lang w:val="es-ES" w:eastAsia="es-ES_tradnl"/>
        </w:rPr>
        <w:t>QUINTO.</w:t>
      </w:r>
      <w:r w:rsidRPr="00A81572">
        <w:rPr>
          <w:rFonts w:eastAsia="Calibri" w:cs="Tahoma"/>
          <w:bCs/>
          <w:iCs/>
          <w:color w:val="auto"/>
          <w:lang w:val="es-ES" w:eastAsia="es-ES_tradnl"/>
        </w:rPr>
        <w:t xml:space="preserve"> </w:t>
      </w:r>
      <w:r w:rsidRPr="00A81572">
        <w:rPr>
          <w:rFonts w:eastAsia="Calibri" w:cs="Tahoma"/>
          <w:bCs/>
          <w:color w:val="auto"/>
          <w:lang w:val="es-ES_tradnl" w:eastAsia="es-ES_tradnl"/>
        </w:rPr>
        <w:t xml:space="preserve">Con fundamento en lo dispuesto en los artículos 190 de la </w:t>
      </w:r>
      <w:r w:rsidRPr="00A81572">
        <w:rPr>
          <w:rFonts w:eastAsia="Calibri" w:cs="Tahoma"/>
          <w:bCs/>
          <w:color w:val="auto"/>
          <w:lang w:eastAsia="es-ES_tradnl"/>
        </w:rPr>
        <w:t xml:space="preserve">Ley de Transparencia y Acceso a la Información Pública del Estado de México y Municipios, gírese </w:t>
      </w:r>
      <w:r w:rsidRPr="00A81572">
        <w:rPr>
          <w:rFonts w:eastAsia="Calibri" w:cs="Tahoma"/>
          <w:bCs/>
          <w:color w:val="auto"/>
          <w:lang w:val="es-ES_tradnl" w:eastAsia="es-ES_tradnl"/>
        </w:rPr>
        <w:t xml:space="preserve">oficio al Contralor Interno y Titular del Órgano de Control y Vigilancia de este Instituto con la finalidad de que actúe en razón de su competencia, en términos de lo dispuesto en el Considerando </w:t>
      </w:r>
      <w:r w:rsidRPr="00C578D5">
        <w:rPr>
          <w:rFonts w:eastAsia="Calibri" w:cs="Tahoma"/>
          <w:color w:val="auto"/>
          <w:lang w:eastAsia="es-ES_tradnl"/>
        </w:rPr>
        <w:t>SÉPTIMO</w:t>
      </w:r>
      <w:r w:rsidRPr="00A81572">
        <w:rPr>
          <w:rFonts w:eastAsia="Calibri" w:cs="Tahoma"/>
          <w:b/>
          <w:bCs/>
          <w:color w:val="auto"/>
          <w:lang w:val="es-ES_tradnl" w:eastAsia="es-ES_tradnl"/>
        </w:rPr>
        <w:t xml:space="preserve"> </w:t>
      </w:r>
      <w:r w:rsidRPr="00A81572">
        <w:rPr>
          <w:rFonts w:eastAsia="Calibri" w:cs="Tahoma"/>
          <w:bCs/>
          <w:color w:val="auto"/>
          <w:lang w:val="es-ES_tradnl" w:eastAsia="es-ES_tradnl"/>
        </w:rPr>
        <w:t>de la presente Resolución.</w:t>
      </w:r>
    </w:p>
    <w:p w14:paraId="07934B1D" w14:textId="38B54983" w:rsidR="00A81572" w:rsidRDefault="00A81572" w:rsidP="00AD62BD">
      <w:pPr>
        <w:spacing w:after="0" w:line="360" w:lineRule="auto"/>
        <w:contextualSpacing/>
        <w:rPr>
          <w:rFonts w:eastAsia="Calibri" w:cs="Tahoma"/>
          <w:color w:val="auto"/>
          <w:lang w:val="es-ES" w:eastAsia="es-ES_tradnl"/>
        </w:rPr>
      </w:pPr>
    </w:p>
    <w:p w14:paraId="66E47A49" w14:textId="3348B009" w:rsidR="00371F0D" w:rsidRDefault="00157C2F" w:rsidP="00371F0D">
      <w:pPr>
        <w:spacing w:after="0" w:line="360" w:lineRule="auto"/>
        <w:contextualSpacing/>
        <w:rPr>
          <w:rFonts w:eastAsia="Calibri" w:cs="Tahoma"/>
          <w:color w:val="auto"/>
          <w:lang w:val="es-ES" w:eastAsia="es-ES_tradnl"/>
        </w:rPr>
      </w:pPr>
      <w:r w:rsidRPr="00157C2F">
        <w:rPr>
          <w:rFonts w:eastAsia="Calibri" w:cs="Tahoma"/>
          <w:color w:val="auto"/>
          <w:lang w:val="es-ES" w:eastAsia="es-ES_tradnl"/>
        </w:rPr>
        <w:t xml:space="preserve">ASÍ LO RESUELVE, POR </w:t>
      </w:r>
      <w:r w:rsidRPr="0004695D">
        <w:rPr>
          <w:rFonts w:eastAsia="Calibri" w:cs="Tahoma"/>
          <w:b/>
          <w:bCs/>
          <w:color w:val="auto"/>
          <w:lang w:val="es-ES" w:eastAsia="es-ES_tradnl"/>
        </w:rPr>
        <w:t>UNANIMIDAD</w:t>
      </w:r>
      <w:r w:rsidRPr="00157C2F">
        <w:rPr>
          <w:rFonts w:eastAsia="Calibri" w:cs="Tahoma"/>
          <w:color w:val="auto"/>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0004695D" w:rsidRPr="00157C2F">
        <w:rPr>
          <w:rFonts w:eastAsia="Calibri" w:cs="Tahoma"/>
          <w:color w:val="auto"/>
          <w:lang w:val="es-ES" w:eastAsia="es-ES_tradnl"/>
        </w:rPr>
        <w:t xml:space="preserve">SHARON CRISTINA MORALES MARTÍNEZ, LUIS GUSTAVO PARRA NORIEGA Y GUADALUPE RAMÍREZ PEÑA, EN LA DÉCIMA </w:t>
      </w:r>
      <w:r w:rsidR="0004695D">
        <w:rPr>
          <w:rFonts w:eastAsia="Calibri" w:cs="Tahoma"/>
          <w:color w:val="auto"/>
          <w:lang w:val="es-ES" w:eastAsia="es-ES_tradnl"/>
        </w:rPr>
        <w:t>TERCER</w:t>
      </w:r>
      <w:r w:rsidR="0004695D" w:rsidRPr="00157C2F">
        <w:rPr>
          <w:rFonts w:eastAsia="Calibri" w:cs="Tahoma"/>
          <w:color w:val="auto"/>
          <w:lang w:val="es-ES" w:eastAsia="es-ES_tradnl"/>
        </w:rPr>
        <w:t xml:space="preserve">A SESIÓN ORDINARIA, CELEBRADA EL </w:t>
      </w:r>
      <w:r w:rsidR="0004695D">
        <w:rPr>
          <w:rFonts w:eastAsia="Calibri" w:cs="Tahoma"/>
          <w:color w:val="auto"/>
          <w:lang w:val="es-ES" w:eastAsia="es-ES_tradnl"/>
        </w:rPr>
        <w:t xml:space="preserve">SIETE DE ABRIL </w:t>
      </w:r>
      <w:r w:rsidR="0004695D" w:rsidRPr="00157C2F">
        <w:rPr>
          <w:rFonts w:eastAsia="Calibri" w:cs="Tahoma"/>
          <w:color w:val="auto"/>
          <w:lang w:val="es-ES" w:eastAsia="es-ES_tradnl"/>
        </w:rPr>
        <w:t xml:space="preserve">DE DOS MIL VEINTIDÓS, ANTE EL SECRETARIO TÉCNICO DEL PLENO, ALEXIS </w:t>
      </w:r>
      <w:r w:rsidRPr="00157C2F">
        <w:rPr>
          <w:rFonts w:eastAsia="Calibri" w:cs="Tahoma"/>
          <w:color w:val="auto"/>
          <w:lang w:val="es-ES" w:eastAsia="es-ES_tradnl"/>
        </w:rPr>
        <w:t>TAPIA RAMÍREZ.</w:t>
      </w:r>
      <w:r w:rsidR="00371F0D">
        <w:rPr>
          <w:rFonts w:eastAsia="Calibri" w:cs="Tahoma"/>
          <w:color w:val="auto"/>
          <w:lang w:val="es-ES" w:eastAsia="es-ES_tradnl"/>
        </w:rPr>
        <w:br w:type="page"/>
      </w:r>
    </w:p>
    <w:p w14:paraId="42A8BF33" w14:textId="77777777" w:rsidR="0038233A" w:rsidRPr="00371F0D" w:rsidRDefault="0038233A" w:rsidP="00AD62BD">
      <w:pPr>
        <w:spacing w:after="0" w:line="360" w:lineRule="auto"/>
        <w:contextualSpacing/>
        <w:rPr>
          <w:rFonts w:eastAsia="Calibri" w:cs="Tahoma"/>
          <w:color w:val="auto"/>
          <w:lang w:val="es-ES" w:eastAsia="es-ES_tradnl"/>
        </w:rPr>
      </w:pPr>
    </w:p>
    <w:sectPr w:rsidR="0038233A" w:rsidRPr="00371F0D" w:rsidSect="002C59A0">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A5DD" w14:textId="77777777" w:rsidR="00A25DB9" w:rsidRDefault="00A25DB9" w:rsidP="00C853D1">
      <w:pPr>
        <w:spacing w:after="0" w:line="240" w:lineRule="auto"/>
      </w:pPr>
      <w:r>
        <w:separator/>
      </w:r>
    </w:p>
  </w:endnote>
  <w:endnote w:type="continuationSeparator" w:id="0">
    <w:p w14:paraId="1360D38A" w14:textId="77777777" w:rsidR="00A25DB9" w:rsidRDefault="00A25DB9"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38233A" w:rsidRDefault="003823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38233A" w:rsidRDefault="003823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38233A" w:rsidRDefault="003823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33F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33F2">
              <w:rPr>
                <w:b/>
                <w:bCs/>
                <w:noProof/>
              </w:rPr>
              <w:t>34</w:t>
            </w:r>
            <w:r>
              <w:rPr>
                <w:b/>
                <w:bCs/>
                <w:sz w:val="24"/>
                <w:szCs w:val="24"/>
              </w:rPr>
              <w:fldChar w:fldCharType="end"/>
            </w:r>
          </w:p>
        </w:sdtContent>
      </w:sdt>
    </w:sdtContent>
  </w:sdt>
  <w:p w14:paraId="3F35B7C0" w14:textId="77777777" w:rsidR="0038233A" w:rsidRDefault="003823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38233A" w:rsidRDefault="003823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33F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33F2">
              <w:rPr>
                <w:b/>
                <w:bCs/>
                <w:noProof/>
              </w:rPr>
              <w:t>34</w:t>
            </w:r>
            <w:r>
              <w:rPr>
                <w:b/>
                <w:bCs/>
                <w:sz w:val="24"/>
                <w:szCs w:val="24"/>
              </w:rPr>
              <w:fldChar w:fldCharType="end"/>
            </w:r>
          </w:p>
        </w:sdtContent>
      </w:sdt>
    </w:sdtContent>
  </w:sdt>
  <w:p w14:paraId="1A7218CE" w14:textId="77777777" w:rsidR="0038233A" w:rsidRDefault="00382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A6F9A" w14:textId="77777777" w:rsidR="00A25DB9" w:rsidRDefault="00A25DB9" w:rsidP="00C853D1">
      <w:pPr>
        <w:spacing w:after="0" w:line="240" w:lineRule="auto"/>
      </w:pPr>
      <w:r>
        <w:separator/>
      </w:r>
    </w:p>
  </w:footnote>
  <w:footnote w:type="continuationSeparator" w:id="0">
    <w:p w14:paraId="7BB64782" w14:textId="77777777" w:rsidR="00A25DB9" w:rsidRDefault="00A25DB9"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38233A" w14:paraId="282B3A75" w14:textId="77777777" w:rsidTr="002C59A0">
      <w:trPr>
        <w:trHeight w:val="141"/>
      </w:trPr>
      <w:tc>
        <w:tcPr>
          <w:tcW w:w="2404" w:type="dxa"/>
        </w:tcPr>
        <w:p w14:paraId="57F547E7" w14:textId="77777777" w:rsidR="0038233A" w:rsidRPr="001B5FB6" w:rsidRDefault="0038233A"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38233A" w:rsidRPr="00A8173F" w:rsidRDefault="0038233A" w:rsidP="002C59A0">
          <w:pPr>
            <w:tabs>
              <w:tab w:val="right" w:pos="8838"/>
            </w:tabs>
            <w:ind w:left="-28" w:right="683"/>
            <w:rPr>
              <w:rFonts w:eastAsia="Calibri" w:cs="Tahoma"/>
            </w:rPr>
          </w:pPr>
          <w:r w:rsidRPr="00A8173F">
            <w:rPr>
              <w:rFonts w:eastAsia="Calibri" w:cs="Tahoma"/>
              <w:lang w:val="es-MX"/>
            </w:rPr>
            <w:t>04196/INFOEM/IP/RR/2020</w:t>
          </w:r>
        </w:p>
      </w:tc>
    </w:tr>
    <w:tr w:rsidR="0038233A" w14:paraId="46AFE2B4" w14:textId="77777777" w:rsidTr="002C59A0">
      <w:trPr>
        <w:trHeight w:val="276"/>
      </w:trPr>
      <w:tc>
        <w:tcPr>
          <w:tcW w:w="2404" w:type="dxa"/>
        </w:tcPr>
        <w:p w14:paraId="1D6E5B2B" w14:textId="77777777" w:rsidR="0038233A" w:rsidRPr="001B5FB6" w:rsidRDefault="0038233A"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38233A" w:rsidRPr="00A8173F" w:rsidRDefault="0038233A" w:rsidP="002C59A0">
          <w:pPr>
            <w:tabs>
              <w:tab w:val="right" w:pos="8838"/>
            </w:tabs>
            <w:ind w:right="116"/>
            <w:rPr>
              <w:rFonts w:eastAsia="Calibri" w:cs="Tahoma"/>
              <w:lang w:val="es-MX"/>
            </w:rPr>
          </w:pPr>
          <w:r w:rsidRPr="00A8173F">
            <w:rPr>
              <w:rFonts w:eastAsia="Calibri" w:cs="Tahoma"/>
              <w:lang w:val="es-MX"/>
            </w:rPr>
            <w:t>Ayuntamiento de Chapultepec</w:t>
          </w:r>
        </w:p>
      </w:tc>
    </w:tr>
    <w:tr w:rsidR="0038233A" w14:paraId="1FA679E9" w14:textId="77777777" w:rsidTr="002C59A0">
      <w:trPr>
        <w:trHeight w:val="276"/>
      </w:trPr>
      <w:tc>
        <w:tcPr>
          <w:tcW w:w="2404" w:type="dxa"/>
        </w:tcPr>
        <w:p w14:paraId="6498FD30" w14:textId="77777777" w:rsidR="0038233A" w:rsidRPr="001B5FB6" w:rsidRDefault="0038233A"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38233A" w:rsidRPr="00A8173F" w:rsidRDefault="0038233A"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38233A" w:rsidRDefault="0004695D">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38233A" w:rsidRPr="004A705D" w:rsidRDefault="0038233A">
    <w:pPr>
      <w:rPr>
        <w:sz w:val="18"/>
        <w:szCs w:val="18"/>
      </w:rPr>
    </w:pPr>
  </w:p>
  <w:tbl>
    <w:tblPr>
      <w:tblStyle w:val="Tablaconcuadrcula"/>
      <w:tblW w:w="666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4253"/>
    </w:tblGrid>
    <w:tr w:rsidR="0038233A" w14:paraId="66182C1A" w14:textId="77777777" w:rsidTr="001C2EB4">
      <w:trPr>
        <w:trHeight w:val="141"/>
      </w:trPr>
      <w:tc>
        <w:tcPr>
          <w:tcW w:w="2409" w:type="dxa"/>
        </w:tcPr>
        <w:p w14:paraId="61DF328B" w14:textId="77777777" w:rsidR="0038233A" w:rsidRPr="001B5FB6" w:rsidRDefault="0038233A" w:rsidP="000F1C51">
          <w:pPr>
            <w:tabs>
              <w:tab w:val="right" w:pos="8838"/>
            </w:tabs>
            <w:ind w:right="-10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253" w:type="dxa"/>
        </w:tcPr>
        <w:p w14:paraId="697C716C" w14:textId="21BF96CE" w:rsidR="0038233A" w:rsidRPr="00EA4542" w:rsidRDefault="0038233A" w:rsidP="000F1C51">
          <w:pPr>
            <w:tabs>
              <w:tab w:val="left" w:pos="2586"/>
              <w:tab w:val="right" w:pos="8838"/>
            </w:tabs>
            <w:ind w:left="-28"/>
            <w:rPr>
              <w:rFonts w:eastAsia="Calibri" w:cs="Tahoma"/>
            </w:rPr>
          </w:pPr>
          <w:r w:rsidRPr="00A66618">
            <w:rPr>
              <w:rFonts w:eastAsia="Calibri" w:cs="Tahoma"/>
              <w:lang w:val="es-MX"/>
            </w:rPr>
            <w:t>00556/INFOEM/IP/RR/2022</w:t>
          </w:r>
        </w:p>
      </w:tc>
    </w:tr>
    <w:tr w:rsidR="0038233A" w14:paraId="05319D97" w14:textId="77777777" w:rsidTr="001C2EB4">
      <w:trPr>
        <w:trHeight w:val="276"/>
      </w:trPr>
      <w:tc>
        <w:tcPr>
          <w:tcW w:w="2409" w:type="dxa"/>
        </w:tcPr>
        <w:p w14:paraId="4860C28D" w14:textId="77777777" w:rsidR="0038233A" w:rsidRPr="001B5FB6" w:rsidRDefault="0038233A" w:rsidP="000F1C51">
          <w:pPr>
            <w:tabs>
              <w:tab w:val="right" w:pos="8838"/>
            </w:tabs>
            <w:ind w:right="-105"/>
            <w:rPr>
              <w:rFonts w:eastAsia="Calibri" w:cs="Tahoma"/>
              <w:b/>
              <w:lang w:val="es-MX"/>
            </w:rPr>
          </w:pPr>
          <w:r w:rsidRPr="001B5FB6">
            <w:rPr>
              <w:rFonts w:eastAsia="Calibri" w:cs="Tahoma"/>
              <w:b/>
              <w:lang w:val="es-MX"/>
            </w:rPr>
            <w:t>Sujeto Obligado:</w:t>
          </w:r>
        </w:p>
      </w:tc>
      <w:tc>
        <w:tcPr>
          <w:tcW w:w="4253" w:type="dxa"/>
        </w:tcPr>
        <w:p w14:paraId="431484A6" w14:textId="693174CD" w:rsidR="0038233A" w:rsidRPr="00605283" w:rsidRDefault="0038233A" w:rsidP="00A66618">
          <w:pPr>
            <w:tabs>
              <w:tab w:val="right" w:pos="8838"/>
            </w:tabs>
            <w:rPr>
              <w:rFonts w:eastAsia="Calibri" w:cs="Tahoma"/>
              <w:lang w:val="es-MX"/>
            </w:rPr>
          </w:pPr>
          <w:r w:rsidRPr="003E7E96">
            <w:rPr>
              <w:rFonts w:eastAsia="Calibri" w:cs="Tahoma"/>
              <w:lang w:val="es-MX"/>
            </w:rPr>
            <w:t xml:space="preserve">Ayuntamiento de </w:t>
          </w:r>
          <w:r>
            <w:rPr>
              <w:rFonts w:eastAsia="Calibri" w:cs="Tahoma"/>
              <w:lang w:val="es-MX"/>
            </w:rPr>
            <w:t>Tenancingo</w:t>
          </w:r>
        </w:p>
      </w:tc>
    </w:tr>
    <w:tr w:rsidR="0038233A" w14:paraId="713A715B" w14:textId="77777777" w:rsidTr="001C2EB4">
      <w:trPr>
        <w:trHeight w:val="276"/>
      </w:trPr>
      <w:tc>
        <w:tcPr>
          <w:tcW w:w="2409" w:type="dxa"/>
        </w:tcPr>
        <w:p w14:paraId="5B774FB1" w14:textId="77777777" w:rsidR="0038233A" w:rsidRPr="001B5FB6" w:rsidRDefault="0038233A" w:rsidP="000F1C51">
          <w:pPr>
            <w:tabs>
              <w:tab w:val="right" w:pos="8838"/>
            </w:tabs>
            <w:ind w:right="-105"/>
            <w:rPr>
              <w:rFonts w:eastAsia="Calibri" w:cs="Tahoma"/>
              <w:b/>
              <w:lang w:val="es-MX"/>
            </w:rPr>
          </w:pPr>
          <w:r w:rsidRPr="001B5FB6">
            <w:rPr>
              <w:rFonts w:eastAsia="Calibri" w:cs="Tahoma"/>
              <w:b/>
              <w:lang w:val="es-MX"/>
            </w:rPr>
            <w:t>Comisionado Ponente:</w:t>
          </w:r>
        </w:p>
      </w:tc>
      <w:tc>
        <w:tcPr>
          <w:tcW w:w="4253" w:type="dxa"/>
        </w:tcPr>
        <w:p w14:paraId="2BD04D83" w14:textId="19AA1FE2" w:rsidR="0038233A" w:rsidRPr="00A8173F" w:rsidRDefault="0038233A" w:rsidP="000F1C51">
          <w:pPr>
            <w:tabs>
              <w:tab w:val="right" w:pos="8838"/>
            </w:tabs>
            <w:rPr>
              <w:rFonts w:eastAsia="Calibri" w:cs="Tahoma"/>
              <w:lang w:val="es-MX"/>
            </w:rPr>
          </w:pPr>
          <w:r w:rsidRPr="00A8173F">
            <w:rPr>
              <w:rFonts w:eastAsia="Calibri" w:cs="Tahoma"/>
              <w:lang w:val="es-MX"/>
            </w:rPr>
            <w:t>Luis Gustavo Parra Noriega</w:t>
          </w:r>
        </w:p>
      </w:tc>
    </w:tr>
  </w:tbl>
  <w:p w14:paraId="0A6563BD" w14:textId="77777777" w:rsidR="0038233A" w:rsidRDefault="0004695D">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ayout w:type="fixed"/>
      <w:tblLook w:val="04A0" w:firstRow="1" w:lastRow="0" w:firstColumn="1" w:lastColumn="0" w:noHBand="0" w:noVBand="1"/>
    </w:tblPr>
    <w:tblGrid>
      <w:gridCol w:w="2268"/>
      <w:gridCol w:w="7087"/>
    </w:tblGrid>
    <w:tr w:rsidR="0038233A" w:rsidRPr="005C106F" w14:paraId="791E66FA" w14:textId="77777777" w:rsidTr="00E447A4">
      <w:trPr>
        <w:trHeight w:val="1546"/>
      </w:trPr>
      <w:tc>
        <w:tcPr>
          <w:tcW w:w="2268" w:type="dxa"/>
          <w:shd w:val="clear" w:color="auto" w:fill="auto"/>
        </w:tcPr>
        <w:p w14:paraId="0C9AAC3E" w14:textId="77777777" w:rsidR="0038233A" w:rsidRPr="005C106F" w:rsidRDefault="0038233A" w:rsidP="00723C8A">
          <w:pPr>
            <w:tabs>
              <w:tab w:val="right" w:pos="4273"/>
            </w:tabs>
            <w:rPr>
              <w:rFonts w:ascii="Garamond" w:eastAsia="Calibri" w:hAnsi="Garamond"/>
              <w:sz w:val="16"/>
              <w:szCs w:val="16"/>
            </w:rPr>
          </w:pPr>
        </w:p>
      </w:tc>
      <w:tc>
        <w:tcPr>
          <w:tcW w:w="7087" w:type="dxa"/>
          <w:shd w:val="clear" w:color="auto" w:fill="auto"/>
        </w:tcPr>
        <w:p w14:paraId="385DD670" w14:textId="77777777" w:rsidR="0038233A" w:rsidRDefault="0038233A"/>
        <w:tbl>
          <w:tblPr>
            <w:tblStyle w:val="Tablaconcuadrcula"/>
            <w:tblW w:w="6520" w:type="dxa"/>
            <w:tblInd w:w="1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6"/>
          </w:tblGrid>
          <w:tr w:rsidR="0038233A" w14:paraId="751CE72E" w14:textId="77777777" w:rsidTr="00701875">
            <w:trPr>
              <w:trHeight w:val="141"/>
            </w:trPr>
            <w:tc>
              <w:tcPr>
                <w:tcW w:w="2404" w:type="dxa"/>
              </w:tcPr>
              <w:p w14:paraId="24CE744E" w14:textId="77777777" w:rsidR="0038233A" w:rsidRPr="001B5FB6" w:rsidRDefault="0038233A" w:rsidP="00723C8A">
                <w:pPr>
                  <w:tabs>
                    <w:tab w:val="right" w:pos="8838"/>
                  </w:tabs>
                  <w:ind w:right="-105"/>
                  <w:jc w:val="left"/>
                  <w:rPr>
                    <w:rFonts w:eastAsia="Calibri" w:cs="Tahoma"/>
                    <w:b/>
                    <w:lang w:val="es-MX"/>
                  </w:rPr>
                </w:pPr>
                <w:r w:rsidRPr="001B5FB6">
                  <w:rPr>
                    <w:rFonts w:eastAsia="Calibri" w:cs="Tahoma"/>
                    <w:b/>
                    <w:lang w:val="es-MX"/>
                  </w:rPr>
                  <w:t>Recurso de Revisión:</w:t>
                </w:r>
              </w:p>
            </w:tc>
            <w:tc>
              <w:tcPr>
                <w:tcW w:w="4116" w:type="dxa"/>
              </w:tcPr>
              <w:p w14:paraId="1F50AD81" w14:textId="5A14D871" w:rsidR="0038233A" w:rsidRPr="00EA4542" w:rsidRDefault="0038233A" w:rsidP="00723C8A">
                <w:pPr>
                  <w:tabs>
                    <w:tab w:val="right" w:pos="8838"/>
                  </w:tabs>
                  <w:ind w:right="-107"/>
                  <w:rPr>
                    <w:rFonts w:eastAsia="Calibri" w:cs="Tahoma"/>
                  </w:rPr>
                </w:pPr>
                <w:r w:rsidRPr="00A66618">
                  <w:rPr>
                    <w:rFonts w:eastAsia="Calibri" w:cs="Tahoma"/>
                    <w:lang w:val="es-MX"/>
                  </w:rPr>
                  <w:t>00556/INFOEM/IP/RR/2022</w:t>
                </w:r>
              </w:p>
            </w:tc>
          </w:tr>
          <w:tr w:rsidR="0038233A" w14:paraId="7FBF0A30" w14:textId="77777777" w:rsidTr="00701875">
            <w:trPr>
              <w:trHeight w:val="141"/>
            </w:trPr>
            <w:tc>
              <w:tcPr>
                <w:tcW w:w="2404" w:type="dxa"/>
              </w:tcPr>
              <w:p w14:paraId="70DDCE30" w14:textId="77777777" w:rsidR="0038233A" w:rsidRPr="001B5FB6" w:rsidRDefault="0038233A" w:rsidP="00723C8A">
                <w:pPr>
                  <w:tabs>
                    <w:tab w:val="right" w:pos="8838"/>
                  </w:tabs>
                  <w:ind w:right="-105"/>
                  <w:rPr>
                    <w:rFonts w:eastAsia="Calibri" w:cs="Tahoma"/>
                    <w:b/>
                    <w:lang w:val="es-MX"/>
                  </w:rPr>
                </w:pPr>
                <w:r w:rsidRPr="001B5FB6">
                  <w:rPr>
                    <w:rFonts w:eastAsia="Calibri" w:cs="Tahoma"/>
                    <w:b/>
                    <w:lang w:val="es-MX"/>
                  </w:rPr>
                  <w:t>Recurrente:</w:t>
                </w:r>
              </w:p>
            </w:tc>
            <w:tc>
              <w:tcPr>
                <w:tcW w:w="4116" w:type="dxa"/>
              </w:tcPr>
              <w:p w14:paraId="083BF8A8" w14:textId="77A61E2A" w:rsidR="0038233A" w:rsidRPr="003405AF" w:rsidRDefault="0038233A" w:rsidP="00A66618">
                <w:pPr>
                  <w:tabs>
                    <w:tab w:val="right" w:pos="8838"/>
                  </w:tabs>
                  <w:ind w:right="-107"/>
                  <w:rPr>
                    <w:rFonts w:eastAsia="Calibri" w:cs="Tahoma"/>
                    <w:lang w:val="es-MX"/>
                  </w:rPr>
                </w:pPr>
              </w:p>
            </w:tc>
          </w:tr>
          <w:tr w:rsidR="0038233A" w14:paraId="7C9355BB" w14:textId="77777777" w:rsidTr="00701875">
            <w:trPr>
              <w:trHeight w:val="276"/>
            </w:trPr>
            <w:tc>
              <w:tcPr>
                <w:tcW w:w="2404" w:type="dxa"/>
              </w:tcPr>
              <w:p w14:paraId="5EF6C660" w14:textId="77777777" w:rsidR="0038233A" w:rsidRPr="001B5FB6" w:rsidRDefault="0038233A" w:rsidP="00723C8A">
                <w:pPr>
                  <w:tabs>
                    <w:tab w:val="right" w:pos="8838"/>
                  </w:tabs>
                  <w:ind w:right="-105"/>
                  <w:rPr>
                    <w:rFonts w:eastAsia="Calibri" w:cs="Tahoma"/>
                    <w:b/>
                    <w:lang w:val="es-MX"/>
                  </w:rPr>
                </w:pPr>
                <w:r w:rsidRPr="001B5FB6">
                  <w:rPr>
                    <w:rFonts w:eastAsia="Calibri" w:cs="Tahoma"/>
                    <w:b/>
                    <w:lang w:val="es-MX"/>
                  </w:rPr>
                  <w:t>Sujeto Obligado:</w:t>
                </w:r>
              </w:p>
            </w:tc>
            <w:tc>
              <w:tcPr>
                <w:tcW w:w="4116" w:type="dxa"/>
              </w:tcPr>
              <w:p w14:paraId="3C25434B" w14:textId="016568B6" w:rsidR="0038233A" w:rsidRPr="00605283" w:rsidRDefault="0038233A" w:rsidP="00F406CE">
                <w:pPr>
                  <w:tabs>
                    <w:tab w:val="right" w:pos="8838"/>
                  </w:tabs>
                  <w:ind w:left="-28" w:right="-107"/>
                  <w:rPr>
                    <w:rFonts w:eastAsia="Calibri" w:cs="Tahoma"/>
                    <w:lang w:val="es-MX"/>
                  </w:rPr>
                </w:pPr>
                <w:r w:rsidRPr="00A66618">
                  <w:rPr>
                    <w:rFonts w:eastAsia="Calibri" w:cs="Tahoma"/>
                    <w:lang w:val="es-MX"/>
                  </w:rPr>
                  <w:t>Ayuntamiento de Tenancingo</w:t>
                </w:r>
              </w:p>
            </w:tc>
          </w:tr>
          <w:tr w:rsidR="0038233A" w14:paraId="0752A001" w14:textId="77777777" w:rsidTr="00701875">
            <w:trPr>
              <w:trHeight w:val="276"/>
            </w:trPr>
            <w:tc>
              <w:tcPr>
                <w:tcW w:w="2404" w:type="dxa"/>
              </w:tcPr>
              <w:p w14:paraId="3B4CDDB2" w14:textId="77777777" w:rsidR="0038233A" w:rsidRPr="001B5FB6" w:rsidRDefault="0038233A" w:rsidP="00723C8A">
                <w:pPr>
                  <w:tabs>
                    <w:tab w:val="right" w:pos="8838"/>
                  </w:tabs>
                  <w:ind w:right="-105"/>
                  <w:rPr>
                    <w:rFonts w:eastAsia="Calibri" w:cs="Tahoma"/>
                    <w:b/>
                    <w:lang w:val="es-MX"/>
                  </w:rPr>
                </w:pPr>
                <w:r w:rsidRPr="001B5FB6">
                  <w:rPr>
                    <w:rFonts w:eastAsia="Calibri" w:cs="Tahoma"/>
                    <w:b/>
                    <w:lang w:val="es-MX"/>
                  </w:rPr>
                  <w:t>Comisionado Ponente:</w:t>
                </w:r>
              </w:p>
            </w:tc>
            <w:tc>
              <w:tcPr>
                <w:tcW w:w="4116" w:type="dxa"/>
              </w:tcPr>
              <w:p w14:paraId="0EE1CBC3" w14:textId="77777777" w:rsidR="0038233A" w:rsidRPr="00A8173F" w:rsidRDefault="0038233A" w:rsidP="00723C8A">
                <w:pPr>
                  <w:tabs>
                    <w:tab w:val="right" w:pos="8838"/>
                  </w:tabs>
                  <w:ind w:left="-28" w:right="-107"/>
                  <w:rPr>
                    <w:rFonts w:eastAsia="Calibri" w:cs="Tahoma"/>
                    <w:lang w:val="es-MX"/>
                  </w:rPr>
                </w:pPr>
                <w:r w:rsidRPr="00A8173F">
                  <w:rPr>
                    <w:rFonts w:eastAsia="Calibri" w:cs="Tahoma"/>
                    <w:lang w:val="es-MX"/>
                  </w:rPr>
                  <w:t>Luis Gustavo Parra Noriega</w:t>
                </w:r>
              </w:p>
            </w:tc>
          </w:tr>
        </w:tbl>
        <w:p w14:paraId="07D107A1" w14:textId="77777777" w:rsidR="0038233A" w:rsidRPr="005C106F" w:rsidRDefault="0038233A" w:rsidP="00723C8A">
          <w:pPr>
            <w:tabs>
              <w:tab w:val="right" w:pos="8838"/>
            </w:tabs>
            <w:ind w:left="-28"/>
            <w:rPr>
              <w:rFonts w:ascii="Arial" w:eastAsia="Calibri" w:hAnsi="Arial" w:cs="Arial"/>
              <w:b/>
            </w:rPr>
          </w:pPr>
        </w:p>
      </w:tc>
    </w:tr>
  </w:tbl>
  <w:p w14:paraId="280F3B20" w14:textId="77777777" w:rsidR="0038233A" w:rsidRDefault="0004695D">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6.1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C4457"/>
    <w:multiLevelType w:val="hybridMultilevel"/>
    <w:tmpl w:val="428C773A"/>
    <w:lvl w:ilvl="0" w:tplc="71E4D072">
      <w:start w:val="5"/>
      <w:numFmt w:val="bullet"/>
      <w:lvlText w:val="-"/>
      <w:lvlJc w:val="left"/>
      <w:pPr>
        <w:ind w:left="786" w:hanging="360"/>
      </w:pPr>
      <w:rPr>
        <w:rFonts w:ascii="Palatino Linotype" w:eastAsia="Times New Roman" w:hAnsi="Palatino Linotype" w:cs="Tahoma"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0BB71DF8"/>
    <w:multiLevelType w:val="hybridMultilevel"/>
    <w:tmpl w:val="0AF4A22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BF0975"/>
    <w:multiLevelType w:val="hybridMultilevel"/>
    <w:tmpl w:val="1996E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82DD5"/>
    <w:multiLevelType w:val="hybridMultilevel"/>
    <w:tmpl w:val="FF3ADA9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4" w15:restartNumberingAfterBreak="0">
    <w:nsid w:val="5544588A"/>
    <w:multiLevelType w:val="hybridMultilevel"/>
    <w:tmpl w:val="8FA07C02"/>
    <w:lvl w:ilvl="0" w:tplc="43FA59C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AB0D79"/>
    <w:multiLevelType w:val="hybridMultilevel"/>
    <w:tmpl w:val="16C26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355389"/>
    <w:multiLevelType w:val="hybridMultilevel"/>
    <w:tmpl w:val="2C8A34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36226E"/>
    <w:multiLevelType w:val="hybridMultilevel"/>
    <w:tmpl w:val="113C8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DC48D6"/>
    <w:multiLevelType w:val="hybridMultilevel"/>
    <w:tmpl w:val="1744E8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D1A2A4C"/>
    <w:multiLevelType w:val="hybridMultilevel"/>
    <w:tmpl w:val="0210841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25467562">
    <w:abstractNumId w:val="7"/>
  </w:num>
  <w:num w:numId="2" w16cid:durableId="2121486891">
    <w:abstractNumId w:val="14"/>
  </w:num>
  <w:num w:numId="3" w16cid:durableId="1485246146">
    <w:abstractNumId w:val="18"/>
  </w:num>
  <w:num w:numId="4" w16cid:durableId="1363819228">
    <w:abstractNumId w:val="20"/>
  </w:num>
  <w:num w:numId="5" w16cid:durableId="1310749896">
    <w:abstractNumId w:val="5"/>
  </w:num>
  <w:num w:numId="6" w16cid:durableId="2055302639">
    <w:abstractNumId w:val="21"/>
  </w:num>
  <w:num w:numId="7" w16cid:durableId="1075123307">
    <w:abstractNumId w:val="6"/>
  </w:num>
  <w:num w:numId="8" w16cid:durableId="765926402">
    <w:abstractNumId w:val="10"/>
  </w:num>
  <w:num w:numId="9" w16cid:durableId="2095854101">
    <w:abstractNumId w:val="4"/>
  </w:num>
  <w:num w:numId="10" w16cid:durableId="1561404570">
    <w:abstractNumId w:val="9"/>
  </w:num>
  <w:num w:numId="11" w16cid:durableId="420756510">
    <w:abstractNumId w:val="19"/>
  </w:num>
  <w:num w:numId="12" w16cid:durableId="276371598">
    <w:abstractNumId w:val="13"/>
  </w:num>
  <w:num w:numId="13" w16cid:durableId="1627587473">
    <w:abstractNumId w:val="16"/>
  </w:num>
  <w:num w:numId="14" w16cid:durableId="1800340408">
    <w:abstractNumId w:val="11"/>
  </w:num>
  <w:num w:numId="15" w16cid:durableId="810174005">
    <w:abstractNumId w:val="12"/>
  </w:num>
  <w:num w:numId="16" w16cid:durableId="1446460229">
    <w:abstractNumId w:val="1"/>
  </w:num>
  <w:num w:numId="17" w16cid:durableId="1486818634">
    <w:abstractNumId w:val="2"/>
  </w:num>
  <w:num w:numId="18" w16cid:durableId="1941839722">
    <w:abstractNumId w:val="17"/>
  </w:num>
  <w:num w:numId="19" w16cid:durableId="1574970051">
    <w:abstractNumId w:val="0"/>
  </w:num>
  <w:num w:numId="20" w16cid:durableId="1862041276">
    <w:abstractNumId w:val="8"/>
  </w:num>
  <w:num w:numId="21" w16cid:durableId="872423742">
    <w:abstractNumId w:val="3"/>
  </w:num>
  <w:num w:numId="22" w16cid:durableId="37908902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70F"/>
    <w:rsid w:val="00001F87"/>
    <w:rsid w:val="00002E53"/>
    <w:rsid w:val="000039BC"/>
    <w:rsid w:val="00003CB3"/>
    <w:rsid w:val="000051F1"/>
    <w:rsid w:val="00005C32"/>
    <w:rsid w:val="00007008"/>
    <w:rsid w:val="00007EB8"/>
    <w:rsid w:val="0001030E"/>
    <w:rsid w:val="000114B7"/>
    <w:rsid w:val="0001263E"/>
    <w:rsid w:val="00013773"/>
    <w:rsid w:val="0001499A"/>
    <w:rsid w:val="00014F81"/>
    <w:rsid w:val="00017AB4"/>
    <w:rsid w:val="00017D8C"/>
    <w:rsid w:val="000223B0"/>
    <w:rsid w:val="00022CE2"/>
    <w:rsid w:val="00022EDA"/>
    <w:rsid w:val="00024F36"/>
    <w:rsid w:val="00027FA3"/>
    <w:rsid w:val="00030561"/>
    <w:rsid w:val="00030CAA"/>
    <w:rsid w:val="00031A8A"/>
    <w:rsid w:val="00032741"/>
    <w:rsid w:val="0003549B"/>
    <w:rsid w:val="00036A9C"/>
    <w:rsid w:val="00037D99"/>
    <w:rsid w:val="000409AC"/>
    <w:rsid w:val="00043D6A"/>
    <w:rsid w:val="00046650"/>
    <w:rsid w:val="0004695D"/>
    <w:rsid w:val="000477C6"/>
    <w:rsid w:val="00050591"/>
    <w:rsid w:val="00050A47"/>
    <w:rsid w:val="00051537"/>
    <w:rsid w:val="00052A57"/>
    <w:rsid w:val="00052BD5"/>
    <w:rsid w:val="00053D03"/>
    <w:rsid w:val="00055FDE"/>
    <w:rsid w:val="00062286"/>
    <w:rsid w:val="00062AAC"/>
    <w:rsid w:val="00062C8B"/>
    <w:rsid w:val="000705A9"/>
    <w:rsid w:val="00076640"/>
    <w:rsid w:val="00077E8D"/>
    <w:rsid w:val="00081145"/>
    <w:rsid w:val="00084E05"/>
    <w:rsid w:val="00084E4E"/>
    <w:rsid w:val="00086C02"/>
    <w:rsid w:val="00093915"/>
    <w:rsid w:val="000939CD"/>
    <w:rsid w:val="0009537D"/>
    <w:rsid w:val="00096694"/>
    <w:rsid w:val="000A1ECD"/>
    <w:rsid w:val="000A2588"/>
    <w:rsid w:val="000A259F"/>
    <w:rsid w:val="000A61A2"/>
    <w:rsid w:val="000A66BB"/>
    <w:rsid w:val="000A7729"/>
    <w:rsid w:val="000A785D"/>
    <w:rsid w:val="000B0552"/>
    <w:rsid w:val="000B0A40"/>
    <w:rsid w:val="000B0EAF"/>
    <w:rsid w:val="000B18A1"/>
    <w:rsid w:val="000B3863"/>
    <w:rsid w:val="000B4EDD"/>
    <w:rsid w:val="000B7029"/>
    <w:rsid w:val="000C715C"/>
    <w:rsid w:val="000D00F9"/>
    <w:rsid w:val="000D1A72"/>
    <w:rsid w:val="000D2522"/>
    <w:rsid w:val="000D45D9"/>
    <w:rsid w:val="000D4F5A"/>
    <w:rsid w:val="000D59F5"/>
    <w:rsid w:val="000D69EB"/>
    <w:rsid w:val="000D6E57"/>
    <w:rsid w:val="000D6E68"/>
    <w:rsid w:val="000D73F7"/>
    <w:rsid w:val="000D7FE9"/>
    <w:rsid w:val="000E28E6"/>
    <w:rsid w:val="000E4E10"/>
    <w:rsid w:val="000F1C51"/>
    <w:rsid w:val="000F2A9A"/>
    <w:rsid w:val="000F3403"/>
    <w:rsid w:val="000F45A1"/>
    <w:rsid w:val="000F644C"/>
    <w:rsid w:val="001004CE"/>
    <w:rsid w:val="00100EB3"/>
    <w:rsid w:val="0010232F"/>
    <w:rsid w:val="00102353"/>
    <w:rsid w:val="0010413E"/>
    <w:rsid w:val="0010424F"/>
    <w:rsid w:val="00105557"/>
    <w:rsid w:val="001059E3"/>
    <w:rsid w:val="00105EF9"/>
    <w:rsid w:val="001105F1"/>
    <w:rsid w:val="00111983"/>
    <w:rsid w:val="00115309"/>
    <w:rsid w:val="001202DE"/>
    <w:rsid w:val="00121E17"/>
    <w:rsid w:val="00121E23"/>
    <w:rsid w:val="001251F1"/>
    <w:rsid w:val="0012681A"/>
    <w:rsid w:val="00134C39"/>
    <w:rsid w:val="00134C8F"/>
    <w:rsid w:val="00142439"/>
    <w:rsid w:val="00142455"/>
    <w:rsid w:val="00146731"/>
    <w:rsid w:val="00151942"/>
    <w:rsid w:val="00155B0D"/>
    <w:rsid w:val="00157C2F"/>
    <w:rsid w:val="001601CC"/>
    <w:rsid w:val="00161E74"/>
    <w:rsid w:val="00164599"/>
    <w:rsid w:val="001675D9"/>
    <w:rsid w:val="00170D35"/>
    <w:rsid w:val="00173543"/>
    <w:rsid w:val="0017427D"/>
    <w:rsid w:val="00174F57"/>
    <w:rsid w:val="00175572"/>
    <w:rsid w:val="00176482"/>
    <w:rsid w:val="0017654A"/>
    <w:rsid w:val="00180003"/>
    <w:rsid w:val="001900B4"/>
    <w:rsid w:val="00190B1D"/>
    <w:rsid w:val="00190EBA"/>
    <w:rsid w:val="001920B8"/>
    <w:rsid w:val="001935D3"/>
    <w:rsid w:val="0019465D"/>
    <w:rsid w:val="00194DD1"/>
    <w:rsid w:val="00194EFB"/>
    <w:rsid w:val="001951CB"/>
    <w:rsid w:val="0019678D"/>
    <w:rsid w:val="001A47FB"/>
    <w:rsid w:val="001A4A1F"/>
    <w:rsid w:val="001A641F"/>
    <w:rsid w:val="001A6D00"/>
    <w:rsid w:val="001B176C"/>
    <w:rsid w:val="001B3B40"/>
    <w:rsid w:val="001B4706"/>
    <w:rsid w:val="001B77BD"/>
    <w:rsid w:val="001B7C6E"/>
    <w:rsid w:val="001C1007"/>
    <w:rsid w:val="001C2EB4"/>
    <w:rsid w:val="001C3C7E"/>
    <w:rsid w:val="001C3D02"/>
    <w:rsid w:val="001C6764"/>
    <w:rsid w:val="001D02DD"/>
    <w:rsid w:val="001D37BB"/>
    <w:rsid w:val="001D41B7"/>
    <w:rsid w:val="001D4812"/>
    <w:rsid w:val="001D5DF0"/>
    <w:rsid w:val="001E386E"/>
    <w:rsid w:val="001E41D0"/>
    <w:rsid w:val="001E6D1F"/>
    <w:rsid w:val="001F4559"/>
    <w:rsid w:val="001F483D"/>
    <w:rsid w:val="001F5800"/>
    <w:rsid w:val="001F6496"/>
    <w:rsid w:val="001F7383"/>
    <w:rsid w:val="001F7C51"/>
    <w:rsid w:val="001F7D15"/>
    <w:rsid w:val="0020259E"/>
    <w:rsid w:val="00204AF1"/>
    <w:rsid w:val="00207DDC"/>
    <w:rsid w:val="00210FBE"/>
    <w:rsid w:val="002111A8"/>
    <w:rsid w:val="00213776"/>
    <w:rsid w:val="002142D3"/>
    <w:rsid w:val="002161B2"/>
    <w:rsid w:val="002173BE"/>
    <w:rsid w:val="002201A7"/>
    <w:rsid w:val="00220583"/>
    <w:rsid w:val="0022261D"/>
    <w:rsid w:val="0022288F"/>
    <w:rsid w:val="00222FF2"/>
    <w:rsid w:val="00223645"/>
    <w:rsid w:val="00223ACE"/>
    <w:rsid w:val="0022757C"/>
    <w:rsid w:val="00230AA4"/>
    <w:rsid w:val="00231746"/>
    <w:rsid w:val="00232D61"/>
    <w:rsid w:val="00235BA0"/>
    <w:rsid w:val="002402DE"/>
    <w:rsid w:val="00241762"/>
    <w:rsid w:val="002419E9"/>
    <w:rsid w:val="0024313A"/>
    <w:rsid w:val="00244E3C"/>
    <w:rsid w:val="002505B3"/>
    <w:rsid w:val="00250EA7"/>
    <w:rsid w:val="00250FC0"/>
    <w:rsid w:val="00252EF3"/>
    <w:rsid w:val="0025392A"/>
    <w:rsid w:val="0025433F"/>
    <w:rsid w:val="002557A7"/>
    <w:rsid w:val="00257162"/>
    <w:rsid w:val="00257F3B"/>
    <w:rsid w:val="0026066D"/>
    <w:rsid w:val="00260AAA"/>
    <w:rsid w:val="00261807"/>
    <w:rsid w:val="00261BED"/>
    <w:rsid w:val="002629BF"/>
    <w:rsid w:val="002634E5"/>
    <w:rsid w:val="00263945"/>
    <w:rsid w:val="002659EC"/>
    <w:rsid w:val="0026680B"/>
    <w:rsid w:val="00270B8B"/>
    <w:rsid w:val="002718A0"/>
    <w:rsid w:val="00271D9C"/>
    <w:rsid w:val="00272886"/>
    <w:rsid w:val="00272C86"/>
    <w:rsid w:val="00273E3B"/>
    <w:rsid w:val="0028305A"/>
    <w:rsid w:val="002848FE"/>
    <w:rsid w:val="00290786"/>
    <w:rsid w:val="0029095F"/>
    <w:rsid w:val="00290A59"/>
    <w:rsid w:val="00294A21"/>
    <w:rsid w:val="00296E2A"/>
    <w:rsid w:val="002A0C47"/>
    <w:rsid w:val="002A3703"/>
    <w:rsid w:val="002A6797"/>
    <w:rsid w:val="002B0B6F"/>
    <w:rsid w:val="002B23B1"/>
    <w:rsid w:val="002B3565"/>
    <w:rsid w:val="002B3FDA"/>
    <w:rsid w:val="002B54AE"/>
    <w:rsid w:val="002B7645"/>
    <w:rsid w:val="002C514D"/>
    <w:rsid w:val="002C59A0"/>
    <w:rsid w:val="002C6390"/>
    <w:rsid w:val="002C7309"/>
    <w:rsid w:val="002D138C"/>
    <w:rsid w:val="002D2293"/>
    <w:rsid w:val="002D2E5D"/>
    <w:rsid w:val="002D41BF"/>
    <w:rsid w:val="002D6C44"/>
    <w:rsid w:val="002D6F3F"/>
    <w:rsid w:val="002E0552"/>
    <w:rsid w:val="002E05CE"/>
    <w:rsid w:val="002E05D6"/>
    <w:rsid w:val="002E25E7"/>
    <w:rsid w:val="002E333F"/>
    <w:rsid w:val="002E33E8"/>
    <w:rsid w:val="002E4C7D"/>
    <w:rsid w:val="002E5ABC"/>
    <w:rsid w:val="002E5CED"/>
    <w:rsid w:val="002E64D7"/>
    <w:rsid w:val="002F4AC0"/>
    <w:rsid w:val="002F5BC4"/>
    <w:rsid w:val="002F5C14"/>
    <w:rsid w:val="002F66A8"/>
    <w:rsid w:val="002F7A33"/>
    <w:rsid w:val="00300286"/>
    <w:rsid w:val="0030153D"/>
    <w:rsid w:val="00311288"/>
    <w:rsid w:val="003114A1"/>
    <w:rsid w:val="00311811"/>
    <w:rsid w:val="0031541E"/>
    <w:rsid w:val="0031593A"/>
    <w:rsid w:val="003160D6"/>
    <w:rsid w:val="00316279"/>
    <w:rsid w:val="00316C63"/>
    <w:rsid w:val="003173D5"/>
    <w:rsid w:val="00320671"/>
    <w:rsid w:val="00320B93"/>
    <w:rsid w:val="003211C1"/>
    <w:rsid w:val="003265A2"/>
    <w:rsid w:val="0033005B"/>
    <w:rsid w:val="003313F2"/>
    <w:rsid w:val="00334B20"/>
    <w:rsid w:val="00335471"/>
    <w:rsid w:val="003356A2"/>
    <w:rsid w:val="00336980"/>
    <w:rsid w:val="00337401"/>
    <w:rsid w:val="003422FA"/>
    <w:rsid w:val="003436E6"/>
    <w:rsid w:val="003444C2"/>
    <w:rsid w:val="0034462A"/>
    <w:rsid w:val="00345528"/>
    <w:rsid w:val="00346076"/>
    <w:rsid w:val="00346E7D"/>
    <w:rsid w:val="00346FCE"/>
    <w:rsid w:val="003475E0"/>
    <w:rsid w:val="00350D55"/>
    <w:rsid w:val="00352A89"/>
    <w:rsid w:val="003537E3"/>
    <w:rsid w:val="003545A0"/>
    <w:rsid w:val="00355553"/>
    <w:rsid w:val="00360690"/>
    <w:rsid w:val="00360926"/>
    <w:rsid w:val="00362C97"/>
    <w:rsid w:val="00362DE2"/>
    <w:rsid w:val="00363046"/>
    <w:rsid w:val="00364050"/>
    <w:rsid w:val="003647F7"/>
    <w:rsid w:val="00365075"/>
    <w:rsid w:val="0036547D"/>
    <w:rsid w:val="0037048D"/>
    <w:rsid w:val="00371DAE"/>
    <w:rsid w:val="00371F0D"/>
    <w:rsid w:val="00372B67"/>
    <w:rsid w:val="00372BAB"/>
    <w:rsid w:val="00375A1F"/>
    <w:rsid w:val="00376559"/>
    <w:rsid w:val="00380368"/>
    <w:rsid w:val="00381289"/>
    <w:rsid w:val="00381FDE"/>
    <w:rsid w:val="0038233A"/>
    <w:rsid w:val="00384A4A"/>
    <w:rsid w:val="00384DC9"/>
    <w:rsid w:val="0038641D"/>
    <w:rsid w:val="00386D06"/>
    <w:rsid w:val="0038779D"/>
    <w:rsid w:val="00387F06"/>
    <w:rsid w:val="003907C6"/>
    <w:rsid w:val="0039106C"/>
    <w:rsid w:val="00391EDC"/>
    <w:rsid w:val="003936D2"/>
    <w:rsid w:val="00394E0F"/>
    <w:rsid w:val="003955C4"/>
    <w:rsid w:val="003975AD"/>
    <w:rsid w:val="00397660"/>
    <w:rsid w:val="003A0B47"/>
    <w:rsid w:val="003A1B84"/>
    <w:rsid w:val="003A367E"/>
    <w:rsid w:val="003A6FD5"/>
    <w:rsid w:val="003A733F"/>
    <w:rsid w:val="003B0BA2"/>
    <w:rsid w:val="003B3EA2"/>
    <w:rsid w:val="003B46DC"/>
    <w:rsid w:val="003B52C1"/>
    <w:rsid w:val="003B6F53"/>
    <w:rsid w:val="003B77BC"/>
    <w:rsid w:val="003C1E55"/>
    <w:rsid w:val="003C2872"/>
    <w:rsid w:val="003C2ED7"/>
    <w:rsid w:val="003C470A"/>
    <w:rsid w:val="003C5B59"/>
    <w:rsid w:val="003C6CA0"/>
    <w:rsid w:val="003D15D4"/>
    <w:rsid w:val="003D2F87"/>
    <w:rsid w:val="003D30B4"/>
    <w:rsid w:val="003D4A58"/>
    <w:rsid w:val="003D7ED4"/>
    <w:rsid w:val="003E2FB0"/>
    <w:rsid w:val="003E5EEB"/>
    <w:rsid w:val="003E6425"/>
    <w:rsid w:val="003E7060"/>
    <w:rsid w:val="003E7914"/>
    <w:rsid w:val="003E7E96"/>
    <w:rsid w:val="003F0CE1"/>
    <w:rsid w:val="003F0E14"/>
    <w:rsid w:val="003F0F63"/>
    <w:rsid w:val="003F1756"/>
    <w:rsid w:val="003F627E"/>
    <w:rsid w:val="003F796D"/>
    <w:rsid w:val="00402F0B"/>
    <w:rsid w:val="00404FE3"/>
    <w:rsid w:val="0040544D"/>
    <w:rsid w:val="004059D0"/>
    <w:rsid w:val="00406DAB"/>
    <w:rsid w:val="004100F2"/>
    <w:rsid w:val="004122A9"/>
    <w:rsid w:val="0041449D"/>
    <w:rsid w:val="004145A8"/>
    <w:rsid w:val="00415A15"/>
    <w:rsid w:val="00417EED"/>
    <w:rsid w:val="00420D0E"/>
    <w:rsid w:val="004224DF"/>
    <w:rsid w:val="00423810"/>
    <w:rsid w:val="0042422A"/>
    <w:rsid w:val="004256B6"/>
    <w:rsid w:val="00425CB1"/>
    <w:rsid w:val="00430B0D"/>
    <w:rsid w:val="00433658"/>
    <w:rsid w:val="00433CAA"/>
    <w:rsid w:val="00434DC4"/>
    <w:rsid w:val="00435998"/>
    <w:rsid w:val="00443A58"/>
    <w:rsid w:val="00446A02"/>
    <w:rsid w:val="00450E6E"/>
    <w:rsid w:val="00451AB2"/>
    <w:rsid w:val="00452038"/>
    <w:rsid w:val="004542DC"/>
    <w:rsid w:val="004548CD"/>
    <w:rsid w:val="00460EAD"/>
    <w:rsid w:val="00462A63"/>
    <w:rsid w:val="004633F1"/>
    <w:rsid w:val="00463A70"/>
    <w:rsid w:val="00464242"/>
    <w:rsid w:val="00465EC8"/>
    <w:rsid w:val="004673C4"/>
    <w:rsid w:val="00467664"/>
    <w:rsid w:val="00467751"/>
    <w:rsid w:val="00470A7A"/>
    <w:rsid w:val="00470AF6"/>
    <w:rsid w:val="00470B1D"/>
    <w:rsid w:val="00471A6E"/>
    <w:rsid w:val="004730CB"/>
    <w:rsid w:val="00474538"/>
    <w:rsid w:val="00474E4C"/>
    <w:rsid w:val="00475766"/>
    <w:rsid w:val="00476ED1"/>
    <w:rsid w:val="004829B9"/>
    <w:rsid w:val="004845BF"/>
    <w:rsid w:val="00485D8B"/>
    <w:rsid w:val="0048648B"/>
    <w:rsid w:val="00487051"/>
    <w:rsid w:val="0049061B"/>
    <w:rsid w:val="00491C3E"/>
    <w:rsid w:val="00491DA5"/>
    <w:rsid w:val="00493C19"/>
    <w:rsid w:val="00494387"/>
    <w:rsid w:val="004949AC"/>
    <w:rsid w:val="00496426"/>
    <w:rsid w:val="004A11B5"/>
    <w:rsid w:val="004A1724"/>
    <w:rsid w:val="004A1E88"/>
    <w:rsid w:val="004A27DB"/>
    <w:rsid w:val="004A3505"/>
    <w:rsid w:val="004A528D"/>
    <w:rsid w:val="004A74BF"/>
    <w:rsid w:val="004A7747"/>
    <w:rsid w:val="004A7D90"/>
    <w:rsid w:val="004B15BE"/>
    <w:rsid w:val="004B60AA"/>
    <w:rsid w:val="004B720F"/>
    <w:rsid w:val="004B726A"/>
    <w:rsid w:val="004B72FC"/>
    <w:rsid w:val="004C03A0"/>
    <w:rsid w:val="004C0426"/>
    <w:rsid w:val="004C05C5"/>
    <w:rsid w:val="004C1B53"/>
    <w:rsid w:val="004C34C6"/>
    <w:rsid w:val="004C3C1A"/>
    <w:rsid w:val="004C4E6C"/>
    <w:rsid w:val="004C547F"/>
    <w:rsid w:val="004C6C75"/>
    <w:rsid w:val="004D088D"/>
    <w:rsid w:val="004D0B02"/>
    <w:rsid w:val="004D2468"/>
    <w:rsid w:val="004D4220"/>
    <w:rsid w:val="004D66A3"/>
    <w:rsid w:val="004E1BF6"/>
    <w:rsid w:val="004E2875"/>
    <w:rsid w:val="004E33C1"/>
    <w:rsid w:val="004E5602"/>
    <w:rsid w:val="004E617D"/>
    <w:rsid w:val="004E6BF4"/>
    <w:rsid w:val="004E6D06"/>
    <w:rsid w:val="004F1048"/>
    <w:rsid w:val="004F4445"/>
    <w:rsid w:val="004F59B3"/>
    <w:rsid w:val="004F6003"/>
    <w:rsid w:val="004F61BE"/>
    <w:rsid w:val="004F662C"/>
    <w:rsid w:val="004F736C"/>
    <w:rsid w:val="004F7666"/>
    <w:rsid w:val="004F7899"/>
    <w:rsid w:val="005010C6"/>
    <w:rsid w:val="00502565"/>
    <w:rsid w:val="00502A03"/>
    <w:rsid w:val="005054D9"/>
    <w:rsid w:val="00506F24"/>
    <w:rsid w:val="005072F3"/>
    <w:rsid w:val="00507489"/>
    <w:rsid w:val="00511265"/>
    <w:rsid w:val="00513F33"/>
    <w:rsid w:val="00513F76"/>
    <w:rsid w:val="00515CA2"/>
    <w:rsid w:val="00517B06"/>
    <w:rsid w:val="00517D95"/>
    <w:rsid w:val="00520182"/>
    <w:rsid w:val="00522F3F"/>
    <w:rsid w:val="005230CF"/>
    <w:rsid w:val="00526FC2"/>
    <w:rsid w:val="005277CB"/>
    <w:rsid w:val="00533C3F"/>
    <w:rsid w:val="00534616"/>
    <w:rsid w:val="00534853"/>
    <w:rsid w:val="00534932"/>
    <w:rsid w:val="0054028E"/>
    <w:rsid w:val="00540994"/>
    <w:rsid w:val="00541DB9"/>
    <w:rsid w:val="0054404E"/>
    <w:rsid w:val="005461D7"/>
    <w:rsid w:val="0054636A"/>
    <w:rsid w:val="00550D10"/>
    <w:rsid w:val="00551230"/>
    <w:rsid w:val="00551B8F"/>
    <w:rsid w:val="00553571"/>
    <w:rsid w:val="00553F49"/>
    <w:rsid w:val="005706CC"/>
    <w:rsid w:val="00570BE6"/>
    <w:rsid w:val="00571737"/>
    <w:rsid w:val="00572AAD"/>
    <w:rsid w:val="005747FF"/>
    <w:rsid w:val="00574F67"/>
    <w:rsid w:val="00576A3D"/>
    <w:rsid w:val="00581915"/>
    <w:rsid w:val="00581B60"/>
    <w:rsid w:val="00583138"/>
    <w:rsid w:val="00583352"/>
    <w:rsid w:val="0058490B"/>
    <w:rsid w:val="005861E7"/>
    <w:rsid w:val="00587FE6"/>
    <w:rsid w:val="00593E62"/>
    <w:rsid w:val="0059523B"/>
    <w:rsid w:val="00596883"/>
    <w:rsid w:val="005A2AB1"/>
    <w:rsid w:val="005A3B3B"/>
    <w:rsid w:val="005A45F3"/>
    <w:rsid w:val="005A483C"/>
    <w:rsid w:val="005A6AA1"/>
    <w:rsid w:val="005B4CD4"/>
    <w:rsid w:val="005B6ACB"/>
    <w:rsid w:val="005C0BD8"/>
    <w:rsid w:val="005C2081"/>
    <w:rsid w:val="005C40CA"/>
    <w:rsid w:val="005C6308"/>
    <w:rsid w:val="005C6C63"/>
    <w:rsid w:val="005C7219"/>
    <w:rsid w:val="005C7A42"/>
    <w:rsid w:val="005D2E05"/>
    <w:rsid w:val="005D3368"/>
    <w:rsid w:val="005D6109"/>
    <w:rsid w:val="005D62C4"/>
    <w:rsid w:val="005D6A74"/>
    <w:rsid w:val="005D755E"/>
    <w:rsid w:val="005E0A33"/>
    <w:rsid w:val="005E497A"/>
    <w:rsid w:val="005E5646"/>
    <w:rsid w:val="005E5F3C"/>
    <w:rsid w:val="005F0AA5"/>
    <w:rsid w:val="005F0F77"/>
    <w:rsid w:val="005F233D"/>
    <w:rsid w:val="005F251F"/>
    <w:rsid w:val="005F2BAD"/>
    <w:rsid w:val="005F4E56"/>
    <w:rsid w:val="005F5E7D"/>
    <w:rsid w:val="005F6ED0"/>
    <w:rsid w:val="006026B5"/>
    <w:rsid w:val="006045E8"/>
    <w:rsid w:val="00604FB9"/>
    <w:rsid w:val="00607213"/>
    <w:rsid w:val="006072B5"/>
    <w:rsid w:val="00607F00"/>
    <w:rsid w:val="006134B9"/>
    <w:rsid w:val="0061403D"/>
    <w:rsid w:val="00614077"/>
    <w:rsid w:val="00614CDB"/>
    <w:rsid w:val="00615F7E"/>
    <w:rsid w:val="00621E91"/>
    <w:rsid w:val="00625925"/>
    <w:rsid w:val="00625D90"/>
    <w:rsid w:val="00627C08"/>
    <w:rsid w:val="00631373"/>
    <w:rsid w:val="00631491"/>
    <w:rsid w:val="00631FD1"/>
    <w:rsid w:val="00632D9B"/>
    <w:rsid w:val="0063438C"/>
    <w:rsid w:val="00634D08"/>
    <w:rsid w:val="00635177"/>
    <w:rsid w:val="0063599F"/>
    <w:rsid w:val="00642A31"/>
    <w:rsid w:val="006441E1"/>
    <w:rsid w:val="00644838"/>
    <w:rsid w:val="00644CE6"/>
    <w:rsid w:val="006473A8"/>
    <w:rsid w:val="006507ED"/>
    <w:rsid w:val="00650901"/>
    <w:rsid w:val="006510F8"/>
    <w:rsid w:val="00660363"/>
    <w:rsid w:val="00660E60"/>
    <w:rsid w:val="006631C9"/>
    <w:rsid w:val="006642B4"/>
    <w:rsid w:val="006644A2"/>
    <w:rsid w:val="00667E20"/>
    <w:rsid w:val="006703A5"/>
    <w:rsid w:val="006733E5"/>
    <w:rsid w:val="0067363E"/>
    <w:rsid w:val="006751C0"/>
    <w:rsid w:val="006771D9"/>
    <w:rsid w:val="00682222"/>
    <w:rsid w:val="0068273E"/>
    <w:rsid w:val="00687641"/>
    <w:rsid w:val="006901C3"/>
    <w:rsid w:val="0069145A"/>
    <w:rsid w:val="0069249E"/>
    <w:rsid w:val="0069416F"/>
    <w:rsid w:val="00695E03"/>
    <w:rsid w:val="0069743D"/>
    <w:rsid w:val="006A0781"/>
    <w:rsid w:val="006A0B45"/>
    <w:rsid w:val="006A4247"/>
    <w:rsid w:val="006A4B2F"/>
    <w:rsid w:val="006A4E8D"/>
    <w:rsid w:val="006A7E48"/>
    <w:rsid w:val="006B0096"/>
    <w:rsid w:val="006B06CA"/>
    <w:rsid w:val="006B2FD4"/>
    <w:rsid w:val="006B3126"/>
    <w:rsid w:val="006B3FCF"/>
    <w:rsid w:val="006B5B3E"/>
    <w:rsid w:val="006B7416"/>
    <w:rsid w:val="006C03ED"/>
    <w:rsid w:val="006C0CD7"/>
    <w:rsid w:val="006C4AD2"/>
    <w:rsid w:val="006D1782"/>
    <w:rsid w:val="006D4AB9"/>
    <w:rsid w:val="006D6F5A"/>
    <w:rsid w:val="006E035D"/>
    <w:rsid w:val="006E0643"/>
    <w:rsid w:val="006E353E"/>
    <w:rsid w:val="006E5273"/>
    <w:rsid w:val="006F0508"/>
    <w:rsid w:val="006F3217"/>
    <w:rsid w:val="006F6104"/>
    <w:rsid w:val="00700A99"/>
    <w:rsid w:val="00700DA7"/>
    <w:rsid w:val="00701875"/>
    <w:rsid w:val="00703B59"/>
    <w:rsid w:val="007047C7"/>
    <w:rsid w:val="00706604"/>
    <w:rsid w:val="00713CB5"/>
    <w:rsid w:val="007143DD"/>
    <w:rsid w:val="007159B7"/>
    <w:rsid w:val="00717C58"/>
    <w:rsid w:val="00721566"/>
    <w:rsid w:val="00723C8A"/>
    <w:rsid w:val="00723CF2"/>
    <w:rsid w:val="00724108"/>
    <w:rsid w:val="00724A49"/>
    <w:rsid w:val="0072572B"/>
    <w:rsid w:val="0072615B"/>
    <w:rsid w:val="007268C8"/>
    <w:rsid w:val="00732599"/>
    <w:rsid w:val="007359A2"/>
    <w:rsid w:val="007367DF"/>
    <w:rsid w:val="00740CD0"/>
    <w:rsid w:val="0074256C"/>
    <w:rsid w:val="00742693"/>
    <w:rsid w:val="007430FE"/>
    <w:rsid w:val="00743729"/>
    <w:rsid w:val="00743B72"/>
    <w:rsid w:val="00744439"/>
    <w:rsid w:val="00745AEC"/>
    <w:rsid w:val="007474FF"/>
    <w:rsid w:val="00747EE0"/>
    <w:rsid w:val="00750797"/>
    <w:rsid w:val="00754696"/>
    <w:rsid w:val="007550F6"/>
    <w:rsid w:val="0075605D"/>
    <w:rsid w:val="0076077F"/>
    <w:rsid w:val="00762999"/>
    <w:rsid w:val="00766816"/>
    <w:rsid w:val="00766FC9"/>
    <w:rsid w:val="0077299F"/>
    <w:rsid w:val="007745CA"/>
    <w:rsid w:val="007776EE"/>
    <w:rsid w:val="0078026D"/>
    <w:rsid w:val="00782132"/>
    <w:rsid w:val="0078759B"/>
    <w:rsid w:val="007876AD"/>
    <w:rsid w:val="0079077D"/>
    <w:rsid w:val="00791D0A"/>
    <w:rsid w:val="0079217A"/>
    <w:rsid w:val="00792748"/>
    <w:rsid w:val="00793F36"/>
    <w:rsid w:val="00795899"/>
    <w:rsid w:val="007A0941"/>
    <w:rsid w:val="007A0978"/>
    <w:rsid w:val="007A0D0B"/>
    <w:rsid w:val="007A5041"/>
    <w:rsid w:val="007A5334"/>
    <w:rsid w:val="007A66D1"/>
    <w:rsid w:val="007B18D2"/>
    <w:rsid w:val="007B18F1"/>
    <w:rsid w:val="007B321D"/>
    <w:rsid w:val="007B446D"/>
    <w:rsid w:val="007B4E43"/>
    <w:rsid w:val="007B50A8"/>
    <w:rsid w:val="007B58EA"/>
    <w:rsid w:val="007B6C03"/>
    <w:rsid w:val="007B78E9"/>
    <w:rsid w:val="007C7218"/>
    <w:rsid w:val="007C7F7D"/>
    <w:rsid w:val="007D42C2"/>
    <w:rsid w:val="007D75E7"/>
    <w:rsid w:val="007D779A"/>
    <w:rsid w:val="007D7AB9"/>
    <w:rsid w:val="007E2548"/>
    <w:rsid w:val="007E38E8"/>
    <w:rsid w:val="007E5D97"/>
    <w:rsid w:val="007E600B"/>
    <w:rsid w:val="007E785B"/>
    <w:rsid w:val="007F06F2"/>
    <w:rsid w:val="007F0EAE"/>
    <w:rsid w:val="007F400F"/>
    <w:rsid w:val="007F4C6B"/>
    <w:rsid w:val="007F7D92"/>
    <w:rsid w:val="008006C4"/>
    <w:rsid w:val="00800FED"/>
    <w:rsid w:val="00803EAF"/>
    <w:rsid w:val="00804053"/>
    <w:rsid w:val="00804248"/>
    <w:rsid w:val="00805FCA"/>
    <w:rsid w:val="00806297"/>
    <w:rsid w:val="008100B0"/>
    <w:rsid w:val="00810184"/>
    <w:rsid w:val="0081115E"/>
    <w:rsid w:val="0081134E"/>
    <w:rsid w:val="0081663D"/>
    <w:rsid w:val="00820595"/>
    <w:rsid w:val="00820B99"/>
    <w:rsid w:val="00820C1B"/>
    <w:rsid w:val="00821B22"/>
    <w:rsid w:val="00823130"/>
    <w:rsid w:val="0082578E"/>
    <w:rsid w:val="008262C2"/>
    <w:rsid w:val="00826445"/>
    <w:rsid w:val="00826FBE"/>
    <w:rsid w:val="00827B0C"/>
    <w:rsid w:val="0083107B"/>
    <w:rsid w:val="00831EAC"/>
    <w:rsid w:val="0083321B"/>
    <w:rsid w:val="00834A0C"/>
    <w:rsid w:val="00836F1F"/>
    <w:rsid w:val="00842168"/>
    <w:rsid w:val="00843AB9"/>
    <w:rsid w:val="00845AB7"/>
    <w:rsid w:val="00846E04"/>
    <w:rsid w:val="008508E2"/>
    <w:rsid w:val="00850A5F"/>
    <w:rsid w:val="00852049"/>
    <w:rsid w:val="008525AF"/>
    <w:rsid w:val="008538DF"/>
    <w:rsid w:val="00853ACB"/>
    <w:rsid w:val="00853F28"/>
    <w:rsid w:val="00855331"/>
    <w:rsid w:val="0085649B"/>
    <w:rsid w:val="00857F62"/>
    <w:rsid w:val="008639C8"/>
    <w:rsid w:val="008644E3"/>
    <w:rsid w:val="008702B3"/>
    <w:rsid w:val="00875294"/>
    <w:rsid w:val="008767DC"/>
    <w:rsid w:val="00880F6A"/>
    <w:rsid w:val="00884AD3"/>
    <w:rsid w:val="00886078"/>
    <w:rsid w:val="00892595"/>
    <w:rsid w:val="008929CD"/>
    <w:rsid w:val="008934EE"/>
    <w:rsid w:val="008949CD"/>
    <w:rsid w:val="0089580C"/>
    <w:rsid w:val="0089660D"/>
    <w:rsid w:val="008977F6"/>
    <w:rsid w:val="00897AC3"/>
    <w:rsid w:val="00897D57"/>
    <w:rsid w:val="00897E20"/>
    <w:rsid w:val="008A024A"/>
    <w:rsid w:val="008A10DE"/>
    <w:rsid w:val="008A34BD"/>
    <w:rsid w:val="008A43BA"/>
    <w:rsid w:val="008A7269"/>
    <w:rsid w:val="008B0792"/>
    <w:rsid w:val="008B0A88"/>
    <w:rsid w:val="008B2FFC"/>
    <w:rsid w:val="008B42C1"/>
    <w:rsid w:val="008B4F02"/>
    <w:rsid w:val="008B5B74"/>
    <w:rsid w:val="008C1062"/>
    <w:rsid w:val="008C1F90"/>
    <w:rsid w:val="008C3029"/>
    <w:rsid w:val="008C4F3D"/>
    <w:rsid w:val="008C5A8C"/>
    <w:rsid w:val="008D129C"/>
    <w:rsid w:val="008D1382"/>
    <w:rsid w:val="008D1DE2"/>
    <w:rsid w:val="008D4F4A"/>
    <w:rsid w:val="008D69D3"/>
    <w:rsid w:val="008E3B00"/>
    <w:rsid w:val="008E3B54"/>
    <w:rsid w:val="008E702E"/>
    <w:rsid w:val="008F0C20"/>
    <w:rsid w:val="008F119B"/>
    <w:rsid w:val="008F1359"/>
    <w:rsid w:val="008F5FA0"/>
    <w:rsid w:val="008F619E"/>
    <w:rsid w:val="00904433"/>
    <w:rsid w:val="00906B83"/>
    <w:rsid w:val="00907F1A"/>
    <w:rsid w:val="00911756"/>
    <w:rsid w:val="00911857"/>
    <w:rsid w:val="00912177"/>
    <w:rsid w:val="00912D87"/>
    <w:rsid w:val="00913A37"/>
    <w:rsid w:val="009144C6"/>
    <w:rsid w:val="00915C22"/>
    <w:rsid w:val="0091790E"/>
    <w:rsid w:val="00917B11"/>
    <w:rsid w:val="009237C1"/>
    <w:rsid w:val="00925E8E"/>
    <w:rsid w:val="00925F02"/>
    <w:rsid w:val="009264DB"/>
    <w:rsid w:val="00927AEA"/>
    <w:rsid w:val="0093192E"/>
    <w:rsid w:val="0093249D"/>
    <w:rsid w:val="00932C12"/>
    <w:rsid w:val="009366D5"/>
    <w:rsid w:val="009402FE"/>
    <w:rsid w:val="009418D2"/>
    <w:rsid w:val="00942065"/>
    <w:rsid w:val="009430B1"/>
    <w:rsid w:val="00943279"/>
    <w:rsid w:val="00943E54"/>
    <w:rsid w:val="0094466D"/>
    <w:rsid w:val="009447E7"/>
    <w:rsid w:val="00946009"/>
    <w:rsid w:val="009467EF"/>
    <w:rsid w:val="009508A6"/>
    <w:rsid w:val="00950F9B"/>
    <w:rsid w:val="00951B5E"/>
    <w:rsid w:val="00951F34"/>
    <w:rsid w:val="00952265"/>
    <w:rsid w:val="009537B7"/>
    <w:rsid w:val="0095423B"/>
    <w:rsid w:val="0096288F"/>
    <w:rsid w:val="00963588"/>
    <w:rsid w:val="00964709"/>
    <w:rsid w:val="00965902"/>
    <w:rsid w:val="0097139A"/>
    <w:rsid w:val="009731FC"/>
    <w:rsid w:val="00974DB8"/>
    <w:rsid w:val="00975AFF"/>
    <w:rsid w:val="00977125"/>
    <w:rsid w:val="0097775B"/>
    <w:rsid w:val="00977D0A"/>
    <w:rsid w:val="009854E2"/>
    <w:rsid w:val="00990069"/>
    <w:rsid w:val="0099158B"/>
    <w:rsid w:val="00993F22"/>
    <w:rsid w:val="00994641"/>
    <w:rsid w:val="009963BA"/>
    <w:rsid w:val="00996629"/>
    <w:rsid w:val="009A0576"/>
    <w:rsid w:val="009A0E5A"/>
    <w:rsid w:val="009A4179"/>
    <w:rsid w:val="009A57DD"/>
    <w:rsid w:val="009A61BE"/>
    <w:rsid w:val="009A6EAB"/>
    <w:rsid w:val="009A779C"/>
    <w:rsid w:val="009B2A82"/>
    <w:rsid w:val="009B31FE"/>
    <w:rsid w:val="009B3CF0"/>
    <w:rsid w:val="009B5B5A"/>
    <w:rsid w:val="009B772D"/>
    <w:rsid w:val="009C0C58"/>
    <w:rsid w:val="009C5489"/>
    <w:rsid w:val="009C577D"/>
    <w:rsid w:val="009C6134"/>
    <w:rsid w:val="009C7EAF"/>
    <w:rsid w:val="009C7F06"/>
    <w:rsid w:val="009D011E"/>
    <w:rsid w:val="009D58BE"/>
    <w:rsid w:val="009D6CD2"/>
    <w:rsid w:val="009D7F75"/>
    <w:rsid w:val="009E0D40"/>
    <w:rsid w:val="009E104C"/>
    <w:rsid w:val="009E1A29"/>
    <w:rsid w:val="009E3B82"/>
    <w:rsid w:val="009E3E67"/>
    <w:rsid w:val="009E5AC3"/>
    <w:rsid w:val="009E6313"/>
    <w:rsid w:val="009F508D"/>
    <w:rsid w:val="009F56E9"/>
    <w:rsid w:val="009F5A21"/>
    <w:rsid w:val="009F64B4"/>
    <w:rsid w:val="00A0114C"/>
    <w:rsid w:val="00A0199F"/>
    <w:rsid w:val="00A03718"/>
    <w:rsid w:val="00A0516E"/>
    <w:rsid w:val="00A05BA1"/>
    <w:rsid w:val="00A1044E"/>
    <w:rsid w:val="00A159E8"/>
    <w:rsid w:val="00A16CED"/>
    <w:rsid w:val="00A17DFE"/>
    <w:rsid w:val="00A22164"/>
    <w:rsid w:val="00A22D36"/>
    <w:rsid w:val="00A25DB9"/>
    <w:rsid w:val="00A26733"/>
    <w:rsid w:val="00A27233"/>
    <w:rsid w:val="00A3342E"/>
    <w:rsid w:val="00A363F7"/>
    <w:rsid w:val="00A46704"/>
    <w:rsid w:val="00A46802"/>
    <w:rsid w:val="00A477DA"/>
    <w:rsid w:val="00A47DC9"/>
    <w:rsid w:val="00A50618"/>
    <w:rsid w:val="00A519CC"/>
    <w:rsid w:val="00A54169"/>
    <w:rsid w:val="00A54187"/>
    <w:rsid w:val="00A556D2"/>
    <w:rsid w:val="00A60167"/>
    <w:rsid w:val="00A60478"/>
    <w:rsid w:val="00A60831"/>
    <w:rsid w:val="00A61B17"/>
    <w:rsid w:val="00A6227E"/>
    <w:rsid w:val="00A62CEC"/>
    <w:rsid w:val="00A6477D"/>
    <w:rsid w:val="00A64BB2"/>
    <w:rsid w:val="00A66618"/>
    <w:rsid w:val="00A7345F"/>
    <w:rsid w:val="00A75CBA"/>
    <w:rsid w:val="00A760F1"/>
    <w:rsid w:val="00A81572"/>
    <w:rsid w:val="00A82B69"/>
    <w:rsid w:val="00A918B0"/>
    <w:rsid w:val="00A919E2"/>
    <w:rsid w:val="00A91D47"/>
    <w:rsid w:val="00A92676"/>
    <w:rsid w:val="00A944F4"/>
    <w:rsid w:val="00A9493D"/>
    <w:rsid w:val="00A95746"/>
    <w:rsid w:val="00A961BB"/>
    <w:rsid w:val="00A969A6"/>
    <w:rsid w:val="00AA11AF"/>
    <w:rsid w:val="00AA223D"/>
    <w:rsid w:val="00AA35F6"/>
    <w:rsid w:val="00AA484B"/>
    <w:rsid w:val="00AA520F"/>
    <w:rsid w:val="00AA64FB"/>
    <w:rsid w:val="00AB0C45"/>
    <w:rsid w:val="00AB38CD"/>
    <w:rsid w:val="00AC1A2F"/>
    <w:rsid w:val="00AC1F87"/>
    <w:rsid w:val="00AC4743"/>
    <w:rsid w:val="00AC5758"/>
    <w:rsid w:val="00AC5CD1"/>
    <w:rsid w:val="00AC6254"/>
    <w:rsid w:val="00AD0B6A"/>
    <w:rsid w:val="00AD4CDA"/>
    <w:rsid w:val="00AD53B4"/>
    <w:rsid w:val="00AD546F"/>
    <w:rsid w:val="00AD5B92"/>
    <w:rsid w:val="00AD62BD"/>
    <w:rsid w:val="00AD6B7D"/>
    <w:rsid w:val="00AE167C"/>
    <w:rsid w:val="00AE1BEB"/>
    <w:rsid w:val="00AE29CA"/>
    <w:rsid w:val="00AE2E27"/>
    <w:rsid w:val="00AE3AE5"/>
    <w:rsid w:val="00AE6E01"/>
    <w:rsid w:val="00AE72C5"/>
    <w:rsid w:val="00AE797B"/>
    <w:rsid w:val="00AF18E7"/>
    <w:rsid w:val="00AF3BFC"/>
    <w:rsid w:val="00AF4D91"/>
    <w:rsid w:val="00AF5626"/>
    <w:rsid w:val="00AF573D"/>
    <w:rsid w:val="00AF5CDA"/>
    <w:rsid w:val="00B01965"/>
    <w:rsid w:val="00B0417C"/>
    <w:rsid w:val="00B042A0"/>
    <w:rsid w:val="00B11874"/>
    <w:rsid w:val="00B125A8"/>
    <w:rsid w:val="00B13BB1"/>
    <w:rsid w:val="00B14E1D"/>
    <w:rsid w:val="00B15379"/>
    <w:rsid w:val="00B16DA7"/>
    <w:rsid w:val="00B17B6E"/>
    <w:rsid w:val="00B20B03"/>
    <w:rsid w:val="00B21C46"/>
    <w:rsid w:val="00B22574"/>
    <w:rsid w:val="00B233F2"/>
    <w:rsid w:val="00B25169"/>
    <w:rsid w:val="00B2553F"/>
    <w:rsid w:val="00B25B74"/>
    <w:rsid w:val="00B260D4"/>
    <w:rsid w:val="00B265BF"/>
    <w:rsid w:val="00B30B2A"/>
    <w:rsid w:val="00B30D07"/>
    <w:rsid w:val="00B31157"/>
    <w:rsid w:val="00B332FC"/>
    <w:rsid w:val="00B33A5D"/>
    <w:rsid w:val="00B35E3E"/>
    <w:rsid w:val="00B378F6"/>
    <w:rsid w:val="00B43451"/>
    <w:rsid w:val="00B44165"/>
    <w:rsid w:val="00B50F7D"/>
    <w:rsid w:val="00B51A51"/>
    <w:rsid w:val="00B51C6C"/>
    <w:rsid w:val="00B529C5"/>
    <w:rsid w:val="00B542BD"/>
    <w:rsid w:val="00B55078"/>
    <w:rsid w:val="00B561F9"/>
    <w:rsid w:val="00B5630E"/>
    <w:rsid w:val="00B56BF7"/>
    <w:rsid w:val="00B57547"/>
    <w:rsid w:val="00B57860"/>
    <w:rsid w:val="00B57EC4"/>
    <w:rsid w:val="00B606C3"/>
    <w:rsid w:val="00B645F7"/>
    <w:rsid w:val="00B64B0F"/>
    <w:rsid w:val="00B65640"/>
    <w:rsid w:val="00B67F6E"/>
    <w:rsid w:val="00B70C84"/>
    <w:rsid w:val="00B72C4B"/>
    <w:rsid w:val="00B73787"/>
    <w:rsid w:val="00B75925"/>
    <w:rsid w:val="00B8071B"/>
    <w:rsid w:val="00B808EE"/>
    <w:rsid w:val="00B810E2"/>
    <w:rsid w:val="00B81498"/>
    <w:rsid w:val="00B820A5"/>
    <w:rsid w:val="00B83559"/>
    <w:rsid w:val="00B853F9"/>
    <w:rsid w:val="00B85CCF"/>
    <w:rsid w:val="00B85DBE"/>
    <w:rsid w:val="00B86707"/>
    <w:rsid w:val="00B91978"/>
    <w:rsid w:val="00B935E7"/>
    <w:rsid w:val="00BA252D"/>
    <w:rsid w:val="00BA48D6"/>
    <w:rsid w:val="00BA75B1"/>
    <w:rsid w:val="00BB0E33"/>
    <w:rsid w:val="00BB1C7F"/>
    <w:rsid w:val="00BB47EF"/>
    <w:rsid w:val="00BB4A78"/>
    <w:rsid w:val="00BB672D"/>
    <w:rsid w:val="00BB6F15"/>
    <w:rsid w:val="00BB76CD"/>
    <w:rsid w:val="00BC012A"/>
    <w:rsid w:val="00BC2DAE"/>
    <w:rsid w:val="00BC3F9C"/>
    <w:rsid w:val="00BC5C92"/>
    <w:rsid w:val="00BC5D41"/>
    <w:rsid w:val="00BC6F77"/>
    <w:rsid w:val="00BC7821"/>
    <w:rsid w:val="00BC7EF1"/>
    <w:rsid w:val="00BD6668"/>
    <w:rsid w:val="00BD6BDC"/>
    <w:rsid w:val="00BE0C4E"/>
    <w:rsid w:val="00BE2400"/>
    <w:rsid w:val="00BE2A2E"/>
    <w:rsid w:val="00BF0782"/>
    <w:rsid w:val="00BF1F82"/>
    <w:rsid w:val="00BF27F5"/>
    <w:rsid w:val="00BF548C"/>
    <w:rsid w:val="00BF70FF"/>
    <w:rsid w:val="00BF7714"/>
    <w:rsid w:val="00BF7E1E"/>
    <w:rsid w:val="00C00CFE"/>
    <w:rsid w:val="00C00FE4"/>
    <w:rsid w:val="00C015CB"/>
    <w:rsid w:val="00C04DBE"/>
    <w:rsid w:val="00C12238"/>
    <w:rsid w:val="00C1455C"/>
    <w:rsid w:val="00C160F9"/>
    <w:rsid w:val="00C171B9"/>
    <w:rsid w:val="00C204C6"/>
    <w:rsid w:val="00C216C1"/>
    <w:rsid w:val="00C21871"/>
    <w:rsid w:val="00C21CEE"/>
    <w:rsid w:val="00C228A9"/>
    <w:rsid w:val="00C252B9"/>
    <w:rsid w:val="00C25B94"/>
    <w:rsid w:val="00C26F66"/>
    <w:rsid w:val="00C30FE2"/>
    <w:rsid w:val="00C334F1"/>
    <w:rsid w:val="00C35A21"/>
    <w:rsid w:val="00C4317C"/>
    <w:rsid w:val="00C44692"/>
    <w:rsid w:val="00C44EB3"/>
    <w:rsid w:val="00C452FF"/>
    <w:rsid w:val="00C4557B"/>
    <w:rsid w:val="00C47C36"/>
    <w:rsid w:val="00C52B02"/>
    <w:rsid w:val="00C52C1C"/>
    <w:rsid w:val="00C546C5"/>
    <w:rsid w:val="00C554B4"/>
    <w:rsid w:val="00C578D5"/>
    <w:rsid w:val="00C57B4D"/>
    <w:rsid w:val="00C60B2F"/>
    <w:rsid w:val="00C61F87"/>
    <w:rsid w:val="00C63390"/>
    <w:rsid w:val="00C63B7B"/>
    <w:rsid w:val="00C66BA3"/>
    <w:rsid w:val="00C70CD6"/>
    <w:rsid w:val="00C71FE9"/>
    <w:rsid w:val="00C72970"/>
    <w:rsid w:val="00C72F8C"/>
    <w:rsid w:val="00C74988"/>
    <w:rsid w:val="00C771AB"/>
    <w:rsid w:val="00C804D7"/>
    <w:rsid w:val="00C80E8A"/>
    <w:rsid w:val="00C82914"/>
    <w:rsid w:val="00C82AC1"/>
    <w:rsid w:val="00C84C2B"/>
    <w:rsid w:val="00C853D1"/>
    <w:rsid w:val="00C85A96"/>
    <w:rsid w:val="00C862B1"/>
    <w:rsid w:val="00C914F5"/>
    <w:rsid w:val="00C917DB"/>
    <w:rsid w:val="00C91EA8"/>
    <w:rsid w:val="00C95196"/>
    <w:rsid w:val="00CA076B"/>
    <w:rsid w:val="00CA0C1D"/>
    <w:rsid w:val="00CA274F"/>
    <w:rsid w:val="00CA2F84"/>
    <w:rsid w:val="00CA4E51"/>
    <w:rsid w:val="00CA580E"/>
    <w:rsid w:val="00CA7E22"/>
    <w:rsid w:val="00CB201B"/>
    <w:rsid w:val="00CB2304"/>
    <w:rsid w:val="00CB2B7B"/>
    <w:rsid w:val="00CB4E09"/>
    <w:rsid w:val="00CB5A9E"/>
    <w:rsid w:val="00CC12D9"/>
    <w:rsid w:val="00CC1566"/>
    <w:rsid w:val="00CC2EBD"/>
    <w:rsid w:val="00CC5561"/>
    <w:rsid w:val="00CC7111"/>
    <w:rsid w:val="00CC7573"/>
    <w:rsid w:val="00CC7EAC"/>
    <w:rsid w:val="00CD0DBB"/>
    <w:rsid w:val="00CD1CB3"/>
    <w:rsid w:val="00CD573E"/>
    <w:rsid w:val="00CD7B85"/>
    <w:rsid w:val="00CE05D1"/>
    <w:rsid w:val="00CE247C"/>
    <w:rsid w:val="00CE4572"/>
    <w:rsid w:val="00CF036D"/>
    <w:rsid w:val="00CF1FCE"/>
    <w:rsid w:val="00CF38E2"/>
    <w:rsid w:val="00CF5199"/>
    <w:rsid w:val="00CF5EE6"/>
    <w:rsid w:val="00CF7595"/>
    <w:rsid w:val="00CF7911"/>
    <w:rsid w:val="00CF7954"/>
    <w:rsid w:val="00D00019"/>
    <w:rsid w:val="00D00156"/>
    <w:rsid w:val="00D00414"/>
    <w:rsid w:val="00D00BC6"/>
    <w:rsid w:val="00D02413"/>
    <w:rsid w:val="00D02460"/>
    <w:rsid w:val="00D0270E"/>
    <w:rsid w:val="00D04493"/>
    <w:rsid w:val="00D060B7"/>
    <w:rsid w:val="00D069DF"/>
    <w:rsid w:val="00D104DB"/>
    <w:rsid w:val="00D10BBE"/>
    <w:rsid w:val="00D10F9F"/>
    <w:rsid w:val="00D114F9"/>
    <w:rsid w:val="00D11E84"/>
    <w:rsid w:val="00D121F9"/>
    <w:rsid w:val="00D15032"/>
    <w:rsid w:val="00D16932"/>
    <w:rsid w:val="00D16C0D"/>
    <w:rsid w:val="00D20A44"/>
    <w:rsid w:val="00D20C67"/>
    <w:rsid w:val="00D237F3"/>
    <w:rsid w:val="00D2535A"/>
    <w:rsid w:val="00D256F6"/>
    <w:rsid w:val="00D26ACA"/>
    <w:rsid w:val="00D33852"/>
    <w:rsid w:val="00D349C8"/>
    <w:rsid w:val="00D401D4"/>
    <w:rsid w:val="00D43B43"/>
    <w:rsid w:val="00D45FB2"/>
    <w:rsid w:val="00D4680A"/>
    <w:rsid w:val="00D5012F"/>
    <w:rsid w:val="00D518D7"/>
    <w:rsid w:val="00D53A0C"/>
    <w:rsid w:val="00D54C5E"/>
    <w:rsid w:val="00D553B2"/>
    <w:rsid w:val="00D603BF"/>
    <w:rsid w:val="00D6172E"/>
    <w:rsid w:val="00D61C0E"/>
    <w:rsid w:val="00D62C6E"/>
    <w:rsid w:val="00D6407D"/>
    <w:rsid w:val="00D72D9E"/>
    <w:rsid w:val="00D733EF"/>
    <w:rsid w:val="00D73D6C"/>
    <w:rsid w:val="00D752D2"/>
    <w:rsid w:val="00D76975"/>
    <w:rsid w:val="00D76A94"/>
    <w:rsid w:val="00D7709F"/>
    <w:rsid w:val="00D77265"/>
    <w:rsid w:val="00D772C9"/>
    <w:rsid w:val="00D77542"/>
    <w:rsid w:val="00D8043C"/>
    <w:rsid w:val="00D82B73"/>
    <w:rsid w:val="00D842B8"/>
    <w:rsid w:val="00D87528"/>
    <w:rsid w:val="00D90E06"/>
    <w:rsid w:val="00D92095"/>
    <w:rsid w:val="00D93EFD"/>
    <w:rsid w:val="00D94C0C"/>
    <w:rsid w:val="00D96276"/>
    <w:rsid w:val="00DA3751"/>
    <w:rsid w:val="00DA3D2D"/>
    <w:rsid w:val="00DA3DB6"/>
    <w:rsid w:val="00DA42CA"/>
    <w:rsid w:val="00DA7675"/>
    <w:rsid w:val="00DA7965"/>
    <w:rsid w:val="00DB078E"/>
    <w:rsid w:val="00DB10DD"/>
    <w:rsid w:val="00DB268E"/>
    <w:rsid w:val="00DB34B8"/>
    <w:rsid w:val="00DB4837"/>
    <w:rsid w:val="00DB6D27"/>
    <w:rsid w:val="00DC48A3"/>
    <w:rsid w:val="00DC6387"/>
    <w:rsid w:val="00DD116F"/>
    <w:rsid w:val="00DD2536"/>
    <w:rsid w:val="00DD3A33"/>
    <w:rsid w:val="00DD4FEF"/>
    <w:rsid w:val="00DD5573"/>
    <w:rsid w:val="00DD59BB"/>
    <w:rsid w:val="00DD6442"/>
    <w:rsid w:val="00DE19D2"/>
    <w:rsid w:val="00DE29D1"/>
    <w:rsid w:val="00DE6290"/>
    <w:rsid w:val="00DE7E47"/>
    <w:rsid w:val="00DF2623"/>
    <w:rsid w:val="00DF2DD7"/>
    <w:rsid w:val="00DF359E"/>
    <w:rsid w:val="00DF63B1"/>
    <w:rsid w:val="00E00CF7"/>
    <w:rsid w:val="00E010F7"/>
    <w:rsid w:val="00E01538"/>
    <w:rsid w:val="00E02169"/>
    <w:rsid w:val="00E0272E"/>
    <w:rsid w:val="00E0369E"/>
    <w:rsid w:val="00E04C2F"/>
    <w:rsid w:val="00E04D30"/>
    <w:rsid w:val="00E04FB4"/>
    <w:rsid w:val="00E0540B"/>
    <w:rsid w:val="00E06552"/>
    <w:rsid w:val="00E1087F"/>
    <w:rsid w:val="00E129BA"/>
    <w:rsid w:val="00E12BBA"/>
    <w:rsid w:val="00E156A5"/>
    <w:rsid w:val="00E160CE"/>
    <w:rsid w:val="00E204A5"/>
    <w:rsid w:val="00E240BC"/>
    <w:rsid w:val="00E2454A"/>
    <w:rsid w:val="00E27498"/>
    <w:rsid w:val="00E2762E"/>
    <w:rsid w:val="00E278F2"/>
    <w:rsid w:val="00E27F64"/>
    <w:rsid w:val="00E30E7E"/>
    <w:rsid w:val="00E317EA"/>
    <w:rsid w:val="00E32D11"/>
    <w:rsid w:val="00E33E03"/>
    <w:rsid w:val="00E34FB8"/>
    <w:rsid w:val="00E378A7"/>
    <w:rsid w:val="00E37BBC"/>
    <w:rsid w:val="00E41E5D"/>
    <w:rsid w:val="00E443A4"/>
    <w:rsid w:val="00E447A4"/>
    <w:rsid w:val="00E44BC4"/>
    <w:rsid w:val="00E45953"/>
    <w:rsid w:val="00E45CDC"/>
    <w:rsid w:val="00E46DA8"/>
    <w:rsid w:val="00E47549"/>
    <w:rsid w:val="00E53ED0"/>
    <w:rsid w:val="00E5473E"/>
    <w:rsid w:val="00E54DBF"/>
    <w:rsid w:val="00E552D6"/>
    <w:rsid w:val="00E61E5E"/>
    <w:rsid w:val="00E64A86"/>
    <w:rsid w:val="00E65363"/>
    <w:rsid w:val="00E7338D"/>
    <w:rsid w:val="00E768F1"/>
    <w:rsid w:val="00E76EB8"/>
    <w:rsid w:val="00E819E2"/>
    <w:rsid w:val="00E826C5"/>
    <w:rsid w:val="00E8346C"/>
    <w:rsid w:val="00E83494"/>
    <w:rsid w:val="00E840CA"/>
    <w:rsid w:val="00E857C9"/>
    <w:rsid w:val="00E86620"/>
    <w:rsid w:val="00E9186A"/>
    <w:rsid w:val="00E92B4A"/>
    <w:rsid w:val="00E93EDF"/>
    <w:rsid w:val="00E941C0"/>
    <w:rsid w:val="00E94C84"/>
    <w:rsid w:val="00E966F3"/>
    <w:rsid w:val="00E97929"/>
    <w:rsid w:val="00E97976"/>
    <w:rsid w:val="00EA0743"/>
    <w:rsid w:val="00EA1004"/>
    <w:rsid w:val="00EA2CF6"/>
    <w:rsid w:val="00EA301A"/>
    <w:rsid w:val="00EA4542"/>
    <w:rsid w:val="00EA7D9B"/>
    <w:rsid w:val="00EB051B"/>
    <w:rsid w:val="00EB0AEA"/>
    <w:rsid w:val="00EB1E57"/>
    <w:rsid w:val="00EB3D43"/>
    <w:rsid w:val="00EB43DB"/>
    <w:rsid w:val="00EB44E2"/>
    <w:rsid w:val="00EB46A0"/>
    <w:rsid w:val="00EB4799"/>
    <w:rsid w:val="00EB4A38"/>
    <w:rsid w:val="00EB7382"/>
    <w:rsid w:val="00EC01B9"/>
    <w:rsid w:val="00EC023F"/>
    <w:rsid w:val="00EC2202"/>
    <w:rsid w:val="00EC285B"/>
    <w:rsid w:val="00EC2EC2"/>
    <w:rsid w:val="00EC5778"/>
    <w:rsid w:val="00EC60B9"/>
    <w:rsid w:val="00EC7E39"/>
    <w:rsid w:val="00ED23EB"/>
    <w:rsid w:val="00ED38B5"/>
    <w:rsid w:val="00ED78E0"/>
    <w:rsid w:val="00EE23E5"/>
    <w:rsid w:val="00EE3F19"/>
    <w:rsid w:val="00EE4995"/>
    <w:rsid w:val="00EE4D04"/>
    <w:rsid w:val="00EE53C5"/>
    <w:rsid w:val="00EF0402"/>
    <w:rsid w:val="00EF0D39"/>
    <w:rsid w:val="00EF0EFF"/>
    <w:rsid w:val="00EF3E1F"/>
    <w:rsid w:val="00EF58DF"/>
    <w:rsid w:val="00EF639E"/>
    <w:rsid w:val="00F035AE"/>
    <w:rsid w:val="00F03666"/>
    <w:rsid w:val="00F05643"/>
    <w:rsid w:val="00F05761"/>
    <w:rsid w:val="00F05903"/>
    <w:rsid w:val="00F05DDC"/>
    <w:rsid w:val="00F060A2"/>
    <w:rsid w:val="00F11DE4"/>
    <w:rsid w:val="00F121AE"/>
    <w:rsid w:val="00F1513C"/>
    <w:rsid w:val="00F169E1"/>
    <w:rsid w:val="00F22080"/>
    <w:rsid w:val="00F22C2F"/>
    <w:rsid w:val="00F26D1C"/>
    <w:rsid w:val="00F32A7A"/>
    <w:rsid w:val="00F35A10"/>
    <w:rsid w:val="00F4029B"/>
    <w:rsid w:val="00F406CE"/>
    <w:rsid w:val="00F44120"/>
    <w:rsid w:val="00F4573A"/>
    <w:rsid w:val="00F516F1"/>
    <w:rsid w:val="00F54246"/>
    <w:rsid w:val="00F561D0"/>
    <w:rsid w:val="00F571FC"/>
    <w:rsid w:val="00F57CB3"/>
    <w:rsid w:val="00F71E90"/>
    <w:rsid w:val="00F7240C"/>
    <w:rsid w:val="00F7369F"/>
    <w:rsid w:val="00F762D3"/>
    <w:rsid w:val="00F81A9B"/>
    <w:rsid w:val="00F821C8"/>
    <w:rsid w:val="00F82A1C"/>
    <w:rsid w:val="00F86B31"/>
    <w:rsid w:val="00F926A0"/>
    <w:rsid w:val="00F92F36"/>
    <w:rsid w:val="00F933DB"/>
    <w:rsid w:val="00F93CDA"/>
    <w:rsid w:val="00F96B44"/>
    <w:rsid w:val="00FA17A5"/>
    <w:rsid w:val="00FA3601"/>
    <w:rsid w:val="00FA3952"/>
    <w:rsid w:val="00FA3DB8"/>
    <w:rsid w:val="00FA5759"/>
    <w:rsid w:val="00FC4CB0"/>
    <w:rsid w:val="00FC6454"/>
    <w:rsid w:val="00FC6B3E"/>
    <w:rsid w:val="00FD0651"/>
    <w:rsid w:val="00FD1A44"/>
    <w:rsid w:val="00FD1AE8"/>
    <w:rsid w:val="00FD77C5"/>
    <w:rsid w:val="00FD7DCB"/>
    <w:rsid w:val="00FE2618"/>
    <w:rsid w:val="00FE2B6B"/>
    <w:rsid w:val="00FE3038"/>
    <w:rsid w:val="00FE53FE"/>
    <w:rsid w:val="00FE5E84"/>
    <w:rsid w:val="00FF2CDA"/>
    <w:rsid w:val="00FF32E9"/>
    <w:rsid w:val="00FF4276"/>
    <w:rsid w:val="00FF57AB"/>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BD"/>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2762E"/>
    <w:rPr>
      <w:rFonts w:ascii="Palatino Linotype" w:eastAsia="Times New Roman" w:hAnsi="Palatino Linotype"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762E"/>
    <w:pPr>
      <w:spacing w:after="0" w:line="240" w:lineRule="auto"/>
      <w:ind w:left="720"/>
      <w:contextualSpacing/>
    </w:pPr>
    <w:rPr>
      <w:rFonts w:eastAsia="Times New Roman" w:cs="Times New Roman"/>
      <w:color w:val="auto"/>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Mencinsinresolver2">
    <w:name w:val="Mención sin resolver2"/>
    <w:basedOn w:val="Fuentedeprrafopredeter"/>
    <w:uiPriority w:val="99"/>
    <w:semiHidden/>
    <w:unhideWhenUsed/>
    <w:rsid w:val="004100F2"/>
    <w:rPr>
      <w:color w:val="605E5C"/>
      <w:shd w:val="clear" w:color="auto" w:fill="E1DFDD"/>
    </w:rPr>
  </w:style>
  <w:style w:type="table" w:customStyle="1" w:styleId="Tablaconcuadrcula1">
    <w:name w:val="Tabla con cuadrícula1"/>
    <w:basedOn w:val="Tablanormal"/>
    <w:next w:val="Tablaconcuadrcula"/>
    <w:uiPriority w:val="59"/>
    <w:rsid w:val="00D82B73"/>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FA3DB8"/>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FA3DB8"/>
    <w:pPr>
      <w:spacing w:after="0" w:line="240" w:lineRule="auto"/>
      <w:jc w:val="left"/>
    </w:pPr>
    <w:rPr>
      <w:rFonts w:ascii="Calibri" w:eastAsia="Calibri" w:hAnsi="Calibri" w:cs="Times New Roman"/>
      <w:color w:val="auto"/>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FA3DB8"/>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5628">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55157449">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11782374">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28248">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8147">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46153">
      <w:bodyDiv w:val="1"/>
      <w:marLeft w:val="0"/>
      <w:marRight w:val="0"/>
      <w:marTop w:val="0"/>
      <w:marBottom w:val="0"/>
      <w:divBdr>
        <w:top w:val="none" w:sz="0" w:space="0" w:color="auto"/>
        <w:left w:val="none" w:sz="0" w:space="0" w:color="auto"/>
        <w:bottom w:val="none" w:sz="0" w:space="0" w:color="auto"/>
        <w:right w:val="none" w:sz="0" w:space="0" w:color="auto"/>
      </w:divBdr>
    </w:div>
    <w:div w:id="1688408008">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21794914">
      <w:bodyDiv w:val="1"/>
      <w:marLeft w:val="0"/>
      <w:marRight w:val="0"/>
      <w:marTop w:val="0"/>
      <w:marBottom w:val="0"/>
      <w:divBdr>
        <w:top w:val="none" w:sz="0" w:space="0" w:color="auto"/>
        <w:left w:val="none" w:sz="0" w:space="0" w:color="auto"/>
        <w:bottom w:val="none" w:sz="0" w:space="0" w:color="auto"/>
        <w:right w:val="none" w:sz="0" w:space="0" w:color="auto"/>
      </w:divBdr>
    </w:div>
    <w:div w:id="19803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D873C-5A65-440F-81CF-B1A38A5B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7923</Words>
  <Characters>43577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8</cp:revision>
  <dcterms:created xsi:type="dcterms:W3CDTF">2022-03-30T20:58:00Z</dcterms:created>
  <dcterms:modified xsi:type="dcterms:W3CDTF">2022-04-08T16:31:00Z</dcterms:modified>
</cp:coreProperties>
</file>