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B5E2" w14:textId="77777777" w:rsidR="00181375" w:rsidRDefault="00181375">
      <w:pPr>
        <w:widowControl w:val="0"/>
        <w:pBdr>
          <w:top w:val="nil"/>
          <w:left w:val="nil"/>
          <w:bottom w:val="nil"/>
          <w:right w:val="nil"/>
          <w:between w:val="nil"/>
        </w:pBdr>
        <w:spacing w:line="276" w:lineRule="auto"/>
      </w:pPr>
    </w:p>
    <w:p w14:paraId="56EC6635"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mayo de dos mil veintidós. </w:t>
      </w:r>
    </w:p>
    <w:p w14:paraId="4619E78E" w14:textId="77777777" w:rsidR="00181375" w:rsidRPr="00436C70" w:rsidRDefault="00181375">
      <w:pPr>
        <w:spacing w:line="360" w:lineRule="auto"/>
        <w:jc w:val="both"/>
        <w:rPr>
          <w:rFonts w:ascii="Palatino Linotype" w:eastAsia="Palatino Linotype" w:hAnsi="Palatino Linotype" w:cs="Palatino Linotype"/>
        </w:rPr>
      </w:pPr>
    </w:p>
    <w:p w14:paraId="6AD5066E"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b/>
          <w:sz w:val="28"/>
          <w:szCs w:val="28"/>
        </w:rPr>
        <w:t>VISTO</w:t>
      </w:r>
      <w:r w:rsidRPr="00436C70">
        <w:rPr>
          <w:rFonts w:ascii="Palatino Linotype" w:eastAsia="Palatino Linotype" w:hAnsi="Palatino Linotype" w:cs="Palatino Linotype"/>
        </w:rPr>
        <w:t xml:space="preserve"> el expediente formado con motivo del Recurso de Revisión </w:t>
      </w:r>
      <w:r w:rsidRPr="00436C70">
        <w:rPr>
          <w:rFonts w:ascii="Palatino Linotype" w:eastAsia="Palatino Linotype" w:hAnsi="Palatino Linotype" w:cs="Palatino Linotype"/>
          <w:b/>
        </w:rPr>
        <w:t xml:space="preserve">03177/INFOEM/IP/RR/2022, </w:t>
      </w:r>
      <w:r w:rsidRPr="00436C70">
        <w:rPr>
          <w:rFonts w:ascii="Palatino Linotype" w:eastAsia="Palatino Linotype" w:hAnsi="Palatino Linotype" w:cs="Palatino Linotype"/>
        </w:rPr>
        <w:t xml:space="preserve">promovido por un particular de manera anónima, a quien en lo sucesivo se le denominara como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en contra de la respuesta de la </w:t>
      </w:r>
      <w:r w:rsidRPr="00436C70">
        <w:rPr>
          <w:rFonts w:ascii="Palatino Linotype" w:eastAsia="Palatino Linotype" w:hAnsi="Palatino Linotype" w:cs="Palatino Linotype"/>
          <w:b/>
        </w:rPr>
        <w:t xml:space="preserve">Comisión de Conciliación y Arbitraje Médico del Estado de México, </w:t>
      </w:r>
      <w:r w:rsidRPr="00436C70">
        <w:rPr>
          <w:rFonts w:ascii="Palatino Linotype" w:eastAsia="Palatino Linotype" w:hAnsi="Palatino Linotype" w:cs="Palatino Linotype"/>
        </w:rPr>
        <w:t xml:space="preserve">en lo subsecuente se le denominará </w:t>
      </w:r>
      <w:r w:rsidRPr="00436C70">
        <w:rPr>
          <w:rFonts w:ascii="Palatino Linotype" w:eastAsia="Palatino Linotype" w:hAnsi="Palatino Linotype" w:cs="Palatino Linotype"/>
          <w:b/>
        </w:rPr>
        <w:t xml:space="preserve">EL SUJETO OBLIGADO, </w:t>
      </w:r>
      <w:r w:rsidRPr="00436C70">
        <w:rPr>
          <w:rFonts w:ascii="Palatino Linotype" w:eastAsia="Palatino Linotype" w:hAnsi="Palatino Linotype" w:cs="Palatino Linotype"/>
        </w:rPr>
        <w:t>se procede a dictar la presente resolución con base en lo siguiente:</w:t>
      </w:r>
    </w:p>
    <w:p w14:paraId="09648D9F" w14:textId="77777777" w:rsidR="00181375" w:rsidRPr="00436C70" w:rsidRDefault="00181375">
      <w:pPr>
        <w:spacing w:line="360" w:lineRule="auto"/>
        <w:jc w:val="both"/>
        <w:rPr>
          <w:rFonts w:ascii="Palatino Linotype" w:eastAsia="Palatino Linotype" w:hAnsi="Palatino Linotype" w:cs="Palatino Linotype"/>
          <w:b/>
        </w:rPr>
      </w:pPr>
    </w:p>
    <w:p w14:paraId="7199B05A" w14:textId="77777777" w:rsidR="00181375" w:rsidRPr="00436C70" w:rsidRDefault="00C1362E">
      <w:pPr>
        <w:jc w:val="center"/>
        <w:rPr>
          <w:rFonts w:ascii="Palatino Linotype" w:eastAsia="Palatino Linotype" w:hAnsi="Palatino Linotype" w:cs="Palatino Linotype"/>
          <w:b/>
          <w:sz w:val="28"/>
          <w:szCs w:val="28"/>
        </w:rPr>
      </w:pPr>
      <w:r w:rsidRPr="00436C70">
        <w:rPr>
          <w:rFonts w:ascii="Palatino Linotype" w:eastAsia="Palatino Linotype" w:hAnsi="Palatino Linotype" w:cs="Palatino Linotype"/>
          <w:b/>
          <w:sz w:val="28"/>
          <w:szCs w:val="28"/>
        </w:rPr>
        <w:t>ANTECEDENTES</w:t>
      </w:r>
    </w:p>
    <w:p w14:paraId="300F5140" w14:textId="77777777" w:rsidR="00181375" w:rsidRPr="00436C70" w:rsidRDefault="00181375">
      <w:pPr>
        <w:rPr>
          <w:rFonts w:ascii="Palatino Linotype" w:eastAsia="Palatino Linotype" w:hAnsi="Palatino Linotype" w:cs="Palatino Linotype"/>
          <w:b/>
        </w:rPr>
      </w:pPr>
    </w:p>
    <w:p w14:paraId="56ACD519" w14:textId="77777777" w:rsidR="00181375" w:rsidRPr="00436C70" w:rsidRDefault="00C1362E">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436C70">
        <w:rPr>
          <w:rFonts w:ascii="Palatino Linotype" w:eastAsia="Palatino Linotype" w:hAnsi="Palatino Linotype" w:cs="Palatino Linotype"/>
          <w:b/>
          <w:sz w:val="28"/>
          <w:szCs w:val="28"/>
        </w:rPr>
        <w:t>I.</w:t>
      </w:r>
      <w:r w:rsidRPr="00436C70">
        <w:rPr>
          <w:rFonts w:ascii="Palatino Linotype" w:eastAsia="Palatino Linotype" w:hAnsi="Palatino Linotype" w:cs="Palatino Linotype"/>
          <w:b/>
        </w:rPr>
        <w:t xml:space="preserve"> </w:t>
      </w:r>
      <w:r w:rsidRPr="00436C70">
        <w:rPr>
          <w:rFonts w:ascii="Palatino Linotype" w:eastAsia="Palatino Linotype" w:hAnsi="Palatino Linotype" w:cs="Palatino Linotype"/>
          <w:b/>
          <w:sz w:val="28"/>
          <w:szCs w:val="28"/>
        </w:rPr>
        <w:t>De la Solicitud de Información</w:t>
      </w:r>
    </w:p>
    <w:p w14:paraId="3F77F98C" w14:textId="77777777" w:rsidR="00181375" w:rsidRPr="00436C70" w:rsidRDefault="00C1362E">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436C70">
        <w:rPr>
          <w:rFonts w:ascii="Palatino Linotype" w:eastAsia="Palatino Linotype" w:hAnsi="Palatino Linotype" w:cs="Palatino Linotype"/>
        </w:rPr>
        <w:t xml:space="preserve"> En fecha veintidós de enero de dos mil veintidós,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presentó a través del Sistema de Acceso a la Información Mexiquense, en lo subsecuente </w:t>
      </w:r>
      <w:r w:rsidRPr="00436C70">
        <w:rPr>
          <w:rFonts w:ascii="Palatino Linotype" w:eastAsia="Palatino Linotype" w:hAnsi="Palatino Linotype" w:cs="Palatino Linotype"/>
          <w:b/>
        </w:rPr>
        <w:t>EL SAIMEX</w:t>
      </w:r>
      <w:r w:rsidRPr="00436C70">
        <w:rPr>
          <w:rFonts w:ascii="Palatino Linotype" w:eastAsia="Palatino Linotype" w:hAnsi="Palatino Linotype" w:cs="Palatino Linotype"/>
        </w:rPr>
        <w:t xml:space="preserve"> ante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la solicitud de acceso a la información pública, a la que se le asignó el número de expediente </w:t>
      </w:r>
      <w:r w:rsidRPr="00436C70">
        <w:rPr>
          <w:rFonts w:ascii="Palatino Linotype" w:eastAsia="Palatino Linotype" w:hAnsi="Palatino Linotype" w:cs="Palatino Linotype"/>
          <w:b/>
        </w:rPr>
        <w:t xml:space="preserve">00014/CAMEM/IP/2022, </w:t>
      </w:r>
      <w:r w:rsidRPr="00436C70">
        <w:rPr>
          <w:rFonts w:ascii="Palatino Linotype" w:eastAsia="Palatino Linotype" w:hAnsi="Palatino Linotype" w:cs="Palatino Linotype"/>
        </w:rPr>
        <w:t xml:space="preserve"> requirió, lo siguiente:</w:t>
      </w:r>
    </w:p>
    <w:p w14:paraId="78AD450D" w14:textId="77777777" w:rsidR="00181375" w:rsidRPr="00436C70" w:rsidRDefault="00C1362E">
      <w:pPr>
        <w:ind w:left="850" w:right="899"/>
        <w:jc w:val="both"/>
        <w:rPr>
          <w:rFonts w:ascii="Palatino Linotype" w:eastAsia="Palatino Linotype" w:hAnsi="Palatino Linotype" w:cs="Palatino Linotype"/>
          <w:sz w:val="22"/>
          <w:szCs w:val="22"/>
        </w:rPr>
      </w:pPr>
      <w:r w:rsidRPr="00436C70">
        <w:rPr>
          <w:rFonts w:ascii="Palatino Linotype" w:eastAsia="Palatino Linotype" w:hAnsi="Palatino Linotype" w:cs="Palatino Linotype"/>
          <w:i/>
          <w:sz w:val="22"/>
          <w:szCs w:val="22"/>
        </w:rPr>
        <w:t xml:space="preserve">“Las dimensiones del edificio donde radica la institución en la Ciudad de Toluca de Lerdo, de cada oficina y por cuántas personas están ocupadas y si en ellas se cumple la distancia de seguridad para evitar los contagios de la enfermedad covid19. Se </w:t>
      </w:r>
      <w:r w:rsidRPr="00436C70">
        <w:rPr>
          <w:rFonts w:ascii="Palatino Linotype" w:eastAsia="Palatino Linotype" w:hAnsi="Palatino Linotype" w:cs="Palatino Linotype"/>
          <w:i/>
          <w:sz w:val="22"/>
          <w:szCs w:val="22"/>
        </w:rPr>
        <w:lastRenderedPageBreak/>
        <w:t>aclara que no han dado respuesta a esta solicitud de información como lo exige la ley de Transparencia.” (sic)</w:t>
      </w:r>
    </w:p>
    <w:p w14:paraId="2A3EF1B8" w14:textId="77777777" w:rsidR="00181375" w:rsidRPr="00436C70" w:rsidRDefault="00181375">
      <w:pPr>
        <w:tabs>
          <w:tab w:val="left" w:pos="851"/>
        </w:tabs>
        <w:ind w:right="901"/>
        <w:jc w:val="both"/>
        <w:rPr>
          <w:rFonts w:ascii="Palatino Linotype" w:eastAsia="Palatino Linotype" w:hAnsi="Palatino Linotype" w:cs="Palatino Linotype"/>
          <w:sz w:val="22"/>
          <w:szCs w:val="22"/>
        </w:rPr>
      </w:pPr>
    </w:p>
    <w:p w14:paraId="4BCBEC32" w14:textId="77777777" w:rsidR="00181375" w:rsidRPr="00436C70" w:rsidRDefault="00C1362E">
      <w:pPr>
        <w:widowControl w:val="0"/>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rPr>
        <w:t xml:space="preserve">MODALIDAD DE ENTREGA: </w:t>
      </w:r>
      <w:r w:rsidRPr="00436C70">
        <w:rPr>
          <w:rFonts w:ascii="Palatino Linotype" w:eastAsia="Palatino Linotype" w:hAnsi="Palatino Linotype" w:cs="Palatino Linotype"/>
        </w:rPr>
        <w:t xml:space="preserve">Vía </w:t>
      </w:r>
      <w:r w:rsidRPr="00436C70">
        <w:rPr>
          <w:rFonts w:ascii="Palatino Linotype" w:eastAsia="Palatino Linotype" w:hAnsi="Palatino Linotype" w:cs="Palatino Linotype"/>
          <w:b/>
        </w:rPr>
        <w:t>SAIMEX.</w:t>
      </w:r>
    </w:p>
    <w:p w14:paraId="69311786" w14:textId="77777777" w:rsidR="00181375" w:rsidRPr="00436C70" w:rsidRDefault="00181375">
      <w:pPr>
        <w:widowControl w:val="0"/>
        <w:spacing w:line="360" w:lineRule="auto"/>
        <w:jc w:val="both"/>
        <w:rPr>
          <w:rFonts w:ascii="Palatino Linotype" w:eastAsia="Palatino Linotype" w:hAnsi="Palatino Linotype" w:cs="Palatino Linotype"/>
          <w:b/>
        </w:rPr>
      </w:pPr>
    </w:p>
    <w:p w14:paraId="1B6055F6" w14:textId="77777777" w:rsidR="00181375" w:rsidRPr="00436C70" w:rsidRDefault="00C1362E">
      <w:pPr>
        <w:spacing w:line="360" w:lineRule="auto"/>
        <w:jc w:val="both"/>
        <w:rPr>
          <w:rFonts w:ascii="Palatino Linotype" w:eastAsia="Palatino Linotype" w:hAnsi="Palatino Linotype" w:cs="Palatino Linotype"/>
          <w:b/>
          <w:sz w:val="28"/>
          <w:szCs w:val="28"/>
        </w:rPr>
      </w:pPr>
      <w:r w:rsidRPr="00436C70">
        <w:rPr>
          <w:rFonts w:ascii="Palatino Linotype" w:eastAsia="Palatino Linotype" w:hAnsi="Palatino Linotype" w:cs="Palatino Linotype"/>
          <w:b/>
          <w:sz w:val="28"/>
          <w:szCs w:val="28"/>
        </w:rPr>
        <w:t>II. Turno de Requerimiento del Sujeto Obligado</w:t>
      </w:r>
    </w:p>
    <w:p w14:paraId="59CE6F85"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De las constancias que obran en el expediente electrónico del SAIMEX, se aprecia en fecha catorce de febrero el turno de 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5F992126" w14:textId="77777777" w:rsidR="00181375" w:rsidRPr="00436C70" w:rsidRDefault="00181375">
      <w:pPr>
        <w:spacing w:line="360" w:lineRule="auto"/>
        <w:jc w:val="both"/>
        <w:rPr>
          <w:rFonts w:ascii="Palatino Linotype" w:eastAsia="Palatino Linotype" w:hAnsi="Palatino Linotype" w:cs="Palatino Linotype"/>
        </w:rPr>
      </w:pPr>
    </w:p>
    <w:p w14:paraId="109994DC" w14:textId="77777777" w:rsidR="00181375" w:rsidRPr="00436C70" w:rsidRDefault="00C1362E">
      <w:pPr>
        <w:spacing w:line="360" w:lineRule="auto"/>
        <w:jc w:val="both"/>
        <w:rPr>
          <w:rFonts w:ascii="Palatino Linotype" w:eastAsia="Palatino Linotype" w:hAnsi="Palatino Linotype" w:cs="Palatino Linotype"/>
          <w:b/>
          <w:sz w:val="28"/>
          <w:szCs w:val="28"/>
        </w:rPr>
      </w:pPr>
      <w:r w:rsidRPr="00436C70">
        <w:rPr>
          <w:rFonts w:ascii="Palatino Linotype" w:eastAsia="Palatino Linotype" w:hAnsi="Palatino Linotype" w:cs="Palatino Linotype"/>
          <w:b/>
          <w:sz w:val="28"/>
          <w:szCs w:val="28"/>
        </w:rPr>
        <w:t>III. Respuesta del Sujeto Obligado</w:t>
      </w:r>
    </w:p>
    <w:p w14:paraId="6EF07E88"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En fecha quince de febrero de dos mil veintidós, el servidor público habilitado dio respuesta a la solicitud de información pública, la cual que fue notificada al particular en la misma  fecha  y consta de lo siguiente:</w:t>
      </w:r>
    </w:p>
    <w:p w14:paraId="1B33139B" w14:textId="77777777" w:rsidR="00181375" w:rsidRPr="00436C70" w:rsidRDefault="00C1362E">
      <w:pPr>
        <w:ind w:left="850" w:right="899"/>
        <w:jc w:val="both"/>
        <w:rPr>
          <w:rFonts w:ascii="Palatino Linotype" w:eastAsia="Palatino Linotype" w:hAnsi="Palatino Linotype" w:cs="Palatino Linotype"/>
        </w:rPr>
      </w:pPr>
      <w:r w:rsidRPr="00436C70">
        <w:rPr>
          <w:rFonts w:ascii="Palatino Linotype" w:eastAsia="Palatino Linotype" w:hAnsi="Palatino Linotype" w:cs="Palatino Linotype"/>
          <w:i/>
          <w:sz w:val="22"/>
          <w:szCs w:val="22"/>
        </w:rPr>
        <w:t xml:space="preserve">“...En atención a la Solicitud de Información con folio 00014/CAMEM/IP/2022, mediante la cual se requiere a la letra “Las dimensiones del edificio donde radica la institución en la Ciudad de Toluca de Lerdo, de cada oficina y por cuantas personas están ocupadas y si en ellas se cumple la distancia de seguridad para evitar los contagios de la enfermedad covid19. Se aclara que no han dado respuesta a esta solicitud de información como lo exige la ley de Transparencia”, se informa que,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w:t>
      </w:r>
      <w:r w:rsidRPr="00436C70">
        <w:rPr>
          <w:rFonts w:ascii="Palatino Linotype" w:eastAsia="Palatino Linotype" w:hAnsi="Palatino Linotype" w:cs="Palatino Linotype"/>
          <w:i/>
          <w:sz w:val="22"/>
          <w:szCs w:val="22"/>
        </w:rPr>
        <w:lastRenderedPageBreak/>
        <w:t>titular de la Unidad de Apoyo Administrativo; lo anterior, con fundamento en la Ley de Transparencia y Acceso a la Información Pública del Estado de México y Municipios que establece lo siguiente: Lo anterior, con fundamento en los Artículos 12 y 24 en ambos últimos párrafos,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r w:rsidRPr="00436C70">
        <w:rPr>
          <w:rFonts w:ascii="Palatino Linotype" w:eastAsia="Palatino Linotype" w:hAnsi="Palatino Linotype" w:cs="Palatino Linotype"/>
        </w:rPr>
        <w:t xml:space="preserve"> (Sic)</w:t>
      </w:r>
    </w:p>
    <w:p w14:paraId="1183DFE0" w14:textId="77777777" w:rsidR="00181375" w:rsidRPr="00436C70" w:rsidRDefault="00181375">
      <w:pPr>
        <w:spacing w:line="360" w:lineRule="auto"/>
        <w:jc w:val="both"/>
        <w:rPr>
          <w:rFonts w:ascii="Palatino Linotype" w:eastAsia="Palatino Linotype" w:hAnsi="Palatino Linotype" w:cs="Palatino Linotype"/>
        </w:rPr>
      </w:pPr>
    </w:p>
    <w:p w14:paraId="0B30618E"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Del precepto anterior se puede observar que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realiza un cambio de modalidad indicando que la información está disponible para su consulta en sus oficinas. </w:t>
      </w:r>
    </w:p>
    <w:p w14:paraId="5A1B3B82" w14:textId="77777777" w:rsidR="00181375" w:rsidRPr="00436C70" w:rsidRDefault="00181375">
      <w:pPr>
        <w:widowControl w:val="0"/>
        <w:spacing w:line="360" w:lineRule="auto"/>
        <w:jc w:val="both"/>
        <w:rPr>
          <w:rFonts w:ascii="Palatino Linotype" w:eastAsia="Palatino Linotype" w:hAnsi="Palatino Linotype" w:cs="Palatino Linotype"/>
        </w:rPr>
      </w:pPr>
    </w:p>
    <w:p w14:paraId="61C6C989" w14:textId="77777777" w:rsidR="00181375" w:rsidRPr="00436C70" w:rsidRDefault="00C1362E">
      <w:pPr>
        <w:widowControl w:val="0"/>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sz w:val="28"/>
          <w:szCs w:val="28"/>
        </w:rPr>
        <w:t>III. Del Recurso de Revisión</w:t>
      </w:r>
      <w:r w:rsidRPr="00436C70">
        <w:rPr>
          <w:rFonts w:ascii="Palatino Linotype" w:eastAsia="Palatino Linotype" w:hAnsi="Palatino Linotype" w:cs="Palatino Linotype"/>
          <w:b/>
        </w:rPr>
        <w:t>.</w:t>
      </w:r>
    </w:p>
    <w:p w14:paraId="222E6869"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Inconforme por la respuesta del</w:t>
      </w:r>
      <w:r w:rsidRPr="00436C70">
        <w:rPr>
          <w:rFonts w:ascii="Palatino Linotype" w:eastAsia="Palatino Linotype" w:hAnsi="Palatino Linotype" w:cs="Palatino Linotype"/>
          <w:b/>
        </w:rPr>
        <w:t xml:space="preserve"> SUJETO OBLIGADO</w:t>
      </w:r>
      <w:r w:rsidRPr="00436C70">
        <w:rPr>
          <w:rFonts w:ascii="Palatino Linotype" w:eastAsia="Palatino Linotype" w:hAnsi="Palatino Linotype" w:cs="Palatino Linotype"/>
        </w:rPr>
        <w:t>, el tres</w:t>
      </w:r>
      <w:r w:rsidRPr="00436C70">
        <w:rPr>
          <w:rFonts w:ascii="Palatino Linotype" w:eastAsia="Palatino Linotype" w:hAnsi="Palatino Linotype" w:cs="Palatino Linotype"/>
          <w:vertAlign w:val="superscript"/>
        </w:rPr>
        <w:footnoteReference w:id="1"/>
      </w:r>
      <w:r w:rsidRPr="00436C70">
        <w:rPr>
          <w:rFonts w:ascii="Palatino Linotype" w:eastAsia="Palatino Linotype" w:hAnsi="Palatino Linotype" w:cs="Palatino Linotype"/>
        </w:rPr>
        <w:t xml:space="preserve"> de marzo de dos mil veintidós,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interpuso el Recurso de Revisión. El cual fue registrado en </w:t>
      </w:r>
      <w:r w:rsidRPr="00436C70">
        <w:rPr>
          <w:rFonts w:ascii="Palatino Linotype" w:eastAsia="Palatino Linotype" w:hAnsi="Palatino Linotype" w:cs="Palatino Linotype"/>
          <w:b/>
        </w:rPr>
        <w:t>EL SAIMEX</w:t>
      </w:r>
      <w:r w:rsidRPr="00436C70">
        <w:rPr>
          <w:rFonts w:ascii="Palatino Linotype" w:eastAsia="Palatino Linotype" w:hAnsi="Palatino Linotype" w:cs="Palatino Linotype"/>
        </w:rPr>
        <w:t xml:space="preserve"> y se le asignó el número de expediente </w:t>
      </w:r>
      <w:r w:rsidRPr="00436C70">
        <w:rPr>
          <w:rFonts w:ascii="Palatino Linotype" w:eastAsia="Palatino Linotype" w:hAnsi="Palatino Linotype" w:cs="Palatino Linotype"/>
          <w:b/>
        </w:rPr>
        <w:t xml:space="preserve">03177/INFOEM/IP/RR/2022, </w:t>
      </w:r>
      <w:r w:rsidRPr="00436C70">
        <w:rPr>
          <w:rFonts w:ascii="Palatino Linotype" w:eastAsia="Palatino Linotype" w:hAnsi="Palatino Linotype" w:cs="Palatino Linotype"/>
        </w:rPr>
        <w:t xml:space="preserve">donde los motivos de agravio del </w:t>
      </w:r>
      <w:r w:rsidRPr="00436C70">
        <w:rPr>
          <w:rFonts w:ascii="Palatino Linotype" w:eastAsia="Palatino Linotype" w:hAnsi="Palatino Linotype" w:cs="Palatino Linotype"/>
          <w:b/>
        </w:rPr>
        <w:t xml:space="preserve">RECURRENTE </w:t>
      </w:r>
      <w:r w:rsidRPr="00436C70">
        <w:rPr>
          <w:rFonts w:ascii="Palatino Linotype" w:eastAsia="Palatino Linotype" w:hAnsi="Palatino Linotype" w:cs="Palatino Linotype"/>
        </w:rPr>
        <w:t>fueron los siguientes:</w:t>
      </w:r>
    </w:p>
    <w:p w14:paraId="69683D3D" w14:textId="77777777" w:rsidR="00A2232D" w:rsidRPr="00436C70" w:rsidRDefault="00A2232D">
      <w:pPr>
        <w:widowControl w:val="0"/>
        <w:spacing w:line="360" w:lineRule="auto"/>
        <w:jc w:val="both"/>
        <w:rPr>
          <w:rFonts w:ascii="Palatino Linotype" w:eastAsia="Palatino Linotype" w:hAnsi="Palatino Linotype" w:cs="Palatino Linotype"/>
        </w:rPr>
      </w:pPr>
    </w:p>
    <w:p w14:paraId="5F0236BC" w14:textId="77777777" w:rsidR="00181375" w:rsidRPr="00436C70" w:rsidRDefault="00181375">
      <w:pPr>
        <w:spacing w:line="360" w:lineRule="auto"/>
        <w:ind w:left="-57" w:right="-57"/>
        <w:jc w:val="both"/>
        <w:rPr>
          <w:rFonts w:ascii="Palatino Linotype" w:eastAsia="Palatino Linotype" w:hAnsi="Palatino Linotype" w:cs="Palatino Linotype"/>
        </w:rPr>
      </w:pPr>
    </w:p>
    <w:p w14:paraId="72FAA183" w14:textId="77777777" w:rsidR="00181375" w:rsidRPr="00436C70" w:rsidRDefault="00C1362E">
      <w:pPr>
        <w:spacing w:line="360" w:lineRule="auto"/>
        <w:ind w:left="-57" w:right="-57"/>
        <w:jc w:val="both"/>
        <w:rPr>
          <w:rFonts w:ascii="Palatino Linotype" w:eastAsia="Palatino Linotype" w:hAnsi="Palatino Linotype" w:cs="Palatino Linotype"/>
          <w:b/>
          <w:u w:val="single"/>
        </w:rPr>
      </w:pPr>
      <w:r w:rsidRPr="00436C70">
        <w:rPr>
          <w:rFonts w:ascii="Palatino Linotype" w:eastAsia="Palatino Linotype" w:hAnsi="Palatino Linotype" w:cs="Palatino Linotype"/>
          <w:b/>
          <w:u w:val="single"/>
        </w:rPr>
        <w:lastRenderedPageBreak/>
        <w:t>Acto Impugnado:</w:t>
      </w:r>
      <w:r w:rsidRPr="00436C70">
        <w:rPr>
          <w:b/>
          <w:u w:val="single"/>
        </w:rPr>
        <w:t xml:space="preserve"> </w:t>
      </w:r>
    </w:p>
    <w:p w14:paraId="141308EB" w14:textId="77777777" w:rsidR="00181375" w:rsidRPr="00436C70" w:rsidRDefault="00C1362E">
      <w:pPr>
        <w:tabs>
          <w:tab w:val="left" w:pos="709"/>
        </w:tabs>
        <w:spacing w:before="66"/>
        <w:ind w:left="850" w:right="899"/>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“No entrega la información solicitada y mediante la forma requerida.”(sic)</w:t>
      </w:r>
    </w:p>
    <w:p w14:paraId="3949C942" w14:textId="77777777" w:rsidR="00181375" w:rsidRPr="00436C70" w:rsidRDefault="00181375">
      <w:pPr>
        <w:tabs>
          <w:tab w:val="left" w:pos="709"/>
        </w:tabs>
        <w:spacing w:before="66"/>
        <w:ind w:left="850" w:right="899"/>
        <w:rPr>
          <w:rFonts w:ascii="Palatino Linotype" w:eastAsia="Palatino Linotype" w:hAnsi="Palatino Linotype" w:cs="Palatino Linotype"/>
          <w:i/>
          <w:sz w:val="20"/>
          <w:szCs w:val="20"/>
        </w:rPr>
      </w:pPr>
    </w:p>
    <w:p w14:paraId="5EBAB10E" w14:textId="77777777" w:rsidR="00181375" w:rsidRPr="00436C70" w:rsidRDefault="00C1362E">
      <w:pPr>
        <w:tabs>
          <w:tab w:val="left" w:pos="709"/>
        </w:tabs>
        <w:spacing w:before="66"/>
        <w:rPr>
          <w:rFonts w:ascii="Palatino Linotype" w:eastAsia="Palatino Linotype" w:hAnsi="Palatino Linotype" w:cs="Palatino Linotype"/>
          <w:b/>
          <w:u w:val="single"/>
        </w:rPr>
      </w:pPr>
      <w:r w:rsidRPr="00436C70">
        <w:rPr>
          <w:rFonts w:ascii="Palatino Linotype" w:eastAsia="Palatino Linotype" w:hAnsi="Palatino Linotype" w:cs="Palatino Linotype"/>
          <w:b/>
          <w:u w:val="single"/>
        </w:rPr>
        <w:t>Razones o motivos de la inconformidad:</w:t>
      </w:r>
    </w:p>
    <w:p w14:paraId="3B275C40" w14:textId="77777777" w:rsidR="00181375" w:rsidRPr="00436C70" w:rsidRDefault="00181375">
      <w:pPr>
        <w:tabs>
          <w:tab w:val="left" w:pos="709"/>
        </w:tabs>
        <w:spacing w:before="66"/>
        <w:rPr>
          <w:rFonts w:ascii="Palatino Linotype" w:eastAsia="Palatino Linotype" w:hAnsi="Palatino Linotype" w:cs="Palatino Linotype"/>
        </w:rPr>
      </w:pPr>
    </w:p>
    <w:p w14:paraId="700AC7E2" w14:textId="77777777" w:rsidR="00181375" w:rsidRPr="00436C70" w:rsidRDefault="00C1362E">
      <w:pPr>
        <w:ind w:left="850" w:right="899"/>
        <w:jc w:val="both"/>
        <w:rPr>
          <w:rFonts w:ascii="Palatino Linotype" w:eastAsia="Palatino Linotype" w:hAnsi="Palatino Linotype" w:cs="Palatino Linotype"/>
          <w:b/>
        </w:rPr>
      </w:pPr>
      <w:r w:rsidRPr="00436C70">
        <w:rPr>
          <w:rFonts w:ascii="Palatino Linotype" w:eastAsia="Palatino Linotype" w:hAnsi="Palatino Linotype" w:cs="Palatino Linotype"/>
          <w:i/>
          <w:sz w:val="22"/>
          <w:szCs w:val="22"/>
        </w:rPr>
        <w:t>“No entregó la información y en el formato requerido.” (sic)</w:t>
      </w:r>
    </w:p>
    <w:p w14:paraId="68A311A0" w14:textId="77777777" w:rsidR="00181375" w:rsidRPr="00436C70" w:rsidRDefault="00181375">
      <w:pPr>
        <w:spacing w:line="360" w:lineRule="auto"/>
        <w:jc w:val="both"/>
        <w:rPr>
          <w:rFonts w:ascii="Palatino Linotype" w:eastAsia="Palatino Linotype" w:hAnsi="Palatino Linotype" w:cs="Palatino Linotype"/>
        </w:rPr>
      </w:pPr>
    </w:p>
    <w:p w14:paraId="52E80FF3" w14:textId="77777777" w:rsidR="00181375" w:rsidRPr="00436C70" w:rsidRDefault="00436C70">
      <w:pPr>
        <w:spacing w:line="360" w:lineRule="auto"/>
        <w:jc w:val="both"/>
        <w:rPr>
          <w:rFonts w:ascii="Palatino Linotype" w:eastAsia="Palatino Linotype" w:hAnsi="Palatino Linotype" w:cs="Palatino Linotype"/>
          <w:b/>
          <w:sz w:val="28"/>
          <w:szCs w:val="28"/>
        </w:rPr>
      </w:pPr>
      <w:r w:rsidRPr="00436C70">
        <w:rPr>
          <w:rFonts w:ascii="Palatino Linotype" w:eastAsia="Palatino Linotype" w:hAnsi="Palatino Linotype" w:cs="Palatino Linotype"/>
          <w:b/>
          <w:sz w:val="28"/>
          <w:szCs w:val="28"/>
        </w:rPr>
        <w:t>I</w:t>
      </w:r>
      <w:r w:rsidR="00C1362E" w:rsidRPr="00436C70">
        <w:rPr>
          <w:rFonts w:ascii="Palatino Linotype" w:eastAsia="Palatino Linotype" w:hAnsi="Palatino Linotype" w:cs="Palatino Linotype"/>
          <w:b/>
          <w:sz w:val="28"/>
          <w:szCs w:val="28"/>
        </w:rPr>
        <w:t xml:space="preserve">V. Del turno del Recurso de Revisión. </w:t>
      </w:r>
    </w:p>
    <w:p w14:paraId="2BB8BB8A"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El tres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36C70">
        <w:rPr>
          <w:rFonts w:ascii="Palatino Linotype" w:eastAsia="Palatino Linotype" w:hAnsi="Palatino Linotype" w:cs="Palatino Linotype"/>
          <w:b/>
        </w:rPr>
        <w:t>Comisionada Guadalupe Ramírez Peña</w:t>
      </w:r>
      <w:r w:rsidRPr="00436C70">
        <w:rPr>
          <w:rFonts w:ascii="Palatino Linotype" w:eastAsia="Palatino Linotype" w:hAnsi="Palatino Linotype" w:cs="Palatino Linotype"/>
        </w:rPr>
        <w:t xml:space="preserve">; a efecto de decretar su admisión o </w:t>
      </w:r>
      <w:proofErr w:type="spellStart"/>
      <w:r w:rsidRPr="00436C70">
        <w:rPr>
          <w:rFonts w:ascii="Palatino Linotype" w:eastAsia="Palatino Linotype" w:hAnsi="Palatino Linotype" w:cs="Palatino Linotype"/>
        </w:rPr>
        <w:t>desechamiento</w:t>
      </w:r>
      <w:proofErr w:type="spellEnd"/>
      <w:r w:rsidRPr="00436C70">
        <w:rPr>
          <w:rFonts w:ascii="Palatino Linotype" w:eastAsia="Palatino Linotype" w:hAnsi="Palatino Linotype" w:cs="Palatino Linotype"/>
        </w:rPr>
        <w:t>.</w:t>
      </w:r>
    </w:p>
    <w:p w14:paraId="68FF63F0" w14:textId="77777777" w:rsidR="00181375" w:rsidRPr="00436C70" w:rsidRDefault="00181375">
      <w:pPr>
        <w:spacing w:line="360" w:lineRule="auto"/>
        <w:jc w:val="both"/>
        <w:rPr>
          <w:rFonts w:ascii="Palatino Linotype" w:eastAsia="Palatino Linotype" w:hAnsi="Palatino Linotype" w:cs="Palatino Linotype"/>
        </w:rPr>
      </w:pPr>
    </w:p>
    <w:p w14:paraId="28A9E0FB" w14:textId="77777777" w:rsidR="00181375" w:rsidRPr="00436C70" w:rsidRDefault="00C1362E">
      <w:pPr>
        <w:tabs>
          <w:tab w:val="center" w:pos="4252"/>
          <w:tab w:val="right" w:pos="8504"/>
        </w:tabs>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rPr>
        <w:t>a) Admisión del Recurso de Revisión</w:t>
      </w:r>
    </w:p>
    <w:p w14:paraId="1828BB27" w14:textId="77777777" w:rsidR="00181375" w:rsidRPr="00436C70" w:rsidRDefault="00C1362E">
      <w:pPr>
        <w:tabs>
          <w:tab w:val="center" w:pos="4252"/>
          <w:tab w:val="right" w:pos="8504"/>
        </w:tabs>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De las constancias que obran en el expediente electrónico del</w:t>
      </w:r>
      <w:r w:rsidRPr="00436C70">
        <w:rPr>
          <w:rFonts w:ascii="Palatino Linotype" w:eastAsia="Palatino Linotype" w:hAnsi="Palatino Linotype" w:cs="Palatino Linotype"/>
          <w:b/>
        </w:rPr>
        <w:t xml:space="preserve"> SAIMEX</w:t>
      </w:r>
      <w:r w:rsidRPr="00436C70">
        <w:rPr>
          <w:rFonts w:ascii="Palatino Linotype" w:eastAsia="Palatino Linotype" w:hAnsi="Palatino Linotype" w:cs="Palatino Linotype"/>
        </w:rPr>
        <w:t xml:space="preserve">, se advierte que en fecha cuatro de marzo de dos mil veintidós, se acordó la admisión a trámite del Recurso de Revisión que nos ocupa; así como la integración del expediente respectivo, mismo que se puso a disposición de las partes, para que en un plazo máximo de siete días hábiles </w:t>
      </w:r>
      <w:r w:rsidRPr="00436C70">
        <w:rPr>
          <w:rFonts w:ascii="Palatino Linotype" w:eastAsia="Palatino Linotype" w:hAnsi="Palatino Linotype" w:cs="Palatino Linotype"/>
          <w:b/>
        </w:rPr>
        <w:t xml:space="preserve">EL RECURRENTE </w:t>
      </w:r>
      <w:r w:rsidRPr="00436C70">
        <w:rPr>
          <w:rFonts w:ascii="Palatino Linotype" w:eastAsia="Palatino Linotype" w:hAnsi="Palatino Linotype" w:cs="Palatino Linotype"/>
        </w:rPr>
        <w:t xml:space="preserve">manifestara lo que a su derecho conviniera, a efecto de presentar pruebas y alegatos; así como, para que </w:t>
      </w:r>
      <w:r w:rsidRPr="00436C70">
        <w:rPr>
          <w:rFonts w:ascii="Palatino Linotype" w:eastAsia="Palatino Linotype" w:hAnsi="Palatino Linotype" w:cs="Palatino Linotype"/>
          <w:b/>
        </w:rPr>
        <w:t xml:space="preserve">EL SUJETO OBLIGADO </w:t>
      </w:r>
      <w:r w:rsidRPr="00436C70">
        <w:rPr>
          <w:rFonts w:ascii="Palatino Linotype" w:eastAsia="Palatino Linotype" w:hAnsi="Palatino Linotype" w:cs="Palatino Linotype"/>
        </w:rPr>
        <w:t xml:space="preserve">rindiera el </w:t>
      </w:r>
      <w:r w:rsidRPr="00436C70">
        <w:rPr>
          <w:rFonts w:ascii="Palatino Linotype" w:eastAsia="Palatino Linotype" w:hAnsi="Palatino Linotype" w:cs="Palatino Linotype"/>
        </w:rPr>
        <w:lastRenderedPageBreak/>
        <w:t>correspondiente</w:t>
      </w:r>
      <w:r w:rsidRPr="00436C70">
        <w:rPr>
          <w:rFonts w:ascii="Palatino Linotype" w:eastAsia="Palatino Linotype" w:hAnsi="Palatino Linotype" w:cs="Palatino Linotype"/>
          <w:b/>
        </w:rPr>
        <w:t xml:space="preserve"> </w:t>
      </w:r>
      <w:r w:rsidRPr="00436C70">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DA082F5" w14:textId="77777777" w:rsidR="00181375" w:rsidRPr="00436C70" w:rsidRDefault="00181375">
      <w:pPr>
        <w:tabs>
          <w:tab w:val="center" w:pos="4252"/>
          <w:tab w:val="right" w:pos="8504"/>
        </w:tabs>
        <w:spacing w:line="360" w:lineRule="auto"/>
        <w:jc w:val="both"/>
        <w:rPr>
          <w:rFonts w:ascii="Palatino Linotype" w:eastAsia="Palatino Linotype" w:hAnsi="Palatino Linotype" w:cs="Palatino Linotype"/>
        </w:rPr>
      </w:pPr>
    </w:p>
    <w:p w14:paraId="41CCEF42" w14:textId="77777777" w:rsidR="00181375" w:rsidRPr="00436C70" w:rsidRDefault="00C1362E">
      <w:pPr>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rPr>
        <w:t>b) Informe Justificado</w:t>
      </w:r>
    </w:p>
    <w:p w14:paraId="6E03935C" w14:textId="77777777" w:rsidR="00181375" w:rsidRPr="00436C70" w:rsidRDefault="00C1362E">
      <w:pPr>
        <w:widowControl w:val="0"/>
        <w:tabs>
          <w:tab w:val="left" w:pos="0"/>
        </w:tabs>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Conforme a las constancias que obran en el expediente del </w:t>
      </w:r>
      <w:r w:rsidRPr="00436C70">
        <w:rPr>
          <w:rFonts w:ascii="Palatino Linotype" w:eastAsia="Palatino Linotype" w:hAnsi="Palatino Linotype" w:cs="Palatino Linotype"/>
          <w:b/>
        </w:rPr>
        <w:t>SAIMEX,</w:t>
      </w:r>
      <w:r w:rsidRPr="00436C7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436C70">
        <w:rPr>
          <w:rFonts w:ascii="Palatino Linotype" w:eastAsia="Palatino Linotype" w:hAnsi="Palatino Linotype" w:cs="Palatino Linotype"/>
          <w:b/>
        </w:rPr>
        <w:t>EL</w:t>
      </w:r>
      <w:r w:rsidRPr="00436C70">
        <w:rPr>
          <w:rFonts w:ascii="Palatino Linotype" w:eastAsia="Palatino Linotype" w:hAnsi="Palatino Linotype" w:cs="Palatino Linotype"/>
        </w:rPr>
        <w:t xml:space="preserve"> </w:t>
      </w:r>
      <w:r w:rsidRPr="00436C70">
        <w:rPr>
          <w:rFonts w:ascii="Palatino Linotype" w:eastAsia="Palatino Linotype" w:hAnsi="Palatino Linotype" w:cs="Palatino Linotype"/>
          <w:b/>
        </w:rPr>
        <w:t>RECURRENTE</w:t>
      </w:r>
      <w:r w:rsidRPr="00436C70">
        <w:rPr>
          <w:rFonts w:ascii="Palatino Linotype" w:eastAsia="Palatino Linotype" w:hAnsi="Palatino Linotype" w:cs="Palatino Linotype"/>
        </w:rPr>
        <w:t xml:space="preserve"> no presentó manifestaciones que a su derecho convinieran. </w:t>
      </w:r>
    </w:p>
    <w:p w14:paraId="1A392F34" w14:textId="77777777" w:rsidR="00181375" w:rsidRPr="00436C70" w:rsidRDefault="00181375">
      <w:pPr>
        <w:widowControl w:val="0"/>
        <w:tabs>
          <w:tab w:val="left" w:pos="0"/>
        </w:tabs>
        <w:spacing w:line="360" w:lineRule="auto"/>
        <w:jc w:val="both"/>
        <w:rPr>
          <w:rFonts w:ascii="Palatino Linotype" w:eastAsia="Palatino Linotype" w:hAnsi="Palatino Linotype" w:cs="Palatino Linotype"/>
        </w:rPr>
      </w:pPr>
    </w:p>
    <w:p w14:paraId="1ED49E42" w14:textId="77777777" w:rsidR="00181375" w:rsidRPr="00436C70" w:rsidRDefault="00C1362E">
      <w:pPr>
        <w:widowControl w:val="0"/>
        <w:tabs>
          <w:tab w:val="left" w:pos="0"/>
        </w:tabs>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Por su parte,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remitió el Informe Justificado que fue puesto a disposición de las partes y el cual consta del archivo denominado Recurso de Revisión 3177_2022.pdf de cuyo contenido se advierte el Oficio número 208C0201000100s/240/2022 firmado por el Jefe de la Unidad de Apoyo Administrativo, en fecha dieciséis de marzo de dos mil veintidós, quien refiere que el edificio que alberga las Oficinas Centrales de Toluca cuenta con una superficie de 720 </w:t>
      </w:r>
      <w:proofErr w:type="spellStart"/>
      <w:r w:rsidRPr="00436C70">
        <w:rPr>
          <w:rFonts w:ascii="Palatino Linotype" w:eastAsia="Palatino Linotype" w:hAnsi="Palatino Linotype" w:cs="Palatino Linotype"/>
        </w:rPr>
        <w:t>mts</w:t>
      </w:r>
      <w:proofErr w:type="spellEnd"/>
      <w:r w:rsidRPr="00436C70">
        <w:rPr>
          <w:rFonts w:ascii="Palatino Linotype" w:eastAsia="Palatino Linotype" w:hAnsi="Palatino Linotype" w:cs="Palatino Linotype"/>
        </w:rPr>
        <w:t xml:space="preserve"> y con 575 </w:t>
      </w:r>
      <w:proofErr w:type="spellStart"/>
      <w:r w:rsidRPr="00436C70">
        <w:rPr>
          <w:rFonts w:ascii="Palatino Linotype" w:eastAsia="Palatino Linotype" w:hAnsi="Palatino Linotype" w:cs="Palatino Linotype"/>
        </w:rPr>
        <w:t>mts</w:t>
      </w:r>
      <w:proofErr w:type="spellEnd"/>
      <w:r w:rsidRPr="00436C70">
        <w:rPr>
          <w:rFonts w:ascii="Palatino Linotype" w:eastAsia="Palatino Linotype" w:hAnsi="Palatino Linotype" w:cs="Palatino Linotype"/>
        </w:rPr>
        <w:t xml:space="preserve"> de construcción y está ocupado por 33 servidores públicos, por lo que sí se cumple con la distancia de seguridad para evi</w:t>
      </w:r>
      <w:r w:rsidR="002F4879" w:rsidRPr="00436C70">
        <w:rPr>
          <w:rFonts w:ascii="Palatino Linotype" w:eastAsia="Palatino Linotype" w:hAnsi="Palatino Linotype" w:cs="Palatino Linotype"/>
        </w:rPr>
        <w:t xml:space="preserve">tar los contagios por </w:t>
      </w:r>
      <w:proofErr w:type="spellStart"/>
      <w:r w:rsidR="002F4879" w:rsidRPr="00436C70">
        <w:rPr>
          <w:rFonts w:ascii="Palatino Linotype" w:eastAsia="Palatino Linotype" w:hAnsi="Palatino Linotype" w:cs="Palatino Linotype"/>
        </w:rPr>
        <w:t>Covid</w:t>
      </w:r>
      <w:proofErr w:type="spellEnd"/>
      <w:r w:rsidR="002F4879" w:rsidRPr="00436C70">
        <w:rPr>
          <w:rFonts w:ascii="Palatino Linotype" w:eastAsia="Palatino Linotype" w:hAnsi="Palatino Linotype" w:cs="Palatino Linotype"/>
        </w:rPr>
        <w:t>- 19.</w:t>
      </w:r>
    </w:p>
    <w:p w14:paraId="5DC7FE93" w14:textId="77777777" w:rsidR="002F4879" w:rsidRPr="00436C70" w:rsidRDefault="002F4879">
      <w:pPr>
        <w:widowControl w:val="0"/>
        <w:tabs>
          <w:tab w:val="left" w:pos="0"/>
        </w:tabs>
        <w:spacing w:line="360" w:lineRule="auto"/>
        <w:jc w:val="both"/>
        <w:rPr>
          <w:rFonts w:ascii="Palatino Linotype" w:eastAsia="Palatino Linotype" w:hAnsi="Palatino Linotype" w:cs="Palatino Linotype"/>
        </w:rPr>
      </w:pPr>
    </w:p>
    <w:p w14:paraId="5C7E3ADF" w14:textId="77777777" w:rsidR="00181375" w:rsidRPr="00436C70" w:rsidRDefault="00181375">
      <w:pPr>
        <w:widowControl w:val="0"/>
        <w:tabs>
          <w:tab w:val="left" w:pos="0"/>
        </w:tabs>
        <w:spacing w:line="360" w:lineRule="auto"/>
        <w:jc w:val="both"/>
        <w:rPr>
          <w:rFonts w:ascii="Palatino Linotype" w:eastAsia="Palatino Linotype" w:hAnsi="Palatino Linotype" w:cs="Palatino Linotype"/>
        </w:rPr>
      </w:pPr>
    </w:p>
    <w:p w14:paraId="71A5654F" w14:textId="77777777" w:rsidR="00181375" w:rsidRPr="00436C70" w:rsidRDefault="00C1362E">
      <w:pPr>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rPr>
        <w:lastRenderedPageBreak/>
        <w:t xml:space="preserve">c) Del </w:t>
      </w:r>
      <w:proofErr w:type="spellStart"/>
      <w:r w:rsidRPr="00436C70">
        <w:rPr>
          <w:rFonts w:ascii="Palatino Linotype" w:eastAsia="Palatino Linotype" w:hAnsi="Palatino Linotype" w:cs="Palatino Linotype"/>
          <w:b/>
        </w:rPr>
        <w:t>returno</w:t>
      </w:r>
      <w:proofErr w:type="spellEnd"/>
      <w:r w:rsidRPr="00436C70">
        <w:rPr>
          <w:rFonts w:ascii="Palatino Linotype" w:eastAsia="Palatino Linotype" w:hAnsi="Palatino Linotype" w:cs="Palatino Linotype"/>
          <w:b/>
        </w:rPr>
        <w:t xml:space="preserve"> del Recurso de Revisión</w:t>
      </w:r>
    </w:p>
    <w:p w14:paraId="712C81E8"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436C70">
        <w:rPr>
          <w:rFonts w:ascii="Palatino Linotype" w:eastAsia="Palatino Linotype" w:hAnsi="Palatino Linotype" w:cs="Palatino Linotype"/>
        </w:rPr>
        <w:t>returnado</w:t>
      </w:r>
      <w:proofErr w:type="spellEnd"/>
      <w:r w:rsidRPr="00436C70">
        <w:rPr>
          <w:rFonts w:ascii="Palatino Linotype" w:eastAsia="Palatino Linotype" w:hAnsi="Palatino Linotype" w:cs="Palatino Linotype"/>
        </w:rPr>
        <w:t xml:space="preserve"> el Recurso de Revisión número</w:t>
      </w:r>
      <w:r w:rsidRPr="00436C70">
        <w:rPr>
          <w:rFonts w:ascii="Palatino Linotype" w:eastAsia="Palatino Linotype" w:hAnsi="Palatino Linotype" w:cs="Palatino Linotype"/>
          <w:b/>
        </w:rPr>
        <w:t xml:space="preserve"> 03177/INFOEM/IP/RR/2022 </w:t>
      </w:r>
      <w:r w:rsidRPr="00436C70">
        <w:rPr>
          <w:rFonts w:ascii="Palatino Linotype" w:eastAsia="Palatino Linotype" w:hAnsi="Palatino Linotype" w:cs="Palatino Linotype"/>
        </w:rPr>
        <w:t xml:space="preserve">a la </w:t>
      </w:r>
      <w:r w:rsidRPr="00436C70">
        <w:rPr>
          <w:rFonts w:ascii="Palatino Linotype" w:eastAsia="Palatino Linotype" w:hAnsi="Palatino Linotype" w:cs="Palatino Linotype"/>
          <w:b/>
        </w:rPr>
        <w:t>Comisionada Sharon Cristina Morales Martínez</w:t>
      </w:r>
      <w:r w:rsidRPr="00436C70">
        <w:rPr>
          <w:rFonts w:ascii="Palatino Linotype" w:eastAsia="Palatino Linotype" w:hAnsi="Palatino Linotype" w:cs="Palatino Linotype"/>
        </w:rPr>
        <w:t xml:space="preserve"> para su resolución y presentación al Pleno. .</w:t>
      </w:r>
    </w:p>
    <w:p w14:paraId="53808503"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 </w:t>
      </w:r>
    </w:p>
    <w:p w14:paraId="047B94F1" w14:textId="77777777" w:rsidR="00181375" w:rsidRPr="00436C70" w:rsidRDefault="00C1362E">
      <w:pPr>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rPr>
        <w:t xml:space="preserve">e) De la ampliación </w:t>
      </w:r>
    </w:p>
    <w:p w14:paraId="140D94A8"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En fecha veintiséis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680C9FDC" w14:textId="77777777" w:rsidR="00181375" w:rsidRPr="00436C70" w:rsidRDefault="00181375">
      <w:pPr>
        <w:spacing w:line="360" w:lineRule="auto"/>
        <w:jc w:val="both"/>
        <w:rPr>
          <w:rFonts w:ascii="Palatino Linotype" w:eastAsia="Palatino Linotype" w:hAnsi="Palatino Linotype" w:cs="Palatino Linotype"/>
        </w:rPr>
      </w:pPr>
    </w:p>
    <w:p w14:paraId="475DA8EB" w14:textId="77777777" w:rsidR="00181375" w:rsidRPr="00436C70" w:rsidRDefault="00C1362E">
      <w:pPr>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rPr>
        <w:t>d) Cierre de Instrucción</w:t>
      </w:r>
    </w:p>
    <w:p w14:paraId="6F260BB8" w14:textId="77777777" w:rsidR="002F4879"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Por lo que, una vez analizado el estado procesal que guarda el expediente, en fecha diecisiete de mayo de dos mil veintidós, la </w:t>
      </w:r>
      <w:r w:rsidRPr="00436C70">
        <w:rPr>
          <w:rFonts w:ascii="Palatino Linotype" w:eastAsia="Palatino Linotype" w:hAnsi="Palatino Linotype" w:cs="Palatino Linotype"/>
          <w:b/>
        </w:rPr>
        <w:t xml:space="preserve">Comisionada Sharon Cristina Morales Martínez </w:t>
      </w:r>
      <w:r w:rsidRPr="00436C7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36C70" w:rsidRPr="00436C70">
        <w:rPr>
          <w:rFonts w:ascii="Palatino Linotype" w:eastAsia="Palatino Linotype" w:hAnsi="Palatino Linotype" w:cs="Palatino Linotype"/>
        </w:rPr>
        <w:t>.</w:t>
      </w:r>
    </w:p>
    <w:p w14:paraId="219C9592" w14:textId="77777777" w:rsidR="002F4879" w:rsidRPr="00436C70" w:rsidRDefault="002F4879">
      <w:pPr>
        <w:spacing w:line="360" w:lineRule="auto"/>
        <w:jc w:val="both"/>
        <w:rPr>
          <w:rFonts w:ascii="Palatino Linotype" w:eastAsia="Palatino Linotype" w:hAnsi="Palatino Linotype" w:cs="Palatino Linotype"/>
        </w:rPr>
      </w:pPr>
    </w:p>
    <w:p w14:paraId="0F22C21B" w14:textId="77777777" w:rsidR="00436C70" w:rsidRPr="00436C70" w:rsidRDefault="00436C70">
      <w:pPr>
        <w:spacing w:line="360" w:lineRule="auto"/>
        <w:jc w:val="both"/>
        <w:rPr>
          <w:rFonts w:ascii="Palatino Linotype" w:eastAsia="Palatino Linotype" w:hAnsi="Palatino Linotype" w:cs="Palatino Linotype"/>
        </w:rPr>
      </w:pPr>
    </w:p>
    <w:p w14:paraId="437D44E6" w14:textId="77777777" w:rsidR="00181375" w:rsidRPr="00436C70" w:rsidRDefault="00C1362E">
      <w:pPr>
        <w:jc w:val="center"/>
        <w:rPr>
          <w:rFonts w:ascii="Palatino Linotype" w:eastAsia="Palatino Linotype" w:hAnsi="Palatino Linotype" w:cs="Palatino Linotype"/>
          <w:b/>
          <w:sz w:val="28"/>
          <w:szCs w:val="28"/>
        </w:rPr>
      </w:pPr>
      <w:r w:rsidRPr="00436C70">
        <w:rPr>
          <w:rFonts w:ascii="Palatino Linotype" w:eastAsia="Palatino Linotype" w:hAnsi="Palatino Linotype" w:cs="Palatino Linotype"/>
          <w:b/>
          <w:sz w:val="28"/>
          <w:szCs w:val="28"/>
        </w:rPr>
        <w:lastRenderedPageBreak/>
        <w:t>CONSIDERANDO</w:t>
      </w:r>
    </w:p>
    <w:p w14:paraId="37C90326" w14:textId="77777777" w:rsidR="00181375" w:rsidRPr="00436C70" w:rsidRDefault="00181375">
      <w:pPr>
        <w:jc w:val="center"/>
        <w:rPr>
          <w:rFonts w:ascii="Palatino Linotype" w:eastAsia="Palatino Linotype" w:hAnsi="Palatino Linotype" w:cs="Palatino Linotype"/>
          <w:b/>
          <w:sz w:val="28"/>
          <w:szCs w:val="28"/>
        </w:rPr>
      </w:pPr>
    </w:p>
    <w:p w14:paraId="358A893E" w14:textId="77777777" w:rsidR="00181375" w:rsidRPr="00436C70" w:rsidRDefault="00C1362E">
      <w:pPr>
        <w:widowControl w:val="0"/>
        <w:tabs>
          <w:tab w:val="left" w:pos="1701"/>
        </w:tabs>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b/>
          <w:sz w:val="28"/>
          <w:szCs w:val="28"/>
        </w:rPr>
        <w:t>PRIMERO.</w:t>
      </w:r>
      <w:r w:rsidRPr="00436C70">
        <w:rPr>
          <w:rFonts w:ascii="Palatino Linotype" w:eastAsia="Palatino Linotype" w:hAnsi="Palatino Linotype" w:cs="Palatino Linotype"/>
          <w:b/>
        </w:rPr>
        <w:t xml:space="preserve"> Competencia</w:t>
      </w:r>
      <w:r w:rsidRPr="00436C70">
        <w:rPr>
          <w:rFonts w:ascii="Palatino Linotype" w:eastAsia="Palatino Linotype" w:hAnsi="Palatino Linotype" w:cs="Palatino Linotype"/>
        </w:rPr>
        <w:t>.</w:t>
      </w:r>
      <w:r w:rsidRPr="00436C70">
        <w:rPr>
          <w:rFonts w:ascii="Palatino Linotype" w:eastAsia="Palatino Linotype" w:hAnsi="Palatino Linotype" w:cs="Palatino Linotype"/>
          <w:b/>
        </w:rPr>
        <w:t xml:space="preserve"> </w:t>
      </w:r>
    </w:p>
    <w:p w14:paraId="1EBFF175" w14:textId="77777777" w:rsidR="00181375" w:rsidRPr="00436C70" w:rsidRDefault="00C1362E">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436C7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49ED87D" w14:textId="77777777" w:rsidR="00181375" w:rsidRPr="00436C70" w:rsidRDefault="00181375">
      <w:pPr>
        <w:widowControl w:val="0"/>
        <w:tabs>
          <w:tab w:val="left" w:pos="1701"/>
          <w:tab w:val="left" w:pos="2977"/>
        </w:tabs>
        <w:spacing w:line="360" w:lineRule="auto"/>
        <w:jc w:val="both"/>
        <w:rPr>
          <w:rFonts w:ascii="Palatino Linotype" w:eastAsia="Palatino Linotype" w:hAnsi="Palatino Linotype" w:cs="Palatino Linotype"/>
        </w:rPr>
      </w:pPr>
    </w:p>
    <w:p w14:paraId="1CE41C16" w14:textId="77777777" w:rsidR="00181375" w:rsidRPr="00436C70" w:rsidRDefault="00C1362E">
      <w:pPr>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sz w:val="28"/>
          <w:szCs w:val="28"/>
        </w:rPr>
        <w:t>SEGUNDO</w:t>
      </w:r>
      <w:r w:rsidRPr="00436C70">
        <w:rPr>
          <w:rFonts w:ascii="Palatino Linotype" w:eastAsia="Palatino Linotype" w:hAnsi="Palatino Linotype" w:cs="Palatino Linotype"/>
          <w:b/>
        </w:rPr>
        <w:t xml:space="preserve">. Interés. </w:t>
      </w:r>
    </w:p>
    <w:p w14:paraId="76164850" w14:textId="77777777" w:rsidR="00181375" w:rsidRPr="00436C70" w:rsidRDefault="00C1362E">
      <w:pPr>
        <w:spacing w:line="360" w:lineRule="auto"/>
        <w:jc w:val="both"/>
        <w:rPr>
          <w:rFonts w:ascii="Palatino Linotype" w:eastAsia="Palatino Linotype" w:hAnsi="Palatino Linotype" w:cs="Palatino Linotype"/>
          <w:b/>
          <w:color w:val="000000"/>
        </w:rPr>
      </w:pPr>
      <w:r w:rsidRPr="00436C70">
        <w:rPr>
          <w:rFonts w:ascii="Palatino Linotype" w:eastAsia="Palatino Linotype" w:hAnsi="Palatino Linotype" w:cs="Palatino Linotype"/>
        </w:rPr>
        <w:t>El</w:t>
      </w:r>
      <w:r w:rsidRPr="00436C70">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436C70">
        <w:rPr>
          <w:rFonts w:ascii="Palatino Linotype" w:eastAsia="Palatino Linotype" w:hAnsi="Palatino Linotype" w:cs="Palatino Linotype"/>
          <w:b/>
        </w:rPr>
        <w:t>EL</w:t>
      </w:r>
      <w:r w:rsidRPr="00436C70">
        <w:rPr>
          <w:rFonts w:ascii="Palatino Linotype" w:eastAsia="Palatino Linotype" w:hAnsi="Palatino Linotype" w:cs="Palatino Linotype"/>
          <w:b/>
          <w:color w:val="000000"/>
        </w:rPr>
        <w:t xml:space="preserve"> RECURRENTE,</w:t>
      </w:r>
      <w:r w:rsidRPr="00436C70">
        <w:rPr>
          <w:rFonts w:ascii="Palatino Linotype" w:eastAsia="Palatino Linotype" w:hAnsi="Palatino Linotype" w:cs="Palatino Linotype"/>
          <w:color w:val="000000"/>
        </w:rPr>
        <w:t xml:space="preserve"> quien es la misma persona que formuló la solicitud de acceso a la información pública al </w:t>
      </w:r>
      <w:r w:rsidRPr="00436C70">
        <w:rPr>
          <w:rFonts w:ascii="Palatino Linotype" w:eastAsia="Palatino Linotype" w:hAnsi="Palatino Linotype" w:cs="Palatino Linotype"/>
          <w:b/>
          <w:color w:val="000000"/>
        </w:rPr>
        <w:t xml:space="preserve">SUJETO OBLIGADO, </w:t>
      </w:r>
      <w:r w:rsidRPr="00436C70">
        <w:rPr>
          <w:rFonts w:ascii="Palatino Linotype" w:eastAsia="Palatino Linotype" w:hAnsi="Palatino Linotype" w:cs="Palatino Linotype"/>
          <w:color w:val="000000"/>
        </w:rPr>
        <w:t xml:space="preserve">pues para ello, es necesario que el particular ingrese al </w:t>
      </w:r>
      <w:r w:rsidRPr="00436C70">
        <w:rPr>
          <w:rFonts w:ascii="Palatino Linotype" w:eastAsia="Palatino Linotype" w:hAnsi="Palatino Linotype" w:cs="Palatino Linotype"/>
          <w:b/>
          <w:color w:val="000000"/>
        </w:rPr>
        <w:t xml:space="preserve">SAIMEX </w:t>
      </w:r>
      <w:r w:rsidRPr="00436C70">
        <w:rPr>
          <w:rFonts w:ascii="Palatino Linotype" w:eastAsia="Palatino Linotype" w:hAnsi="Palatino Linotype" w:cs="Palatino Linotype"/>
          <w:color w:val="000000"/>
        </w:rPr>
        <w:t>mediante la utilización de su clave de usuario y contraseña.</w:t>
      </w:r>
    </w:p>
    <w:p w14:paraId="4FE11A79" w14:textId="77777777" w:rsidR="00181375" w:rsidRPr="00436C70" w:rsidRDefault="0018137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9C18614" w14:textId="77777777" w:rsidR="00181375" w:rsidRPr="00436C70" w:rsidRDefault="00C1362E">
      <w:pPr>
        <w:tabs>
          <w:tab w:val="center" w:pos="4252"/>
          <w:tab w:val="right" w:pos="8504"/>
        </w:tabs>
        <w:spacing w:line="360" w:lineRule="auto"/>
        <w:ind w:left="-57"/>
        <w:jc w:val="both"/>
        <w:rPr>
          <w:rFonts w:ascii="Palatino Linotype" w:eastAsia="Palatino Linotype" w:hAnsi="Palatino Linotype" w:cs="Palatino Linotype"/>
          <w:color w:val="000000"/>
        </w:rPr>
      </w:pPr>
      <w:r w:rsidRPr="00436C70">
        <w:rPr>
          <w:rFonts w:ascii="Palatino Linotype" w:eastAsia="Palatino Linotype" w:hAnsi="Palatino Linotype" w:cs="Palatino Linotype"/>
          <w:b/>
          <w:sz w:val="28"/>
          <w:szCs w:val="28"/>
        </w:rPr>
        <w:lastRenderedPageBreak/>
        <w:t>TERCERO.</w:t>
      </w:r>
      <w:r w:rsidRPr="00436C70">
        <w:rPr>
          <w:rFonts w:ascii="Palatino Linotype" w:eastAsia="Palatino Linotype" w:hAnsi="Palatino Linotype" w:cs="Palatino Linotype"/>
        </w:rPr>
        <w:t xml:space="preserve"> </w:t>
      </w:r>
      <w:r w:rsidRPr="00436C70">
        <w:rPr>
          <w:rFonts w:ascii="Palatino Linotype" w:eastAsia="Palatino Linotype" w:hAnsi="Palatino Linotype" w:cs="Palatino Linotype"/>
          <w:b/>
          <w:color w:val="000000"/>
        </w:rPr>
        <w:t>Oportunidad</w:t>
      </w:r>
      <w:r w:rsidRPr="00436C70">
        <w:rPr>
          <w:rFonts w:ascii="Palatino Linotype" w:eastAsia="Palatino Linotype" w:hAnsi="Palatino Linotype" w:cs="Palatino Linotype"/>
          <w:color w:val="000000"/>
        </w:rPr>
        <w:t xml:space="preserve">. </w:t>
      </w:r>
    </w:p>
    <w:p w14:paraId="604152E1" w14:textId="77777777" w:rsidR="00181375" w:rsidRPr="00436C70" w:rsidRDefault="00C1362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36C7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436C70">
        <w:rPr>
          <w:rFonts w:ascii="Palatino Linotype" w:eastAsia="Palatino Linotype" w:hAnsi="Palatino Linotype" w:cs="Palatino Linotype"/>
          <w:b/>
          <w:color w:val="000000"/>
        </w:rPr>
        <w:t xml:space="preserve">EL RECURRENTE </w:t>
      </w:r>
      <w:r w:rsidRPr="00436C7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515629F" w14:textId="77777777" w:rsidR="00181375" w:rsidRPr="00436C70" w:rsidRDefault="00181375">
      <w:pPr>
        <w:ind w:left="720" w:right="709"/>
        <w:jc w:val="both"/>
        <w:rPr>
          <w:rFonts w:ascii="Palatino Linotype" w:eastAsia="Palatino Linotype" w:hAnsi="Palatino Linotype" w:cs="Palatino Linotype"/>
          <w:i/>
          <w:sz w:val="22"/>
          <w:szCs w:val="22"/>
        </w:rPr>
      </w:pPr>
    </w:p>
    <w:p w14:paraId="60754247" w14:textId="77777777" w:rsidR="00181375" w:rsidRPr="00436C70" w:rsidRDefault="00C1362E">
      <w:pPr>
        <w:ind w:left="851"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Artículo 178.</w:t>
      </w:r>
      <w:r w:rsidRPr="00436C7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7C99CD" w14:textId="77777777" w:rsidR="00181375" w:rsidRPr="00436C70" w:rsidRDefault="00181375">
      <w:pPr>
        <w:ind w:left="851" w:right="899"/>
        <w:jc w:val="both"/>
        <w:rPr>
          <w:rFonts w:ascii="Palatino Linotype" w:eastAsia="Palatino Linotype" w:hAnsi="Palatino Linotype" w:cs="Palatino Linotype"/>
          <w:i/>
          <w:sz w:val="22"/>
          <w:szCs w:val="22"/>
        </w:rPr>
      </w:pPr>
    </w:p>
    <w:p w14:paraId="0025188E" w14:textId="77777777" w:rsidR="00181375" w:rsidRPr="00436C70" w:rsidRDefault="00C1362E">
      <w:pPr>
        <w:ind w:left="851"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2BB337" w14:textId="77777777" w:rsidR="00181375" w:rsidRPr="00436C70" w:rsidRDefault="00181375">
      <w:pPr>
        <w:ind w:left="851" w:right="899"/>
        <w:jc w:val="both"/>
        <w:rPr>
          <w:rFonts w:ascii="Palatino Linotype" w:eastAsia="Palatino Linotype" w:hAnsi="Palatino Linotype" w:cs="Palatino Linotype"/>
          <w:i/>
          <w:sz w:val="22"/>
          <w:szCs w:val="22"/>
        </w:rPr>
      </w:pPr>
    </w:p>
    <w:p w14:paraId="6986FE3A" w14:textId="77777777" w:rsidR="00181375" w:rsidRPr="00436C70" w:rsidRDefault="00C1362E">
      <w:pPr>
        <w:ind w:left="851"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AD3D69A" w14:textId="77777777" w:rsidR="00181375" w:rsidRPr="00436C70" w:rsidRDefault="00181375">
      <w:pPr>
        <w:ind w:left="720" w:right="709"/>
        <w:jc w:val="both"/>
        <w:rPr>
          <w:rFonts w:ascii="Palatino Linotype" w:eastAsia="Palatino Linotype" w:hAnsi="Palatino Linotype" w:cs="Palatino Linotype"/>
          <w:i/>
          <w:sz w:val="22"/>
          <w:szCs w:val="22"/>
        </w:rPr>
      </w:pPr>
    </w:p>
    <w:p w14:paraId="2BDCC27D" w14:textId="77777777" w:rsidR="00181375" w:rsidRPr="00436C70" w:rsidRDefault="00C1362E">
      <w:pPr>
        <w:spacing w:line="360" w:lineRule="auto"/>
        <w:jc w:val="both"/>
        <w:rPr>
          <w:rFonts w:ascii="Palatino Linotype" w:eastAsia="Palatino Linotype" w:hAnsi="Palatino Linotype" w:cs="Palatino Linotype"/>
        </w:rPr>
      </w:pPr>
      <w:bookmarkStart w:id="3" w:name="_heading=h.2et92p0" w:colFirst="0" w:colLast="0"/>
      <w:bookmarkEnd w:id="3"/>
      <w:r w:rsidRPr="00436C70">
        <w:rPr>
          <w:rFonts w:ascii="Palatino Linotype" w:eastAsia="Palatino Linotype" w:hAnsi="Palatino Linotype" w:cs="Palatino Linotype"/>
        </w:rPr>
        <w:t xml:space="preserve">En esa tesitura, atendiendo a que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notificó la respuesta a la solicitud de acceso a la información pública el día</w:t>
      </w:r>
      <w:r w:rsidRPr="00436C70">
        <w:rPr>
          <w:rFonts w:ascii="Palatino Linotype" w:eastAsia="Palatino Linotype" w:hAnsi="Palatino Linotype" w:cs="Palatino Linotype"/>
          <w:b/>
        </w:rPr>
        <w:t xml:space="preserve"> quince de febrero de dos mil veintidós</w:t>
      </w:r>
      <w:r w:rsidRPr="00436C70">
        <w:rPr>
          <w:rFonts w:ascii="Palatino Linotype" w:eastAsia="Palatino Linotype" w:hAnsi="Palatino Linotype" w:cs="Palatino Linotype"/>
        </w:rPr>
        <w:t>; así, el plazo de quince días hábiles que el artículo 178 de la Ley de la materia otorga al</w:t>
      </w:r>
      <w:r w:rsidRPr="00436C70">
        <w:rPr>
          <w:rFonts w:ascii="Palatino Linotype" w:eastAsia="Palatino Linotype" w:hAnsi="Palatino Linotype" w:cs="Palatino Linotype"/>
          <w:b/>
        </w:rPr>
        <w:t xml:space="preserve"> RECURRENTE</w:t>
      </w:r>
      <w:r w:rsidRPr="00436C70">
        <w:rPr>
          <w:rFonts w:ascii="Palatino Linotype" w:eastAsia="Palatino Linotype" w:hAnsi="Palatino Linotype" w:cs="Palatino Linotype"/>
        </w:rPr>
        <w:t xml:space="preserve"> para presentar el respectivo Recurso de Revisión, transcurrió del</w:t>
      </w:r>
      <w:r w:rsidRPr="00436C70">
        <w:rPr>
          <w:rFonts w:ascii="Palatino Linotype" w:eastAsia="Palatino Linotype" w:hAnsi="Palatino Linotype" w:cs="Palatino Linotype"/>
          <w:b/>
        </w:rPr>
        <w:t xml:space="preserve"> dieciséis de febrero al nueve de marzo de dos mil veintidós, </w:t>
      </w:r>
      <w:r w:rsidRPr="00436C70">
        <w:rPr>
          <w:rFonts w:ascii="Palatino Linotype" w:eastAsia="Palatino Linotype" w:hAnsi="Palatino Linotype" w:cs="Palatino Linotype"/>
        </w:rPr>
        <w:t xml:space="preserve">sin contemplar en el cómputo los días diecinueve, veinte veintiséis y veintisiete de febrero así como cinco y seis de marzo de dos mil veintidós por corresponder a sábados y domingos, </w:t>
      </w:r>
      <w:r w:rsidRPr="00436C70">
        <w:rPr>
          <w:rFonts w:ascii="Palatino Linotype" w:eastAsia="Palatino Linotype" w:hAnsi="Palatino Linotype" w:cs="Palatino Linotype"/>
        </w:rPr>
        <w:lastRenderedPageBreak/>
        <w:t>considerados como días inhábiles, en términos del artículo 3, fracción X de la Ley de Transparencia y Acceso a la Información Pública del Estado de México y Municipios. Así como, el días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436C70">
        <w:rPr>
          <w:rFonts w:ascii="Palatino Linotype" w:eastAsia="Palatino Linotype" w:hAnsi="Palatino Linotype" w:cs="Palatino Linotype"/>
          <w:vertAlign w:val="superscript"/>
        </w:rPr>
        <w:footnoteReference w:id="2"/>
      </w:r>
      <w:r w:rsidRPr="00436C70">
        <w:rPr>
          <w:rFonts w:ascii="Palatino Linotype" w:eastAsia="Palatino Linotype" w:hAnsi="Palatino Linotype" w:cs="Palatino Linotype"/>
        </w:rPr>
        <w:t>.</w:t>
      </w:r>
    </w:p>
    <w:p w14:paraId="4F1E08A8" w14:textId="77777777" w:rsidR="00181375" w:rsidRPr="00436C70" w:rsidRDefault="00181375">
      <w:pPr>
        <w:spacing w:line="360" w:lineRule="auto"/>
        <w:jc w:val="both"/>
        <w:rPr>
          <w:rFonts w:ascii="Palatino Linotype" w:eastAsia="Palatino Linotype" w:hAnsi="Palatino Linotype" w:cs="Palatino Linotype"/>
        </w:rPr>
      </w:pPr>
      <w:bookmarkStart w:id="4" w:name="_heading=h.orkc3o7h9xbv" w:colFirst="0" w:colLast="0"/>
      <w:bookmarkEnd w:id="4"/>
    </w:p>
    <w:p w14:paraId="4E3EE74D" w14:textId="77777777" w:rsidR="00181375" w:rsidRPr="00436C70" w:rsidRDefault="00C1362E">
      <w:pPr>
        <w:spacing w:line="360" w:lineRule="auto"/>
        <w:ind w:left="-5" w:hanging="10"/>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ese tenor, se advierte que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presentó el medio de impugnación, el dos de marzo de la anualidad, que como ya se mencionó antes fue considerado día inhábil por lo que se tiene por presentado el día tres de marzo de dos mil veintidós y por lo se encuentra dentro del término previsto y en consecuencia es procedente. </w:t>
      </w:r>
    </w:p>
    <w:p w14:paraId="5E3C5FBE" w14:textId="77777777" w:rsidR="00181375" w:rsidRPr="00436C70" w:rsidRDefault="00181375">
      <w:pPr>
        <w:spacing w:line="360" w:lineRule="auto"/>
        <w:ind w:left="-5" w:hanging="10"/>
        <w:jc w:val="both"/>
        <w:rPr>
          <w:rFonts w:ascii="Palatino Linotype" w:eastAsia="Palatino Linotype" w:hAnsi="Palatino Linotype" w:cs="Palatino Linotype"/>
        </w:rPr>
      </w:pPr>
    </w:p>
    <w:p w14:paraId="4D31F602" w14:textId="77777777" w:rsidR="00181375" w:rsidRPr="00436C70" w:rsidRDefault="00C1362E">
      <w:pPr>
        <w:spacing w:line="360" w:lineRule="auto"/>
        <w:ind w:right="49"/>
        <w:jc w:val="both"/>
        <w:rPr>
          <w:rFonts w:ascii="Palatino Linotype" w:eastAsia="Palatino Linotype" w:hAnsi="Palatino Linotype" w:cs="Palatino Linotype"/>
          <w:b/>
        </w:rPr>
      </w:pPr>
      <w:r w:rsidRPr="00436C70">
        <w:rPr>
          <w:rFonts w:ascii="Palatino Linotype" w:eastAsia="Palatino Linotype" w:hAnsi="Palatino Linotype" w:cs="Palatino Linotype"/>
          <w:b/>
          <w:sz w:val="28"/>
          <w:szCs w:val="28"/>
        </w:rPr>
        <w:t>CUARTO</w:t>
      </w:r>
      <w:r w:rsidRPr="00436C70">
        <w:rPr>
          <w:rFonts w:ascii="Palatino Linotype" w:eastAsia="Palatino Linotype" w:hAnsi="Palatino Linotype" w:cs="Palatino Linotype"/>
          <w:b/>
        </w:rPr>
        <w:t xml:space="preserve">. Procedibilidad. </w:t>
      </w:r>
    </w:p>
    <w:p w14:paraId="10B7797B"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9BC137C" w14:textId="77777777" w:rsidR="00181375" w:rsidRPr="00436C70" w:rsidRDefault="00181375">
      <w:pPr>
        <w:spacing w:line="360" w:lineRule="auto"/>
        <w:ind w:right="49"/>
        <w:jc w:val="both"/>
        <w:rPr>
          <w:rFonts w:ascii="Palatino Linotype" w:eastAsia="Palatino Linotype" w:hAnsi="Palatino Linotype" w:cs="Palatino Linotype"/>
          <w:sz w:val="10"/>
          <w:szCs w:val="10"/>
        </w:rPr>
      </w:pPr>
    </w:p>
    <w:p w14:paraId="6F4477E7" w14:textId="77777777" w:rsidR="00181375" w:rsidRPr="00436C70" w:rsidRDefault="00C1362E">
      <w:pPr>
        <w:tabs>
          <w:tab w:val="left" w:pos="851"/>
        </w:tabs>
        <w:ind w:left="851" w:right="901"/>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 xml:space="preserve">“Artículo 180. </w:t>
      </w:r>
      <w:r w:rsidRPr="00436C70">
        <w:rPr>
          <w:rFonts w:ascii="Palatino Linotype" w:eastAsia="Palatino Linotype" w:hAnsi="Palatino Linotype" w:cs="Palatino Linotype"/>
          <w:i/>
          <w:sz w:val="22"/>
          <w:szCs w:val="22"/>
        </w:rPr>
        <w:t xml:space="preserve">El recurso </w:t>
      </w:r>
      <w:r w:rsidRPr="00436C70">
        <w:rPr>
          <w:rFonts w:ascii="Palatino Linotype" w:eastAsia="Palatino Linotype" w:hAnsi="Palatino Linotype" w:cs="Palatino Linotype"/>
          <w:i/>
          <w:color w:val="222222"/>
          <w:sz w:val="22"/>
          <w:szCs w:val="22"/>
        </w:rPr>
        <w:t>de</w:t>
      </w:r>
      <w:r w:rsidRPr="00436C70">
        <w:rPr>
          <w:rFonts w:ascii="Palatino Linotype" w:eastAsia="Palatino Linotype" w:hAnsi="Palatino Linotype" w:cs="Palatino Linotype"/>
          <w:i/>
          <w:sz w:val="22"/>
          <w:szCs w:val="22"/>
        </w:rPr>
        <w:t xml:space="preserve"> revisión contendrá:</w:t>
      </w:r>
      <w:r w:rsidRPr="00436C70">
        <w:rPr>
          <w:rFonts w:ascii="Palatino Linotype" w:eastAsia="Palatino Linotype" w:hAnsi="Palatino Linotype" w:cs="Palatino Linotype"/>
          <w:b/>
          <w:i/>
          <w:sz w:val="22"/>
          <w:szCs w:val="22"/>
        </w:rPr>
        <w:t xml:space="preserve"> </w:t>
      </w:r>
    </w:p>
    <w:p w14:paraId="30B8BC6D" w14:textId="77777777" w:rsidR="00181375" w:rsidRPr="00436C70" w:rsidRDefault="00C1362E">
      <w:pPr>
        <w:tabs>
          <w:tab w:val="left" w:pos="851"/>
        </w:tabs>
        <w:ind w:left="851" w:right="901"/>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w:t>
      </w:r>
    </w:p>
    <w:p w14:paraId="3A215D77" w14:textId="77777777" w:rsidR="00181375" w:rsidRPr="00436C70" w:rsidRDefault="00C1362E">
      <w:pPr>
        <w:tabs>
          <w:tab w:val="left" w:pos="851"/>
        </w:tabs>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 xml:space="preserve">II. El nombre del solicitante </w:t>
      </w:r>
      <w:r w:rsidRPr="00436C70">
        <w:rPr>
          <w:rFonts w:ascii="Palatino Linotype" w:eastAsia="Palatino Linotype" w:hAnsi="Palatino Linotype" w:cs="Palatino Linotype"/>
          <w:b/>
          <w:i/>
          <w:color w:val="222222"/>
          <w:sz w:val="22"/>
          <w:szCs w:val="22"/>
        </w:rPr>
        <w:t>que</w:t>
      </w:r>
      <w:r w:rsidRPr="00436C70">
        <w:rPr>
          <w:rFonts w:ascii="Palatino Linotype" w:eastAsia="Palatino Linotype" w:hAnsi="Palatino Linotype" w:cs="Palatino Linotype"/>
          <w:b/>
          <w:i/>
          <w:sz w:val="22"/>
          <w:szCs w:val="22"/>
        </w:rPr>
        <w:t xml:space="preserve"> recurre </w:t>
      </w:r>
      <w:r w:rsidRPr="00436C70">
        <w:rPr>
          <w:rFonts w:ascii="Palatino Linotype" w:eastAsia="Palatino Linotype" w:hAnsi="Palatino Linotype" w:cs="Palatino Linotype"/>
          <w:i/>
          <w:sz w:val="22"/>
          <w:szCs w:val="22"/>
        </w:rPr>
        <w:t>o de su representante y, en su caso, …</w:t>
      </w:r>
    </w:p>
    <w:p w14:paraId="2D0B7D17" w14:textId="77777777" w:rsidR="00181375" w:rsidRPr="00436C70" w:rsidRDefault="00C1362E">
      <w:pPr>
        <w:tabs>
          <w:tab w:val="left" w:pos="851"/>
        </w:tabs>
        <w:ind w:left="851" w:right="901"/>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 xml:space="preserve">En caso de </w:t>
      </w:r>
      <w:r w:rsidRPr="00436C70">
        <w:rPr>
          <w:rFonts w:ascii="Palatino Linotype" w:eastAsia="Palatino Linotype" w:hAnsi="Palatino Linotype" w:cs="Palatino Linotype"/>
          <w:b/>
          <w:i/>
          <w:color w:val="222222"/>
          <w:sz w:val="22"/>
          <w:szCs w:val="22"/>
        </w:rPr>
        <w:t>que</w:t>
      </w:r>
      <w:r w:rsidRPr="00436C70">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36C70">
        <w:rPr>
          <w:rFonts w:ascii="Palatino Linotype" w:eastAsia="Palatino Linotype" w:hAnsi="Palatino Linotype" w:cs="Palatino Linotype"/>
          <w:i/>
          <w:sz w:val="22"/>
          <w:szCs w:val="22"/>
        </w:rPr>
        <w:t>, IV, VII y VIII.</w:t>
      </w:r>
      <w:r w:rsidRPr="00436C70">
        <w:rPr>
          <w:rFonts w:ascii="Palatino Linotype" w:eastAsia="Palatino Linotype" w:hAnsi="Palatino Linotype" w:cs="Palatino Linotype"/>
          <w:b/>
          <w:i/>
          <w:sz w:val="22"/>
          <w:szCs w:val="22"/>
        </w:rPr>
        <w:t>”</w:t>
      </w:r>
    </w:p>
    <w:p w14:paraId="2CCAB38C" w14:textId="77777777" w:rsidR="00181375" w:rsidRPr="00436C70" w:rsidRDefault="00C1362E">
      <w:pPr>
        <w:tabs>
          <w:tab w:val="left" w:pos="851"/>
        </w:tabs>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(Énfasis añadido)</w:t>
      </w:r>
    </w:p>
    <w:p w14:paraId="7756D3AE" w14:textId="77777777" w:rsidR="00181375" w:rsidRPr="00436C70" w:rsidRDefault="00181375">
      <w:pPr>
        <w:tabs>
          <w:tab w:val="left" w:pos="851"/>
        </w:tabs>
        <w:ind w:right="901"/>
        <w:jc w:val="both"/>
        <w:rPr>
          <w:rFonts w:ascii="Palatino Linotype" w:eastAsia="Palatino Linotype" w:hAnsi="Palatino Linotype" w:cs="Palatino Linotype"/>
          <w:i/>
          <w:sz w:val="22"/>
          <w:szCs w:val="22"/>
        </w:rPr>
      </w:pPr>
    </w:p>
    <w:p w14:paraId="5903A189"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436C70">
        <w:rPr>
          <w:rFonts w:ascii="Palatino Linotype" w:eastAsia="Palatino Linotype" w:hAnsi="Palatino Linotype" w:cs="Palatino Linotype"/>
          <w:b/>
        </w:rPr>
        <w:t>;</w:t>
      </w:r>
      <w:r w:rsidRPr="00436C70">
        <w:rPr>
          <w:rFonts w:ascii="Palatino Linotype" w:eastAsia="Palatino Linotype" w:hAnsi="Palatino Linotype" w:cs="Palatino Linotype"/>
        </w:rPr>
        <w:t xml:space="preserve"> por lo que, en el presente caso, al haber sido presentado</w:t>
      </w:r>
      <w:r w:rsidR="002F4879" w:rsidRPr="00436C70">
        <w:rPr>
          <w:rFonts w:ascii="Palatino Linotype" w:eastAsia="Palatino Linotype" w:hAnsi="Palatino Linotype" w:cs="Palatino Linotype"/>
        </w:rPr>
        <w:t xml:space="preserve"> el </w:t>
      </w:r>
      <w:r w:rsidRPr="00436C70">
        <w:rPr>
          <w:rFonts w:ascii="Palatino Linotype" w:eastAsia="Palatino Linotype" w:hAnsi="Palatino Linotype" w:cs="Palatino Linotype"/>
        </w:rPr>
        <w:t xml:space="preserve">Recurso de Revisión vía </w:t>
      </w:r>
      <w:r w:rsidRPr="00436C70">
        <w:rPr>
          <w:rFonts w:ascii="Palatino Linotype" w:eastAsia="Palatino Linotype" w:hAnsi="Palatino Linotype" w:cs="Palatino Linotype"/>
          <w:b/>
        </w:rPr>
        <w:t>SAIMEX</w:t>
      </w:r>
      <w:r w:rsidRPr="00436C70">
        <w:rPr>
          <w:rFonts w:ascii="Palatino Linotype" w:eastAsia="Palatino Linotype" w:hAnsi="Palatino Linotype" w:cs="Palatino Linotype"/>
        </w:rPr>
        <w:t>, dicho requisito resulta innecesario.</w:t>
      </w:r>
    </w:p>
    <w:p w14:paraId="7B58F130" w14:textId="77777777" w:rsidR="00181375" w:rsidRPr="00436C70" w:rsidRDefault="00181375">
      <w:pPr>
        <w:spacing w:line="360" w:lineRule="auto"/>
        <w:jc w:val="both"/>
        <w:rPr>
          <w:rFonts w:ascii="Palatino Linotype" w:eastAsia="Palatino Linotype" w:hAnsi="Palatino Linotype" w:cs="Palatino Linotype"/>
          <w:b/>
        </w:rPr>
      </w:pPr>
    </w:p>
    <w:p w14:paraId="1E29B846"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36C70">
        <w:rPr>
          <w:rFonts w:ascii="Palatino Linotype" w:eastAsia="Palatino Linotype" w:hAnsi="Palatino Linotype" w:cs="Palatino Linotype"/>
          <w:b/>
          <w:u w:val="single"/>
        </w:rPr>
        <w:t xml:space="preserve">el nombre no es un requisito </w:t>
      </w:r>
      <w:r w:rsidRPr="00436C70">
        <w:rPr>
          <w:rFonts w:ascii="Palatino Linotype" w:eastAsia="Palatino Linotype" w:hAnsi="Palatino Linotype" w:cs="Palatino Linotype"/>
          <w:b/>
          <w:i/>
          <w:u w:val="single"/>
        </w:rPr>
        <w:t>sine qua non</w:t>
      </w:r>
      <w:r w:rsidRPr="00436C7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8F1665" w14:textId="77777777" w:rsidR="00181375" w:rsidRPr="00436C70" w:rsidRDefault="00181375">
      <w:pPr>
        <w:spacing w:line="360" w:lineRule="auto"/>
        <w:jc w:val="both"/>
        <w:rPr>
          <w:rFonts w:ascii="Palatino Linotype" w:eastAsia="Palatino Linotype" w:hAnsi="Palatino Linotype" w:cs="Palatino Linotype"/>
        </w:rPr>
      </w:pPr>
    </w:p>
    <w:p w14:paraId="295AE6AD" w14:textId="77777777" w:rsidR="00181375" w:rsidRPr="00436C70" w:rsidRDefault="00C1362E">
      <w:pPr>
        <w:spacing w:line="360" w:lineRule="auto"/>
        <w:jc w:val="both"/>
        <w:rPr>
          <w:rFonts w:ascii="Palatino Linotype" w:eastAsia="Palatino Linotype" w:hAnsi="Palatino Linotype" w:cs="Palatino Linotype"/>
          <w:sz w:val="22"/>
          <w:szCs w:val="22"/>
        </w:rPr>
      </w:pPr>
      <w:r w:rsidRPr="00436C70">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436C70">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F50475A" w14:textId="77777777" w:rsidR="00181375" w:rsidRPr="00436C70" w:rsidRDefault="00181375">
      <w:pPr>
        <w:tabs>
          <w:tab w:val="left" w:pos="851"/>
        </w:tabs>
        <w:ind w:left="851" w:right="901"/>
        <w:jc w:val="both"/>
        <w:rPr>
          <w:rFonts w:ascii="Palatino Linotype" w:eastAsia="Palatino Linotype" w:hAnsi="Palatino Linotype" w:cs="Palatino Linotype"/>
          <w:sz w:val="22"/>
          <w:szCs w:val="22"/>
        </w:rPr>
      </w:pPr>
    </w:p>
    <w:p w14:paraId="65CE0CA1"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Asimismo, se estima que el requisito relativo al nombre del</w:t>
      </w:r>
      <w:r w:rsidRPr="00436C70">
        <w:rPr>
          <w:rFonts w:ascii="Palatino Linotype" w:eastAsia="Palatino Linotype" w:hAnsi="Palatino Linotype" w:cs="Palatino Linotype"/>
          <w:b/>
        </w:rPr>
        <w:t xml:space="preserve"> RECURRENTE</w:t>
      </w:r>
      <w:r w:rsidRPr="00436C7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36C70">
        <w:rPr>
          <w:rFonts w:ascii="Palatino Linotype" w:eastAsia="Palatino Linotype" w:hAnsi="Palatino Linotype" w:cs="Palatino Linotype"/>
          <w:b/>
        </w:rPr>
        <w:t xml:space="preserve">EL RECURRENTE </w:t>
      </w:r>
      <w:r w:rsidRPr="00436C70">
        <w:rPr>
          <w:rFonts w:ascii="Palatino Linotype" w:eastAsia="Palatino Linotype" w:hAnsi="Palatino Linotype" w:cs="Palatino Linotype"/>
        </w:rPr>
        <w:t xml:space="preserve"> es la misma persona que realizó la solicitud de acceso a la información pública que ahora se impugna.</w:t>
      </w:r>
    </w:p>
    <w:p w14:paraId="2CC75A86" w14:textId="77777777" w:rsidR="00181375" w:rsidRPr="00436C70" w:rsidRDefault="00181375">
      <w:pPr>
        <w:tabs>
          <w:tab w:val="left" w:pos="851"/>
        </w:tabs>
        <w:ind w:left="851" w:right="901"/>
        <w:jc w:val="both"/>
        <w:rPr>
          <w:rFonts w:ascii="Palatino Linotype" w:eastAsia="Palatino Linotype" w:hAnsi="Palatino Linotype" w:cs="Palatino Linotype"/>
          <w:sz w:val="22"/>
          <w:szCs w:val="22"/>
        </w:rPr>
      </w:pPr>
    </w:p>
    <w:p w14:paraId="76E89EF1"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w:t>
      </w:r>
      <w:r w:rsidRPr="00436C70">
        <w:rPr>
          <w:rFonts w:ascii="Palatino Linotype" w:eastAsia="Palatino Linotype" w:hAnsi="Palatino Linotype" w:cs="Palatino Linotype"/>
        </w:rPr>
        <w:lastRenderedPageBreak/>
        <w:t xml:space="preserve">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52682B4" w14:textId="77777777" w:rsidR="00181375" w:rsidRPr="00436C70" w:rsidRDefault="00181375">
      <w:pPr>
        <w:spacing w:line="360" w:lineRule="auto"/>
        <w:ind w:right="49"/>
        <w:jc w:val="both"/>
        <w:rPr>
          <w:rFonts w:ascii="Palatino Linotype" w:eastAsia="Palatino Linotype" w:hAnsi="Palatino Linotype" w:cs="Palatino Linotype"/>
          <w:b/>
        </w:rPr>
      </w:pPr>
    </w:p>
    <w:p w14:paraId="417116AC" w14:textId="77777777" w:rsidR="00181375" w:rsidRPr="00436C70" w:rsidRDefault="00C1362E">
      <w:pPr>
        <w:spacing w:line="360" w:lineRule="auto"/>
        <w:jc w:val="both"/>
        <w:rPr>
          <w:rFonts w:ascii="Palatino Linotype" w:eastAsia="Palatino Linotype" w:hAnsi="Palatino Linotype" w:cs="Palatino Linotype"/>
          <w:b/>
        </w:rPr>
      </w:pPr>
      <w:r w:rsidRPr="00436C70">
        <w:rPr>
          <w:rFonts w:ascii="Palatino Linotype" w:eastAsia="Palatino Linotype" w:hAnsi="Palatino Linotype" w:cs="Palatino Linotype"/>
          <w:b/>
          <w:sz w:val="28"/>
          <w:szCs w:val="28"/>
        </w:rPr>
        <w:t>QUINTO</w:t>
      </w:r>
      <w:r w:rsidRPr="00436C70">
        <w:rPr>
          <w:rFonts w:ascii="Palatino Linotype" w:eastAsia="Palatino Linotype" w:hAnsi="Palatino Linotype" w:cs="Palatino Linotype"/>
          <w:b/>
        </w:rPr>
        <w:t xml:space="preserve">. Estudio y resolución del asunto. </w:t>
      </w:r>
    </w:p>
    <w:p w14:paraId="2A7F91D0"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ese tenor, para un mejor estudio y comprensión del asunto que se resuelve, es preciso recordar que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solicitó al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xml:space="preserve"> lo siguiente: </w:t>
      </w:r>
    </w:p>
    <w:p w14:paraId="7B099D6B" w14:textId="77777777" w:rsidR="00181375" w:rsidRPr="00436C70" w:rsidRDefault="00C1362E">
      <w:pPr>
        <w:ind w:left="850"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“Las dimensiones del edificio donde radica la institución en la Ciudad de Toluca de Lerdo, de cada oficina y por cuántas personas están ocupadas y si en ellas se cumple la distancia de seguridad para evitar los contagios de la enfermedad covid19. Se aclara que no han dado respuesta a esta solicitud de información como lo exige la ley de Transparencia.” (sic)</w:t>
      </w:r>
    </w:p>
    <w:p w14:paraId="3AE90F4D" w14:textId="77777777" w:rsidR="00181375" w:rsidRPr="00436C70" w:rsidRDefault="00181375">
      <w:pPr>
        <w:spacing w:line="360" w:lineRule="auto"/>
        <w:ind w:right="49"/>
        <w:jc w:val="both"/>
        <w:rPr>
          <w:rFonts w:ascii="Palatino Linotype" w:eastAsia="Palatino Linotype" w:hAnsi="Palatino Linotype" w:cs="Palatino Linotype"/>
        </w:rPr>
      </w:pPr>
    </w:p>
    <w:p w14:paraId="19FCD983"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respuesta,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señaló por medio del Titular de la Unidad de Transparencia que la información se encontraba disponible para su consulta en sus instalaciones, situación por la cual el particular expresa su inconformidad, señalando que no le entregaron lo solicitado en la modalidad solicitada. Lo cual, en consecuencia actualiza las hipótesis d</w:t>
      </w:r>
      <w:r w:rsidR="002F4879" w:rsidRPr="00436C70">
        <w:rPr>
          <w:rFonts w:ascii="Palatino Linotype" w:eastAsia="Palatino Linotype" w:hAnsi="Palatino Linotype" w:cs="Palatino Linotype"/>
        </w:rPr>
        <w:t>e procedibilidad prevista en la</w:t>
      </w:r>
      <w:r w:rsidRPr="00436C70">
        <w:rPr>
          <w:rFonts w:ascii="Palatino Linotype" w:eastAsia="Palatino Linotype" w:hAnsi="Palatino Linotype" w:cs="Palatino Linotype"/>
        </w:rPr>
        <w:t xml:space="preserve"> fracción VIII, del artículo 179 de la Ley de la materia, el cual a la letra dice:</w:t>
      </w:r>
    </w:p>
    <w:p w14:paraId="14313695"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Artículo 179.</w:t>
      </w:r>
      <w:r w:rsidRPr="00436C7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F07AA40" w14:textId="77777777" w:rsidR="00181375" w:rsidRPr="00436C70" w:rsidRDefault="00C1362E">
      <w:pPr>
        <w:ind w:left="851" w:right="901"/>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lastRenderedPageBreak/>
        <w:t>(…)</w:t>
      </w:r>
    </w:p>
    <w:p w14:paraId="241B34F7" w14:textId="77777777" w:rsidR="00181375" w:rsidRPr="00436C70" w:rsidRDefault="00C1362E">
      <w:pPr>
        <w:ind w:left="851" w:right="901"/>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42CBA7CB"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w:t>
      </w:r>
      <w:r w:rsidRPr="00436C70">
        <w:rPr>
          <w:rFonts w:ascii="Palatino Linotype" w:eastAsia="Palatino Linotype" w:hAnsi="Palatino Linotype" w:cs="Palatino Linotype"/>
          <w:i/>
          <w:sz w:val="22"/>
          <w:szCs w:val="22"/>
        </w:rPr>
        <w:t>”</w:t>
      </w:r>
    </w:p>
    <w:p w14:paraId="19F0FC34"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(Énfasis añadido)</w:t>
      </w:r>
    </w:p>
    <w:p w14:paraId="4D08081E" w14:textId="77777777" w:rsidR="00181375" w:rsidRPr="00436C70" w:rsidRDefault="00181375">
      <w:pPr>
        <w:ind w:left="851" w:right="901"/>
        <w:jc w:val="both"/>
        <w:rPr>
          <w:rFonts w:ascii="Palatino Linotype" w:eastAsia="Palatino Linotype" w:hAnsi="Palatino Linotype" w:cs="Palatino Linotype"/>
          <w:i/>
          <w:sz w:val="22"/>
          <w:szCs w:val="22"/>
        </w:rPr>
      </w:pPr>
    </w:p>
    <w:p w14:paraId="482C4DB3"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xml:space="preserve">, situación que se actualiza en el caso en concreto.  </w:t>
      </w:r>
    </w:p>
    <w:p w14:paraId="66ADADF5" w14:textId="77777777" w:rsidR="00181375" w:rsidRPr="00436C70" w:rsidRDefault="00181375">
      <w:pPr>
        <w:widowControl w:val="0"/>
        <w:spacing w:line="360" w:lineRule="auto"/>
        <w:jc w:val="both"/>
        <w:rPr>
          <w:rFonts w:ascii="Palatino Linotype" w:eastAsia="Palatino Linotype" w:hAnsi="Palatino Linotype" w:cs="Palatino Linotype"/>
        </w:rPr>
      </w:pPr>
    </w:p>
    <w:p w14:paraId="2FF7795B"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De tal manera es importante referir, que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436C70">
        <w:rPr>
          <w:rFonts w:ascii="Palatino Linotype" w:eastAsia="Palatino Linotype" w:hAnsi="Palatino Linotype" w:cs="Palatino Linotype"/>
          <w:b/>
          <w:u w:val="single"/>
        </w:rPr>
        <w:t>Vía SAIMEX</w:t>
      </w:r>
      <w:r w:rsidRPr="00436C70">
        <w:rPr>
          <w:rFonts w:ascii="Palatino Linotype" w:eastAsia="Palatino Linotype" w:hAnsi="Palatino Linotype" w:cs="Palatino Linotype"/>
        </w:rPr>
        <w:t>,</w:t>
      </w:r>
      <w:r w:rsidR="002F4879" w:rsidRPr="00436C70">
        <w:rPr>
          <w:rFonts w:ascii="Palatino Linotype" w:eastAsia="Palatino Linotype" w:hAnsi="Palatino Linotype" w:cs="Palatino Linotype"/>
        </w:rPr>
        <w:t xml:space="preserve"> </w:t>
      </w:r>
      <w:r w:rsidRPr="00436C70">
        <w:rPr>
          <w:rFonts w:ascii="Palatino Linotype" w:eastAsia="Palatino Linotype" w:hAnsi="Palatino Linotype" w:cs="Palatino Linotype"/>
        </w:rPr>
        <w:t xml:space="preserve">por su parte,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43F75A5F" w14:textId="77777777" w:rsidR="00181375" w:rsidRPr="00436C70" w:rsidRDefault="00181375">
      <w:pPr>
        <w:spacing w:line="360" w:lineRule="auto"/>
        <w:jc w:val="both"/>
        <w:rPr>
          <w:rFonts w:ascii="Palatino Linotype" w:eastAsia="Palatino Linotype" w:hAnsi="Palatino Linotype" w:cs="Palatino Linotype"/>
        </w:rPr>
      </w:pPr>
    </w:p>
    <w:p w14:paraId="0352BED7"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436C70">
        <w:rPr>
          <w:rFonts w:ascii="Palatino Linotype" w:eastAsia="Palatino Linotype" w:hAnsi="Palatino Linotype" w:cs="Palatino Linotype"/>
          <w:b/>
        </w:rPr>
        <w:t>EL SAIMEX</w:t>
      </w:r>
      <w:r w:rsidRPr="00436C70">
        <w:rPr>
          <w:rFonts w:ascii="Palatino Linotype" w:eastAsia="Palatino Linotype" w:hAnsi="Palatino Linotype" w:cs="Palatino Linotype"/>
        </w:rPr>
        <w:t>, el responsable de la Unidad de Transparencia debió agregar los archivos electrónicos que contengan la información requerida en dicho sistema, en versión pública</w:t>
      </w:r>
    </w:p>
    <w:p w14:paraId="186FE6CB" w14:textId="77777777" w:rsidR="00181375" w:rsidRPr="00436C70" w:rsidRDefault="00181375">
      <w:pPr>
        <w:spacing w:line="360" w:lineRule="auto"/>
        <w:jc w:val="both"/>
        <w:rPr>
          <w:rFonts w:ascii="Palatino Linotype" w:eastAsia="Palatino Linotype" w:hAnsi="Palatino Linotype" w:cs="Palatino Linotype"/>
        </w:rPr>
      </w:pPr>
    </w:p>
    <w:p w14:paraId="17F5C56E"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tal sentido de la respuesta otorgada no se acredita que la información solicitada excediera las capacidades tanto administrativas respecto de su unidad como técnicas, </w:t>
      </w:r>
      <w:r w:rsidRPr="00436C70">
        <w:rPr>
          <w:rFonts w:ascii="Palatino Linotype" w:eastAsia="Palatino Linotype" w:hAnsi="Palatino Linotype" w:cs="Palatino Linotype"/>
        </w:rPr>
        <w:lastRenderedPageBreak/>
        <w:t xml:space="preserve">en lo relativo al sistema electrónico </w:t>
      </w:r>
      <w:r w:rsidRPr="00436C70">
        <w:rPr>
          <w:rFonts w:ascii="Palatino Linotype" w:eastAsia="Palatino Linotype" w:hAnsi="Palatino Linotype" w:cs="Palatino Linotype"/>
          <w:b/>
        </w:rPr>
        <w:t>(SAIMEX),</w:t>
      </w:r>
      <w:r w:rsidRPr="00436C70">
        <w:rPr>
          <w:rFonts w:ascii="Palatino Linotype" w:eastAsia="Palatino Linotype" w:hAnsi="Palatino Linotype" w:cs="Palatino Linotype"/>
        </w:rPr>
        <w:t xml:space="preserve"> con lo que se puede decir que el cambio de modalidad señalado por el ente recurrido no consta de la debida fundamentación y argumentación que debe acompañar todo acto de autoridad, siendo esta una obligación que tiene todo ente público de expresar los preceptos jurídicos aplicables al asunto motivo del acto y las razones o argumentos de su actuar.</w:t>
      </w:r>
    </w:p>
    <w:p w14:paraId="4AA3C29C" w14:textId="77777777" w:rsidR="00181375" w:rsidRPr="00436C70" w:rsidRDefault="00181375">
      <w:pPr>
        <w:spacing w:line="360" w:lineRule="auto"/>
        <w:ind w:right="51"/>
        <w:jc w:val="both"/>
        <w:rPr>
          <w:rFonts w:ascii="Palatino Linotype" w:eastAsia="Palatino Linotype" w:hAnsi="Palatino Linotype" w:cs="Palatino Linotype"/>
        </w:rPr>
      </w:pPr>
    </w:p>
    <w:p w14:paraId="076DB69D"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170353A5" w14:textId="77777777" w:rsidR="00181375" w:rsidRPr="00436C70" w:rsidRDefault="00181375">
      <w:pPr>
        <w:ind w:left="850" w:right="900"/>
        <w:jc w:val="both"/>
        <w:rPr>
          <w:rFonts w:ascii="Palatino Linotype" w:eastAsia="Palatino Linotype" w:hAnsi="Palatino Linotype" w:cs="Palatino Linotype"/>
          <w:i/>
          <w:sz w:val="22"/>
          <w:szCs w:val="22"/>
        </w:rPr>
      </w:pPr>
    </w:p>
    <w:p w14:paraId="75AC93AA" w14:textId="77777777" w:rsidR="00181375" w:rsidRPr="00436C70" w:rsidRDefault="00C1362E">
      <w:pPr>
        <w:ind w:left="850" w:right="900"/>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 xml:space="preserve">FUNDAMENTACION Y MOTIVACION. </w:t>
      </w:r>
      <w:r w:rsidRPr="00436C70">
        <w:rPr>
          <w:rFonts w:ascii="Palatino Linotype" w:eastAsia="Palatino Linotype" w:hAnsi="Palatino Linotype" w:cs="Palatino Linotype"/>
          <w:i/>
          <w:sz w:val="22"/>
          <w:szCs w:val="22"/>
        </w:rPr>
        <w:t xml:space="preserve">La </w:t>
      </w:r>
      <w:r w:rsidRPr="00436C70">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36C70">
        <w:rPr>
          <w:rFonts w:ascii="Palatino Linotype" w:eastAsia="Palatino Linotype" w:hAnsi="Palatino Linotype" w:cs="Palatino Linotype"/>
          <w:b/>
          <w:i/>
          <w:sz w:val="22"/>
          <w:szCs w:val="22"/>
        </w:rPr>
        <w:t xml:space="preserve">…” </w:t>
      </w:r>
      <w:r w:rsidRPr="00436C70">
        <w:rPr>
          <w:rFonts w:ascii="Palatino Linotype" w:eastAsia="Palatino Linotype" w:hAnsi="Palatino Linotype" w:cs="Palatino Linotype"/>
          <w:i/>
          <w:sz w:val="22"/>
          <w:szCs w:val="22"/>
        </w:rPr>
        <w:t>(Sic)</w:t>
      </w:r>
    </w:p>
    <w:p w14:paraId="78A9DFD5" w14:textId="77777777" w:rsidR="00181375" w:rsidRPr="00436C70" w:rsidRDefault="00181375">
      <w:pPr>
        <w:ind w:left="850" w:right="900"/>
        <w:jc w:val="both"/>
        <w:rPr>
          <w:rFonts w:ascii="Palatino Linotype" w:eastAsia="Palatino Linotype" w:hAnsi="Palatino Linotype" w:cs="Palatino Linotype"/>
          <w:i/>
          <w:sz w:val="22"/>
          <w:szCs w:val="22"/>
        </w:rPr>
      </w:pPr>
    </w:p>
    <w:p w14:paraId="27FCF0FB" w14:textId="77777777" w:rsidR="00181375" w:rsidRPr="00436C70" w:rsidRDefault="00C1362E">
      <w:pPr>
        <w:spacing w:line="360" w:lineRule="auto"/>
        <w:ind w:right="51"/>
        <w:jc w:val="both"/>
        <w:rPr>
          <w:rFonts w:ascii="Palatino Linotype" w:eastAsia="Palatino Linotype" w:hAnsi="Palatino Linotype" w:cs="Palatino Linotype"/>
        </w:rPr>
      </w:pPr>
      <w:r w:rsidRPr="00436C70">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DB597BD" w14:textId="77777777" w:rsidR="00181375" w:rsidRPr="00436C70" w:rsidRDefault="00181375">
      <w:pPr>
        <w:spacing w:line="360" w:lineRule="auto"/>
        <w:ind w:right="51"/>
        <w:jc w:val="both"/>
        <w:rPr>
          <w:rFonts w:ascii="Palatino Linotype" w:eastAsia="Palatino Linotype" w:hAnsi="Palatino Linotype" w:cs="Palatino Linotype"/>
        </w:rPr>
      </w:pPr>
    </w:p>
    <w:p w14:paraId="2A8AFD3C" w14:textId="77777777" w:rsidR="00181375" w:rsidRPr="00436C70" w:rsidRDefault="00C1362E">
      <w:pPr>
        <w:spacing w:line="360" w:lineRule="auto"/>
        <w:ind w:right="51"/>
        <w:jc w:val="both"/>
        <w:rPr>
          <w:rFonts w:ascii="Palatino Linotype" w:eastAsia="Palatino Linotype" w:hAnsi="Palatino Linotype" w:cs="Palatino Linotype"/>
        </w:rPr>
      </w:pPr>
      <w:r w:rsidRPr="00436C70">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121BCE4" w14:textId="77777777" w:rsidR="00181375" w:rsidRPr="00436C70" w:rsidRDefault="00C1362E">
      <w:pPr>
        <w:ind w:left="850" w:right="900"/>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lastRenderedPageBreak/>
        <w:t>“FUNDAMENTACIÓN Y MOTIVACIÓN. EL ASPECTO FORMAL DE LA GARANTÍA Y SU FINALIDAD SE TRADUCEN EN EXPLICAR, JUSTIFICAR, POSIBILITAR LA DEFENSA Y COMUNICAR LA DECISIÓN</w:t>
      </w:r>
      <w:r w:rsidRPr="00436C70">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436C70">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36C70">
        <w:rPr>
          <w:rFonts w:ascii="Palatino Linotype" w:eastAsia="Palatino Linotype" w:hAnsi="Palatino Linotype" w:cs="Palatino Linotype"/>
          <w:i/>
          <w:sz w:val="22"/>
          <w:szCs w:val="22"/>
        </w:rPr>
        <w:t xml:space="preserve">. Por tanto, </w:t>
      </w:r>
      <w:r w:rsidRPr="00436C70">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436C70">
        <w:rPr>
          <w:rFonts w:ascii="Palatino Linotype" w:eastAsia="Palatino Linotype" w:hAnsi="Palatino Linotype" w:cs="Palatino Linotype"/>
          <w:i/>
          <w:sz w:val="22"/>
          <w:szCs w:val="22"/>
        </w:rPr>
        <w:t>, que impida la finalidad del conocimiento, comprobación y defensa pertinente</w:t>
      </w:r>
      <w:r w:rsidRPr="00436C70">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rPr>
        <w:t xml:space="preserve"> </w:t>
      </w:r>
      <w:r w:rsidRPr="00436C70">
        <w:rPr>
          <w:rFonts w:ascii="Palatino Linotype" w:eastAsia="Palatino Linotype" w:hAnsi="Palatino Linotype" w:cs="Palatino Linotype"/>
          <w:i/>
          <w:sz w:val="22"/>
          <w:szCs w:val="22"/>
        </w:rPr>
        <w:t>(Sic)</w:t>
      </w:r>
    </w:p>
    <w:p w14:paraId="7658455A" w14:textId="77777777" w:rsidR="00181375" w:rsidRPr="00436C70" w:rsidRDefault="00181375">
      <w:pPr>
        <w:ind w:left="850" w:right="900"/>
        <w:jc w:val="both"/>
        <w:rPr>
          <w:rFonts w:ascii="Palatino Linotype" w:eastAsia="Palatino Linotype" w:hAnsi="Palatino Linotype" w:cs="Palatino Linotype"/>
          <w:i/>
          <w:sz w:val="22"/>
          <w:szCs w:val="22"/>
        </w:rPr>
      </w:pPr>
    </w:p>
    <w:p w14:paraId="33697552" w14:textId="77777777" w:rsidR="00181375" w:rsidRPr="00436C70" w:rsidRDefault="00181375">
      <w:pPr>
        <w:ind w:left="850" w:right="900"/>
        <w:jc w:val="both"/>
        <w:rPr>
          <w:rFonts w:ascii="Palatino Linotype" w:eastAsia="Palatino Linotype" w:hAnsi="Palatino Linotype" w:cs="Palatino Linotype"/>
          <w:i/>
          <w:sz w:val="22"/>
          <w:szCs w:val="22"/>
        </w:rPr>
      </w:pPr>
    </w:p>
    <w:p w14:paraId="6FC6ACB8"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3DCF832" w14:textId="77777777" w:rsidR="002F4879" w:rsidRPr="00436C70" w:rsidRDefault="002F4879">
      <w:pPr>
        <w:spacing w:line="360" w:lineRule="auto"/>
        <w:ind w:right="49"/>
        <w:jc w:val="both"/>
        <w:rPr>
          <w:rFonts w:ascii="Palatino Linotype" w:eastAsia="Palatino Linotype" w:hAnsi="Palatino Linotype" w:cs="Palatino Linotype"/>
        </w:rPr>
      </w:pPr>
    </w:p>
    <w:p w14:paraId="3F2A58A0"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lastRenderedPageBreak/>
        <w:t>En tal sentido, es importante señalar lo que establece el artículo 158 de la Ley de Transparencia y Acceso a la Información pública del Estado de México y Municipios:</w:t>
      </w:r>
    </w:p>
    <w:p w14:paraId="5696D062" w14:textId="77777777" w:rsidR="00181375" w:rsidRPr="00436C70" w:rsidRDefault="00C1362E">
      <w:pPr>
        <w:widowControl w:val="0"/>
        <w:ind w:left="709" w:right="757"/>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 xml:space="preserve">Artículo 158. </w:t>
      </w:r>
      <w:r w:rsidRPr="00436C70">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2C52CC5" w14:textId="77777777" w:rsidR="00181375" w:rsidRPr="00436C70" w:rsidRDefault="00C1362E">
      <w:pPr>
        <w:widowControl w:val="0"/>
        <w:ind w:left="709" w:right="760"/>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1153745C" w14:textId="77777777" w:rsidR="00181375" w:rsidRPr="00436C70" w:rsidRDefault="00C1362E">
      <w:pPr>
        <w:widowControl w:val="0"/>
        <w:ind w:left="709" w:right="760"/>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(Énfasis añadido)</w:t>
      </w:r>
    </w:p>
    <w:p w14:paraId="49A3AB63" w14:textId="77777777" w:rsidR="00181375" w:rsidRPr="00436C70" w:rsidRDefault="00181375">
      <w:pPr>
        <w:widowControl w:val="0"/>
        <w:spacing w:line="360" w:lineRule="auto"/>
        <w:jc w:val="both"/>
        <w:rPr>
          <w:rFonts w:ascii="Palatino Linotype" w:eastAsia="Palatino Linotype" w:hAnsi="Palatino Linotype" w:cs="Palatino Linotype"/>
        </w:rPr>
      </w:pPr>
    </w:p>
    <w:p w14:paraId="26F2D71F"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en términos del ordinal 158 citado con anterioridad.</w:t>
      </w:r>
    </w:p>
    <w:p w14:paraId="4D339827" w14:textId="77777777" w:rsidR="00181375" w:rsidRPr="00436C70" w:rsidRDefault="00181375">
      <w:pPr>
        <w:widowControl w:val="0"/>
        <w:spacing w:line="360" w:lineRule="auto"/>
        <w:jc w:val="both"/>
        <w:rPr>
          <w:rFonts w:ascii="Palatino Linotype" w:eastAsia="Palatino Linotype" w:hAnsi="Palatino Linotype" w:cs="Palatino Linotype"/>
        </w:rPr>
      </w:pPr>
    </w:p>
    <w:p w14:paraId="4F60EC7B"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No obstante lo anterior, una vez abierta la etapa de manifestaciones,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remitió el archivo denominado </w:t>
      </w:r>
      <w:r w:rsidRPr="00436C70">
        <w:rPr>
          <w:rFonts w:ascii="Palatino Linotype" w:eastAsia="Palatino Linotype" w:hAnsi="Palatino Linotype" w:cs="Palatino Linotype"/>
          <w:i/>
        </w:rPr>
        <w:t xml:space="preserve">Recurso de Revisión 3177_2022.pdf </w:t>
      </w:r>
      <w:r w:rsidRPr="00436C70">
        <w:rPr>
          <w:rFonts w:ascii="Palatino Linotype" w:eastAsia="Palatino Linotype" w:hAnsi="Palatino Linotype" w:cs="Palatino Linotype"/>
        </w:rPr>
        <w:t xml:space="preserve">de cuyo contenido se advierte el Oficio número 208C0201000100s/240/2022 firmado por el Jefe </w:t>
      </w:r>
      <w:r w:rsidRPr="00436C70">
        <w:rPr>
          <w:rFonts w:ascii="Palatino Linotype" w:eastAsia="Palatino Linotype" w:hAnsi="Palatino Linotype" w:cs="Palatino Linotype"/>
        </w:rPr>
        <w:lastRenderedPageBreak/>
        <w:t xml:space="preserve">de la Unidad de Apoyo Administrativo, en fecha dieciséis de marzo de dos mil veintidós, quien refiere que el edificio que alberga las Oficinas Centrales de Toluca cuenta con una superficie de 720 </w:t>
      </w:r>
      <w:proofErr w:type="spellStart"/>
      <w:r w:rsidRPr="00436C70">
        <w:rPr>
          <w:rFonts w:ascii="Palatino Linotype" w:eastAsia="Palatino Linotype" w:hAnsi="Palatino Linotype" w:cs="Palatino Linotype"/>
        </w:rPr>
        <w:t>mts</w:t>
      </w:r>
      <w:proofErr w:type="spellEnd"/>
      <w:r w:rsidRPr="00436C70">
        <w:rPr>
          <w:rFonts w:ascii="Palatino Linotype" w:eastAsia="Palatino Linotype" w:hAnsi="Palatino Linotype" w:cs="Palatino Linotype"/>
        </w:rPr>
        <w:t xml:space="preserve"> y con 575 </w:t>
      </w:r>
      <w:proofErr w:type="spellStart"/>
      <w:r w:rsidRPr="00436C70">
        <w:rPr>
          <w:rFonts w:ascii="Palatino Linotype" w:eastAsia="Palatino Linotype" w:hAnsi="Palatino Linotype" w:cs="Palatino Linotype"/>
        </w:rPr>
        <w:t>mts</w:t>
      </w:r>
      <w:proofErr w:type="spellEnd"/>
      <w:r w:rsidRPr="00436C70">
        <w:rPr>
          <w:rFonts w:ascii="Palatino Linotype" w:eastAsia="Palatino Linotype" w:hAnsi="Palatino Linotype" w:cs="Palatino Linotype"/>
        </w:rPr>
        <w:t xml:space="preserve"> de construcción y está ocupado por 33 servidores públicos, por lo que sí se cumple con la distancia de seguridad para evitar los contagios por </w:t>
      </w:r>
      <w:proofErr w:type="spellStart"/>
      <w:r w:rsidRPr="00436C70">
        <w:rPr>
          <w:rFonts w:ascii="Palatino Linotype" w:eastAsia="Palatino Linotype" w:hAnsi="Palatino Linotype" w:cs="Palatino Linotype"/>
        </w:rPr>
        <w:t>Covid</w:t>
      </w:r>
      <w:proofErr w:type="spellEnd"/>
      <w:r w:rsidRPr="00436C70">
        <w:rPr>
          <w:rFonts w:ascii="Palatino Linotype" w:eastAsia="Palatino Linotype" w:hAnsi="Palatino Linotype" w:cs="Palatino Linotype"/>
        </w:rPr>
        <w:t xml:space="preserve">- 19 como se puede apreciar de la captura de pantalla que se inserta a continuación: </w:t>
      </w:r>
    </w:p>
    <w:p w14:paraId="545CFC21" w14:textId="77777777" w:rsidR="002F4879" w:rsidRPr="00436C70" w:rsidRDefault="002F4879">
      <w:pPr>
        <w:widowControl w:val="0"/>
        <w:spacing w:line="360" w:lineRule="auto"/>
        <w:jc w:val="both"/>
        <w:rPr>
          <w:rFonts w:ascii="Palatino Linotype" w:eastAsia="Palatino Linotype" w:hAnsi="Palatino Linotype" w:cs="Palatino Linotype"/>
        </w:rPr>
      </w:pPr>
    </w:p>
    <w:p w14:paraId="0E4168D7"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noProof/>
        </w:rPr>
        <w:drawing>
          <wp:inline distT="114300" distB="114300" distL="114300" distR="114300" wp14:anchorId="30BA4B39" wp14:editId="75E49276">
            <wp:extent cx="5791200" cy="2726132"/>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28447"/>
                    <a:stretch>
                      <a:fillRect/>
                    </a:stretch>
                  </pic:blipFill>
                  <pic:spPr>
                    <a:xfrm>
                      <a:off x="0" y="0"/>
                      <a:ext cx="5791200" cy="2726132"/>
                    </a:xfrm>
                    <a:prstGeom prst="rect">
                      <a:avLst/>
                    </a:prstGeom>
                    <a:ln/>
                  </pic:spPr>
                </pic:pic>
              </a:graphicData>
            </a:graphic>
          </wp:inline>
        </w:drawing>
      </w:r>
    </w:p>
    <w:p w14:paraId="7E5FB454" w14:textId="77777777" w:rsidR="00181375" w:rsidRPr="00436C70" w:rsidRDefault="00181375">
      <w:pPr>
        <w:widowControl w:val="0"/>
        <w:spacing w:line="360" w:lineRule="auto"/>
        <w:jc w:val="both"/>
        <w:rPr>
          <w:rFonts w:ascii="Palatino Linotype" w:eastAsia="Palatino Linotype" w:hAnsi="Palatino Linotype" w:cs="Palatino Linotype"/>
        </w:rPr>
      </w:pPr>
    </w:p>
    <w:p w14:paraId="3895EB82"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De la imagen antes inserta se puede apreciar que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remite la contestación a la solicitud de acceso a la información pública señalando lo que a continuación se desagrega:  </w:t>
      </w:r>
    </w:p>
    <w:p w14:paraId="6A78B0C4" w14:textId="77777777" w:rsidR="00181375" w:rsidRPr="00436C70" w:rsidRDefault="00181375">
      <w:pPr>
        <w:widowControl w:val="0"/>
        <w:spacing w:line="360" w:lineRule="auto"/>
        <w:jc w:val="both"/>
        <w:rPr>
          <w:rFonts w:ascii="Palatino Linotype" w:eastAsia="Palatino Linotype" w:hAnsi="Palatino Linotype" w:cs="Palatino Linotype"/>
        </w:rPr>
      </w:pPr>
    </w:p>
    <w:tbl>
      <w:tblPr>
        <w:tblStyle w:val="afff6"/>
        <w:tblW w:w="912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gridCol w:w="4561"/>
      </w:tblGrid>
      <w:tr w:rsidR="00181375" w:rsidRPr="00436C70" w14:paraId="5C1B3F02" w14:textId="77777777">
        <w:tc>
          <w:tcPr>
            <w:tcW w:w="4560" w:type="dxa"/>
            <w:shd w:val="clear" w:color="auto" w:fill="auto"/>
            <w:tcMar>
              <w:top w:w="100" w:type="dxa"/>
              <w:left w:w="100" w:type="dxa"/>
              <w:bottom w:w="100" w:type="dxa"/>
              <w:right w:w="100" w:type="dxa"/>
            </w:tcMar>
          </w:tcPr>
          <w:p w14:paraId="3322478A" w14:textId="77777777" w:rsidR="00181375" w:rsidRPr="00436C70" w:rsidRDefault="00C1362E">
            <w:pPr>
              <w:widowControl w:val="0"/>
              <w:pBdr>
                <w:top w:val="nil"/>
                <w:left w:val="nil"/>
                <w:bottom w:val="nil"/>
                <w:right w:val="nil"/>
                <w:between w:val="nil"/>
              </w:pBdr>
              <w:jc w:val="center"/>
              <w:rPr>
                <w:rFonts w:ascii="Palatino Linotype" w:eastAsia="Palatino Linotype" w:hAnsi="Palatino Linotype" w:cs="Palatino Linotype"/>
                <w:b/>
                <w:u w:val="single"/>
              </w:rPr>
            </w:pPr>
            <w:r w:rsidRPr="00436C70">
              <w:rPr>
                <w:rFonts w:ascii="Palatino Linotype" w:eastAsia="Palatino Linotype" w:hAnsi="Palatino Linotype" w:cs="Palatino Linotype"/>
                <w:b/>
                <w:u w:val="single"/>
              </w:rPr>
              <w:lastRenderedPageBreak/>
              <w:t xml:space="preserve">Solicitud </w:t>
            </w:r>
          </w:p>
        </w:tc>
        <w:tc>
          <w:tcPr>
            <w:tcW w:w="4560" w:type="dxa"/>
            <w:shd w:val="clear" w:color="auto" w:fill="auto"/>
            <w:tcMar>
              <w:top w:w="100" w:type="dxa"/>
              <w:left w:w="100" w:type="dxa"/>
              <w:bottom w:w="100" w:type="dxa"/>
              <w:right w:w="100" w:type="dxa"/>
            </w:tcMar>
          </w:tcPr>
          <w:p w14:paraId="451F4808" w14:textId="77777777" w:rsidR="00181375" w:rsidRPr="00436C70" w:rsidRDefault="00C1362E">
            <w:pPr>
              <w:widowControl w:val="0"/>
              <w:pBdr>
                <w:top w:val="nil"/>
                <w:left w:val="nil"/>
                <w:bottom w:val="nil"/>
                <w:right w:val="nil"/>
                <w:between w:val="nil"/>
              </w:pBdr>
              <w:jc w:val="center"/>
              <w:rPr>
                <w:rFonts w:ascii="Palatino Linotype" w:eastAsia="Palatino Linotype" w:hAnsi="Palatino Linotype" w:cs="Palatino Linotype"/>
                <w:b/>
                <w:u w:val="single"/>
              </w:rPr>
            </w:pPr>
            <w:r w:rsidRPr="00436C70">
              <w:rPr>
                <w:rFonts w:ascii="Palatino Linotype" w:eastAsia="Palatino Linotype" w:hAnsi="Palatino Linotype" w:cs="Palatino Linotype"/>
                <w:b/>
                <w:u w:val="single"/>
              </w:rPr>
              <w:t xml:space="preserve">Informe Justificado </w:t>
            </w:r>
          </w:p>
        </w:tc>
      </w:tr>
      <w:tr w:rsidR="00181375" w:rsidRPr="00436C70" w14:paraId="152E671D" w14:textId="77777777">
        <w:tc>
          <w:tcPr>
            <w:tcW w:w="4560" w:type="dxa"/>
            <w:shd w:val="clear" w:color="auto" w:fill="auto"/>
            <w:tcMar>
              <w:top w:w="100" w:type="dxa"/>
              <w:left w:w="100" w:type="dxa"/>
              <w:bottom w:w="100" w:type="dxa"/>
              <w:right w:w="100" w:type="dxa"/>
            </w:tcMar>
          </w:tcPr>
          <w:p w14:paraId="1C4D2358"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Dimensiones del Edificio donde radica la institución en la Ciudad de Toluca de Lerdo </w:t>
            </w:r>
          </w:p>
        </w:tc>
        <w:tc>
          <w:tcPr>
            <w:tcW w:w="4560" w:type="dxa"/>
            <w:shd w:val="clear" w:color="auto" w:fill="auto"/>
            <w:tcMar>
              <w:top w:w="100" w:type="dxa"/>
              <w:left w:w="100" w:type="dxa"/>
              <w:bottom w:w="100" w:type="dxa"/>
              <w:right w:w="100" w:type="dxa"/>
            </w:tcMar>
          </w:tcPr>
          <w:p w14:paraId="5651A4DC"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Las dimensiones del Edificio que alberga las oficinas centrales de Toluca </w:t>
            </w:r>
            <w:proofErr w:type="gramStart"/>
            <w:r w:rsidRPr="00436C70">
              <w:rPr>
                <w:rFonts w:ascii="Palatino Linotype" w:eastAsia="Palatino Linotype" w:hAnsi="Palatino Linotype" w:cs="Palatino Linotype"/>
              </w:rPr>
              <w:t>cuenta</w:t>
            </w:r>
            <w:proofErr w:type="gramEnd"/>
            <w:r w:rsidRPr="00436C70">
              <w:rPr>
                <w:rFonts w:ascii="Palatino Linotype" w:eastAsia="Palatino Linotype" w:hAnsi="Palatino Linotype" w:cs="Palatino Linotype"/>
              </w:rPr>
              <w:t xml:space="preserve"> con una superficie de terreno de 720 </w:t>
            </w:r>
            <w:proofErr w:type="spellStart"/>
            <w:r w:rsidRPr="00436C70">
              <w:rPr>
                <w:rFonts w:ascii="Palatino Linotype" w:eastAsia="Palatino Linotype" w:hAnsi="Palatino Linotype" w:cs="Palatino Linotype"/>
              </w:rPr>
              <w:t>mts</w:t>
            </w:r>
            <w:proofErr w:type="spellEnd"/>
            <w:r w:rsidRPr="00436C70">
              <w:rPr>
                <w:rFonts w:ascii="Palatino Linotype" w:eastAsia="Palatino Linotype" w:hAnsi="Palatino Linotype" w:cs="Palatino Linotype"/>
              </w:rPr>
              <w:t xml:space="preserve"> y 575 </w:t>
            </w:r>
            <w:proofErr w:type="spellStart"/>
            <w:r w:rsidRPr="00436C70">
              <w:rPr>
                <w:rFonts w:ascii="Palatino Linotype" w:eastAsia="Palatino Linotype" w:hAnsi="Palatino Linotype" w:cs="Palatino Linotype"/>
              </w:rPr>
              <w:t>mts</w:t>
            </w:r>
            <w:proofErr w:type="spellEnd"/>
            <w:r w:rsidRPr="00436C70">
              <w:rPr>
                <w:rFonts w:ascii="Palatino Linotype" w:eastAsia="Palatino Linotype" w:hAnsi="Palatino Linotype" w:cs="Palatino Linotype"/>
              </w:rPr>
              <w:t xml:space="preserve"> de construcción </w:t>
            </w:r>
          </w:p>
        </w:tc>
      </w:tr>
      <w:tr w:rsidR="00181375" w:rsidRPr="00436C70" w14:paraId="3EAC340F" w14:textId="77777777">
        <w:tc>
          <w:tcPr>
            <w:tcW w:w="4560" w:type="dxa"/>
            <w:shd w:val="clear" w:color="auto" w:fill="auto"/>
            <w:tcMar>
              <w:top w:w="100" w:type="dxa"/>
              <w:left w:w="100" w:type="dxa"/>
              <w:bottom w:w="100" w:type="dxa"/>
              <w:right w:w="100" w:type="dxa"/>
            </w:tcMar>
          </w:tcPr>
          <w:p w14:paraId="3036792F"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De cada oficina </w:t>
            </w:r>
          </w:p>
        </w:tc>
        <w:tc>
          <w:tcPr>
            <w:tcW w:w="4560" w:type="dxa"/>
            <w:shd w:val="clear" w:color="auto" w:fill="auto"/>
            <w:tcMar>
              <w:top w:w="100" w:type="dxa"/>
              <w:left w:w="100" w:type="dxa"/>
              <w:bottom w:w="100" w:type="dxa"/>
              <w:right w:w="100" w:type="dxa"/>
            </w:tcMar>
          </w:tcPr>
          <w:p w14:paraId="34D3DC03"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No se pronuncia </w:t>
            </w:r>
          </w:p>
        </w:tc>
      </w:tr>
      <w:tr w:rsidR="00181375" w:rsidRPr="00436C70" w14:paraId="59CDEB11" w14:textId="77777777">
        <w:tc>
          <w:tcPr>
            <w:tcW w:w="4560" w:type="dxa"/>
            <w:shd w:val="clear" w:color="auto" w:fill="auto"/>
            <w:tcMar>
              <w:top w:w="100" w:type="dxa"/>
              <w:left w:w="100" w:type="dxa"/>
              <w:bottom w:w="100" w:type="dxa"/>
              <w:right w:w="100" w:type="dxa"/>
            </w:tcMar>
          </w:tcPr>
          <w:p w14:paraId="6F55FC89"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por cuántas personas está ocupado </w:t>
            </w:r>
          </w:p>
        </w:tc>
        <w:tc>
          <w:tcPr>
            <w:tcW w:w="4560" w:type="dxa"/>
            <w:shd w:val="clear" w:color="auto" w:fill="auto"/>
            <w:tcMar>
              <w:top w:w="100" w:type="dxa"/>
              <w:left w:w="100" w:type="dxa"/>
              <w:bottom w:w="100" w:type="dxa"/>
              <w:right w:w="100" w:type="dxa"/>
            </w:tcMar>
          </w:tcPr>
          <w:p w14:paraId="50C612D9"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Está ocupado por 33 servidores públicos </w:t>
            </w:r>
          </w:p>
        </w:tc>
      </w:tr>
      <w:tr w:rsidR="00181375" w:rsidRPr="00436C70" w14:paraId="34472D73" w14:textId="77777777">
        <w:tc>
          <w:tcPr>
            <w:tcW w:w="4560" w:type="dxa"/>
            <w:shd w:val="clear" w:color="auto" w:fill="auto"/>
            <w:tcMar>
              <w:top w:w="100" w:type="dxa"/>
              <w:left w:w="100" w:type="dxa"/>
              <w:bottom w:w="100" w:type="dxa"/>
              <w:right w:w="100" w:type="dxa"/>
            </w:tcMar>
          </w:tcPr>
          <w:p w14:paraId="4BBFDC04"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Si cumple con los protocolos de sana distancia para evitar los contagios por Covid-19 </w:t>
            </w:r>
          </w:p>
        </w:tc>
        <w:tc>
          <w:tcPr>
            <w:tcW w:w="4560" w:type="dxa"/>
            <w:shd w:val="clear" w:color="auto" w:fill="auto"/>
            <w:tcMar>
              <w:top w:w="100" w:type="dxa"/>
              <w:left w:w="100" w:type="dxa"/>
              <w:bottom w:w="100" w:type="dxa"/>
              <w:right w:w="100" w:type="dxa"/>
            </w:tcMar>
          </w:tcPr>
          <w:p w14:paraId="1A68746D" w14:textId="77777777" w:rsidR="00181375" w:rsidRPr="00436C70" w:rsidRDefault="00C1362E">
            <w:pPr>
              <w:widowControl w:val="0"/>
              <w:pBdr>
                <w:top w:val="nil"/>
                <w:left w:val="nil"/>
                <w:bottom w:val="nil"/>
                <w:right w:val="nil"/>
                <w:between w:val="nil"/>
              </w:pBdr>
              <w:rPr>
                <w:rFonts w:ascii="Palatino Linotype" w:eastAsia="Palatino Linotype" w:hAnsi="Palatino Linotype" w:cs="Palatino Linotype"/>
              </w:rPr>
            </w:pPr>
            <w:r w:rsidRPr="00436C70">
              <w:rPr>
                <w:rFonts w:ascii="Palatino Linotype" w:eastAsia="Palatino Linotype" w:hAnsi="Palatino Linotype" w:cs="Palatino Linotype"/>
              </w:rPr>
              <w:t xml:space="preserve">Sí se cumple con la distancia de seguridad para evitar los contagios por la enfermedad de Covid-19 </w:t>
            </w:r>
          </w:p>
        </w:tc>
      </w:tr>
    </w:tbl>
    <w:p w14:paraId="29A762EE" w14:textId="77777777" w:rsidR="00181375" w:rsidRPr="00436C70" w:rsidRDefault="00181375">
      <w:pPr>
        <w:widowControl w:val="0"/>
        <w:spacing w:line="360" w:lineRule="auto"/>
        <w:jc w:val="both"/>
        <w:rPr>
          <w:rFonts w:ascii="Palatino Linotype" w:eastAsia="Palatino Linotype" w:hAnsi="Palatino Linotype" w:cs="Palatino Linotype"/>
        </w:rPr>
      </w:pPr>
    </w:p>
    <w:p w14:paraId="158B093F" w14:textId="77777777" w:rsidR="00181375" w:rsidRPr="00436C70" w:rsidRDefault="00C1362E">
      <w:pPr>
        <w:widowControl w:val="0"/>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Así pues, de la información remitida en Informe Justificado se puede observar que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da contestación a una parte de la solicitud de información, sin que se aprecia pronunciamiento con respecto de las dimensiones de las oficina, por lo que es de señalar que las respuestas de los Sujetos Obligados, deben contar con dos elementos: congruencia y exhaustividad. Entendiendo el  primero como una relación entre el requerimiento formulado y la respuesta propiciada y el segundo como atender de manera puntual a cada uno de los pronunciamientos en la solicitud</w:t>
      </w:r>
    </w:p>
    <w:p w14:paraId="11EE85FD" w14:textId="77777777" w:rsidR="00181375" w:rsidRPr="00436C70" w:rsidRDefault="00181375">
      <w:pPr>
        <w:widowControl w:val="0"/>
        <w:spacing w:line="360" w:lineRule="auto"/>
        <w:jc w:val="both"/>
        <w:rPr>
          <w:rFonts w:ascii="Palatino Linotype" w:eastAsia="Palatino Linotype" w:hAnsi="Palatino Linotype" w:cs="Palatino Linotype"/>
        </w:rPr>
      </w:pPr>
    </w:p>
    <w:p w14:paraId="0696F50F" w14:textId="77777777" w:rsidR="00181375" w:rsidRPr="00436C70" w:rsidRDefault="00C1362E">
      <w:pPr>
        <w:spacing w:line="360" w:lineRule="auto"/>
        <w:ind w:right="49"/>
        <w:jc w:val="both"/>
        <w:rPr>
          <w:rFonts w:ascii="Palatino Linotype" w:eastAsia="Palatino Linotype" w:hAnsi="Palatino Linotype" w:cs="Palatino Linotype"/>
          <w:color w:val="222222"/>
        </w:rPr>
      </w:pPr>
      <w:r w:rsidRPr="00436C70">
        <w:rPr>
          <w:rFonts w:ascii="Palatino Linotype" w:eastAsia="Palatino Linotype" w:hAnsi="Palatino Linotype" w:cs="Palatino Linotype"/>
          <w:color w:val="222222"/>
        </w:rPr>
        <w:t>Sobre ello versa el criterio orientador 002/2017 del INAI, y la tesis 1a. CCCXXVII/2014 (10a.) emitida por la Primera Sala de la Suprema Corte de Justicia de la Nación, cuyo tenor es el siguiente:</w:t>
      </w:r>
    </w:p>
    <w:p w14:paraId="6843F220" w14:textId="77777777" w:rsidR="00181375" w:rsidRPr="00436C70" w:rsidRDefault="00181375">
      <w:pPr>
        <w:ind w:right="902"/>
        <w:jc w:val="both"/>
        <w:rPr>
          <w:rFonts w:ascii="Palatino Linotype" w:eastAsia="Palatino Linotype" w:hAnsi="Palatino Linotype" w:cs="Palatino Linotype"/>
          <w:color w:val="222222"/>
        </w:rPr>
      </w:pPr>
    </w:p>
    <w:p w14:paraId="11AC9FE0" w14:textId="77777777" w:rsidR="00181375" w:rsidRPr="00436C70" w:rsidRDefault="00C1362E">
      <w:pPr>
        <w:ind w:left="851" w:right="902"/>
        <w:jc w:val="both"/>
        <w:rPr>
          <w:rFonts w:ascii="Palatino Linotype" w:eastAsia="Palatino Linotype" w:hAnsi="Palatino Linotype" w:cs="Palatino Linotype"/>
        </w:rPr>
      </w:pPr>
      <w:r w:rsidRPr="00436C70">
        <w:rPr>
          <w:rFonts w:ascii="Palatino Linotype" w:eastAsia="Palatino Linotype" w:hAnsi="Palatino Linotype" w:cs="Palatino Linotype"/>
          <w:i/>
          <w:color w:val="222222"/>
          <w:sz w:val="22"/>
          <w:szCs w:val="22"/>
        </w:rPr>
        <w:t>“</w:t>
      </w:r>
      <w:r w:rsidRPr="00436C70">
        <w:rPr>
          <w:rFonts w:ascii="Palatino Linotype" w:eastAsia="Palatino Linotype" w:hAnsi="Palatino Linotype" w:cs="Palatino Linotype"/>
          <w:b/>
          <w:i/>
          <w:color w:val="222222"/>
          <w:sz w:val="22"/>
          <w:szCs w:val="22"/>
        </w:rPr>
        <w:t>Congruencia y exhaustividad</w:t>
      </w:r>
      <w:r w:rsidRPr="00436C70">
        <w:rPr>
          <w:rFonts w:ascii="Palatino Linotype" w:eastAsia="Palatino Linotype" w:hAnsi="Palatino Linotype" w:cs="Palatino Linotype"/>
          <w:i/>
          <w:color w:val="222222"/>
          <w:sz w:val="22"/>
          <w:szCs w:val="22"/>
        </w:rPr>
        <w:t>.</w:t>
      </w:r>
      <w:r w:rsidRPr="00436C70">
        <w:rPr>
          <w:rFonts w:ascii="Palatino Linotype" w:eastAsia="Palatino Linotype" w:hAnsi="Palatino Linotype" w:cs="Palatino Linotype"/>
          <w:b/>
          <w:i/>
          <w:color w:val="222222"/>
          <w:sz w:val="22"/>
          <w:szCs w:val="22"/>
        </w:rPr>
        <w:t xml:space="preserve"> Sus alcances para garantizar el derecho de acceso a la información.</w:t>
      </w:r>
      <w:r w:rsidRPr="00436C70">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r w:rsidRPr="00436C70">
        <w:rPr>
          <w:rFonts w:ascii="Palatino Linotype" w:eastAsia="Palatino Linotype" w:hAnsi="Palatino Linotype" w:cs="Palatino Linotype"/>
        </w:rPr>
        <w:t xml:space="preserve">. </w:t>
      </w:r>
    </w:p>
    <w:p w14:paraId="267E1D95" w14:textId="77777777" w:rsidR="00181375" w:rsidRPr="00436C70" w:rsidRDefault="00181375">
      <w:pPr>
        <w:widowControl w:val="0"/>
        <w:tabs>
          <w:tab w:val="left" w:pos="1701"/>
          <w:tab w:val="left" w:pos="1843"/>
        </w:tabs>
        <w:spacing w:line="360" w:lineRule="auto"/>
        <w:ind w:right="49"/>
        <w:jc w:val="both"/>
        <w:rPr>
          <w:rFonts w:ascii="Palatino Linotype" w:eastAsia="Palatino Linotype" w:hAnsi="Palatino Linotype" w:cs="Palatino Linotype"/>
        </w:rPr>
      </w:pPr>
    </w:p>
    <w:p w14:paraId="4F41A25D" w14:textId="77777777" w:rsidR="00181375" w:rsidRPr="00436C70" w:rsidRDefault="00C1362E">
      <w:pPr>
        <w:widowControl w:val="0"/>
        <w:tabs>
          <w:tab w:val="left" w:pos="1701"/>
          <w:tab w:val="left" w:pos="1843"/>
        </w:tabs>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Aunado a ello, toda vez que en su respuesta y posteriormente mediante el Informe Justificado,  </w:t>
      </w:r>
      <w:r w:rsidRPr="00436C70">
        <w:rPr>
          <w:rFonts w:ascii="Palatino Linotype" w:eastAsia="Palatino Linotype" w:hAnsi="Palatino Linotype" w:cs="Palatino Linotype"/>
          <w:b/>
        </w:rPr>
        <w:t xml:space="preserve">EL SUJETO OBLIGADO </w:t>
      </w:r>
      <w:r w:rsidRPr="00436C70">
        <w:rPr>
          <w:rFonts w:ascii="Palatino Linotype" w:eastAsia="Palatino Linotype" w:hAnsi="Palatino Linotype" w:cs="Palatino Linotype"/>
        </w:rPr>
        <w:t>señaló que la información está disponible para su consulta en sus oficinas, se entiende que el ente recurrido</w:t>
      </w:r>
      <w:r w:rsidRPr="00436C70">
        <w:rPr>
          <w:rFonts w:ascii="Palatino Linotype" w:eastAsia="Palatino Linotype" w:hAnsi="Palatino Linotype" w:cs="Palatino Linotype"/>
          <w:b/>
        </w:rPr>
        <w:t xml:space="preserve"> </w:t>
      </w:r>
      <w:r w:rsidRPr="00436C70">
        <w:rPr>
          <w:rFonts w:ascii="Palatino Linotype" w:eastAsia="Palatino Linotype" w:hAnsi="Palatino Linotype" w:cs="Palatino Linotype"/>
        </w:rPr>
        <w:t xml:space="preserve">admite generar, poseer y administrar la información solicitada por el ahora </w:t>
      </w:r>
      <w:r w:rsidRPr="00436C70">
        <w:rPr>
          <w:rFonts w:ascii="Palatino Linotype" w:eastAsia="Palatino Linotype" w:hAnsi="Palatino Linotype" w:cs="Palatino Linotype"/>
          <w:b/>
        </w:rPr>
        <w:t xml:space="preserve">RECURRENTE </w:t>
      </w:r>
      <w:r w:rsidRPr="00436C70">
        <w:rPr>
          <w:rFonts w:ascii="Palatino Linotype" w:eastAsia="Palatino Linotype" w:hAnsi="Palatino Linotype" w:cs="Palatino Linotype"/>
        </w:rPr>
        <w:t xml:space="preserve">ya que este determina su entrega en otra modalidad y cita el contenido de los artículos 12 y 24 de la ley de Transparencia y Acceso a la Información Pública del Estado de </w:t>
      </w:r>
      <w:proofErr w:type="spellStart"/>
      <w:r w:rsidRPr="00436C70">
        <w:rPr>
          <w:rFonts w:ascii="Palatino Linotype" w:eastAsia="Palatino Linotype" w:hAnsi="Palatino Linotype" w:cs="Palatino Linotype"/>
        </w:rPr>
        <w:t>méxico</w:t>
      </w:r>
      <w:proofErr w:type="spellEnd"/>
      <w:r w:rsidRPr="00436C70">
        <w:rPr>
          <w:rFonts w:ascii="Palatino Linotype" w:eastAsia="Palatino Linotype" w:hAnsi="Palatino Linotype" w:cs="Palatino Linotype"/>
        </w:rPr>
        <w:t xml:space="preserve"> y Municipios cuyo contenido es del tenor siguiente:</w:t>
      </w:r>
    </w:p>
    <w:p w14:paraId="23FE9D55"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“Artículo 12.</w:t>
      </w:r>
      <w:r w:rsidRPr="00436C7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9E68DA8"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36C70">
        <w:rPr>
          <w:rFonts w:ascii="Palatino Linotype" w:eastAsia="Palatino Linotype" w:hAnsi="Palatino Linotype" w:cs="Palatino Linotype"/>
          <w:i/>
          <w:sz w:val="22"/>
          <w:szCs w:val="22"/>
        </w:rPr>
        <w:t xml:space="preserve"> La obligación de proporcionar información no comprende el procesamiento de la </w:t>
      </w:r>
      <w:r w:rsidRPr="00436C70">
        <w:rPr>
          <w:rFonts w:ascii="Palatino Linotype" w:eastAsia="Palatino Linotype" w:hAnsi="Palatino Linotype" w:cs="Palatino Linotype"/>
          <w:i/>
          <w:sz w:val="22"/>
          <w:szCs w:val="22"/>
        </w:rPr>
        <w:lastRenderedPageBreak/>
        <w:t>misma, ni el presentarla conforme al interés del solicitante; no estarán obligados a generarla, resumirla, efectuar cálculos o practicar investigaciones.</w:t>
      </w:r>
    </w:p>
    <w:p w14:paraId="1CD566B0" w14:textId="77777777" w:rsidR="00181375" w:rsidRPr="00436C70" w:rsidRDefault="00181375">
      <w:pPr>
        <w:ind w:left="851" w:right="901"/>
        <w:jc w:val="both"/>
        <w:rPr>
          <w:rFonts w:ascii="Palatino Linotype" w:eastAsia="Palatino Linotype" w:hAnsi="Palatino Linotype" w:cs="Palatino Linotype"/>
          <w:i/>
          <w:sz w:val="22"/>
          <w:szCs w:val="22"/>
        </w:rPr>
      </w:pPr>
    </w:p>
    <w:p w14:paraId="41D11CC5"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Artículo 24.</w:t>
      </w:r>
      <w:r w:rsidRPr="00436C7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0E497934"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p>
    <w:p w14:paraId="33BB65E1"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3740461A" w14:textId="77777777" w:rsidR="00181375" w:rsidRPr="00436C70" w:rsidRDefault="00C1362E">
      <w:pPr>
        <w:ind w:left="851" w:right="901"/>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(Énfasis añadido)</w:t>
      </w:r>
    </w:p>
    <w:p w14:paraId="37CE135C" w14:textId="77777777" w:rsidR="00181375" w:rsidRPr="00436C70" w:rsidRDefault="00181375">
      <w:pPr>
        <w:spacing w:line="360" w:lineRule="auto"/>
        <w:jc w:val="both"/>
        <w:rPr>
          <w:rFonts w:ascii="Palatino Linotype" w:eastAsia="Palatino Linotype" w:hAnsi="Palatino Linotype" w:cs="Palatino Linotype"/>
        </w:rPr>
      </w:pPr>
    </w:p>
    <w:p w14:paraId="77C987EF"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0970E206" w14:textId="77777777" w:rsidR="00181375" w:rsidRPr="00436C70" w:rsidRDefault="00181375">
      <w:pPr>
        <w:spacing w:line="360" w:lineRule="auto"/>
        <w:jc w:val="both"/>
        <w:rPr>
          <w:rFonts w:ascii="Palatino Linotype" w:eastAsia="Palatino Linotype" w:hAnsi="Palatino Linotype" w:cs="Palatino Linotype"/>
        </w:rPr>
      </w:pPr>
    </w:p>
    <w:p w14:paraId="4A9BBFF1"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consecuencia, es dable ordenarle al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xml:space="preserve"> haga entrega del soporte documental donde consten las medidas de la </w:t>
      </w:r>
      <w:r w:rsidR="002F4879" w:rsidRPr="00436C70">
        <w:rPr>
          <w:rFonts w:ascii="Palatino Linotype" w:eastAsia="Palatino Linotype" w:hAnsi="Palatino Linotype" w:cs="Palatino Linotype"/>
        </w:rPr>
        <w:t>oficinas</w:t>
      </w:r>
      <w:r w:rsidRPr="00436C70">
        <w:rPr>
          <w:rFonts w:ascii="Palatino Linotype" w:eastAsia="Palatino Linotype" w:hAnsi="Palatino Linotype" w:cs="Palatino Linotype"/>
        </w:rPr>
        <w:t xml:space="preserve"> del edificio referido en la solicitud de acceso a la  información pública</w:t>
      </w:r>
    </w:p>
    <w:p w14:paraId="541F707E" w14:textId="77777777" w:rsidR="00181375" w:rsidRPr="00436C70" w:rsidRDefault="00C1362E">
      <w:pPr>
        <w:spacing w:before="280" w:after="280"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En ese sentido, sólo podrán ser testados los datos que actualicen las hipótesis normativas previstas en el artículo 143 de la Ley de Transparencia y Acceso a la Información Pública del Estado de México y Municipios y deberá procederse a su clasificación mediante las formalidades de Ley, es decir, que el Comité de Transparencia del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xml:space="preserve"> emita el Acuerdo de Clasificación </w:t>
      </w:r>
      <w:r w:rsidRPr="00436C70">
        <w:rPr>
          <w:rFonts w:ascii="Palatino Linotype" w:eastAsia="Palatino Linotype" w:hAnsi="Palatino Linotype" w:cs="Palatino Linotype"/>
        </w:rPr>
        <w:lastRenderedPageBreak/>
        <w:t>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52B79D9" w14:textId="77777777" w:rsidR="00181375" w:rsidRPr="00436C70" w:rsidRDefault="00C1362E">
      <w:pPr>
        <w:spacing w:before="280" w:after="280"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Por ende,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EE5F22" w14:textId="77777777" w:rsidR="00181375" w:rsidRPr="00436C70" w:rsidRDefault="00C1362E">
      <w:pPr>
        <w:ind w:left="709" w:right="709"/>
        <w:jc w:val="center"/>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Ley de Transparencia y Acceso a la Información Pública del Estado de México y Municipios</w:t>
      </w:r>
    </w:p>
    <w:p w14:paraId="76C48B5E" w14:textId="77777777" w:rsidR="00181375" w:rsidRPr="00436C70" w:rsidRDefault="00C1362E">
      <w:pPr>
        <w:tabs>
          <w:tab w:val="left" w:pos="851"/>
        </w:tabs>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 xml:space="preserve">Artículo 49. </w:t>
      </w:r>
      <w:r w:rsidRPr="00436C70">
        <w:rPr>
          <w:rFonts w:ascii="Palatino Linotype" w:eastAsia="Palatino Linotype" w:hAnsi="Palatino Linotype" w:cs="Palatino Linotype"/>
          <w:i/>
          <w:sz w:val="22"/>
          <w:szCs w:val="22"/>
        </w:rPr>
        <w:t>Los Comités de Transparencia tendrán las siguientes atribuciones:</w:t>
      </w:r>
    </w:p>
    <w:p w14:paraId="6D238444"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VIII.</w:t>
      </w:r>
      <w:r w:rsidRPr="00436C70">
        <w:rPr>
          <w:rFonts w:ascii="Palatino Linotype" w:eastAsia="Palatino Linotype" w:hAnsi="Palatino Linotype" w:cs="Palatino Linotype"/>
          <w:i/>
          <w:sz w:val="22"/>
          <w:szCs w:val="22"/>
        </w:rPr>
        <w:t xml:space="preserve"> Aprobar, modificar o revocar la clasificación de la información;</w:t>
      </w:r>
    </w:p>
    <w:p w14:paraId="06960CEF"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Artículo 132.</w:t>
      </w:r>
      <w:r w:rsidRPr="00436C70">
        <w:rPr>
          <w:rFonts w:ascii="Palatino Linotype" w:eastAsia="Palatino Linotype" w:hAnsi="Palatino Linotype" w:cs="Palatino Linotype"/>
          <w:i/>
          <w:sz w:val="22"/>
          <w:szCs w:val="22"/>
        </w:rPr>
        <w:t xml:space="preserve"> La clasificación de la información se llevará a cabo en el momento en que:</w:t>
      </w:r>
    </w:p>
    <w:p w14:paraId="457AD36A"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lastRenderedPageBreak/>
        <w:t>…</w:t>
      </w:r>
    </w:p>
    <w:p w14:paraId="140D51E4"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II.</w:t>
      </w:r>
      <w:r w:rsidRPr="00436C70">
        <w:rPr>
          <w:rFonts w:ascii="Palatino Linotype" w:eastAsia="Palatino Linotype" w:hAnsi="Palatino Linotype" w:cs="Palatino Linotype"/>
          <w:i/>
          <w:sz w:val="22"/>
          <w:szCs w:val="22"/>
        </w:rPr>
        <w:t xml:space="preserve"> Se determine mediante resolución de autoridad competente; o</w:t>
      </w:r>
    </w:p>
    <w:p w14:paraId="5E0B5D23"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III</w:t>
      </w:r>
      <w:r w:rsidRPr="00436C70">
        <w:rPr>
          <w:rFonts w:ascii="Palatino Linotype" w:eastAsia="Palatino Linotype" w:hAnsi="Palatino Linotype" w:cs="Palatino Linotype"/>
          <w:i/>
          <w:sz w:val="22"/>
          <w:szCs w:val="22"/>
        </w:rPr>
        <w:t>. Se generen versiones públicas para dar cumplimiento a las obligaciones de transparencia previstas en esta Ley.”</w:t>
      </w:r>
    </w:p>
    <w:p w14:paraId="7500E23A" w14:textId="77777777" w:rsidR="00181375" w:rsidRPr="00436C70" w:rsidRDefault="00C1362E">
      <w:pPr>
        <w:ind w:left="709" w:right="709"/>
        <w:jc w:val="center"/>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Lineamientos Generales en materia de Clasificación y Desclasificación de la Información</w:t>
      </w:r>
    </w:p>
    <w:p w14:paraId="3DF3B518"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Segundo.-</w:t>
      </w:r>
      <w:r w:rsidRPr="00436C70">
        <w:rPr>
          <w:rFonts w:ascii="Palatino Linotype" w:eastAsia="Palatino Linotype" w:hAnsi="Palatino Linotype" w:cs="Palatino Linotype"/>
          <w:i/>
          <w:sz w:val="22"/>
          <w:szCs w:val="22"/>
        </w:rPr>
        <w:t xml:space="preserve"> Para efectos de los presentes Lineamientos Generales, se entenderá por:</w:t>
      </w:r>
    </w:p>
    <w:p w14:paraId="49773475"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XVIII.</w:t>
      </w:r>
      <w:r w:rsidRPr="00436C70">
        <w:rPr>
          <w:rFonts w:ascii="Palatino Linotype" w:eastAsia="Palatino Linotype" w:hAnsi="Palatino Linotype" w:cs="Palatino Linotype"/>
          <w:i/>
          <w:sz w:val="22"/>
          <w:szCs w:val="22"/>
        </w:rPr>
        <w:t xml:space="preserve"> </w:t>
      </w:r>
      <w:r w:rsidRPr="00436C70">
        <w:rPr>
          <w:rFonts w:ascii="Palatino Linotype" w:eastAsia="Palatino Linotype" w:hAnsi="Palatino Linotype" w:cs="Palatino Linotype"/>
          <w:b/>
          <w:i/>
          <w:sz w:val="22"/>
          <w:szCs w:val="22"/>
        </w:rPr>
        <w:t>Versión pública:</w:t>
      </w:r>
      <w:r w:rsidRPr="00436C7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36C70">
        <w:rPr>
          <w:rFonts w:ascii="Palatino Linotype" w:eastAsia="Palatino Linotype" w:hAnsi="Palatino Linotype" w:cs="Palatino Linotype"/>
          <w:b/>
          <w:i/>
          <w:sz w:val="22"/>
          <w:szCs w:val="22"/>
          <w:u w:val="single"/>
        </w:rPr>
        <w:t>fundando y motivando</w:t>
      </w:r>
      <w:r w:rsidRPr="00436C70">
        <w:rPr>
          <w:rFonts w:ascii="Palatino Linotype" w:eastAsia="Palatino Linotype" w:hAnsi="Palatino Linotype" w:cs="Palatino Linotype"/>
          <w:b/>
          <w:i/>
          <w:sz w:val="22"/>
          <w:szCs w:val="22"/>
        </w:rPr>
        <w:t xml:space="preserve"> </w:t>
      </w:r>
      <w:r w:rsidRPr="00436C70">
        <w:rPr>
          <w:rFonts w:ascii="Palatino Linotype" w:eastAsia="Palatino Linotype" w:hAnsi="Palatino Linotype" w:cs="Palatino Linotype"/>
          <w:b/>
          <w:i/>
          <w:sz w:val="22"/>
          <w:szCs w:val="22"/>
          <w:u w:val="single"/>
        </w:rPr>
        <w:t>la</w:t>
      </w:r>
      <w:r w:rsidRPr="00436C70">
        <w:rPr>
          <w:rFonts w:ascii="Palatino Linotype" w:eastAsia="Palatino Linotype" w:hAnsi="Palatino Linotype" w:cs="Palatino Linotype"/>
          <w:i/>
          <w:sz w:val="22"/>
          <w:szCs w:val="22"/>
        </w:rPr>
        <w:t xml:space="preserve"> reserva o </w:t>
      </w:r>
      <w:r w:rsidRPr="00436C70">
        <w:rPr>
          <w:rFonts w:ascii="Palatino Linotype" w:eastAsia="Palatino Linotype" w:hAnsi="Palatino Linotype" w:cs="Palatino Linotype"/>
          <w:b/>
          <w:i/>
          <w:sz w:val="22"/>
          <w:szCs w:val="22"/>
          <w:u w:val="single"/>
        </w:rPr>
        <w:t>confidencialidad</w:t>
      </w:r>
      <w:r w:rsidRPr="00436C70">
        <w:rPr>
          <w:rFonts w:ascii="Palatino Linotype" w:eastAsia="Palatino Linotype" w:hAnsi="Palatino Linotype" w:cs="Palatino Linotype"/>
          <w:i/>
          <w:sz w:val="22"/>
          <w:szCs w:val="22"/>
        </w:rPr>
        <w:t>, a través de la resolución que para tal efecto emita el Comité de Transparencia.</w:t>
      </w:r>
    </w:p>
    <w:p w14:paraId="7D244511"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Cuarto.</w:t>
      </w:r>
      <w:r w:rsidRPr="00436C7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7A91D6"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039B7E7"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Quinto.</w:t>
      </w:r>
      <w:r w:rsidRPr="00436C7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50E7D2"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Sexto.</w:t>
      </w:r>
      <w:r w:rsidRPr="00436C7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7DA2108"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631FD29"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Séptimo.</w:t>
      </w:r>
      <w:r w:rsidRPr="00436C70">
        <w:rPr>
          <w:rFonts w:ascii="Palatino Linotype" w:eastAsia="Palatino Linotype" w:hAnsi="Palatino Linotype" w:cs="Palatino Linotype"/>
          <w:i/>
          <w:sz w:val="22"/>
          <w:szCs w:val="22"/>
        </w:rPr>
        <w:t xml:space="preserve"> La clasificación de la información se llevará a cabo en el momento en que:</w:t>
      </w:r>
    </w:p>
    <w:p w14:paraId="66C9D749"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I.</w:t>
      </w:r>
      <w:r w:rsidRPr="00436C70">
        <w:rPr>
          <w:rFonts w:ascii="Palatino Linotype" w:eastAsia="Palatino Linotype" w:hAnsi="Palatino Linotype" w:cs="Palatino Linotype"/>
          <w:i/>
          <w:sz w:val="22"/>
          <w:szCs w:val="22"/>
        </w:rPr>
        <w:t xml:space="preserve"> Se reciba una solicitud de acceso a la información;</w:t>
      </w:r>
    </w:p>
    <w:p w14:paraId="6854F55B"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II.</w:t>
      </w:r>
      <w:r w:rsidRPr="00436C70">
        <w:rPr>
          <w:rFonts w:ascii="Palatino Linotype" w:eastAsia="Palatino Linotype" w:hAnsi="Palatino Linotype" w:cs="Palatino Linotype"/>
          <w:i/>
          <w:sz w:val="22"/>
          <w:szCs w:val="22"/>
        </w:rPr>
        <w:t xml:space="preserve"> Se determine mediante resolución de autoridad competente, o</w:t>
      </w:r>
    </w:p>
    <w:p w14:paraId="1E558086"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lastRenderedPageBreak/>
        <w:t>III.</w:t>
      </w:r>
      <w:r w:rsidRPr="00436C7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1304DB3"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521AEA2"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Octavo.</w:t>
      </w:r>
      <w:r w:rsidRPr="00436C7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355831"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1851362"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94590AA"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CB7931"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4F4FF74"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Noveno.</w:t>
      </w:r>
      <w:r w:rsidRPr="00436C7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F8D6E4"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Décimo.</w:t>
      </w:r>
      <w:r w:rsidRPr="00436C7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58A2D3"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16B42C3"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lastRenderedPageBreak/>
        <w:t>Décimo primero.</w:t>
      </w:r>
      <w:r w:rsidRPr="00436C7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AECD89B" w14:textId="77777777" w:rsidR="00181375" w:rsidRPr="00436C70" w:rsidRDefault="00C1362E">
      <w:pPr>
        <w:ind w:left="709" w:right="709"/>
        <w:jc w:val="both"/>
        <w:rPr>
          <w:rFonts w:ascii="Palatino Linotype" w:eastAsia="Palatino Linotype" w:hAnsi="Palatino Linotype" w:cs="Palatino Linotype"/>
          <w:sz w:val="22"/>
          <w:szCs w:val="22"/>
        </w:rPr>
      </w:pPr>
      <w:r w:rsidRPr="00436C70">
        <w:rPr>
          <w:rFonts w:ascii="Palatino Linotype" w:eastAsia="Palatino Linotype" w:hAnsi="Palatino Linotype" w:cs="Palatino Linotype"/>
          <w:sz w:val="22"/>
          <w:szCs w:val="22"/>
        </w:rPr>
        <w:t>(Énfasis Añadido)</w:t>
      </w:r>
    </w:p>
    <w:p w14:paraId="3B3E7AC4" w14:textId="77777777" w:rsidR="00181375" w:rsidRPr="00436C70" w:rsidRDefault="00C1362E">
      <w:pPr>
        <w:spacing w:before="280" w:after="280"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Por lo tanto, es importante referir que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436C70">
        <w:rPr>
          <w:rFonts w:ascii="Palatino Linotype" w:eastAsia="Palatino Linotype" w:hAnsi="Palatino Linotype" w:cs="Palatino Linotype"/>
          <w:b/>
        </w:rPr>
        <w:t xml:space="preserve"> </w:t>
      </w:r>
      <w:r w:rsidRPr="00436C70">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F888FB" w14:textId="77777777" w:rsidR="00181375" w:rsidRPr="00436C70" w:rsidRDefault="00C1362E">
      <w:pPr>
        <w:widowControl w:val="0"/>
        <w:spacing w:before="120" w:after="120"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y Municipios</w:t>
      </w:r>
    </w:p>
    <w:p w14:paraId="67ABEA2F" w14:textId="77777777" w:rsidR="00181375" w:rsidRPr="00436C70" w:rsidRDefault="00C1362E">
      <w:pPr>
        <w:ind w:left="709" w:right="709"/>
        <w:jc w:val="center"/>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49440795" w14:textId="77777777" w:rsidR="00181375" w:rsidRPr="00436C70" w:rsidRDefault="00C1362E">
      <w:pPr>
        <w:ind w:left="709" w:right="709"/>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 xml:space="preserve">Artículo 3. </w:t>
      </w:r>
      <w:r w:rsidRPr="00436C70">
        <w:rPr>
          <w:rFonts w:ascii="Palatino Linotype" w:eastAsia="Palatino Linotype" w:hAnsi="Palatino Linotype" w:cs="Palatino Linotype"/>
          <w:b/>
          <w:i/>
          <w:sz w:val="22"/>
          <w:szCs w:val="22"/>
          <w:u w:val="single"/>
        </w:rPr>
        <w:t>Para los efectos de la presente Ley se entenderá por</w:t>
      </w:r>
      <w:r w:rsidRPr="00436C70">
        <w:rPr>
          <w:rFonts w:ascii="Palatino Linotype" w:eastAsia="Palatino Linotype" w:hAnsi="Palatino Linotype" w:cs="Palatino Linotype"/>
          <w:i/>
          <w:sz w:val="22"/>
          <w:szCs w:val="22"/>
        </w:rPr>
        <w:t>:</w:t>
      </w:r>
    </w:p>
    <w:p w14:paraId="51E3B84B"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p>
    <w:p w14:paraId="2821F4EE" w14:textId="77777777" w:rsidR="00181375" w:rsidRPr="00436C70" w:rsidRDefault="00C1362E">
      <w:pPr>
        <w:ind w:left="709" w:right="709"/>
        <w:jc w:val="both"/>
        <w:rPr>
          <w:rFonts w:ascii="Palatino Linotype" w:eastAsia="Palatino Linotype" w:hAnsi="Palatino Linotype" w:cs="Palatino Linotype"/>
          <w:b/>
          <w:i/>
          <w:sz w:val="22"/>
          <w:szCs w:val="22"/>
        </w:rPr>
      </w:pPr>
      <w:r w:rsidRPr="00436C70">
        <w:rPr>
          <w:rFonts w:ascii="Palatino Linotype" w:eastAsia="Palatino Linotype" w:hAnsi="Palatino Linotype" w:cs="Palatino Linotype"/>
          <w:b/>
          <w:i/>
          <w:sz w:val="22"/>
          <w:szCs w:val="22"/>
        </w:rPr>
        <w:t>IX.</w:t>
      </w:r>
      <w:r w:rsidRPr="00436C70">
        <w:rPr>
          <w:rFonts w:ascii="Palatino Linotype" w:eastAsia="Palatino Linotype" w:hAnsi="Palatino Linotype" w:cs="Palatino Linotype"/>
          <w:b/>
          <w:i/>
          <w:sz w:val="22"/>
          <w:szCs w:val="22"/>
        </w:rPr>
        <w:tab/>
        <w:t xml:space="preserve">Datos personales: </w:t>
      </w:r>
      <w:r w:rsidRPr="00436C70">
        <w:rPr>
          <w:rFonts w:ascii="Palatino Linotype" w:eastAsia="Palatino Linotype" w:hAnsi="Palatino Linotype" w:cs="Palatino Linotype"/>
          <w:b/>
          <w:i/>
          <w:sz w:val="22"/>
          <w:szCs w:val="22"/>
          <w:u w:val="single"/>
        </w:rPr>
        <w:t>La información concerniente a una persona, identificada o identificable</w:t>
      </w:r>
      <w:r w:rsidRPr="00436C70">
        <w:rPr>
          <w:rFonts w:ascii="Palatino Linotype" w:eastAsia="Palatino Linotype" w:hAnsi="Palatino Linotype" w:cs="Palatino Linotype"/>
          <w:b/>
          <w:i/>
          <w:sz w:val="22"/>
          <w:szCs w:val="22"/>
        </w:rPr>
        <w:t xml:space="preserve"> </w:t>
      </w:r>
      <w:r w:rsidRPr="00436C70">
        <w:rPr>
          <w:rFonts w:ascii="Palatino Linotype" w:eastAsia="Palatino Linotype" w:hAnsi="Palatino Linotype" w:cs="Palatino Linotype"/>
          <w:i/>
          <w:sz w:val="22"/>
          <w:szCs w:val="22"/>
        </w:rPr>
        <w:t>según lo dispuesto por la Ley de Protección de Datos Personales del Estado de México;</w:t>
      </w:r>
    </w:p>
    <w:p w14:paraId="39BE2694"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p>
    <w:p w14:paraId="4EDAC69E"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XXI.</w:t>
      </w:r>
      <w:r w:rsidRPr="00436C70">
        <w:rPr>
          <w:rFonts w:ascii="Palatino Linotype" w:eastAsia="Palatino Linotype" w:hAnsi="Palatino Linotype" w:cs="Palatino Linotype"/>
          <w:i/>
          <w:sz w:val="22"/>
          <w:szCs w:val="22"/>
        </w:rPr>
        <w:tab/>
      </w:r>
      <w:r w:rsidRPr="00436C70">
        <w:rPr>
          <w:rFonts w:ascii="Palatino Linotype" w:eastAsia="Palatino Linotype" w:hAnsi="Palatino Linotype" w:cs="Palatino Linotype"/>
          <w:b/>
          <w:i/>
          <w:sz w:val="22"/>
          <w:szCs w:val="22"/>
          <w:u w:val="single"/>
        </w:rPr>
        <w:t>Información confidencial</w:t>
      </w:r>
      <w:r w:rsidRPr="00436C70">
        <w:rPr>
          <w:rFonts w:ascii="Palatino Linotype" w:eastAsia="Palatino Linotype" w:hAnsi="Palatino Linotype" w:cs="Palatino Linotype"/>
          <w:i/>
          <w:sz w:val="22"/>
          <w:szCs w:val="22"/>
        </w:rPr>
        <w:t xml:space="preserve">: </w:t>
      </w:r>
      <w:r w:rsidRPr="00436C70">
        <w:rPr>
          <w:rFonts w:ascii="Palatino Linotype" w:eastAsia="Palatino Linotype" w:hAnsi="Palatino Linotype" w:cs="Palatino Linotype"/>
          <w:b/>
          <w:i/>
          <w:sz w:val="22"/>
          <w:szCs w:val="22"/>
          <w:u w:val="single"/>
        </w:rPr>
        <w:t>Se considera como información confidencial</w:t>
      </w:r>
      <w:r w:rsidRPr="00436C70">
        <w:rPr>
          <w:rFonts w:ascii="Palatino Linotype" w:eastAsia="Palatino Linotype" w:hAnsi="Palatino Linotype" w:cs="Palatino Linotype"/>
          <w:i/>
          <w:sz w:val="22"/>
          <w:szCs w:val="22"/>
        </w:rPr>
        <w:t xml:space="preserve"> los secretos bancario, fiduciario, industrial, comercial, fiscal, bursátil y postal, </w:t>
      </w:r>
      <w:r w:rsidRPr="00436C70">
        <w:rPr>
          <w:rFonts w:ascii="Palatino Linotype" w:eastAsia="Palatino Linotype" w:hAnsi="Palatino Linotype" w:cs="Palatino Linotype"/>
          <w:b/>
          <w:i/>
          <w:sz w:val="22"/>
          <w:szCs w:val="22"/>
          <w:u w:val="single"/>
        </w:rPr>
        <w:t>cuya titularidad corresponda a particulares</w:t>
      </w:r>
      <w:r w:rsidRPr="00436C70">
        <w:rPr>
          <w:rFonts w:ascii="Palatino Linotype" w:eastAsia="Palatino Linotype" w:hAnsi="Palatino Linotype" w:cs="Palatino Linotype"/>
          <w:i/>
          <w:sz w:val="22"/>
          <w:szCs w:val="22"/>
        </w:rPr>
        <w:t xml:space="preserve">, sujetos de derecho internacional o a sujetos obligados </w:t>
      </w:r>
      <w:r w:rsidRPr="00436C70">
        <w:rPr>
          <w:rFonts w:ascii="Palatino Linotype" w:eastAsia="Palatino Linotype" w:hAnsi="Palatino Linotype" w:cs="Palatino Linotype"/>
          <w:b/>
          <w:i/>
          <w:sz w:val="22"/>
          <w:szCs w:val="22"/>
          <w:u w:val="single"/>
        </w:rPr>
        <w:t>cuando no involucren el ejercicio de recursos públicos</w:t>
      </w:r>
      <w:r w:rsidRPr="00436C70">
        <w:rPr>
          <w:rFonts w:ascii="Palatino Linotype" w:eastAsia="Palatino Linotype" w:hAnsi="Palatino Linotype" w:cs="Palatino Linotype"/>
          <w:i/>
          <w:sz w:val="22"/>
          <w:szCs w:val="22"/>
        </w:rPr>
        <w:t>;</w:t>
      </w:r>
    </w:p>
    <w:p w14:paraId="3A0286D9"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p>
    <w:p w14:paraId="0DFBF872"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XXIII. Información privada</w:t>
      </w:r>
      <w:r w:rsidRPr="00436C70">
        <w:rPr>
          <w:rFonts w:ascii="Palatino Linotype" w:eastAsia="Palatino Linotype" w:hAnsi="Palatino Linotype" w:cs="Palatino Linotype"/>
          <w:i/>
          <w:sz w:val="22"/>
          <w:szCs w:val="22"/>
        </w:rPr>
        <w:t xml:space="preserve">: </w:t>
      </w:r>
      <w:r w:rsidRPr="00436C70">
        <w:rPr>
          <w:rFonts w:ascii="Palatino Linotype" w:eastAsia="Palatino Linotype" w:hAnsi="Palatino Linotype" w:cs="Palatino Linotype"/>
          <w:b/>
          <w:i/>
          <w:sz w:val="22"/>
          <w:szCs w:val="22"/>
          <w:u w:val="single"/>
        </w:rPr>
        <w:t>La contenida en documentos públicos</w:t>
      </w:r>
      <w:r w:rsidRPr="00436C70">
        <w:rPr>
          <w:rFonts w:ascii="Palatino Linotype" w:eastAsia="Palatino Linotype" w:hAnsi="Palatino Linotype" w:cs="Palatino Linotype"/>
          <w:i/>
          <w:sz w:val="22"/>
          <w:szCs w:val="22"/>
        </w:rPr>
        <w:t xml:space="preserve"> o privados </w:t>
      </w:r>
      <w:r w:rsidRPr="00436C70">
        <w:rPr>
          <w:rFonts w:ascii="Palatino Linotype" w:eastAsia="Palatino Linotype" w:hAnsi="Palatino Linotype" w:cs="Palatino Linotype"/>
          <w:b/>
          <w:i/>
          <w:sz w:val="22"/>
          <w:szCs w:val="22"/>
          <w:u w:val="single"/>
        </w:rPr>
        <w:t>que refiera a la vida privada y/o los datos personales</w:t>
      </w:r>
      <w:r w:rsidRPr="00436C70">
        <w:rPr>
          <w:rFonts w:ascii="Palatino Linotype" w:eastAsia="Palatino Linotype" w:hAnsi="Palatino Linotype" w:cs="Palatino Linotype"/>
          <w:i/>
          <w:sz w:val="22"/>
          <w:szCs w:val="22"/>
        </w:rPr>
        <w:t xml:space="preserve">, </w:t>
      </w:r>
      <w:r w:rsidRPr="00436C70">
        <w:rPr>
          <w:rFonts w:ascii="Palatino Linotype" w:eastAsia="Palatino Linotype" w:hAnsi="Palatino Linotype" w:cs="Palatino Linotype"/>
          <w:b/>
          <w:i/>
          <w:sz w:val="22"/>
          <w:szCs w:val="22"/>
          <w:u w:val="single"/>
        </w:rPr>
        <w:t>que no son de acceso público</w:t>
      </w:r>
      <w:r w:rsidRPr="00436C70">
        <w:rPr>
          <w:rFonts w:ascii="Palatino Linotype" w:eastAsia="Palatino Linotype" w:hAnsi="Palatino Linotype" w:cs="Palatino Linotype"/>
          <w:i/>
          <w:sz w:val="22"/>
          <w:szCs w:val="22"/>
        </w:rPr>
        <w:t>;</w:t>
      </w:r>
    </w:p>
    <w:p w14:paraId="1676D714"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Artículo 143</w:t>
      </w:r>
      <w:r w:rsidRPr="00436C70">
        <w:rPr>
          <w:rFonts w:ascii="Palatino Linotype" w:eastAsia="Palatino Linotype" w:hAnsi="Palatino Linotype" w:cs="Palatino Linotype"/>
          <w:i/>
          <w:sz w:val="22"/>
          <w:szCs w:val="22"/>
        </w:rPr>
        <w:t xml:space="preserve">. </w:t>
      </w:r>
      <w:r w:rsidRPr="00436C70">
        <w:rPr>
          <w:rFonts w:ascii="Palatino Linotype" w:eastAsia="Palatino Linotype" w:hAnsi="Palatino Linotype" w:cs="Palatino Linotype"/>
          <w:b/>
          <w:i/>
          <w:sz w:val="22"/>
          <w:szCs w:val="22"/>
          <w:u w:val="single"/>
        </w:rPr>
        <w:t>Para los efectos de esta Ley se considera información confidencial</w:t>
      </w:r>
      <w:r w:rsidRPr="00436C70">
        <w:rPr>
          <w:rFonts w:ascii="Palatino Linotype" w:eastAsia="Palatino Linotype" w:hAnsi="Palatino Linotype" w:cs="Palatino Linotype"/>
          <w:i/>
          <w:sz w:val="22"/>
          <w:szCs w:val="22"/>
        </w:rPr>
        <w:t xml:space="preserve">, la clasificada como tal, </w:t>
      </w:r>
      <w:r w:rsidRPr="00436C70">
        <w:rPr>
          <w:rFonts w:ascii="Palatino Linotype" w:eastAsia="Palatino Linotype" w:hAnsi="Palatino Linotype" w:cs="Palatino Linotype"/>
          <w:b/>
          <w:i/>
          <w:sz w:val="22"/>
          <w:szCs w:val="22"/>
          <w:u w:val="single"/>
        </w:rPr>
        <w:t>de manera permanente, por su naturaleza, cuando</w:t>
      </w:r>
      <w:r w:rsidRPr="00436C70">
        <w:rPr>
          <w:rFonts w:ascii="Palatino Linotype" w:eastAsia="Palatino Linotype" w:hAnsi="Palatino Linotype" w:cs="Palatino Linotype"/>
          <w:i/>
          <w:sz w:val="22"/>
          <w:szCs w:val="22"/>
        </w:rPr>
        <w:t xml:space="preserve">: </w:t>
      </w:r>
    </w:p>
    <w:p w14:paraId="6825CD71"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 xml:space="preserve">I. </w:t>
      </w:r>
      <w:r w:rsidRPr="00436C70">
        <w:rPr>
          <w:rFonts w:ascii="Palatino Linotype" w:eastAsia="Palatino Linotype" w:hAnsi="Palatino Linotype" w:cs="Palatino Linotype"/>
          <w:b/>
          <w:i/>
          <w:sz w:val="22"/>
          <w:szCs w:val="22"/>
          <w:u w:val="single"/>
        </w:rPr>
        <w:t>Se refiera a la información privada</w:t>
      </w:r>
      <w:r w:rsidRPr="00436C70">
        <w:rPr>
          <w:rFonts w:ascii="Palatino Linotype" w:eastAsia="Palatino Linotype" w:hAnsi="Palatino Linotype" w:cs="Palatino Linotype"/>
          <w:i/>
          <w:sz w:val="22"/>
          <w:szCs w:val="22"/>
        </w:rPr>
        <w:t xml:space="preserve"> y los datos personales c</w:t>
      </w:r>
      <w:r w:rsidRPr="00436C70">
        <w:rPr>
          <w:rFonts w:ascii="Palatino Linotype" w:eastAsia="Palatino Linotype" w:hAnsi="Palatino Linotype" w:cs="Palatino Linotype"/>
          <w:b/>
          <w:i/>
          <w:sz w:val="22"/>
          <w:szCs w:val="22"/>
          <w:u w:val="single"/>
        </w:rPr>
        <w:t xml:space="preserve">oncernientes a una persona física </w:t>
      </w:r>
      <w:r w:rsidRPr="00436C70">
        <w:rPr>
          <w:rFonts w:ascii="Palatino Linotype" w:eastAsia="Palatino Linotype" w:hAnsi="Palatino Linotype" w:cs="Palatino Linotype"/>
          <w:i/>
          <w:sz w:val="22"/>
          <w:szCs w:val="22"/>
        </w:rPr>
        <w:t xml:space="preserve">o jurídico colectiva </w:t>
      </w:r>
      <w:r w:rsidRPr="00436C70">
        <w:rPr>
          <w:rFonts w:ascii="Palatino Linotype" w:eastAsia="Palatino Linotype" w:hAnsi="Palatino Linotype" w:cs="Palatino Linotype"/>
          <w:b/>
          <w:i/>
          <w:sz w:val="22"/>
          <w:szCs w:val="22"/>
          <w:u w:val="single"/>
        </w:rPr>
        <w:t>identificada o identificable</w:t>
      </w:r>
      <w:r w:rsidRPr="00436C70">
        <w:rPr>
          <w:rFonts w:ascii="Palatino Linotype" w:eastAsia="Palatino Linotype" w:hAnsi="Palatino Linotype" w:cs="Palatino Linotype"/>
          <w:i/>
          <w:sz w:val="22"/>
          <w:szCs w:val="22"/>
        </w:rPr>
        <w:t xml:space="preserve">; </w:t>
      </w:r>
    </w:p>
    <w:p w14:paraId="0D474437"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 xml:space="preserve">II. … </w:t>
      </w:r>
    </w:p>
    <w:p w14:paraId="0210B57F"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 xml:space="preserve">III. … </w:t>
      </w:r>
    </w:p>
    <w:p w14:paraId="560F6F80"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u w:val="single"/>
        </w:rPr>
        <w:t>La información confidencial</w:t>
      </w:r>
      <w:r w:rsidRPr="00436C70">
        <w:rPr>
          <w:rFonts w:ascii="Palatino Linotype" w:eastAsia="Palatino Linotype" w:hAnsi="Palatino Linotype" w:cs="Palatino Linotype"/>
          <w:i/>
          <w:sz w:val="22"/>
          <w:szCs w:val="22"/>
        </w:rPr>
        <w:t xml:space="preserve"> no estará sujeta a temporalidad alguna y </w:t>
      </w:r>
      <w:r w:rsidRPr="00436C70">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436C70">
        <w:rPr>
          <w:rFonts w:ascii="Palatino Linotype" w:eastAsia="Palatino Linotype" w:hAnsi="Palatino Linotype" w:cs="Palatino Linotype"/>
          <w:i/>
          <w:sz w:val="22"/>
          <w:szCs w:val="22"/>
        </w:rPr>
        <w:t xml:space="preserve">. </w:t>
      </w:r>
    </w:p>
    <w:p w14:paraId="29355B58"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EFE0147" w14:textId="77777777" w:rsidR="00181375" w:rsidRPr="00436C70" w:rsidRDefault="00C1362E">
      <w:pPr>
        <w:ind w:left="709" w:right="709"/>
        <w:jc w:val="center"/>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Ley de Protección de Datos Personales en Posesión de Sujetos Obligados del Estado de México y Municipios</w:t>
      </w:r>
    </w:p>
    <w:p w14:paraId="7183F77A"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r w:rsidRPr="00436C70">
        <w:rPr>
          <w:rFonts w:ascii="Palatino Linotype" w:eastAsia="Palatino Linotype" w:hAnsi="Palatino Linotype" w:cs="Palatino Linotype"/>
          <w:b/>
          <w:i/>
          <w:sz w:val="22"/>
          <w:szCs w:val="22"/>
        </w:rPr>
        <w:t>Artículo 4</w:t>
      </w:r>
      <w:r w:rsidRPr="00436C70">
        <w:rPr>
          <w:rFonts w:ascii="Palatino Linotype" w:eastAsia="Palatino Linotype" w:hAnsi="Palatino Linotype" w:cs="Palatino Linotype"/>
          <w:i/>
          <w:sz w:val="22"/>
          <w:szCs w:val="22"/>
        </w:rPr>
        <w:t xml:space="preserve">.- </w:t>
      </w:r>
      <w:r w:rsidRPr="00436C70">
        <w:rPr>
          <w:rFonts w:ascii="Palatino Linotype" w:eastAsia="Palatino Linotype" w:hAnsi="Palatino Linotype" w:cs="Palatino Linotype"/>
          <w:b/>
          <w:i/>
          <w:sz w:val="22"/>
          <w:szCs w:val="22"/>
          <w:u w:val="single"/>
        </w:rPr>
        <w:t>Para los efectos de esta Ley se entenderá por</w:t>
      </w:r>
      <w:r w:rsidRPr="00436C70">
        <w:rPr>
          <w:rFonts w:ascii="Palatino Linotype" w:eastAsia="Palatino Linotype" w:hAnsi="Palatino Linotype" w:cs="Palatino Linotype"/>
          <w:i/>
          <w:sz w:val="22"/>
          <w:szCs w:val="22"/>
        </w:rPr>
        <w:t>:</w:t>
      </w:r>
    </w:p>
    <w:p w14:paraId="6EB9F8BB"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w:t>
      </w:r>
    </w:p>
    <w:p w14:paraId="6F88100C" w14:textId="77777777" w:rsidR="00181375" w:rsidRPr="00436C70" w:rsidRDefault="00C1362E">
      <w:pPr>
        <w:ind w:left="709" w:right="70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b/>
          <w:i/>
          <w:sz w:val="22"/>
          <w:szCs w:val="22"/>
        </w:rPr>
        <w:t xml:space="preserve">XI. </w:t>
      </w:r>
      <w:r w:rsidRPr="00436C70">
        <w:rPr>
          <w:rFonts w:ascii="Palatino Linotype" w:eastAsia="Palatino Linotype" w:hAnsi="Palatino Linotype" w:cs="Palatino Linotype"/>
          <w:b/>
          <w:i/>
          <w:sz w:val="22"/>
          <w:szCs w:val="22"/>
          <w:u w:val="single"/>
        </w:rPr>
        <w:t>Datos personales</w:t>
      </w:r>
      <w:r w:rsidRPr="00436C70">
        <w:rPr>
          <w:rFonts w:ascii="Palatino Linotype" w:eastAsia="Palatino Linotype" w:hAnsi="Palatino Linotype" w:cs="Palatino Linotype"/>
          <w:i/>
          <w:sz w:val="22"/>
          <w:szCs w:val="22"/>
        </w:rPr>
        <w:t xml:space="preserve">: a </w:t>
      </w:r>
      <w:r w:rsidRPr="00436C70">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436C70">
        <w:rPr>
          <w:rFonts w:ascii="Palatino Linotype" w:eastAsia="Palatino Linotype" w:hAnsi="Palatino Linotype" w:cs="Palatino Linotype"/>
          <w:i/>
          <w:sz w:val="22"/>
          <w:szCs w:val="22"/>
        </w:rPr>
        <w:t xml:space="preserve">, establecida en cualquier formato o </w:t>
      </w:r>
      <w:r w:rsidRPr="00436C70">
        <w:rPr>
          <w:rFonts w:ascii="Palatino Linotype" w:eastAsia="Palatino Linotype" w:hAnsi="Palatino Linotype" w:cs="Palatino Linotype"/>
          <w:i/>
          <w:sz w:val="22"/>
          <w:szCs w:val="22"/>
        </w:rPr>
        <w:lastRenderedPageBreak/>
        <w:t xml:space="preserve">modalidad, y que esté almacenada en los sistemas y bases de datos, </w:t>
      </w:r>
      <w:r w:rsidRPr="00436C70">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sidRPr="00436C70">
        <w:rPr>
          <w:rFonts w:ascii="Palatino Linotype" w:eastAsia="Palatino Linotype" w:hAnsi="Palatino Linotype" w:cs="Palatino Linotype"/>
          <w:i/>
          <w:sz w:val="22"/>
          <w:szCs w:val="22"/>
        </w:rPr>
        <w:t xml:space="preserve"> a través de cualquier documento informativo físico o electrónico.”</w:t>
      </w:r>
    </w:p>
    <w:p w14:paraId="51DC8EC6" w14:textId="77777777" w:rsidR="00181375" w:rsidRPr="00436C70" w:rsidRDefault="00C1362E">
      <w:pPr>
        <w:ind w:left="709" w:right="709"/>
        <w:jc w:val="both"/>
        <w:rPr>
          <w:rFonts w:ascii="Palatino Linotype" w:eastAsia="Palatino Linotype" w:hAnsi="Palatino Linotype" w:cs="Palatino Linotype"/>
          <w:sz w:val="22"/>
          <w:szCs w:val="22"/>
        </w:rPr>
      </w:pPr>
      <w:r w:rsidRPr="00436C70">
        <w:rPr>
          <w:rFonts w:ascii="Palatino Linotype" w:eastAsia="Palatino Linotype" w:hAnsi="Palatino Linotype" w:cs="Palatino Linotype"/>
          <w:sz w:val="22"/>
          <w:szCs w:val="22"/>
        </w:rPr>
        <w:t>(Énfasis añadido)</w:t>
      </w:r>
    </w:p>
    <w:p w14:paraId="155E29DC" w14:textId="77777777" w:rsidR="002F4879" w:rsidRPr="00436C70" w:rsidRDefault="002F4879">
      <w:pPr>
        <w:ind w:left="709" w:right="709"/>
        <w:jc w:val="both"/>
        <w:rPr>
          <w:rFonts w:ascii="Palatino Linotype" w:eastAsia="Palatino Linotype" w:hAnsi="Palatino Linotype" w:cs="Palatino Linotype"/>
          <w:sz w:val="22"/>
          <w:szCs w:val="22"/>
        </w:rPr>
      </w:pPr>
    </w:p>
    <w:p w14:paraId="58788DEC" w14:textId="77777777" w:rsidR="00181375" w:rsidRPr="00436C70" w:rsidRDefault="00C1362E">
      <w:pPr>
        <w:widowControl w:val="0"/>
        <w:spacing w:before="200" w:after="200"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436C70">
        <w:rPr>
          <w:rFonts w:ascii="Palatino Linotype" w:eastAsia="Palatino Linotype" w:hAnsi="Palatino Linotype" w:cs="Palatino Linotype"/>
          <w:b/>
          <w:u w:val="single"/>
        </w:rPr>
        <w:t>la hacen identificada o identificable</w:t>
      </w:r>
      <w:r w:rsidRPr="00436C70">
        <w:rPr>
          <w:rFonts w:ascii="Palatino Linotype" w:eastAsia="Palatino Linotype" w:hAnsi="Palatino Linotype" w:cs="Palatino Linotype"/>
        </w:rPr>
        <w:t xml:space="preserve">; lo anterior, siempre que no involucren el ejercicio de recursos públicos. </w:t>
      </w:r>
    </w:p>
    <w:p w14:paraId="23E98EFF" w14:textId="77777777" w:rsidR="00181375" w:rsidRPr="00436C70" w:rsidRDefault="00181375">
      <w:pPr>
        <w:widowControl w:val="0"/>
        <w:spacing w:before="200" w:after="200" w:line="360" w:lineRule="auto"/>
        <w:jc w:val="both"/>
        <w:rPr>
          <w:rFonts w:ascii="Palatino Linotype" w:eastAsia="Palatino Linotype" w:hAnsi="Palatino Linotype" w:cs="Palatino Linotype"/>
        </w:rPr>
      </w:pPr>
    </w:p>
    <w:p w14:paraId="521F9491" w14:textId="77777777" w:rsidR="00181375" w:rsidRPr="00436C70" w:rsidRDefault="00C1362E">
      <w:pPr>
        <w:widowControl w:val="0"/>
        <w:spacing w:before="200" w:after="200"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t xml:space="preserve">No se omite comentar que en caso de que no contara con la información que se ordena porque no haya sido generada, </w:t>
      </w:r>
      <w:r w:rsidRPr="00436C70">
        <w:rPr>
          <w:rFonts w:ascii="Palatino Linotype" w:eastAsia="Palatino Linotype" w:hAnsi="Palatino Linotype" w:cs="Palatino Linotype"/>
          <w:b/>
        </w:rPr>
        <w:t>EL SUJETO OBLIGADO</w:t>
      </w:r>
      <w:r w:rsidRPr="00436C70">
        <w:rPr>
          <w:rFonts w:ascii="Palatino Linotype" w:eastAsia="Palatino Linotype" w:hAnsi="Palatino Linotype" w:cs="Palatino Linotype"/>
        </w:rPr>
        <w:t xml:space="preserve"> deberá manifestarlo al particular de forma fundada y motivada. </w:t>
      </w:r>
    </w:p>
    <w:p w14:paraId="209366E7" w14:textId="77777777" w:rsidR="00181375" w:rsidRPr="00436C70" w:rsidRDefault="00181375">
      <w:pPr>
        <w:spacing w:line="360" w:lineRule="auto"/>
        <w:jc w:val="both"/>
        <w:rPr>
          <w:rFonts w:ascii="Palatino Linotype" w:eastAsia="Palatino Linotype" w:hAnsi="Palatino Linotype" w:cs="Palatino Linotype"/>
        </w:rPr>
      </w:pPr>
      <w:bookmarkStart w:id="5" w:name="_heading=h.v5y4wt34g4w3" w:colFirst="0" w:colLast="0"/>
      <w:bookmarkEnd w:id="5"/>
    </w:p>
    <w:p w14:paraId="51DF78CB" w14:textId="77777777" w:rsidR="00181375" w:rsidRPr="00436C70" w:rsidRDefault="00C1362E">
      <w:pPr>
        <w:spacing w:line="360" w:lineRule="auto"/>
        <w:jc w:val="both"/>
        <w:rPr>
          <w:rFonts w:ascii="Palatino Linotype" w:eastAsia="Palatino Linotype" w:hAnsi="Palatino Linotype" w:cs="Palatino Linotype"/>
        </w:rPr>
      </w:pPr>
      <w:bookmarkStart w:id="6" w:name="_heading=h.nms7q82gx7sj" w:colFirst="0" w:colLast="0"/>
      <w:bookmarkEnd w:id="6"/>
      <w:r w:rsidRPr="00436C70">
        <w:rPr>
          <w:rFonts w:ascii="Palatino Linotype" w:eastAsia="Palatino Linotype" w:hAnsi="Palatino Linotype" w:cs="Palatino Linotype"/>
        </w:rPr>
        <w:t>Expuesto todo lo anterior</w:t>
      </w:r>
      <w:r w:rsidRPr="00436C70">
        <w:rPr>
          <w:rFonts w:ascii="Palatino Linotype" w:eastAsia="Palatino Linotype" w:hAnsi="Palatino Linotype" w:cs="Palatino Linotype"/>
          <w:b/>
        </w:rPr>
        <w:t xml:space="preserve">, </w:t>
      </w:r>
      <w:r w:rsidRPr="00436C70">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resultan </w:t>
      </w:r>
      <w:r w:rsidRPr="00436C70">
        <w:rPr>
          <w:rFonts w:ascii="Palatino Linotype" w:eastAsia="Palatino Linotype" w:hAnsi="Palatino Linotype" w:cs="Palatino Linotype"/>
          <w:b/>
        </w:rPr>
        <w:t>fundadas</w:t>
      </w:r>
      <w:r w:rsidRPr="00436C70">
        <w:rPr>
          <w:rFonts w:ascii="Palatino Linotype" w:eastAsia="Palatino Linotype" w:hAnsi="Palatino Linotype" w:cs="Palatino Linotype"/>
        </w:rPr>
        <w:t xml:space="preserve"> y suficientes para </w:t>
      </w:r>
      <w:r w:rsidRPr="00436C70">
        <w:rPr>
          <w:rFonts w:ascii="Palatino Linotype" w:eastAsia="Palatino Linotype" w:hAnsi="Palatino Linotype" w:cs="Palatino Linotype"/>
          <w:b/>
        </w:rPr>
        <w:t xml:space="preserve">REVOCAR </w:t>
      </w:r>
      <w:r w:rsidRPr="00436C70">
        <w:rPr>
          <w:rFonts w:ascii="Palatino Linotype" w:eastAsia="Palatino Linotype" w:hAnsi="Palatino Linotype" w:cs="Palatino Linotype"/>
        </w:rPr>
        <w:t xml:space="preserve">la respuesta del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xml:space="preserve"> y ordenarle haga entrega en </w:t>
      </w:r>
      <w:r w:rsidRPr="00436C70">
        <w:rPr>
          <w:rFonts w:ascii="Palatino Linotype" w:eastAsia="Palatino Linotype" w:hAnsi="Palatino Linotype" w:cs="Palatino Linotype"/>
        </w:rPr>
        <w:lastRenderedPageBreak/>
        <w:t xml:space="preserve">versión pública del soporte documental donde consten las dimensiones de las oficinas del edificio referido en la solicitud de Acceso a la Información Pública </w:t>
      </w:r>
    </w:p>
    <w:p w14:paraId="0529EB87" w14:textId="77777777" w:rsidR="00181375" w:rsidRPr="00436C70" w:rsidRDefault="00C1362E">
      <w:pPr>
        <w:spacing w:line="360" w:lineRule="auto"/>
        <w:jc w:val="both"/>
        <w:rPr>
          <w:rFonts w:ascii="Palatino Linotype" w:eastAsia="Palatino Linotype" w:hAnsi="Palatino Linotype" w:cs="Palatino Linotype"/>
        </w:rPr>
      </w:pPr>
      <w:bookmarkStart w:id="7" w:name="_heading=h.tmn8a2iumw1g" w:colFirst="0" w:colLast="0"/>
      <w:bookmarkEnd w:id="7"/>
      <w:r w:rsidRPr="00436C70">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43D3D1C" w14:textId="77777777" w:rsidR="00181375" w:rsidRPr="00436C70" w:rsidRDefault="00181375">
      <w:pPr>
        <w:spacing w:line="360" w:lineRule="auto"/>
        <w:jc w:val="both"/>
        <w:rPr>
          <w:rFonts w:ascii="Palatino Linotype" w:eastAsia="Palatino Linotype" w:hAnsi="Palatino Linotype" w:cs="Palatino Linotype"/>
        </w:rPr>
      </w:pPr>
    </w:p>
    <w:p w14:paraId="2C5E3550" w14:textId="77777777" w:rsidR="00181375" w:rsidRPr="00436C70" w:rsidRDefault="00C1362E">
      <w:pPr>
        <w:spacing w:line="360" w:lineRule="auto"/>
        <w:jc w:val="center"/>
        <w:rPr>
          <w:rFonts w:ascii="Palatino Linotype" w:eastAsia="Palatino Linotype" w:hAnsi="Palatino Linotype" w:cs="Palatino Linotype"/>
          <w:b/>
          <w:sz w:val="26"/>
          <w:szCs w:val="26"/>
        </w:rPr>
      </w:pPr>
      <w:r w:rsidRPr="00436C70">
        <w:rPr>
          <w:rFonts w:ascii="Palatino Linotype" w:eastAsia="Palatino Linotype" w:hAnsi="Palatino Linotype" w:cs="Palatino Linotype"/>
          <w:b/>
          <w:sz w:val="26"/>
          <w:szCs w:val="26"/>
        </w:rPr>
        <w:t>RESUELVE</w:t>
      </w:r>
    </w:p>
    <w:p w14:paraId="3530053F" w14:textId="77777777" w:rsidR="00181375" w:rsidRPr="00436C70" w:rsidRDefault="00181375">
      <w:pPr>
        <w:spacing w:line="360" w:lineRule="auto"/>
        <w:jc w:val="center"/>
        <w:rPr>
          <w:rFonts w:ascii="Palatino Linotype" w:eastAsia="Palatino Linotype" w:hAnsi="Palatino Linotype" w:cs="Palatino Linotype"/>
          <w:b/>
          <w:sz w:val="26"/>
          <w:szCs w:val="26"/>
        </w:rPr>
      </w:pPr>
    </w:p>
    <w:p w14:paraId="0E460ACC" w14:textId="77777777" w:rsidR="00181375" w:rsidRPr="00436C70" w:rsidRDefault="00C1362E">
      <w:pPr>
        <w:spacing w:line="360" w:lineRule="auto"/>
        <w:ind w:right="49"/>
        <w:jc w:val="both"/>
        <w:rPr>
          <w:rFonts w:ascii="Palatino Linotype" w:eastAsia="Palatino Linotype" w:hAnsi="Palatino Linotype" w:cs="Palatino Linotype"/>
        </w:rPr>
      </w:pPr>
      <w:r w:rsidRPr="00436C70">
        <w:rPr>
          <w:rFonts w:ascii="Palatino Linotype" w:eastAsia="Palatino Linotype" w:hAnsi="Palatino Linotype" w:cs="Palatino Linotype"/>
          <w:b/>
        </w:rPr>
        <w:t>PRIMERO.</w:t>
      </w:r>
      <w:r w:rsidRPr="00436C70">
        <w:rPr>
          <w:rFonts w:ascii="Palatino Linotype" w:eastAsia="Palatino Linotype" w:hAnsi="Palatino Linotype" w:cs="Palatino Linotype"/>
        </w:rPr>
        <w:t xml:space="preserve"> Resultan </w:t>
      </w:r>
      <w:r w:rsidRPr="00436C70">
        <w:rPr>
          <w:rFonts w:ascii="Palatino Linotype" w:eastAsia="Palatino Linotype" w:hAnsi="Palatino Linotype" w:cs="Palatino Linotype"/>
          <w:b/>
        </w:rPr>
        <w:t xml:space="preserve"> fundados</w:t>
      </w:r>
      <w:r w:rsidRPr="00436C70">
        <w:rPr>
          <w:rFonts w:ascii="Palatino Linotype" w:eastAsia="Palatino Linotype" w:hAnsi="Palatino Linotype" w:cs="Palatino Linotype"/>
        </w:rPr>
        <w:t xml:space="preserve"> los motivos de inconformidad hechos valer por </w:t>
      </w:r>
      <w:r w:rsidRPr="00436C70">
        <w:rPr>
          <w:rFonts w:ascii="Palatino Linotype" w:eastAsia="Palatino Linotype" w:hAnsi="Palatino Linotype" w:cs="Palatino Linotype"/>
          <w:b/>
        </w:rPr>
        <w:t>EL RECURRENTE</w:t>
      </w:r>
      <w:r w:rsidRPr="00436C70">
        <w:rPr>
          <w:rFonts w:ascii="Palatino Linotype" w:eastAsia="Palatino Linotype" w:hAnsi="Palatino Linotype" w:cs="Palatino Linotype"/>
        </w:rPr>
        <w:t xml:space="preserve"> en el Recurso de Revisión </w:t>
      </w:r>
      <w:r w:rsidRPr="00436C70">
        <w:rPr>
          <w:rFonts w:ascii="Palatino Linotype" w:eastAsia="Palatino Linotype" w:hAnsi="Palatino Linotype" w:cs="Palatino Linotype"/>
          <w:b/>
        </w:rPr>
        <w:t>03177/INFOEM/IP/RR/2022</w:t>
      </w:r>
      <w:r w:rsidRPr="00436C70">
        <w:rPr>
          <w:rFonts w:ascii="Palatino Linotype" w:eastAsia="Palatino Linotype" w:hAnsi="Palatino Linotype" w:cs="Palatino Linotype"/>
        </w:rPr>
        <w:t xml:space="preserve">, en términos del considerando </w:t>
      </w:r>
      <w:r w:rsidRPr="00436C70">
        <w:rPr>
          <w:rFonts w:ascii="Palatino Linotype" w:eastAsia="Palatino Linotype" w:hAnsi="Palatino Linotype" w:cs="Palatino Linotype"/>
          <w:b/>
        </w:rPr>
        <w:t>QUINTO</w:t>
      </w:r>
      <w:r w:rsidRPr="00436C70">
        <w:rPr>
          <w:rFonts w:ascii="Palatino Linotype" w:eastAsia="Palatino Linotype" w:hAnsi="Palatino Linotype" w:cs="Palatino Linotype"/>
        </w:rPr>
        <w:t>.</w:t>
      </w:r>
    </w:p>
    <w:p w14:paraId="3018DD79" w14:textId="77777777" w:rsidR="00181375" w:rsidRPr="00436C70" w:rsidRDefault="00181375">
      <w:pPr>
        <w:spacing w:line="360" w:lineRule="auto"/>
        <w:ind w:right="49"/>
        <w:jc w:val="both"/>
        <w:rPr>
          <w:rFonts w:ascii="Palatino Linotype" w:eastAsia="Palatino Linotype" w:hAnsi="Palatino Linotype" w:cs="Palatino Linotype"/>
        </w:rPr>
      </w:pPr>
    </w:p>
    <w:p w14:paraId="44F5289F"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b/>
        </w:rPr>
        <w:t xml:space="preserve">SEGUNDO. </w:t>
      </w:r>
      <w:r w:rsidRPr="00436C70">
        <w:rPr>
          <w:rFonts w:ascii="Palatino Linotype" w:eastAsia="Palatino Linotype" w:hAnsi="Palatino Linotype" w:cs="Palatino Linotype"/>
        </w:rPr>
        <w:t xml:space="preserve">Se </w:t>
      </w:r>
      <w:r w:rsidRPr="00436C70">
        <w:rPr>
          <w:rFonts w:ascii="Palatino Linotype" w:eastAsia="Palatino Linotype" w:hAnsi="Palatino Linotype" w:cs="Palatino Linotype"/>
          <w:b/>
        </w:rPr>
        <w:t xml:space="preserve">REVOCA </w:t>
      </w:r>
      <w:r w:rsidRPr="00436C70">
        <w:rPr>
          <w:rFonts w:ascii="Palatino Linotype" w:eastAsia="Palatino Linotype" w:hAnsi="Palatino Linotype" w:cs="Palatino Linotype"/>
        </w:rPr>
        <w:t xml:space="preserve">la respuesta emitida por </w:t>
      </w:r>
      <w:r w:rsidRPr="00436C70">
        <w:rPr>
          <w:rFonts w:ascii="Palatino Linotype" w:eastAsia="Palatino Linotype" w:hAnsi="Palatino Linotype" w:cs="Palatino Linotype"/>
          <w:b/>
        </w:rPr>
        <w:t>EL</w:t>
      </w:r>
      <w:r w:rsidRPr="00436C70">
        <w:rPr>
          <w:rFonts w:ascii="Palatino Linotype" w:eastAsia="Palatino Linotype" w:hAnsi="Palatino Linotype" w:cs="Palatino Linotype"/>
        </w:rPr>
        <w:t xml:space="preserve"> </w:t>
      </w:r>
      <w:r w:rsidRPr="00436C70">
        <w:rPr>
          <w:rFonts w:ascii="Palatino Linotype" w:eastAsia="Palatino Linotype" w:hAnsi="Palatino Linotype" w:cs="Palatino Linotype"/>
          <w:b/>
        </w:rPr>
        <w:t>SUJETO OBLIGADO</w:t>
      </w:r>
      <w:r w:rsidRPr="00436C70">
        <w:rPr>
          <w:rFonts w:ascii="Palatino Linotype" w:eastAsia="Palatino Linotype" w:hAnsi="Palatino Linotype" w:cs="Palatino Linotype"/>
        </w:rPr>
        <w:t xml:space="preserve"> y se ordena que en términos del Considerando </w:t>
      </w:r>
      <w:r w:rsidRPr="00436C70">
        <w:rPr>
          <w:rFonts w:ascii="Palatino Linotype" w:eastAsia="Palatino Linotype" w:hAnsi="Palatino Linotype" w:cs="Palatino Linotype"/>
          <w:b/>
        </w:rPr>
        <w:t>Quinto</w:t>
      </w:r>
      <w:r w:rsidRPr="00436C70">
        <w:rPr>
          <w:rFonts w:ascii="Palatino Linotype" w:eastAsia="Palatino Linotype" w:hAnsi="Palatino Linotype" w:cs="Palatino Linotype"/>
        </w:rPr>
        <w:t xml:space="preserve"> haga entrega al</w:t>
      </w:r>
      <w:r w:rsidRPr="00436C70">
        <w:rPr>
          <w:rFonts w:ascii="Palatino Linotype" w:eastAsia="Palatino Linotype" w:hAnsi="Palatino Linotype" w:cs="Palatino Linotype"/>
          <w:b/>
        </w:rPr>
        <w:t xml:space="preserve"> RECURRENTE </w:t>
      </w:r>
      <w:r w:rsidRPr="00436C70">
        <w:rPr>
          <w:rFonts w:ascii="Palatino Linotype" w:eastAsia="Palatino Linotype" w:hAnsi="Palatino Linotype" w:cs="Palatino Linotype"/>
        </w:rPr>
        <w:t xml:space="preserve">mediante el Sistema de Acceso a la Información Mexiquense (SAIMEX), en versión pública de  lo siguiente: </w:t>
      </w:r>
    </w:p>
    <w:p w14:paraId="0C244869" w14:textId="77777777" w:rsidR="00181375" w:rsidRPr="00436C70" w:rsidRDefault="00C1362E">
      <w:pPr>
        <w:tabs>
          <w:tab w:val="left" w:pos="709"/>
        </w:tabs>
        <w:ind w:left="850"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El soporte documental donde consten las dimensiones de las oficinas del edificio referido en la solicitud de Acceso a la Información Pública.</w:t>
      </w:r>
    </w:p>
    <w:p w14:paraId="66FAA628" w14:textId="77777777" w:rsidR="00181375" w:rsidRPr="00436C70" w:rsidRDefault="00181375">
      <w:pPr>
        <w:tabs>
          <w:tab w:val="left" w:pos="709"/>
        </w:tabs>
        <w:ind w:left="850" w:right="899"/>
        <w:jc w:val="both"/>
        <w:rPr>
          <w:rFonts w:ascii="Palatino Linotype" w:eastAsia="Palatino Linotype" w:hAnsi="Palatino Linotype" w:cs="Palatino Linotype"/>
          <w:i/>
          <w:sz w:val="22"/>
          <w:szCs w:val="22"/>
        </w:rPr>
      </w:pPr>
    </w:p>
    <w:p w14:paraId="38C52758" w14:textId="77777777" w:rsidR="00181375" w:rsidRPr="00436C70" w:rsidRDefault="00C1362E">
      <w:pPr>
        <w:tabs>
          <w:tab w:val="left" w:pos="709"/>
        </w:tabs>
        <w:ind w:left="850"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 xml:space="preserve">Debiendo notificar al </w:t>
      </w:r>
      <w:r w:rsidRPr="00436C70">
        <w:rPr>
          <w:rFonts w:ascii="Palatino Linotype" w:eastAsia="Palatino Linotype" w:hAnsi="Palatino Linotype" w:cs="Palatino Linotype"/>
          <w:b/>
          <w:i/>
          <w:sz w:val="22"/>
          <w:szCs w:val="22"/>
        </w:rPr>
        <w:t>RECURRENTE</w:t>
      </w:r>
      <w:r w:rsidRPr="00436C7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E833A80" w14:textId="77777777" w:rsidR="00181375" w:rsidRPr="00436C70" w:rsidRDefault="00181375">
      <w:pPr>
        <w:tabs>
          <w:tab w:val="left" w:pos="709"/>
        </w:tabs>
        <w:ind w:left="850" w:right="899"/>
        <w:jc w:val="both"/>
        <w:rPr>
          <w:rFonts w:ascii="Palatino Linotype" w:eastAsia="Palatino Linotype" w:hAnsi="Palatino Linotype" w:cs="Palatino Linotype"/>
          <w:i/>
          <w:sz w:val="22"/>
          <w:szCs w:val="22"/>
        </w:rPr>
      </w:pPr>
    </w:p>
    <w:p w14:paraId="0B68310C" w14:textId="77777777" w:rsidR="00181375" w:rsidRPr="00436C70" w:rsidRDefault="00C1362E">
      <w:pPr>
        <w:tabs>
          <w:tab w:val="left" w:pos="709"/>
        </w:tabs>
        <w:ind w:left="850" w:right="899"/>
        <w:jc w:val="both"/>
        <w:rPr>
          <w:rFonts w:ascii="Palatino Linotype" w:eastAsia="Palatino Linotype" w:hAnsi="Palatino Linotype" w:cs="Palatino Linotype"/>
          <w:i/>
          <w:sz w:val="22"/>
          <w:szCs w:val="22"/>
        </w:rPr>
      </w:pPr>
      <w:r w:rsidRPr="00436C70">
        <w:rPr>
          <w:rFonts w:ascii="Palatino Linotype" w:eastAsia="Palatino Linotype" w:hAnsi="Palatino Linotype" w:cs="Palatino Linotype"/>
          <w:i/>
          <w:sz w:val="22"/>
          <w:szCs w:val="22"/>
        </w:rPr>
        <w:t xml:space="preserve">En caso de que no contara con la información </w:t>
      </w:r>
      <w:r w:rsidR="002F4879" w:rsidRPr="00436C70">
        <w:rPr>
          <w:rFonts w:ascii="Palatino Linotype" w:eastAsia="Palatino Linotype" w:hAnsi="Palatino Linotype" w:cs="Palatino Linotype"/>
          <w:i/>
          <w:sz w:val="22"/>
          <w:szCs w:val="22"/>
        </w:rPr>
        <w:t xml:space="preserve">porque </w:t>
      </w:r>
      <w:r w:rsidRPr="00436C70">
        <w:rPr>
          <w:rFonts w:ascii="Palatino Linotype" w:eastAsia="Palatino Linotype" w:hAnsi="Palatino Linotype" w:cs="Palatino Linotype"/>
          <w:i/>
          <w:sz w:val="22"/>
          <w:szCs w:val="22"/>
        </w:rPr>
        <w:t xml:space="preserve">no haya sido generada, </w:t>
      </w:r>
      <w:r w:rsidRPr="00436C70">
        <w:rPr>
          <w:rFonts w:ascii="Palatino Linotype" w:eastAsia="Palatino Linotype" w:hAnsi="Palatino Linotype" w:cs="Palatino Linotype"/>
          <w:b/>
          <w:i/>
          <w:sz w:val="22"/>
          <w:szCs w:val="22"/>
        </w:rPr>
        <w:t>EL SUJETO OBLIGADO</w:t>
      </w:r>
      <w:r w:rsidRPr="00436C70">
        <w:rPr>
          <w:rFonts w:ascii="Palatino Linotype" w:eastAsia="Palatino Linotype" w:hAnsi="Palatino Linotype" w:cs="Palatino Linotype"/>
          <w:i/>
          <w:sz w:val="22"/>
          <w:szCs w:val="22"/>
        </w:rPr>
        <w:t xml:space="preserve"> deberá manifestarlo al particular de forma fundada y motivada. </w:t>
      </w:r>
    </w:p>
    <w:p w14:paraId="372E463E" w14:textId="77777777" w:rsidR="00181375" w:rsidRPr="00436C70" w:rsidRDefault="00181375">
      <w:pPr>
        <w:tabs>
          <w:tab w:val="left" w:pos="709"/>
        </w:tabs>
        <w:ind w:left="850" w:right="899"/>
        <w:jc w:val="both"/>
        <w:rPr>
          <w:rFonts w:ascii="Palatino Linotype" w:eastAsia="Palatino Linotype" w:hAnsi="Palatino Linotype" w:cs="Palatino Linotype"/>
          <w:i/>
          <w:sz w:val="22"/>
          <w:szCs w:val="22"/>
        </w:rPr>
      </w:pPr>
    </w:p>
    <w:p w14:paraId="05498ACC"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b/>
        </w:rPr>
        <w:t>TERCERO. Notifíquese</w:t>
      </w:r>
      <w:r w:rsidRPr="00436C70">
        <w:rPr>
          <w:rFonts w:ascii="Palatino Linotype" w:eastAsia="Palatino Linotype" w:hAnsi="Palatino Linotype" w:cs="Palatino Linotype"/>
          <w:b/>
          <w:i/>
        </w:rPr>
        <w:t xml:space="preserve"> </w:t>
      </w:r>
      <w:r w:rsidRPr="00436C70">
        <w:rPr>
          <w:rFonts w:ascii="Palatino Linotype" w:eastAsia="Palatino Linotype" w:hAnsi="Palatino Linotype" w:cs="Palatino Linotype"/>
        </w:rPr>
        <w:t>al Titular de la Unidad de Transparencia del</w:t>
      </w:r>
      <w:r w:rsidRPr="00436C70">
        <w:rPr>
          <w:rFonts w:ascii="Palatino Linotype" w:eastAsia="Palatino Linotype" w:hAnsi="Palatino Linotype" w:cs="Palatino Linotype"/>
          <w:b/>
        </w:rPr>
        <w:t xml:space="preserve"> </w:t>
      </w:r>
      <w:r w:rsidRPr="00436C70">
        <w:rPr>
          <w:rFonts w:ascii="Palatino Linotype" w:eastAsia="Palatino Linotype" w:hAnsi="Palatino Linotype" w:cs="Palatino Linotype"/>
        </w:rPr>
        <w:t>Sujeto Obligado por medio del Sistema de Acceso a la Información Mexiquense (</w:t>
      </w:r>
      <w:r w:rsidRPr="00436C70">
        <w:rPr>
          <w:rFonts w:ascii="Palatino Linotype" w:eastAsia="Palatino Linotype" w:hAnsi="Palatino Linotype" w:cs="Palatino Linotype"/>
          <w:b/>
        </w:rPr>
        <w:t>SAIMEX),</w:t>
      </w:r>
      <w:r w:rsidRPr="00436C7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715E7884" w14:textId="77777777" w:rsidR="00181375" w:rsidRPr="00436C70" w:rsidRDefault="00181375">
      <w:pPr>
        <w:spacing w:line="360" w:lineRule="auto"/>
        <w:jc w:val="both"/>
        <w:rPr>
          <w:rFonts w:ascii="Palatino Linotype" w:eastAsia="Palatino Linotype" w:hAnsi="Palatino Linotype" w:cs="Palatino Linotype"/>
          <w:b/>
        </w:rPr>
      </w:pPr>
    </w:p>
    <w:p w14:paraId="504259F0"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b/>
        </w:rPr>
        <w:t xml:space="preserve">CUARTO. </w:t>
      </w:r>
      <w:r w:rsidRPr="00436C7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811AF1" w14:textId="77777777" w:rsidR="00181375" w:rsidRPr="00436C70" w:rsidRDefault="00181375">
      <w:pPr>
        <w:spacing w:line="360" w:lineRule="auto"/>
        <w:jc w:val="both"/>
        <w:rPr>
          <w:rFonts w:ascii="Palatino Linotype" w:eastAsia="Palatino Linotype" w:hAnsi="Palatino Linotype" w:cs="Palatino Linotype"/>
          <w:b/>
        </w:rPr>
      </w:pPr>
    </w:p>
    <w:p w14:paraId="1FF33F5B"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b/>
        </w:rPr>
        <w:t xml:space="preserve">QUINTO. Notifíquese </w:t>
      </w:r>
      <w:r w:rsidRPr="00436C70">
        <w:rPr>
          <w:rFonts w:ascii="Palatino Linotype" w:eastAsia="Palatino Linotype" w:hAnsi="Palatino Linotype" w:cs="Palatino Linotype"/>
        </w:rPr>
        <w:t xml:space="preserve">la presente resolución al </w:t>
      </w:r>
      <w:r w:rsidRPr="00436C70">
        <w:rPr>
          <w:rFonts w:ascii="Palatino Linotype" w:eastAsia="Palatino Linotype" w:hAnsi="Palatino Linotype" w:cs="Palatino Linotype"/>
          <w:b/>
        </w:rPr>
        <w:t>RECURRENTE</w:t>
      </w:r>
      <w:r w:rsidRPr="00436C70">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51D25B8D" w14:textId="77777777" w:rsidR="00181375" w:rsidRPr="00436C70" w:rsidRDefault="00C1362E">
      <w:pPr>
        <w:spacing w:line="360" w:lineRule="auto"/>
        <w:jc w:val="both"/>
        <w:rPr>
          <w:rFonts w:ascii="Palatino Linotype" w:eastAsia="Palatino Linotype" w:hAnsi="Palatino Linotype" w:cs="Palatino Linotype"/>
        </w:rPr>
      </w:pPr>
      <w:r w:rsidRPr="00436C7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0E0F13BB" w14:textId="77777777" w:rsidR="00181375" w:rsidRDefault="00C1362E">
      <w:pPr>
        <w:spacing w:line="360" w:lineRule="auto"/>
        <w:jc w:val="both"/>
        <w:rPr>
          <w:rFonts w:ascii="Palatino Linotype" w:eastAsia="Palatino Linotype" w:hAnsi="Palatino Linotype" w:cs="Palatino Linotype"/>
          <w:sz w:val="14"/>
          <w:szCs w:val="14"/>
        </w:rPr>
      </w:pPr>
      <w:bookmarkStart w:id="8" w:name="_heading=h.30j0zll" w:colFirst="0" w:colLast="0"/>
      <w:bookmarkEnd w:id="8"/>
      <w:r w:rsidRPr="00436C70">
        <w:rPr>
          <w:rFonts w:ascii="Palatino Linotype" w:eastAsia="Palatino Linotype" w:hAnsi="Palatino Linotype" w:cs="Palatino Linotype"/>
          <w:sz w:val="14"/>
          <w:szCs w:val="14"/>
        </w:rPr>
        <w:t>SCMM/BLA/DEMF/PMRE</w:t>
      </w:r>
    </w:p>
    <w:p w14:paraId="7374A8CC" w14:textId="77777777" w:rsidR="00181375" w:rsidRDefault="00C1362E">
      <w:pPr>
        <w:rPr>
          <w:rFonts w:ascii="Palatino Linotype" w:eastAsia="Palatino Linotype" w:hAnsi="Palatino Linotype" w:cs="Palatino Linotype"/>
        </w:rPr>
      </w:pPr>
      <w:r>
        <w:br w:type="page"/>
      </w:r>
    </w:p>
    <w:p w14:paraId="5D7C9F55" w14:textId="77777777" w:rsidR="00181375" w:rsidRDefault="00181375">
      <w:pPr>
        <w:spacing w:line="360" w:lineRule="auto"/>
        <w:jc w:val="both"/>
        <w:rPr>
          <w:rFonts w:ascii="Palatino Linotype" w:eastAsia="Palatino Linotype" w:hAnsi="Palatino Linotype" w:cs="Palatino Linotype"/>
        </w:rPr>
      </w:pPr>
    </w:p>
    <w:p w14:paraId="10F95839" w14:textId="77777777" w:rsidR="00181375" w:rsidRDefault="00181375">
      <w:pPr>
        <w:spacing w:line="360" w:lineRule="auto"/>
        <w:jc w:val="both"/>
        <w:rPr>
          <w:rFonts w:ascii="Palatino Linotype" w:eastAsia="Palatino Linotype" w:hAnsi="Palatino Linotype" w:cs="Palatino Linotype"/>
        </w:rPr>
      </w:pPr>
    </w:p>
    <w:p w14:paraId="48BA3C1A" w14:textId="77777777" w:rsidR="00181375" w:rsidRDefault="00181375">
      <w:pPr>
        <w:spacing w:line="360" w:lineRule="auto"/>
        <w:jc w:val="both"/>
        <w:rPr>
          <w:rFonts w:ascii="Palatino Linotype" w:eastAsia="Palatino Linotype" w:hAnsi="Palatino Linotype" w:cs="Palatino Linotype"/>
        </w:rPr>
      </w:pPr>
    </w:p>
    <w:p w14:paraId="2BA09088" w14:textId="77777777" w:rsidR="00181375" w:rsidRDefault="00181375">
      <w:pPr>
        <w:spacing w:line="360" w:lineRule="auto"/>
        <w:jc w:val="both"/>
        <w:rPr>
          <w:rFonts w:ascii="Palatino Linotype" w:eastAsia="Palatino Linotype" w:hAnsi="Palatino Linotype" w:cs="Palatino Linotype"/>
        </w:rPr>
      </w:pPr>
    </w:p>
    <w:p w14:paraId="49D57823" w14:textId="77777777" w:rsidR="00181375" w:rsidRDefault="00181375">
      <w:pPr>
        <w:spacing w:line="360" w:lineRule="auto"/>
        <w:jc w:val="both"/>
        <w:rPr>
          <w:rFonts w:ascii="Palatino Linotype" w:eastAsia="Palatino Linotype" w:hAnsi="Palatino Linotype" w:cs="Palatino Linotype"/>
        </w:rPr>
      </w:pPr>
    </w:p>
    <w:p w14:paraId="1D6EC28A" w14:textId="77777777" w:rsidR="00181375" w:rsidRDefault="00181375">
      <w:pPr>
        <w:spacing w:line="360" w:lineRule="auto"/>
        <w:jc w:val="both"/>
        <w:rPr>
          <w:rFonts w:ascii="Palatino Linotype" w:eastAsia="Palatino Linotype" w:hAnsi="Palatino Linotype" w:cs="Palatino Linotype"/>
        </w:rPr>
      </w:pPr>
    </w:p>
    <w:p w14:paraId="3D29EA38" w14:textId="77777777" w:rsidR="00181375" w:rsidRDefault="00181375">
      <w:pPr>
        <w:spacing w:line="360" w:lineRule="auto"/>
        <w:jc w:val="both"/>
        <w:rPr>
          <w:rFonts w:ascii="Palatino Linotype" w:eastAsia="Palatino Linotype" w:hAnsi="Palatino Linotype" w:cs="Palatino Linotype"/>
        </w:rPr>
      </w:pPr>
    </w:p>
    <w:p w14:paraId="0C0B4821" w14:textId="77777777" w:rsidR="00181375" w:rsidRDefault="00181375">
      <w:pPr>
        <w:spacing w:line="360" w:lineRule="auto"/>
        <w:jc w:val="both"/>
        <w:rPr>
          <w:rFonts w:ascii="Palatino Linotype" w:eastAsia="Palatino Linotype" w:hAnsi="Palatino Linotype" w:cs="Palatino Linotype"/>
        </w:rPr>
      </w:pPr>
    </w:p>
    <w:p w14:paraId="27DACF0A" w14:textId="77777777" w:rsidR="00181375" w:rsidRDefault="00181375">
      <w:pPr>
        <w:spacing w:line="360" w:lineRule="auto"/>
        <w:jc w:val="both"/>
        <w:rPr>
          <w:rFonts w:ascii="Palatino Linotype" w:eastAsia="Palatino Linotype" w:hAnsi="Palatino Linotype" w:cs="Palatino Linotype"/>
        </w:rPr>
      </w:pPr>
    </w:p>
    <w:p w14:paraId="10457D31" w14:textId="77777777" w:rsidR="00181375" w:rsidRDefault="00181375">
      <w:pPr>
        <w:spacing w:line="360" w:lineRule="auto"/>
        <w:jc w:val="both"/>
        <w:rPr>
          <w:rFonts w:ascii="Palatino Linotype" w:eastAsia="Palatino Linotype" w:hAnsi="Palatino Linotype" w:cs="Palatino Linotype"/>
        </w:rPr>
      </w:pPr>
    </w:p>
    <w:p w14:paraId="54E06A03" w14:textId="77777777" w:rsidR="00181375" w:rsidRDefault="00181375">
      <w:pPr>
        <w:spacing w:line="360" w:lineRule="auto"/>
        <w:jc w:val="both"/>
        <w:rPr>
          <w:rFonts w:ascii="Palatino Linotype" w:eastAsia="Palatino Linotype" w:hAnsi="Palatino Linotype" w:cs="Palatino Linotype"/>
        </w:rPr>
      </w:pPr>
    </w:p>
    <w:p w14:paraId="404FCB2F" w14:textId="77777777" w:rsidR="00181375" w:rsidRDefault="00181375">
      <w:pPr>
        <w:spacing w:line="360" w:lineRule="auto"/>
        <w:jc w:val="both"/>
        <w:rPr>
          <w:rFonts w:ascii="Palatino Linotype" w:eastAsia="Palatino Linotype" w:hAnsi="Palatino Linotype" w:cs="Palatino Linotype"/>
        </w:rPr>
      </w:pPr>
    </w:p>
    <w:p w14:paraId="50329899" w14:textId="77777777" w:rsidR="00181375" w:rsidRDefault="00181375">
      <w:pPr>
        <w:spacing w:line="360" w:lineRule="auto"/>
        <w:jc w:val="both"/>
        <w:rPr>
          <w:rFonts w:ascii="Palatino Linotype" w:eastAsia="Palatino Linotype" w:hAnsi="Palatino Linotype" w:cs="Palatino Linotype"/>
        </w:rPr>
      </w:pPr>
    </w:p>
    <w:p w14:paraId="40150D35" w14:textId="77777777" w:rsidR="00181375" w:rsidRDefault="00181375">
      <w:pPr>
        <w:spacing w:line="360" w:lineRule="auto"/>
        <w:jc w:val="both"/>
        <w:rPr>
          <w:rFonts w:ascii="Palatino Linotype" w:eastAsia="Palatino Linotype" w:hAnsi="Palatino Linotype" w:cs="Palatino Linotype"/>
        </w:rPr>
      </w:pPr>
    </w:p>
    <w:p w14:paraId="02A88C1D" w14:textId="77777777" w:rsidR="00181375" w:rsidRDefault="00181375">
      <w:pPr>
        <w:spacing w:line="360" w:lineRule="auto"/>
        <w:jc w:val="both"/>
        <w:rPr>
          <w:rFonts w:ascii="Palatino Linotype" w:eastAsia="Palatino Linotype" w:hAnsi="Palatino Linotype" w:cs="Palatino Linotype"/>
        </w:rPr>
      </w:pPr>
    </w:p>
    <w:p w14:paraId="1713F08E" w14:textId="77777777" w:rsidR="00181375" w:rsidRDefault="00181375">
      <w:pPr>
        <w:spacing w:line="360" w:lineRule="auto"/>
        <w:jc w:val="both"/>
        <w:rPr>
          <w:rFonts w:ascii="Palatino Linotype" w:eastAsia="Palatino Linotype" w:hAnsi="Palatino Linotype" w:cs="Palatino Linotype"/>
        </w:rPr>
      </w:pPr>
    </w:p>
    <w:p w14:paraId="73003E05" w14:textId="77777777" w:rsidR="00181375" w:rsidRDefault="00181375">
      <w:pPr>
        <w:spacing w:line="360" w:lineRule="auto"/>
        <w:jc w:val="both"/>
        <w:rPr>
          <w:rFonts w:ascii="Palatino Linotype" w:eastAsia="Palatino Linotype" w:hAnsi="Palatino Linotype" w:cs="Palatino Linotype"/>
        </w:rPr>
      </w:pPr>
    </w:p>
    <w:p w14:paraId="6B582CC4" w14:textId="77777777" w:rsidR="00181375" w:rsidRDefault="00181375">
      <w:pPr>
        <w:spacing w:line="360" w:lineRule="auto"/>
        <w:jc w:val="both"/>
        <w:rPr>
          <w:rFonts w:ascii="Palatino Linotype" w:eastAsia="Palatino Linotype" w:hAnsi="Palatino Linotype" w:cs="Palatino Linotype"/>
        </w:rPr>
      </w:pPr>
    </w:p>
    <w:sectPr w:rsidR="00181375">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375A" w14:textId="77777777" w:rsidR="000E7244" w:rsidRDefault="000E7244">
      <w:r>
        <w:separator/>
      </w:r>
    </w:p>
  </w:endnote>
  <w:endnote w:type="continuationSeparator" w:id="0">
    <w:p w14:paraId="7D004F3B" w14:textId="77777777" w:rsidR="000E7244" w:rsidRDefault="000E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501E" w14:textId="77777777" w:rsidR="00181375" w:rsidRDefault="00C136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F4879">
      <w:rPr>
        <w:rFonts w:ascii="Palatino Linotype" w:eastAsia="Palatino Linotype" w:hAnsi="Palatino Linotype" w:cs="Palatino Linotype"/>
        <w:noProof/>
        <w:color w:val="000000"/>
        <w:sz w:val="22"/>
        <w:szCs w:val="22"/>
      </w:rPr>
      <w:t>14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F4879">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CD84" w14:textId="77777777" w:rsidR="00181375" w:rsidRDefault="00C1362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F487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F4879">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A104" w14:textId="77777777" w:rsidR="000E7244" w:rsidRDefault="000E7244">
      <w:r>
        <w:separator/>
      </w:r>
    </w:p>
  </w:footnote>
  <w:footnote w:type="continuationSeparator" w:id="0">
    <w:p w14:paraId="2FDC1ED9" w14:textId="77777777" w:rsidR="000E7244" w:rsidRDefault="000E7244">
      <w:r>
        <w:continuationSeparator/>
      </w:r>
    </w:p>
  </w:footnote>
  <w:footnote w:id="1">
    <w:p w14:paraId="5FAEDF20" w14:textId="77777777" w:rsidR="00181375" w:rsidRDefault="00C1362E">
      <w:pPr>
        <w:rPr>
          <w:sz w:val="20"/>
          <w:szCs w:val="20"/>
        </w:rPr>
      </w:pPr>
      <w:r>
        <w:rPr>
          <w:vertAlign w:val="superscript"/>
        </w:rPr>
        <w:footnoteRef/>
      </w:r>
      <w:r>
        <w:rPr>
          <w:sz w:val="20"/>
          <w:szCs w:val="20"/>
        </w:rPr>
        <w:t xml:space="preserve"> El recurso fue interpuesto en fecha dos de marzo que al corresponder a un día inhábil, se tuvo por interpuesto en fecha tres de marzo </w:t>
      </w:r>
    </w:p>
  </w:footnote>
  <w:footnote w:id="2">
    <w:p w14:paraId="52B2A863" w14:textId="77777777" w:rsidR="00181375" w:rsidRDefault="00C1362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8D91" w14:textId="77777777" w:rsidR="00181375" w:rsidRDefault="009A21E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9DBB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B118" w14:textId="77777777" w:rsidR="00181375" w:rsidRDefault="009A21E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E27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8"/>
      <w:tblW w:w="9534" w:type="dxa"/>
      <w:tblInd w:w="-142" w:type="dxa"/>
      <w:tblLayout w:type="fixed"/>
      <w:tblLook w:val="0400" w:firstRow="0" w:lastRow="0" w:firstColumn="0" w:lastColumn="0" w:noHBand="0" w:noVBand="1"/>
    </w:tblPr>
    <w:tblGrid>
      <w:gridCol w:w="3261"/>
      <w:gridCol w:w="2551"/>
      <w:gridCol w:w="3722"/>
    </w:tblGrid>
    <w:tr w:rsidR="00181375" w14:paraId="7E681AA5" w14:textId="77777777">
      <w:tc>
        <w:tcPr>
          <w:tcW w:w="3261" w:type="dxa"/>
          <w:vMerge w:val="restart"/>
        </w:tcPr>
        <w:p w14:paraId="1FA3AB54"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130A811" wp14:editId="62AC530A">
                <wp:extent cx="1692162" cy="852673"/>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4F0858A"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A3FD8AB" w14:textId="77777777" w:rsidR="00181375" w:rsidRDefault="00C1362E">
          <w:pPr>
            <w:jc w:val="both"/>
            <w:rPr>
              <w:rFonts w:ascii="Palatino Linotype" w:eastAsia="Palatino Linotype" w:hAnsi="Palatino Linotype" w:cs="Palatino Linotype"/>
              <w:b/>
            </w:rPr>
          </w:pPr>
          <w:r>
            <w:rPr>
              <w:rFonts w:ascii="Palatino Linotype" w:eastAsia="Palatino Linotype" w:hAnsi="Palatino Linotype" w:cs="Palatino Linotype"/>
              <w:b/>
            </w:rPr>
            <w:t>03177/INFOEM/IP/RR/2022</w:t>
          </w:r>
        </w:p>
      </w:tc>
    </w:tr>
    <w:tr w:rsidR="00181375" w14:paraId="73558E10" w14:textId="77777777">
      <w:tc>
        <w:tcPr>
          <w:tcW w:w="3261" w:type="dxa"/>
          <w:vMerge/>
        </w:tcPr>
        <w:p w14:paraId="7AD315F6" w14:textId="77777777" w:rsidR="00181375" w:rsidRDefault="0018137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EFE7F79"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6CF73C" w14:textId="77777777" w:rsidR="00181375" w:rsidRDefault="00C1362E">
          <w:pPr>
            <w:jc w:val="both"/>
            <w:rPr>
              <w:rFonts w:ascii="Palatino Linotype" w:eastAsia="Palatino Linotype" w:hAnsi="Palatino Linotype" w:cs="Palatino Linotype"/>
              <w:b/>
            </w:rPr>
          </w:pPr>
          <w:r>
            <w:rPr>
              <w:rFonts w:ascii="Palatino Linotype" w:eastAsia="Palatino Linotype" w:hAnsi="Palatino Linotype" w:cs="Palatino Linotype"/>
              <w:b/>
            </w:rPr>
            <w:t>Comisión de Conciliación y Arbitraje Médico del Estado de México</w:t>
          </w:r>
        </w:p>
      </w:tc>
    </w:tr>
    <w:tr w:rsidR="00181375" w14:paraId="7F03B327" w14:textId="77777777">
      <w:trPr>
        <w:trHeight w:val="790"/>
      </w:trPr>
      <w:tc>
        <w:tcPr>
          <w:tcW w:w="3261" w:type="dxa"/>
          <w:vMerge/>
        </w:tcPr>
        <w:p w14:paraId="3437F0C7" w14:textId="77777777" w:rsidR="00181375" w:rsidRDefault="0018137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11CCA99"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895344A" w14:textId="77777777" w:rsidR="00181375" w:rsidRDefault="00C1362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BFCC8D1" w14:textId="77777777" w:rsidR="00181375" w:rsidRDefault="0018137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4A99" w14:textId="77777777" w:rsidR="00181375" w:rsidRDefault="009A21E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7FA8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7"/>
      <w:tblW w:w="9900" w:type="dxa"/>
      <w:tblInd w:w="-833" w:type="dxa"/>
      <w:tblLayout w:type="fixed"/>
      <w:tblLook w:val="0400" w:firstRow="0" w:lastRow="0" w:firstColumn="0" w:lastColumn="0" w:noHBand="0" w:noVBand="1"/>
    </w:tblPr>
    <w:tblGrid>
      <w:gridCol w:w="3805"/>
      <w:gridCol w:w="3000"/>
      <w:gridCol w:w="3095"/>
    </w:tblGrid>
    <w:tr w:rsidR="00181375" w14:paraId="2E778FDF" w14:textId="77777777">
      <w:tc>
        <w:tcPr>
          <w:tcW w:w="3805" w:type="dxa"/>
          <w:vMerge w:val="restart"/>
          <w:shd w:val="clear" w:color="auto" w:fill="auto"/>
        </w:tcPr>
        <w:p w14:paraId="491787DA" w14:textId="77777777" w:rsidR="00181375" w:rsidRDefault="00C1362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266F960" wp14:editId="3379B8AF">
                <wp:extent cx="1692162" cy="852673"/>
                <wp:effectExtent l="0" t="0" r="0" b="0"/>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6C39FD9"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9D7FFA8" w14:textId="77777777" w:rsidR="00181375" w:rsidRDefault="00C1362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03177/INFOEM/IP/RR/2022 </w:t>
          </w:r>
        </w:p>
      </w:tc>
    </w:tr>
    <w:tr w:rsidR="00181375" w14:paraId="4CBAC9B7" w14:textId="77777777">
      <w:tc>
        <w:tcPr>
          <w:tcW w:w="3805" w:type="dxa"/>
          <w:vMerge/>
          <w:shd w:val="clear" w:color="auto" w:fill="auto"/>
        </w:tcPr>
        <w:p w14:paraId="3BD72E8F" w14:textId="77777777" w:rsidR="00181375" w:rsidRDefault="0018137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92207E7"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9960E99" w14:textId="77777777" w:rsidR="00181375" w:rsidRDefault="00181375">
          <w:pPr>
            <w:jc w:val="both"/>
            <w:rPr>
              <w:rFonts w:ascii="Palatino Linotype" w:eastAsia="Palatino Linotype" w:hAnsi="Palatino Linotype" w:cs="Palatino Linotype"/>
              <w:b/>
            </w:rPr>
          </w:pPr>
        </w:p>
      </w:tc>
    </w:tr>
    <w:tr w:rsidR="00181375" w14:paraId="283C45D3" w14:textId="77777777">
      <w:trPr>
        <w:trHeight w:val="228"/>
      </w:trPr>
      <w:tc>
        <w:tcPr>
          <w:tcW w:w="3805" w:type="dxa"/>
          <w:vMerge/>
          <w:shd w:val="clear" w:color="auto" w:fill="auto"/>
        </w:tcPr>
        <w:p w14:paraId="34D94BEC" w14:textId="77777777" w:rsidR="00181375" w:rsidRDefault="0018137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F42596E"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F6D8961" w14:textId="77777777" w:rsidR="00181375" w:rsidRDefault="00C1362E">
          <w:pPr>
            <w:jc w:val="both"/>
            <w:rPr>
              <w:rFonts w:ascii="Palatino Linotype" w:eastAsia="Palatino Linotype" w:hAnsi="Palatino Linotype" w:cs="Palatino Linotype"/>
              <w:b/>
            </w:rPr>
          </w:pPr>
          <w:r>
            <w:rPr>
              <w:rFonts w:ascii="Palatino Linotype" w:eastAsia="Palatino Linotype" w:hAnsi="Palatino Linotype" w:cs="Palatino Linotype"/>
              <w:b/>
            </w:rPr>
            <w:t>Comisión de Conciliación y Arbitraje Médico del Estado de México</w:t>
          </w:r>
        </w:p>
      </w:tc>
    </w:tr>
    <w:tr w:rsidR="00181375" w14:paraId="617F1084" w14:textId="77777777">
      <w:tc>
        <w:tcPr>
          <w:tcW w:w="3805" w:type="dxa"/>
          <w:vMerge/>
          <w:shd w:val="clear" w:color="auto" w:fill="auto"/>
        </w:tcPr>
        <w:p w14:paraId="2B4F8599" w14:textId="77777777" w:rsidR="00181375" w:rsidRDefault="0018137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4C4FF2C" w14:textId="77777777" w:rsidR="00181375" w:rsidRDefault="00C1362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47E047D" w14:textId="77777777" w:rsidR="00181375" w:rsidRDefault="00C1362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2A98160" w14:textId="77777777" w:rsidR="00181375" w:rsidRDefault="00181375">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75"/>
    <w:rsid w:val="000E7244"/>
    <w:rsid w:val="00181375"/>
    <w:rsid w:val="002F4879"/>
    <w:rsid w:val="00436C70"/>
    <w:rsid w:val="009A21EC"/>
    <w:rsid w:val="00A2232D"/>
    <w:rsid w:val="00AE2C7E"/>
    <w:rsid w:val="00C1362E"/>
    <w:rsid w:val="00FB12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102DB8"/>
  <w15:docId w15:val="{528592E9-BAA5-4E68-87E0-AB72584A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2"/>
    <w:tblPr>
      <w:tblStyleRowBandSize w:val="1"/>
      <w:tblStyleColBandSize w:val="1"/>
      <w:tblCellMar>
        <w:top w:w="100" w:type="dxa"/>
        <w:left w:w="100" w:type="dxa"/>
        <w:bottom w:w="100" w:type="dxa"/>
        <w:right w:w="100" w:type="dxa"/>
      </w:tblCellMar>
    </w:tblPr>
  </w:style>
  <w:style w:type="table" w:customStyle="1" w:styleId="a0">
    <w:basedOn w:val="TableNormalf2"/>
    <w:tblPr>
      <w:tblStyleRowBandSize w:val="1"/>
      <w:tblStyleColBandSize w:val="1"/>
      <w:tblCellMar>
        <w:left w:w="115" w:type="dxa"/>
        <w:right w:w="115" w:type="dxa"/>
      </w:tblCellMar>
    </w:tbl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table" w:customStyle="1" w:styleId="a5">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2"/>
    <w:tblPr>
      <w:tblStyleRowBandSize w:val="1"/>
      <w:tblStyleColBandSize w:val="1"/>
      <w:tblCellMar>
        <w:left w:w="115" w:type="dxa"/>
        <w:right w:w="115" w:type="dxa"/>
      </w:tblCellMar>
    </w:tblPr>
  </w:style>
  <w:style w:type="table" w:customStyle="1" w:styleId="a7">
    <w:basedOn w:val="TableNormalf2"/>
    <w:tblPr>
      <w:tblStyleRowBandSize w:val="1"/>
      <w:tblStyleColBandSize w:val="1"/>
      <w:tblCellMar>
        <w:left w:w="115" w:type="dxa"/>
        <w:right w:w="115" w:type="dxa"/>
      </w:tblCellMar>
    </w:tblPr>
  </w:style>
  <w:style w:type="table" w:customStyle="1" w:styleId="a8">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PAZb/5oMKgy0NhAGAeOEwKHJGA==">AMUW2mXIaLZ0kyQCwkiCPNAWHfPzUb5JHLNYEkyHc+bLqdCYtEBkSUY5t8fy6jgmB6uHrJ2r/yVQdE5+ldRfVbOT8TAtBJIh8hhsNvcQjm5kCBz31Z21/muZbZdPIQNi/uRe/hEKZCxgHauAKVgfApo39Ff3D0a9TqqnZ6vvepUv67h3EclHiNWeLa/jJM/UnS5kGnrHRTUdVvimFbc6mvj75ZINr3nOVoKVrLKccWzn5VnwTsh7szB0qA4HISpyfskomSYi2NI24A+30gBm1yJYxoPKDX9C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6680</Words>
  <Characters>36740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2022-05-23T06:17:00Z</cp:lastPrinted>
  <dcterms:created xsi:type="dcterms:W3CDTF">2022-05-12T23:23:00Z</dcterms:created>
  <dcterms:modified xsi:type="dcterms:W3CDTF">2022-05-23T06:17:00Z</dcterms:modified>
</cp:coreProperties>
</file>