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38" w:rsidRDefault="00B35696">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julio del dos mil veintidós. </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04044/INFOEM/IP/RR/2022</w:t>
      </w:r>
      <w:r>
        <w:rPr>
          <w:rFonts w:ascii="Palatino Linotype" w:eastAsia="Palatino Linotype" w:hAnsi="Palatino Linotype" w:cs="Palatino Linotype"/>
        </w:rPr>
        <w:t xml:space="preserve">, interpuesto por </w:t>
      </w:r>
      <w:r w:rsidR="00986C3E">
        <w:rPr>
          <w:rFonts w:ascii="Palatino Linotype" w:eastAsia="Palatino Linotype" w:hAnsi="Palatino Linotype" w:cs="Palatino Linotype"/>
          <w:b/>
        </w:rPr>
        <w:t xml:space="preserve">XXXXX </w:t>
      </w:r>
      <w:proofErr w:type="spellStart"/>
      <w:r w:rsidR="00986C3E">
        <w:rPr>
          <w:rFonts w:ascii="Palatino Linotype" w:eastAsia="Palatino Linotype" w:hAnsi="Palatino Linotype" w:cs="Palatino Linotype"/>
          <w:b/>
        </w:rPr>
        <w:t>XXXXX</w:t>
      </w:r>
      <w:proofErr w:type="spellEnd"/>
      <w:r w:rsidR="00986C3E">
        <w:rPr>
          <w:rFonts w:ascii="Palatino Linotype" w:eastAsia="Palatino Linotype" w:hAnsi="Palatino Linotype" w:cs="Palatino Linotype"/>
          <w:b/>
        </w:rPr>
        <w:t xml:space="preserve"> XXXXX</w:t>
      </w:r>
      <w:bookmarkStart w:id="1" w:name="_GoBack"/>
      <w:bookmarkEnd w:id="1"/>
      <w:r w:rsidR="00986C3E">
        <w:rPr>
          <w:rFonts w:ascii="Palatino Linotype" w:eastAsia="Palatino Linotype" w:hAnsi="Palatino Linotype" w:cs="Palatino Linotype"/>
          <w:b/>
        </w:rPr>
        <w:t>X</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00011/CTAEM/IP/2022</w:t>
      </w:r>
      <w:r>
        <w:rPr>
          <w:rFonts w:ascii="Palatino Linotype" w:eastAsia="Palatino Linotype" w:hAnsi="Palatino Linotype" w:cs="Palatino Linotype"/>
        </w:rPr>
        <w:t>, por parte de la</w:t>
      </w:r>
      <w:r>
        <w:rPr>
          <w:rFonts w:ascii="Palatino Linotype" w:eastAsia="Palatino Linotype" w:hAnsi="Palatino Linotype" w:cs="Palatino Linotype"/>
          <w:b/>
        </w:rPr>
        <w:t xml:space="preserve"> Comisión Técnica del Agua del Estado</w:t>
      </w:r>
      <w:r>
        <w:rPr>
          <w:rFonts w:ascii="Palatino Linotype" w:eastAsia="Palatino Linotype" w:hAnsi="Palatino Linotype" w:cs="Palatino Linotype"/>
          <w:b/>
          <w:sz w:val="22"/>
          <w:szCs w:val="22"/>
        </w:rPr>
        <w:t xml:space="preserve"> de México</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416238" w:rsidRDefault="00B35696">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416238" w:rsidRDefault="00B3569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nueve de marzo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416238" w:rsidRDefault="00B35696">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“Es de todos conocido que la red de </w:t>
      </w:r>
      <w:proofErr w:type="spellStart"/>
      <w:r>
        <w:rPr>
          <w:rFonts w:ascii="Palatino Linotype" w:eastAsia="Palatino Linotype" w:hAnsi="Palatino Linotype" w:cs="Palatino Linotype"/>
          <w:i/>
          <w:color w:val="000000"/>
          <w:sz w:val="22"/>
          <w:szCs w:val="22"/>
        </w:rPr>
        <w:t>corrupcion</w:t>
      </w:r>
      <w:proofErr w:type="spellEnd"/>
      <w:r>
        <w:rPr>
          <w:rFonts w:ascii="Palatino Linotype" w:eastAsia="Palatino Linotype" w:hAnsi="Palatino Linotype" w:cs="Palatino Linotype"/>
          <w:i/>
          <w:color w:val="000000"/>
          <w:sz w:val="22"/>
          <w:szCs w:val="22"/>
        </w:rPr>
        <w:t xml:space="preserve"> que ha tejido el virrey del soborno, Gerardo Carrera Almaraz, amenaza la estabilidad </w:t>
      </w:r>
      <w:proofErr w:type="spellStart"/>
      <w:r>
        <w:rPr>
          <w:rFonts w:ascii="Palatino Linotype" w:eastAsia="Palatino Linotype" w:hAnsi="Palatino Linotype" w:cs="Palatino Linotype"/>
          <w:i/>
          <w:color w:val="000000"/>
          <w:sz w:val="22"/>
          <w:szCs w:val="22"/>
        </w:rPr>
        <w:t>hidrica</w:t>
      </w:r>
      <w:proofErr w:type="spellEnd"/>
      <w:r>
        <w:rPr>
          <w:rFonts w:ascii="Palatino Linotype" w:eastAsia="Palatino Linotype" w:hAnsi="Palatino Linotype" w:cs="Palatino Linotype"/>
          <w:i/>
          <w:color w:val="000000"/>
          <w:sz w:val="22"/>
          <w:szCs w:val="22"/>
        </w:rPr>
        <w:t xml:space="preserve"> de nuestro municipio ya que este personaje no es servidor </w:t>
      </w:r>
      <w:proofErr w:type="spellStart"/>
      <w:r>
        <w:rPr>
          <w:rFonts w:ascii="Palatino Linotype" w:eastAsia="Palatino Linotype" w:hAnsi="Palatino Linotype" w:cs="Palatino Linotype"/>
          <w:i/>
          <w:color w:val="000000"/>
          <w:sz w:val="22"/>
          <w:szCs w:val="22"/>
        </w:rPr>
        <w:t>publico</w:t>
      </w:r>
      <w:proofErr w:type="spellEnd"/>
      <w:r>
        <w:rPr>
          <w:rFonts w:ascii="Palatino Linotype" w:eastAsia="Palatino Linotype" w:hAnsi="Palatino Linotype" w:cs="Palatino Linotype"/>
          <w:i/>
          <w:color w:val="000000"/>
          <w:sz w:val="22"/>
          <w:szCs w:val="22"/>
        </w:rPr>
        <w:t xml:space="preserve"> porque transgrede lo indicado en la Ley de Responsabilidades Administrativas del Estado de </w:t>
      </w:r>
      <w:proofErr w:type="spellStart"/>
      <w:r>
        <w:rPr>
          <w:rFonts w:ascii="Palatino Linotype" w:eastAsia="Palatino Linotype" w:hAnsi="Palatino Linotype" w:cs="Palatino Linotype"/>
          <w:i/>
          <w:color w:val="000000"/>
          <w:sz w:val="22"/>
          <w:szCs w:val="22"/>
        </w:rPr>
        <w:t>Mexico</w:t>
      </w:r>
      <w:proofErr w:type="spellEnd"/>
      <w:r>
        <w:rPr>
          <w:rFonts w:ascii="Palatino Linotype" w:eastAsia="Palatino Linotype" w:hAnsi="Palatino Linotype" w:cs="Palatino Linotype"/>
          <w:i/>
          <w:color w:val="000000"/>
          <w:sz w:val="22"/>
          <w:szCs w:val="22"/>
        </w:rPr>
        <w:t xml:space="preserve"> y siempre </w:t>
      </w:r>
      <w:proofErr w:type="gramStart"/>
      <w:r>
        <w:rPr>
          <w:rFonts w:ascii="Palatino Linotype" w:eastAsia="Palatino Linotype" w:hAnsi="Palatino Linotype" w:cs="Palatino Linotype"/>
          <w:i/>
          <w:color w:val="000000"/>
          <w:sz w:val="22"/>
          <w:szCs w:val="22"/>
        </w:rPr>
        <w:t>antepone</w:t>
      </w:r>
      <w:proofErr w:type="gramEnd"/>
      <w:r>
        <w:rPr>
          <w:rFonts w:ascii="Palatino Linotype" w:eastAsia="Palatino Linotype" w:hAnsi="Palatino Linotype" w:cs="Palatino Linotype"/>
          <w:i/>
          <w:color w:val="000000"/>
          <w:sz w:val="22"/>
          <w:szCs w:val="22"/>
        </w:rPr>
        <w:t xml:space="preserve"> sus intereses personales y la de su grupo de poderosos dentro del municipio, sobre los intereses de la </w:t>
      </w:r>
      <w:proofErr w:type="spellStart"/>
      <w:r>
        <w:rPr>
          <w:rFonts w:ascii="Palatino Linotype" w:eastAsia="Palatino Linotype" w:hAnsi="Palatino Linotype" w:cs="Palatino Linotype"/>
          <w:i/>
          <w:color w:val="000000"/>
          <w:sz w:val="22"/>
          <w:szCs w:val="22"/>
        </w:rPr>
        <w:t>poblacion</w:t>
      </w:r>
      <w:proofErr w:type="spellEnd"/>
      <w:r>
        <w:rPr>
          <w:rFonts w:ascii="Palatino Linotype" w:eastAsia="Palatino Linotype" w:hAnsi="Palatino Linotype" w:cs="Palatino Linotype"/>
          <w:i/>
          <w:color w:val="000000"/>
          <w:sz w:val="22"/>
          <w:szCs w:val="22"/>
        </w:rPr>
        <w:t xml:space="preserve"> del resto del municipio. Es un clamor general de los vecinos </w:t>
      </w:r>
      <w:r>
        <w:rPr>
          <w:rFonts w:ascii="Palatino Linotype" w:eastAsia="Palatino Linotype" w:hAnsi="Palatino Linotype" w:cs="Palatino Linotype"/>
          <w:b/>
          <w:i/>
          <w:color w:val="000000"/>
          <w:sz w:val="22"/>
          <w:szCs w:val="22"/>
          <w:u w:val="single"/>
        </w:rPr>
        <w:t>conocer el motivo</w:t>
      </w:r>
      <w:r>
        <w:rPr>
          <w:rFonts w:ascii="Palatino Linotype" w:eastAsia="Palatino Linotype" w:hAnsi="Palatino Linotype" w:cs="Palatino Linotype"/>
          <w:i/>
          <w:color w:val="000000"/>
          <w:sz w:val="22"/>
          <w:szCs w:val="22"/>
        </w:rPr>
        <w:t xml:space="preserve"> por el cual la </w:t>
      </w:r>
      <w:proofErr w:type="spellStart"/>
      <w:r>
        <w:rPr>
          <w:rFonts w:ascii="Palatino Linotype" w:eastAsia="Palatino Linotype" w:hAnsi="Palatino Linotype" w:cs="Palatino Linotype"/>
          <w:i/>
          <w:color w:val="000000"/>
          <w:sz w:val="22"/>
          <w:szCs w:val="22"/>
        </w:rPr>
        <w:t>dotacion</w:t>
      </w:r>
      <w:proofErr w:type="spellEnd"/>
      <w:r>
        <w:rPr>
          <w:rFonts w:ascii="Palatino Linotype" w:eastAsia="Palatino Linotype" w:hAnsi="Palatino Linotype" w:cs="Palatino Linotype"/>
          <w:i/>
          <w:color w:val="000000"/>
          <w:sz w:val="22"/>
          <w:szCs w:val="22"/>
        </w:rPr>
        <w:t xml:space="preserve"> de agua potable que le entregan al fraccionamiento REAL DE SAN FERNANDO ha disminuido considerablemente desde hace dos semanas, hemos revisado de manera interna las conexiones que tenemos de la cisterna al tanque elevado y a </w:t>
      </w:r>
      <w:r>
        <w:rPr>
          <w:rFonts w:ascii="Palatino Linotype" w:eastAsia="Palatino Linotype" w:hAnsi="Palatino Linotype" w:cs="Palatino Linotype"/>
          <w:i/>
          <w:color w:val="000000"/>
          <w:sz w:val="22"/>
          <w:szCs w:val="22"/>
        </w:rPr>
        <w:lastRenderedPageBreak/>
        <w:t xml:space="preserve">cada una de las vivienda, pero observamos que los tiempos de llenado de la cisterna, y a su vez del tanque elevado, tardan </w:t>
      </w:r>
      <w:proofErr w:type="spellStart"/>
      <w:r>
        <w:rPr>
          <w:rFonts w:ascii="Palatino Linotype" w:eastAsia="Palatino Linotype" w:hAnsi="Palatino Linotype" w:cs="Palatino Linotype"/>
          <w:i/>
          <w:color w:val="000000"/>
          <w:sz w:val="22"/>
          <w:szCs w:val="22"/>
        </w:rPr>
        <w:t>mas</w:t>
      </w:r>
      <w:proofErr w:type="spellEnd"/>
      <w:r>
        <w:rPr>
          <w:rFonts w:ascii="Palatino Linotype" w:eastAsia="Palatino Linotype" w:hAnsi="Palatino Linotype" w:cs="Palatino Linotype"/>
          <w:i/>
          <w:color w:val="000000"/>
          <w:sz w:val="22"/>
          <w:szCs w:val="22"/>
        </w:rPr>
        <w:t xml:space="preserve"> de dos horas a lo que anteriormente tardaban, lo que nos hace concluir que algo se </w:t>
      </w:r>
      <w:proofErr w:type="spellStart"/>
      <w:r>
        <w:rPr>
          <w:rFonts w:ascii="Palatino Linotype" w:eastAsia="Palatino Linotype" w:hAnsi="Palatino Linotype" w:cs="Palatino Linotype"/>
          <w:i/>
          <w:color w:val="000000"/>
          <w:sz w:val="22"/>
          <w:szCs w:val="22"/>
        </w:rPr>
        <w:t>altero</w:t>
      </w:r>
      <w:proofErr w:type="spellEnd"/>
      <w:r>
        <w:rPr>
          <w:rFonts w:ascii="Palatino Linotype" w:eastAsia="Palatino Linotype" w:hAnsi="Palatino Linotype" w:cs="Palatino Linotype"/>
          <w:i/>
          <w:color w:val="000000"/>
          <w:sz w:val="22"/>
          <w:szCs w:val="22"/>
        </w:rPr>
        <w:t xml:space="preserve"> en el mecanismo de suministro del agua. Como antecedente se les informa que hace dos años, como </w:t>
      </w:r>
      <w:proofErr w:type="spellStart"/>
      <w:r>
        <w:rPr>
          <w:rFonts w:ascii="Palatino Linotype" w:eastAsia="Palatino Linotype" w:hAnsi="Palatino Linotype" w:cs="Palatino Linotype"/>
          <w:i/>
          <w:color w:val="000000"/>
          <w:sz w:val="22"/>
          <w:szCs w:val="22"/>
        </w:rPr>
        <w:t>fraccionamento</w:t>
      </w:r>
      <w:proofErr w:type="spellEnd"/>
      <w:r>
        <w:rPr>
          <w:rFonts w:ascii="Palatino Linotype" w:eastAsia="Palatino Linotype" w:hAnsi="Palatino Linotype" w:cs="Palatino Linotype"/>
          <w:i/>
          <w:color w:val="000000"/>
          <w:sz w:val="22"/>
          <w:szCs w:val="22"/>
        </w:rPr>
        <w:t xml:space="preserve">, adquirimos refacciones para arreglar el mecanismo de </w:t>
      </w:r>
      <w:proofErr w:type="spellStart"/>
      <w:r>
        <w:rPr>
          <w:rFonts w:ascii="Palatino Linotype" w:eastAsia="Palatino Linotype" w:hAnsi="Palatino Linotype" w:cs="Palatino Linotype"/>
          <w:i/>
          <w:color w:val="000000"/>
          <w:sz w:val="22"/>
          <w:szCs w:val="22"/>
        </w:rPr>
        <w:t>dotacion</w:t>
      </w:r>
      <w:proofErr w:type="spellEnd"/>
      <w:r>
        <w:rPr>
          <w:rFonts w:ascii="Palatino Linotype" w:eastAsia="Palatino Linotype" w:hAnsi="Palatino Linotype" w:cs="Palatino Linotype"/>
          <w:i/>
          <w:color w:val="000000"/>
          <w:sz w:val="22"/>
          <w:szCs w:val="22"/>
        </w:rPr>
        <w:t xml:space="preserve">, mismo personal de la </w:t>
      </w:r>
      <w:proofErr w:type="spellStart"/>
      <w:r>
        <w:rPr>
          <w:rFonts w:ascii="Palatino Linotype" w:eastAsia="Palatino Linotype" w:hAnsi="Palatino Linotype" w:cs="Palatino Linotype"/>
          <w:i/>
          <w:color w:val="000000"/>
          <w:sz w:val="22"/>
          <w:szCs w:val="22"/>
        </w:rPr>
        <w:t>direccion</w:t>
      </w:r>
      <w:proofErr w:type="spellEnd"/>
      <w:r>
        <w:rPr>
          <w:rFonts w:ascii="Palatino Linotype" w:eastAsia="Palatino Linotype" w:hAnsi="Palatino Linotype" w:cs="Palatino Linotype"/>
          <w:i/>
          <w:color w:val="000000"/>
          <w:sz w:val="22"/>
          <w:szCs w:val="22"/>
        </w:rPr>
        <w:t xml:space="preserve"> de agua potable vino a realizar los trabajos, todo se regularizo y no </w:t>
      </w:r>
      <w:proofErr w:type="spellStart"/>
      <w:r>
        <w:rPr>
          <w:rFonts w:ascii="Palatino Linotype" w:eastAsia="Palatino Linotype" w:hAnsi="Palatino Linotype" w:cs="Palatino Linotype"/>
          <w:i/>
          <w:color w:val="000000"/>
          <w:sz w:val="22"/>
          <w:szCs w:val="22"/>
        </w:rPr>
        <w:t>habiamos</w:t>
      </w:r>
      <w:proofErr w:type="spellEnd"/>
      <w:r>
        <w:rPr>
          <w:rFonts w:ascii="Palatino Linotype" w:eastAsia="Palatino Linotype" w:hAnsi="Palatino Linotype" w:cs="Palatino Linotype"/>
          <w:i/>
          <w:color w:val="000000"/>
          <w:sz w:val="22"/>
          <w:szCs w:val="22"/>
        </w:rPr>
        <w:t xml:space="preserve"> tenido problema con el suministro pero, por lo indicado en las oficinas administrativas de dicha dependencia, nos informan a un grupo de vecinos que el Sr. Gerardo Carrera Almaraz, el servidor </w:t>
      </w:r>
      <w:proofErr w:type="spellStart"/>
      <w:r>
        <w:rPr>
          <w:rFonts w:ascii="Palatino Linotype" w:eastAsia="Palatino Linotype" w:hAnsi="Palatino Linotype" w:cs="Palatino Linotype"/>
          <w:i/>
          <w:color w:val="000000"/>
          <w:sz w:val="22"/>
          <w:szCs w:val="22"/>
        </w:rPr>
        <w:t>publico</w:t>
      </w:r>
      <w:proofErr w:type="spellEnd"/>
      <w:r>
        <w:rPr>
          <w:rFonts w:ascii="Palatino Linotype" w:eastAsia="Palatino Linotype" w:hAnsi="Palatino Linotype" w:cs="Palatino Linotype"/>
          <w:i/>
          <w:color w:val="000000"/>
          <w:sz w:val="22"/>
          <w:szCs w:val="22"/>
        </w:rPr>
        <w:t xml:space="preserve"> que </w:t>
      </w:r>
      <w:proofErr w:type="spellStart"/>
      <w:r>
        <w:rPr>
          <w:rFonts w:ascii="Palatino Linotype" w:eastAsia="Palatino Linotype" w:hAnsi="Palatino Linotype" w:cs="Palatino Linotype"/>
          <w:i/>
          <w:color w:val="000000"/>
          <w:sz w:val="22"/>
          <w:szCs w:val="22"/>
        </w:rPr>
        <w:t>mas</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corrupcion</w:t>
      </w:r>
      <w:proofErr w:type="spellEnd"/>
      <w:r>
        <w:rPr>
          <w:rFonts w:ascii="Palatino Linotype" w:eastAsia="Palatino Linotype" w:hAnsi="Palatino Linotype" w:cs="Palatino Linotype"/>
          <w:i/>
          <w:color w:val="000000"/>
          <w:sz w:val="22"/>
          <w:szCs w:val="22"/>
        </w:rPr>
        <w:t xml:space="preserve"> genera en los diversos ramales de </w:t>
      </w:r>
      <w:proofErr w:type="spellStart"/>
      <w:r>
        <w:rPr>
          <w:rFonts w:ascii="Palatino Linotype" w:eastAsia="Palatino Linotype" w:hAnsi="Palatino Linotype" w:cs="Palatino Linotype"/>
          <w:i/>
          <w:color w:val="000000"/>
          <w:sz w:val="22"/>
          <w:szCs w:val="22"/>
        </w:rPr>
        <w:t>dotacion</w:t>
      </w:r>
      <w:proofErr w:type="spellEnd"/>
      <w:r>
        <w:rPr>
          <w:rFonts w:ascii="Palatino Linotype" w:eastAsia="Palatino Linotype" w:hAnsi="Palatino Linotype" w:cs="Palatino Linotype"/>
          <w:i/>
          <w:color w:val="000000"/>
          <w:sz w:val="22"/>
          <w:szCs w:val="22"/>
        </w:rPr>
        <w:t xml:space="preserve"> y drenaje de agua en todo el territorio municipal, nuevamente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involucrado en estos problemas de suministro. ¿</w:t>
      </w:r>
      <w:proofErr w:type="spellStart"/>
      <w:r>
        <w:rPr>
          <w:rFonts w:ascii="Palatino Linotype" w:eastAsia="Palatino Linotype" w:hAnsi="Palatino Linotype" w:cs="Palatino Linotype"/>
          <w:b/>
          <w:i/>
          <w:color w:val="000000"/>
          <w:sz w:val="22"/>
          <w:szCs w:val="22"/>
        </w:rPr>
        <w:t>Cuando</w:t>
      </w:r>
      <w:proofErr w:type="spellEnd"/>
      <w:r>
        <w:rPr>
          <w:rFonts w:ascii="Palatino Linotype" w:eastAsia="Palatino Linotype" w:hAnsi="Palatino Linotype" w:cs="Palatino Linotype"/>
          <w:b/>
          <w:i/>
          <w:color w:val="000000"/>
          <w:sz w:val="22"/>
          <w:szCs w:val="22"/>
        </w:rPr>
        <w:t xml:space="preserve"> </w:t>
      </w:r>
      <w:proofErr w:type="spellStart"/>
      <w:r>
        <w:rPr>
          <w:rFonts w:ascii="Palatino Linotype" w:eastAsia="Palatino Linotype" w:hAnsi="Palatino Linotype" w:cs="Palatino Linotype"/>
          <w:b/>
          <w:i/>
          <w:color w:val="000000"/>
          <w:sz w:val="22"/>
          <w:szCs w:val="22"/>
        </w:rPr>
        <w:t>sera</w:t>
      </w:r>
      <w:proofErr w:type="spellEnd"/>
      <w:r>
        <w:rPr>
          <w:rFonts w:ascii="Palatino Linotype" w:eastAsia="Palatino Linotype" w:hAnsi="Palatino Linotype" w:cs="Palatino Linotype"/>
          <w:b/>
          <w:i/>
          <w:color w:val="000000"/>
          <w:sz w:val="22"/>
          <w:szCs w:val="22"/>
        </w:rPr>
        <w:t xml:space="preserve"> que a este señor se le quite todo el poder</w:t>
      </w:r>
      <w:r>
        <w:rPr>
          <w:rFonts w:ascii="Palatino Linotype" w:eastAsia="Palatino Linotype" w:hAnsi="Palatino Linotype" w:cs="Palatino Linotype"/>
          <w:i/>
          <w:color w:val="000000"/>
          <w:sz w:val="22"/>
          <w:szCs w:val="22"/>
        </w:rPr>
        <w:t xml:space="preserve"> que sus amigos poderosos respaldan con </w:t>
      </w:r>
      <w:proofErr w:type="spellStart"/>
      <w:proofErr w:type="gramStart"/>
      <w:r>
        <w:rPr>
          <w:rFonts w:ascii="Palatino Linotype" w:eastAsia="Palatino Linotype" w:hAnsi="Palatino Linotype" w:cs="Palatino Linotype"/>
          <w:i/>
          <w:color w:val="000000"/>
          <w:sz w:val="22"/>
          <w:szCs w:val="22"/>
        </w:rPr>
        <w:t>practicas</w:t>
      </w:r>
      <w:proofErr w:type="spellEnd"/>
      <w:proofErr w:type="gramEnd"/>
      <w:r>
        <w:rPr>
          <w:rFonts w:ascii="Palatino Linotype" w:eastAsia="Palatino Linotype" w:hAnsi="Palatino Linotype" w:cs="Palatino Linotype"/>
          <w:i/>
          <w:color w:val="000000"/>
          <w:sz w:val="22"/>
          <w:szCs w:val="22"/>
        </w:rPr>
        <w:t xml:space="preserve"> que </w:t>
      </w:r>
      <w:proofErr w:type="spellStart"/>
      <w:r>
        <w:rPr>
          <w:rFonts w:ascii="Palatino Linotype" w:eastAsia="Palatino Linotype" w:hAnsi="Palatino Linotype" w:cs="Palatino Linotype"/>
          <w:i/>
          <w:color w:val="000000"/>
          <w:sz w:val="22"/>
          <w:szCs w:val="22"/>
        </w:rPr>
        <w:t>desvirtuan</w:t>
      </w:r>
      <w:proofErr w:type="spellEnd"/>
      <w:r>
        <w:rPr>
          <w:rFonts w:ascii="Palatino Linotype" w:eastAsia="Palatino Linotype" w:hAnsi="Palatino Linotype" w:cs="Palatino Linotype"/>
          <w:i/>
          <w:color w:val="000000"/>
          <w:sz w:val="22"/>
          <w:szCs w:val="22"/>
        </w:rPr>
        <w:t xml:space="preserve"> el ejercicio del servicio </w:t>
      </w:r>
      <w:proofErr w:type="spellStart"/>
      <w:r>
        <w:rPr>
          <w:rFonts w:ascii="Palatino Linotype" w:eastAsia="Palatino Linotype" w:hAnsi="Palatino Linotype" w:cs="Palatino Linotype"/>
          <w:i/>
          <w:color w:val="000000"/>
          <w:sz w:val="22"/>
          <w:szCs w:val="22"/>
        </w:rPr>
        <w:t>publico</w:t>
      </w:r>
      <w:proofErr w:type="spellEnd"/>
      <w:r>
        <w:rPr>
          <w:rFonts w:ascii="Palatino Linotype" w:eastAsia="Palatino Linotype" w:hAnsi="Palatino Linotype" w:cs="Palatino Linotype"/>
          <w:i/>
          <w:color w:val="000000"/>
          <w:sz w:val="22"/>
          <w:szCs w:val="22"/>
        </w:rPr>
        <w:t xml:space="preserve"> y quienes se creen originarios como dice el </w:t>
      </w:r>
      <w:proofErr w:type="spellStart"/>
      <w:r>
        <w:rPr>
          <w:rFonts w:ascii="Palatino Linotype" w:eastAsia="Palatino Linotype" w:hAnsi="Palatino Linotype" w:cs="Palatino Linotype"/>
          <w:i/>
          <w:color w:val="000000"/>
          <w:sz w:val="22"/>
          <w:szCs w:val="22"/>
        </w:rPr>
        <w:t>famosisimo</w:t>
      </w:r>
      <w:proofErr w:type="spellEnd"/>
      <w:r>
        <w:rPr>
          <w:rFonts w:ascii="Palatino Linotype" w:eastAsia="Palatino Linotype" w:hAnsi="Palatino Linotype" w:cs="Palatino Linotype"/>
          <w:i/>
          <w:color w:val="000000"/>
          <w:sz w:val="22"/>
          <w:szCs w:val="22"/>
        </w:rPr>
        <w:t xml:space="preserve"> bando municipal de </w:t>
      </w:r>
      <w:proofErr w:type="spellStart"/>
      <w:r>
        <w:rPr>
          <w:rFonts w:ascii="Palatino Linotype" w:eastAsia="Palatino Linotype" w:hAnsi="Palatino Linotype" w:cs="Palatino Linotype"/>
          <w:i/>
          <w:color w:val="000000"/>
          <w:sz w:val="22"/>
          <w:szCs w:val="22"/>
        </w:rPr>
        <w:t>Cuautitlan</w:t>
      </w:r>
      <w:proofErr w:type="spellEnd"/>
      <w:r>
        <w:rPr>
          <w:rFonts w:ascii="Palatino Linotype" w:eastAsia="Palatino Linotype" w:hAnsi="Palatino Linotype" w:cs="Palatino Linotype"/>
          <w:i/>
          <w:color w:val="000000"/>
          <w:sz w:val="22"/>
          <w:szCs w:val="22"/>
        </w:rPr>
        <w:t xml:space="preserve"> para mantener el pequeño coto de poder que es gobernar este municipio sin pies ni cabeza? </w:t>
      </w:r>
      <w:r>
        <w:rPr>
          <w:rFonts w:ascii="Palatino Linotype" w:eastAsia="Palatino Linotype" w:hAnsi="Palatino Linotype" w:cs="Palatino Linotype"/>
          <w:b/>
          <w:i/>
          <w:color w:val="000000"/>
          <w:sz w:val="22"/>
          <w:szCs w:val="22"/>
          <w:u w:val="single"/>
        </w:rPr>
        <w:t>¿</w:t>
      </w:r>
      <w:proofErr w:type="spellStart"/>
      <w:r>
        <w:rPr>
          <w:rFonts w:ascii="Palatino Linotype" w:eastAsia="Palatino Linotype" w:hAnsi="Palatino Linotype" w:cs="Palatino Linotype"/>
          <w:b/>
          <w:i/>
          <w:color w:val="000000"/>
          <w:sz w:val="22"/>
          <w:szCs w:val="22"/>
          <w:u w:val="single"/>
        </w:rPr>
        <w:t>Quien</w:t>
      </w:r>
      <w:proofErr w:type="spellEnd"/>
      <w:r>
        <w:rPr>
          <w:rFonts w:ascii="Palatino Linotype" w:eastAsia="Palatino Linotype" w:hAnsi="Palatino Linotype" w:cs="Palatino Linotype"/>
          <w:b/>
          <w:i/>
          <w:color w:val="000000"/>
          <w:sz w:val="22"/>
          <w:szCs w:val="22"/>
          <w:u w:val="single"/>
        </w:rPr>
        <w:t xml:space="preserve"> protege a este grupo de </w:t>
      </w:r>
      <w:r>
        <w:rPr>
          <w:rFonts w:ascii="Palatino Linotype" w:eastAsia="Palatino Linotype" w:hAnsi="Palatino Linotype" w:cs="Palatino Linotype"/>
          <w:i/>
          <w:color w:val="000000"/>
          <w:sz w:val="22"/>
          <w:szCs w:val="22"/>
        </w:rPr>
        <w:t xml:space="preserve">criminales, encabezados por este señor Carrera y que extorsionan y amenazan, con quitar la </w:t>
      </w:r>
      <w:proofErr w:type="spellStart"/>
      <w:r>
        <w:rPr>
          <w:rFonts w:ascii="Palatino Linotype" w:eastAsia="Palatino Linotype" w:hAnsi="Palatino Linotype" w:cs="Palatino Linotype"/>
          <w:i/>
          <w:color w:val="000000"/>
          <w:sz w:val="22"/>
          <w:szCs w:val="22"/>
        </w:rPr>
        <w:t>dotacion</w:t>
      </w:r>
      <w:proofErr w:type="spellEnd"/>
      <w:r>
        <w:rPr>
          <w:rFonts w:ascii="Palatino Linotype" w:eastAsia="Palatino Linotype" w:hAnsi="Palatino Linotype" w:cs="Palatino Linotype"/>
          <w:i/>
          <w:color w:val="000000"/>
          <w:sz w:val="22"/>
          <w:szCs w:val="22"/>
        </w:rPr>
        <w:t xml:space="preserve"> de agua potable a todo ciudadano que protesta por el incumplimiento en el suministro </w:t>
      </w:r>
      <w:proofErr w:type="spellStart"/>
      <w:r>
        <w:rPr>
          <w:rFonts w:ascii="Palatino Linotype" w:eastAsia="Palatino Linotype" w:hAnsi="Palatino Linotype" w:cs="Palatino Linotype"/>
          <w:i/>
          <w:color w:val="000000"/>
          <w:sz w:val="22"/>
          <w:szCs w:val="22"/>
        </w:rPr>
        <w:t>hidrico</w:t>
      </w:r>
      <w:proofErr w:type="spellEnd"/>
      <w:r>
        <w:rPr>
          <w:rFonts w:ascii="Palatino Linotype" w:eastAsia="Palatino Linotype" w:hAnsi="Palatino Linotype" w:cs="Palatino Linotype"/>
          <w:i/>
          <w:color w:val="000000"/>
          <w:sz w:val="22"/>
          <w:szCs w:val="22"/>
        </w:rPr>
        <w:t xml:space="preserve">, obligado por ley indicado tanto en la Ley del Agua para el Estado de México y Municipios y su Reglamento?, </w:t>
      </w:r>
      <w:r>
        <w:rPr>
          <w:rFonts w:ascii="Palatino Linotype" w:eastAsia="Palatino Linotype" w:hAnsi="Palatino Linotype" w:cs="Palatino Linotype"/>
          <w:b/>
          <w:i/>
          <w:color w:val="000000"/>
          <w:sz w:val="22"/>
          <w:szCs w:val="22"/>
          <w:u w:val="single"/>
        </w:rPr>
        <w:t>¿</w:t>
      </w:r>
      <w:proofErr w:type="spellStart"/>
      <w:r>
        <w:rPr>
          <w:rFonts w:ascii="Palatino Linotype" w:eastAsia="Palatino Linotype" w:hAnsi="Palatino Linotype" w:cs="Palatino Linotype"/>
          <w:b/>
          <w:i/>
          <w:color w:val="000000"/>
          <w:sz w:val="22"/>
          <w:szCs w:val="22"/>
          <w:u w:val="single"/>
        </w:rPr>
        <w:t>Quien</w:t>
      </w:r>
      <w:proofErr w:type="spellEnd"/>
      <w:r>
        <w:rPr>
          <w:rFonts w:ascii="Palatino Linotype" w:eastAsia="Palatino Linotype" w:hAnsi="Palatino Linotype" w:cs="Palatino Linotype"/>
          <w:b/>
          <w:i/>
          <w:color w:val="000000"/>
          <w:sz w:val="22"/>
          <w:szCs w:val="22"/>
          <w:u w:val="single"/>
        </w:rPr>
        <w:t xml:space="preserve"> puede ponerle un freno </w:t>
      </w:r>
      <w:r>
        <w:rPr>
          <w:rFonts w:ascii="Palatino Linotype" w:eastAsia="Palatino Linotype" w:hAnsi="Palatino Linotype" w:cs="Palatino Linotype"/>
          <w:i/>
          <w:color w:val="000000"/>
          <w:sz w:val="22"/>
          <w:szCs w:val="22"/>
        </w:rPr>
        <w:t xml:space="preserve">a las </w:t>
      </w:r>
      <w:proofErr w:type="spellStart"/>
      <w:r>
        <w:rPr>
          <w:rFonts w:ascii="Palatino Linotype" w:eastAsia="Palatino Linotype" w:hAnsi="Palatino Linotype" w:cs="Palatino Linotype"/>
          <w:i/>
          <w:color w:val="000000"/>
          <w:sz w:val="22"/>
          <w:szCs w:val="22"/>
        </w:rPr>
        <w:t>tacticas</w:t>
      </w:r>
      <w:proofErr w:type="spellEnd"/>
      <w:r>
        <w:rPr>
          <w:rFonts w:ascii="Palatino Linotype" w:eastAsia="Palatino Linotype" w:hAnsi="Palatino Linotype" w:cs="Palatino Linotype"/>
          <w:i/>
          <w:color w:val="000000"/>
          <w:sz w:val="22"/>
          <w:szCs w:val="22"/>
        </w:rPr>
        <w:t xml:space="preserve"> dilatorias de los poderosos protectores que tiene este delincuente? ¿</w:t>
      </w:r>
      <w:r>
        <w:rPr>
          <w:rFonts w:ascii="Palatino Linotype" w:eastAsia="Palatino Linotype" w:hAnsi="Palatino Linotype" w:cs="Palatino Linotype"/>
          <w:b/>
          <w:i/>
          <w:color w:val="000000"/>
          <w:sz w:val="22"/>
          <w:szCs w:val="22"/>
          <w:u w:val="single"/>
        </w:rPr>
        <w:t xml:space="preserve">Porque </w:t>
      </w:r>
      <w:r>
        <w:rPr>
          <w:rFonts w:ascii="Palatino Linotype" w:eastAsia="Palatino Linotype" w:hAnsi="Palatino Linotype" w:cs="Palatino Linotype"/>
          <w:i/>
          <w:color w:val="000000"/>
          <w:sz w:val="22"/>
          <w:szCs w:val="22"/>
        </w:rPr>
        <w:t xml:space="preserve">si ya se </w:t>
      </w:r>
      <w:proofErr w:type="spellStart"/>
      <w:r>
        <w:rPr>
          <w:rFonts w:ascii="Palatino Linotype" w:eastAsia="Palatino Linotype" w:hAnsi="Palatino Linotype" w:cs="Palatino Linotype"/>
          <w:i/>
          <w:color w:val="000000"/>
          <w:sz w:val="22"/>
          <w:szCs w:val="22"/>
        </w:rPr>
        <w:t>demostro</w:t>
      </w:r>
      <w:proofErr w:type="spellEnd"/>
      <w:r>
        <w:rPr>
          <w:rFonts w:ascii="Palatino Linotype" w:eastAsia="Palatino Linotype" w:hAnsi="Palatino Linotype" w:cs="Palatino Linotype"/>
          <w:i/>
          <w:color w:val="000000"/>
          <w:sz w:val="22"/>
          <w:szCs w:val="22"/>
        </w:rPr>
        <w:t xml:space="preserve"> que es el autor de tantas </w:t>
      </w:r>
      <w:proofErr w:type="spellStart"/>
      <w:r>
        <w:rPr>
          <w:rFonts w:ascii="Palatino Linotype" w:eastAsia="Palatino Linotype" w:hAnsi="Palatino Linotype" w:cs="Palatino Linotype"/>
          <w:i/>
          <w:color w:val="000000"/>
          <w:sz w:val="22"/>
          <w:szCs w:val="22"/>
        </w:rPr>
        <w:t>fechorias</w:t>
      </w:r>
      <w:proofErr w:type="spellEnd"/>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 xml:space="preserve">le siguen dando empleo </w:t>
      </w:r>
      <w:r>
        <w:rPr>
          <w:rFonts w:ascii="Palatino Linotype" w:eastAsia="Palatino Linotype" w:hAnsi="Palatino Linotype" w:cs="Palatino Linotype"/>
          <w:i/>
          <w:color w:val="000000"/>
          <w:sz w:val="22"/>
          <w:szCs w:val="22"/>
        </w:rPr>
        <w:t xml:space="preserve">como servidor </w:t>
      </w:r>
      <w:proofErr w:type="spellStart"/>
      <w:r>
        <w:rPr>
          <w:rFonts w:ascii="Palatino Linotype" w:eastAsia="Palatino Linotype" w:hAnsi="Palatino Linotype" w:cs="Palatino Linotype"/>
          <w:i/>
          <w:color w:val="000000"/>
          <w:sz w:val="22"/>
          <w:szCs w:val="22"/>
        </w:rPr>
        <w:t>publico</w:t>
      </w:r>
      <w:proofErr w:type="spellEnd"/>
      <w:r>
        <w:rPr>
          <w:rFonts w:ascii="Palatino Linotype" w:eastAsia="Palatino Linotype" w:hAnsi="Palatino Linotype" w:cs="Palatino Linotype"/>
          <w:i/>
          <w:color w:val="000000"/>
          <w:sz w:val="22"/>
          <w:szCs w:val="22"/>
        </w:rPr>
        <w:t xml:space="preserve">? Se les suplica que en la respuesta tomen en </w:t>
      </w:r>
      <w:proofErr w:type="spellStart"/>
      <w:r>
        <w:rPr>
          <w:rFonts w:ascii="Palatino Linotype" w:eastAsia="Palatino Linotype" w:hAnsi="Palatino Linotype" w:cs="Palatino Linotype"/>
          <w:i/>
          <w:color w:val="000000"/>
          <w:sz w:val="22"/>
          <w:szCs w:val="22"/>
        </w:rPr>
        <w:t>consideracion</w:t>
      </w:r>
      <w:proofErr w:type="spellEnd"/>
      <w:r>
        <w:rPr>
          <w:rFonts w:ascii="Palatino Linotype" w:eastAsia="Palatino Linotype" w:hAnsi="Palatino Linotype" w:cs="Palatino Linotype"/>
          <w:i/>
          <w:color w:val="000000"/>
          <w:sz w:val="22"/>
          <w:szCs w:val="22"/>
        </w:rPr>
        <w:t xml:space="preserve"> los lineamentos que marca la Ley de Transparencia y Acceso a la Información Pública del Estado de México y Municipios en sus artículos 3 fracciones XI y XXI y 4.” (Sic)</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once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416238" w:rsidRDefault="00B35696">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 fundamento en lo estipulado en los artículos 26 de la Ley del Agua para el Estado de México y Municipios y 18 de su Reglamento, la Comisión Técnica del Agua del Estado de México (CTAEM), dentro de sus atribuciones y facultades, no tiene establecida la relacionada con la información de su interés. Por lo </w:t>
      </w:r>
      <w:r>
        <w:rPr>
          <w:rFonts w:ascii="Palatino Linotype" w:eastAsia="Palatino Linotype" w:hAnsi="Palatino Linotype" w:cs="Palatino Linotype"/>
          <w:i/>
          <w:color w:val="000000"/>
          <w:sz w:val="22"/>
          <w:szCs w:val="22"/>
        </w:rPr>
        <w:lastRenderedPageBreak/>
        <w:t xml:space="preserve">anterior, y con fundamento en el artículo 167 de la Ley de Transparencia y Acceso a la Información Pública del Estado de México y Municipios, se determina la notoria incompetencia por parte de este sujeto obligado, dentro del ámbito de aplicación, para atender la solicitud de acceso a la información. Asimismo, y de acuerdo con su petición en la que se indica el Municipio de Cuautitlán, se sugiere sea ante este Sujeto Obligado al cual pueda realizar su solicitud. </w:t>
      </w:r>
    </w:p>
    <w:p w:rsidR="00416238" w:rsidRDefault="00B35696">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416238" w:rsidRDefault="00B35696">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CTAEM” (Sic)</w:t>
      </w:r>
    </w:p>
    <w:p w:rsidR="00416238" w:rsidRDefault="00416238">
      <w:pPr>
        <w:ind w:left="851" w:right="902"/>
        <w:jc w:val="both"/>
        <w:rPr>
          <w:rFonts w:ascii="Palatino Linotype" w:eastAsia="Palatino Linotype" w:hAnsi="Palatino Linotype" w:cs="Palatino Linotype"/>
          <w:i/>
          <w:sz w:val="22"/>
          <w:szCs w:val="22"/>
        </w:rPr>
      </w:pP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denominado: “</w:t>
      </w:r>
      <w:hyperlink r:id="rId8">
        <w:r>
          <w:rPr>
            <w:rFonts w:ascii="Palatino Linotype" w:eastAsia="Palatino Linotype" w:hAnsi="Palatino Linotype" w:cs="Palatino Linotype"/>
          </w:rPr>
          <w:t>Respuesta 00011_CTAEM_IP_2022.docx</w:t>
        </w:r>
      </w:hyperlink>
      <w:r>
        <w:rPr>
          <w:rFonts w:ascii="Palatino Linotype" w:eastAsia="Palatino Linotype" w:hAnsi="Palatino Linotype" w:cs="Palatino Linotype"/>
        </w:rPr>
        <w:t xml:space="preserve">”, a través del cual señaló que no tiene atribuciones y facultades establecidas,  relacionadas con la información de su interés, en términos del fundamento legal que indicó en la misma respuesta; por ello, se declaró incompetente para atender la solicitud de acceso a la información y sugiriendo que el Municipio de Cuautitlán es el Sujeto Obligado para realizar su solicitud. </w:t>
      </w: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 xml:space="preserve">SUJETO OBLIGADO el ahora RECURRENTE </w:t>
      </w:r>
      <w:r>
        <w:rPr>
          <w:rFonts w:ascii="Palatino Linotype" w:eastAsia="Palatino Linotype" w:hAnsi="Palatino Linotype" w:cs="Palatino Linotype"/>
        </w:rPr>
        <w:t xml:space="preserve"> interpuso recurso de revisión a través del SAIMEX en fecha diecisiete de marzo de dos mil veintidós, a través del cual expresó lo siguiente:</w:t>
      </w:r>
    </w:p>
    <w:p w:rsidR="00416238" w:rsidRDefault="00B35696">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16238" w:rsidRDefault="00B3569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entrego la respuesta pedida” (Sic)</w:t>
      </w:r>
    </w:p>
    <w:p w:rsidR="00416238" w:rsidRDefault="00B3569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16238" w:rsidRDefault="00B3569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entrego la respuesta pedida” (Sic)</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w:t>
      </w:r>
      <w:r>
        <w:rPr>
          <w:rFonts w:ascii="Palatino Linotype" w:eastAsia="Palatino Linotype" w:hAnsi="Palatino Linotype" w:cs="Palatino Linotype"/>
        </w:rPr>
        <w:lastRenderedPageBreak/>
        <w:t xml:space="preserve">revisión número </w:t>
      </w:r>
      <w:r>
        <w:rPr>
          <w:rFonts w:ascii="Palatino Linotype" w:eastAsia="Palatino Linotype" w:hAnsi="Palatino Linotype" w:cs="Palatino Linotype"/>
          <w:b/>
        </w:rPr>
        <w:t xml:space="preserve">04044/INFOEM/IP/RR/2022,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416238" w:rsidRDefault="00416238">
      <w:pPr>
        <w:spacing w:line="360" w:lineRule="auto"/>
        <w:jc w:val="both"/>
        <w:rPr>
          <w:rFonts w:ascii="Palatino Linotype" w:eastAsia="Palatino Linotype" w:hAnsi="Palatino Linotype" w:cs="Palatino Linotype"/>
        </w:rPr>
      </w:pP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veintitrés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416238" w:rsidRDefault="00B3569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veintinueve de marzo del año dos mil veintidós, adjuntó los archivos electrónicos denominados:</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Informe Justificado.pdf</w:t>
        </w:r>
      </w:hyperlink>
      <w:r>
        <w:rPr>
          <w:rFonts w:ascii="Palatino Linotype" w:eastAsia="Palatino Linotype" w:hAnsi="Palatino Linotype" w:cs="Palatino Linotype"/>
        </w:rPr>
        <w:t xml:space="preserve">”, a través del cual en lo medular reitera su incompetencia para atender la solicitud de acceso a la información pública. </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roofErr w:type="spellStart"/>
      <w:r w:rsidR="00986C3E">
        <w:rPr>
          <w:rFonts w:ascii="Palatino Linotype" w:eastAsia="Palatino Linotype" w:hAnsi="Palatino Linotype" w:cs="Palatino Linotype"/>
        </w:rPr>
        <w:fldChar w:fldCharType="begin"/>
      </w:r>
      <w:r w:rsidR="00986C3E">
        <w:rPr>
          <w:rFonts w:ascii="Palatino Linotype" w:eastAsia="Palatino Linotype" w:hAnsi="Palatino Linotype" w:cs="Palatino Linotype"/>
        </w:rPr>
        <w:instrText xml:space="preserve"> HYPERLINK "https://saimex.org.mx/saimex/solicitud/downloadAttach/1383881.page" \h </w:instrText>
      </w:r>
      <w:r w:rsidR="00986C3E">
        <w:rPr>
          <w:rFonts w:ascii="Palatino Linotype" w:eastAsia="Palatino Linotype" w:hAnsi="Palatino Linotype" w:cs="Palatino Linotype"/>
        </w:rPr>
        <w:fldChar w:fldCharType="separate"/>
      </w:r>
      <w:r>
        <w:rPr>
          <w:rFonts w:ascii="Palatino Linotype" w:eastAsia="Palatino Linotype" w:hAnsi="Palatino Linotype" w:cs="Palatino Linotype"/>
        </w:rPr>
        <w:t>A_Desechamiento</w:t>
      </w:r>
      <w:proofErr w:type="spellEnd"/>
      <w:r>
        <w:rPr>
          <w:rFonts w:ascii="Palatino Linotype" w:eastAsia="Palatino Linotype" w:hAnsi="Palatino Linotype" w:cs="Palatino Linotype"/>
        </w:rPr>
        <w:t xml:space="preserve"> 4036_22 Consulta.pdf</w:t>
      </w:r>
      <w:r w:rsidR="00986C3E">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el cual contiene un acuerdo de desechamiento del recurso de revisión 04036/INFOEM/IP/RR/2022 derivado de la solicitud de acceso a la información pública número 00009/CTAEM/IP/2022, por ser una consulta. </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10">
        <w:r>
          <w:rPr>
            <w:rFonts w:ascii="Palatino Linotype" w:eastAsia="Palatino Linotype" w:hAnsi="Palatino Linotype" w:cs="Palatino Linotype"/>
          </w:rPr>
          <w:t>Nombramiento Mtro. Escamilla.pdf</w:t>
        </w:r>
      </w:hyperlink>
      <w:r>
        <w:rPr>
          <w:rFonts w:ascii="Palatino Linotype" w:eastAsia="Palatino Linotype" w:hAnsi="Palatino Linotype" w:cs="Palatino Linotype"/>
        </w:rPr>
        <w:t xml:space="preserve"> </w:t>
      </w:r>
      <w:hyperlink r:id="rId11">
        <w:r>
          <w:rPr>
            <w:rFonts w:ascii="Palatino Linotype" w:eastAsia="Palatino Linotype" w:hAnsi="Palatino Linotype" w:cs="Palatino Linotype"/>
          </w:rPr>
          <w:t>Nombramiento Mtro. Escamilla.pdf</w:t>
        </w:r>
      </w:hyperlink>
      <w:r>
        <w:rPr>
          <w:rFonts w:ascii="Palatino Linotype" w:eastAsia="Palatino Linotype" w:hAnsi="Palatino Linotype" w:cs="Palatino Linotype"/>
        </w:rPr>
        <w:t>”, el cual contiene el nombramiento del Comisionado Técnico del Agua del Estado de México.</w:t>
      </w: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Dichos archivos, se pusieron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rsidR="00416238" w:rsidRDefault="00416238">
      <w:pPr>
        <w:spacing w:line="360" w:lineRule="auto"/>
        <w:jc w:val="both"/>
        <w:rPr>
          <w:rFonts w:ascii="Palatino Linotype" w:eastAsia="Palatino Linotype" w:hAnsi="Palatino Linotype" w:cs="Palatino Linotype"/>
        </w:rPr>
      </w:pPr>
    </w:p>
    <w:p w:rsidR="00416238" w:rsidRDefault="00B35696">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seis de julio del año dos mil veintidós con fundamento en el artículo 181, párrafo tercero de la Ley de Transparencia y Acceso a la Información Pública del Estado de México y Municipios, se notificó la ampliación del plazo para su resolución.</w:t>
      </w:r>
    </w:p>
    <w:p w:rsidR="00416238" w:rsidRDefault="00416238">
      <w:pPr>
        <w:widowControl w:val="0"/>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rsidR="00416238" w:rsidRDefault="00416238">
      <w:pPr>
        <w:spacing w:line="360" w:lineRule="auto"/>
        <w:jc w:val="both"/>
        <w:rPr>
          <w:rFonts w:ascii="Palatino Linotype" w:eastAsia="Palatino Linotype" w:hAnsi="Palatino Linotype" w:cs="Palatino Linotype"/>
        </w:rPr>
      </w:pPr>
    </w:p>
    <w:p w:rsidR="00416238" w:rsidRDefault="00B356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416238" w:rsidRDefault="00416238">
      <w:pPr>
        <w:spacing w:line="360" w:lineRule="auto"/>
        <w:ind w:left="927"/>
        <w:jc w:val="both"/>
        <w:rPr>
          <w:rFonts w:ascii="Palatino Linotype" w:eastAsia="Palatino Linotype" w:hAnsi="Palatino Linotype" w:cs="Palatino Linotype"/>
        </w:rPr>
      </w:pPr>
    </w:p>
    <w:p w:rsidR="00416238" w:rsidRDefault="00B356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416238" w:rsidRDefault="00416238">
      <w:pPr>
        <w:spacing w:line="360" w:lineRule="auto"/>
        <w:jc w:val="both"/>
        <w:rPr>
          <w:rFonts w:ascii="Palatino Linotype" w:eastAsia="Palatino Linotype" w:hAnsi="Palatino Linotype" w:cs="Palatino Linotype"/>
        </w:rPr>
      </w:pPr>
    </w:p>
    <w:p w:rsidR="00416238" w:rsidRDefault="00B356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416238" w:rsidRDefault="00416238">
      <w:pPr>
        <w:spacing w:line="360" w:lineRule="auto"/>
        <w:ind w:left="708"/>
        <w:rPr>
          <w:rFonts w:ascii="Palatino Linotype" w:eastAsia="Palatino Linotype" w:hAnsi="Palatino Linotype" w:cs="Palatino Linotype"/>
        </w:rPr>
      </w:pPr>
    </w:p>
    <w:p w:rsidR="00416238" w:rsidRDefault="00B3569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416238" w:rsidRDefault="00416238">
      <w:pPr>
        <w:spacing w:line="360" w:lineRule="auto"/>
        <w:jc w:val="both"/>
        <w:rPr>
          <w:rFonts w:ascii="Palatino Linotype" w:eastAsia="Palatino Linotype" w:hAnsi="Palatino Linotype" w:cs="Palatino Linotype"/>
          <w:b/>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16238" w:rsidRDefault="00416238">
      <w:pPr>
        <w:spacing w:line="360" w:lineRule="auto"/>
        <w:jc w:val="both"/>
        <w:rPr>
          <w:rFonts w:ascii="Palatino Linotype" w:eastAsia="Palatino Linotype" w:hAnsi="Palatino Linotype" w:cs="Palatino Linotype"/>
        </w:rPr>
      </w:pPr>
    </w:p>
    <w:p w:rsidR="00416238" w:rsidRDefault="00B35696">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seis de julio de dos mil veintidós la Comisionada ponente determinó el cierre de instrucción en términos de la fracción VI del artículo 185 de la Ley de Transparencia y Acceso a la Información Pública del Estado de México y Municipios.</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16238" w:rsidRDefault="00B35696">
      <w:pPr>
        <w:numPr>
          <w:ilvl w:val="0"/>
          <w:numId w:val="3"/>
        </w:numPr>
        <w:pBdr>
          <w:top w:val="nil"/>
          <w:left w:val="nil"/>
          <w:bottom w:val="nil"/>
          <w:right w:val="nil"/>
          <w:between w:val="nil"/>
        </w:pBdr>
        <w:spacing w:after="240" w:line="360" w:lineRule="auto"/>
        <w:ind w:left="72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416238" w:rsidRDefault="00B35696">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r>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el once de marzo del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diecisiete del mismo mes y año, esto es al cuarto día hábil siguiente de aquel en que tuvo conocimiento de la respuesta, evidenciándose que la interposición del recurso se encuentra dentro de los márgenes temporales previstos en el citado precepto legal.</w:t>
      </w:r>
    </w:p>
    <w:p w:rsidR="00416238" w:rsidRDefault="00B35696">
      <w:pPr>
        <w:shd w:val="clear" w:color="auto" w:fill="FFFFFF"/>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16238" w:rsidRDefault="00416238">
      <w:pPr>
        <w:shd w:val="clear" w:color="auto" w:fill="FFFFFF"/>
        <w:spacing w:line="360" w:lineRule="auto"/>
        <w:jc w:val="both"/>
        <w:rPr>
          <w:rFonts w:ascii="Palatino Linotype" w:eastAsia="Palatino Linotype" w:hAnsi="Palatino Linotype" w:cs="Palatino Linotype"/>
        </w:rPr>
      </w:pPr>
    </w:p>
    <w:p w:rsidR="00416238" w:rsidRDefault="00B35696">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416238" w:rsidRDefault="00416238">
      <w:pPr>
        <w:shd w:val="clear" w:color="auto" w:fill="FFFFFF"/>
        <w:spacing w:line="360" w:lineRule="auto"/>
        <w:jc w:val="both"/>
        <w:rPr>
          <w:rFonts w:ascii="Palatino Linotype" w:eastAsia="Palatino Linotype" w:hAnsi="Palatino Linotype" w:cs="Palatino Linotype"/>
        </w:rPr>
      </w:pPr>
    </w:p>
    <w:p w:rsidR="00416238" w:rsidRDefault="00B35696">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w:t>
      </w:r>
      <w:r>
        <w:rPr>
          <w:rFonts w:ascii="Palatino Linotype" w:eastAsia="Palatino Linotype" w:hAnsi="Palatino Linotype" w:cs="Palatino Linotype"/>
          <w:i/>
          <w:sz w:val="22"/>
          <w:szCs w:val="22"/>
        </w:rPr>
        <w:lastRenderedPageBreak/>
        <w:t xml:space="preserve">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416238" w:rsidRDefault="00B35696">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 (Sic)</w:t>
      </w:r>
    </w:p>
    <w:p w:rsidR="00416238" w:rsidRDefault="00416238">
      <w:pPr>
        <w:ind w:left="1276" w:right="1752"/>
        <w:jc w:val="both"/>
        <w:rPr>
          <w:rFonts w:ascii="Palatino Linotype" w:eastAsia="Palatino Linotype" w:hAnsi="Palatino Linotype" w:cs="Palatino Linotype"/>
          <w:i/>
          <w:sz w:val="22"/>
          <w:szCs w:val="22"/>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b/>
        </w:rPr>
        <w:t xml:space="preserve">Análisis de las causales de sobreseimiento. </w:t>
      </w:r>
      <w:r>
        <w:rPr>
          <w:rFonts w:ascii="Palatino Linotype" w:eastAsia="Palatino Linotype" w:hAnsi="Palatino Linotype" w:cs="Palatino Linotype"/>
        </w:rPr>
        <w:t xml:space="preserve">Previo al análisis de las actuaciones que integran el expediente en el Sistema de Acceso a la Información Mexiquense, es importante primeramente enfatizar que el Derecho de Acceso a la 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actas</w:t>
      </w:r>
      <w:r>
        <w:rPr>
          <w:rFonts w:ascii="Palatino Linotype" w:eastAsia="Palatino Linotype" w:hAnsi="Palatino Linotype" w:cs="Palatino Linotype"/>
          <w:b/>
        </w:rPr>
        <w:t>,</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416238" w:rsidRDefault="00416238">
      <w:pPr>
        <w:spacing w:after="160" w:line="360" w:lineRule="auto"/>
        <w:ind w:left="860" w:right="900"/>
        <w:jc w:val="both"/>
        <w:rPr>
          <w:rFonts w:ascii="Palatino Linotype" w:eastAsia="Palatino Linotype" w:hAnsi="Palatino Linotype" w:cs="Palatino Linotype"/>
          <w:i/>
        </w:rPr>
      </w:pP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rsidR="00416238" w:rsidRDefault="00B35696">
      <w:pPr>
        <w:spacing w:after="160" w:line="360" w:lineRule="auto"/>
        <w:ind w:left="860" w:right="8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w:t>
      </w:r>
      <w:r>
        <w:rPr>
          <w:rFonts w:ascii="Palatino Linotype" w:eastAsia="Palatino Linotype" w:hAnsi="Palatino Linotype" w:cs="Palatino Linotype"/>
          <w:b/>
          <w:i/>
        </w:rPr>
        <w:t xml:space="preserve"> </w:t>
      </w:r>
      <w:r>
        <w:rPr>
          <w:rFonts w:ascii="Palatino Linotype" w:eastAsia="Palatino Linotype" w:hAnsi="Palatino Linotype" w:cs="Palatino Linotype"/>
          <w:i/>
        </w:rPr>
        <w:t>oficios, correspondencia, acuerdos, directivas, directrices, circulares, contratos,</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convenios, instructivos, notas, memorandos, estadísticas o bien, cualquier otro registro que documente el ejercicio de las facultades, funciones y </w:t>
      </w:r>
      <w:r>
        <w:rPr>
          <w:rFonts w:ascii="Palatino Linotype" w:eastAsia="Palatino Linotype" w:hAnsi="Palatino Linotype" w:cs="Palatino Linotype"/>
          <w:i/>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rsidR="00416238" w:rsidRDefault="00B35696">
      <w:pPr>
        <w:spacing w:line="360" w:lineRule="auto"/>
        <w:ind w:left="860" w:right="8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16238" w:rsidRDefault="00B35696">
      <w:pPr>
        <w:spacing w:after="160" w:line="360" w:lineRule="auto"/>
        <w:ind w:left="860" w:right="8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416238" w:rsidRDefault="00B35696">
      <w:pPr>
        <w:spacing w:after="160" w:line="360" w:lineRule="auto"/>
        <w:ind w:left="860" w:right="900"/>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Pr>
          <w:rFonts w:ascii="Palatino Linotype" w:eastAsia="Palatino Linotype" w:hAnsi="Palatino Linotype" w:cs="Palatino Linotype"/>
          <w:i/>
        </w:rPr>
        <w:lastRenderedPageBreak/>
        <w:t>del ejercicio de sus funciones de derecho público, sin importar su fuente, soporte o fecha de elaboración.</w:t>
      </w:r>
    </w:p>
    <w:p w:rsidR="00416238" w:rsidRDefault="00B35696">
      <w:pPr>
        <w:spacing w:after="160" w:line="360" w:lineRule="auto"/>
        <w:ind w:left="860" w:right="860"/>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1) Que se trate de información </w:t>
      </w:r>
      <w:r>
        <w:rPr>
          <w:rFonts w:ascii="Palatino Linotype" w:eastAsia="Palatino Linotype" w:hAnsi="Palatino Linotype" w:cs="Palatino Linotype"/>
          <w:b/>
          <w:i/>
          <w:u w:val="single"/>
        </w:rPr>
        <w:t>registrada en cualquier soporte documental</w:t>
      </w:r>
      <w:r>
        <w:rPr>
          <w:rFonts w:ascii="Palatino Linotype" w:eastAsia="Palatino Linotype" w:hAnsi="Palatino Linotype" w:cs="Palatino Linotype"/>
          <w:i/>
        </w:rPr>
        <w:t>, que en ejercicio de las atribuciones conferidas, sea generada por los Sujetos Obligados;</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2) Que se trate de información </w:t>
      </w:r>
      <w:r>
        <w:rPr>
          <w:rFonts w:ascii="Palatino Linotype" w:eastAsia="Palatino Linotype" w:hAnsi="Palatino Linotype" w:cs="Palatino Linotype"/>
          <w:b/>
          <w:i/>
          <w:u w:val="single"/>
        </w:rPr>
        <w:t>registrada en cualquier soporte documental</w:t>
      </w:r>
      <w:r>
        <w:rPr>
          <w:rFonts w:ascii="Palatino Linotype" w:eastAsia="Palatino Linotype" w:hAnsi="Palatino Linotype" w:cs="Palatino Linotype"/>
          <w:i/>
        </w:rPr>
        <w:t>, que en ejercicio de las atribuciones conferidas, sea administrada por los Sujetos Obligados, y</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w:t>
      </w:r>
      <w:r>
        <w:rPr>
          <w:rFonts w:ascii="Palatino Linotype" w:eastAsia="Palatino Linotype" w:hAnsi="Palatino Linotype" w:cs="Palatino Linotype"/>
          <w:b/>
          <w:i/>
          <w:u w:val="single"/>
        </w:rPr>
        <w:t>registrada en cualquier soporte documental</w:t>
      </w:r>
      <w:r>
        <w:rPr>
          <w:rFonts w:ascii="Palatino Linotype" w:eastAsia="Palatino Linotype" w:hAnsi="Palatino Linotype" w:cs="Palatino Linotype"/>
          <w:i/>
        </w:rPr>
        <w:t>, que en ejercicio de las atribuciones conferidas, se encuentre en posesión de los Sujetos Obligados.” (Sic)</w:t>
      </w:r>
    </w:p>
    <w:p w:rsidR="00416238" w:rsidRDefault="00B35696">
      <w:pPr>
        <w:spacing w:after="16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(Énfasis añadido)</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generó o porque como parte del ejercicio de sus funciones la recibió y por consiguiente, la administra y posee.</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En este orden de ideas, es pertinente recordar que de las constancias que integran el expediente de recurso de revisión al rubro indicado, el entonces solicitante requirió: </w:t>
      </w:r>
    </w:p>
    <w:p w:rsidR="00416238" w:rsidRDefault="00416238">
      <w:pPr>
        <w:spacing w:line="360" w:lineRule="auto"/>
        <w:jc w:val="both"/>
        <w:rPr>
          <w:rFonts w:ascii="Palatino Linotype" w:eastAsia="Palatino Linotype" w:hAnsi="Palatino Linotype" w:cs="Palatino Linotype"/>
        </w:rPr>
      </w:pPr>
    </w:p>
    <w:p w:rsidR="00416238" w:rsidRDefault="00B35696">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Conocer el motivo por el cual la dotación de agua potable que le entregan al fraccionamiento REAL DE SAN FERNANDO ha disminuido considerablemente desde hace dos semanas.</w:t>
      </w:r>
    </w:p>
    <w:p w:rsidR="00416238" w:rsidRDefault="00B35696">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¿Cuándo será que a este señor se le quite todo el poder que sus amigos poderosos respaldan con prácticas que desvirtúan el ejercicio del servicio público y quienes se creen originarios como dice el famosísimo bando municipal de Cuautitlán para mantener el pequeño coto de poder que es gobernar este municipio sin pies ni cabeza? </w:t>
      </w:r>
    </w:p>
    <w:p w:rsidR="00416238" w:rsidRDefault="00B35696">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¿Quién protege a este grupo de criminales, encabezados por este señor Carrera y que extorsionan y amenazan, con quitar la dotación de agua potable a todo ciudadano que protesta por el incumplimiento en el suministro hídrico, obligado por ley indicado tanto en la Ley del Agua para el Estado de México y Municipios y su Reglamento?</w:t>
      </w:r>
    </w:p>
    <w:p w:rsidR="00416238" w:rsidRDefault="00B35696">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¿Quién puede ponerle un freno a las tácticas dilatorias de los poderosos protectores que tiene este delincuente? </w:t>
      </w:r>
    </w:p>
    <w:p w:rsidR="00416238" w:rsidRDefault="00B35696">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¿Porque si ya se demostró que es el autor de tantas fechorías le siguen dando empleo como servidor público? </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solicitud se advierte, que el particular planteó cuestiones con la que pretendía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explicara una circunstancia para un caso específico, por lo que es obvio que el particular no está ejerciendo su derecho de acceso a la información pública; sino que por este medio presentó una serie de interrogantes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rsidR="00416238" w:rsidRDefault="00B35696">
      <w:pPr>
        <w:spacing w:before="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(Sic)</w:t>
      </w:r>
    </w:p>
    <w:p w:rsidR="00416238" w:rsidRDefault="00B35696">
      <w:pPr>
        <w:spacing w:before="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De la misma manera, Miguel Carbonell en su libro Los derechos fundamentales refiere que el derecho de petición se ha entendido de dos distintas maneras, a saber: como un derecho fundamental de participación política ya que permite a los </w:t>
      </w:r>
      <w:r>
        <w:rPr>
          <w:rFonts w:ascii="Palatino Linotype" w:eastAsia="Palatino Linotype" w:hAnsi="Palatino Linotype" w:cs="Palatino Linotype"/>
        </w:rPr>
        <w:lastRenderedPageBreak/>
        <w:t>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rsidR="00416238" w:rsidRDefault="00B35696">
      <w:pPr>
        <w:spacing w:before="240" w:line="360" w:lineRule="auto"/>
        <w:jc w:val="both"/>
        <w:rPr>
          <w:rFonts w:ascii="Palatino Linotype" w:eastAsia="Palatino Linotype" w:hAnsi="Palatino Linotype" w:cs="Palatino Linotype"/>
          <w:sz w:val="40"/>
          <w:szCs w:val="40"/>
          <w:vertAlign w:val="superscript"/>
        </w:rPr>
      </w:pPr>
      <w:r>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vertAlign w:val="superscript"/>
        </w:rPr>
        <w:footnoteReference w:id="3"/>
      </w:r>
    </w:p>
    <w:p w:rsidR="00416238" w:rsidRDefault="00B35696">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16238" w:rsidRDefault="00B35696">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w:t>
      </w:r>
      <w:r>
        <w:rPr>
          <w:rFonts w:ascii="Palatino Linotype" w:eastAsia="Palatino Linotype" w:hAnsi="Palatino Linotype" w:cs="Palatino Linotype"/>
          <w:u w:val="single"/>
        </w:rPr>
        <w:lastRenderedPageBreak/>
        <w:t xml:space="preserve">del peticionario consiste generalmente en obligar a la autoridad responsable a que actúe </w:t>
      </w:r>
      <w:r>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416238" w:rsidRDefault="00B35696">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en el caso concreto,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pretende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responda, de manera subjetiva, los cuestionamientos formulados,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en ejercicio del derecho de petición.</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w:t>
      </w:r>
    </w:p>
    <w:p w:rsidR="00416238" w:rsidRDefault="00416238">
      <w:pPr>
        <w:spacing w:line="360" w:lineRule="auto"/>
        <w:jc w:val="both"/>
        <w:rPr>
          <w:rFonts w:ascii="Palatino Linotype" w:eastAsia="Palatino Linotype" w:hAnsi="Palatino Linotype" w:cs="Palatino Linotype"/>
        </w:rPr>
      </w:pPr>
    </w:p>
    <w:p w:rsidR="00416238" w:rsidRDefault="00B356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aras de satisfacer el derecho de acceso a la información pública, emitió su respuesta a través del siguiente archivo electrónico:</w:t>
      </w:r>
    </w:p>
    <w:p w:rsidR="00416238" w:rsidRDefault="00416238">
      <w:pPr>
        <w:spacing w:after="240" w:line="360" w:lineRule="auto"/>
        <w:jc w:val="both"/>
        <w:rPr>
          <w:rFonts w:ascii="Palatino Linotype" w:eastAsia="Palatino Linotype" w:hAnsi="Palatino Linotype" w:cs="Palatino Linotype"/>
        </w:rPr>
      </w:pP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Respuesta 00011_CTAEM_IP_2022.docx</w:t>
        </w:r>
      </w:hyperlink>
      <w:r>
        <w:rPr>
          <w:rFonts w:ascii="Palatino Linotype" w:eastAsia="Palatino Linotype" w:hAnsi="Palatino Linotype" w:cs="Palatino Linotype"/>
        </w:rPr>
        <w:t xml:space="preserve">”, a través del cual señaló que no tiene atribuciones y facultades establecidas,  relacionadas con la información de su interés, en términos del fundamento legal que indicó en la misma respuesta; por ello, se declaró incompetente para atender la solicitud de acceso a la información y </w:t>
      </w:r>
      <w:r>
        <w:rPr>
          <w:rFonts w:ascii="Palatino Linotype" w:eastAsia="Palatino Linotype" w:hAnsi="Palatino Linotype" w:cs="Palatino Linotype"/>
        </w:rPr>
        <w:lastRenderedPageBreak/>
        <w:t xml:space="preserve">sugiriendo que el Municipio de Cuautitlán es el Sujeto Obligado para realizar su solicitud. </w:t>
      </w:r>
    </w:p>
    <w:p w:rsidR="00416238" w:rsidRDefault="00B35696">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 respuesta, interpone el recurso de revisión que se resuelve, en el que señala como motivos de inconformidad que no se le entregó la respuesta pedida. </w:t>
      </w:r>
    </w:p>
    <w:p w:rsidR="00416238" w:rsidRDefault="00B3569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rindió su informe justificado a través del cual reiteró su incompetencia para conocer de la información requerida, además de señalar que la petición del particular se trata de una consulta y no así, una solicitud de acceso a la información pública que pueda ser atendida por una expresión documental.  Asimismo, adjuntó el acuerdo de desechamiento por improcedente el recurso de revisión 04036/INFOEM/IP/RR/2022.</w:t>
      </w:r>
    </w:p>
    <w:p w:rsidR="00416238" w:rsidRDefault="00B35696">
      <w:pPr>
        <w:pBdr>
          <w:top w:val="nil"/>
          <w:left w:val="nil"/>
          <w:bottom w:val="nil"/>
          <w:right w:val="nil"/>
          <w:between w:val="nil"/>
        </w:pBdr>
        <w:spacing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Por consiguiente, resta solamente señalarle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que quedan a salvo sus derechos que considere </w:t>
      </w:r>
      <w:r>
        <w:rPr>
          <w:rFonts w:ascii="Palatino Linotype" w:eastAsia="Palatino Linotype" w:hAnsi="Palatino Linotype" w:cs="Palatino Linotype"/>
        </w:rPr>
        <w:t>ejercitables</w:t>
      </w:r>
      <w:r>
        <w:rPr>
          <w:rFonts w:ascii="Palatino Linotype" w:eastAsia="Palatino Linotype" w:hAnsi="Palatino Linotype" w:cs="Palatino Linotype"/>
          <w:color w:val="000000"/>
        </w:rPr>
        <w:t xml:space="preserve"> a través de las vías y autoridades que estime procedentes; máxime que este Instituto se encuentra impedido para pronunciarse sobre la veracidad o no de lo que señala en su solicitud; así como ordenar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atienda o de solución a la inconformidad del particular.</w:t>
      </w:r>
    </w:p>
    <w:p w:rsidR="00416238" w:rsidRDefault="00B35696">
      <w:pPr>
        <w:spacing w:before="240" w:after="240"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no se advierte que el recurso de revisión encuadre en alguno de los supuestos de procedencia que plantea la Ley de Transparencia y Acceso a la Información Pública del Estado de México y Municipios en su artículo 179, que es del tenor literal siguiente: </w:t>
      </w:r>
    </w:p>
    <w:p w:rsidR="00416238" w:rsidRDefault="00B35696">
      <w:pPr>
        <w:spacing w:before="120" w:after="12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 clasificación de la información;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declaración de inexistencia de la información;</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La declaración de incompetencia por el sujeto obligado;</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 entrega de información incompleta;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 entrega de información que no corresponda con lo solicitado;</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La falta de respuesta a una solicitud de acceso a la información;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 xml:space="preserve">Los costos o tiempos de entrega de la información;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La falta de trámite a una solicitud;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La negativa a permitir la consulta directa de la información;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falta, deficiencia o insuficiencia de la fundamentación y/o motivación en la respuesta; y </w:t>
      </w:r>
    </w:p>
    <w:p w:rsidR="00416238" w:rsidRDefault="00B35696">
      <w:pPr>
        <w:spacing w:before="120" w:after="120" w:line="360"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La orientación a un trámite específico. </w:t>
      </w:r>
    </w:p>
    <w:p w:rsidR="00416238" w:rsidRDefault="00B35696">
      <w:pPr>
        <w:spacing w:before="120" w:after="12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VII, IX, </w:t>
      </w:r>
      <w:r>
        <w:rPr>
          <w:rFonts w:ascii="Palatino Linotype" w:eastAsia="Palatino Linotype" w:hAnsi="Palatino Linotype" w:cs="Palatino Linotype"/>
          <w:i/>
          <w:sz w:val="22"/>
          <w:szCs w:val="22"/>
        </w:rPr>
        <w:lastRenderedPageBreak/>
        <w:t>X, XI y XII es susceptible de ser impugnada de nueva cuenta, mediante recurso de revisión, ante el Instituto”</w:t>
      </w:r>
    </w:p>
    <w:p w:rsidR="00416238" w:rsidRDefault="00B35696">
      <w:pPr>
        <w:spacing w:before="120" w:after="120" w:line="360" w:lineRule="auto"/>
        <w:ind w:left="860" w:right="9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16238" w:rsidRDefault="00B35696">
      <w:pPr>
        <w:spacing w:before="240" w:after="240"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416238" w:rsidRDefault="00B35696">
      <w:pPr>
        <w:spacing w:before="120" w:after="120" w:line="360" w:lineRule="auto"/>
        <w:ind w:left="560"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192.</w:t>
      </w:r>
      <w:r>
        <w:rPr>
          <w:rFonts w:ascii="Palatino Linotype" w:eastAsia="Palatino Linotype" w:hAnsi="Palatino Linotype" w:cs="Palatino Linotype"/>
          <w:i/>
        </w:rPr>
        <w:t xml:space="preserve"> El recurso será sobreseído, en todo o en parte, cuando una vez admitido, se actualicen alguno de los siguientes supuestos:</w:t>
      </w:r>
    </w:p>
    <w:p w:rsidR="00416238" w:rsidRDefault="00B35696">
      <w:pPr>
        <w:spacing w:before="120" w:after="120" w:line="360" w:lineRule="auto"/>
        <w:ind w:left="560"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16238" w:rsidRDefault="00B35696">
      <w:pPr>
        <w:spacing w:before="120" w:after="120" w:line="360" w:lineRule="auto"/>
        <w:ind w:left="560" w:right="900"/>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Admitido el recurso de revisión, </w:t>
      </w:r>
      <w:r>
        <w:rPr>
          <w:rFonts w:ascii="Palatino Linotype" w:eastAsia="Palatino Linotype" w:hAnsi="Palatino Linotype" w:cs="Palatino Linotype"/>
          <w:b/>
          <w:i/>
        </w:rPr>
        <w:t>aparezca alguna causal de improcedencia</w:t>
      </w:r>
      <w:r>
        <w:rPr>
          <w:rFonts w:ascii="Palatino Linotype" w:eastAsia="Palatino Linotype" w:hAnsi="Palatino Linotype" w:cs="Palatino Linotype"/>
          <w:i/>
        </w:rPr>
        <w:t xml:space="preserve"> en los términos de la presente Ley…</w:t>
      </w:r>
    </w:p>
    <w:p w:rsidR="00416238" w:rsidRDefault="00B35696">
      <w:pPr>
        <w:spacing w:before="120" w:after="120" w:line="360" w:lineRule="auto"/>
        <w:ind w:left="560" w:right="90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 </w:t>
      </w:r>
    </w:p>
    <w:p w:rsidR="00416238" w:rsidRDefault="00B35696">
      <w:pPr>
        <w:spacing w:before="120" w:after="120" w:line="360" w:lineRule="auto"/>
        <w:ind w:left="560"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191</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será </w:t>
      </w:r>
      <w:r>
        <w:rPr>
          <w:rFonts w:ascii="Palatino Linotype" w:eastAsia="Palatino Linotype" w:hAnsi="Palatino Linotype" w:cs="Palatino Linotype"/>
          <w:i/>
        </w:rPr>
        <w:t xml:space="preserve">desechado por </w:t>
      </w:r>
      <w:r>
        <w:rPr>
          <w:rFonts w:ascii="Palatino Linotype" w:eastAsia="Palatino Linotype" w:hAnsi="Palatino Linotype" w:cs="Palatino Linotype"/>
          <w:b/>
          <w:i/>
        </w:rPr>
        <w:t>improcedente cuando</w:t>
      </w:r>
      <w:r>
        <w:rPr>
          <w:rFonts w:ascii="Palatino Linotype" w:eastAsia="Palatino Linotype" w:hAnsi="Palatino Linotype" w:cs="Palatino Linotype"/>
          <w:i/>
        </w:rPr>
        <w:t>:</w:t>
      </w:r>
    </w:p>
    <w:p w:rsidR="00416238" w:rsidRDefault="00B35696">
      <w:pPr>
        <w:spacing w:before="120" w:after="120" w:line="360" w:lineRule="auto"/>
        <w:ind w:left="1140"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16238" w:rsidRDefault="00B35696">
      <w:pPr>
        <w:spacing w:before="120" w:line="360" w:lineRule="auto"/>
        <w:ind w:left="560" w:right="900"/>
        <w:jc w:val="both"/>
        <w:rPr>
          <w:rFonts w:ascii="Palatino Linotype" w:eastAsia="Palatino Linotype" w:hAnsi="Palatino Linotype" w:cs="Palatino Linotype"/>
          <w:i/>
          <w:highlight w:val="yellow"/>
        </w:rPr>
      </w:pPr>
      <w:r>
        <w:rPr>
          <w:rFonts w:ascii="Palatino Linotype" w:eastAsia="Palatino Linotype" w:hAnsi="Palatino Linotype" w:cs="Palatino Linotype"/>
          <w:i/>
        </w:rPr>
        <w:t>III. No actualice alguno de los supuestos previstos en la presente Ley…“(Sic)</w:t>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416238" w:rsidRDefault="00B35696">
      <w:pPr>
        <w:spacing w:after="120" w:line="360" w:lineRule="auto"/>
        <w:ind w:left="860" w:right="90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SOBRESEIMIENTO, NO PERMITE ENTRAR AL ESTUDIO DE LAS CUESTIONES DE FONDO</w:t>
      </w:r>
    </w:p>
    <w:p w:rsidR="00416238" w:rsidRDefault="00B35696">
      <w:pPr>
        <w:spacing w:before="120" w:after="12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416238" w:rsidRDefault="00B35696">
      <w:pPr>
        <w:spacing w:before="120" w:after="120" w:line="360" w:lineRule="auto"/>
        <w:ind w:left="860" w:right="900"/>
        <w:jc w:val="both"/>
        <w:rPr>
          <w:rFonts w:ascii="Palatino Linotype" w:eastAsia="Palatino Linotype" w:hAnsi="Palatino Linotype" w:cs="Palatino Linotype"/>
          <w:i/>
        </w:rPr>
      </w:pPr>
      <w:r>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416238" w:rsidRDefault="00B356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Garante de sobreseer el recurso de revisión no implica una limitación o negación a la justicia, según lo ha establecido el Poder Judicial Federal, en el criterio que es aplicable por analogía, con rubro:</w:t>
      </w:r>
    </w:p>
    <w:p w:rsidR="00416238" w:rsidRDefault="00B35696">
      <w:pPr>
        <w:spacing w:before="120" w:after="120" w:line="360" w:lineRule="auto"/>
        <w:ind w:left="860" w:right="900"/>
        <w:jc w:val="both"/>
        <w:rPr>
          <w:rFonts w:ascii="Palatino Linotype" w:eastAsia="Palatino Linotype" w:hAnsi="Palatino Linotype" w:cs="Palatino Linotype"/>
          <w:b/>
          <w:i/>
        </w:rPr>
      </w:pPr>
      <w:r>
        <w:rPr>
          <w:rFonts w:ascii="Palatino Linotype" w:eastAsia="Palatino Linotype" w:hAnsi="Palatino Linotype" w:cs="Palatino Linotype"/>
          <w:b/>
          <w:i/>
        </w:rPr>
        <w:t>“DESECHAMIENTO O SOBRESEIMIENTO EN EL JUICIO DE AMPARO. NO IMPLICA DENEGACIÓN DE JUSTICIA NI GENERA INSEGURIDAD JURÍDICA”</w:t>
      </w:r>
    </w:p>
    <w:p w:rsidR="00416238" w:rsidRDefault="00B35696">
      <w:pPr>
        <w:spacing w:before="120" w:after="120" w:line="360" w:lineRule="auto"/>
        <w:ind w:left="860" w:right="900"/>
        <w:jc w:val="both"/>
        <w:rPr>
          <w:rFonts w:ascii="Palatino Linotype" w:eastAsia="Palatino Linotype" w:hAnsi="Palatino Linotype" w:cs="Palatino Linotype"/>
        </w:rPr>
      </w:pPr>
      <w:r>
        <w:rPr>
          <w:rFonts w:ascii="Palatino Linotype" w:eastAsia="Palatino Linotype" w:hAnsi="Palatino Linotype" w:cs="Palatino Linotype"/>
          <w:i/>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 xml:space="preserve">   </w:t>
      </w:r>
      <w:r>
        <w:rPr>
          <w:rFonts w:ascii="Palatino Linotype" w:eastAsia="Palatino Linotype" w:hAnsi="Palatino Linotype" w:cs="Palatino Linotype"/>
        </w:rPr>
        <w:tab/>
      </w:r>
    </w:p>
    <w:p w:rsidR="00416238" w:rsidRDefault="00B356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Así las cosas,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416238" w:rsidRDefault="00B35696">
      <w:pPr>
        <w:spacing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416238" w:rsidRDefault="00B35696">
      <w:pPr>
        <w:spacing w:line="360" w:lineRule="auto"/>
        <w:jc w:val="both"/>
        <w:rPr>
          <w:rFonts w:ascii="Palatino Linotype" w:eastAsia="Palatino Linotype" w:hAnsi="Palatino Linotype" w:cs="Palatino Linotype"/>
          <w:highlight w:val="white"/>
        </w:rPr>
      </w:pPr>
      <w:bookmarkStart w:id="2" w:name="_heading=h.1fob9te" w:colFirst="0" w:colLast="0"/>
      <w:bookmarkEnd w:id="2"/>
      <w:r>
        <w:rPr>
          <w:rFonts w:ascii="Palatino Linotype" w:eastAsia="Palatino Linotype" w:hAnsi="Palatino Linotype" w:cs="Palatino Linotype"/>
          <w:b/>
          <w:highlight w:val="white"/>
        </w:rPr>
        <w:lastRenderedPageBreak/>
        <w:t>Primero.</w:t>
      </w:r>
      <w:r>
        <w:rPr>
          <w:rFonts w:ascii="Palatino Linotype" w:eastAsia="Palatino Linotype" w:hAnsi="Palatino Linotype" w:cs="Palatino Linotype"/>
          <w:highlight w:val="white"/>
        </w:rPr>
        <w:t xml:space="preserve"> 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04044/INFOEM/IP/RR/2022</w:t>
      </w:r>
      <w:r>
        <w:rPr>
          <w:rFonts w:ascii="Palatino Linotype" w:eastAsia="Palatino Linotype" w:hAnsi="Palatino Linotype" w:cs="Palatino Linotype"/>
          <w:highlight w:val="white"/>
        </w:rPr>
        <w:t xml:space="preserve">, porque una vez admitido se actualizó la causal de improcedencia prevista en el artículo 192 fracción IV, en relación </w:t>
      </w:r>
      <w:r>
        <w:rPr>
          <w:rFonts w:ascii="Palatino Linotype" w:eastAsia="Palatino Linotype" w:hAnsi="Palatino Linotype" w:cs="Palatino Linotype"/>
        </w:rPr>
        <w:t xml:space="preserve">con la fracción III del </w:t>
      </w:r>
      <w:r>
        <w:rPr>
          <w:rFonts w:ascii="Palatino Linotype" w:eastAsia="Palatino Linotype" w:hAnsi="Palatino Linotype" w:cs="Palatino Linotype"/>
          <w:highlight w:val="white"/>
        </w:rPr>
        <w:t>artículo 191, de la Ley de Transparencia y Acceso a la Información Pública, que lo dejó sin materia en términos del Considerando</w:t>
      </w:r>
      <w:r>
        <w:rPr>
          <w:rFonts w:ascii="Palatino Linotype" w:eastAsia="Palatino Linotype" w:hAnsi="Palatino Linotype" w:cs="Palatino Linotype"/>
          <w:b/>
          <w:highlight w:val="white"/>
        </w:rPr>
        <w:t xml:space="preserve"> Tercero</w:t>
      </w:r>
      <w:r>
        <w:rPr>
          <w:rFonts w:ascii="Palatino Linotype" w:eastAsia="Palatino Linotype" w:hAnsi="Palatino Linotype" w:cs="Palatino Linotype"/>
          <w:highlight w:val="white"/>
        </w:rPr>
        <w:t xml:space="preserve"> de la presente resolución.</w:t>
      </w:r>
    </w:p>
    <w:p w:rsidR="00416238" w:rsidRDefault="00416238">
      <w:pPr>
        <w:spacing w:line="360" w:lineRule="auto"/>
        <w:jc w:val="both"/>
        <w:rPr>
          <w:rFonts w:ascii="Palatino Linotype" w:eastAsia="Palatino Linotype" w:hAnsi="Palatino Linotype" w:cs="Palatino Linotype"/>
          <w:b/>
          <w:highlight w:val="white"/>
        </w:rPr>
      </w:pPr>
    </w:p>
    <w:p w:rsidR="00416238" w:rsidRDefault="00B35696">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w:t>
      </w:r>
    </w:p>
    <w:p w:rsidR="00416238" w:rsidRDefault="00416238">
      <w:pPr>
        <w:spacing w:line="360" w:lineRule="auto"/>
        <w:jc w:val="both"/>
        <w:rPr>
          <w:rFonts w:ascii="Palatino Linotype" w:eastAsia="Palatino Linotype" w:hAnsi="Palatino Linotype" w:cs="Palatino Linotype"/>
          <w:highlight w:val="white"/>
        </w:rPr>
      </w:pPr>
    </w:p>
    <w:p w:rsidR="00416238" w:rsidRDefault="00B356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sz w:val="28"/>
          <w:szCs w:val="28"/>
        </w:rPr>
        <w:t>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vía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la presente resolución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16238" w:rsidRDefault="00B35696">
      <w:pPr>
        <w:spacing w:before="240" w:after="240" w:line="360" w:lineRule="auto"/>
        <w:jc w:val="both"/>
        <w:rPr>
          <w:rFonts w:ascii="Palatino Linotype" w:eastAsia="Palatino Linotype" w:hAnsi="Palatino Linotype" w:cs="Palatino Linotype"/>
        </w:rPr>
        <w:sectPr w:rsidR="00416238">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bookmarkStart w:id="3" w:name="_heading=h.30j0zll" w:colFirst="0" w:colLast="0"/>
      <w:bookmarkEnd w:id="3"/>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PRIMERA SESIÓN ORDINARIA CELEBRADA EL TRECE</w:t>
      </w:r>
      <w:r>
        <w:rPr>
          <w:rFonts w:ascii="Palatino Linotype" w:eastAsia="Palatino Linotype" w:hAnsi="Palatino Linotype" w:cs="Palatino Linotype"/>
        </w:rPr>
        <w:t xml:space="preserve"> DE JULIO DEL DOS MIL VEINTIDÓS, ANTE EL SECRETARIO TÉCNICO DEL PLENO ALEXIS TAPIA RAMÍREZ.</w:t>
      </w:r>
    </w:p>
    <w:p w:rsidR="00416238" w:rsidRDefault="00416238">
      <w:pPr>
        <w:spacing w:before="240" w:after="240" w:line="360" w:lineRule="auto"/>
        <w:jc w:val="both"/>
        <w:rPr>
          <w:rFonts w:ascii="Palatino Linotype" w:eastAsia="Palatino Linotype" w:hAnsi="Palatino Linotype" w:cs="Palatino Linotype"/>
        </w:rPr>
      </w:pPr>
    </w:p>
    <w:sectPr w:rsidR="00416238">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DFE" w:rsidRDefault="00B35696">
      <w:r>
        <w:separator/>
      </w:r>
    </w:p>
  </w:endnote>
  <w:endnote w:type="continuationSeparator" w:id="0">
    <w:p w:rsidR="003D1DFE" w:rsidRDefault="00B3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38" w:rsidRDefault="00B356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86C3E">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86C3E">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416238" w:rsidRDefault="00416238">
    <w:pPr>
      <w:pBdr>
        <w:top w:val="nil"/>
        <w:left w:val="nil"/>
        <w:bottom w:val="nil"/>
        <w:right w:val="nil"/>
        <w:between w:val="nil"/>
      </w:pBdr>
      <w:tabs>
        <w:tab w:val="center" w:pos="4252"/>
        <w:tab w:val="right" w:pos="8504"/>
      </w:tabs>
      <w:rPr>
        <w:color w:val="000000"/>
      </w:rPr>
    </w:pPr>
  </w:p>
  <w:p w:rsidR="00416238" w:rsidRDefault="0041623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38" w:rsidRDefault="00B356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86C3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86C3E">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416238" w:rsidRDefault="0041623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DFE" w:rsidRDefault="00B35696">
      <w:r>
        <w:separator/>
      </w:r>
    </w:p>
  </w:footnote>
  <w:footnote w:type="continuationSeparator" w:id="0">
    <w:p w:rsidR="003D1DFE" w:rsidRDefault="00B35696">
      <w:r>
        <w:continuationSeparator/>
      </w:r>
    </w:p>
  </w:footnote>
  <w:footnote w:id="1">
    <w:p w:rsidR="00416238" w:rsidRDefault="00B35696">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CIENFUEGOS SALGADO David. El Derecho de Petición en México. Ed. Instituto de Investigaciones Jurídica UNAM. México 2004. p. 31</w:t>
      </w:r>
    </w:p>
    <w:p w:rsidR="00416238" w:rsidRDefault="00416238">
      <w:pPr>
        <w:pBdr>
          <w:top w:val="nil"/>
          <w:left w:val="nil"/>
          <w:bottom w:val="nil"/>
          <w:right w:val="nil"/>
          <w:between w:val="nil"/>
        </w:pBdr>
        <w:rPr>
          <w:rFonts w:ascii="Calibri" w:eastAsia="Calibri" w:hAnsi="Calibri" w:cs="Calibri"/>
          <w:color w:val="000000"/>
          <w:sz w:val="20"/>
          <w:szCs w:val="20"/>
        </w:rPr>
      </w:pPr>
    </w:p>
  </w:footnote>
  <w:footnote w:id="2">
    <w:p w:rsidR="00416238" w:rsidRDefault="00B3569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Carbonell, M. (2004). Los Derechos Fundamentales (Primera Edición ed.), México: Instituto de investigaciones Jurídicas.</w:t>
      </w:r>
    </w:p>
  </w:footnote>
  <w:footnote w:id="3">
    <w:p w:rsidR="00416238" w:rsidRDefault="00B3569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38" w:rsidRDefault="00416238">
    <w:pPr>
      <w:widowControl w:val="0"/>
      <w:pBdr>
        <w:top w:val="nil"/>
        <w:left w:val="nil"/>
        <w:bottom w:val="nil"/>
        <w:right w:val="nil"/>
        <w:between w:val="nil"/>
      </w:pBdr>
      <w:spacing w:line="276" w:lineRule="auto"/>
      <w:rPr>
        <w:rFonts w:ascii="Calibri" w:eastAsia="Calibri" w:hAnsi="Calibri" w:cs="Calibri"/>
        <w:color w:val="000000"/>
      </w:rPr>
    </w:pPr>
  </w:p>
  <w:tbl>
    <w:tblPr>
      <w:tblStyle w:val="a7"/>
      <w:tblW w:w="5528" w:type="dxa"/>
      <w:tblInd w:w="3261" w:type="dxa"/>
      <w:tblLayout w:type="fixed"/>
      <w:tblLook w:val="0400" w:firstRow="0" w:lastRow="0" w:firstColumn="0" w:lastColumn="0" w:noHBand="0" w:noVBand="1"/>
    </w:tblPr>
    <w:tblGrid>
      <w:gridCol w:w="2551"/>
      <w:gridCol w:w="2977"/>
    </w:tblGrid>
    <w:tr w:rsidR="00416238">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416238" w:rsidRDefault="00B356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04044/INFOEM/IP/RR/2022</w:t>
          </w:r>
        </w:p>
      </w:tc>
    </w:tr>
    <w:tr w:rsidR="00416238">
      <w:trPr>
        <w:trHeight w:val="228"/>
      </w:trPr>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416238" w:rsidRDefault="00B356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Técnica del Agua del Estado de México.</w:t>
          </w:r>
        </w:p>
      </w:tc>
    </w:tr>
    <w:tr w:rsidR="00416238">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416238" w:rsidRDefault="00B356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16238" w:rsidRDefault="00B3569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-695767</wp:posOffset>
          </wp:positionH>
          <wp:positionV relativeFrom="paragraph">
            <wp:posOffset>-1200942</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38" w:rsidRDefault="00B3569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-846157</wp:posOffset>
          </wp:positionH>
          <wp:positionV relativeFrom="paragraph">
            <wp:posOffset>-171228</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70" w:type="dxa"/>
      <w:tblInd w:w="3119" w:type="dxa"/>
      <w:tblLayout w:type="fixed"/>
      <w:tblLook w:val="0400" w:firstRow="0" w:lastRow="0" w:firstColumn="0" w:lastColumn="0" w:noHBand="0" w:noVBand="1"/>
    </w:tblPr>
    <w:tblGrid>
      <w:gridCol w:w="2551"/>
      <w:gridCol w:w="3119"/>
    </w:tblGrid>
    <w:tr w:rsidR="00416238">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416238" w:rsidRDefault="00B356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04044/INFOEM/IP/RR/2022. </w:t>
          </w:r>
        </w:p>
      </w:tc>
    </w:tr>
    <w:tr w:rsidR="00416238">
      <w:tc>
        <w:tcPr>
          <w:tcW w:w="2551" w:type="dxa"/>
          <w:vAlign w:val="center"/>
        </w:tcPr>
        <w:p w:rsidR="00416238" w:rsidRDefault="00B3569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416238" w:rsidRDefault="00986C3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B35696">
            <w:rPr>
              <w:rFonts w:ascii="Palatino Linotype" w:eastAsia="Palatino Linotype" w:hAnsi="Palatino Linotype" w:cs="Palatino Linotype"/>
              <w:b/>
              <w:sz w:val="22"/>
              <w:szCs w:val="22"/>
            </w:rPr>
            <w:t>.</w:t>
          </w:r>
        </w:p>
      </w:tc>
    </w:tr>
    <w:tr w:rsidR="00416238">
      <w:trPr>
        <w:trHeight w:val="228"/>
      </w:trPr>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416238" w:rsidRDefault="00B356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Técnica del Agua del Estado de México.</w:t>
          </w:r>
        </w:p>
      </w:tc>
    </w:tr>
    <w:tr w:rsidR="00416238">
      <w:trPr>
        <w:trHeight w:val="255"/>
      </w:trPr>
      <w:tc>
        <w:tcPr>
          <w:tcW w:w="2551" w:type="dxa"/>
          <w:vAlign w:val="center"/>
        </w:tcPr>
        <w:p w:rsidR="00416238" w:rsidRDefault="00B356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416238" w:rsidRDefault="00B356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16238" w:rsidRDefault="0041623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38" w:rsidRDefault="00416238">
    <w:pPr>
      <w:pBdr>
        <w:top w:val="nil"/>
        <w:left w:val="nil"/>
        <w:bottom w:val="nil"/>
        <w:right w:val="nil"/>
        <w:between w:val="nil"/>
      </w:pBdr>
      <w:tabs>
        <w:tab w:val="center" w:pos="4252"/>
        <w:tab w:val="right" w:pos="8504"/>
      </w:tabs>
      <w:jc w:val="both"/>
      <w:rPr>
        <w:rFonts w:ascii="Calibri" w:eastAsia="Calibri" w:hAnsi="Calibri" w:cs="Calibri"/>
        <w:color w:val="000000"/>
      </w:rPr>
    </w:pPr>
  </w:p>
  <w:p w:rsidR="00416238" w:rsidRDefault="0041623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D0478"/>
    <w:multiLevelType w:val="multilevel"/>
    <w:tmpl w:val="3CDE895C"/>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abstractNum w:abstractNumId="1" w15:restartNumberingAfterBreak="0">
    <w:nsid w:val="6AB618C6"/>
    <w:multiLevelType w:val="multilevel"/>
    <w:tmpl w:val="2B469F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92A0B1D"/>
    <w:multiLevelType w:val="multilevel"/>
    <w:tmpl w:val="37C258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38"/>
    <w:rsid w:val="003D1DFE"/>
    <w:rsid w:val="00416238"/>
    <w:rsid w:val="00986C3E"/>
    <w:rsid w:val="00B3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669B0-FFE0-4094-B2B9-049A4CD9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220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362200.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388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38388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38388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49vEXvJCA0oT2e0dGlBh/F15w==">AMUW2mXX/JJD6DO1+1WLytECgSN7FCcdJuKKbLbK9YcL7zvEU52Tq6HCpZENZ046esMOz36oqgDN6fqFPpXklCWSMUxml5oXrx3ER2IbNSx/D0Twa1G7MH5jROxLUdTLvqBlEzwfVnnviTfhYYL6Xre/KVRMxsEyGg==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5532</Words>
  <Characters>30429</Characters>
  <Application>Microsoft Office Word</Application>
  <DocSecurity>0</DocSecurity>
  <Lines>253</Lines>
  <Paragraphs>71</Paragraphs>
  <ScaleCrop>false</ScaleCrop>
  <Company/>
  <LinksUpToDate>false</LinksUpToDate>
  <CharactersWithSpaces>35890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3</cp:revision>
  <dcterms:created xsi:type="dcterms:W3CDTF">2022-07-06T20:59:00Z</dcterms:created>
  <dcterms:modified xsi:type="dcterms:W3CDTF">2022-08-03T22:25:00Z</dcterms:modified>
</cp:coreProperties>
</file>