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178F4160"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3015">
        <w:rPr>
          <w:rFonts w:ascii="Palatino Linotype" w:eastAsia="Times New Roman" w:hAnsi="Palatino Linotype" w:cs="Arial"/>
          <w:color w:val="000000"/>
          <w:sz w:val="24"/>
          <w:szCs w:val="24"/>
          <w:lang w:eastAsia="es-MX"/>
        </w:rPr>
        <w:t xml:space="preserve">treinta y uno de agosto de dos mil veintidós.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6DFF9E87" w14:textId="2B17BE8D" w:rsidR="00FA6F78" w:rsidRPr="00FA6F78" w:rsidRDefault="00B433C9" w:rsidP="00A63015">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FA6F78">
        <w:rPr>
          <w:rFonts w:ascii="Palatino Linotype" w:hAnsi="Palatino Linotype" w:cs="Arial"/>
          <w:b/>
          <w:bCs/>
          <w:sz w:val="24"/>
        </w:rPr>
        <w:t>11395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164561">
        <w:rPr>
          <w:rFonts w:ascii="Palatino Linotype" w:hAnsi="Palatino Linotype" w:cs="Arial"/>
          <w:b/>
          <w:bCs/>
          <w:sz w:val="24"/>
        </w:rPr>
        <w:t>XXXXXXXXXXXXXXXXX</w:t>
      </w:r>
      <w:r w:rsidR="00FA6F78">
        <w:rPr>
          <w:rFonts w:ascii="Palatino Linotype" w:hAnsi="Palatino Linotype" w:cs="Arial"/>
          <w:b/>
          <w:bCs/>
          <w:sz w:val="24"/>
        </w:rPr>
        <w:t xml:space="preserve">, </w:t>
      </w:r>
      <w:r w:rsidR="00FA6F78">
        <w:rPr>
          <w:rFonts w:ascii="Palatino Linotype" w:hAnsi="Palatino Linotype" w:cs="Arial"/>
          <w:bCs/>
          <w:sz w:val="24"/>
        </w:rPr>
        <w:t xml:space="preserve">en lo sucesivo </w:t>
      </w:r>
      <w:r w:rsidR="00FA6F78">
        <w:rPr>
          <w:rFonts w:ascii="Palatino Linotype" w:hAnsi="Palatino Linotype" w:cs="Arial"/>
          <w:b/>
          <w:bCs/>
          <w:sz w:val="24"/>
        </w:rPr>
        <w:t xml:space="preserve">El Recurrente, </w:t>
      </w:r>
      <w:r w:rsidR="00FA6F78">
        <w:rPr>
          <w:rFonts w:ascii="Palatino Linotype" w:hAnsi="Palatino Linotype" w:cs="Arial"/>
          <w:bCs/>
          <w:sz w:val="24"/>
        </w:rPr>
        <w:t xml:space="preserve">en contra de la respuesta de la </w:t>
      </w:r>
      <w:r w:rsidR="00FA6F78">
        <w:rPr>
          <w:rFonts w:ascii="Palatino Linotype" w:hAnsi="Palatino Linotype" w:cs="Arial"/>
          <w:b/>
          <w:sz w:val="24"/>
        </w:rPr>
        <w:t xml:space="preserve">Secretaría de Movilidad, </w:t>
      </w:r>
      <w:r w:rsidR="00FA6F78">
        <w:rPr>
          <w:rFonts w:ascii="Palatino Linotype" w:hAnsi="Palatino Linotype" w:cs="Arial"/>
          <w:bCs/>
          <w:sz w:val="24"/>
        </w:rPr>
        <w:t xml:space="preserve">en lo subsecuente </w:t>
      </w:r>
      <w:r w:rsidR="00FA6F78">
        <w:rPr>
          <w:rFonts w:ascii="Palatino Linotype" w:hAnsi="Palatino Linotype" w:cs="Arial"/>
          <w:b/>
          <w:sz w:val="24"/>
        </w:rPr>
        <w:t xml:space="preserve">El Sujeto Obligado, </w:t>
      </w:r>
      <w:r w:rsidR="00FA6F78">
        <w:rPr>
          <w:rFonts w:ascii="Palatino Linotype" w:hAnsi="Palatino Linotype" w:cs="Arial"/>
          <w:bCs/>
          <w:sz w:val="24"/>
        </w:rPr>
        <w:t xml:space="preserve">se procede a dictar la presente resolución. </w:t>
      </w:r>
    </w:p>
    <w:p w14:paraId="5B60A9C6" w14:textId="77777777" w:rsidR="00FA6F78" w:rsidRDefault="00FA6F78" w:rsidP="00A63015">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D3B488F" w14:textId="2DB3672F" w:rsidR="00FA6F78" w:rsidRDefault="00A63015" w:rsidP="00A6301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FA6F78">
        <w:rPr>
          <w:rFonts w:ascii="Palatino Linotype" w:hAnsi="Palatino Linotype" w:cs="Arial"/>
          <w:sz w:val="24"/>
        </w:rPr>
        <w:t xml:space="preserve">dos de junio de dos mil veintidós, </w:t>
      </w:r>
      <w:r w:rsidR="00FA6F78">
        <w:rPr>
          <w:rFonts w:ascii="Palatino Linotype" w:hAnsi="Palatino Linotype" w:cs="Arial"/>
          <w:b/>
          <w:bCs/>
          <w:sz w:val="24"/>
        </w:rPr>
        <w:t xml:space="preserve">El Recurrente </w:t>
      </w:r>
      <w:r w:rsidR="00FA6F78">
        <w:rPr>
          <w:rFonts w:ascii="Palatino Linotype" w:hAnsi="Palatino Linotype" w:cs="Arial"/>
          <w:sz w:val="24"/>
        </w:rPr>
        <w:t xml:space="preserve">presentó a través del Sistema de Acceso a la Información Mexiquense </w:t>
      </w:r>
      <w:r w:rsidR="00FA6F78">
        <w:rPr>
          <w:rFonts w:ascii="Palatino Linotype" w:hAnsi="Palatino Linotype" w:cs="Arial"/>
          <w:b/>
          <w:sz w:val="24"/>
        </w:rPr>
        <w:t xml:space="preserve">(SAIMEX) </w:t>
      </w:r>
      <w:r w:rsidR="00FA6F78">
        <w:rPr>
          <w:rFonts w:ascii="Palatino Linotype" w:hAnsi="Palatino Linotype" w:cs="Arial"/>
          <w:sz w:val="24"/>
        </w:rPr>
        <w:t xml:space="preserve">ante </w:t>
      </w:r>
      <w:r w:rsidR="00FA6F78">
        <w:rPr>
          <w:rFonts w:ascii="Palatino Linotype" w:hAnsi="Palatino Linotype" w:cs="Arial"/>
          <w:b/>
          <w:sz w:val="24"/>
        </w:rPr>
        <w:t>El Sujeto Obligado</w:t>
      </w:r>
      <w:r w:rsidR="00FA6F78">
        <w:rPr>
          <w:rFonts w:ascii="Palatino Linotype" w:hAnsi="Palatino Linotype" w:cs="Arial"/>
          <w:sz w:val="24"/>
        </w:rPr>
        <w:t xml:space="preserve">, solicitud de acceso a la información pública, registrada bajo el número de expediente </w:t>
      </w:r>
      <w:r w:rsidR="00FA6F78">
        <w:rPr>
          <w:rFonts w:ascii="Palatino Linotype" w:hAnsi="Palatino Linotype" w:cs="Arial"/>
          <w:b/>
          <w:bCs/>
          <w:sz w:val="24"/>
        </w:rPr>
        <w:t xml:space="preserve">00283/SMOV/IP/2022, </w:t>
      </w:r>
      <w:r w:rsidR="00FA6F78">
        <w:rPr>
          <w:rFonts w:ascii="Palatino Linotype" w:hAnsi="Palatino Linotype" w:cs="Arial"/>
          <w:sz w:val="24"/>
        </w:rPr>
        <w:t>mediante la cual solicitó información en el tenor siguiente:</w:t>
      </w:r>
    </w:p>
    <w:p w14:paraId="568A4905" w14:textId="57B72AC2" w:rsidR="00FA6F78" w:rsidRPr="000B65F4" w:rsidRDefault="00FA6F78" w:rsidP="000B65F4">
      <w:pPr>
        <w:pStyle w:val="Citas"/>
        <w:rPr>
          <w:b/>
          <w:bCs/>
        </w:rPr>
      </w:pPr>
      <w:r w:rsidRPr="000B65F4">
        <w:t xml:space="preserve">“De conformidad </w:t>
      </w:r>
      <w:r w:rsidR="000B65F4" w:rsidRPr="00FA6F78">
        <w:t>con el artículo 6 de la Constitución solicito todos los conveniso firmados con la empresas de transporte público en el año 2019 para otorgar el aumento de la tarifa</w:t>
      </w:r>
      <w:r w:rsidR="000B65F4" w:rsidRPr="000B65F4">
        <w:t>.”</w:t>
      </w:r>
      <w:r w:rsidR="000B65F4">
        <w:t xml:space="preserve"> </w:t>
      </w:r>
      <w:r w:rsidR="000B65F4">
        <w:rPr>
          <w:b/>
          <w:bCs/>
        </w:rPr>
        <w:t>(Sic)</w:t>
      </w:r>
    </w:p>
    <w:p w14:paraId="19E86044" w14:textId="1195D6A2"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A través del SAIMEX</w:t>
      </w:r>
      <w:r w:rsidR="000B65F4">
        <w:rPr>
          <w:rFonts w:ascii="Palatino Linotype" w:hAnsi="Palatino Linotype" w:cs="Arial"/>
          <w:sz w:val="24"/>
        </w:rPr>
        <w:t>.</w:t>
      </w:r>
      <w:r w:rsidR="00A63015">
        <w:rPr>
          <w:rFonts w:ascii="Palatino Linotype" w:hAnsi="Palatino Linotype" w:cs="Arial"/>
          <w:sz w:val="24"/>
        </w:rPr>
        <w:t xml:space="preserve"> </w:t>
      </w:r>
    </w:p>
    <w:p w14:paraId="7F3535B6" w14:textId="1C3F0C6E" w:rsidR="00752A9A" w:rsidRDefault="00752A9A" w:rsidP="00B433C9">
      <w:pPr>
        <w:spacing w:before="240" w:line="360" w:lineRule="auto"/>
        <w:jc w:val="both"/>
        <w:rPr>
          <w:rFonts w:ascii="Palatino Linotype" w:hAnsi="Palatino Linotype" w:cs="Arial"/>
          <w:b/>
          <w:sz w:val="28"/>
        </w:rPr>
      </w:pPr>
    </w:p>
    <w:p w14:paraId="2745D23E" w14:textId="0CB997D1" w:rsidR="00B433C9" w:rsidRDefault="000B65F4"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EF096BF" w14:textId="5C881EC5" w:rsidR="000B65F4"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0B65F4">
        <w:rPr>
          <w:rFonts w:ascii="Palatino Linotype" w:hAnsi="Palatino Linotype" w:cs="Arial"/>
          <w:sz w:val="24"/>
          <w:szCs w:val="24"/>
        </w:rPr>
        <w:t xml:space="preserve">diez de junio de los corrientes, </w:t>
      </w:r>
      <w:r w:rsidR="000B65F4">
        <w:rPr>
          <w:rFonts w:ascii="Palatino Linotype" w:hAnsi="Palatino Linotype" w:cs="Arial"/>
          <w:b/>
          <w:bCs/>
          <w:sz w:val="24"/>
          <w:szCs w:val="24"/>
        </w:rPr>
        <w:t xml:space="preserve">El Sujeto Obligado </w:t>
      </w:r>
      <w:r w:rsidR="000B65F4">
        <w:rPr>
          <w:rFonts w:ascii="Palatino Linotype" w:hAnsi="Palatino Linotype" w:cs="Arial"/>
          <w:sz w:val="24"/>
          <w:szCs w:val="24"/>
        </w:rPr>
        <w:t>dio respuesta a la solicitud de información en los siguientes términos:</w:t>
      </w:r>
    </w:p>
    <w:p w14:paraId="6D115F07" w14:textId="4322B23A" w:rsidR="000B65F4" w:rsidRPr="000B65F4" w:rsidRDefault="000B65F4" w:rsidP="000B65F4">
      <w:pPr>
        <w:pStyle w:val="Citas"/>
      </w:pPr>
      <w:r w:rsidRPr="000B65F4">
        <w:t>“En respuesta a la solicitud recibida, nos permitimos hacer de su conocimiento que con fundamento en el artículo 53, Fracciones: II, V y VI de la Ley de Transparencia y Acceso a la Información Pública del Estado de México y Municipios, le contestamos que:</w:t>
      </w:r>
    </w:p>
    <w:p w14:paraId="251C24BA" w14:textId="3DAF4C83" w:rsidR="000B65F4" w:rsidRPr="000B65F4" w:rsidRDefault="000B65F4" w:rsidP="000B65F4">
      <w:pPr>
        <w:pStyle w:val="Citas"/>
        <w:rPr>
          <w:b/>
          <w:bCs/>
        </w:rPr>
      </w:pPr>
      <w:r w:rsidRPr="000B65F4">
        <w:t xml:space="preserve">Me refiero a la solicitud 00283/SMOV/IP/2022, ingresada a través del Sistema de Acceso a la Información (SAIMEX), en la que se requiere lo siguiente: "... De conformidad con el artículo 6 de la Constitución solicito todos los convenios firmados con las empresas de transporte público en el año 2019 para otorgar el aumento de tarifa..." </w:t>
      </w:r>
      <w:r w:rsidRPr="000B65F4">
        <w:rPr>
          <w:b/>
          <w:bCs/>
          <w:u w:val="single"/>
        </w:rPr>
        <w:t>Al respecto, le informo que después de realizar una búsqueda exhaustiva en los archivos de la Dirección General de Asuntos Jurídicos e Igualdad de Género, no se localizó registro alguno de "... convenios firmados con las empresas de transporte público en el año 2019 para otorgar el aumento de tarifa..."</w:t>
      </w:r>
      <w:r w:rsidRPr="000B65F4">
        <w:t xml:space="preserve"> Reciba un cordial saludo</w:t>
      </w:r>
      <w:r>
        <w:t xml:space="preserve">” </w:t>
      </w:r>
      <w:r>
        <w:rPr>
          <w:b/>
          <w:bCs/>
        </w:rPr>
        <w:t>(Sic)</w:t>
      </w:r>
    </w:p>
    <w:p w14:paraId="5AAFE176" w14:textId="77777777" w:rsidR="000B65F4" w:rsidRPr="000B65F4" w:rsidRDefault="000B65F4" w:rsidP="00EF1925">
      <w:pPr>
        <w:spacing w:before="240" w:line="360" w:lineRule="auto"/>
        <w:jc w:val="both"/>
        <w:rPr>
          <w:rFonts w:ascii="Palatino Linotype" w:hAnsi="Palatino Linotype" w:cs="Arial"/>
          <w:sz w:val="24"/>
          <w:szCs w:val="24"/>
        </w:rPr>
      </w:pPr>
    </w:p>
    <w:p w14:paraId="259B6E09" w14:textId="382783CD" w:rsidR="00B433C9" w:rsidRDefault="000B65F4"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6DA3FE48" w14:textId="743503CB" w:rsidR="000B65F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0B65F4">
        <w:rPr>
          <w:rFonts w:ascii="Palatino Linotype" w:hAnsi="Palatino Linotype" w:cs="Arial"/>
          <w:sz w:val="24"/>
          <w:szCs w:val="24"/>
        </w:rPr>
        <w:t xml:space="preserve">dieciséis de junio de dos mil veintidós, el cual fue registrado con </w:t>
      </w:r>
      <w:r w:rsidR="000B65F4">
        <w:rPr>
          <w:rFonts w:ascii="Palatino Linotype" w:hAnsi="Palatino Linotype" w:cs="Arial"/>
          <w:sz w:val="24"/>
          <w:szCs w:val="24"/>
        </w:rPr>
        <w:lastRenderedPageBreak/>
        <w:t xml:space="preserve">el expediente número </w:t>
      </w:r>
      <w:r w:rsidR="000B65F4">
        <w:rPr>
          <w:rFonts w:ascii="Palatino Linotype" w:hAnsi="Palatino Linotype" w:cs="Arial"/>
          <w:b/>
          <w:bCs/>
          <w:sz w:val="24"/>
          <w:szCs w:val="24"/>
        </w:rPr>
        <w:t xml:space="preserve">11395/INFOEM/IP/RR/2022, </w:t>
      </w:r>
      <w:r w:rsidR="000B65F4">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331DD846" w:rsidR="00B433C9" w:rsidRPr="00712E3A" w:rsidRDefault="00B433C9" w:rsidP="005C57BA">
      <w:pPr>
        <w:pStyle w:val="Citas"/>
        <w:tabs>
          <w:tab w:val="left" w:pos="3750"/>
        </w:tabs>
        <w:rPr>
          <w:b/>
        </w:rPr>
      </w:pPr>
      <w:r w:rsidRPr="000B65F4">
        <w:t>“</w:t>
      </w:r>
      <w:r w:rsidR="000B65F4" w:rsidRPr="000B65F4">
        <w:t>No se entrega la información solciitgada cuando en los medio de comunicación se dijo que se habian firmado convenios para haber otorgado el aumento de tarifa.</w:t>
      </w:r>
      <w:r w:rsidR="00F516E3" w:rsidRPr="000B65F4">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251379BC" w:rsidR="00B433C9" w:rsidRPr="00CB2DA9" w:rsidRDefault="00B433C9" w:rsidP="00CB2DA9">
      <w:pPr>
        <w:pStyle w:val="Citas"/>
      </w:pPr>
      <w:r w:rsidRPr="000B65F4">
        <w:t>“</w:t>
      </w:r>
      <w:r w:rsidR="000B65F4" w:rsidRPr="000B65F4">
        <w:t>no se entrga la ionfomarcian solicitada.</w:t>
      </w:r>
      <w:r w:rsidRPr="000B65F4">
        <w:t>”</w:t>
      </w:r>
      <w:r w:rsidRPr="00CB2DA9">
        <w:t xml:space="preserve"> </w:t>
      </w:r>
      <w:r w:rsidR="00F516E3" w:rsidRPr="00CB2DA9">
        <w:rPr>
          <w:b/>
          <w:bCs/>
        </w:rPr>
        <w:t>(Sic)</w:t>
      </w:r>
    </w:p>
    <w:p w14:paraId="62143610" w14:textId="77777777" w:rsidR="00CB2DA9" w:rsidRDefault="00CB2DA9" w:rsidP="00B433C9">
      <w:pPr>
        <w:spacing w:before="240" w:line="360" w:lineRule="auto"/>
        <w:jc w:val="both"/>
        <w:rPr>
          <w:rFonts w:ascii="Palatino Linotype" w:hAnsi="Palatino Linotype" w:cs="Arial"/>
          <w:b/>
          <w:sz w:val="28"/>
        </w:rPr>
      </w:pPr>
    </w:p>
    <w:p w14:paraId="454F7370" w14:textId="3A25AF77" w:rsidR="00B433C9" w:rsidRDefault="000B65F4"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0AA9C157" w14:textId="77777777" w:rsidR="000B65F4" w:rsidRDefault="00B433C9" w:rsidP="000B65F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0B65F4">
        <w:rPr>
          <w:rFonts w:ascii="Palatino Linotype" w:hAnsi="Palatino Linotype" w:cs="Arial"/>
          <w:sz w:val="24"/>
          <w:szCs w:val="24"/>
        </w:rPr>
        <w:t>veintiuno de junio de los corrientes, determinándose en él, un plazo de siete días para que las partes manifestaran lo que a su derecho corresponda en términos del numeral ya citado.</w:t>
      </w:r>
    </w:p>
    <w:p w14:paraId="4565BCBC" w14:textId="77777777" w:rsidR="000B65F4" w:rsidRDefault="000B65F4" w:rsidP="00B433C9">
      <w:pPr>
        <w:pStyle w:val="Prrafodelista"/>
        <w:spacing w:line="360" w:lineRule="auto"/>
        <w:ind w:left="0"/>
        <w:jc w:val="both"/>
        <w:rPr>
          <w:rFonts w:ascii="Palatino Linotype" w:hAnsi="Palatino Linotype" w:cs="Arial"/>
          <w:b/>
          <w:sz w:val="28"/>
        </w:rPr>
      </w:pPr>
    </w:p>
    <w:p w14:paraId="0A5C5FA8" w14:textId="4C776645" w:rsidR="00B433C9" w:rsidRDefault="000B65F4"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FA8D4D7" w14:textId="77777777" w:rsidR="00650803" w:rsidRDefault="00650803" w:rsidP="0065080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9A2FA33" w14:textId="77777777" w:rsidR="00776444" w:rsidRPr="00CB2DA9" w:rsidRDefault="00776444" w:rsidP="00764DB2">
      <w:pPr>
        <w:spacing w:after="0" w:line="360" w:lineRule="auto"/>
        <w:jc w:val="both"/>
        <w:rPr>
          <w:rFonts w:ascii="Palatino Linotype" w:hAnsi="Palatino Linotype" w:cs="Arial"/>
          <w:b/>
          <w:bCs/>
          <w:sz w:val="24"/>
          <w:szCs w:val="24"/>
        </w:rPr>
      </w:pPr>
    </w:p>
    <w:p w14:paraId="1504304B" w14:textId="417A36A0" w:rsidR="00764DB2" w:rsidRDefault="00844CD2"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650803">
        <w:rPr>
          <w:rFonts w:ascii="Palatino Linotype" w:hAnsi="Palatino Linotype" w:cs="Arial"/>
          <w:b/>
          <w:bCs/>
          <w:sz w:val="24"/>
          <w:szCs w:val="24"/>
        </w:rPr>
        <w:t xml:space="preserve">uno de julio de dos mil veintidós, </w:t>
      </w:r>
      <w:r w:rsidR="00764DB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CBD5E2C" w14:textId="2D340ABE" w:rsidR="00764DB2" w:rsidRDefault="00764DB2" w:rsidP="00764DB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650803">
        <w:rPr>
          <w:rFonts w:ascii="Palatino Linotype" w:hAnsi="Palatino Linotype" w:cs="Arial"/>
          <w:b/>
          <w:bCs/>
          <w:sz w:val="24"/>
          <w:szCs w:val="24"/>
        </w:rPr>
        <w:t>diecinueve</w:t>
      </w:r>
      <w:r w:rsidR="00844CD2">
        <w:rPr>
          <w:rFonts w:ascii="Palatino Linotype" w:hAnsi="Palatino Linotype" w:cs="Arial"/>
          <w:b/>
          <w:bCs/>
          <w:sz w:val="24"/>
          <w:szCs w:val="24"/>
        </w:rPr>
        <w:t xml:space="preserve"> de </w:t>
      </w:r>
      <w:r w:rsidR="00650803">
        <w:rPr>
          <w:rFonts w:ascii="Palatino Linotype" w:hAnsi="Palatino Linotype" w:cs="Arial"/>
          <w:b/>
          <w:bCs/>
          <w:sz w:val="24"/>
          <w:szCs w:val="24"/>
        </w:rPr>
        <w:t>agosto</w:t>
      </w:r>
      <w:r w:rsidR="00844CD2">
        <w:rPr>
          <w:rFonts w:ascii="Palatino Linotype" w:hAnsi="Palatino Linotype" w:cs="Arial"/>
          <w:b/>
          <w:bCs/>
          <w:sz w:val="24"/>
          <w:szCs w:val="24"/>
        </w:rPr>
        <w:t xml:space="preserv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7D2AF46"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9B02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F3B43">
        <w:rPr>
          <w:rFonts w:ascii="Palatino Linotype" w:hAnsi="Palatino Linotype" w:cstheme="majorHAnsi"/>
          <w:sz w:val="24"/>
          <w:szCs w:val="24"/>
        </w:rPr>
        <w:lastRenderedPageBreak/>
        <w:t>jurisdiccionales federales, aplicables también en procedimientos análogos, como el que nos ocupa.</w:t>
      </w:r>
    </w:p>
    <w:p w14:paraId="0DC90053"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E1A2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DF797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C43450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BBD3C3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5BB2BC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88BFEAA"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DB57328" w14:textId="77777777" w:rsidR="00764DB2" w:rsidRPr="001F3B43" w:rsidRDefault="00764DB2" w:rsidP="00764DB2">
      <w:pPr>
        <w:spacing w:line="360" w:lineRule="auto"/>
        <w:jc w:val="both"/>
        <w:rPr>
          <w:rFonts w:ascii="Palatino Linotype" w:hAnsi="Palatino Linotype" w:cstheme="majorHAnsi"/>
          <w:sz w:val="24"/>
          <w:szCs w:val="24"/>
        </w:rPr>
      </w:pPr>
    </w:p>
    <w:p w14:paraId="350FB69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DCE92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E9EB70"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FA193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48A5C0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E4205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FB8BB4F" w14:textId="77777777" w:rsidR="00764DB2" w:rsidRPr="00B01D73" w:rsidRDefault="00764DB2" w:rsidP="00764DB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F642F12" w14:textId="77777777" w:rsidR="00480C32" w:rsidRDefault="00480C32" w:rsidP="007E4FA1">
      <w:pPr>
        <w:spacing w:before="240" w:line="360" w:lineRule="auto"/>
        <w:jc w:val="center"/>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2C2D9099"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B110D27" w14:textId="77777777" w:rsidR="00844CD2" w:rsidRDefault="00844CD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F6E9A4E" w14:textId="77777777" w:rsidR="00480C32" w:rsidRDefault="00480C32" w:rsidP="00480C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1228937" w14:textId="77777777" w:rsidR="00480C32" w:rsidRPr="00514E66" w:rsidRDefault="00480C32" w:rsidP="00480C3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24F6C598" w14:textId="77777777" w:rsidR="00480C32" w:rsidRDefault="00480C32" w:rsidP="00480C3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6C1181D2" w14:textId="77777777" w:rsidR="00307615"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390C8B6" w14:textId="77777777" w:rsidR="00CB2DA9" w:rsidRDefault="00CB2DA9" w:rsidP="008F5D20">
      <w:pPr>
        <w:spacing w:after="0" w:line="360" w:lineRule="auto"/>
        <w:jc w:val="both"/>
        <w:rPr>
          <w:rFonts w:ascii="Palatino Linotype" w:eastAsia="Times New Roman" w:hAnsi="Palatino Linotype" w:cs="Times New Roman"/>
          <w:sz w:val="24"/>
          <w:szCs w:val="24"/>
          <w:lang w:eastAsia="es-ES"/>
        </w:rPr>
      </w:pPr>
    </w:p>
    <w:p w14:paraId="1368A4F5" w14:textId="18AB6D6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DC8D74" w14:textId="77777777" w:rsidR="009C520A" w:rsidRDefault="009C520A" w:rsidP="00D870AC">
      <w:pPr>
        <w:spacing w:before="240" w:line="360" w:lineRule="auto"/>
        <w:jc w:val="both"/>
        <w:rPr>
          <w:rFonts w:ascii="Palatino Linotype" w:hAnsi="Palatino Linotype"/>
          <w:sz w:val="24"/>
          <w:szCs w:val="24"/>
        </w:rPr>
      </w:pPr>
    </w:p>
    <w:p w14:paraId="4F13DFFA" w14:textId="402362C7" w:rsidR="00CB2DA9"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650803">
        <w:rPr>
          <w:rFonts w:ascii="Palatino Linotype" w:hAnsi="Palatino Linotype"/>
          <w:b/>
          <w:bCs/>
          <w:sz w:val="24"/>
          <w:szCs w:val="24"/>
        </w:rPr>
        <w:t>00283/SMOV/IP/2022</w:t>
      </w:r>
      <w:r w:rsidR="00CB2DA9">
        <w:rPr>
          <w:rFonts w:ascii="Palatino Linotype" w:hAnsi="Palatino Linotype"/>
          <w:b/>
          <w:bCs/>
          <w:sz w:val="24"/>
          <w:szCs w:val="24"/>
        </w:rPr>
        <w:t xml:space="preserve"> </w:t>
      </w:r>
      <w:r w:rsidR="00650803">
        <w:rPr>
          <w:rFonts w:ascii="Palatino Linotype" w:hAnsi="Palatino Linotype"/>
          <w:sz w:val="24"/>
          <w:szCs w:val="24"/>
        </w:rPr>
        <w:t>fue formulado un requerimiento en los siguientes términos:</w:t>
      </w:r>
    </w:p>
    <w:p w14:paraId="28914562" w14:textId="163798CB" w:rsidR="00650803" w:rsidRPr="00650803" w:rsidRDefault="00650803" w:rsidP="00650803">
      <w:pPr>
        <w:pStyle w:val="Prrafodelista"/>
        <w:numPr>
          <w:ilvl w:val="0"/>
          <w:numId w:val="38"/>
        </w:numPr>
        <w:spacing w:before="240" w:line="360" w:lineRule="auto"/>
        <w:jc w:val="both"/>
        <w:rPr>
          <w:rFonts w:ascii="Palatino Linotype" w:hAnsi="Palatino Linotype"/>
        </w:rPr>
      </w:pPr>
      <w:r>
        <w:rPr>
          <w:rFonts w:ascii="Palatino Linotype" w:hAnsi="Palatino Linotype"/>
        </w:rPr>
        <w:lastRenderedPageBreak/>
        <w:t xml:space="preserve">Convenios firmados con empresas </w:t>
      </w:r>
      <w:r w:rsidR="00DD0B10">
        <w:rPr>
          <w:rFonts w:ascii="Palatino Linotype" w:hAnsi="Palatino Linotype"/>
        </w:rPr>
        <w:t xml:space="preserve">mediante los cuales se aprobó el aumento de las tarifas de transporte público, durante el ejercicio 2019. </w:t>
      </w:r>
    </w:p>
    <w:p w14:paraId="19A6B3C1" w14:textId="77777777" w:rsidR="00CB2DA9" w:rsidRDefault="00CB2DA9" w:rsidP="00D870AC">
      <w:pPr>
        <w:spacing w:before="240" w:line="360" w:lineRule="auto"/>
        <w:jc w:val="both"/>
        <w:rPr>
          <w:rFonts w:ascii="Palatino Linotype" w:hAnsi="Palatino Linotype"/>
          <w:sz w:val="24"/>
          <w:szCs w:val="24"/>
        </w:rPr>
      </w:pPr>
    </w:p>
    <w:p w14:paraId="0D4ADD73" w14:textId="7490F18F" w:rsidR="00C10621" w:rsidRDefault="000B4A40" w:rsidP="00C10621">
      <w:pPr>
        <w:spacing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mc:AlternateContent>
          <mc:Choice Requires="wps">
            <w:drawing>
              <wp:anchor distT="0" distB="0" distL="114300" distR="114300" simplePos="0" relativeHeight="251704320" behindDoc="0" locked="0" layoutInCell="1" allowOverlap="1" wp14:anchorId="012387D7" wp14:editId="562103B0">
                <wp:simplePos x="0" y="0"/>
                <wp:positionH relativeFrom="column">
                  <wp:posOffset>3498792</wp:posOffset>
                </wp:positionH>
                <wp:positionV relativeFrom="paragraph">
                  <wp:posOffset>3994958</wp:posOffset>
                </wp:positionV>
                <wp:extent cx="332509" cy="221673"/>
                <wp:effectExtent l="0" t="0" r="10795" b="26035"/>
                <wp:wrapNone/>
                <wp:docPr id="28" name="Oval 28"/>
                <wp:cNvGraphicFramePr/>
                <a:graphic xmlns:a="http://schemas.openxmlformats.org/drawingml/2006/main">
                  <a:graphicData uri="http://schemas.microsoft.com/office/word/2010/wordprocessingShape">
                    <wps:wsp>
                      <wps:cNvSpPr/>
                      <wps:spPr>
                        <a:xfrm>
                          <a:off x="0" y="0"/>
                          <a:ext cx="332509" cy="221673"/>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93DD151" id="Oval 28" o:spid="_x0000_s1026" style="position:absolute;margin-left:275.5pt;margin-top:314.55pt;width:26.2pt;height:17.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" filled="f" strokecolor="red" strokeweight="1pt">
                <v:stroke joinstyle="miter"/>
              </v:oval>
            </w:pict>
          </mc:Fallback>
        </mc:AlternateContent>
      </w:r>
      <w:r w:rsidR="0090621C">
        <w:rPr>
          <w:rFonts w:ascii="Palatino Linotype" w:hAnsi="Palatino Linotype" w:cs="Arial"/>
          <w:b/>
          <w:bCs/>
          <w:noProof/>
          <w:sz w:val="24"/>
          <w:szCs w:val="24"/>
          <w:lang w:eastAsia="es-MX"/>
        </w:rPr>
        <w:drawing>
          <wp:anchor distT="0" distB="0" distL="114300" distR="114300" simplePos="0" relativeHeight="251669496" behindDoc="0" locked="0" layoutInCell="1" allowOverlap="1" wp14:anchorId="2488E014" wp14:editId="3751A31D">
            <wp:simplePos x="0" y="0"/>
            <wp:positionH relativeFrom="column">
              <wp:posOffset>17145</wp:posOffset>
            </wp:positionH>
            <wp:positionV relativeFrom="paragraph">
              <wp:posOffset>1225550</wp:posOffset>
            </wp:positionV>
            <wp:extent cx="5752465" cy="3451860"/>
            <wp:effectExtent l="19050" t="19050" r="19685" b="15240"/>
            <wp:wrapThrough wrapText="bothSides">
              <wp:wrapPolygon edited="0">
                <wp:start x="-72" y="-119"/>
                <wp:lineTo x="-72" y="21576"/>
                <wp:lineTo x="21602" y="21576"/>
                <wp:lineTo x="21602" y="-119"/>
                <wp:lineTo x="-72" y="-11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451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10621" w:rsidRPr="00B953BD">
        <w:rPr>
          <w:rFonts w:ascii="Palatino Linotype" w:hAnsi="Palatino Linotype" w:cs="Arial"/>
          <w:sz w:val="24"/>
          <w:szCs w:val="24"/>
        </w:rPr>
        <w:t xml:space="preserve">A mayor abundamiento, en alusión </w:t>
      </w:r>
      <w:r w:rsidR="00DD0B10">
        <w:rPr>
          <w:rFonts w:ascii="Palatino Linotype" w:hAnsi="Palatino Linotype" w:cs="Arial"/>
          <w:sz w:val="24"/>
          <w:szCs w:val="24"/>
        </w:rPr>
        <w:t>al</w:t>
      </w:r>
      <w:r w:rsidR="00C62A64">
        <w:rPr>
          <w:rFonts w:ascii="Palatino Linotype" w:hAnsi="Palatino Linotype" w:cs="Arial"/>
          <w:sz w:val="24"/>
          <w:szCs w:val="24"/>
        </w:rPr>
        <w:t xml:space="preserve"> requerimiento previamente referido</w:t>
      </w:r>
      <w:r w:rsidR="00C10621" w:rsidRPr="00B953BD">
        <w:rPr>
          <w:rFonts w:ascii="Palatino Linotype" w:hAnsi="Palatino Linotype" w:cs="Arial"/>
          <w:sz w:val="24"/>
          <w:szCs w:val="24"/>
        </w:rPr>
        <w:t xml:space="preserve">, sirven de sustento las siguientes imágenes ilustrativas, correspondientes al organigrama del </w:t>
      </w:r>
      <w:r w:rsidR="00C10621" w:rsidRPr="00B953BD">
        <w:rPr>
          <w:rFonts w:ascii="Palatino Linotype" w:hAnsi="Palatino Linotype" w:cs="Arial"/>
          <w:b/>
          <w:bCs/>
          <w:sz w:val="24"/>
          <w:szCs w:val="24"/>
        </w:rPr>
        <w:t>Sujeto Obligado:</w:t>
      </w:r>
    </w:p>
    <w:p w14:paraId="40AA2EDA" w14:textId="016A28A2" w:rsidR="0090621C" w:rsidRDefault="00220DF4" w:rsidP="00C10621">
      <w:pPr>
        <w:spacing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drawing>
          <wp:anchor distT="0" distB="0" distL="114300" distR="114300" simplePos="0" relativeHeight="251700224" behindDoc="0" locked="0" layoutInCell="1" allowOverlap="1" wp14:anchorId="5ABF6E1C" wp14:editId="13EF7D81">
            <wp:simplePos x="0" y="0"/>
            <wp:positionH relativeFrom="column">
              <wp:posOffset>2129155</wp:posOffset>
            </wp:positionH>
            <wp:positionV relativeFrom="paragraph">
              <wp:posOffset>4059555</wp:posOffset>
            </wp:positionV>
            <wp:extent cx="1535430" cy="788670"/>
            <wp:effectExtent l="19050" t="19050" r="26670" b="11430"/>
            <wp:wrapThrough wrapText="bothSides">
              <wp:wrapPolygon edited="0">
                <wp:start x="-268" y="-522"/>
                <wp:lineTo x="-268" y="21391"/>
                <wp:lineTo x="21707" y="21391"/>
                <wp:lineTo x="21707" y="-522"/>
                <wp:lineTo x="-268" y="-522"/>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5430" cy="788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lang w:eastAsia="es-MX"/>
        </w:rPr>
        <w:drawing>
          <wp:anchor distT="0" distB="0" distL="114300" distR="114300" simplePos="0" relativeHeight="251699200" behindDoc="0" locked="0" layoutInCell="1" allowOverlap="1" wp14:anchorId="4BEA49B4" wp14:editId="3E94BBDD">
            <wp:simplePos x="0" y="0"/>
            <wp:positionH relativeFrom="column">
              <wp:posOffset>22225</wp:posOffset>
            </wp:positionH>
            <wp:positionV relativeFrom="paragraph">
              <wp:posOffset>4062095</wp:posOffset>
            </wp:positionV>
            <wp:extent cx="1508760" cy="792480"/>
            <wp:effectExtent l="19050" t="19050" r="15240" b="26670"/>
            <wp:wrapThrough wrapText="bothSides">
              <wp:wrapPolygon edited="0">
                <wp:start x="-273" y="-519"/>
                <wp:lineTo x="-273" y="21808"/>
                <wp:lineTo x="21545" y="21808"/>
                <wp:lineTo x="21545" y="-519"/>
                <wp:lineTo x="-273" y="-51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792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lang w:eastAsia="es-MX"/>
        </w:rPr>
        <w:drawing>
          <wp:anchor distT="0" distB="0" distL="114300" distR="114300" simplePos="0" relativeHeight="251701248" behindDoc="0" locked="0" layoutInCell="1" allowOverlap="1" wp14:anchorId="14F7B545" wp14:editId="23AADFFE">
            <wp:simplePos x="0" y="0"/>
            <wp:positionH relativeFrom="column">
              <wp:posOffset>4264660</wp:posOffset>
            </wp:positionH>
            <wp:positionV relativeFrom="paragraph">
              <wp:posOffset>4067175</wp:posOffset>
            </wp:positionV>
            <wp:extent cx="1508760" cy="784860"/>
            <wp:effectExtent l="19050" t="19050" r="15240" b="15240"/>
            <wp:wrapThrough wrapText="bothSides">
              <wp:wrapPolygon edited="0">
                <wp:start x="-273" y="-524"/>
                <wp:lineTo x="-273" y="21495"/>
                <wp:lineTo x="21545" y="21495"/>
                <wp:lineTo x="21545" y="-524"/>
                <wp:lineTo x="-273" y="-524"/>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784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CD3AB7" w14:textId="23276F69" w:rsidR="0090621C" w:rsidRDefault="0090621C" w:rsidP="00C10621">
      <w:pPr>
        <w:spacing w:line="360" w:lineRule="auto"/>
        <w:jc w:val="both"/>
        <w:rPr>
          <w:rFonts w:ascii="Palatino Linotype" w:hAnsi="Palatino Linotype" w:cs="Arial"/>
          <w:b/>
          <w:bCs/>
          <w:sz w:val="24"/>
          <w:szCs w:val="24"/>
        </w:rPr>
      </w:pPr>
    </w:p>
    <w:p w14:paraId="2F4037D8" w14:textId="79B812B7" w:rsidR="0090621C" w:rsidRDefault="0090621C" w:rsidP="00C10621">
      <w:pPr>
        <w:spacing w:line="360" w:lineRule="auto"/>
        <w:jc w:val="both"/>
        <w:rPr>
          <w:rFonts w:ascii="Palatino Linotype" w:hAnsi="Palatino Linotype" w:cs="Arial"/>
          <w:b/>
          <w:bCs/>
          <w:sz w:val="24"/>
          <w:szCs w:val="24"/>
        </w:rPr>
      </w:pPr>
    </w:p>
    <w:p w14:paraId="7A25A034" w14:textId="56A7C374" w:rsidR="0090621C" w:rsidRDefault="0090621C" w:rsidP="00C10621">
      <w:pPr>
        <w:spacing w:line="360" w:lineRule="auto"/>
        <w:jc w:val="both"/>
        <w:rPr>
          <w:rFonts w:ascii="Palatino Linotype" w:hAnsi="Palatino Linotype" w:cs="Arial"/>
          <w:b/>
          <w:bCs/>
          <w:sz w:val="24"/>
          <w:szCs w:val="24"/>
        </w:rPr>
      </w:pPr>
    </w:p>
    <w:p w14:paraId="523CB38D" w14:textId="10FF63A8" w:rsidR="002807E2" w:rsidRDefault="00220DF4" w:rsidP="00220DF4">
      <w:pPr>
        <w:autoSpaceDE w:val="0"/>
        <w:autoSpaceDN w:val="0"/>
        <w:adjustRightInd w:val="0"/>
        <w:spacing w:before="240" w:line="360" w:lineRule="auto"/>
        <w:jc w:val="both"/>
        <w:rPr>
          <w:rFonts w:ascii="Palatino Linotype" w:hAnsi="Palatino Linotype" w:cs="Arial"/>
          <w:b/>
          <w:bCs/>
          <w:sz w:val="24"/>
          <w:szCs w:val="24"/>
        </w:rPr>
      </w:pPr>
      <w:r w:rsidRPr="00B83078">
        <w:rPr>
          <w:rFonts w:ascii="Palatino Linotype" w:hAnsi="Palatino Linotype" w:cs="Arial"/>
          <w:sz w:val="24"/>
          <w:szCs w:val="24"/>
        </w:rPr>
        <w:lastRenderedPageBreak/>
        <w:t xml:space="preserve">De lo expuesto con anterioridad, se desprende que </w:t>
      </w:r>
      <w:r w:rsidRPr="00B83078">
        <w:rPr>
          <w:rFonts w:ascii="Palatino Linotype" w:hAnsi="Palatino Linotype" w:cs="Arial"/>
          <w:b/>
          <w:sz w:val="24"/>
          <w:szCs w:val="24"/>
        </w:rPr>
        <w:t xml:space="preserve">El Sujeto Obligado </w:t>
      </w:r>
      <w:r w:rsidRPr="00B83078">
        <w:rPr>
          <w:rFonts w:ascii="Palatino Linotype" w:hAnsi="Palatino Linotype" w:cs="Arial"/>
          <w:sz w:val="24"/>
          <w:szCs w:val="24"/>
        </w:rPr>
        <w:t>se auxilia de diversas Direcciones, Subdirecciones, Departamentos y Unidades Administrativas para cumplir con sus fines y objetivos, resultando de nuestro más amplio interés la</w:t>
      </w:r>
      <w:r>
        <w:rPr>
          <w:rFonts w:ascii="Palatino Linotype" w:hAnsi="Palatino Linotype" w:cs="Arial"/>
          <w:sz w:val="24"/>
          <w:szCs w:val="24"/>
        </w:rPr>
        <w:t xml:space="preserve"> Subsecretaría de Movilidad, Dirección General de Movilidad y Delegación Regional de Movilidad. </w:t>
      </w:r>
    </w:p>
    <w:p w14:paraId="718A1395" w14:textId="7249344E" w:rsidR="002807E2" w:rsidRDefault="002807E2" w:rsidP="00C10621">
      <w:pPr>
        <w:spacing w:line="360" w:lineRule="auto"/>
        <w:jc w:val="both"/>
        <w:rPr>
          <w:rFonts w:ascii="Palatino Linotype" w:hAnsi="Palatino Linotype" w:cs="Arial"/>
          <w:b/>
          <w:bCs/>
          <w:sz w:val="24"/>
          <w:szCs w:val="24"/>
        </w:rPr>
      </w:pPr>
      <w:r w:rsidRPr="00125828">
        <w:rPr>
          <w:rFonts w:ascii="Palatino Linotype" w:hAnsi="Palatino Linotype" w:cs="Arial"/>
          <w:sz w:val="24"/>
          <w:szCs w:val="24"/>
        </w:rPr>
        <w:t>En virtud de lo anterior, para delimitar las fronteras conceptuales de la</w:t>
      </w:r>
      <w:r>
        <w:rPr>
          <w:rFonts w:ascii="Palatino Linotype" w:hAnsi="Palatino Linotype" w:cs="Arial"/>
          <w:sz w:val="24"/>
          <w:szCs w:val="24"/>
        </w:rPr>
        <w:t>s</w:t>
      </w:r>
      <w:r w:rsidRPr="00125828">
        <w:rPr>
          <w:rFonts w:ascii="Palatino Linotype" w:hAnsi="Palatino Linotype" w:cs="Arial"/>
          <w:sz w:val="24"/>
          <w:szCs w:val="24"/>
        </w:rPr>
        <w:t xml:space="preserve"> unidad</w:t>
      </w:r>
      <w:r>
        <w:rPr>
          <w:rFonts w:ascii="Palatino Linotype" w:hAnsi="Palatino Linotype" w:cs="Arial"/>
          <w:sz w:val="24"/>
          <w:szCs w:val="24"/>
        </w:rPr>
        <w:t>es</w:t>
      </w:r>
      <w:r w:rsidRPr="00125828">
        <w:rPr>
          <w:rFonts w:ascii="Palatino Linotype" w:hAnsi="Palatino Linotype" w:cs="Arial"/>
          <w:sz w:val="24"/>
          <w:szCs w:val="24"/>
        </w:rPr>
        <w:t xml:space="preserve"> administrativa</w:t>
      </w:r>
      <w:r>
        <w:rPr>
          <w:rFonts w:ascii="Palatino Linotype" w:hAnsi="Palatino Linotype" w:cs="Arial"/>
          <w:sz w:val="24"/>
          <w:szCs w:val="24"/>
        </w:rPr>
        <w:t>s</w:t>
      </w:r>
      <w:r w:rsidRPr="00125828">
        <w:rPr>
          <w:rFonts w:ascii="Palatino Linotype" w:hAnsi="Palatino Linotype" w:cs="Arial"/>
          <w:sz w:val="24"/>
          <w:szCs w:val="24"/>
        </w:rPr>
        <w:t xml:space="preserve"> en cita, </w:t>
      </w:r>
      <w:bookmarkStart w:id="0" w:name="_Hlk111978346"/>
      <w:r w:rsidRPr="00125828">
        <w:rPr>
          <w:rFonts w:ascii="Palatino Linotype" w:hAnsi="Palatino Linotype" w:cs="Arial"/>
          <w:sz w:val="24"/>
          <w:szCs w:val="24"/>
        </w:rPr>
        <w:t>resulta oportuno traer a colación</w:t>
      </w:r>
      <w:r>
        <w:rPr>
          <w:rFonts w:ascii="Palatino Linotype" w:hAnsi="Palatino Linotype" w:cs="Arial"/>
          <w:sz w:val="24"/>
          <w:szCs w:val="24"/>
        </w:rPr>
        <w:t xml:space="preserve"> los artículos 19, fracción XVI y 32, fracciones I, II, XXIX y XXXIII de la Ley Orgánica de la Administración Pública del Estado de México; </w:t>
      </w:r>
      <w:r w:rsidR="00123727">
        <w:rPr>
          <w:rFonts w:ascii="Palatino Linotype" w:hAnsi="Palatino Linotype" w:cs="Arial"/>
          <w:sz w:val="24"/>
          <w:szCs w:val="24"/>
        </w:rPr>
        <w:t xml:space="preserve">7.25 del Código Administrativo del Estado de México; </w:t>
      </w:r>
      <w:r w:rsidR="00F76F0C" w:rsidRPr="00F76F0C">
        <w:rPr>
          <w:rFonts w:ascii="Palatino Linotype" w:hAnsi="Palatino Linotype" w:cs="Arial"/>
          <w:sz w:val="24"/>
          <w:szCs w:val="24"/>
        </w:rPr>
        <w:t>50, 51, fracción IV, 52, 90, 91, 92 y 93 del Reglamento del Transporte Público y Servicios Conexos del Estado de México</w:t>
      </w:r>
      <w:r w:rsidR="00F76F0C">
        <w:rPr>
          <w:rFonts w:ascii="Palatino Linotype" w:hAnsi="Palatino Linotype" w:cs="Arial"/>
          <w:sz w:val="24"/>
          <w:szCs w:val="24"/>
        </w:rPr>
        <w:t xml:space="preserve">; </w:t>
      </w:r>
      <w:r w:rsidR="0090621C" w:rsidRPr="0090621C">
        <w:rPr>
          <w:rFonts w:ascii="Palatino Linotype" w:hAnsi="Palatino Linotype" w:cs="Arial"/>
          <w:sz w:val="24"/>
          <w:szCs w:val="24"/>
        </w:rPr>
        <w:t xml:space="preserve">6, fracción XXXIX, 11, 13, fracción VII, 17, fracción </w:t>
      </w:r>
      <w:r w:rsidR="000B4A40">
        <w:rPr>
          <w:rFonts w:ascii="Palatino Linotype" w:hAnsi="Palatino Linotype" w:cs="Arial"/>
          <w:sz w:val="24"/>
          <w:szCs w:val="24"/>
        </w:rPr>
        <w:t>IV</w:t>
      </w:r>
      <w:r w:rsidR="0090621C" w:rsidRPr="0090621C">
        <w:rPr>
          <w:rFonts w:ascii="Palatino Linotype" w:hAnsi="Palatino Linotype" w:cs="Arial"/>
          <w:sz w:val="24"/>
          <w:szCs w:val="24"/>
        </w:rPr>
        <w:t xml:space="preserve"> del Reglamento Interior de la Secretaría de Movilidad</w:t>
      </w:r>
      <w:r w:rsidR="0090621C">
        <w:rPr>
          <w:rFonts w:ascii="Palatino Linotype" w:hAnsi="Palatino Linotype" w:cs="Arial"/>
          <w:sz w:val="24"/>
          <w:szCs w:val="24"/>
        </w:rPr>
        <w:t xml:space="preserve">; </w:t>
      </w:r>
      <w:bookmarkEnd w:id="0"/>
      <w:r w:rsidR="0090621C">
        <w:rPr>
          <w:rFonts w:ascii="Palatino Linotype" w:hAnsi="Palatino Linotype" w:cs="Arial"/>
          <w:sz w:val="24"/>
          <w:szCs w:val="24"/>
        </w:rPr>
        <w:t xml:space="preserve">porciones normativas que disponen a la literalidad lo siguiente: </w:t>
      </w:r>
    </w:p>
    <w:p w14:paraId="020C9479" w14:textId="70EE7A8C" w:rsidR="00721C4E" w:rsidRPr="00721C4E" w:rsidRDefault="00721C4E" w:rsidP="00721C4E">
      <w:pPr>
        <w:pStyle w:val="Citas"/>
        <w:jc w:val="center"/>
        <w:rPr>
          <w:b/>
          <w:bCs/>
        </w:rPr>
      </w:pPr>
      <w:r w:rsidRPr="00721C4E">
        <w:rPr>
          <w:b/>
          <w:bCs/>
          <w:sz w:val="24"/>
          <w:szCs w:val="24"/>
        </w:rPr>
        <w:t>LEY ORGÁNICA DE LA ADMINISTRACIÓN PÚBLICA DEL ESTADO DE MÉXICO</w:t>
      </w:r>
    </w:p>
    <w:p w14:paraId="58C6FAAF" w14:textId="159B4E03" w:rsidR="005E7AE4" w:rsidRDefault="004A1C5E" w:rsidP="002807E2">
      <w:pPr>
        <w:pStyle w:val="Citas"/>
      </w:pPr>
      <w:r>
        <w:t>Artículo 19.- Para el estudio, planeación y despacho de los asuntos, en los diversos ramos de la Administración Pública del Estado, auxiliarán al Titular del Ejecutivo, las siguientes dependencias:</w:t>
      </w:r>
    </w:p>
    <w:p w14:paraId="18D7FD8B" w14:textId="0353499E" w:rsidR="004A1C5E" w:rsidRDefault="004A1C5E" w:rsidP="002807E2">
      <w:pPr>
        <w:pStyle w:val="Citas"/>
      </w:pPr>
      <w:r>
        <w:t>(…)</w:t>
      </w:r>
    </w:p>
    <w:p w14:paraId="2D3BD624" w14:textId="79432468" w:rsidR="004A1C5E" w:rsidRDefault="004A1C5E" w:rsidP="002807E2">
      <w:pPr>
        <w:pStyle w:val="Citas"/>
      </w:pPr>
      <w:r>
        <w:t>XVI. Secretaría de Movilidad;</w:t>
      </w:r>
    </w:p>
    <w:p w14:paraId="1FD8B3BA" w14:textId="0B92AA8E" w:rsidR="004A1C5E" w:rsidRDefault="004A1C5E" w:rsidP="002807E2">
      <w:pPr>
        <w:pStyle w:val="Citas"/>
      </w:pPr>
      <w:r>
        <w:t>(…)</w:t>
      </w:r>
    </w:p>
    <w:p w14:paraId="14A5B054" w14:textId="4FE6982B" w:rsidR="004A1C5E" w:rsidRDefault="004A1C5E" w:rsidP="002807E2">
      <w:pPr>
        <w:pStyle w:val="Citas"/>
      </w:pPr>
      <w:r>
        <w:lastRenderedPageBreak/>
        <w:t>Artículo 32.-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p w14:paraId="5C688AA7" w14:textId="4BD8644C" w:rsidR="004A1C5E" w:rsidRDefault="004A1C5E" w:rsidP="002807E2">
      <w:pPr>
        <w:pStyle w:val="Citas"/>
      </w:pPr>
      <w:r>
        <w:t>A esta Secretaría le corresponde el despacho de los siguientes asuntos:</w:t>
      </w:r>
    </w:p>
    <w:p w14:paraId="478C8563" w14:textId="4A0464BF" w:rsidR="004A1C5E" w:rsidRDefault="002807E2" w:rsidP="002807E2">
      <w:pPr>
        <w:pStyle w:val="Citas"/>
      </w:pPr>
      <w:r>
        <w:t>I. Formular y ejecutar planes, programas y acciones para el desarrollo del transporte y sus servicios conexos, infraestructura vial primaria y comunicaciones de jurisdicción local, incluyendo los relativos a sistemas de transporte masivo o de alta capacidad;</w:t>
      </w:r>
    </w:p>
    <w:p w14:paraId="2599D0C0" w14:textId="4963E14B" w:rsidR="002807E2" w:rsidRDefault="002807E2" w:rsidP="002807E2">
      <w:pPr>
        <w:pStyle w:val="Citas"/>
      </w:pPr>
      <w:r>
        <w:t>II. Fomentar mecanismos para garantizar el derecho humano a la movilidad eficiente y segura, así como para garantizar que todas las personas en ejercicio de dicho derecho se obliguen a respetar y preservar las condiciones de la infraestructura para la movilidad;</w:t>
      </w:r>
    </w:p>
    <w:p w14:paraId="17C6D776" w14:textId="6397CF22" w:rsidR="002807E2" w:rsidRDefault="002807E2" w:rsidP="002807E2">
      <w:pPr>
        <w:pStyle w:val="Citas"/>
      </w:pPr>
      <w:r>
        <w:t>(…)</w:t>
      </w:r>
    </w:p>
    <w:p w14:paraId="51F247CF" w14:textId="047E4D85" w:rsidR="002807E2" w:rsidRDefault="002807E2" w:rsidP="002807E2">
      <w:pPr>
        <w:pStyle w:val="Citas"/>
        <w:rPr>
          <w:b/>
          <w:bCs/>
          <w:u w:val="single"/>
        </w:rPr>
      </w:pPr>
      <w:r w:rsidRPr="002807E2">
        <w:rPr>
          <w:b/>
          <w:bCs/>
          <w:u w:val="single"/>
        </w:rPr>
        <w:t>XXIX.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w:t>
      </w:r>
    </w:p>
    <w:p w14:paraId="7C70983E" w14:textId="4682637C" w:rsidR="002807E2" w:rsidRDefault="002807E2" w:rsidP="002807E2">
      <w:pPr>
        <w:pStyle w:val="Citas"/>
        <w:rPr>
          <w:b/>
          <w:bCs/>
          <w:u w:val="single"/>
        </w:rPr>
      </w:pPr>
      <w:r>
        <w:rPr>
          <w:b/>
          <w:bCs/>
          <w:u w:val="single"/>
        </w:rPr>
        <w:t>(…)</w:t>
      </w:r>
    </w:p>
    <w:p w14:paraId="132F6FDB" w14:textId="5F3E49A0" w:rsidR="002807E2" w:rsidRDefault="002807E2" w:rsidP="002807E2">
      <w:pPr>
        <w:pStyle w:val="Citas"/>
      </w:pPr>
      <w:r>
        <w:lastRenderedPageBreak/>
        <w:t>XXXIII. Aprobar la implementación y operación del servicio de pago tarifario anticipado para el acceso de la población al servicio público de transporte de pasajeros en las modalidades de colectivo, individual y mixto, y fijar los requisitos mediante disposiciones de carácter general para su aprobación; así como modificar, revocar, rescatar, sustituir o dar por terminadas las mismas;</w:t>
      </w:r>
    </w:p>
    <w:p w14:paraId="739B645A" w14:textId="59CE3251" w:rsidR="002807E2" w:rsidRDefault="002807E2" w:rsidP="00123727">
      <w:pPr>
        <w:pStyle w:val="Citas"/>
      </w:pPr>
    </w:p>
    <w:p w14:paraId="566D265D" w14:textId="2B271326" w:rsidR="00123727" w:rsidRPr="00123727" w:rsidRDefault="00123727" w:rsidP="00123727">
      <w:pPr>
        <w:pStyle w:val="Citas"/>
        <w:jc w:val="center"/>
        <w:rPr>
          <w:b/>
          <w:bCs/>
        </w:rPr>
      </w:pPr>
      <w:r w:rsidRPr="00123727">
        <w:rPr>
          <w:b/>
          <w:bCs/>
        </w:rPr>
        <w:t>CÓDIGO ADMINISTRATIVO DEL ESTADO DE MÉXICO</w:t>
      </w:r>
    </w:p>
    <w:p w14:paraId="6662BFE0" w14:textId="1082D371" w:rsidR="005E7AE4" w:rsidRDefault="00721C4E" w:rsidP="00123727">
      <w:pPr>
        <w:pStyle w:val="Citas"/>
      </w:pPr>
      <w:r>
        <w:t>Artículo 7.25.- La Secretaría de Movilidad podrá autorizar y modificar en todo tiempo rutas, tarifas, itinerarios, horarios, frecuencias, así como ordenar el cambio de bases, paraderos y terminales, y señalar la forma de identificación de los vehículos, siempre en atención a la satisfactoria prestación del servicio y a las necesidades públicas.</w:t>
      </w:r>
    </w:p>
    <w:p w14:paraId="39C74235" w14:textId="7375371E" w:rsidR="00832C4A" w:rsidRDefault="00832C4A" w:rsidP="00C10621">
      <w:pPr>
        <w:spacing w:line="360" w:lineRule="auto"/>
        <w:jc w:val="both"/>
      </w:pPr>
    </w:p>
    <w:p w14:paraId="72D076A7" w14:textId="527F3032" w:rsidR="00F76F0C" w:rsidRPr="00F76F0C" w:rsidRDefault="00F76F0C" w:rsidP="00F76F0C">
      <w:pPr>
        <w:pStyle w:val="Citas"/>
        <w:rPr>
          <w:b/>
          <w:bCs/>
        </w:rPr>
      </w:pPr>
      <w:r w:rsidRPr="00F76F0C">
        <w:rPr>
          <w:b/>
          <w:bCs/>
        </w:rPr>
        <w:t xml:space="preserve">REGLAMENTO DEL TRANSPORTE PÚBLICO Y SERVICIOS CONEXOS DEL ESTADO DE MÉXICO </w:t>
      </w:r>
    </w:p>
    <w:p w14:paraId="5D720A5B" w14:textId="77777777" w:rsidR="00F76F0C" w:rsidRDefault="00832C4A" w:rsidP="00F76F0C">
      <w:pPr>
        <w:pStyle w:val="Citas"/>
      </w:pPr>
      <w:r>
        <w:t xml:space="preserve">ARTICULO 50.- Las autorizaciones serán complementarias de las concesiones y permisos, formarán parte de los mismos, sólo se expedirán por la misma autoridad que los hubiere otorgado y se inscribirán o anotarán en el Registro relacionándolas con la concesión o permiso que complementen. </w:t>
      </w:r>
    </w:p>
    <w:p w14:paraId="3E9F5EE2" w14:textId="68E612F4" w:rsidR="00832C4A" w:rsidRPr="00F76F0C" w:rsidRDefault="00832C4A" w:rsidP="00F76F0C">
      <w:pPr>
        <w:pStyle w:val="Citas"/>
        <w:rPr>
          <w:b/>
          <w:bCs/>
          <w:u w:val="single"/>
        </w:rPr>
      </w:pPr>
      <w:r w:rsidRPr="00F76F0C">
        <w:rPr>
          <w:b/>
          <w:bCs/>
          <w:u w:val="single"/>
        </w:rPr>
        <w:t>ARTICULO 51.- Serán objeto de autorización:</w:t>
      </w:r>
    </w:p>
    <w:p w14:paraId="2E5090BB" w14:textId="7714AE54" w:rsidR="00832C4A" w:rsidRDefault="00832C4A" w:rsidP="00F76F0C">
      <w:pPr>
        <w:pStyle w:val="Citas"/>
      </w:pPr>
      <w:r>
        <w:t>(…)</w:t>
      </w:r>
    </w:p>
    <w:p w14:paraId="6F70B69D" w14:textId="5941F3C5" w:rsidR="00832C4A" w:rsidRPr="00F76F0C" w:rsidRDefault="00832C4A" w:rsidP="00F76F0C">
      <w:pPr>
        <w:pStyle w:val="Citas"/>
        <w:rPr>
          <w:b/>
          <w:bCs/>
          <w:u w:val="single"/>
        </w:rPr>
      </w:pPr>
      <w:r w:rsidRPr="00F76F0C">
        <w:rPr>
          <w:b/>
          <w:bCs/>
          <w:u w:val="single"/>
        </w:rPr>
        <w:lastRenderedPageBreak/>
        <w:t>IV. Las tarifas a que se sujetará la operación de los servicios regulados en este Reglamento.</w:t>
      </w:r>
    </w:p>
    <w:p w14:paraId="5231A9B4" w14:textId="685A5BA9" w:rsidR="00832C4A" w:rsidRDefault="00832C4A" w:rsidP="00F76F0C">
      <w:pPr>
        <w:pStyle w:val="Citas"/>
      </w:pPr>
      <w:r>
        <w:t>ARTICULO 52.- Para la expedición de autorizaciones se observará lo siguiente: I. Las autorizaciones a que se refieren las fracciones I, II y IV, del articulo anterior, las expedirá de oficio la autoridad de transporte, en los términos del presente Reglamento.</w:t>
      </w:r>
    </w:p>
    <w:p w14:paraId="6CE21885" w14:textId="77777777" w:rsidR="00F76F0C" w:rsidRDefault="00832C4A" w:rsidP="00F76F0C">
      <w:pPr>
        <w:pStyle w:val="Citas"/>
      </w:pPr>
      <w:r>
        <w:t>ARTICULO 90.- Para los efectos de este Reglamento, se entiende por tarifa el precio que el usuario deberá pagar por la utilización de los servicios públicos regulados en este Reglamento.</w:t>
      </w:r>
    </w:p>
    <w:p w14:paraId="2812EBCF" w14:textId="77777777" w:rsidR="00F76F0C" w:rsidRDefault="00832C4A" w:rsidP="00F76F0C">
      <w:pPr>
        <w:pStyle w:val="Citas"/>
      </w:pPr>
      <w:r>
        <w:t xml:space="preserve"> Las tarifas y sus modificaciones, sólo podrán ser aprobadas por la autoridad de transporte, conforme a este capítulo. </w:t>
      </w:r>
    </w:p>
    <w:p w14:paraId="3FBCBF74" w14:textId="77777777" w:rsidR="00F76F0C" w:rsidRDefault="00832C4A" w:rsidP="00F76F0C">
      <w:pPr>
        <w:pStyle w:val="Citas"/>
      </w:pPr>
      <w:r>
        <w:t>La tarifa podrá ser de las siguientes clases:</w:t>
      </w:r>
    </w:p>
    <w:p w14:paraId="55C064E4" w14:textId="77777777" w:rsidR="00F76F0C" w:rsidRDefault="00832C4A" w:rsidP="00F76F0C">
      <w:pPr>
        <w:pStyle w:val="Citas"/>
      </w:pPr>
      <w:r>
        <w:t xml:space="preserve"> I. Para servicio regular de pasaje: </w:t>
      </w:r>
    </w:p>
    <w:p w14:paraId="717B955B" w14:textId="77777777" w:rsidR="00F76F0C" w:rsidRDefault="00832C4A" w:rsidP="00F76F0C">
      <w:pPr>
        <w:pStyle w:val="Citas"/>
      </w:pPr>
      <w:r>
        <w:t xml:space="preserve">a) Tarifa general: La que se autoriza como retribución que el usuario paga por todo el recorrido de la misma ruta. </w:t>
      </w:r>
    </w:p>
    <w:p w14:paraId="6A160F0D" w14:textId="77777777" w:rsidR="00F76F0C" w:rsidRDefault="00832C4A" w:rsidP="00F76F0C">
      <w:pPr>
        <w:pStyle w:val="Citas"/>
      </w:pPr>
      <w:r>
        <w:t xml:space="preserve">b) Tarifa diferenciada: La que se autoriza como retribución que el usuario paga por cada punto intermedio del recorrido de la misma ruta. </w:t>
      </w:r>
    </w:p>
    <w:p w14:paraId="68F8546B" w14:textId="77777777" w:rsidR="00F76F0C" w:rsidRDefault="00832C4A" w:rsidP="00F76F0C">
      <w:pPr>
        <w:pStyle w:val="Citas"/>
      </w:pPr>
      <w:r>
        <w:t xml:space="preserve">c) Tarifa especial: La que se autoriza como retribución que el usuario paga por el recorrido de dos o más rutas diversas del mismo concesionario, siempre que sea la misma clase, modalidad y tipo de servicio, en el cobro de esta tarifa deben expedirse boletos de destino múltiple. </w:t>
      </w:r>
    </w:p>
    <w:p w14:paraId="306BA986" w14:textId="77777777" w:rsidR="00F76F0C" w:rsidRDefault="00832C4A" w:rsidP="00F76F0C">
      <w:pPr>
        <w:pStyle w:val="Citas"/>
      </w:pPr>
      <w:r>
        <w:lastRenderedPageBreak/>
        <w:t xml:space="preserve">II. Para servicio discrecional individual en automóvil de alquiler: </w:t>
      </w:r>
    </w:p>
    <w:p w14:paraId="70506BA4" w14:textId="77777777" w:rsidR="00F76F0C" w:rsidRDefault="00832C4A" w:rsidP="00F76F0C">
      <w:pPr>
        <w:pStyle w:val="Citas"/>
      </w:pPr>
      <w:r>
        <w:t xml:space="preserve">a) Tarifa fija: La que se autoriza como retribución que el usuario paga por el servicio cualquiera que sea el recorrido que se realice dentro de una misma área geográfica. </w:t>
      </w:r>
    </w:p>
    <w:p w14:paraId="6DF17DF8" w14:textId="77777777" w:rsidR="00F76F0C" w:rsidRDefault="00832C4A" w:rsidP="00F76F0C">
      <w:pPr>
        <w:pStyle w:val="Citas"/>
      </w:pPr>
      <w:r>
        <w:t xml:space="preserve">b) Tarifa concéntrica: La que se autoriza como retribución que el usuario paga por el servicio conforme a regiones determinadas dentro de una misma área geográfica. </w:t>
      </w:r>
    </w:p>
    <w:p w14:paraId="4E20F464" w14:textId="77777777" w:rsidR="00F76F0C" w:rsidRDefault="00832C4A" w:rsidP="00F76F0C">
      <w:pPr>
        <w:pStyle w:val="Citas"/>
      </w:pPr>
      <w:r>
        <w:t xml:space="preserve">c) Tarifa por servicio medido: La que se autoriza como retribución que el usuario paga por el servicio, en base a medición de tiempo-recorrido, a través de aparatos instalados en cada vehículo y cuya lectura esta a disposición del usuario. </w:t>
      </w:r>
    </w:p>
    <w:p w14:paraId="50789874" w14:textId="77777777" w:rsidR="00F76F0C" w:rsidRDefault="00832C4A" w:rsidP="00F76F0C">
      <w:pPr>
        <w:pStyle w:val="Citas"/>
      </w:pPr>
      <w:r>
        <w:t>ARTICULO 91.- La tarifa se determinará conforme a la norma técnica que para tal efecto se expida, considerando que la estructura del precio de la tarifa se integrará de la siguiente manera:</w:t>
      </w:r>
    </w:p>
    <w:p w14:paraId="202EEAF4" w14:textId="77777777" w:rsidR="00F76F0C" w:rsidRDefault="00832C4A" w:rsidP="00F76F0C">
      <w:pPr>
        <w:pStyle w:val="Citas"/>
      </w:pPr>
      <w:r>
        <w:t>I. Para transporte público y servicios de arrastre y salvamento se considerarán los siguientes elementos:</w:t>
      </w:r>
      <w:r>
        <w:pgNum/>
      </w:r>
      <w:r>
        <w:t xml:space="preserve"> </w:t>
      </w:r>
    </w:p>
    <w:p w14:paraId="4A13F9A8" w14:textId="77777777" w:rsidR="00F76F0C" w:rsidRDefault="00832C4A" w:rsidP="00F76F0C">
      <w:pPr>
        <w:pStyle w:val="Citas"/>
      </w:pPr>
      <w:r>
        <w:t xml:space="preserve">a) Sueldos y salarios. </w:t>
      </w:r>
    </w:p>
    <w:p w14:paraId="4BDBF1E4" w14:textId="77777777" w:rsidR="00F76F0C" w:rsidRDefault="00832C4A" w:rsidP="00F76F0C">
      <w:pPr>
        <w:pStyle w:val="Citas"/>
      </w:pPr>
      <w:r>
        <w:t xml:space="preserve">b) Combustible. </w:t>
      </w:r>
    </w:p>
    <w:p w14:paraId="364A94F7" w14:textId="77777777" w:rsidR="00F76F0C" w:rsidRDefault="00832C4A" w:rsidP="00F76F0C">
      <w:pPr>
        <w:pStyle w:val="Citas"/>
      </w:pPr>
      <w:r>
        <w:t xml:space="preserve">c) Lubricantes. </w:t>
      </w:r>
    </w:p>
    <w:p w14:paraId="7DDD7B59" w14:textId="77777777" w:rsidR="00F76F0C" w:rsidRDefault="00832C4A" w:rsidP="00F76F0C">
      <w:pPr>
        <w:pStyle w:val="Citas"/>
      </w:pPr>
      <w:r>
        <w:t xml:space="preserve">d) Mantenimiento preventivo y correctivo. </w:t>
      </w:r>
    </w:p>
    <w:p w14:paraId="76314146" w14:textId="77777777" w:rsidR="00F76F0C" w:rsidRDefault="00832C4A" w:rsidP="00F76F0C">
      <w:pPr>
        <w:pStyle w:val="Citas"/>
      </w:pPr>
      <w:r>
        <w:t xml:space="preserve">e) Llantas. </w:t>
      </w:r>
    </w:p>
    <w:p w14:paraId="1854A5A2" w14:textId="77777777" w:rsidR="00F76F0C" w:rsidRDefault="00832C4A" w:rsidP="00F76F0C">
      <w:pPr>
        <w:pStyle w:val="Citas"/>
      </w:pPr>
      <w:r>
        <w:t>f) Reparación de carrocería.</w:t>
      </w:r>
    </w:p>
    <w:p w14:paraId="28D95C75" w14:textId="77777777" w:rsidR="00F76F0C" w:rsidRDefault="00832C4A" w:rsidP="00F76F0C">
      <w:pPr>
        <w:pStyle w:val="Citas"/>
      </w:pPr>
      <w:r>
        <w:t xml:space="preserve"> g) Seguros de responsabilidad. </w:t>
      </w:r>
    </w:p>
    <w:p w14:paraId="21EF8C13" w14:textId="77777777" w:rsidR="00F76F0C" w:rsidRDefault="00832C4A" w:rsidP="00F76F0C">
      <w:pPr>
        <w:pStyle w:val="Citas"/>
      </w:pPr>
      <w:r>
        <w:lastRenderedPageBreak/>
        <w:t xml:space="preserve">h) Impuestos y derechos directos. </w:t>
      </w:r>
    </w:p>
    <w:p w14:paraId="36722F70" w14:textId="77777777" w:rsidR="00F76F0C" w:rsidRDefault="00832C4A" w:rsidP="00F76F0C">
      <w:pPr>
        <w:pStyle w:val="Citas"/>
      </w:pPr>
      <w:r>
        <w:t xml:space="preserve">i) Gastos de administración. </w:t>
      </w:r>
    </w:p>
    <w:p w14:paraId="79A3BE31" w14:textId="77777777" w:rsidR="00F76F0C" w:rsidRDefault="00832C4A" w:rsidP="00F76F0C">
      <w:pPr>
        <w:pStyle w:val="Citas"/>
      </w:pPr>
      <w:r>
        <w:t xml:space="preserve">j) Depreciación de equipo. </w:t>
      </w:r>
    </w:p>
    <w:p w14:paraId="1DE6D7A5" w14:textId="77777777" w:rsidR="00F76F0C" w:rsidRDefault="00832C4A" w:rsidP="00F76F0C">
      <w:pPr>
        <w:pStyle w:val="Citas"/>
      </w:pPr>
      <w:r>
        <w:t xml:space="preserve">k) Utilidad. </w:t>
      </w:r>
    </w:p>
    <w:p w14:paraId="5A74EDA6" w14:textId="77777777" w:rsidR="00F76F0C" w:rsidRDefault="00832C4A" w:rsidP="00F76F0C">
      <w:pPr>
        <w:pStyle w:val="Citas"/>
      </w:pPr>
      <w:r>
        <w:t>l) Fondo de liquidación de personal.</w:t>
      </w:r>
    </w:p>
    <w:p w14:paraId="3D77A09F" w14:textId="77777777" w:rsidR="00F76F0C" w:rsidRDefault="00832C4A" w:rsidP="00F76F0C">
      <w:pPr>
        <w:pStyle w:val="Citas"/>
      </w:pPr>
      <w:r>
        <w:t xml:space="preserve"> II. Para servicio de depósito de vehículos se considerarán los siguientes elementos: </w:t>
      </w:r>
    </w:p>
    <w:p w14:paraId="5DB2B8CC" w14:textId="77777777" w:rsidR="00F76F0C" w:rsidRDefault="00832C4A" w:rsidP="00F76F0C">
      <w:pPr>
        <w:pStyle w:val="Citas"/>
      </w:pPr>
      <w:r>
        <w:t xml:space="preserve">a) Sueldos y salarios. </w:t>
      </w:r>
    </w:p>
    <w:p w14:paraId="37E6A8BC" w14:textId="77777777" w:rsidR="00F76F0C" w:rsidRDefault="00832C4A" w:rsidP="00F76F0C">
      <w:pPr>
        <w:pStyle w:val="Citas"/>
      </w:pPr>
      <w:r>
        <w:t xml:space="preserve">b) Mantenimiento preventivo y correctivo de las instalaciones. </w:t>
      </w:r>
    </w:p>
    <w:p w14:paraId="1322275E" w14:textId="77777777" w:rsidR="00F76F0C" w:rsidRDefault="00832C4A" w:rsidP="00F76F0C">
      <w:pPr>
        <w:pStyle w:val="Citas"/>
      </w:pPr>
      <w:r>
        <w:t xml:space="preserve">c) Seguros de responsabilidad. </w:t>
      </w:r>
    </w:p>
    <w:p w14:paraId="4581F694" w14:textId="77777777" w:rsidR="00F76F0C" w:rsidRDefault="00832C4A" w:rsidP="00F76F0C">
      <w:pPr>
        <w:pStyle w:val="Citas"/>
      </w:pPr>
      <w:r>
        <w:t xml:space="preserve">d) Impuestos y derechos directos. </w:t>
      </w:r>
    </w:p>
    <w:p w14:paraId="39CC1A44" w14:textId="77777777" w:rsidR="00F76F0C" w:rsidRDefault="00832C4A" w:rsidP="00F76F0C">
      <w:pPr>
        <w:pStyle w:val="Citas"/>
      </w:pPr>
      <w:r>
        <w:t xml:space="preserve">e) Gastos de administración. </w:t>
      </w:r>
    </w:p>
    <w:p w14:paraId="52E4E3E2" w14:textId="77777777" w:rsidR="00F76F0C" w:rsidRDefault="00832C4A" w:rsidP="00F76F0C">
      <w:pPr>
        <w:pStyle w:val="Citas"/>
      </w:pPr>
      <w:r>
        <w:t xml:space="preserve">f) Depreciación de instalaciones. </w:t>
      </w:r>
    </w:p>
    <w:p w14:paraId="5CAE5689" w14:textId="77777777" w:rsidR="00F76F0C" w:rsidRDefault="00832C4A" w:rsidP="00F76F0C">
      <w:pPr>
        <w:pStyle w:val="Citas"/>
      </w:pPr>
      <w:r>
        <w:t xml:space="preserve">g) Utilidad. </w:t>
      </w:r>
    </w:p>
    <w:p w14:paraId="103D8782" w14:textId="77777777" w:rsidR="00F76F0C" w:rsidRDefault="00832C4A" w:rsidP="00F76F0C">
      <w:pPr>
        <w:pStyle w:val="Citas"/>
      </w:pPr>
      <w:r>
        <w:t>h) Fondo de liquidación de personal.</w:t>
      </w:r>
    </w:p>
    <w:p w14:paraId="257DBF58" w14:textId="77777777" w:rsidR="00F76F0C" w:rsidRPr="00F76F0C" w:rsidRDefault="00832C4A" w:rsidP="00F76F0C">
      <w:pPr>
        <w:pStyle w:val="Citas"/>
        <w:rPr>
          <w:b/>
          <w:bCs/>
          <w:u w:val="single"/>
        </w:rPr>
      </w:pPr>
      <w:r>
        <w:t xml:space="preserve"> </w:t>
      </w:r>
      <w:r w:rsidRPr="00F76F0C">
        <w:rPr>
          <w:b/>
          <w:bCs/>
          <w:u w:val="single"/>
        </w:rPr>
        <w:t xml:space="preserve">ARTICULO 92.- La revisión tarifaría podrá efectuarse anualmente, tomando en consideración el dictamen que emita el Instituto en ese sentido, mismo que considerará cada uno de los elementos estructurales del precio, ajustándose aquellos que hubieran sufrido alguna modificación a la alza o a la baja. Cuando existan circunstancias extraordinarias de carácter </w:t>
      </w:r>
      <w:r w:rsidRPr="00F76F0C">
        <w:rPr>
          <w:b/>
          <w:bCs/>
          <w:u w:val="single"/>
        </w:rPr>
        <w:lastRenderedPageBreak/>
        <w:t xml:space="preserve">económico o financiero, la revisión podrá efectuarse en cualquier tiempo, a juicio de la autoridad de transporte. </w:t>
      </w:r>
    </w:p>
    <w:p w14:paraId="5F365F98" w14:textId="23844CA9" w:rsidR="00832C4A" w:rsidRPr="00F76F0C" w:rsidRDefault="00832C4A" w:rsidP="00F76F0C">
      <w:pPr>
        <w:pStyle w:val="Citas"/>
        <w:rPr>
          <w:b/>
          <w:bCs/>
          <w:u w:val="single"/>
        </w:rPr>
      </w:pPr>
      <w:r w:rsidRPr="00F76F0C">
        <w:rPr>
          <w:b/>
          <w:bCs/>
          <w:u w:val="single"/>
        </w:rPr>
        <w:t>ARTICULO 93.- En su caso, el acuerdo por el cual la Secretaría autorice modificaciones a las tarifas, como resultado de la revisión, será publicado en el periódico oficial "Gaceta del Gobierno", para que surta sus efectos, y en los periódicos que la misma determine, para hacer del conocimiento del público usuario, las tarifas actualizadas.</w:t>
      </w:r>
    </w:p>
    <w:p w14:paraId="085E14C2" w14:textId="77777777" w:rsidR="00832C4A" w:rsidRDefault="00832C4A" w:rsidP="00C10621">
      <w:pPr>
        <w:spacing w:line="360" w:lineRule="auto"/>
        <w:jc w:val="both"/>
      </w:pPr>
    </w:p>
    <w:p w14:paraId="1D1B7FE3" w14:textId="767D59F4" w:rsidR="00832C4A" w:rsidRPr="0090621C" w:rsidRDefault="0090621C" w:rsidP="0090621C">
      <w:pPr>
        <w:pStyle w:val="Citas"/>
        <w:jc w:val="center"/>
        <w:rPr>
          <w:b/>
          <w:bCs/>
        </w:rPr>
      </w:pPr>
      <w:r w:rsidRPr="0090621C">
        <w:rPr>
          <w:b/>
          <w:bCs/>
        </w:rPr>
        <w:t>REGLAMENTO INTERIOR DE LA SECRETARÍA DE MOVILIDAD</w:t>
      </w:r>
    </w:p>
    <w:p w14:paraId="017EE752" w14:textId="3C0D45BF" w:rsidR="00E2304F" w:rsidRDefault="0090621C" w:rsidP="0090621C">
      <w:pPr>
        <w:pStyle w:val="Citas"/>
      </w:pPr>
      <w:r>
        <w:t>“</w:t>
      </w:r>
      <w:r w:rsidR="00E2304F">
        <w:t>Artículo 6. La persona titular de la Secretaría tendrá las atribuciones siguientes:</w:t>
      </w:r>
    </w:p>
    <w:p w14:paraId="3E21FC25" w14:textId="162DDD00" w:rsidR="00E2304F" w:rsidRDefault="00E2304F" w:rsidP="0090621C">
      <w:pPr>
        <w:pStyle w:val="Citas"/>
      </w:pPr>
      <w:r>
        <w:t>(…)</w:t>
      </w:r>
    </w:p>
    <w:p w14:paraId="7883F37B" w14:textId="12D44DB9" w:rsidR="00E2304F" w:rsidRDefault="00E2304F" w:rsidP="0090621C">
      <w:pPr>
        <w:pStyle w:val="Citas"/>
      </w:pPr>
      <w:r>
        <w:t>XXXIX.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w:t>
      </w:r>
    </w:p>
    <w:p w14:paraId="75B6780A" w14:textId="7AC64F15" w:rsidR="00E2304F" w:rsidRDefault="00E2304F" w:rsidP="0090621C">
      <w:pPr>
        <w:pStyle w:val="Citas"/>
      </w:pPr>
      <w:r>
        <w:t>(…)</w:t>
      </w:r>
    </w:p>
    <w:p w14:paraId="24D4E08D" w14:textId="4FC4B39D" w:rsidR="00E2304F" w:rsidRPr="00220DF4" w:rsidRDefault="00E2304F" w:rsidP="0090621C">
      <w:pPr>
        <w:pStyle w:val="Citas"/>
        <w:rPr>
          <w:b/>
          <w:bCs/>
          <w:u w:val="single"/>
        </w:rPr>
      </w:pPr>
      <w:r w:rsidRPr="00220DF4">
        <w:rPr>
          <w:b/>
          <w:bCs/>
          <w:u w:val="single"/>
        </w:rPr>
        <w:t>Artículo 11. A la Subsecretaría le corresponde planear, coordinar, dirigir, controlar y evaluar la operatividad del servicio de transporte público y mixto en el Estado, con apego a las leyes, reglamentos y demás ordenamientos jurídicos aplicables.</w:t>
      </w:r>
    </w:p>
    <w:p w14:paraId="482B6F5E" w14:textId="49142E88" w:rsidR="00E2304F" w:rsidRDefault="00E2304F" w:rsidP="0090621C">
      <w:pPr>
        <w:pStyle w:val="Citas"/>
      </w:pPr>
      <w:r>
        <w:t>Artículo 13. Corresponden a las direcciones generales de movilidad, en su respectiva circunscripción territorial, las atribuciones siguientes:</w:t>
      </w:r>
    </w:p>
    <w:p w14:paraId="2649E509" w14:textId="7A46B12E" w:rsidR="00E2304F" w:rsidRDefault="00E2304F" w:rsidP="0090621C">
      <w:pPr>
        <w:pStyle w:val="Citas"/>
      </w:pPr>
      <w:r>
        <w:lastRenderedPageBreak/>
        <w:t>(…)</w:t>
      </w:r>
    </w:p>
    <w:p w14:paraId="05081A2A" w14:textId="13FFA0A8" w:rsidR="00E2304F" w:rsidRPr="00220DF4" w:rsidRDefault="00E2304F" w:rsidP="0090621C">
      <w:pPr>
        <w:pStyle w:val="Citas"/>
        <w:rPr>
          <w:b/>
          <w:bCs/>
          <w:u w:val="single"/>
        </w:rPr>
      </w:pPr>
      <w:r w:rsidRPr="00220DF4">
        <w:rPr>
          <w:b/>
          <w:bCs/>
          <w:u w:val="single"/>
        </w:rPr>
        <w:t>VII. Autorizar y supervisar las visitas de verificación e inspección de vehículos relacionados con el transporte público y revisar que los concesionarios y permisionarios cumplan con el cobro de las tarifas autorizadas y la debida prestación del servicio;</w:t>
      </w:r>
    </w:p>
    <w:p w14:paraId="50C311D1" w14:textId="29DA2FAA" w:rsidR="00E2304F" w:rsidRDefault="00E2304F" w:rsidP="0090621C">
      <w:pPr>
        <w:pStyle w:val="Citas"/>
      </w:pPr>
      <w:r>
        <w:t>(…)</w:t>
      </w:r>
    </w:p>
    <w:p w14:paraId="32634388" w14:textId="63610896" w:rsidR="00E2304F" w:rsidRDefault="00E2304F" w:rsidP="0090621C">
      <w:pPr>
        <w:pStyle w:val="Citas"/>
      </w:pPr>
      <w:r>
        <w:t>Artículo 17. A las subdelegaciones de movilidad, les corresponde:</w:t>
      </w:r>
    </w:p>
    <w:p w14:paraId="1C9347B9" w14:textId="33437181" w:rsidR="00E2304F" w:rsidRDefault="00E2304F" w:rsidP="0090621C">
      <w:pPr>
        <w:pStyle w:val="Citas"/>
      </w:pPr>
      <w:r>
        <w:t>(…)</w:t>
      </w:r>
    </w:p>
    <w:p w14:paraId="3D663CC0" w14:textId="643987AD" w:rsidR="00E2304F" w:rsidRPr="00220DF4" w:rsidRDefault="00E2304F" w:rsidP="0090621C">
      <w:pPr>
        <w:pStyle w:val="Citas"/>
        <w:rPr>
          <w:b/>
          <w:bCs/>
          <w:u w:val="single"/>
        </w:rPr>
      </w:pPr>
      <w:r w:rsidRPr="00220DF4">
        <w:rPr>
          <w:b/>
          <w:bCs/>
          <w:u w:val="single"/>
        </w:rPr>
        <w:t>IV. Revisar que los concesionarios, permisionarios y autorizados cumplan con el cobro de las tarifas autorizadas y las demás obligaciones inherentes al servicio;</w:t>
      </w:r>
    </w:p>
    <w:p w14:paraId="0E16E925" w14:textId="7359A4A9" w:rsidR="0090621C" w:rsidRPr="0090621C" w:rsidRDefault="0090621C" w:rsidP="0090621C">
      <w:pPr>
        <w:pStyle w:val="Citas"/>
        <w:rPr>
          <w:b/>
          <w:bCs/>
        </w:rPr>
      </w:pPr>
      <w:r>
        <w:t xml:space="preserve">(…)” </w:t>
      </w:r>
      <w:r>
        <w:rPr>
          <w:b/>
          <w:bCs/>
        </w:rPr>
        <w:t>(Sic)</w:t>
      </w:r>
    </w:p>
    <w:p w14:paraId="47431235" w14:textId="77777777" w:rsidR="00E2304F" w:rsidRDefault="00E2304F" w:rsidP="00C10621">
      <w:pPr>
        <w:spacing w:line="360" w:lineRule="auto"/>
        <w:jc w:val="both"/>
      </w:pPr>
    </w:p>
    <w:p w14:paraId="3E8DBFFC" w14:textId="13A2FF38" w:rsidR="001F4AB8" w:rsidRDefault="001F4AB8" w:rsidP="001F4AB8">
      <w:pPr>
        <w:spacing w:after="0" w:line="360" w:lineRule="auto"/>
        <w:jc w:val="both"/>
        <w:rPr>
          <w:rFonts w:ascii="Palatino Linotype" w:hAnsi="Palatino Linotype" w:cs="Arial"/>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w:t>
      </w:r>
      <w:r w:rsidR="00220DF4">
        <w:rPr>
          <w:rFonts w:ascii="Palatino Linotype" w:hAnsi="Palatino Linotype" w:cs="Arial"/>
          <w:color w:val="000000"/>
          <w:sz w:val="24"/>
          <w:szCs w:val="24"/>
          <w:lang w:val="es-ES_tradnl"/>
        </w:rPr>
        <w:t>lo siguiente:</w:t>
      </w:r>
    </w:p>
    <w:p w14:paraId="6F25B9B1" w14:textId="47BD2C57" w:rsidR="00220DF4" w:rsidRDefault="00727AE5" w:rsidP="00220DF4">
      <w:pPr>
        <w:pStyle w:val="Prrafodelista"/>
        <w:numPr>
          <w:ilvl w:val="0"/>
          <w:numId w:val="39"/>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resulta competencia de la Secretaría de Movilidad autorizar y modificar en todo tiempo las tarifas del servicio público de transporte. </w:t>
      </w:r>
    </w:p>
    <w:p w14:paraId="3F5AD2EF" w14:textId="44A03C9B" w:rsidR="00727AE5" w:rsidRDefault="00727AE5" w:rsidP="00220DF4">
      <w:pPr>
        <w:pStyle w:val="Prrafodelista"/>
        <w:numPr>
          <w:ilvl w:val="0"/>
          <w:numId w:val="39"/>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las revisiones tarifarias podrán</w:t>
      </w:r>
      <w:r w:rsidR="00E37DBA">
        <w:rPr>
          <w:rFonts w:ascii="Palatino Linotype" w:hAnsi="Palatino Linotype" w:cs="Arial"/>
          <w:color w:val="000000"/>
          <w:lang w:val="es-ES_tradnl"/>
        </w:rPr>
        <w:t xml:space="preserve"> </w:t>
      </w:r>
      <w:r w:rsidR="00E37DBA" w:rsidRPr="00E37DBA">
        <w:rPr>
          <w:rFonts w:ascii="Palatino Linotype" w:hAnsi="Palatino Linotype" w:cs="Arial"/>
          <w:b/>
          <w:bCs/>
          <w:color w:val="000000"/>
          <w:u w:val="single"/>
          <w:lang w:val="es-ES_tradnl"/>
        </w:rPr>
        <w:t>(potestativo)</w:t>
      </w:r>
      <w:r>
        <w:rPr>
          <w:rFonts w:ascii="Palatino Linotype" w:hAnsi="Palatino Linotype" w:cs="Arial"/>
          <w:color w:val="000000"/>
          <w:lang w:val="es-ES_tradnl"/>
        </w:rPr>
        <w:t xml:space="preserve"> efectuarse anualmente, tomando en consideración los elementos estructurales del precio. </w:t>
      </w:r>
    </w:p>
    <w:p w14:paraId="7656938E" w14:textId="42DC7383" w:rsidR="00727AE5" w:rsidRPr="00727AE5" w:rsidRDefault="00727AE5" w:rsidP="00220DF4">
      <w:pPr>
        <w:pStyle w:val="Prrafodelista"/>
        <w:numPr>
          <w:ilvl w:val="0"/>
          <w:numId w:val="39"/>
        </w:numPr>
        <w:spacing w:line="360" w:lineRule="auto"/>
        <w:jc w:val="both"/>
        <w:rPr>
          <w:rFonts w:ascii="Palatino Linotype" w:hAnsi="Palatino Linotype" w:cs="Arial"/>
          <w:b/>
          <w:bCs/>
          <w:color w:val="000000"/>
          <w:u w:val="single"/>
          <w:lang w:val="es-ES_tradnl"/>
        </w:rPr>
      </w:pPr>
      <w:r w:rsidRPr="00727AE5">
        <w:rPr>
          <w:rFonts w:ascii="Palatino Linotype" w:hAnsi="Palatino Linotype" w:cs="Arial"/>
          <w:b/>
          <w:bCs/>
          <w:color w:val="000000"/>
          <w:u w:val="single"/>
          <w:lang w:val="es-ES_tradnl"/>
        </w:rPr>
        <w:t>Que las revisiones tarifarias serán autorizadas por el secretario de Movilidad, mediante acuerdos de carácter general, mismos que deberán de ser publicad</w:t>
      </w:r>
      <w:r w:rsidR="00E37DBA">
        <w:rPr>
          <w:rFonts w:ascii="Palatino Linotype" w:hAnsi="Palatino Linotype" w:cs="Arial"/>
          <w:b/>
          <w:bCs/>
          <w:color w:val="000000"/>
          <w:u w:val="single"/>
          <w:lang w:val="es-ES_tradnl"/>
        </w:rPr>
        <w:t>o</w:t>
      </w:r>
      <w:r w:rsidRPr="00727AE5">
        <w:rPr>
          <w:rFonts w:ascii="Palatino Linotype" w:hAnsi="Palatino Linotype" w:cs="Arial"/>
          <w:b/>
          <w:bCs/>
          <w:color w:val="000000"/>
          <w:u w:val="single"/>
          <w:lang w:val="es-ES_tradnl"/>
        </w:rPr>
        <w:t xml:space="preserve">s en el Periódico Oficial “Gaceta del Gobierno del Estado de México”. </w:t>
      </w:r>
    </w:p>
    <w:p w14:paraId="665CDACD" w14:textId="77777777" w:rsidR="003A5AA9" w:rsidRDefault="00727AE5" w:rsidP="003A5AA9">
      <w:pPr>
        <w:pStyle w:val="Sinespaciado"/>
        <w:spacing w:line="360" w:lineRule="auto"/>
        <w:jc w:val="both"/>
        <w:rPr>
          <w:rFonts w:ascii="Palatino Linotype" w:hAnsi="Palatino Linotype"/>
        </w:rPr>
      </w:pPr>
      <w:r>
        <w:rPr>
          <w:rFonts w:ascii="Palatino Linotype" w:hAnsi="Palatino Linotype" w:cs="Arial"/>
          <w:color w:val="000000"/>
          <w:lang w:val="es-ES_tradnl"/>
        </w:rPr>
        <w:lastRenderedPageBreak/>
        <w:t xml:space="preserve">Así las cosas, es óbice mencionar que la información requerida estriba </w:t>
      </w:r>
      <w:r w:rsidR="003A5AA9" w:rsidRPr="00842697">
        <w:rPr>
          <w:rFonts w:ascii="Palatino Linotype" w:hAnsi="Palatino Linotype"/>
          <w:bCs/>
        </w:rPr>
        <w:t>en el interés general y el alcance público, lo anterior con fundamento en el artículo 24, fracción XII, 92,</w:t>
      </w:r>
      <w:r w:rsidR="003A5AA9">
        <w:rPr>
          <w:rFonts w:ascii="Palatino Linotype" w:hAnsi="Palatino Linotype"/>
          <w:bCs/>
        </w:rPr>
        <w:t xml:space="preserve"> fracción I de la Ley de Transparencia y Acceso a la </w:t>
      </w:r>
      <w:r w:rsidR="003A5AA9">
        <w:rPr>
          <w:rFonts w:ascii="Palatino Linotype" w:hAnsi="Palatino Linotype"/>
        </w:rPr>
        <w:t xml:space="preserve">Información Pública del Estado de México y Municipios, normatividad invocada cuyo contenido literal es el siguiente: </w:t>
      </w:r>
    </w:p>
    <w:p w14:paraId="0288E647" w14:textId="77777777" w:rsidR="00D93FF7" w:rsidRPr="00E66BD3" w:rsidRDefault="00D93FF7" w:rsidP="00D93FF7">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8F6D36F" w14:textId="77777777" w:rsidR="00D93FF7" w:rsidRPr="00E66BD3" w:rsidRDefault="00D93FF7" w:rsidP="00D93FF7">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01A3886" w14:textId="77777777" w:rsidR="00D93FF7" w:rsidRPr="00E66BD3" w:rsidRDefault="00D93FF7" w:rsidP="00D93FF7">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80D493" w14:textId="77777777" w:rsidR="003A5AA9" w:rsidRDefault="003A5AA9" w:rsidP="00D93FF7">
      <w:pPr>
        <w:pStyle w:val="Citas"/>
      </w:pPr>
      <w:r>
        <w:t>I. El marco normativo aplicable al sujeto obligado, en el que deberá incluirse leyes, códigos, reglamentos, decretos de creación, acuerdos, convenios, manuales de organización y procedimientos, reglas de operación, criterios, políticas, entre otros;</w:t>
      </w:r>
    </w:p>
    <w:p w14:paraId="31B576AF" w14:textId="14AE4FBB" w:rsidR="00D93FF7" w:rsidRPr="003A5AA9" w:rsidRDefault="003A5AA9" w:rsidP="00D93FF7">
      <w:pPr>
        <w:pStyle w:val="Citas"/>
        <w:rPr>
          <w:b/>
          <w:bCs/>
        </w:rPr>
      </w:pPr>
      <w:r>
        <w:t xml:space="preserve">(…)” </w:t>
      </w:r>
      <w:r>
        <w:rPr>
          <w:b/>
          <w:bCs/>
        </w:rPr>
        <w:t>(Sic)</w:t>
      </w:r>
    </w:p>
    <w:p w14:paraId="31F94B08" w14:textId="77777777" w:rsidR="001F4AB8" w:rsidRDefault="001F4AB8" w:rsidP="00E95D21">
      <w:pPr>
        <w:pStyle w:val="Sinespaciado"/>
        <w:spacing w:line="360" w:lineRule="auto"/>
        <w:jc w:val="both"/>
        <w:rPr>
          <w:rFonts w:ascii="Palatino Linotype" w:hAnsi="Palatino Linotype" w:cs="Arial"/>
        </w:rPr>
      </w:pPr>
    </w:p>
    <w:p w14:paraId="3D99A9D4" w14:textId="77777777" w:rsidR="00E95D21" w:rsidRPr="00303BAD" w:rsidRDefault="00E95D21" w:rsidP="00E95D21">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4B14ECC7" w14:textId="7C753743" w:rsidR="00E95D21" w:rsidRDefault="00440ECB" w:rsidP="00E95D21">
      <w:pPr>
        <w:spacing w:after="0" w:line="360" w:lineRule="auto"/>
        <w:jc w:val="both"/>
        <w:rPr>
          <w:rFonts w:ascii="Palatino Linotype" w:hAnsi="Palatino Linotype"/>
          <w:sz w:val="24"/>
          <w:szCs w:val="24"/>
        </w:rPr>
      </w:pPr>
      <w:hyperlink r:id="rId12" w:history="1">
        <w:r w:rsidR="00E95D21" w:rsidRPr="00303BAD">
          <w:rPr>
            <w:rStyle w:val="Hipervnculo"/>
            <w:rFonts w:ascii="Palatino Linotype" w:hAnsi="Palatino Linotype"/>
            <w:bCs/>
          </w:rPr>
          <w:t>https://www.infoem.org.mx/es/contenido/transparencia/directorio-de-sujetos-obligados</w:t>
        </w:r>
      </w:hyperlink>
    </w:p>
    <w:p w14:paraId="06BE1ECE" w14:textId="623BCFF2" w:rsidR="00C10621" w:rsidRDefault="003A5AA9" w:rsidP="00D870AC">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6421" behindDoc="0" locked="0" layoutInCell="1" allowOverlap="1" wp14:anchorId="148DD59C" wp14:editId="47E12013">
            <wp:simplePos x="0" y="0"/>
            <wp:positionH relativeFrom="column">
              <wp:posOffset>15240</wp:posOffset>
            </wp:positionH>
            <wp:positionV relativeFrom="paragraph">
              <wp:posOffset>485140</wp:posOffset>
            </wp:positionV>
            <wp:extent cx="5722620" cy="3455035"/>
            <wp:effectExtent l="19050" t="19050" r="11430" b="12065"/>
            <wp:wrapThrough wrapText="bothSides">
              <wp:wrapPolygon edited="0">
                <wp:start x="-72" y="-119"/>
                <wp:lineTo x="-72" y="21556"/>
                <wp:lineTo x="21571" y="21556"/>
                <wp:lineTo x="21571" y="-119"/>
                <wp:lineTo x="-72" y="-119"/>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620" cy="34550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99B47F" w14:textId="2B4991BB" w:rsidR="00C10621" w:rsidRDefault="001F3AFF" w:rsidP="00D870AC">
      <w:pPr>
        <w:spacing w:before="240" w:line="360" w:lineRule="auto"/>
        <w:jc w:val="both"/>
        <w:rPr>
          <w:rFonts w:ascii="Palatino Linotype" w:hAnsi="Palatino Linotype"/>
          <w:noProof/>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03296" behindDoc="0" locked="0" layoutInCell="1" allowOverlap="1" wp14:anchorId="40687000" wp14:editId="22709063">
                <wp:simplePos x="0" y="0"/>
                <wp:positionH relativeFrom="column">
                  <wp:posOffset>24765</wp:posOffset>
                </wp:positionH>
                <wp:positionV relativeFrom="paragraph">
                  <wp:posOffset>3793490</wp:posOffset>
                </wp:positionV>
                <wp:extent cx="6019800" cy="16764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01980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CBDCD" id="Straight Connector 2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95pt,298.7pt" to="475.95pt,4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" strokecolor="#5b9bd5 [3204]" strokeweight=".5pt">
                <v:stroke joinstyle="miter"/>
              </v:line>
            </w:pict>
          </mc:Fallback>
        </mc:AlternateContent>
      </w:r>
    </w:p>
    <w:p w14:paraId="659CCE79" w14:textId="06D4B5B9" w:rsidR="003A5AA9" w:rsidRDefault="003A5AA9" w:rsidP="00D870AC">
      <w:pPr>
        <w:spacing w:before="240" w:line="360" w:lineRule="auto"/>
        <w:jc w:val="both"/>
        <w:rPr>
          <w:rFonts w:ascii="Palatino Linotype" w:hAnsi="Palatino Linotype"/>
          <w:noProof/>
          <w:sz w:val="24"/>
          <w:szCs w:val="24"/>
        </w:rPr>
      </w:pPr>
    </w:p>
    <w:p w14:paraId="294C2E35" w14:textId="6A958357" w:rsidR="003A5AA9" w:rsidRDefault="003A5AA9" w:rsidP="00D870AC">
      <w:pPr>
        <w:spacing w:before="240" w:line="360" w:lineRule="auto"/>
        <w:jc w:val="both"/>
        <w:rPr>
          <w:rFonts w:ascii="Palatino Linotype" w:hAnsi="Palatino Linotype"/>
          <w:noProof/>
          <w:sz w:val="24"/>
          <w:szCs w:val="24"/>
        </w:rPr>
      </w:pPr>
    </w:p>
    <w:p w14:paraId="04DC8384" w14:textId="1AAE0971" w:rsidR="003A5AA9" w:rsidRDefault="003A5AA9" w:rsidP="00D870AC">
      <w:pPr>
        <w:spacing w:before="240" w:line="360" w:lineRule="auto"/>
        <w:jc w:val="both"/>
        <w:rPr>
          <w:rFonts w:ascii="Palatino Linotype" w:hAnsi="Palatino Linotype"/>
          <w:noProof/>
          <w:sz w:val="24"/>
          <w:szCs w:val="24"/>
        </w:rPr>
      </w:pPr>
    </w:p>
    <w:p w14:paraId="21ACE727" w14:textId="525F0FAA" w:rsidR="003A5AA9" w:rsidRDefault="001F3AFF" w:rsidP="00D870AC">
      <w:pPr>
        <w:spacing w:before="240" w:line="360" w:lineRule="auto"/>
        <w:jc w:val="both"/>
        <w:rPr>
          <w:rFonts w:ascii="Palatino Linotype" w:hAnsi="Palatino Linotype"/>
          <w:noProof/>
          <w:sz w:val="24"/>
          <w:szCs w:val="24"/>
        </w:rPr>
      </w:pPr>
      <w:r>
        <w:rPr>
          <w:rFonts w:ascii="Palatino Linotype" w:hAnsi="Palatino Linotype"/>
          <w:noProof/>
          <w:sz w:val="24"/>
          <w:szCs w:val="24"/>
          <w:lang w:eastAsia="es-MX"/>
        </w:rPr>
        <w:lastRenderedPageBreak/>
        <w:drawing>
          <wp:anchor distT="0" distB="0" distL="114300" distR="114300" simplePos="0" relativeHeight="251665396" behindDoc="0" locked="0" layoutInCell="1" allowOverlap="1" wp14:anchorId="6A0B6F14" wp14:editId="23E8C5C6">
            <wp:simplePos x="0" y="0"/>
            <wp:positionH relativeFrom="column">
              <wp:posOffset>18415</wp:posOffset>
            </wp:positionH>
            <wp:positionV relativeFrom="paragraph">
              <wp:posOffset>19685</wp:posOffset>
            </wp:positionV>
            <wp:extent cx="5716270" cy="3461385"/>
            <wp:effectExtent l="19050" t="19050" r="17780" b="24765"/>
            <wp:wrapThrough wrapText="bothSides">
              <wp:wrapPolygon edited="0">
                <wp:start x="-72" y="-119"/>
                <wp:lineTo x="-72" y="21636"/>
                <wp:lineTo x="21595" y="21636"/>
                <wp:lineTo x="21595" y="-119"/>
                <wp:lineTo x="-72" y="-119"/>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270" cy="34613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3254E2" w14:textId="1D8E2AF4" w:rsidR="00D922C3" w:rsidRDefault="00D922C3" w:rsidP="00D922C3">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sidRPr="00E17B3E">
        <w:rPr>
          <w:rFonts w:ascii="Palatino Linotype" w:hAnsi="Palatino Linotype"/>
          <w:bCs/>
        </w:rPr>
        <w:t xml:space="preserve">Con base en lo anteriormente expuesto, se arriba a la conclusión de que la </w:t>
      </w:r>
      <w:r>
        <w:rPr>
          <w:rFonts w:ascii="Palatino Linotype" w:hAnsi="Palatino Linotype"/>
          <w:bCs/>
        </w:rPr>
        <w:t xml:space="preserve">información requerida es susceptible de ser generada, poseída y administrada por </w:t>
      </w:r>
      <w:r>
        <w:rPr>
          <w:rFonts w:ascii="Palatino Linotype" w:hAnsi="Palatino Linotype"/>
          <w:b/>
        </w:rPr>
        <w:t xml:space="preserve">El Sujeto Obligado, </w:t>
      </w:r>
      <w:r>
        <w:rPr>
          <w:rFonts w:ascii="Palatino Linotype" w:hAnsi="Palatino Linotype"/>
          <w:bCs/>
        </w:rPr>
        <w:t xml:space="preserve">en razón de las competencias reservadas. </w:t>
      </w:r>
      <w:r w:rsidR="001F3AFF">
        <w:rPr>
          <w:rFonts w:ascii="Palatino Linotype" w:hAnsi="Palatino Linotype"/>
          <w:bCs/>
        </w:rPr>
        <w:t xml:space="preserve">Asimismo, encuadra dentro de las fronteras conceptuales de las obligaciones de transparencia común, al tratarse de un disposición o acuerdo de carácter general, es decir, normatividad aplicable. </w:t>
      </w:r>
    </w:p>
    <w:p w14:paraId="41F6F795" w14:textId="73557358" w:rsidR="00D922C3" w:rsidRDefault="00D922C3" w:rsidP="001F3AFF">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rindió su respuesta,</w:t>
      </w:r>
      <w:r w:rsidR="00855078">
        <w:rPr>
          <w:rFonts w:ascii="Palatino Linotype" w:hAnsi="Palatino Linotype" w:cs="Arial"/>
          <w:bCs/>
          <w:lang w:eastAsia="es-MX"/>
        </w:rPr>
        <w:t xml:space="preserve"> </w:t>
      </w:r>
      <w:r w:rsidR="001F3AFF">
        <w:rPr>
          <w:rFonts w:ascii="Palatino Linotype" w:hAnsi="Palatino Linotype" w:cs="Arial"/>
          <w:bCs/>
          <w:lang w:eastAsia="es-MX"/>
        </w:rPr>
        <w:t>misma que se reproduce a la literalidad:</w:t>
      </w:r>
    </w:p>
    <w:p w14:paraId="621913AC" w14:textId="77777777" w:rsidR="00DE225C" w:rsidRPr="000B65F4" w:rsidRDefault="00DE225C" w:rsidP="00DE225C">
      <w:pPr>
        <w:pStyle w:val="Citas"/>
      </w:pPr>
      <w:r w:rsidRPr="000B65F4">
        <w:t xml:space="preserve">“En respuesta a la solicitud recibida, nos permitimos hacer de su conocimiento que con fundamento en el artículo 53, Fracciones: II, V y VI de la Ley de Transparencia </w:t>
      </w:r>
      <w:r w:rsidRPr="000B65F4">
        <w:lastRenderedPageBreak/>
        <w:t>y Acceso a la Información Pública del Estado de México y Municipios, le contestamos que:</w:t>
      </w:r>
    </w:p>
    <w:p w14:paraId="7714872C" w14:textId="77777777" w:rsidR="00DE225C" w:rsidRPr="000B65F4" w:rsidRDefault="00DE225C" w:rsidP="00DE225C">
      <w:pPr>
        <w:pStyle w:val="Citas"/>
        <w:rPr>
          <w:b/>
          <w:bCs/>
        </w:rPr>
      </w:pPr>
      <w:r w:rsidRPr="000B65F4">
        <w:t xml:space="preserve">Me refiero a la solicitud 00283/SMOV/IP/2022, ingresada a través del Sistema de Acceso a la Información (SAIMEX), en la que se requiere lo siguiente: "... De conformidad con el artículo 6 de la Constitución solicito todos los convenios firmados con las empresas de transporte público en el año 2019 para otorgar el aumento de tarifa..." </w:t>
      </w:r>
      <w:r w:rsidRPr="000B65F4">
        <w:rPr>
          <w:b/>
          <w:bCs/>
          <w:u w:val="single"/>
        </w:rPr>
        <w:t>Al respecto, le informo que después de realizar una búsqueda exhaustiva en los archivos de la Dirección General de Asuntos Jurídicos e Igualdad de Género, no se localizó registro alguno de "... convenios firmados con las empresas de transporte público en el año 2019 para otorgar el aumento de tarifa..."</w:t>
      </w:r>
      <w:r w:rsidRPr="000B65F4">
        <w:t xml:space="preserve"> Reciba un cordial saludo</w:t>
      </w:r>
      <w:r>
        <w:t xml:space="preserve">” </w:t>
      </w:r>
      <w:r>
        <w:rPr>
          <w:b/>
          <w:bCs/>
        </w:rPr>
        <w:t>(Sic)</w:t>
      </w:r>
    </w:p>
    <w:p w14:paraId="3036EC75" w14:textId="461A1726" w:rsidR="001F3AFF" w:rsidRDefault="001F3AFF" w:rsidP="001F3AFF">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767F1878" w14:textId="62244469" w:rsidR="00DE225C" w:rsidRPr="00562E5B" w:rsidRDefault="00DE225C" w:rsidP="00DE225C">
      <w:pPr>
        <w:pStyle w:val="Citas"/>
        <w:ind w:left="0" w:right="0"/>
        <w:rPr>
          <w:i w:val="0"/>
          <w:sz w:val="24"/>
          <w:szCs w:val="24"/>
        </w:rPr>
      </w:pPr>
      <w:r w:rsidRPr="00820FD7">
        <w:rPr>
          <w:i w:val="0"/>
          <w:iCs/>
          <w:sz w:val="24"/>
          <w:szCs w:val="24"/>
        </w:rPr>
        <w:t>En razón de lo anterior</w:t>
      </w:r>
      <w:r>
        <w:rPr>
          <w:sz w:val="24"/>
          <w:szCs w:val="24"/>
        </w:rPr>
        <w:t xml:space="preserve">, </w:t>
      </w:r>
      <w:r w:rsidR="00820FD7">
        <w:rPr>
          <w:i w:val="0"/>
          <w:sz w:val="24"/>
          <w:szCs w:val="24"/>
        </w:rPr>
        <w:t>e</w:t>
      </w:r>
      <w:r w:rsidRPr="00562E5B">
        <w:rPr>
          <w:i w:val="0"/>
          <w:sz w:val="24"/>
          <w:szCs w:val="24"/>
        </w:rPr>
        <w:t>s de destacar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04DA9C92" w14:textId="77777777" w:rsidR="00DE225C" w:rsidRDefault="00DE225C" w:rsidP="00DE225C">
      <w:pPr>
        <w:pStyle w:val="INFOEM"/>
      </w:pPr>
      <w:r w:rsidRPr="00562E5B">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562E5B">
        <w:rPr>
          <w:b/>
        </w:rPr>
        <w:t>[Sic]</w:t>
      </w:r>
    </w:p>
    <w:p w14:paraId="6D15D50F" w14:textId="4EA2ED0E" w:rsidR="00DE225C" w:rsidRDefault="00DE225C" w:rsidP="00DE225C">
      <w:pPr>
        <w:pStyle w:val="Citas"/>
        <w:ind w:left="0" w:right="0"/>
        <w:rPr>
          <w:i w:val="0"/>
          <w:sz w:val="24"/>
          <w:szCs w:val="24"/>
        </w:rPr>
      </w:pPr>
      <w:r>
        <w:rPr>
          <w:i w:val="0"/>
          <w:sz w:val="24"/>
          <w:szCs w:val="24"/>
        </w:rPr>
        <w:lastRenderedPageBreak/>
        <w:t xml:space="preserve">Inconforme con la respuesta del </w:t>
      </w:r>
      <w:r>
        <w:rPr>
          <w:b/>
          <w:i w:val="0"/>
          <w:sz w:val="24"/>
          <w:szCs w:val="24"/>
        </w:rPr>
        <w:t xml:space="preserve">Sujeto Obligado, El Recurrente </w:t>
      </w:r>
      <w:r>
        <w:rPr>
          <w:i w:val="0"/>
          <w:sz w:val="24"/>
          <w:szCs w:val="24"/>
        </w:rPr>
        <w:t>interpuso recurso de revisión en fecha dieciséis de junio, admitiéndose el veintiuno de junio, ambos de dos mil veintidós. Señalando como razones o motivos de inconformidad:</w:t>
      </w:r>
    </w:p>
    <w:p w14:paraId="5B6D0B19" w14:textId="2D8C9F46" w:rsidR="00DE225C" w:rsidRPr="00DE225C" w:rsidRDefault="00DE225C" w:rsidP="00DE225C">
      <w:pPr>
        <w:pStyle w:val="Citas"/>
        <w:rPr>
          <w:b/>
          <w:bCs/>
        </w:rPr>
      </w:pPr>
      <w:r>
        <w:t>“</w:t>
      </w:r>
      <w:r w:rsidRPr="00DE225C">
        <w:t>no se entrga la ionfomarcian solicitada.</w:t>
      </w:r>
      <w:r>
        <w:t xml:space="preserve">” </w:t>
      </w:r>
      <w:r>
        <w:rPr>
          <w:b/>
          <w:bCs/>
        </w:rPr>
        <w:t>(Sic)</w:t>
      </w:r>
    </w:p>
    <w:p w14:paraId="62BC94FF" w14:textId="77777777" w:rsidR="00DE225C" w:rsidRDefault="00DE225C" w:rsidP="00DE225C">
      <w:pPr>
        <w:pStyle w:val="Citas"/>
        <w:ind w:left="0" w:right="0"/>
        <w:rPr>
          <w:i w:val="0"/>
          <w:sz w:val="24"/>
          <w:szCs w:val="24"/>
        </w:rPr>
      </w:pPr>
    </w:p>
    <w:p w14:paraId="216E9466" w14:textId="6DCC7A54" w:rsidR="00DE225C" w:rsidRDefault="00DE225C" w:rsidP="00DE225C">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no satisfizo el derecho de acceso a la información pública ejercido por </w:t>
      </w:r>
      <w:r>
        <w:rPr>
          <w:rFonts w:ascii="Palatino Linotype" w:hAnsi="Palatino Linotype" w:cs="Arial"/>
          <w:b/>
          <w:noProof/>
          <w:color w:val="000000"/>
          <w:sz w:val="24"/>
          <w:lang w:eastAsia="es-MX"/>
        </w:rPr>
        <w:t xml:space="preserve">El Recurrente, </w:t>
      </w:r>
      <w:r>
        <w:rPr>
          <w:rFonts w:ascii="Palatino Linotype" w:hAnsi="Palatino Linotype" w:cs="Arial"/>
          <w:noProof/>
          <w:color w:val="000000"/>
          <w:sz w:val="24"/>
          <w:lang w:eastAsia="es-MX"/>
        </w:rPr>
        <w:t>al tenerse por actualizada la hipotesi</w:t>
      </w:r>
      <w:r w:rsidR="004E5DBD">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normativa prevista en el artículo 179, fracción I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2A3FC16E" w14:textId="77777777" w:rsidR="00DE225C" w:rsidRDefault="00DE225C" w:rsidP="00DE225C">
      <w:pPr>
        <w:pStyle w:val="Citas"/>
      </w:pPr>
      <w:r>
        <w:t>“Artículo 179. El recurso de revisión es un medio de protección que la Ley otorga a los particulares, para hacer valer su derecho de acceso a la información pública, y procederá en contra de las siguientes causas:</w:t>
      </w:r>
    </w:p>
    <w:p w14:paraId="6AEC7186" w14:textId="77777777" w:rsidR="00DE225C" w:rsidRDefault="00DE225C" w:rsidP="00DE225C">
      <w:pPr>
        <w:pStyle w:val="Citas"/>
      </w:pPr>
      <w:r>
        <w:t>I. La negativa a la información solicitada;</w:t>
      </w:r>
    </w:p>
    <w:p w14:paraId="0BCC1659" w14:textId="77777777" w:rsidR="00DE225C" w:rsidRPr="005A12AE" w:rsidRDefault="00DE225C" w:rsidP="00DE225C">
      <w:pPr>
        <w:pStyle w:val="Citas"/>
        <w:rPr>
          <w:b/>
          <w:bCs/>
          <w:noProof/>
          <w:color w:val="000000"/>
          <w:sz w:val="24"/>
          <w:lang w:eastAsia="es-MX"/>
        </w:rPr>
      </w:pPr>
      <w:r>
        <w:rPr>
          <w:noProof/>
          <w:color w:val="000000"/>
          <w:sz w:val="24"/>
          <w:lang w:eastAsia="es-MX"/>
        </w:rPr>
        <w:t xml:space="preserve"> (…)” </w:t>
      </w:r>
      <w:r>
        <w:rPr>
          <w:b/>
          <w:bCs/>
          <w:noProof/>
          <w:color w:val="000000"/>
          <w:sz w:val="24"/>
          <w:lang w:eastAsia="es-MX"/>
        </w:rPr>
        <w:t>[Sic]</w:t>
      </w:r>
    </w:p>
    <w:p w14:paraId="2009062A" w14:textId="77777777" w:rsidR="00DE225C" w:rsidRDefault="00DE225C" w:rsidP="00DE225C">
      <w:pPr>
        <w:pStyle w:val="Citas"/>
        <w:ind w:left="0" w:right="0"/>
        <w:rPr>
          <w:i w:val="0"/>
          <w:sz w:val="24"/>
          <w:szCs w:val="24"/>
        </w:rPr>
      </w:pPr>
    </w:p>
    <w:p w14:paraId="52F9B03B" w14:textId="370042A2" w:rsidR="00DE225C" w:rsidRDefault="00DE225C" w:rsidP="00DE225C">
      <w:pPr>
        <w:pStyle w:val="Citas"/>
        <w:ind w:left="0" w:right="0"/>
        <w:rPr>
          <w:i w:val="0"/>
          <w:sz w:val="24"/>
          <w:szCs w:val="24"/>
        </w:rPr>
      </w:pPr>
      <w:r>
        <w:rPr>
          <w:i w:val="0"/>
          <w:sz w:val="24"/>
          <w:szCs w:val="24"/>
        </w:rPr>
        <w:t xml:space="preserve">Por otra parte, en etapa de manifestaciones, las partes fueron omisas en rendir las manifestaciones, pruebas o alegatos estimados pertinentes, de ahí que se arriban a las siguientes premisas medulares: </w:t>
      </w:r>
    </w:p>
    <w:p w14:paraId="4FEAB4D4" w14:textId="77777777" w:rsidR="00DE225C" w:rsidRPr="00242587" w:rsidRDefault="00DE225C" w:rsidP="00DE225C">
      <w:pPr>
        <w:pStyle w:val="Sinespaciado"/>
        <w:numPr>
          <w:ilvl w:val="0"/>
          <w:numId w:val="40"/>
        </w:numPr>
        <w:spacing w:line="360" w:lineRule="auto"/>
        <w:jc w:val="both"/>
        <w:rPr>
          <w:rFonts w:ascii="Palatino Linotype" w:hAnsi="Palatino Linotype"/>
        </w:rPr>
      </w:pPr>
      <w:r>
        <w:rPr>
          <w:rFonts w:ascii="Palatino Linotype" w:hAnsi="Palatino Linotype"/>
        </w:rPr>
        <w:lastRenderedPageBreak/>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7A280A58" w14:textId="6D55C488" w:rsidR="00DE225C" w:rsidRDefault="00DE225C" w:rsidP="00DE225C">
      <w:pPr>
        <w:pStyle w:val="Sinespaciado"/>
        <w:numPr>
          <w:ilvl w:val="0"/>
          <w:numId w:val="40"/>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porción normativa </w:t>
      </w:r>
      <w:r w:rsidR="00820FD7">
        <w:rPr>
          <w:rFonts w:ascii="Palatino Linotype" w:hAnsi="Palatino Linotype"/>
        </w:rPr>
        <w:t>in</w:t>
      </w:r>
      <w:r>
        <w:rPr>
          <w:rFonts w:ascii="Palatino Linotype" w:hAnsi="Palatino Linotype"/>
        </w:rPr>
        <w:t xml:space="preserve">observada por </w:t>
      </w:r>
      <w:r>
        <w:rPr>
          <w:rFonts w:ascii="Palatino Linotype" w:hAnsi="Palatino Linotype"/>
          <w:b/>
          <w:bCs/>
        </w:rPr>
        <w:t>El Sujeto Obligado</w:t>
      </w:r>
      <w:r w:rsidR="00820FD7">
        <w:rPr>
          <w:rFonts w:ascii="Palatino Linotype" w:hAnsi="Palatino Linotype"/>
          <w:b/>
          <w:bCs/>
        </w:rPr>
        <w:t xml:space="preserve">. </w:t>
      </w:r>
    </w:p>
    <w:p w14:paraId="4BEFAA75" w14:textId="6F04C4F5" w:rsidR="00820FD7" w:rsidRDefault="00DE225C" w:rsidP="00DE225C">
      <w:pPr>
        <w:pStyle w:val="Sinespaciado"/>
        <w:numPr>
          <w:ilvl w:val="0"/>
          <w:numId w:val="40"/>
        </w:numPr>
        <w:spacing w:line="360" w:lineRule="auto"/>
        <w:jc w:val="both"/>
        <w:rPr>
          <w:rFonts w:ascii="Palatino Linotype" w:hAnsi="Palatino Linotype"/>
        </w:rPr>
      </w:pPr>
      <w:r>
        <w:rPr>
          <w:rFonts w:ascii="Palatino Linotype" w:hAnsi="Palatino Linotype"/>
        </w:rPr>
        <w:t xml:space="preserve">De una interpretación sistemática </w:t>
      </w:r>
      <w:r w:rsidR="00820FD7">
        <w:rPr>
          <w:rFonts w:ascii="Palatino Linotype" w:hAnsi="Palatino Linotype"/>
        </w:rPr>
        <w:t xml:space="preserve">a los artículos </w:t>
      </w:r>
      <w:r w:rsidR="00820FD7">
        <w:rPr>
          <w:rFonts w:ascii="Palatino Linotype" w:hAnsi="Palatino Linotype" w:cs="Arial"/>
        </w:rPr>
        <w:t xml:space="preserve">19, fracción XVI y 32, fracciones I, II, XXIX y XXXIII de la Ley Orgánica de la Administración Pública del Estado de México; 7.25 del Código Administrativo del Estado de México; </w:t>
      </w:r>
      <w:r w:rsidR="00820FD7" w:rsidRPr="00F76F0C">
        <w:rPr>
          <w:rFonts w:ascii="Palatino Linotype" w:hAnsi="Palatino Linotype" w:cs="Arial"/>
        </w:rPr>
        <w:t>50, 51, fracción IV, 52, 90, 91, 92 y 93 del Reglamento del Transporte Público y Servicios Conexos del Estado de México</w:t>
      </w:r>
      <w:r w:rsidR="00820FD7">
        <w:rPr>
          <w:rFonts w:ascii="Palatino Linotype" w:hAnsi="Palatino Linotype" w:cs="Arial"/>
        </w:rPr>
        <w:t xml:space="preserve">; </w:t>
      </w:r>
      <w:r w:rsidR="00820FD7" w:rsidRPr="0090621C">
        <w:rPr>
          <w:rFonts w:ascii="Palatino Linotype" w:hAnsi="Palatino Linotype" w:cs="Arial"/>
        </w:rPr>
        <w:t>6, fracción XXXIX, 11, 13, fracción VII, 17, fracción VII del Reglamento Interior de la Secretaría de Movilidad</w:t>
      </w:r>
      <w:r w:rsidR="00820FD7">
        <w:rPr>
          <w:rFonts w:ascii="Palatino Linotype" w:hAnsi="Palatino Linotype" w:cs="Arial"/>
        </w:rPr>
        <w:t xml:space="preserve">; se arriba a la premisa de que la Subsecretaría de Movilidad, Dirección General de Movilidad y Delegación Regional de Movilidad, son las unidades administrativas competentes para atender la solicitud de información </w:t>
      </w:r>
      <w:r w:rsidR="00820FD7">
        <w:rPr>
          <w:rFonts w:ascii="Palatino Linotype" w:hAnsi="Palatino Linotype" w:cs="Arial"/>
          <w:b/>
          <w:bCs/>
        </w:rPr>
        <w:t xml:space="preserve">00283/SMOV/IP/2022. </w:t>
      </w:r>
    </w:p>
    <w:p w14:paraId="5D66B540" w14:textId="5FDCAC34" w:rsidR="00820FD7" w:rsidRDefault="00DD3D0E" w:rsidP="00DE225C">
      <w:pPr>
        <w:pStyle w:val="Sinespaciado"/>
        <w:numPr>
          <w:ilvl w:val="0"/>
          <w:numId w:val="40"/>
        </w:numPr>
        <w:spacing w:line="360" w:lineRule="auto"/>
        <w:jc w:val="both"/>
        <w:rPr>
          <w:rFonts w:ascii="Palatino Linotype" w:hAnsi="Palatino Linotype"/>
        </w:rPr>
      </w:pPr>
      <w:r>
        <w:rPr>
          <w:rFonts w:ascii="Palatino Linotype" w:hAnsi="Palatino Linotype"/>
        </w:rPr>
        <w:t>Que,</w:t>
      </w:r>
      <w:r w:rsidR="00820FD7">
        <w:rPr>
          <w:rFonts w:ascii="Palatino Linotype" w:hAnsi="Palatino Linotype"/>
        </w:rPr>
        <w:t xml:space="preserve"> mediante respuesta, la Dirección General de Asuntos Jurídicos e Igualdad de Género invoc</w:t>
      </w:r>
      <w:r w:rsidR="00A92693">
        <w:rPr>
          <w:rFonts w:ascii="Palatino Linotype" w:hAnsi="Palatino Linotype"/>
        </w:rPr>
        <w:t>ó</w:t>
      </w:r>
      <w:r w:rsidR="00820FD7">
        <w:rPr>
          <w:rFonts w:ascii="Palatino Linotype" w:hAnsi="Palatino Linotype"/>
        </w:rPr>
        <w:t xml:space="preserve"> la figura de hechos negativos. Pronunciamiento que no colma el derecho de acceso a la información pública, al inobservar el numeral 162 de la Ley de Transparencia local. </w:t>
      </w:r>
    </w:p>
    <w:p w14:paraId="5887685A" w14:textId="7EC3E3F0" w:rsidR="00DD3D0E" w:rsidRDefault="00DD3D0E" w:rsidP="00DE225C">
      <w:pPr>
        <w:pStyle w:val="Sinespaciado"/>
        <w:numPr>
          <w:ilvl w:val="0"/>
          <w:numId w:val="40"/>
        </w:numPr>
        <w:spacing w:line="360" w:lineRule="auto"/>
        <w:jc w:val="both"/>
        <w:rPr>
          <w:rFonts w:ascii="Palatino Linotype" w:hAnsi="Palatino Linotype"/>
        </w:rPr>
      </w:pPr>
      <w:r>
        <w:rPr>
          <w:rFonts w:ascii="Palatino Linotype" w:hAnsi="Palatino Linotype"/>
        </w:rPr>
        <w:lastRenderedPageBreak/>
        <w:t xml:space="preserve">De manera complementaria, es menester señalar que </w:t>
      </w:r>
      <w:r>
        <w:rPr>
          <w:rFonts w:ascii="Palatino Linotype" w:hAnsi="Palatino Linotype"/>
          <w:b/>
          <w:bCs/>
        </w:rPr>
        <w:t xml:space="preserve">El Sujeto Obligado </w:t>
      </w:r>
      <w:r>
        <w:rPr>
          <w:rFonts w:ascii="Palatino Linotype" w:hAnsi="Palatino Linotype"/>
        </w:rPr>
        <w:t xml:space="preserve">se limitó a interpretar de manera literal la solicitud de información </w:t>
      </w:r>
      <w:r>
        <w:rPr>
          <w:rFonts w:ascii="Palatino Linotype" w:hAnsi="Palatino Linotype"/>
          <w:b/>
          <w:bCs/>
        </w:rPr>
        <w:t>00283/SMOV/IP/2022</w:t>
      </w:r>
      <w:r w:rsidR="002F28FD">
        <w:rPr>
          <w:rFonts w:ascii="Palatino Linotype" w:hAnsi="Palatino Linotype"/>
          <w:b/>
          <w:bCs/>
        </w:rPr>
        <w:t xml:space="preserve"> (Convenios con empresas</w:t>
      </w:r>
      <w:r w:rsidR="00A92693">
        <w:rPr>
          <w:rFonts w:ascii="Palatino Linotype" w:hAnsi="Palatino Linotype"/>
          <w:b/>
          <w:bCs/>
        </w:rPr>
        <w:t xml:space="preserve"> que modifiquen tarifas en transporte público</w:t>
      </w:r>
      <w:r w:rsidR="002F28FD">
        <w:rPr>
          <w:rFonts w:ascii="Palatino Linotype" w:hAnsi="Palatino Linotype"/>
          <w:b/>
          <w:bCs/>
        </w:rPr>
        <w:t>).</w:t>
      </w:r>
      <w:r>
        <w:rPr>
          <w:rFonts w:ascii="Palatino Linotype" w:hAnsi="Palatino Linotype"/>
          <w:b/>
          <w:bCs/>
        </w:rPr>
        <w:t xml:space="preserve"> </w:t>
      </w:r>
      <w:r>
        <w:rPr>
          <w:rFonts w:ascii="Palatino Linotype" w:hAnsi="Palatino Linotype"/>
        </w:rPr>
        <w:t xml:space="preserve">Sin embargo, a toda luz resulta inconcuso que la modificación de tarifas en el transporte público resulta materia de acuerdos generales emitidos por el </w:t>
      </w:r>
      <w:r w:rsidR="002F28FD">
        <w:rPr>
          <w:rFonts w:ascii="Palatino Linotype" w:hAnsi="Palatino Linotype"/>
        </w:rPr>
        <w:t>secretario</w:t>
      </w:r>
      <w:r>
        <w:rPr>
          <w:rFonts w:ascii="Palatino Linotype" w:hAnsi="Palatino Linotype"/>
        </w:rPr>
        <w:t xml:space="preserve"> de Movilidad y publicados en el Periódico Oficial “Gaceta del Gobierno del Estado de México”. Dicha aseveración encuentra sustento en la siguiente liga electrónica:</w:t>
      </w:r>
    </w:p>
    <w:p w14:paraId="0480C6A8" w14:textId="40D8F07D" w:rsidR="00DD3D0E" w:rsidRDefault="00440ECB" w:rsidP="00DD3D0E">
      <w:pPr>
        <w:pStyle w:val="Sinespaciado"/>
        <w:spacing w:line="360" w:lineRule="auto"/>
        <w:ind w:left="720"/>
        <w:jc w:val="both"/>
        <w:rPr>
          <w:rFonts w:ascii="Palatino Linotype" w:hAnsi="Palatino Linotype"/>
        </w:rPr>
      </w:pPr>
      <w:hyperlink r:id="rId15" w:history="1">
        <w:r w:rsidR="00DD3D0E" w:rsidRPr="00BB6CEE">
          <w:rPr>
            <w:rStyle w:val="Hipervnculo"/>
            <w:rFonts w:ascii="Palatino Linotype" w:hAnsi="Palatino Linotype"/>
          </w:rPr>
          <w:t>https://smovilidad.edomex.gob.mx/tarifas_autorizadas</w:t>
        </w:r>
      </w:hyperlink>
      <w:r w:rsidR="00DD3D0E">
        <w:rPr>
          <w:rFonts w:ascii="Palatino Linotype" w:hAnsi="Palatino Linotype"/>
        </w:rPr>
        <w:t xml:space="preserve"> </w:t>
      </w:r>
    </w:p>
    <w:p w14:paraId="15EBCFB4" w14:textId="41C14C51" w:rsidR="00DD3D0E" w:rsidRDefault="005D436A" w:rsidP="00DD3D0E">
      <w:pPr>
        <w:pStyle w:val="Sinespaciado"/>
        <w:spacing w:line="360" w:lineRule="auto"/>
        <w:jc w:val="both"/>
        <w:rPr>
          <w:rFonts w:ascii="Palatino Linotype" w:hAnsi="Palatino Linotype"/>
        </w:rPr>
      </w:pPr>
      <w:r>
        <w:rPr>
          <w:rFonts w:ascii="Palatino Linotype" w:hAnsi="Palatino Linotype" w:cs="Arial"/>
          <w:noProof/>
          <w:lang w:eastAsia="es-MX"/>
        </w:rPr>
        <w:drawing>
          <wp:anchor distT="0" distB="0" distL="114300" distR="114300" simplePos="0" relativeHeight="251663346" behindDoc="0" locked="0" layoutInCell="1" allowOverlap="1" wp14:anchorId="263112AE" wp14:editId="12A99F9E">
            <wp:simplePos x="0" y="0"/>
            <wp:positionH relativeFrom="column">
              <wp:posOffset>199159</wp:posOffset>
            </wp:positionH>
            <wp:positionV relativeFrom="paragraph">
              <wp:posOffset>308206</wp:posOffset>
            </wp:positionV>
            <wp:extent cx="5717540" cy="3462655"/>
            <wp:effectExtent l="19050" t="19050" r="16510" b="23495"/>
            <wp:wrapThrough wrapText="bothSides">
              <wp:wrapPolygon edited="0">
                <wp:start x="-72" y="-119"/>
                <wp:lineTo x="-72" y="21628"/>
                <wp:lineTo x="21590" y="21628"/>
                <wp:lineTo x="21590" y="-119"/>
                <wp:lineTo x="-72" y="-119"/>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7540" cy="3462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A2131D" w14:textId="0A4F7DFA" w:rsidR="00DD3D0E" w:rsidRDefault="00DD3D0E" w:rsidP="00DD3D0E">
      <w:pPr>
        <w:pStyle w:val="Sinespaciado"/>
        <w:spacing w:line="360" w:lineRule="auto"/>
        <w:jc w:val="both"/>
        <w:rPr>
          <w:rFonts w:ascii="Palatino Linotype" w:hAnsi="Palatino Linotype"/>
        </w:rPr>
      </w:pPr>
    </w:p>
    <w:p w14:paraId="5AC193CC" w14:textId="63245407" w:rsidR="00820FD7" w:rsidRDefault="005D436A" w:rsidP="005D436A">
      <w:pPr>
        <w:pStyle w:val="Prrafodelista"/>
        <w:numPr>
          <w:ilvl w:val="0"/>
          <w:numId w:val="4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Bajo este contexto, resulta inconcuso que </w:t>
      </w:r>
      <w:r>
        <w:rPr>
          <w:rFonts w:ascii="Palatino Linotype" w:hAnsi="Palatino Linotype" w:cs="Arial"/>
          <w:b/>
          <w:bCs/>
        </w:rPr>
        <w:t xml:space="preserve">El Sujeto Obligado </w:t>
      </w:r>
      <w:r>
        <w:rPr>
          <w:rFonts w:ascii="Palatino Linotype" w:hAnsi="Palatino Linotype" w:cs="Arial"/>
        </w:rPr>
        <w:t xml:space="preserve">debió de aplicar el principio de suplencia de la queja deficiente, en atención a los numerales 13 y 181 de la Ley de Transparencia local. Lo anterior, bajo la premisa de que el particular no es experto en </w:t>
      </w:r>
      <w:r w:rsidR="002F28FD">
        <w:rPr>
          <w:rFonts w:ascii="Palatino Linotype" w:hAnsi="Palatino Linotype" w:cs="Arial"/>
        </w:rPr>
        <w:t>el tópico de transparencia</w:t>
      </w:r>
      <w:r>
        <w:rPr>
          <w:rFonts w:ascii="Palatino Linotype" w:hAnsi="Palatino Linotype" w:cs="Arial"/>
        </w:rPr>
        <w:t xml:space="preserve"> o en materia de administración pública, luego entonces, desconoce si la revisión de tarifas en el transporte publico resultan materia de convenios con concesionarios o en su defecto, materia de acuerdo emitido por el secretario de Movilidad y publicado en el Periódico Oficial “Gaceta del Gobierno”. </w:t>
      </w:r>
    </w:p>
    <w:p w14:paraId="33F7B8F6" w14:textId="3941F456" w:rsidR="005D436A" w:rsidRPr="005D436A" w:rsidRDefault="005D436A" w:rsidP="005D436A">
      <w:pPr>
        <w:pStyle w:val="Prrafodelista"/>
        <w:numPr>
          <w:ilvl w:val="0"/>
          <w:numId w:val="4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Finalmente, </w:t>
      </w:r>
      <w:r>
        <w:rPr>
          <w:rFonts w:ascii="Palatino Linotype" w:hAnsi="Palatino Linotype" w:cs="Arial"/>
          <w:b/>
          <w:bCs/>
        </w:rPr>
        <w:t xml:space="preserve">El Sujeto Obligado </w:t>
      </w:r>
      <w:r>
        <w:rPr>
          <w:rFonts w:ascii="Palatino Linotype" w:hAnsi="Palatino Linotype" w:cs="Arial"/>
        </w:rPr>
        <w:t xml:space="preserve">fue omiso en rendir su informe justificado, es decir, no subsanó el derecho de acceso a la información pública. </w:t>
      </w:r>
    </w:p>
    <w:p w14:paraId="51AEB549" w14:textId="366D8810" w:rsidR="005D436A" w:rsidRDefault="005D436A" w:rsidP="00820FD7">
      <w:pPr>
        <w:autoSpaceDE w:val="0"/>
        <w:autoSpaceDN w:val="0"/>
        <w:adjustRightInd w:val="0"/>
        <w:spacing w:before="240" w:line="360" w:lineRule="auto"/>
        <w:jc w:val="both"/>
        <w:rPr>
          <w:rFonts w:ascii="Palatino Linotype" w:hAnsi="Palatino Linotype" w:cs="Arial"/>
          <w:sz w:val="24"/>
          <w:szCs w:val="24"/>
        </w:rPr>
      </w:pPr>
    </w:p>
    <w:p w14:paraId="23099FC9" w14:textId="748176DA" w:rsidR="005D436A" w:rsidRDefault="005D436A" w:rsidP="00820FD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w:t>
      </w:r>
      <w:r w:rsidR="00327676">
        <w:rPr>
          <w:rFonts w:ascii="Palatino Linotype" w:hAnsi="Palatino Linotype" w:cs="Arial"/>
          <w:sz w:val="24"/>
          <w:szCs w:val="24"/>
        </w:rPr>
        <w:t xml:space="preserve">necesario ordenar una búsqueda exhaustiva y razonable de la información requerida, a efecto de hacer entrega de la siguiente información: </w:t>
      </w:r>
    </w:p>
    <w:p w14:paraId="4BED5E02" w14:textId="722136AF" w:rsidR="00327676" w:rsidRDefault="00327676" w:rsidP="00327676">
      <w:pPr>
        <w:pStyle w:val="Prrafodelista"/>
        <w:numPr>
          <w:ilvl w:val="0"/>
          <w:numId w:val="42"/>
        </w:numPr>
        <w:spacing w:before="240" w:line="360" w:lineRule="auto"/>
        <w:jc w:val="both"/>
        <w:rPr>
          <w:rFonts w:ascii="Palatino Linotype" w:hAnsi="Palatino Linotype"/>
        </w:rPr>
      </w:pPr>
      <w:r>
        <w:rPr>
          <w:rFonts w:ascii="Palatino Linotype" w:hAnsi="Palatino Linotype"/>
        </w:rPr>
        <w:t xml:space="preserve">Acuerdo </w:t>
      </w:r>
      <w:r w:rsidR="005E0CF8">
        <w:rPr>
          <w:rFonts w:ascii="Palatino Linotype" w:hAnsi="Palatino Linotype"/>
        </w:rPr>
        <w:t xml:space="preserve">mediante el cual se aprobó el aumento de las tarifas de transporte público, durante el ejercicio 2019. </w:t>
      </w:r>
    </w:p>
    <w:p w14:paraId="5612094B" w14:textId="0CFB5D70" w:rsidR="005D436A" w:rsidRDefault="005D436A" w:rsidP="00820FD7">
      <w:pPr>
        <w:autoSpaceDE w:val="0"/>
        <w:autoSpaceDN w:val="0"/>
        <w:adjustRightInd w:val="0"/>
        <w:spacing w:before="240" w:line="360" w:lineRule="auto"/>
        <w:jc w:val="both"/>
        <w:rPr>
          <w:rFonts w:ascii="Palatino Linotype" w:hAnsi="Palatino Linotype" w:cs="Arial"/>
          <w:sz w:val="24"/>
          <w:szCs w:val="24"/>
        </w:rPr>
      </w:pPr>
    </w:p>
    <w:p w14:paraId="4AB94B32" w14:textId="47657190" w:rsidR="00282369" w:rsidRPr="00D5257A" w:rsidRDefault="00282369" w:rsidP="0028236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327676">
        <w:rPr>
          <w:rFonts w:ascii="Palatino Linotype" w:hAnsi="Palatino Linotype"/>
          <w:b/>
          <w:sz w:val="24"/>
          <w:szCs w:val="24"/>
        </w:rPr>
        <w:t>00283/SMOV/IP/2022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1869F2C" w14:textId="77777777" w:rsidR="00282369" w:rsidRDefault="00282369" w:rsidP="0028236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49524F0" w14:textId="77777777" w:rsidR="00282369" w:rsidRDefault="00282369" w:rsidP="00282369">
      <w:pPr>
        <w:spacing w:before="240" w:line="360" w:lineRule="auto"/>
        <w:jc w:val="center"/>
        <w:rPr>
          <w:rFonts w:ascii="Palatino Linotype" w:eastAsia="Times New Roman" w:hAnsi="Palatino Linotype"/>
          <w:b/>
          <w:bCs/>
          <w:spacing w:val="60"/>
          <w:sz w:val="24"/>
          <w:szCs w:val="24"/>
          <w:lang w:val="es-ES_tradnl"/>
        </w:rPr>
      </w:pPr>
    </w:p>
    <w:p w14:paraId="48B6EFBE" w14:textId="77777777" w:rsidR="00282369" w:rsidRPr="00D05C83" w:rsidRDefault="00282369" w:rsidP="0028236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D181CB9" w14:textId="0A87CA33" w:rsidR="00282369" w:rsidRDefault="00282369" w:rsidP="0028236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27676">
        <w:rPr>
          <w:rFonts w:ascii="Palatino Linotype" w:hAnsi="Palatino Linotype"/>
          <w:b/>
          <w:sz w:val="24"/>
          <w:szCs w:val="24"/>
        </w:rPr>
        <w:t>00283/SMOV/IP/2022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112B0BD" w14:textId="77777777" w:rsidR="00282369" w:rsidRDefault="00282369" w:rsidP="0028236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BFC8D9F" w14:textId="5A5FEDD6" w:rsidR="009D3A0C" w:rsidRPr="005E0CF8" w:rsidRDefault="00282369" w:rsidP="00282369">
      <w:pPr>
        <w:autoSpaceDE w:val="0"/>
        <w:autoSpaceDN w:val="0"/>
        <w:adjustRightInd w:val="0"/>
        <w:spacing w:before="240" w:line="360" w:lineRule="auto"/>
        <w:ind w:right="49"/>
        <w:jc w:val="both"/>
        <w:rPr>
          <w:rFonts w:ascii="Palatino Linotype" w:hAnsi="Palatino Linotype" w:cs="Arial"/>
          <w:bCs/>
          <w:sz w:val="24"/>
          <w:szCs w:val="24"/>
        </w:rPr>
      </w:pPr>
      <w:r w:rsidRPr="005E0CF8">
        <w:rPr>
          <w:rFonts w:ascii="Palatino Linotype" w:hAnsi="Palatino Linotype" w:cs="Arial"/>
          <w:b/>
          <w:sz w:val="24"/>
          <w:szCs w:val="24"/>
          <w:lang w:val="es-ES_tradnl"/>
        </w:rPr>
        <w:t>SEGUNDO.</w:t>
      </w:r>
      <w:r w:rsidRPr="005E0CF8">
        <w:rPr>
          <w:rFonts w:ascii="Palatino Linotype" w:hAnsi="Palatino Linotype" w:cs="Arial"/>
          <w:sz w:val="24"/>
          <w:szCs w:val="24"/>
        </w:rPr>
        <w:t xml:space="preserve"> Se </w:t>
      </w:r>
      <w:r w:rsidRPr="005E0CF8">
        <w:rPr>
          <w:rFonts w:ascii="Palatino Linotype" w:hAnsi="Palatino Linotype" w:cs="Arial"/>
          <w:b/>
          <w:sz w:val="24"/>
          <w:szCs w:val="24"/>
        </w:rPr>
        <w:t>ORDENA</w:t>
      </w:r>
      <w:r w:rsidRPr="005E0CF8">
        <w:rPr>
          <w:rFonts w:ascii="Palatino Linotype" w:hAnsi="Palatino Linotype" w:cs="Arial"/>
          <w:sz w:val="24"/>
          <w:szCs w:val="24"/>
        </w:rPr>
        <w:t xml:space="preserve"> al </w:t>
      </w:r>
      <w:r w:rsidRPr="005E0CF8">
        <w:rPr>
          <w:rFonts w:ascii="Palatino Linotype" w:hAnsi="Palatino Linotype" w:cs="Arial"/>
          <w:b/>
          <w:sz w:val="24"/>
          <w:szCs w:val="24"/>
        </w:rPr>
        <w:t>SUJETO OBLIGADO</w:t>
      </w:r>
      <w:r w:rsidR="009D3A0C" w:rsidRPr="005E0CF8">
        <w:rPr>
          <w:rFonts w:ascii="Palatino Linotype" w:hAnsi="Palatino Linotype" w:cs="Arial"/>
          <w:sz w:val="24"/>
          <w:szCs w:val="24"/>
        </w:rPr>
        <w:t xml:space="preserve"> realizar una búsqueda exhaustiva y razonable a fin de entregar al</w:t>
      </w:r>
      <w:r w:rsidR="009D3A0C" w:rsidRPr="005E0CF8">
        <w:rPr>
          <w:rFonts w:ascii="Palatino Linotype" w:hAnsi="Palatino Linotype" w:cs="Arial"/>
          <w:b/>
          <w:sz w:val="24"/>
          <w:szCs w:val="24"/>
        </w:rPr>
        <w:t xml:space="preserve"> RECURRENTE, </w:t>
      </w:r>
      <w:r w:rsidR="009D3A0C" w:rsidRPr="005E0CF8">
        <w:rPr>
          <w:rFonts w:ascii="Palatino Linotype" w:hAnsi="Palatino Linotype" w:cs="Arial"/>
          <w:sz w:val="24"/>
          <w:szCs w:val="24"/>
        </w:rPr>
        <w:t xml:space="preserve">a través del Sistema de Acceso a la Información Mexiquense </w:t>
      </w:r>
      <w:r w:rsidR="009D3A0C" w:rsidRPr="005E0CF8">
        <w:rPr>
          <w:rFonts w:ascii="Palatino Linotype" w:hAnsi="Palatino Linotype" w:cs="Arial"/>
          <w:b/>
          <w:sz w:val="24"/>
          <w:szCs w:val="24"/>
        </w:rPr>
        <w:t xml:space="preserve">(SAIMEX), </w:t>
      </w:r>
      <w:r w:rsidR="009D3A0C" w:rsidRPr="005E0CF8">
        <w:rPr>
          <w:rFonts w:ascii="Palatino Linotype" w:hAnsi="Palatino Linotype" w:cs="Arial"/>
          <w:bCs/>
          <w:sz w:val="24"/>
          <w:szCs w:val="24"/>
        </w:rPr>
        <w:t>de lo siguiente:</w:t>
      </w:r>
    </w:p>
    <w:p w14:paraId="0F40620B" w14:textId="4D081947" w:rsidR="009D3A0C" w:rsidRPr="005E0CF8" w:rsidRDefault="009D3A0C" w:rsidP="009D3A0C">
      <w:pPr>
        <w:pStyle w:val="Prrafodelista"/>
        <w:numPr>
          <w:ilvl w:val="0"/>
          <w:numId w:val="7"/>
        </w:numPr>
        <w:spacing w:before="240" w:line="360" w:lineRule="auto"/>
        <w:jc w:val="both"/>
        <w:rPr>
          <w:rFonts w:ascii="Palatino Linotype" w:hAnsi="Palatino Linotype"/>
          <w:i/>
          <w:iCs/>
        </w:rPr>
      </w:pPr>
      <w:r w:rsidRPr="005E0CF8">
        <w:rPr>
          <w:rFonts w:ascii="Palatino Linotype" w:hAnsi="Palatino Linotype"/>
          <w:i/>
          <w:iCs/>
        </w:rPr>
        <w:t xml:space="preserve">Acuerdo </w:t>
      </w:r>
      <w:r w:rsidR="00D27383" w:rsidRPr="005E0CF8">
        <w:rPr>
          <w:rFonts w:ascii="Palatino Linotype" w:hAnsi="Palatino Linotype"/>
          <w:i/>
          <w:iCs/>
        </w:rPr>
        <w:t>mediante el cual se aprobó el</w:t>
      </w:r>
      <w:r w:rsidRPr="005E0CF8">
        <w:rPr>
          <w:rFonts w:ascii="Palatino Linotype" w:hAnsi="Palatino Linotype"/>
          <w:i/>
          <w:iCs/>
        </w:rPr>
        <w:t xml:space="preserve"> </w:t>
      </w:r>
      <w:r w:rsidR="00D27383" w:rsidRPr="005E0CF8">
        <w:rPr>
          <w:rFonts w:ascii="Palatino Linotype" w:hAnsi="Palatino Linotype"/>
          <w:i/>
          <w:iCs/>
        </w:rPr>
        <w:t>aumento</w:t>
      </w:r>
      <w:r w:rsidRPr="005E0CF8">
        <w:rPr>
          <w:rFonts w:ascii="Palatino Linotype" w:hAnsi="Palatino Linotype"/>
          <w:i/>
          <w:iCs/>
        </w:rPr>
        <w:t xml:space="preserve"> </w:t>
      </w:r>
      <w:r w:rsidR="00D27383" w:rsidRPr="005E0CF8">
        <w:rPr>
          <w:rFonts w:ascii="Palatino Linotype" w:hAnsi="Palatino Linotype"/>
          <w:i/>
          <w:iCs/>
        </w:rPr>
        <w:t xml:space="preserve">de </w:t>
      </w:r>
      <w:r w:rsidRPr="005E0CF8">
        <w:rPr>
          <w:rFonts w:ascii="Palatino Linotype" w:hAnsi="Palatino Linotype"/>
          <w:i/>
          <w:iCs/>
        </w:rPr>
        <w:t xml:space="preserve">las tarifas de transporte público, durante el ejercicio 2019. </w:t>
      </w:r>
    </w:p>
    <w:p w14:paraId="7BF09BD4" w14:textId="77777777" w:rsidR="009D3A0C" w:rsidRDefault="009D3A0C" w:rsidP="00282369">
      <w:pPr>
        <w:autoSpaceDE w:val="0"/>
        <w:autoSpaceDN w:val="0"/>
        <w:adjustRightInd w:val="0"/>
        <w:spacing w:before="240" w:line="360" w:lineRule="auto"/>
        <w:jc w:val="both"/>
        <w:rPr>
          <w:rFonts w:ascii="Palatino Linotype" w:hAnsi="Palatino Linotype" w:cs="Arial"/>
          <w:b/>
          <w:sz w:val="28"/>
          <w:szCs w:val="28"/>
        </w:rPr>
      </w:pPr>
    </w:p>
    <w:p w14:paraId="51DFB7FC" w14:textId="17ED0BF6" w:rsidR="00282369" w:rsidRDefault="00282369" w:rsidP="0028236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EA212EB"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p>
    <w:p w14:paraId="7ABC8913" w14:textId="77777777" w:rsidR="00282369"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39796" w14:textId="77777777" w:rsidR="00282369" w:rsidRPr="005751B7"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F3B2EBC" w14:textId="3C0C6267" w:rsidR="00282369" w:rsidRDefault="00282369"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C7CA295" w14:textId="77777777" w:rsidR="00282369" w:rsidRDefault="00282369" w:rsidP="00282369">
      <w:pPr>
        <w:spacing w:after="0" w:line="360" w:lineRule="auto"/>
        <w:jc w:val="both"/>
        <w:rPr>
          <w:rFonts w:ascii="Palatino Linotype" w:eastAsia="Calibri" w:hAnsi="Palatino Linotype" w:cs="Times New Roman"/>
          <w:sz w:val="24"/>
          <w:szCs w:val="24"/>
          <w:lang w:eastAsia="es-ES"/>
        </w:rPr>
      </w:pPr>
    </w:p>
    <w:p w14:paraId="37CD4B03" w14:textId="1DC4052C" w:rsidR="00282369" w:rsidRPr="00627D99"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w:t>
      </w:r>
      <w:r w:rsidR="009175C6" w:rsidRPr="00266B85">
        <w:rPr>
          <w:rFonts w:ascii="Palatino Linotype" w:hAnsi="Palatino Linotype" w:cs="Arial"/>
        </w:rPr>
        <w:t xml:space="preserve">EN LA </w:t>
      </w:r>
      <w:r w:rsidR="009175C6">
        <w:rPr>
          <w:rFonts w:ascii="Palatino Linotype" w:hAnsi="Palatino Linotype" w:cs="Arial"/>
        </w:rPr>
        <w:t xml:space="preserve">TRIGÉSIMA PRIMERA SESIÓN ORDINARIA CELEBRADA EL TREINTA Y UNO DE AGOSTO </w:t>
      </w:r>
      <w:r w:rsidR="009175C6">
        <w:rPr>
          <w:rFonts w:ascii="Palatino Linotype" w:hAnsi="Palatino Linotype" w:cs="Arial"/>
        </w:rPr>
        <w:lastRenderedPageBreak/>
        <w:t xml:space="preserve">DE </w:t>
      </w:r>
      <w:r>
        <w:rPr>
          <w:rFonts w:ascii="Palatino Linotype" w:hAnsi="Palatino Linotype" w:cs="Arial"/>
        </w:rPr>
        <w:t xml:space="preserve">DOS MIL VEINTIDÓS, ANTE EL </w:t>
      </w:r>
      <w:r w:rsidRPr="00627D99">
        <w:rPr>
          <w:rFonts w:ascii="Palatino Linotype" w:hAnsi="Palatino Linotype" w:cs="Arial"/>
          <w:sz w:val="23"/>
          <w:szCs w:val="23"/>
        </w:rPr>
        <w:t xml:space="preserve">  SECRETARI</w:t>
      </w:r>
      <w:bookmarkStart w:id="1" w:name="_GoBack"/>
      <w:bookmarkEnd w:id="1"/>
      <w:r w:rsidRPr="00627D99">
        <w:rPr>
          <w:rFonts w:ascii="Palatino Linotype" w:hAnsi="Palatino Linotype" w:cs="Arial"/>
          <w:sz w:val="23"/>
          <w:szCs w:val="23"/>
        </w:rPr>
        <w:t xml:space="preserve">O TÉCNICO DEL PLENO, ALEXIS TAPIA RAMÍREZ. </w:t>
      </w:r>
    </w:p>
    <w:p w14:paraId="59C38555" w14:textId="77777777" w:rsidR="00282369"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CDF0684" w14:textId="23BD983B" w:rsidR="00282369" w:rsidRDefault="00535567" w:rsidP="00282369">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98176" behindDoc="0" locked="0" layoutInCell="1" allowOverlap="1" wp14:anchorId="3B85E4ED" wp14:editId="6EE6616F">
                <wp:simplePos x="0" y="0"/>
                <wp:positionH relativeFrom="column">
                  <wp:posOffset>-138026</wp:posOffset>
                </wp:positionH>
                <wp:positionV relativeFrom="paragraph">
                  <wp:posOffset>219710</wp:posOffset>
                </wp:positionV>
                <wp:extent cx="6192982" cy="6435436"/>
                <wp:effectExtent l="0" t="0" r="36830" b="22860"/>
                <wp:wrapNone/>
                <wp:docPr id="4" name="Straight Connector 4"/>
                <wp:cNvGraphicFramePr/>
                <a:graphic xmlns:a="http://schemas.openxmlformats.org/drawingml/2006/main">
                  <a:graphicData uri="http://schemas.microsoft.com/office/word/2010/wordprocessingShape">
                    <wps:wsp>
                      <wps:cNvCnPr/>
                      <wps:spPr>
                        <a:xfrm>
                          <a:off x="0" y="0"/>
                          <a:ext cx="6192982" cy="64354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279F3A" id="Straight Connector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7.3pt" to="476.8pt,5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" strokecolor="#5b9bd5 [3204]" strokeweight=".5pt">
                <v:stroke joinstyle="miter"/>
              </v:line>
            </w:pict>
          </mc:Fallback>
        </mc:AlternateContent>
      </w:r>
    </w:p>
    <w:p w14:paraId="5309BA5D" w14:textId="77777777" w:rsidR="00282369" w:rsidRDefault="00282369" w:rsidP="00282369">
      <w:pPr>
        <w:pStyle w:val="Citas"/>
        <w:ind w:left="0" w:right="0"/>
        <w:rPr>
          <w:i w:val="0"/>
          <w:sz w:val="24"/>
          <w:szCs w:val="24"/>
        </w:rPr>
      </w:pPr>
    </w:p>
    <w:p w14:paraId="373F5568" w14:textId="77777777" w:rsidR="00282369" w:rsidRPr="008758F8" w:rsidRDefault="00282369" w:rsidP="00282369">
      <w:pPr>
        <w:pStyle w:val="Citas"/>
        <w:ind w:left="0" w:right="0"/>
        <w:rPr>
          <w:i w:val="0"/>
          <w:sz w:val="24"/>
          <w:szCs w:val="24"/>
        </w:rPr>
      </w:pPr>
    </w:p>
    <w:p w14:paraId="13BC4589" w14:textId="77777777" w:rsidR="00282369" w:rsidRDefault="00282369" w:rsidP="00282369">
      <w:pPr>
        <w:pStyle w:val="Citas"/>
        <w:ind w:left="0" w:right="0"/>
        <w:rPr>
          <w:i w:val="0"/>
          <w:sz w:val="24"/>
          <w:szCs w:val="24"/>
        </w:rPr>
      </w:pPr>
    </w:p>
    <w:p w14:paraId="38C44893" w14:textId="77777777" w:rsidR="00282369" w:rsidRDefault="00282369" w:rsidP="00282369">
      <w:pPr>
        <w:pStyle w:val="Citas"/>
        <w:ind w:left="0" w:right="0"/>
        <w:rPr>
          <w:i w:val="0"/>
          <w:sz w:val="24"/>
          <w:szCs w:val="24"/>
        </w:rPr>
      </w:pPr>
    </w:p>
    <w:p w14:paraId="5D2104E5" w14:textId="77777777" w:rsidR="00282369" w:rsidRDefault="00282369" w:rsidP="00282369">
      <w:pPr>
        <w:pStyle w:val="Citas"/>
        <w:ind w:left="0" w:right="0"/>
        <w:rPr>
          <w:i w:val="0"/>
          <w:sz w:val="24"/>
          <w:szCs w:val="24"/>
        </w:rPr>
      </w:pPr>
    </w:p>
    <w:p w14:paraId="56C5A8B2" w14:textId="77777777" w:rsidR="00282369" w:rsidRDefault="00282369" w:rsidP="00282369">
      <w:pPr>
        <w:pStyle w:val="Citas"/>
        <w:ind w:left="0" w:right="0"/>
        <w:rPr>
          <w:i w:val="0"/>
          <w:sz w:val="24"/>
          <w:szCs w:val="24"/>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2F739E6" w14:textId="25331C77" w:rsidR="002764D6" w:rsidRDefault="002764D6" w:rsidP="004D6459">
      <w:pPr>
        <w:pStyle w:val="Citas"/>
        <w:tabs>
          <w:tab w:val="left" w:pos="7470"/>
        </w:tabs>
        <w:ind w:left="0" w:right="72"/>
        <w:rPr>
          <w:bCs/>
          <w:i w:val="0"/>
          <w:iCs/>
          <w:sz w:val="24"/>
          <w:szCs w:val="24"/>
        </w:rPr>
      </w:pPr>
    </w:p>
    <w:p w14:paraId="34D7C5A4" w14:textId="54C5F832" w:rsidR="00755CC1" w:rsidRDefault="00755CC1" w:rsidP="004D6459">
      <w:pPr>
        <w:pStyle w:val="Citas"/>
        <w:tabs>
          <w:tab w:val="left" w:pos="7470"/>
        </w:tabs>
        <w:ind w:left="0" w:right="72"/>
        <w:rPr>
          <w:bCs/>
          <w:i w:val="0"/>
          <w:iCs/>
          <w:sz w:val="24"/>
          <w:szCs w:val="24"/>
        </w:rPr>
      </w:pPr>
    </w:p>
    <w:p w14:paraId="49CF8B47" w14:textId="3A1EF8F6" w:rsidR="00755CC1" w:rsidRDefault="00755CC1" w:rsidP="004D6459">
      <w:pPr>
        <w:pStyle w:val="Citas"/>
        <w:tabs>
          <w:tab w:val="left" w:pos="7470"/>
        </w:tabs>
        <w:ind w:left="0" w:right="72"/>
        <w:rPr>
          <w:bCs/>
          <w:i w:val="0"/>
          <w:iCs/>
          <w:sz w:val="24"/>
          <w:szCs w:val="24"/>
        </w:rPr>
      </w:pPr>
    </w:p>
    <w:p w14:paraId="5141CADC" w14:textId="77777777" w:rsidR="00755CC1" w:rsidRDefault="00755CC1"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E3B67" w14:textId="77777777" w:rsidR="00440ECB" w:rsidRDefault="00440ECB" w:rsidP="006168E4">
      <w:pPr>
        <w:spacing w:after="0" w:line="240" w:lineRule="auto"/>
      </w:pPr>
      <w:r>
        <w:separator/>
      </w:r>
    </w:p>
  </w:endnote>
  <w:endnote w:type="continuationSeparator" w:id="0">
    <w:p w14:paraId="23179916" w14:textId="77777777" w:rsidR="00440ECB" w:rsidRDefault="00440EC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21C095AB"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561">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4561">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48EEBDEB"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5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4561">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5C1F" w14:textId="77777777" w:rsidR="00440ECB" w:rsidRDefault="00440ECB" w:rsidP="006168E4">
      <w:pPr>
        <w:spacing w:after="0" w:line="240" w:lineRule="auto"/>
      </w:pPr>
      <w:r>
        <w:separator/>
      </w:r>
    </w:p>
  </w:footnote>
  <w:footnote w:type="continuationSeparator" w:id="0">
    <w:p w14:paraId="6E2F83E5" w14:textId="77777777" w:rsidR="00440ECB" w:rsidRDefault="00440ECB" w:rsidP="006168E4">
      <w:pPr>
        <w:spacing w:after="0" w:line="240" w:lineRule="auto"/>
      </w:pPr>
      <w:r>
        <w:continuationSeparator/>
      </w:r>
    </w:p>
  </w:footnote>
  <w:footnote w:id="1">
    <w:p w14:paraId="2A071E0E" w14:textId="77777777" w:rsidR="00480C32" w:rsidRPr="005552A8" w:rsidRDefault="00480C32" w:rsidP="00480C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E18C926" w14:textId="77777777" w:rsidR="00480C32" w:rsidRPr="005552A8" w:rsidRDefault="00480C32" w:rsidP="00480C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736ADE8" w:rsidR="00C70B4A" w:rsidRPr="00B4142F" w:rsidRDefault="00371F61"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11395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478E01CF" w:rsidR="00C70B4A" w:rsidRPr="00F06FED" w:rsidRDefault="00FA6F78" w:rsidP="00C01E1C">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49098FBF" w:rsidR="00C70B4A" w:rsidRPr="00B4142F" w:rsidRDefault="00FA6F7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11395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F2E9DC0" w:rsidR="00C70B4A" w:rsidRPr="00F06FED" w:rsidRDefault="00164561"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79BD251" w:rsidR="00C70B4A" w:rsidRDefault="00FA6F78"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Movilidad</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3A3"/>
    <w:multiLevelType w:val="hybridMultilevel"/>
    <w:tmpl w:val="5350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F2CB1"/>
    <w:multiLevelType w:val="hybridMultilevel"/>
    <w:tmpl w:val="46C670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B4B82"/>
    <w:multiLevelType w:val="hybridMultilevel"/>
    <w:tmpl w:val="D84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C7559"/>
    <w:multiLevelType w:val="hybridMultilevel"/>
    <w:tmpl w:val="73261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307A38"/>
    <w:multiLevelType w:val="hybridMultilevel"/>
    <w:tmpl w:val="FC62F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B32E2"/>
    <w:multiLevelType w:val="hybridMultilevel"/>
    <w:tmpl w:val="05CA7D86"/>
    <w:lvl w:ilvl="0" w:tplc="62D4ED10">
      <w:start w:val="3"/>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F5EA5"/>
    <w:multiLevelType w:val="hybridMultilevel"/>
    <w:tmpl w:val="5B041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8317A4"/>
    <w:multiLevelType w:val="hybridMultilevel"/>
    <w:tmpl w:val="1F38FA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92404B"/>
    <w:multiLevelType w:val="hybridMultilevel"/>
    <w:tmpl w:val="6442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777DE"/>
    <w:multiLevelType w:val="hybridMultilevel"/>
    <w:tmpl w:val="BBE4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A6C2E"/>
    <w:multiLevelType w:val="hybridMultilevel"/>
    <w:tmpl w:val="C180DF08"/>
    <w:lvl w:ilvl="0" w:tplc="62D4ED10">
      <w:start w:val="3"/>
      <w:numFmt w:val="bullet"/>
      <w:lvlText w:val="-"/>
      <w:lvlJc w:val="left"/>
      <w:pPr>
        <w:ind w:left="2160" w:hanging="360"/>
      </w:pPr>
      <w:rPr>
        <w:rFonts w:ascii="Palatino Linotype" w:eastAsiaTheme="minorHAnsi"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5AA047F"/>
    <w:multiLevelType w:val="hybridMultilevel"/>
    <w:tmpl w:val="A5540306"/>
    <w:lvl w:ilvl="0" w:tplc="9230B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BC4FF4"/>
    <w:multiLevelType w:val="hybridMultilevel"/>
    <w:tmpl w:val="0D1C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533AF0"/>
    <w:multiLevelType w:val="hybridMultilevel"/>
    <w:tmpl w:val="462C80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563BEB"/>
    <w:multiLevelType w:val="hybridMultilevel"/>
    <w:tmpl w:val="0E68F576"/>
    <w:lvl w:ilvl="0" w:tplc="7236E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61B5D"/>
    <w:multiLevelType w:val="hybridMultilevel"/>
    <w:tmpl w:val="A40E593A"/>
    <w:lvl w:ilvl="0" w:tplc="7C8A4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BC7BA8"/>
    <w:multiLevelType w:val="hybridMultilevel"/>
    <w:tmpl w:val="3940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14699"/>
    <w:multiLevelType w:val="hybridMultilevel"/>
    <w:tmpl w:val="5B0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9"/>
  </w:num>
  <w:num w:numId="3">
    <w:abstractNumId w:val="3"/>
  </w:num>
  <w:num w:numId="4">
    <w:abstractNumId w:val="5"/>
  </w:num>
  <w:num w:numId="5">
    <w:abstractNumId w:val="15"/>
  </w:num>
  <w:num w:numId="6">
    <w:abstractNumId w:val="38"/>
  </w:num>
  <w:num w:numId="7">
    <w:abstractNumId w:val="27"/>
  </w:num>
  <w:num w:numId="8">
    <w:abstractNumId w:val="35"/>
  </w:num>
  <w:num w:numId="9">
    <w:abstractNumId w:val="36"/>
  </w:num>
  <w:num w:numId="10">
    <w:abstractNumId w:val="31"/>
  </w:num>
  <w:num w:numId="11">
    <w:abstractNumId w:val="32"/>
  </w:num>
  <w:num w:numId="12">
    <w:abstractNumId w:val="10"/>
  </w:num>
  <w:num w:numId="13">
    <w:abstractNumId w:val="24"/>
  </w:num>
  <w:num w:numId="14">
    <w:abstractNumId w:val="25"/>
  </w:num>
  <w:num w:numId="15">
    <w:abstractNumId w:val="41"/>
  </w:num>
  <w:num w:numId="16">
    <w:abstractNumId w:val="4"/>
  </w:num>
  <w:num w:numId="17">
    <w:abstractNumId w:val="16"/>
  </w:num>
  <w:num w:numId="18">
    <w:abstractNumId w:val="22"/>
  </w:num>
  <w:num w:numId="19">
    <w:abstractNumId w:val="20"/>
  </w:num>
  <w:num w:numId="20">
    <w:abstractNumId w:val="7"/>
  </w:num>
  <w:num w:numId="21">
    <w:abstractNumId w:val="11"/>
  </w:num>
  <w:num w:numId="22">
    <w:abstractNumId w:val="9"/>
  </w:num>
  <w:num w:numId="23">
    <w:abstractNumId w:val="0"/>
  </w:num>
  <w:num w:numId="24">
    <w:abstractNumId w:val="28"/>
  </w:num>
  <w:num w:numId="25">
    <w:abstractNumId w:val="2"/>
  </w:num>
  <w:num w:numId="26">
    <w:abstractNumId w:val="30"/>
  </w:num>
  <w:num w:numId="27">
    <w:abstractNumId w:val="33"/>
  </w:num>
  <w:num w:numId="28">
    <w:abstractNumId w:val="8"/>
  </w:num>
  <w:num w:numId="29">
    <w:abstractNumId w:val="34"/>
  </w:num>
  <w:num w:numId="30">
    <w:abstractNumId w:val="23"/>
  </w:num>
  <w:num w:numId="31">
    <w:abstractNumId w:val="37"/>
  </w:num>
  <w:num w:numId="32">
    <w:abstractNumId w:val="18"/>
  </w:num>
  <w:num w:numId="33">
    <w:abstractNumId w:val="17"/>
  </w:num>
  <w:num w:numId="34">
    <w:abstractNumId w:val="13"/>
  </w:num>
  <w:num w:numId="35">
    <w:abstractNumId w:val="21"/>
  </w:num>
  <w:num w:numId="36">
    <w:abstractNumId w:val="26"/>
  </w:num>
  <w:num w:numId="37">
    <w:abstractNumId w:val="39"/>
  </w:num>
  <w:num w:numId="38">
    <w:abstractNumId w:val="40"/>
  </w:num>
  <w:num w:numId="39">
    <w:abstractNumId w:val="12"/>
  </w:num>
  <w:num w:numId="40">
    <w:abstractNumId w:val="14"/>
  </w:num>
  <w:num w:numId="41">
    <w:abstractNumId w:val="1"/>
  </w:num>
  <w:num w:numId="4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41"/>
    <w:rsid w:val="00002DDF"/>
    <w:rsid w:val="000037E2"/>
    <w:rsid w:val="000061F8"/>
    <w:rsid w:val="00006E49"/>
    <w:rsid w:val="00007BD9"/>
    <w:rsid w:val="00010F2B"/>
    <w:rsid w:val="0001225E"/>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A40"/>
    <w:rsid w:val="000B4B51"/>
    <w:rsid w:val="000B65F4"/>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0395F"/>
    <w:rsid w:val="00110EDB"/>
    <w:rsid w:val="00111DCD"/>
    <w:rsid w:val="00114CF9"/>
    <w:rsid w:val="0011564C"/>
    <w:rsid w:val="001167AA"/>
    <w:rsid w:val="00117157"/>
    <w:rsid w:val="00123727"/>
    <w:rsid w:val="00124855"/>
    <w:rsid w:val="00124EC6"/>
    <w:rsid w:val="001254F5"/>
    <w:rsid w:val="00125828"/>
    <w:rsid w:val="001336D3"/>
    <w:rsid w:val="001364AA"/>
    <w:rsid w:val="00136FAD"/>
    <w:rsid w:val="001402F9"/>
    <w:rsid w:val="00143D5F"/>
    <w:rsid w:val="00144B4A"/>
    <w:rsid w:val="00146F0A"/>
    <w:rsid w:val="00147B36"/>
    <w:rsid w:val="00152124"/>
    <w:rsid w:val="00152C2B"/>
    <w:rsid w:val="001542FC"/>
    <w:rsid w:val="0015539F"/>
    <w:rsid w:val="001575BC"/>
    <w:rsid w:val="00164561"/>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75A"/>
    <w:rsid w:val="001C7D87"/>
    <w:rsid w:val="001D3E87"/>
    <w:rsid w:val="001D5F16"/>
    <w:rsid w:val="001D6FAB"/>
    <w:rsid w:val="001E1D18"/>
    <w:rsid w:val="001E2C0F"/>
    <w:rsid w:val="001E668A"/>
    <w:rsid w:val="001F0A4F"/>
    <w:rsid w:val="001F2A14"/>
    <w:rsid w:val="001F3AFF"/>
    <w:rsid w:val="001F4AB8"/>
    <w:rsid w:val="001F4ADC"/>
    <w:rsid w:val="001F71ED"/>
    <w:rsid w:val="00203D3A"/>
    <w:rsid w:val="00203FF3"/>
    <w:rsid w:val="002044B4"/>
    <w:rsid w:val="00207086"/>
    <w:rsid w:val="00207669"/>
    <w:rsid w:val="00211D60"/>
    <w:rsid w:val="0021501E"/>
    <w:rsid w:val="0021572A"/>
    <w:rsid w:val="002205C0"/>
    <w:rsid w:val="00220DF4"/>
    <w:rsid w:val="0022494A"/>
    <w:rsid w:val="00225507"/>
    <w:rsid w:val="0023373D"/>
    <w:rsid w:val="0023423C"/>
    <w:rsid w:val="00234EF7"/>
    <w:rsid w:val="00237F4F"/>
    <w:rsid w:val="0024112D"/>
    <w:rsid w:val="002428BA"/>
    <w:rsid w:val="00244177"/>
    <w:rsid w:val="00253F70"/>
    <w:rsid w:val="00254477"/>
    <w:rsid w:val="002556AC"/>
    <w:rsid w:val="00257337"/>
    <w:rsid w:val="002577FE"/>
    <w:rsid w:val="0025780C"/>
    <w:rsid w:val="002609D8"/>
    <w:rsid w:val="00262CBE"/>
    <w:rsid w:val="002642D3"/>
    <w:rsid w:val="002646EF"/>
    <w:rsid w:val="00266AE6"/>
    <w:rsid w:val="00267C18"/>
    <w:rsid w:val="00273D0E"/>
    <w:rsid w:val="002764D6"/>
    <w:rsid w:val="002807E2"/>
    <w:rsid w:val="00280B8B"/>
    <w:rsid w:val="00282235"/>
    <w:rsid w:val="00282369"/>
    <w:rsid w:val="00292350"/>
    <w:rsid w:val="00292DC0"/>
    <w:rsid w:val="00293C29"/>
    <w:rsid w:val="00297EF9"/>
    <w:rsid w:val="002A014A"/>
    <w:rsid w:val="002A2034"/>
    <w:rsid w:val="002A24F4"/>
    <w:rsid w:val="002A38BF"/>
    <w:rsid w:val="002A429A"/>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28FD"/>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27676"/>
    <w:rsid w:val="00330857"/>
    <w:rsid w:val="00331499"/>
    <w:rsid w:val="0033580E"/>
    <w:rsid w:val="00343D1E"/>
    <w:rsid w:val="00350122"/>
    <w:rsid w:val="0035054D"/>
    <w:rsid w:val="00354258"/>
    <w:rsid w:val="00355593"/>
    <w:rsid w:val="00357E0E"/>
    <w:rsid w:val="0036114B"/>
    <w:rsid w:val="00361B9C"/>
    <w:rsid w:val="00361D89"/>
    <w:rsid w:val="003670B0"/>
    <w:rsid w:val="003672FB"/>
    <w:rsid w:val="00370588"/>
    <w:rsid w:val="00370797"/>
    <w:rsid w:val="00370C79"/>
    <w:rsid w:val="00371F61"/>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5AA9"/>
    <w:rsid w:val="003A61F9"/>
    <w:rsid w:val="003A6975"/>
    <w:rsid w:val="003B0D66"/>
    <w:rsid w:val="003B1E88"/>
    <w:rsid w:val="003B3909"/>
    <w:rsid w:val="003B5E96"/>
    <w:rsid w:val="003C5243"/>
    <w:rsid w:val="003C53ED"/>
    <w:rsid w:val="003D0B7E"/>
    <w:rsid w:val="003D1FA2"/>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B20"/>
    <w:rsid w:val="00422ED2"/>
    <w:rsid w:val="00423213"/>
    <w:rsid w:val="0042416D"/>
    <w:rsid w:val="00424487"/>
    <w:rsid w:val="00424EA1"/>
    <w:rsid w:val="00435290"/>
    <w:rsid w:val="00436802"/>
    <w:rsid w:val="00437E68"/>
    <w:rsid w:val="00440ECB"/>
    <w:rsid w:val="004411CF"/>
    <w:rsid w:val="00442E45"/>
    <w:rsid w:val="00443AD4"/>
    <w:rsid w:val="0044438E"/>
    <w:rsid w:val="00445C0F"/>
    <w:rsid w:val="0044771D"/>
    <w:rsid w:val="00451448"/>
    <w:rsid w:val="004516EB"/>
    <w:rsid w:val="004529B6"/>
    <w:rsid w:val="00453DBD"/>
    <w:rsid w:val="00454CE6"/>
    <w:rsid w:val="004553DD"/>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C1C"/>
    <w:rsid w:val="00492BC7"/>
    <w:rsid w:val="004938E6"/>
    <w:rsid w:val="004967E2"/>
    <w:rsid w:val="004975A8"/>
    <w:rsid w:val="004A114B"/>
    <w:rsid w:val="004A1C5E"/>
    <w:rsid w:val="004A2363"/>
    <w:rsid w:val="004A290F"/>
    <w:rsid w:val="004A55D8"/>
    <w:rsid w:val="004A5FFD"/>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5DBD"/>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3211"/>
    <w:rsid w:val="00525093"/>
    <w:rsid w:val="005305EA"/>
    <w:rsid w:val="00535567"/>
    <w:rsid w:val="0053652A"/>
    <w:rsid w:val="005371E7"/>
    <w:rsid w:val="00537E4B"/>
    <w:rsid w:val="00540538"/>
    <w:rsid w:val="00542664"/>
    <w:rsid w:val="00544CF2"/>
    <w:rsid w:val="0054731A"/>
    <w:rsid w:val="00547B78"/>
    <w:rsid w:val="00551E8B"/>
    <w:rsid w:val="005520FE"/>
    <w:rsid w:val="0055263C"/>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250B"/>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36A"/>
    <w:rsid w:val="005D44D1"/>
    <w:rsid w:val="005D53D6"/>
    <w:rsid w:val="005E0CF8"/>
    <w:rsid w:val="005E1B06"/>
    <w:rsid w:val="005E265D"/>
    <w:rsid w:val="005E3D7D"/>
    <w:rsid w:val="005E4D7C"/>
    <w:rsid w:val="005E5F6A"/>
    <w:rsid w:val="005E7AE4"/>
    <w:rsid w:val="005F048E"/>
    <w:rsid w:val="005F2047"/>
    <w:rsid w:val="005F2C76"/>
    <w:rsid w:val="005F57F0"/>
    <w:rsid w:val="00600726"/>
    <w:rsid w:val="00601010"/>
    <w:rsid w:val="006028C9"/>
    <w:rsid w:val="006046E6"/>
    <w:rsid w:val="0060676C"/>
    <w:rsid w:val="0060721D"/>
    <w:rsid w:val="0061042F"/>
    <w:rsid w:val="00613A59"/>
    <w:rsid w:val="006168E4"/>
    <w:rsid w:val="00621F47"/>
    <w:rsid w:val="00622359"/>
    <w:rsid w:val="0062497C"/>
    <w:rsid w:val="00625200"/>
    <w:rsid w:val="006255AA"/>
    <w:rsid w:val="00630846"/>
    <w:rsid w:val="00631806"/>
    <w:rsid w:val="00636B66"/>
    <w:rsid w:val="00637512"/>
    <w:rsid w:val="00640EE4"/>
    <w:rsid w:val="006456FA"/>
    <w:rsid w:val="006466F5"/>
    <w:rsid w:val="00646C24"/>
    <w:rsid w:val="00650803"/>
    <w:rsid w:val="00652BC5"/>
    <w:rsid w:val="006612DA"/>
    <w:rsid w:val="00661753"/>
    <w:rsid w:val="0066216F"/>
    <w:rsid w:val="006654F6"/>
    <w:rsid w:val="00675390"/>
    <w:rsid w:val="00676CAA"/>
    <w:rsid w:val="006802CF"/>
    <w:rsid w:val="006827AB"/>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CA"/>
    <w:rsid w:val="006C350D"/>
    <w:rsid w:val="006C5E56"/>
    <w:rsid w:val="006C647E"/>
    <w:rsid w:val="006C66E4"/>
    <w:rsid w:val="006C7C01"/>
    <w:rsid w:val="006D23FC"/>
    <w:rsid w:val="006D643D"/>
    <w:rsid w:val="006E063C"/>
    <w:rsid w:val="006E3851"/>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1C4E"/>
    <w:rsid w:val="007246D3"/>
    <w:rsid w:val="00725F5A"/>
    <w:rsid w:val="007274EC"/>
    <w:rsid w:val="00727AE5"/>
    <w:rsid w:val="00737605"/>
    <w:rsid w:val="007404D5"/>
    <w:rsid w:val="00740BDD"/>
    <w:rsid w:val="007417C8"/>
    <w:rsid w:val="00744287"/>
    <w:rsid w:val="00744EEF"/>
    <w:rsid w:val="00745D76"/>
    <w:rsid w:val="00747109"/>
    <w:rsid w:val="00747487"/>
    <w:rsid w:val="007505EB"/>
    <w:rsid w:val="00751B4B"/>
    <w:rsid w:val="00752A9A"/>
    <w:rsid w:val="00754CAE"/>
    <w:rsid w:val="00755CC1"/>
    <w:rsid w:val="00760D70"/>
    <w:rsid w:val="00763EE7"/>
    <w:rsid w:val="00764DB2"/>
    <w:rsid w:val="0076623B"/>
    <w:rsid w:val="00767E4B"/>
    <w:rsid w:val="007718AD"/>
    <w:rsid w:val="00772134"/>
    <w:rsid w:val="007742A7"/>
    <w:rsid w:val="00776444"/>
    <w:rsid w:val="00777034"/>
    <w:rsid w:val="00780817"/>
    <w:rsid w:val="00782398"/>
    <w:rsid w:val="007851D5"/>
    <w:rsid w:val="0078766F"/>
    <w:rsid w:val="00793CFD"/>
    <w:rsid w:val="0079486A"/>
    <w:rsid w:val="00794F80"/>
    <w:rsid w:val="007A00E9"/>
    <w:rsid w:val="007A0454"/>
    <w:rsid w:val="007A0E44"/>
    <w:rsid w:val="007A1C9E"/>
    <w:rsid w:val="007A4CA1"/>
    <w:rsid w:val="007A5DFD"/>
    <w:rsid w:val="007B0398"/>
    <w:rsid w:val="007B2C77"/>
    <w:rsid w:val="007B2E78"/>
    <w:rsid w:val="007B5E84"/>
    <w:rsid w:val="007B6549"/>
    <w:rsid w:val="007C1A9C"/>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0FD7"/>
    <w:rsid w:val="008218CD"/>
    <w:rsid w:val="00821AEB"/>
    <w:rsid w:val="0082456B"/>
    <w:rsid w:val="00824DCD"/>
    <w:rsid w:val="00827964"/>
    <w:rsid w:val="008311A6"/>
    <w:rsid w:val="008327EA"/>
    <w:rsid w:val="00832C4A"/>
    <w:rsid w:val="00833E8A"/>
    <w:rsid w:val="008357C0"/>
    <w:rsid w:val="00836987"/>
    <w:rsid w:val="0083744B"/>
    <w:rsid w:val="00843026"/>
    <w:rsid w:val="00844009"/>
    <w:rsid w:val="00844569"/>
    <w:rsid w:val="00844CD2"/>
    <w:rsid w:val="00844CDE"/>
    <w:rsid w:val="00845083"/>
    <w:rsid w:val="00847CAF"/>
    <w:rsid w:val="00847D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90342"/>
    <w:rsid w:val="00890B7A"/>
    <w:rsid w:val="00890C62"/>
    <w:rsid w:val="0089173B"/>
    <w:rsid w:val="0089437B"/>
    <w:rsid w:val="00895089"/>
    <w:rsid w:val="008951ED"/>
    <w:rsid w:val="00896151"/>
    <w:rsid w:val="0089761E"/>
    <w:rsid w:val="008977EE"/>
    <w:rsid w:val="008A0693"/>
    <w:rsid w:val="008A5928"/>
    <w:rsid w:val="008A75BE"/>
    <w:rsid w:val="008B0D6E"/>
    <w:rsid w:val="008B1AD9"/>
    <w:rsid w:val="008B1D2E"/>
    <w:rsid w:val="008B4DF4"/>
    <w:rsid w:val="008B69CF"/>
    <w:rsid w:val="008B6C58"/>
    <w:rsid w:val="008C08BE"/>
    <w:rsid w:val="008C229F"/>
    <w:rsid w:val="008C32A8"/>
    <w:rsid w:val="008C3445"/>
    <w:rsid w:val="008C366D"/>
    <w:rsid w:val="008C4E94"/>
    <w:rsid w:val="008C55A3"/>
    <w:rsid w:val="008C7368"/>
    <w:rsid w:val="008D32F0"/>
    <w:rsid w:val="008E012F"/>
    <w:rsid w:val="008E6375"/>
    <w:rsid w:val="008F17A1"/>
    <w:rsid w:val="008F2158"/>
    <w:rsid w:val="008F4670"/>
    <w:rsid w:val="008F4C65"/>
    <w:rsid w:val="008F5D20"/>
    <w:rsid w:val="008F7579"/>
    <w:rsid w:val="0090019F"/>
    <w:rsid w:val="00902944"/>
    <w:rsid w:val="009041AF"/>
    <w:rsid w:val="00905422"/>
    <w:rsid w:val="0090621C"/>
    <w:rsid w:val="00906BD5"/>
    <w:rsid w:val="009104D1"/>
    <w:rsid w:val="00913133"/>
    <w:rsid w:val="009131C3"/>
    <w:rsid w:val="00913CF8"/>
    <w:rsid w:val="0091475B"/>
    <w:rsid w:val="009175C6"/>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8182D"/>
    <w:rsid w:val="00982A98"/>
    <w:rsid w:val="009855E2"/>
    <w:rsid w:val="0098561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520A"/>
    <w:rsid w:val="009C62BD"/>
    <w:rsid w:val="009D26AD"/>
    <w:rsid w:val="009D341C"/>
    <w:rsid w:val="009D3A0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04A7"/>
    <w:rsid w:val="00A02047"/>
    <w:rsid w:val="00A035C0"/>
    <w:rsid w:val="00A036BE"/>
    <w:rsid w:val="00A0575E"/>
    <w:rsid w:val="00A068CE"/>
    <w:rsid w:val="00A10F77"/>
    <w:rsid w:val="00A12205"/>
    <w:rsid w:val="00A139AF"/>
    <w:rsid w:val="00A1669D"/>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1750"/>
    <w:rsid w:val="00A625E2"/>
    <w:rsid w:val="00A63015"/>
    <w:rsid w:val="00A63DC7"/>
    <w:rsid w:val="00A70289"/>
    <w:rsid w:val="00A72105"/>
    <w:rsid w:val="00A72465"/>
    <w:rsid w:val="00A80C92"/>
    <w:rsid w:val="00A82461"/>
    <w:rsid w:val="00A84417"/>
    <w:rsid w:val="00A851D8"/>
    <w:rsid w:val="00A870C4"/>
    <w:rsid w:val="00A87326"/>
    <w:rsid w:val="00A92693"/>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E008F"/>
    <w:rsid w:val="00AE1BE3"/>
    <w:rsid w:val="00AF0161"/>
    <w:rsid w:val="00AF2A1F"/>
    <w:rsid w:val="00AF2D9B"/>
    <w:rsid w:val="00AF37CE"/>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87D50"/>
    <w:rsid w:val="00B91BCB"/>
    <w:rsid w:val="00B9223B"/>
    <w:rsid w:val="00B953BD"/>
    <w:rsid w:val="00B95905"/>
    <w:rsid w:val="00B97421"/>
    <w:rsid w:val="00BA2A94"/>
    <w:rsid w:val="00BA4D1F"/>
    <w:rsid w:val="00BA5339"/>
    <w:rsid w:val="00BA6226"/>
    <w:rsid w:val="00BA7AD1"/>
    <w:rsid w:val="00BB2250"/>
    <w:rsid w:val="00BB3132"/>
    <w:rsid w:val="00BB5448"/>
    <w:rsid w:val="00BB68CA"/>
    <w:rsid w:val="00BB721B"/>
    <w:rsid w:val="00BC0FDD"/>
    <w:rsid w:val="00BC22E0"/>
    <w:rsid w:val="00BC2A46"/>
    <w:rsid w:val="00BC3FA4"/>
    <w:rsid w:val="00BD004A"/>
    <w:rsid w:val="00BD352C"/>
    <w:rsid w:val="00BD5023"/>
    <w:rsid w:val="00BD5133"/>
    <w:rsid w:val="00BD58AB"/>
    <w:rsid w:val="00BE28ED"/>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4A09"/>
    <w:rsid w:val="00C25084"/>
    <w:rsid w:val="00C25BAC"/>
    <w:rsid w:val="00C274BE"/>
    <w:rsid w:val="00C274C6"/>
    <w:rsid w:val="00C310B6"/>
    <w:rsid w:val="00C3330D"/>
    <w:rsid w:val="00C347FE"/>
    <w:rsid w:val="00C357BE"/>
    <w:rsid w:val="00C4006D"/>
    <w:rsid w:val="00C4530E"/>
    <w:rsid w:val="00C45C21"/>
    <w:rsid w:val="00C56C44"/>
    <w:rsid w:val="00C57028"/>
    <w:rsid w:val="00C572BB"/>
    <w:rsid w:val="00C604B3"/>
    <w:rsid w:val="00C60BD4"/>
    <w:rsid w:val="00C6271F"/>
    <w:rsid w:val="00C62A64"/>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CF6"/>
    <w:rsid w:val="00CC51A7"/>
    <w:rsid w:val="00CC5FF3"/>
    <w:rsid w:val="00CC6072"/>
    <w:rsid w:val="00CD1612"/>
    <w:rsid w:val="00CD365B"/>
    <w:rsid w:val="00CD4BFA"/>
    <w:rsid w:val="00CD5FF7"/>
    <w:rsid w:val="00CE0E72"/>
    <w:rsid w:val="00CE2ADF"/>
    <w:rsid w:val="00CE367D"/>
    <w:rsid w:val="00CF0244"/>
    <w:rsid w:val="00CF1C84"/>
    <w:rsid w:val="00CF1D7D"/>
    <w:rsid w:val="00CF45D3"/>
    <w:rsid w:val="00CF51F9"/>
    <w:rsid w:val="00CF6B6C"/>
    <w:rsid w:val="00CF6C7D"/>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15A7"/>
    <w:rsid w:val="00D22F7D"/>
    <w:rsid w:val="00D25BEE"/>
    <w:rsid w:val="00D2737E"/>
    <w:rsid w:val="00D27383"/>
    <w:rsid w:val="00D274A9"/>
    <w:rsid w:val="00D302CF"/>
    <w:rsid w:val="00D318E3"/>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B72"/>
    <w:rsid w:val="00DB5C0A"/>
    <w:rsid w:val="00DC0220"/>
    <w:rsid w:val="00DC6FF8"/>
    <w:rsid w:val="00DD01FC"/>
    <w:rsid w:val="00DD0B10"/>
    <w:rsid w:val="00DD13E2"/>
    <w:rsid w:val="00DD3D0E"/>
    <w:rsid w:val="00DD46D7"/>
    <w:rsid w:val="00DD7608"/>
    <w:rsid w:val="00DE225C"/>
    <w:rsid w:val="00DE47A1"/>
    <w:rsid w:val="00DE7DCC"/>
    <w:rsid w:val="00DF003C"/>
    <w:rsid w:val="00DF0F8A"/>
    <w:rsid w:val="00DF137F"/>
    <w:rsid w:val="00DF4501"/>
    <w:rsid w:val="00DF5C75"/>
    <w:rsid w:val="00DF6971"/>
    <w:rsid w:val="00DF78AE"/>
    <w:rsid w:val="00E00E78"/>
    <w:rsid w:val="00E07379"/>
    <w:rsid w:val="00E076C1"/>
    <w:rsid w:val="00E11E2E"/>
    <w:rsid w:val="00E13C83"/>
    <w:rsid w:val="00E15555"/>
    <w:rsid w:val="00E15B7D"/>
    <w:rsid w:val="00E2304F"/>
    <w:rsid w:val="00E2408E"/>
    <w:rsid w:val="00E27CDB"/>
    <w:rsid w:val="00E369BA"/>
    <w:rsid w:val="00E371EC"/>
    <w:rsid w:val="00E37DBA"/>
    <w:rsid w:val="00E43116"/>
    <w:rsid w:val="00E444DA"/>
    <w:rsid w:val="00E44674"/>
    <w:rsid w:val="00E51A48"/>
    <w:rsid w:val="00E550AA"/>
    <w:rsid w:val="00E571F8"/>
    <w:rsid w:val="00E57E5A"/>
    <w:rsid w:val="00E64F0A"/>
    <w:rsid w:val="00E65EAD"/>
    <w:rsid w:val="00E67668"/>
    <w:rsid w:val="00E702C1"/>
    <w:rsid w:val="00E70AEE"/>
    <w:rsid w:val="00E7107E"/>
    <w:rsid w:val="00E71C93"/>
    <w:rsid w:val="00E725D5"/>
    <w:rsid w:val="00E72AE3"/>
    <w:rsid w:val="00E73B51"/>
    <w:rsid w:val="00E76B98"/>
    <w:rsid w:val="00E770B6"/>
    <w:rsid w:val="00E77FC8"/>
    <w:rsid w:val="00E8151C"/>
    <w:rsid w:val="00E81A88"/>
    <w:rsid w:val="00E81E9C"/>
    <w:rsid w:val="00E82E15"/>
    <w:rsid w:val="00E83C07"/>
    <w:rsid w:val="00E84151"/>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1975"/>
    <w:rsid w:val="00ED3F6F"/>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3BB1"/>
    <w:rsid w:val="00F06472"/>
    <w:rsid w:val="00F071EE"/>
    <w:rsid w:val="00F07419"/>
    <w:rsid w:val="00F10D6B"/>
    <w:rsid w:val="00F123C0"/>
    <w:rsid w:val="00F13254"/>
    <w:rsid w:val="00F1465C"/>
    <w:rsid w:val="00F15083"/>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19DC"/>
    <w:rsid w:val="00F52468"/>
    <w:rsid w:val="00F5627B"/>
    <w:rsid w:val="00F5724D"/>
    <w:rsid w:val="00F6021E"/>
    <w:rsid w:val="00F60AB3"/>
    <w:rsid w:val="00F62329"/>
    <w:rsid w:val="00F635AC"/>
    <w:rsid w:val="00F65A74"/>
    <w:rsid w:val="00F727B0"/>
    <w:rsid w:val="00F72A12"/>
    <w:rsid w:val="00F76A74"/>
    <w:rsid w:val="00F76F0C"/>
    <w:rsid w:val="00F81124"/>
    <w:rsid w:val="00F816C6"/>
    <w:rsid w:val="00F817C5"/>
    <w:rsid w:val="00F841CB"/>
    <w:rsid w:val="00F858D5"/>
    <w:rsid w:val="00F909A9"/>
    <w:rsid w:val="00F91AEE"/>
    <w:rsid w:val="00F97C07"/>
    <w:rsid w:val="00FA047C"/>
    <w:rsid w:val="00FA1738"/>
    <w:rsid w:val="00FA19D2"/>
    <w:rsid w:val="00FA2545"/>
    <w:rsid w:val="00FA2625"/>
    <w:rsid w:val="00FA6F78"/>
    <w:rsid w:val="00FA7EF6"/>
    <w:rsid w:val="00FB25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FC6"/>
    <w:rsid w:val="00FE214F"/>
    <w:rsid w:val="00FE3DA3"/>
    <w:rsid w:val="00FE6BC1"/>
    <w:rsid w:val="00FF0389"/>
    <w:rsid w:val="00FF08E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E770B6"/>
    <w:rPr>
      <w:sz w:val="16"/>
      <w:szCs w:val="16"/>
    </w:rPr>
  </w:style>
  <w:style w:type="paragraph" w:styleId="Textocomentario">
    <w:name w:val="annotation text"/>
    <w:basedOn w:val="Normal"/>
    <w:link w:val="TextocomentarioCar"/>
    <w:uiPriority w:val="99"/>
    <w:unhideWhenUsed/>
    <w:rsid w:val="00E770B6"/>
    <w:pPr>
      <w:spacing w:line="240" w:lineRule="auto"/>
    </w:pPr>
    <w:rPr>
      <w:sz w:val="20"/>
      <w:szCs w:val="20"/>
    </w:rPr>
  </w:style>
  <w:style w:type="character" w:customStyle="1" w:styleId="TextocomentarioCar">
    <w:name w:val="Texto comentario Car"/>
    <w:basedOn w:val="Fuentedeprrafopredeter"/>
    <w:link w:val="Textocomentario"/>
    <w:uiPriority w:val="99"/>
    <w:rsid w:val="00E770B6"/>
    <w:rPr>
      <w:sz w:val="20"/>
      <w:szCs w:val="20"/>
    </w:rPr>
  </w:style>
  <w:style w:type="paragraph" w:styleId="Asuntodelcomentario">
    <w:name w:val="annotation subject"/>
    <w:basedOn w:val="Textocomentario"/>
    <w:next w:val="Textocomentario"/>
    <w:link w:val="AsuntodelcomentarioCar"/>
    <w:uiPriority w:val="99"/>
    <w:semiHidden/>
    <w:unhideWhenUsed/>
    <w:rsid w:val="00E770B6"/>
    <w:rPr>
      <w:b/>
      <w:bCs/>
    </w:rPr>
  </w:style>
  <w:style w:type="character" w:customStyle="1" w:styleId="AsuntodelcomentarioCar">
    <w:name w:val="Asunto del comentario Car"/>
    <w:basedOn w:val="TextocomentarioCar"/>
    <w:link w:val="Asuntodelcomentario"/>
    <w:uiPriority w:val="99"/>
    <w:semiHidden/>
    <w:rsid w:val="00E77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279994212">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177274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movilidad.edomex.gob.mx/tarifas_autorizadas"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9F8D-DBD3-450A-81B6-B71B3275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TotalTime>
  <Pages>33</Pages>
  <Words>5829</Words>
  <Characters>32060</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132</cp:revision>
  <cp:lastPrinted>2019-11-07T00:56:00Z</cp:lastPrinted>
  <dcterms:created xsi:type="dcterms:W3CDTF">2021-11-21T15:50:00Z</dcterms:created>
  <dcterms:modified xsi:type="dcterms:W3CDTF">2022-09-15T19:03:00Z</dcterms:modified>
</cp:coreProperties>
</file>