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063" w:rsidRDefault="000C2063">
      <w:pPr>
        <w:widowControl w:val="0"/>
        <w:pBdr>
          <w:top w:val="nil"/>
          <w:left w:val="nil"/>
          <w:bottom w:val="nil"/>
          <w:right w:val="nil"/>
          <w:between w:val="nil"/>
        </w:pBdr>
        <w:spacing w:after="0" w:line="276" w:lineRule="auto"/>
      </w:pP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dieciocho de mayo de dos mil veintidós.</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02034/INFOEM/IP/RR/2022</w:t>
      </w:r>
      <w:r>
        <w:rPr>
          <w:rFonts w:ascii="Palatino Linotype" w:eastAsia="Palatino Linotype" w:hAnsi="Palatino Linotype" w:cs="Palatino Linotype"/>
          <w:sz w:val="24"/>
          <w:szCs w:val="24"/>
        </w:rPr>
        <w:t xml:space="preserve">, interpuesto por una persona de manera anónima, al cual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Pr>
          <w:rFonts w:ascii="Palatino Linotype" w:eastAsia="Palatino Linotype" w:hAnsi="Palatino Linotype" w:cs="Palatino Linotype"/>
          <w:b/>
          <w:sz w:val="24"/>
          <w:szCs w:val="24"/>
        </w:rPr>
        <w:t>00623/METEPEC/IP/2022,</w:t>
      </w:r>
      <w:r>
        <w:rPr>
          <w:rFonts w:ascii="Palatino Linotype" w:eastAsia="Palatino Linotype" w:hAnsi="Palatino Linotype" w:cs="Palatino Linotype"/>
          <w:sz w:val="24"/>
          <w:szCs w:val="24"/>
        </w:rPr>
        <w:t xml:space="preserve"> por parte del </w:t>
      </w:r>
      <w:r>
        <w:rPr>
          <w:rFonts w:ascii="Palatino Linotype" w:eastAsia="Palatino Linotype" w:hAnsi="Palatino Linotype" w:cs="Palatino Linotype"/>
          <w:b/>
          <w:sz w:val="24"/>
          <w:szCs w:val="24"/>
        </w:rPr>
        <w:t>Ayuntamiento de Metepec</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rsidR="000C2063" w:rsidRDefault="001D757E">
      <w:pPr>
        <w:spacing w:before="240" w:after="240" w:line="360" w:lineRule="auto"/>
        <w:ind w:right="49"/>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AN T E C E D E N T E S</w:t>
      </w: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1. SOLICITUD. </w:t>
      </w:r>
      <w:r>
        <w:rPr>
          <w:rFonts w:ascii="Palatino Linotype" w:eastAsia="Palatino Linotype" w:hAnsi="Palatino Linotype" w:cs="Palatino Linotype"/>
          <w:sz w:val="24"/>
          <w:szCs w:val="24"/>
        </w:rPr>
        <w:t xml:space="preserve">Con fecha diez de enero de dos mil veintidós,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Palatino Linotype" w:eastAsia="Palatino Linotype" w:hAnsi="Palatino Linotype" w:cs="Palatino Linotype"/>
          <w:b/>
          <w:color w:val="FF0000"/>
        </w:rPr>
        <w:t> </w:t>
      </w:r>
      <w:r>
        <w:rPr>
          <w:rFonts w:ascii="Palatino Linotype" w:eastAsia="Palatino Linotype" w:hAnsi="Palatino Linotype" w:cs="Palatino Linotype"/>
          <w:b/>
          <w:sz w:val="24"/>
          <w:szCs w:val="24"/>
        </w:rPr>
        <w:t xml:space="preserve">00623/METEPEC/IP/2022, </w:t>
      </w:r>
      <w:r>
        <w:rPr>
          <w:rFonts w:ascii="Palatino Linotype" w:eastAsia="Palatino Linotype" w:hAnsi="Palatino Linotype" w:cs="Palatino Linotype"/>
          <w:sz w:val="24"/>
          <w:szCs w:val="24"/>
        </w:rPr>
        <w:t>mediante la cual solicitó información en el tenor siguiente:</w:t>
      </w:r>
    </w:p>
    <w:p w:rsidR="000C2063" w:rsidRDefault="001D757E">
      <w:pPr>
        <w:spacing w:before="240" w:after="240" w:line="276" w:lineRule="auto"/>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 la recolección de desechos en el Parque La Pila llevada a cabo por Brigadas de Servicios Públicos, se requiere conocer el nombre del personal que acudió a dicha recolección, vehículos oficiales que fueron utilizados, tarjetas de circulación de los vehículos involucrados. En la publicación se aprecian dos vehículos, se solicita conocer si ambos son propiedad del ayuntamiento, o en su defecto, se requiere conocer como tiene el ayuntamiento la posesión. </w:t>
      </w:r>
      <w:r>
        <w:rPr>
          <w:rFonts w:ascii="Palatino Linotype" w:eastAsia="Palatino Linotype" w:hAnsi="Palatino Linotype" w:cs="Palatino Linotype"/>
          <w:i/>
          <w:color w:val="000000"/>
        </w:rPr>
        <w:lastRenderedPageBreak/>
        <w:t>https://www.facebook.com/AyuntamientoMetepec/posts/3951816194921002“(Sic)</w:t>
      </w:r>
    </w:p>
    <w:p w:rsidR="000C2063" w:rsidRDefault="001D757E">
      <w:pPr>
        <w:spacing w:before="120" w:after="12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w:t>
      </w: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2. </w:t>
      </w:r>
      <w:r>
        <w:rPr>
          <w:rFonts w:ascii="Palatino Linotype" w:eastAsia="Palatino Linotype" w:hAnsi="Palatino Linotype" w:cs="Palatino Linotype"/>
          <w:b/>
        </w:rPr>
        <w:t xml:space="preserve">PRÓRROGA. </w:t>
      </w:r>
      <w:r>
        <w:rPr>
          <w:rFonts w:ascii="Palatino Linotype" w:eastAsia="Palatino Linotype" w:hAnsi="Palatino Linotype" w:cs="Palatino Linotype"/>
          <w:sz w:val="24"/>
          <w:szCs w:val="24"/>
        </w:rPr>
        <w:t xml:space="preserve">En fecha </w:t>
      </w:r>
      <w:r>
        <w:rPr>
          <w:rFonts w:ascii="Palatino Linotype" w:eastAsia="Palatino Linotype" w:hAnsi="Palatino Linotype" w:cs="Palatino Linotype"/>
          <w:b/>
          <w:sz w:val="24"/>
          <w:szCs w:val="24"/>
        </w:rPr>
        <w:t>veintinueve de enero de dos mil veintidós</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notificó al particular la prórroga para atender su solicitud de información, medularmente en los siguientes términos: </w:t>
      </w:r>
    </w:p>
    <w:p w:rsidR="000C2063" w:rsidRDefault="001D757E">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C2063" w:rsidRDefault="001D757E">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0C2063" w:rsidRDefault="001D757E">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Lic. Gerardo Arturo Ozuna Martínez</w:t>
      </w:r>
    </w:p>
    <w:p w:rsidR="000C2063" w:rsidRDefault="001D757E">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Responsable de la Unidad de Transparencia”</w:t>
      </w:r>
    </w:p>
    <w:p w:rsidR="000C2063" w:rsidRDefault="001D757E">
      <w:pPr>
        <w:spacing w:before="240" w:after="240" w:line="276" w:lineRule="auto"/>
        <w:ind w:left="567" w:right="851"/>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0C2063" w:rsidRDefault="001D757E">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“acta primera sesion extraordinaria.pdf”: </w:t>
      </w:r>
      <w:r>
        <w:rPr>
          <w:rFonts w:ascii="Palatino Linotype" w:eastAsia="Palatino Linotype" w:hAnsi="Palatino Linotype" w:cs="Palatino Linotype"/>
        </w:rPr>
        <w:t xml:space="preserve">Consistente en el acta de la Primera Sesión Extraordinaria del Comité de Transparencia del </w:t>
      </w:r>
      <w:r>
        <w:rPr>
          <w:rFonts w:ascii="Palatino Linotype" w:eastAsia="Palatino Linotype" w:hAnsi="Palatino Linotype" w:cs="Palatino Linotype"/>
        </w:rPr>
        <w:lastRenderedPageBreak/>
        <w:t xml:space="preserve">Ayuntamiento de Metepec, Estado de México, celebrada el 21 de enero de 2022, mediante la cual se aprobó la ampliación de un plazo de 7 días para la atención de la solicitud de información a la que recayó el presente recurso de revisión: </w:t>
      </w:r>
    </w:p>
    <w:p w:rsidR="000C2063" w:rsidRDefault="001D757E">
      <w:pPr>
        <w:spacing w:before="240" w:after="240" w:line="360" w:lineRule="auto"/>
        <w:ind w:right="49"/>
        <w:jc w:val="both"/>
        <w:rPr>
          <w:rFonts w:ascii="Palatino Linotype" w:eastAsia="Palatino Linotype" w:hAnsi="Palatino Linotype" w:cs="Palatino Linotype"/>
          <w:b/>
        </w:rPr>
      </w:pPr>
      <w:r>
        <w:object w:dxaOrig="8398" w:dyaOrig="7834" w14:anchorId="784FF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1pt;height:391.95pt" o:ole="">
            <v:imagedata r:id="rId8" o:title=""/>
          </v:shape>
          <o:OLEObject Type="Embed" ProgID="PBrush" ShapeID="_x0000_i1025" DrawAspect="Content" ObjectID="_1714557458" r:id="rId9"/>
        </w:object>
      </w:r>
    </w:p>
    <w:p w:rsidR="000C2063" w:rsidRDefault="001D757E">
      <w:pPr>
        <w:spacing w:before="240" w:after="240" w:line="360" w:lineRule="auto"/>
        <w:ind w:right="49"/>
        <w:jc w:val="both"/>
      </w:pPr>
      <w:r>
        <w:object w:dxaOrig="8271" w:dyaOrig="11220" w14:anchorId="0E4BFE2F">
          <v:shape id="_x0000_i1026" type="#_x0000_t75" style="width:413.85pt;height:560.95pt" o:ole="">
            <v:imagedata r:id="rId10" o:title=""/>
          </v:shape>
          <o:OLEObject Type="Embed" ProgID="PBrush" ShapeID="_x0000_i1026" DrawAspect="Content" ObjectID="_1714557459" r:id="rId11"/>
        </w:object>
      </w:r>
    </w:p>
    <w:p w:rsidR="000C2063" w:rsidRDefault="001D757E">
      <w:pPr>
        <w:spacing w:before="240" w:after="240" w:line="360" w:lineRule="auto"/>
        <w:ind w:right="49"/>
        <w:jc w:val="both"/>
        <w:rPr>
          <w:rFonts w:ascii="Palatino Linotype" w:eastAsia="Palatino Linotype" w:hAnsi="Palatino Linotype" w:cs="Palatino Linotype"/>
          <w:b/>
        </w:rPr>
      </w:pPr>
      <w:r>
        <w:object w:dxaOrig="8317" w:dyaOrig="10287" w14:anchorId="3F2FDD44">
          <v:shape id="_x0000_i1027" type="#_x0000_t75" style="width:415.7pt;height:514.65pt" o:ole="">
            <v:imagedata r:id="rId12" o:title=""/>
          </v:shape>
          <o:OLEObject Type="Embed" ProgID="PBrush" ShapeID="_x0000_i1027" DrawAspect="Content" ObjectID="_1714557460" r:id="rId13"/>
        </w:object>
      </w:r>
    </w:p>
    <w:p w:rsidR="000C2063" w:rsidRDefault="001D757E">
      <w:pPr>
        <w:spacing w:before="240" w:after="240" w:line="360" w:lineRule="auto"/>
        <w:ind w:right="49"/>
        <w:jc w:val="both"/>
        <w:rPr>
          <w:rFonts w:ascii="Palatino Linotype" w:eastAsia="Palatino Linotype" w:hAnsi="Palatino Linotype" w:cs="Palatino Linotype"/>
          <w:b/>
        </w:rPr>
      </w:pPr>
      <w:r>
        <w:object w:dxaOrig="8317" w:dyaOrig="10552" w14:anchorId="252D00D6">
          <v:shape id="_x0000_i1028" type="#_x0000_t75" style="width:415.7pt;height:527.15pt" o:ole="">
            <v:imagedata r:id="rId14" o:title=""/>
          </v:shape>
          <o:OLEObject Type="Embed" ProgID="PBrush" ShapeID="_x0000_i1028" DrawAspect="Content" ObjectID="_1714557461" r:id="rId15"/>
        </w:objec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2374900</wp:posOffset>
                </wp:positionH>
                <wp:positionV relativeFrom="paragraph">
                  <wp:posOffset>6108700</wp:posOffset>
                </wp:positionV>
                <wp:extent cx="1011110" cy="176369"/>
                <wp:effectExtent l="0" t="0" r="0" b="0"/>
                <wp:wrapNone/>
                <wp:docPr id="42" name="Rectángulo 42"/>
                <wp:cNvGraphicFramePr/>
                <a:graphic xmlns:a="http://schemas.openxmlformats.org/drawingml/2006/main">
                  <a:graphicData uri="http://schemas.microsoft.com/office/word/2010/wordprocessingShape">
                    <wps:wsp>
                      <wps:cNvSpPr/>
                      <wps:spPr>
                        <a:xfrm>
                          <a:off x="4854733" y="3706103"/>
                          <a:ext cx="982535" cy="147794"/>
                        </a:xfrm>
                        <a:prstGeom prst="rect">
                          <a:avLst/>
                        </a:prstGeom>
                        <a:noFill/>
                        <a:ln w="28575" cap="flat" cmpd="sng">
                          <a:solidFill>
                            <a:srgbClr val="002060"/>
                          </a:solidFill>
                          <a:prstDash val="solid"/>
                          <a:round/>
                          <a:headEnd type="none" w="sm" len="sm"/>
                          <a:tailEnd type="none" w="sm" len="sm"/>
                        </a:ln>
                      </wps:spPr>
                      <wps:txbx>
                        <w:txbxContent>
                          <w:p w:rsidR="000C2063" w:rsidRDefault="000C2063">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2374900</wp:posOffset>
                </wp:positionH>
                <wp:positionV relativeFrom="paragraph">
                  <wp:posOffset>6108700</wp:posOffset>
                </wp:positionV>
                <wp:extent cx="1011110" cy="176369"/>
                <wp:effectExtent b="0" l="0" r="0" t="0"/>
                <wp:wrapNone/>
                <wp:docPr id="42"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1011110" cy="176369"/>
                        </a:xfrm>
                        <a:prstGeom prst="rect"/>
                        <a:ln/>
                      </pic:spPr>
                    </pic:pic>
                  </a:graphicData>
                </a:graphic>
              </wp:anchor>
            </w:drawing>
          </mc:Fallback>
        </mc:AlternateContent>
      </w:r>
    </w:p>
    <w:p w:rsidR="000C2063" w:rsidRDefault="001D757E">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3. </w:t>
      </w:r>
      <w:r>
        <w:rPr>
          <w:rFonts w:ascii="Palatino Linotype" w:eastAsia="Palatino Linotype" w:hAnsi="Palatino Linotype" w:cs="Palatino Linotype"/>
          <w:b/>
          <w:sz w:val="24"/>
          <w:szCs w:val="24"/>
        </w:rPr>
        <w:t xml:space="preserve">DE LA RESPUESTA DEL SUJETO OBLIGADO. </w:t>
      </w:r>
      <w:r>
        <w:rPr>
          <w:rFonts w:ascii="Palatino Linotype" w:eastAsia="Palatino Linotype" w:hAnsi="Palatino Linotype" w:cs="Palatino Linotype"/>
          <w:sz w:val="24"/>
          <w:szCs w:val="24"/>
        </w:rPr>
        <w:t xml:space="preserve">Con fecha diez de febrero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rPr>
          <w:rFonts w:ascii="Palatino Linotype" w:eastAsia="Palatino Linotype" w:hAnsi="Palatino Linotype" w:cs="Palatino Linotype"/>
        </w:rPr>
        <w:t xml:space="preserve"> </w:t>
      </w:r>
    </w:p>
    <w:p w:rsidR="000C2063" w:rsidRDefault="001D757E">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C2063" w:rsidRDefault="001D757E">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C. SOLICITANTE P R E S E N T E. En respuesta a la solicitud número 00623/METEPEC/IP/2022,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rsidR="000C2063" w:rsidRDefault="001D757E">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0C2063" w:rsidRDefault="001D757E">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Lic. Gerardo Arturo Ozuna Martínez.</w:t>
      </w:r>
    </w:p>
    <w:p w:rsidR="000C2063" w:rsidRDefault="000C2063">
      <w:pPr>
        <w:spacing w:before="160" w:after="0" w:line="360" w:lineRule="auto"/>
        <w:jc w:val="both"/>
        <w:rPr>
          <w:rFonts w:ascii="Palatino Linotype" w:eastAsia="Palatino Linotype" w:hAnsi="Palatino Linotype" w:cs="Palatino Linotype"/>
          <w:color w:val="000000"/>
          <w:sz w:val="24"/>
          <w:szCs w:val="24"/>
        </w:rPr>
      </w:pPr>
    </w:p>
    <w:p w:rsidR="000C2063" w:rsidRDefault="001D757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adjuntó para tal efecto el archivo electrónico denominado:</w:t>
      </w:r>
    </w:p>
    <w:p w:rsidR="000C2063" w:rsidRDefault="001D757E">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w:t>
      </w:r>
      <w:hyperlink r:id="rId17">
        <w:r>
          <w:rPr>
            <w:rFonts w:ascii="Palatino Linotype" w:eastAsia="Palatino Linotype" w:hAnsi="Palatino Linotype" w:cs="Palatino Linotype"/>
            <w:color w:val="000000"/>
            <w:sz w:val="24"/>
            <w:szCs w:val="24"/>
          </w:rPr>
          <w:t>00623-METEPEC-IP-2022.pdf</w:t>
        </w:r>
      </w:hyperlink>
      <w:r>
        <w:rPr>
          <w:rFonts w:ascii="Palatino Linotype" w:eastAsia="Palatino Linotype" w:hAnsi="Palatino Linotype" w:cs="Palatino Linotype"/>
          <w:color w:val="000000"/>
          <w:sz w:val="24"/>
          <w:szCs w:val="24"/>
        </w:rPr>
        <w:t xml:space="preserve">”, el cual contiene el Oficio DSP/130/2022, signado por el Director de Servicios Públicos, mediante el cual  proporciona el nombre del </w:t>
      </w:r>
      <w:r>
        <w:rPr>
          <w:rFonts w:ascii="Palatino Linotype" w:eastAsia="Palatino Linotype" w:hAnsi="Palatino Linotype" w:cs="Palatino Linotype"/>
          <w:color w:val="000000"/>
          <w:sz w:val="24"/>
          <w:szCs w:val="24"/>
        </w:rPr>
        <w:lastRenderedPageBreak/>
        <w:t>personal de la Dirección de Servicios Públicos, que acudió a recolección de residuos sólidos en el Parque la Pila y a su vez informó que los vehículos utilizados para dicho trabajo son oficiales y uno propiedad del Municipio de Metepec, anexando tarjeta de circulación de este, como se observa a continuación:</w:t>
      </w:r>
    </w:p>
    <w:p w:rsidR="000C2063" w:rsidRDefault="000C2063">
      <w:pPr>
        <w:spacing w:after="0" w:line="360" w:lineRule="auto"/>
        <w:jc w:val="both"/>
      </w:pPr>
    </w:p>
    <w:p w:rsidR="000C2063" w:rsidRDefault="001D757E">
      <w:pPr>
        <w:spacing w:after="0" w:line="360" w:lineRule="auto"/>
        <w:jc w:val="both"/>
        <w:rPr>
          <w:rFonts w:ascii="Palatino Linotype" w:eastAsia="Palatino Linotype" w:hAnsi="Palatino Linotype" w:cs="Palatino Linotype"/>
          <w:color w:val="000000"/>
          <w:sz w:val="24"/>
          <w:szCs w:val="24"/>
        </w:rPr>
      </w:pPr>
      <w:r>
        <w:rPr>
          <w:noProof/>
          <w:lang w:val="en-US"/>
        </w:rPr>
        <w:drawing>
          <wp:inline distT="0" distB="0" distL="0" distR="0">
            <wp:extent cx="5600436" cy="4439844"/>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42325" t="32007" r="23141"/>
                    <a:stretch>
                      <a:fillRect/>
                    </a:stretch>
                  </pic:blipFill>
                  <pic:spPr>
                    <a:xfrm>
                      <a:off x="0" y="0"/>
                      <a:ext cx="5600436" cy="4439844"/>
                    </a:xfrm>
                    <a:prstGeom prst="rect">
                      <a:avLst/>
                    </a:prstGeom>
                    <a:ln/>
                  </pic:spPr>
                </pic:pic>
              </a:graphicData>
            </a:graphic>
          </wp:inline>
        </w:drawing>
      </w:r>
      <w:r>
        <w:rPr>
          <w:rFonts w:ascii="Palatino Linotype" w:eastAsia="Palatino Linotype" w:hAnsi="Palatino Linotype" w:cs="Palatino Linotype"/>
          <w:color w:val="000000"/>
          <w:sz w:val="24"/>
          <w:szCs w:val="24"/>
        </w:rPr>
        <w:t xml:space="preserve"> </w:t>
      </w:r>
    </w:p>
    <w:p w:rsidR="000C2063" w:rsidRDefault="000C2063">
      <w:pPr>
        <w:tabs>
          <w:tab w:val="left" w:pos="6946"/>
        </w:tabs>
        <w:spacing w:after="240" w:line="360" w:lineRule="auto"/>
        <w:jc w:val="both"/>
        <w:rPr>
          <w:rFonts w:ascii="Palatino Linotype" w:eastAsia="Palatino Linotype" w:hAnsi="Palatino Linotype" w:cs="Palatino Linotype"/>
          <w:b/>
          <w:sz w:val="24"/>
          <w:szCs w:val="24"/>
        </w:rPr>
      </w:pPr>
    </w:p>
    <w:p w:rsidR="000C2063" w:rsidRDefault="001D757E">
      <w:pPr>
        <w:tabs>
          <w:tab w:val="left" w:pos="694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4"/>
          <w:szCs w:val="24"/>
        </w:rPr>
        <w:lastRenderedPageBreak/>
        <w:t xml:space="preserve">4. RECURSO DE REVISIÓN. </w:t>
      </w:r>
      <w:r>
        <w:rPr>
          <w:rFonts w:ascii="Palatino Linotype" w:eastAsia="Palatino Linotype" w:hAnsi="Palatino Linotype" w:cs="Palatino Linotype"/>
          <w:sz w:val="24"/>
          <w:szCs w:val="24"/>
        </w:rPr>
        <w:t xml:space="preserve">Inconforme con la respuesta,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interpuso el recurso de revisión materia del presente estudio el día </w:t>
      </w:r>
      <w:r>
        <w:rPr>
          <w:rFonts w:ascii="Palatino Linotype" w:eastAsia="Palatino Linotype" w:hAnsi="Palatino Linotype" w:cs="Palatino Linotype"/>
          <w:b/>
          <w:sz w:val="24"/>
          <w:szCs w:val="24"/>
        </w:rPr>
        <w:t>veintiocho de febrero de dos mil veintidós</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el que expresó lo siguiente:</w:t>
      </w:r>
      <w:r>
        <w:rPr>
          <w:rFonts w:ascii="Palatino Linotype" w:eastAsia="Palatino Linotype" w:hAnsi="Palatino Linotype" w:cs="Palatino Linotype"/>
        </w:rPr>
        <w:t xml:space="preserve"> </w:t>
      </w:r>
    </w:p>
    <w:p w:rsidR="000C2063" w:rsidRDefault="001D757E">
      <w:pPr>
        <w:ind w:left="567" w:right="900"/>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0C2063" w:rsidRDefault="000C2063">
      <w:pPr>
        <w:ind w:right="567"/>
        <w:jc w:val="both"/>
        <w:rPr>
          <w:rFonts w:ascii="Palatino Linotype" w:eastAsia="Palatino Linotype" w:hAnsi="Palatino Linotype" w:cs="Palatino Linotype"/>
          <w:i/>
        </w:rPr>
      </w:pPr>
    </w:p>
    <w:p w:rsidR="000C2063" w:rsidRDefault="001D757E">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 respuesta proporcionada por el Sujeto Obligado.” (Sic)</w:t>
      </w:r>
    </w:p>
    <w:p w:rsidR="000C2063" w:rsidRDefault="001D757E">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0C2063" w:rsidRDefault="001D757E">
      <w:pPr>
        <w:spacing w:before="240" w:after="240"/>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u w:val="single"/>
        </w:rPr>
        <w:t>La respuesta proporcionada por el sujeto obligado está repleta de deficiencias al incumplir con diversas disposiciones explícitamente señaladas por la Ley de Transparencia y Acceso a la Información Pública</w:t>
      </w:r>
      <w:r>
        <w:rPr>
          <w:rFonts w:ascii="Palatino Linotype" w:eastAsia="Palatino Linotype" w:hAnsi="Palatino Linotype" w:cs="Palatino Linotype"/>
          <w:i/>
        </w:rPr>
        <w:t xml:space="preserv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w:t>
      </w:r>
      <w:r>
        <w:rPr>
          <w:rFonts w:ascii="Palatino Linotype" w:eastAsia="Palatino Linotype" w:hAnsi="Palatino Linotype" w:cs="Palatino Linotype"/>
          <w:i/>
        </w:rPr>
        <w:lastRenderedPageBreak/>
        <w:t xml:space="preserve">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b/>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w:t>
      </w:r>
      <w:r>
        <w:rPr>
          <w:rFonts w:ascii="Palatino Linotype" w:eastAsia="Palatino Linotype" w:hAnsi="Palatino Linotype" w:cs="Palatino Linotype"/>
          <w:i/>
        </w:rPr>
        <w:t>,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0C2063" w:rsidRDefault="001D757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cuatro de marzo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w:t>
      </w:r>
      <w:r>
        <w:rPr>
          <w:rFonts w:ascii="Palatino Linotype" w:eastAsia="Palatino Linotype" w:hAnsi="Palatino Linotype" w:cs="Palatino Linotype"/>
          <w:sz w:val="24"/>
          <w:szCs w:val="24"/>
        </w:rPr>
        <w:lastRenderedPageBreak/>
        <w:t xml:space="preserve">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presentara su informe justificado.</w:t>
      </w:r>
    </w:p>
    <w:p w:rsidR="000C2063" w:rsidRDefault="001D757E">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202124"/>
          <w:sz w:val="24"/>
          <w:szCs w:val="24"/>
        </w:rPr>
        <w:t xml:space="preserve">7. </w:t>
      </w:r>
      <w:r>
        <w:rPr>
          <w:rFonts w:ascii="Palatino Linotype" w:eastAsia="Palatino Linotype" w:hAnsi="Palatino Linotype" w:cs="Palatino Linotype"/>
          <w:b/>
          <w:sz w:val="24"/>
          <w:szCs w:val="24"/>
        </w:rPr>
        <w:t xml:space="preserve">INFORME JUSTIFICADO O MANIFESTACIONES. </w:t>
      </w:r>
      <w:r>
        <w:rPr>
          <w:rFonts w:ascii="Palatino Linotype" w:eastAsia="Palatino Linotype" w:hAnsi="Palatino Linotype" w:cs="Palatino Linotype"/>
          <w:sz w:val="24"/>
          <w:szCs w:val="24"/>
        </w:rPr>
        <w:t xml:space="preserve">El dieciséis de abril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del siguiente archivo electrónico: </w:t>
      </w:r>
    </w:p>
    <w:p w:rsidR="000C2063" w:rsidRDefault="001D75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w:t>
      </w:r>
      <w:hyperlink r:id="rId19">
        <w:r>
          <w:rPr>
            <w:rFonts w:ascii="Palatino Linotype" w:eastAsia="Palatino Linotype" w:hAnsi="Palatino Linotype" w:cs="Palatino Linotype"/>
            <w:color w:val="000000"/>
            <w:sz w:val="24"/>
            <w:szCs w:val="24"/>
          </w:rPr>
          <w:t>02034-INFOEM-IP-RR-2022.pdf</w:t>
        </w:r>
      </w:hyperlink>
      <w:r>
        <w:rPr>
          <w:rFonts w:ascii="Palatino Linotype" w:eastAsia="Palatino Linotype" w:hAnsi="Palatino Linotype" w:cs="Palatino Linotype"/>
          <w:color w:val="000000"/>
          <w:sz w:val="24"/>
          <w:szCs w:val="24"/>
        </w:rPr>
        <w:t xml:space="preserve">”: por medio del cual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confirmó su respuesta inicial el cual no fue puesto a la vista del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razón de contener el número de serie de un vehículo oficial.  </w:t>
      </w:r>
    </w:p>
    <w:p w:rsidR="000C2063" w:rsidRDefault="001D757E">
      <w:pPr>
        <w:widowControl w:val="0"/>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8.- AMPLIACIÓN DEL PLAZO PARA EMITIR RESOLUCIÓN.</w:t>
      </w:r>
      <w:r>
        <w:rPr>
          <w:rFonts w:ascii="Palatino Linotype" w:eastAsia="Palatino Linotype" w:hAnsi="Palatino Linotype" w:cs="Palatino Linotype"/>
          <w:sz w:val="24"/>
          <w:szCs w:val="24"/>
        </w:rPr>
        <w:t xml:space="preserve"> El </w:t>
      </w:r>
      <w:r>
        <w:rPr>
          <w:rFonts w:ascii="Palatino Linotype" w:eastAsia="Palatino Linotype" w:hAnsi="Palatino Linotype" w:cs="Palatino Linotype"/>
          <w:b/>
          <w:sz w:val="24"/>
          <w:szCs w:val="24"/>
        </w:rPr>
        <w:t>once de mayo de dos mil veintidós</w:t>
      </w:r>
      <w:r>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rsidR="000C2063" w:rsidRDefault="001D757E">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9. CIERRE DE INSTRUCCIÓN. </w:t>
      </w:r>
      <w:r>
        <w:rPr>
          <w:rFonts w:ascii="Palatino Linotype" w:eastAsia="Palatino Linotype" w:hAnsi="Palatino Linotype" w:cs="Palatino Linotype"/>
          <w:color w:val="000000"/>
          <w:sz w:val="24"/>
          <w:szCs w:val="24"/>
        </w:rPr>
        <w:t xml:space="preserve">El trece de 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Pr>
          <w:rFonts w:ascii="Palatino Linotype" w:eastAsia="Palatino Linotype" w:hAnsi="Palatino Linotype" w:cs="Palatino Linotype"/>
          <w:color w:val="000000"/>
          <w:sz w:val="24"/>
          <w:szCs w:val="24"/>
        </w:rPr>
        <w:lastRenderedPageBreak/>
        <w:t xml:space="preserve">Información Pública del Estado de México y Municipios, iniciando el término legal para dictar resolución definitiva del asunto. </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rsidR="000C2063" w:rsidRDefault="001D757E">
      <w:pPr>
        <w:widowControl w:val="0"/>
        <w:spacing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rsidR="000C2063" w:rsidRDefault="001D757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 OPORTUNIDAD Y PROCEDIBILIDAD DEL RECURSO DE REVISIÓN</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Pr>
          <w:rFonts w:ascii="Palatino Linotype" w:eastAsia="Palatino Linotype" w:hAnsi="Palatino Linotype" w:cs="Palatino Linotype"/>
          <w:sz w:val="24"/>
          <w:szCs w:val="24"/>
        </w:rPr>
        <w:lastRenderedPageBreak/>
        <w:t>interpuesto, previstos en los artículos 178 y 180 de la Ley de Transparencia y Acceso a la Información Pública del Estado de México y Municipios.</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remitió la respuesta a la solicitud de información el día </w:t>
      </w:r>
      <w:r>
        <w:rPr>
          <w:rFonts w:ascii="Palatino Linotype" w:eastAsia="Palatino Linotype" w:hAnsi="Palatino Linotype" w:cs="Palatino Linotype"/>
          <w:b/>
          <w:sz w:val="24"/>
          <w:szCs w:val="24"/>
        </w:rPr>
        <w:t xml:space="preserve">diez de febrero de dos mil veintidós, </w:t>
      </w:r>
      <w:r>
        <w:rPr>
          <w:rFonts w:ascii="Palatino Linotype" w:eastAsia="Palatino Linotype" w:hAnsi="Palatino Linotype" w:cs="Palatino Linotype"/>
          <w:sz w:val="24"/>
          <w:szCs w:val="24"/>
        </w:rPr>
        <w:t xml:space="preserve">mientras que el recurso de revisión interpuesto por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tuvo por presentado el día </w:t>
      </w:r>
      <w:r>
        <w:rPr>
          <w:rFonts w:ascii="Palatino Linotype" w:eastAsia="Palatino Linotype" w:hAnsi="Palatino Linotype" w:cs="Palatino Linotype"/>
          <w:b/>
          <w:sz w:val="24"/>
          <w:szCs w:val="24"/>
        </w:rPr>
        <w:t>veintiocho de febrero de dos mil veintidós</w:t>
      </w:r>
      <w:r>
        <w:rPr>
          <w:rFonts w:ascii="Palatino Linotype" w:eastAsia="Palatino Linotype" w:hAnsi="Palatino Linotype" w:cs="Palatino Linotype"/>
          <w:sz w:val="24"/>
          <w:szCs w:val="24"/>
        </w:rPr>
        <w:t>; esto es, al décimo segundo día hábil en que tuvo conocimiento de la respuesta impugnada.</w:t>
      </w:r>
    </w:p>
    <w:p w:rsidR="000C2063" w:rsidRDefault="001D757E">
      <w:pPr>
        <w:spacing w:before="240" w:after="240" w:line="360" w:lineRule="auto"/>
        <w:jc w:val="both"/>
        <w:rPr>
          <w:rFonts w:ascii="Palatino Linotype" w:eastAsia="Palatino Linotype" w:hAnsi="Palatino Linotype" w:cs="Palatino Linotype"/>
          <w:sz w:val="24"/>
          <w:szCs w:val="24"/>
        </w:rPr>
      </w:pPr>
      <w:bookmarkStart w:id="0" w:name="_heading=h.3znysh7" w:colFirst="0" w:colLast="0"/>
      <w:bookmarkEnd w:id="0"/>
      <w:r>
        <w:rPr>
          <w:rFonts w:ascii="Palatino Linotype" w:eastAsia="Palatino Linotype" w:hAnsi="Palatino Linotype" w:cs="Palatino Linotype"/>
          <w:sz w:val="24"/>
          <w:szCs w:val="24"/>
        </w:rPr>
        <w:t xml:space="preserve">Luego entonces, al considerar la fecha en que se formuló la solicitud y la fecha en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la fecha en que se interpuso el recurso de revisión, se concluye que el presente recurso de revisión se encuentra dentro de los márgenes temporales previstos las disposiciones legales referidas.</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C2063" w:rsidRDefault="001D757E">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 por parte del sujeto obligado ante quien se presente</w:t>
      </w:r>
      <w:r>
        <w:rPr>
          <w:rFonts w:ascii="Palatino Linotype" w:eastAsia="Palatino Linotype" w:hAnsi="Palatino Linotype" w:cs="Palatino Linotype"/>
          <w:i/>
        </w:rPr>
        <w:t>. No podrá requerirse información adicional con motivo del nombre proporcionado por el solicitante."</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rsidR="000C2063" w:rsidRDefault="001D757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0C2063" w:rsidRDefault="001D757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rsidR="000C2063" w:rsidRDefault="001D757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Pr>
          <w:rFonts w:ascii="Palatino Linotype" w:eastAsia="Palatino Linotype" w:hAnsi="Palatino Linotype" w:cs="Palatino Linotype"/>
          <w:i/>
        </w:rPr>
        <w:t>I. La negativa de la información solicitada;” (Sic)</w:t>
      </w:r>
    </w:p>
    <w:p w:rsidR="000C2063" w:rsidRDefault="001D757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w:t>
      </w:r>
      <w:r>
        <w:rPr>
          <w:rFonts w:ascii="Palatino Linotype" w:eastAsia="Palatino Linotype" w:hAnsi="Palatino Linotype" w:cs="Palatino Linotype"/>
          <w:sz w:val="24"/>
          <w:szCs w:val="24"/>
        </w:rPr>
        <w:lastRenderedPageBreak/>
        <w:t xml:space="preserve">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rsidR="000C2063" w:rsidRDefault="001D757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color w:val="000000"/>
          <w:sz w:val="24"/>
          <w:szCs w:val="24"/>
        </w:rPr>
        <w:t xml:space="preserve">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respecto a la recolección de desechos en el Parque La Pila llevada a cabo por Brigadas de Servicios Públicos, derivada del vínculo electrónico de la red social Facebook que proporcionó el particular, lo siguiente:</w:t>
      </w:r>
    </w:p>
    <w:p w:rsidR="000C2063" w:rsidRDefault="001D757E">
      <w:pPr>
        <w:numPr>
          <w:ilvl w:val="0"/>
          <w:numId w:val="1"/>
        </w:numPr>
        <w:pBdr>
          <w:top w:val="nil"/>
          <w:left w:val="nil"/>
          <w:bottom w:val="nil"/>
          <w:right w:val="nil"/>
          <w:between w:val="nil"/>
        </w:pBdr>
        <w:spacing w:before="24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nombre del personal que acudió a dicha recolección</w:t>
      </w:r>
    </w:p>
    <w:p w:rsidR="000C2063" w:rsidRDefault="001D757E">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Vehículos oficiales que fueron utilizados</w:t>
      </w:r>
    </w:p>
    <w:p w:rsidR="000C2063" w:rsidRDefault="001D757E">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Tarjetas de circulación de los vehículos involucrados. </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En respuesta, 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sz w:val="24"/>
          <w:szCs w:val="24"/>
        </w:rPr>
        <w:t xml:space="preserve">a través de su Dirección de Servicios Públicos, proporcionó el nombre de seis servidores públicos pertenecientes a dicha Dirección, que acudieron a la recolección de residuos sólidos en el parque de la Pilita, asimismo señaló que los vehículos utilizados para dicho trabajo son oficiales y uno es propiedad del Municipio de Metepec, anexando la tarjeta de circulación de este último. </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 la respuesta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se inconformó en lo medular porque la respuesta está llena de deficiencias. </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Una vez notificado el Recurso de Revisión,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rindió su informe justificado en donde señaló en lo medular que la respuesta se entregó en tiempo y forma, solicitando que se sobresea el recurso de revisión. </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tal contexto, del análisis de las constancias que integran los expedientes en que se actúa, así como de la materia sobre la que versa la solicitud de acceso a la información pública, se advierten que los motivos de inconformidad acontecen parcialmente fundados para modificar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en razón de las consideraciones de derecho que a continuación se exponen:</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conveniente analizar si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C2063" w:rsidRDefault="001D757E">
      <w:pPr>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C2063" w:rsidRDefault="001D757E">
      <w:pPr>
        <w:ind w:left="851" w:right="900"/>
        <w:jc w:val="both"/>
        <w:rPr>
          <w:rFonts w:ascii="Palatino Linotype" w:eastAsia="Palatino Linotype" w:hAnsi="Palatino Linotype" w:cs="Palatino Linotype"/>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xml:space="preserve">, en los términos y condiciones que se establezcan en los tratados internacionales de los que el Estado </w:t>
      </w:r>
      <w:r>
        <w:rPr>
          <w:rFonts w:ascii="Palatino Linotype" w:eastAsia="Palatino Linotype" w:hAnsi="Palatino Linotype" w:cs="Palatino Linotype"/>
          <w:i/>
        </w:rPr>
        <w:lastRenderedPageBreak/>
        <w:t>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C2063" w:rsidRDefault="001D757E">
      <w:pPr>
        <w:spacing w:before="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C2063" w:rsidRDefault="001D757E">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0C2063" w:rsidRDefault="001D757E">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C2063" w:rsidRDefault="001D75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rsidR="000C2063" w:rsidRDefault="001D757E">
      <w:pPr>
        <w:ind w:left="1276"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rsidR="000C2063" w:rsidRDefault="001D757E">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i/>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rsidR="000C2063" w:rsidRDefault="001D757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C2063" w:rsidRDefault="001D757E">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rsidR="000C2063" w:rsidRDefault="001D757E">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C2063" w:rsidRDefault="001D757E">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0C2063" w:rsidRDefault="001D757E">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rsidR="000C2063" w:rsidRDefault="001D757E">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0C2063" w:rsidRDefault="001D757E">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Obligados.”(Sic)</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Antes del estudio de fondo, se debe resaltar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no niega contar con la información solicitada por el recurrente, sino por el contrario, se presume que dicha información la posee o administra al proporcionar parte de la información solicitada, por lo que el estudio de la naturaleza jurídica de la información solicitada, en el caso concreto, se obvia.</w:t>
      </w:r>
    </w:p>
    <w:p w:rsidR="000C2063" w:rsidRDefault="001D757E">
      <w:pPr>
        <w:widowControl w:val="0"/>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es así, ya que el estudio enunciado tiene por objeto determinar si el Sujeto Obligado genera, posee o administra la información solicitada</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sz w:val="24"/>
          <w:szCs w:val="24"/>
        </w:rPr>
        <w:t xml:space="preserve"> sin embargo, en aquellos casos en que éste la asume, ello efectivamente está en su poder; por consiguiente, sería ocioso y a nada práctico nos conduciría su estudio, ya que se insiste, la información pública solicitada fue asumida por el </w:t>
      </w:r>
      <w:r>
        <w:rPr>
          <w:rFonts w:ascii="Palatino Linotype" w:eastAsia="Palatino Linotype" w:hAnsi="Palatino Linotype" w:cs="Palatino Linotype"/>
          <w:b/>
          <w:sz w:val="24"/>
          <w:szCs w:val="24"/>
        </w:rPr>
        <w:t>SUJETO OBLIGADO.</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ese sentido, de la respuesta se advierte que la Dirección de Servicios Públicos del Ayuntamiento de Metepec, proporcionó de la siguiente publicación de la red social Facebook, lo siguiente:</w:t>
      </w:r>
    </w:p>
    <w:p w:rsidR="000C2063" w:rsidRDefault="000C2063">
      <w:pPr>
        <w:spacing w:before="240" w:after="240" w:line="360" w:lineRule="auto"/>
        <w:jc w:val="both"/>
        <w:rPr>
          <w:rFonts w:ascii="Palatino Linotype" w:eastAsia="Palatino Linotype" w:hAnsi="Palatino Linotype" w:cs="Palatino Linotype"/>
          <w:sz w:val="24"/>
          <w:szCs w:val="24"/>
        </w:rPr>
      </w:pPr>
    </w:p>
    <w:p w:rsidR="000C2063" w:rsidRDefault="001D757E">
      <w:pPr>
        <w:spacing w:before="240" w:after="240" w:line="360" w:lineRule="auto"/>
        <w:jc w:val="both"/>
        <w:rPr>
          <w:rFonts w:ascii="Palatino Linotype" w:eastAsia="Palatino Linotype" w:hAnsi="Palatino Linotype" w:cs="Palatino Linotype"/>
          <w:sz w:val="24"/>
          <w:szCs w:val="24"/>
        </w:rPr>
      </w:pPr>
      <w:r>
        <w:rPr>
          <w:noProof/>
          <w:lang w:val="en-US"/>
        </w:rPr>
        <w:lastRenderedPageBreak/>
        <w:drawing>
          <wp:inline distT="0" distB="0" distL="0" distR="0">
            <wp:extent cx="5546675" cy="2938542"/>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20057" t="15223" r="20631" b="17977"/>
                    <a:stretch>
                      <a:fillRect/>
                    </a:stretch>
                  </pic:blipFill>
                  <pic:spPr>
                    <a:xfrm>
                      <a:off x="0" y="0"/>
                      <a:ext cx="5546675" cy="2938542"/>
                    </a:xfrm>
                    <a:prstGeom prst="rect">
                      <a:avLst/>
                    </a:prstGeom>
                    <a:ln/>
                  </pic:spPr>
                </pic:pic>
              </a:graphicData>
            </a:graphic>
          </wp:inline>
        </w:drawing>
      </w:r>
    </w:p>
    <w:p w:rsidR="000C2063" w:rsidRDefault="001D757E">
      <w:pPr>
        <w:numPr>
          <w:ilvl w:val="0"/>
          <w:numId w:val="3"/>
        </w:numPr>
        <w:pBdr>
          <w:top w:val="nil"/>
          <w:left w:val="nil"/>
          <w:bottom w:val="nil"/>
          <w:right w:val="nil"/>
          <w:between w:val="nil"/>
        </w:pBdr>
        <w:spacing w:before="24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Los nombres de seis servidores públicos que acudieron a la recolección de residuos sólidos en el Parque la Pila </w:t>
      </w:r>
    </w:p>
    <w:p w:rsidR="000C2063" w:rsidRDefault="001D757E">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esos dos vehículos que aparecen en la publicación indicó que son vehículos oficiales, uno de ellos es propiedad del Municipio de Metepec el cual anexó su tarjeta de circulación, colmando parcialmente con ello el derecho de acceso a la información del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lo anterior es así de acuerdo a la atribución que indica el artículo 54 fracción IV del Bando Municipal del Ayuntamiento de Metepec para el año 2022:</w:t>
      </w:r>
    </w:p>
    <w:p w:rsidR="000C2063" w:rsidRDefault="001D757E">
      <w:pPr>
        <w:spacing w:before="120" w:after="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54</w:t>
      </w:r>
      <w:r>
        <w:rPr>
          <w:rFonts w:ascii="Palatino Linotype" w:eastAsia="Palatino Linotype" w:hAnsi="Palatino Linotype" w:cs="Palatino Linotype"/>
          <w:i/>
        </w:rPr>
        <w:t>.- Son funciones y/o servicios públicos municipales los que a continuación se señalan en forma enunciativa, más no limitativa:</w:t>
      </w:r>
    </w:p>
    <w:p w:rsidR="000C2063" w:rsidRDefault="001D757E">
      <w:pPr>
        <w:spacing w:after="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pacing w:after="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IV. Alumbrado público; limpia, </w:t>
      </w:r>
      <w:r>
        <w:rPr>
          <w:rFonts w:ascii="Palatino Linotype" w:eastAsia="Palatino Linotype" w:hAnsi="Palatino Linotype" w:cs="Palatino Linotype"/>
          <w:b/>
          <w:i/>
        </w:rPr>
        <w:t>recolección</w:t>
      </w:r>
      <w:r>
        <w:rPr>
          <w:rFonts w:ascii="Palatino Linotype" w:eastAsia="Palatino Linotype" w:hAnsi="Palatino Linotype" w:cs="Palatino Linotype"/>
          <w:i/>
        </w:rPr>
        <w:t xml:space="preserve">, traslado, tratamiento, transformación y disposición final </w:t>
      </w:r>
      <w:r>
        <w:rPr>
          <w:rFonts w:ascii="Palatino Linotype" w:eastAsia="Palatino Linotype" w:hAnsi="Palatino Linotype" w:cs="Palatino Linotype"/>
          <w:b/>
          <w:i/>
        </w:rPr>
        <w:t>de residuos sólidos municipales</w:t>
      </w:r>
      <w:r>
        <w:rPr>
          <w:rFonts w:ascii="Palatino Linotype" w:eastAsia="Palatino Linotype" w:hAnsi="Palatino Linotype" w:cs="Palatino Linotype"/>
          <w:i/>
        </w:rPr>
        <w:t xml:space="preserve">; </w:t>
      </w:r>
      <w:r>
        <w:rPr>
          <w:rFonts w:ascii="Palatino Linotype" w:eastAsia="Palatino Linotype" w:hAnsi="Palatino Linotype" w:cs="Palatino Linotype"/>
          <w:i/>
        </w:rPr>
        <w:lastRenderedPageBreak/>
        <w:t>panteones, parques, jardines, áreas verdes protegidas y recreativas y su equipamiento…” (Sic)</w:t>
      </w:r>
    </w:p>
    <w:p w:rsidR="000C2063" w:rsidRDefault="000C2063">
      <w:pPr>
        <w:spacing w:line="360" w:lineRule="auto"/>
        <w:jc w:val="both"/>
        <w:rPr>
          <w:rFonts w:ascii="Palatino Linotype" w:eastAsia="Palatino Linotype" w:hAnsi="Palatino Linotype" w:cs="Palatino Linotype"/>
          <w:sz w:val="24"/>
          <w:szCs w:val="24"/>
        </w:rPr>
      </w:pPr>
    </w:p>
    <w:p w:rsidR="000C2063" w:rsidRDefault="001D757E">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0C2063" w:rsidRDefault="001D757E">
      <w:pPr>
        <w:spacing w:after="12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0C2063" w:rsidRDefault="000C2063">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0C2063" w:rsidRDefault="001D757E">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De lo anterior, este Órgano Resolutor en aras de tutelar el derecho de acceso a la información de los particulares, tiene la obligación de apegarse en todo momento a lo que dispone la Ley de Transparencia y Acceso a la Información Pública del Estado </w:t>
      </w:r>
      <w:r>
        <w:rPr>
          <w:rFonts w:ascii="Palatino Linotype" w:eastAsia="Palatino Linotype" w:hAnsi="Palatino Linotype" w:cs="Palatino Linotype"/>
          <w:color w:val="000000"/>
          <w:sz w:val="24"/>
          <w:szCs w:val="24"/>
        </w:rPr>
        <w:lastRenderedPageBreak/>
        <w:t>de México y Municipios garantizando los principios de imparcialidad y legalidad en el procedimiento de impugnación y resolución del recurso planteado.</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Sin embargo se considera que la respuesta fue incompleta, toda vez que si bien señaló que los vehículos que aparecen en la publicación son vehículos oficiales, sólo precisa que uno de ellos es propiedad del Municipio de Metepec del cual anexó su tarjeta de circulación, por lo que hace al segundo vehículo la Dirección de Servicios Públicos, no remite la tarjeta de circulación y tampoco precisa si es o no de su propiedad, careciendo su respuesta</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de congruencia y exhaustividad, sirve como refuerzo de lo anterior, traer a colación el Criterio 02/17, emitido por el Pleno del Instituto Nacional de Transparencia y Acceso a la Información y Protección de Datos Personales, de título y texto siguientes:</w:t>
      </w:r>
    </w:p>
    <w:p w:rsidR="000C2063" w:rsidRDefault="001D757E">
      <w:pPr>
        <w:spacing w:before="240" w:after="240" w:line="276" w:lineRule="auto"/>
        <w:ind w:left="567"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Congruencia y exhaustividad</w:t>
      </w:r>
      <w:r>
        <w:rPr>
          <w:rFonts w:ascii="Palatino Linotype" w:eastAsia="Palatino Linotype" w:hAnsi="Palatino Linotype" w:cs="Palatino Linotype"/>
          <w:i/>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Ahora bien, el documento en donde pudiera constar la información de manera enunciativa mas no limitada sería el inventario de bienes muebles, en términos de la Ley de Bienes del Estado de México y sus Municipios, regula el registro, destino, administración, control, posesión, uso, aprovechamiento y desincorporación de los bienes, que en sus dispositivos legales 11 fracción I, 12, 18 fracción VI, 52 y 67, establece de manera puntual lo siguiente:</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11.-</w:t>
      </w:r>
      <w:r>
        <w:rPr>
          <w:rFonts w:ascii="Palatino Linotype" w:eastAsia="Palatino Linotype" w:hAnsi="Palatino Linotype" w:cs="Palatino Linotype"/>
          <w:i/>
        </w:rPr>
        <w:t xml:space="preserve"> Corresponde a cada una de las dependencias, organismos auxiliares y entidades de la administración pública estatal y municipal: </w:t>
      </w:r>
    </w:p>
    <w:p w:rsidR="000C2063" w:rsidRDefault="001D757E">
      <w:pPr>
        <w:spacing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I. Administrar, controlar y utilizar adecuadamente los bienes muebles e inmuebles que detenten o tengan asignados;…</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El Estado de México y sus municipios tienen personalidad jurídica para adquirir y poseer bienes para la prestación de los servicios públicos y el cumplimiento de sus fines.</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Son bienes destinados a un servicio público:</w:t>
      </w:r>
    </w:p>
    <w:p w:rsidR="000C2063" w:rsidRDefault="001D757E">
      <w:pPr>
        <w:spacing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pacing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VI. Los bienes muebles de propiedad estatal o municipal que tengan uso o utilidad en la prestación de un servicio público; y…</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52.-</w:t>
      </w:r>
      <w:r>
        <w:rPr>
          <w:rFonts w:ascii="Palatino Linotype" w:eastAsia="Palatino Linotype" w:hAnsi="Palatino Linotype" w:cs="Palatino Linotype"/>
          <w:i/>
        </w:rPr>
        <w:t xml:space="preserve"> Tratándose de muebles, éstos serán considerados en lo individual y en conjunto como integrantes del dominio público, por lo tanto bastará que los bienes se encuentren inventariados y asignados a la dependencia, organismo auxiliar estatal o municipal, para que se consideren como parte de este dominio.</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67.</w:t>
      </w:r>
      <w:r>
        <w:rPr>
          <w:rFonts w:ascii="Palatino Linotype" w:eastAsia="Palatino Linotype" w:hAnsi="Palatino Linotype" w:cs="Palatino Linotype"/>
          <w:i/>
        </w:rPr>
        <w:t xml:space="preserve"> La Secretaría de Finanzas y los ayuntamientos determinarán los procedimientos para integrar el inventario de los bienes del dominio público y privado estatal o municipal.”(Sic)</w:t>
      </w:r>
    </w:p>
    <w:p w:rsidR="000C2063" w:rsidRDefault="001D757E">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contexto, es una atribución de los Ayuntamientos administrar, controlar y utilizar adecuadamente los bienes muebles e inmuebles que tengan asignados para </w:t>
      </w:r>
      <w:r>
        <w:rPr>
          <w:rFonts w:ascii="Palatino Linotype" w:eastAsia="Palatino Linotype" w:hAnsi="Palatino Linotype" w:cs="Palatino Linotype"/>
          <w:sz w:val="24"/>
          <w:szCs w:val="24"/>
        </w:rPr>
        <w:lastRenderedPageBreak/>
        <w:t>la prestación de los servicios públicos en el cumplimiento de sus fines, los cuales son considerados en lo individual y en conjunto como integrantes del dominio público; en consecuencia, deben encontrarse inventariados y asignados a la dependencia responsable.</w:t>
      </w:r>
    </w:p>
    <w:p w:rsidR="000C2063" w:rsidRDefault="001D757E">
      <w:pPr>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el numerales IV párrafo décimo segundo y VI.2 de los Lineamientos para el Registro y Control del Inventario y Desincorporación de Bienes Muebles e Inmuebles de las Administración Pública Municipal, Dependencia Administrativas, Organismos Descentralizados y Fideicomisos Públicos, emitidos por el Órgano Superior de Fiscalización del Estado de México, disponen:</w:t>
      </w:r>
    </w:p>
    <w:p w:rsidR="000C2063" w:rsidRDefault="001D757E">
      <w:pPr>
        <w:spacing w:after="120"/>
        <w:ind w:left="851" w:right="902"/>
        <w:jc w:val="center"/>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Pr>
          <w:rFonts w:ascii="Palatino Linotype" w:eastAsia="Palatino Linotype" w:hAnsi="Palatino Linotype" w:cs="Palatino Linotype"/>
          <w:b/>
          <w:i/>
          <w:sz w:val="20"/>
          <w:szCs w:val="20"/>
        </w:rPr>
        <w:t>IV. DISPOSICIONES GENERALES</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Bien mueble:</w:t>
      </w:r>
      <w:r>
        <w:rPr>
          <w:rFonts w:ascii="Palatino Linotype" w:eastAsia="Palatino Linotype" w:hAnsi="Palatino Linotype" w:cs="Palatino Linotype"/>
          <w:i/>
        </w:rPr>
        <w:t xml:space="preserve"> Objeto que por su naturaleza de uso o consumo, puede ser trasladado de un lugar a otro, es todo aquello que se conoce como: mobiliario, mesas, sillas, libreros, anaqueles, equipo de oficina en general, equipo de transporte, semovientes, etc…</w:t>
      </w:r>
    </w:p>
    <w:p w:rsidR="000C2063" w:rsidRDefault="001D757E">
      <w:pPr>
        <w:spacing w:after="120"/>
        <w:ind w:left="851" w:right="902"/>
        <w:jc w:val="center"/>
        <w:rPr>
          <w:rFonts w:ascii="Palatino Linotype" w:eastAsia="Palatino Linotype" w:hAnsi="Palatino Linotype" w:cs="Palatino Linotype"/>
          <w:i/>
        </w:rPr>
      </w:pPr>
      <w:r>
        <w:rPr>
          <w:rFonts w:ascii="Palatino Linotype" w:eastAsia="Palatino Linotype" w:hAnsi="Palatino Linotype" w:cs="Palatino Linotype"/>
          <w:b/>
          <w:i/>
        </w:rPr>
        <w:t>VI.2 INVENTARIO GENERAL DE BIENES MUEBLES</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w:t>
      </w:r>
      <w:r>
        <w:rPr>
          <w:rFonts w:ascii="Palatino Linotype" w:eastAsia="Palatino Linotype" w:hAnsi="Palatino Linotype" w:cs="Palatino Linotype"/>
          <w:i/>
        </w:rPr>
        <w:lastRenderedPageBreak/>
        <w:t xml:space="preserve">bienes con un costo menor a este último se consideran bienes no inventariables y no requerirán de control alguno. </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A nivel municipal el responsable de elaborar el inventario general de bienes, es el secretario del Ayuntamiento con la intervención del síndico municipal y la participación 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
    <w:p w:rsidR="000C2063" w:rsidRDefault="001D757E">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Tratándose de bienes muebles adquiridos en paquete, se deberá desglosar, en la factura, el valor de cada bien, con sus características de identificación…”</w:t>
      </w: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bienes muebles son aquellos que por su naturaleza puede ser trasladado de un lugar a otro, los cuales deben estar registrados en el inventario general de bienes muebles con algunas características de identificación como lo son: nombre, número de inventario, marca, modelo, serie, uso, número de factura, costo, fecha de adquisición, estado de conservación; bajo los siguientes formatos:</w:t>
      </w:r>
    </w:p>
    <w:p w:rsidR="000C2063" w:rsidRDefault="001D757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n-US"/>
        </w:rPr>
        <w:lastRenderedPageBreak/>
        <w:drawing>
          <wp:inline distT="0" distB="0" distL="0" distR="0">
            <wp:extent cx="5625022" cy="2017350"/>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625022" cy="2017350"/>
                    </a:xfrm>
                    <a:prstGeom prst="rect">
                      <a:avLst/>
                    </a:prstGeom>
                    <a:ln/>
                  </pic:spPr>
                </pic:pic>
              </a:graphicData>
            </a:graphic>
          </wp:inline>
        </w:drawing>
      </w:r>
    </w:p>
    <w:p w:rsidR="000C2063" w:rsidRDefault="001D757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n-US"/>
        </w:rPr>
        <w:drawing>
          <wp:inline distT="0" distB="0" distL="0" distR="0">
            <wp:extent cx="5724767" cy="4329707"/>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724767" cy="4329707"/>
                    </a:xfrm>
                    <a:prstGeom prst="rect">
                      <a:avLst/>
                    </a:prstGeom>
                    <a:ln/>
                  </pic:spPr>
                </pic:pic>
              </a:graphicData>
            </a:graphic>
          </wp:inline>
        </w:drawing>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50801</wp:posOffset>
                </wp:positionH>
                <wp:positionV relativeFrom="paragraph">
                  <wp:posOffset>190500</wp:posOffset>
                </wp:positionV>
                <wp:extent cx="5581219" cy="564794"/>
                <wp:effectExtent l="0" t="0" r="0" b="0"/>
                <wp:wrapNone/>
                <wp:docPr id="43" name="Rectángulo 43"/>
                <wp:cNvGraphicFramePr/>
                <a:graphic xmlns:a="http://schemas.openxmlformats.org/drawingml/2006/main">
                  <a:graphicData uri="http://schemas.microsoft.com/office/word/2010/wordprocessingShape">
                    <wps:wsp>
                      <wps:cNvSpPr/>
                      <wps:spPr>
                        <a:xfrm>
                          <a:off x="2574441" y="3516653"/>
                          <a:ext cx="5543119" cy="526694"/>
                        </a:xfrm>
                        <a:prstGeom prst="rect">
                          <a:avLst/>
                        </a:prstGeom>
                        <a:noFill/>
                        <a:ln w="38100" cap="flat" cmpd="sng">
                          <a:solidFill>
                            <a:srgbClr val="42719B"/>
                          </a:solidFill>
                          <a:prstDash val="solid"/>
                          <a:miter lim="800000"/>
                          <a:headEnd type="none" w="sm" len="sm"/>
                          <a:tailEnd type="none" w="sm" len="sm"/>
                        </a:ln>
                      </wps:spPr>
                      <wps:txbx>
                        <w:txbxContent>
                          <w:p w:rsidR="000C2063" w:rsidRDefault="000C206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50801</wp:posOffset>
                </wp:positionH>
                <wp:positionV relativeFrom="paragraph">
                  <wp:posOffset>190500</wp:posOffset>
                </wp:positionV>
                <wp:extent cx="5581219" cy="564794"/>
                <wp:effectExtent b="0" l="0" r="0" t="0"/>
                <wp:wrapNone/>
                <wp:docPr id="43"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5581219" cy="564794"/>
                        </a:xfrm>
                        <a:prstGeom prst="rect"/>
                        <a:ln/>
                      </pic:spPr>
                    </pic:pic>
                  </a:graphicData>
                </a:graphic>
              </wp:anchor>
            </w:drawing>
          </mc:Fallback>
        </mc:AlternateContent>
      </w:r>
    </w:p>
    <w:p w:rsidR="000C2063" w:rsidRDefault="001D757E">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lastRenderedPageBreak/>
        <w:t xml:space="preserve">Ello, autoriza a concluir que el inventario general de bienes patrimoniales o en su caso, la cedula de bienes patrimoniales de bajo costo, son los instrumentos que permiten llevar un control de los bienes muebles propiedad del Municipio, por lo que resulta indubitable que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debe contar con el inventarios de bienes muebles, por lo que conviene hacer alusión a modo de ejemplo, a los Lineamientos para la integración y entrega del Informe Trimestral Municipal 2022</w:t>
      </w:r>
      <w:r>
        <w:rPr>
          <w:rFonts w:ascii="Palatino Linotype" w:eastAsia="Palatino Linotype" w:hAnsi="Palatino Linotype" w:cs="Palatino Linotype"/>
          <w:color w:val="000000"/>
          <w:sz w:val="24"/>
          <w:szCs w:val="24"/>
        </w:rPr>
        <w:t>, de cuyo contenido se localizan los formatos relacionados con el control de bienes muebles en su módulo 4, como se puede observar en la siguiente captura de pantalla:</w:t>
      </w:r>
    </w:p>
    <w:p w:rsidR="000C2063" w:rsidRDefault="001D757E">
      <w:pPr>
        <w:spacing w:before="240" w:after="240" w:line="360" w:lineRule="auto"/>
        <w:jc w:val="both"/>
        <w:rPr>
          <w:rFonts w:ascii="Palatino Linotype" w:eastAsia="Palatino Linotype" w:hAnsi="Palatino Linotype" w:cs="Palatino Linotype"/>
          <w:color w:val="000000"/>
          <w:sz w:val="24"/>
          <w:szCs w:val="24"/>
        </w:rPr>
      </w:pPr>
      <w:r>
        <w:rPr>
          <w:noProof/>
          <w:lang w:val="en-US"/>
        </w:rPr>
        <w:drawing>
          <wp:inline distT="0" distB="0" distL="0" distR="0">
            <wp:extent cx="5524587" cy="3985946"/>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l="32381" t="32185" r="7707" b="8573"/>
                    <a:stretch>
                      <a:fillRect/>
                    </a:stretch>
                  </pic:blipFill>
                  <pic:spPr>
                    <a:xfrm>
                      <a:off x="0" y="0"/>
                      <a:ext cx="5524587" cy="3985946"/>
                    </a:xfrm>
                    <a:prstGeom prst="rect">
                      <a:avLst/>
                    </a:prstGeom>
                    <a:ln/>
                  </pic:spPr>
                </pic:pic>
              </a:graphicData>
            </a:graphic>
          </wp:inline>
        </w:drawing>
      </w:r>
    </w:p>
    <w:p w:rsidR="000C2063" w:rsidRDefault="001D757E">
      <w:pPr>
        <w:spacing w:before="240" w:after="240" w:line="360" w:lineRule="auto"/>
        <w:jc w:val="both"/>
        <w:rPr>
          <w:rFonts w:ascii="Palatino Linotype" w:eastAsia="Palatino Linotype" w:hAnsi="Palatino Linotype" w:cs="Palatino Linotype"/>
          <w:color w:val="000000"/>
          <w:sz w:val="24"/>
          <w:szCs w:val="24"/>
        </w:rPr>
      </w:pPr>
      <w:r>
        <w:rPr>
          <w:noProof/>
          <w:lang w:val="en-US"/>
        </w:rPr>
        <w:lastRenderedPageBreak/>
        <w:drawing>
          <wp:inline distT="0" distB="0" distL="0" distR="0">
            <wp:extent cx="5539019" cy="4400504"/>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41429" t="15387" r="20805" b="6962"/>
                    <a:stretch>
                      <a:fillRect/>
                    </a:stretch>
                  </pic:blipFill>
                  <pic:spPr>
                    <a:xfrm>
                      <a:off x="0" y="0"/>
                      <a:ext cx="5539019" cy="4400504"/>
                    </a:xfrm>
                    <a:prstGeom prst="rect">
                      <a:avLst/>
                    </a:prstGeom>
                    <a:ln/>
                  </pic:spPr>
                </pic:pic>
              </a:graphicData>
            </a:graphic>
          </wp:inline>
        </w:drawing>
      </w:r>
    </w:p>
    <w:p w:rsidR="000C2063" w:rsidRDefault="001D757E">
      <w:pPr>
        <w:shd w:val="clear" w:color="auto" w:fill="FFFFFF"/>
        <w:spacing w:before="24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 xml:space="preserve">En mérito de lo anterior, se colige que el </w:t>
      </w:r>
      <w:r>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 xml:space="preserve"> debió realizar una búsqueda exhaustiva y razonable de la información peticionada en todas las áreas competentes para que se pronunciaran respecto de la solicitud del particular, como podría ser la </w:t>
      </w:r>
      <w:r>
        <w:rPr>
          <w:rFonts w:ascii="Palatino Linotype" w:eastAsia="Palatino Linotype" w:hAnsi="Palatino Linotype" w:cs="Palatino Linotype"/>
          <w:b/>
          <w:color w:val="222222"/>
          <w:sz w:val="24"/>
          <w:szCs w:val="24"/>
        </w:rPr>
        <w:t>Secretaría del Ayuntamiento y el Síndico</w:t>
      </w:r>
      <w:r>
        <w:rPr>
          <w:rFonts w:ascii="Palatino Linotype" w:eastAsia="Palatino Linotype" w:hAnsi="Palatino Linotype" w:cs="Palatino Linotype"/>
          <w:color w:val="222222"/>
          <w:sz w:val="24"/>
          <w:szCs w:val="24"/>
        </w:rPr>
        <w:t>, lo anterior encuentra sustento en el artículo 91 de la Ley Orgánica Municipal vigente en la entidad, que señala:</w:t>
      </w:r>
    </w:p>
    <w:p w:rsidR="000C2063" w:rsidRDefault="001D757E">
      <w:pPr>
        <w:shd w:val="clear" w:color="auto" w:fill="FFFFFF"/>
        <w:spacing w:after="0" w:line="240" w:lineRule="auto"/>
        <w:ind w:left="992" w:right="1043"/>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Artículo 91.- La Secretaría del Ayuntamiento</w:t>
      </w:r>
      <w:r>
        <w:rPr>
          <w:rFonts w:ascii="Palatino Linotype" w:eastAsia="Palatino Linotype" w:hAnsi="Palatino Linotype" w:cs="Palatino Linotype"/>
          <w:i/>
          <w:color w:val="222222"/>
        </w:rPr>
        <w:t xml:space="preserve"> estará a cargo de un Secretario, el que, sin ser miembro del mismo, deberá ser nombrado por el </w:t>
      </w:r>
      <w:r>
        <w:rPr>
          <w:rFonts w:ascii="Palatino Linotype" w:eastAsia="Palatino Linotype" w:hAnsi="Palatino Linotype" w:cs="Palatino Linotype"/>
          <w:i/>
          <w:color w:val="222222"/>
        </w:rPr>
        <w:lastRenderedPageBreak/>
        <w:t xml:space="preserve">propio Ayuntamiento a propuesta del Presidente Municipal como lo marca el artículo 31 de la presente ley. Sus faltas temporales serán cubiertas por quien designe el Ayuntamiento y </w:t>
      </w:r>
      <w:r>
        <w:rPr>
          <w:rFonts w:ascii="Palatino Linotype" w:eastAsia="Palatino Linotype" w:hAnsi="Palatino Linotype" w:cs="Palatino Linotype"/>
          <w:b/>
          <w:i/>
          <w:color w:val="222222"/>
        </w:rPr>
        <w:t>sus atribuciones son las siguientes:</w:t>
      </w:r>
    </w:p>
    <w:p w:rsidR="000C2063" w:rsidRDefault="001D757E">
      <w:pPr>
        <w:shd w:val="clear" w:color="auto" w:fill="FFFFFF"/>
        <w:spacing w:after="0" w:line="240" w:lineRule="auto"/>
        <w:ind w:left="992" w:right="1043"/>
        <w:jc w:val="both"/>
        <w:rPr>
          <w:rFonts w:ascii="Palatino Linotype" w:eastAsia="Palatino Linotype" w:hAnsi="Palatino Linotype" w:cs="Palatino Linotype"/>
          <w:i/>
          <w:color w:val="222222"/>
        </w:rPr>
      </w:pPr>
      <w:r>
        <w:rPr>
          <w:rFonts w:ascii="Palatino Linotype" w:eastAsia="Palatino Linotype" w:hAnsi="Palatino Linotype" w:cs="Palatino Linotype"/>
          <w:i/>
          <w:color w:val="222222"/>
        </w:rPr>
        <w:t>…</w:t>
      </w:r>
    </w:p>
    <w:p w:rsidR="000C2063" w:rsidRDefault="001D757E">
      <w:pPr>
        <w:shd w:val="clear" w:color="auto" w:fill="FFFFFF"/>
        <w:spacing w:after="0" w:line="240" w:lineRule="auto"/>
        <w:ind w:left="992" w:right="1043"/>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XI. Elaborar con la intervención del síndico el inventario general de los bienes mueble</w:t>
      </w:r>
      <w:r>
        <w:rPr>
          <w:rFonts w:ascii="Palatino Linotype" w:eastAsia="Palatino Linotype" w:hAnsi="Palatino Linotype" w:cs="Palatino Linotype"/>
          <w:i/>
          <w:color w:val="222222"/>
        </w:rPr>
        <w:t xml:space="preserve">s e inmuebles municipales, así como la integración del sistema de información inmobiliaria, que </w:t>
      </w:r>
      <w:r>
        <w:rPr>
          <w:rFonts w:ascii="Palatino Linotype" w:eastAsia="Palatino Linotype" w:hAnsi="Palatino Linotype" w:cs="Palatino Linotype"/>
          <w:b/>
          <w:i/>
          <w:color w:val="222222"/>
        </w:rPr>
        <w:t>contemple los bienes del dominio público y privad</w:t>
      </w:r>
      <w:r>
        <w:rPr>
          <w:rFonts w:ascii="Palatino Linotype" w:eastAsia="Palatino Linotype" w:hAnsi="Palatino Linotype" w:cs="Palatino Linotype"/>
          <w:i/>
          <w:color w:val="222222"/>
        </w:rPr>
        <w:t xml:space="preserve">o, en un término que no exceda de un año contado a partir de la instalación del ayuntamiento y presentarlo al cabildo para su conocimiento y opinión. </w:t>
      </w:r>
    </w:p>
    <w:p w:rsidR="000C2063" w:rsidRDefault="001D757E">
      <w:pPr>
        <w:shd w:val="clear" w:color="auto" w:fill="FFFFFF"/>
        <w:spacing w:after="0" w:line="240" w:lineRule="auto"/>
        <w:ind w:left="992" w:right="1043"/>
        <w:jc w:val="both"/>
        <w:rPr>
          <w:rFonts w:ascii="Palatino Linotype" w:eastAsia="Palatino Linotype" w:hAnsi="Palatino Linotype" w:cs="Palatino Linotype"/>
          <w:i/>
          <w:color w:val="222222"/>
        </w:rPr>
      </w:pPr>
      <w:r>
        <w:rPr>
          <w:rFonts w:ascii="Palatino Linotype" w:eastAsia="Palatino Linotype" w:hAnsi="Palatino Linotype" w:cs="Palatino Linotype"/>
          <w:b/>
          <w:i/>
          <w:color w:val="222222"/>
        </w:rPr>
        <w:t>En el caso de que el ayuntamiento adquiera por cualquier concepto bienes muebles</w:t>
      </w:r>
      <w:r>
        <w:rPr>
          <w:rFonts w:ascii="Palatino Linotype" w:eastAsia="Palatino Linotype" w:hAnsi="Palatino Linotype" w:cs="Palatino Linotype"/>
          <w:i/>
          <w:color w:val="222222"/>
        </w:rPr>
        <w:t xml:space="preserve"> o inmuebles durante su ejercicio, </w:t>
      </w:r>
      <w:r>
        <w:rPr>
          <w:rFonts w:ascii="Palatino Linotype" w:eastAsia="Palatino Linotype" w:hAnsi="Palatino Linotype" w:cs="Palatino Linotype"/>
          <w:b/>
          <w:i/>
          <w:color w:val="222222"/>
        </w:rPr>
        <w:t>deberá realizar la actualización del inventario general de los bienes muebles</w:t>
      </w:r>
      <w:r>
        <w:rPr>
          <w:rFonts w:ascii="Palatino Linotype" w:eastAsia="Palatino Linotype" w:hAnsi="Palatino Linotype" w:cs="Palatino Linotype"/>
          <w:i/>
          <w:color w:val="222222"/>
        </w:rPr>
        <w:t xml:space="preserve"> e inmuebles y del sistema de información inmobiliaria en un plazo de ciento veinte días hábiles a partir de su adquisición y presentar un informe trimestral al cabildo para su conocimiento y opinión.” (Sic)</w:t>
      </w:r>
    </w:p>
    <w:p w:rsidR="000C2063" w:rsidRDefault="000C2063">
      <w:pPr>
        <w:spacing w:after="240" w:line="360" w:lineRule="auto"/>
        <w:jc w:val="both"/>
        <w:rPr>
          <w:rFonts w:ascii="Palatino Linotype" w:eastAsia="Palatino Linotype" w:hAnsi="Palatino Linotype" w:cs="Palatino Linotype"/>
          <w:color w:val="FF0000"/>
          <w:sz w:val="24"/>
          <w:szCs w:val="24"/>
        </w:rPr>
      </w:pP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sz w:val="24"/>
          <w:szCs w:val="24"/>
        </w:rPr>
        <w:t>Razones por las cuales lo procedente es ordenar la tarjeta de circulación del vehículo faltante y en su caso el documento donde conste la forma de adquisición de la propiedad o posesión del mismo señalado en respuesta, ello en versión pública de acuerdo a lo señalado por el considerando quinto del presente fallo.</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otro lado,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w:t>
      </w:r>
      <w:r>
        <w:rPr>
          <w:rFonts w:ascii="Palatino Linotype" w:eastAsia="Palatino Linotype" w:hAnsi="Palatino Linotype" w:cs="Palatino Linotype"/>
          <w:sz w:val="24"/>
          <w:szCs w:val="24"/>
        </w:rPr>
        <w:lastRenderedPageBreak/>
        <w:t>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rsidR="000C2063" w:rsidRDefault="001D757E">
      <w:pPr>
        <w:spacing w:before="240" w:after="240" w:line="360" w:lineRule="auto"/>
        <w:jc w:val="both"/>
        <w:rPr>
          <w:rFonts w:ascii="Palatino Linotype" w:eastAsia="Palatino Linotype" w:hAnsi="Palatino Linotype" w:cs="Palatino Linotype"/>
          <w:sz w:val="24"/>
          <w:szCs w:val="24"/>
        </w:rPr>
      </w:pPr>
      <w:bookmarkStart w:id="1" w:name="_heading=h.gjdgxs" w:colFirst="0" w:colLast="0"/>
      <w:bookmarkEnd w:id="1"/>
      <w:r>
        <w:rPr>
          <w:rFonts w:ascii="Palatino Linotype" w:eastAsia="Palatino Linotype" w:hAnsi="Palatino Linotype" w:cs="Palatino Linotype"/>
          <w:color w:val="000000"/>
          <w:sz w:val="24"/>
          <w:szCs w:val="24"/>
        </w:rPr>
        <w:t xml:space="preserve">Finalmente, de la respuesta, se advirtió que de la tarjeta de circulación proporcionada por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se deja visible el </w:t>
      </w:r>
      <w:r>
        <w:rPr>
          <w:rFonts w:ascii="Palatino Linotype" w:eastAsia="Palatino Linotype" w:hAnsi="Palatino Linotype" w:cs="Palatino Linotype"/>
          <w:color w:val="000000"/>
          <w:sz w:val="24"/>
          <w:szCs w:val="24"/>
          <w:highlight w:val="white"/>
        </w:rPr>
        <w:t>Número de Identificación Vehicular (NIV)</w:t>
      </w:r>
      <w:r>
        <w:rPr>
          <w:rFonts w:ascii="Palatino Linotype" w:eastAsia="Palatino Linotype" w:hAnsi="Palatino Linotype" w:cs="Palatino Linotype"/>
          <w:sz w:val="24"/>
          <w:szCs w:val="24"/>
        </w:rPr>
        <w:t>, dato que debió protegerse ya que es considerado como reservado</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sz w:val="24"/>
          <w:szCs w:val="24"/>
        </w:rPr>
        <w:t xml:space="preserve"> por ello, resulta procedente dar vista al Titular del Órgano de Control Interno de este Instituto, con fundamento en el artículo de la </w:t>
      </w:r>
      <w:r>
        <w:rPr>
          <w:rFonts w:ascii="Palatino Linotype" w:eastAsia="Palatino Linotype" w:hAnsi="Palatino Linotype" w:cs="Palatino Linotype"/>
          <w:color w:val="000000"/>
          <w:sz w:val="24"/>
          <w:szCs w:val="24"/>
        </w:rPr>
        <w:t>Ley de Transparencia y Acceso a la Información Pública del Estado de México</w:t>
      </w:r>
      <w:r>
        <w:rPr>
          <w:rFonts w:ascii="Palatino Linotype" w:eastAsia="Palatino Linotype" w:hAnsi="Palatino Linotype" w:cs="Palatino Linotype"/>
          <w:sz w:val="24"/>
          <w:szCs w:val="24"/>
        </w:rPr>
        <w:t xml:space="preserve">, a efecto de que investigue y sanciones las posibles omisiones en las que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pudo haber incurrido por el incumplimiento a las obligaciones previstas en la</w:t>
      </w:r>
      <w:r>
        <w:rPr>
          <w:sz w:val="24"/>
          <w:szCs w:val="24"/>
        </w:rPr>
        <w:t xml:space="preserve"> </w:t>
      </w:r>
      <w:r>
        <w:rPr>
          <w:rFonts w:ascii="Palatino Linotype" w:eastAsia="Palatino Linotype" w:hAnsi="Palatino Linotype" w:cs="Palatino Linotype"/>
          <w:sz w:val="24"/>
          <w:szCs w:val="24"/>
        </w:rPr>
        <w:t xml:space="preserve">Ley de Transparencia y Acceso a la Información Pública del Estado de México y, las demás disposiciones jurídicas aplicables en la materia; en caso de acreditarse las mismas, lo deberá hacer del conocimiento del Órgano de Control Interno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que este determine lo que conforme derecho corresponda, cuyo resultado deberá ser informado a este Instituto.</w:t>
      </w:r>
    </w:p>
    <w:p w:rsidR="000C2063" w:rsidRDefault="001D757E">
      <w:pPr>
        <w:pBdr>
          <w:top w:val="nil"/>
          <w:left w:val="nil"/>
          <w:bottom w:val="nil"/>
          <w:right w:val="nil"/>
          <w:between w:val="nil"/>
        </w:pBdr>
        <w:spacing w:before="240" w:after="240" w:line="360" w:lineRule="auto"/>
        <w:ind w:right="139"/>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QUINTO. VERSIÓN PÚBLICA. </w:t>
      </w:r>
      <w:r>
        <w:rPr>
          <w:rFonts w:ascii="Palatino Linotype" w:eastAsia="Palatino Linotype" w:hAnsi="Palatino Linotype" w:cs="Palatino Linotype"/>
          <w:color w:val="000000"/>
          <w:sz w:val="24"/>
          <w:szCs w:val="24"/>
        </w:rPr>
        <w:t>Como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color w:val="000000"/>
          <w:sz w:val="24"/>
          <w:szCs w:val="24"/>
        </w:rPr>
        <w:t>fue debidamente apuntado, el</w:t>
      </w:r>
      <w:r>
        <w:rPr>
          <w:rFonts w:ascii="Palatino Linotype" w:eastAsia="Palatino Linotype" w:hAnsi="Palatino Linotype" w:cs="Palatino Linotype"/>
          <w:b/>
          <w:color w:val="000000"/>
          <w:sz w:val="24"/>
          <w:szCs w:val="24"/>
        </w:rPr>
        <w:t> SUJETO OBLIGADO</w:t>
      </w:r>
      <w:r>
        <w:rPr>
          <w:rFonts w:ascii="Palatino Linotype" w:eastAsia="Palatino Linotype" w:hAnsi="Palatino Linotype" w:cs="Palatino Linotype"/>
          <w:color w:val="000000"/>
          <w:sz w:val="24"/>
          <w:szCs w:val="24"/>
        </w:rPr>
        <w:t xml:space="preserve"> debe satisfacer las solicitudes de acceso a la información; sin embargo, dada la naturaleza de la información de la cual se ordena su entrega, pudieran encontrarse documentos que contengan datos personales, motivo por el </w:t>
      </w:r>
      <w:r>
        <w:rPr>
          <w:rFonts w:ascii="Palatino Linotype" w:eastAsia="Palatino Linotype" w:hAnsi="Palatino Linotype" w:cs="Palatino Linotype"/>
          <w:color w:val="000000"/>
          <w:sz w:val="24"/>
          <w:szCs w:val="24"/>
        </w:rPr>
        <w:lastRenderedPageBreak/>
        <w:t>cual es dable señalar que la entrega de la información deberá ser en versión pública atento a lo siguiente:</w:t>
      </w:r>
    </w:p>
    <w:p w:rsidR="000C2063" w:rsidRDefault="001D757E">
      <w:pPr>
        <w:shd w:val="clear" w:color="auto" w:fill="FFFFFF"/>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C2063" w:rsidRDefault="001D757E">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C2063" w:rsidRDefault="001D757E">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XX. Información clasificada:</w:t>
      </w:r>
      <w:r>
        <w:rPr>
          <w:rFonts w:ascii="Palatino Linotype" w:eastAsia="Palatino Linotype" w:hAnsi="Palatino Linotype" w:cs="Palatino Linotype"/>
          <w:i/>
        </w:rPr>
        <w:t> Aquella considerada por la presente Ley como reservada o confidencial;</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Aprobar, modificar o revocar la clasificación de la información;</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Artículo 137</w:t>
      </w:r>
      <w:r>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C2063" w:rsidRDefault="000C2063">
      <w:pPr>
        <w:shd w:val="clear" w:color="auto" w:fill="FFFFFF"/>
        <w:ind w:left="851" w:right="851"/>
        <w:jc w:val="both"/>
        <w:rPr>
          <w:rFonts w:ascii="Palatino Linotype" w:eastAsia="Palatino Linotype" w:hAnsi="Palatino Linotype" w:cs="Palatino Linotype"/>
          <w:b/>
          <w:i/>
        </w:rPr>
      </w:pPr>
    </w:p>
    <w:p w:rsidR="000C2063" w:rsidRDefault="001D757E">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0C2063" w:rsidRDefault="001D757E">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rsidR="000C2063" w:rsidRDefault="001D757E">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 xml:space="preserve">deberá proceder a testar los datos personales que se encuentre contenidos en los documentos a entregar por parte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para satisfacer el derecho de acceso a la información pública del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0C2063" w:rsidRDefault="001D757E">
      <w:pPr>
        <w:spacing w:before="240" w:after="240" w:line="360" w:lineRule="auto"/>
        <w:ind w:right="13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Sobre la tarjeta de circulación que se ordena, lo referente al dato de Número de Identificación Vehicular (NIV) no coadyuva en absoluto a la transparencia de su gestión pública, toda vez que el mismo es </w:t>
      </w:r>
      <w:r>
        <w:rPr>
          <w:rFonts w:ascii="Palatino Linotype" w:eastAsia="Palatino Linotype" w:hAnsi="Palatino Linotype" w:cs="Palatino Linotype"/>
          <w:sz w:val="24"/>
          <w:szCs w:val="24"/>
          <w:highlight w:val="white"/>
        </w:rPr>
        <w:t>asignado por quienes fabriquen, ensamblen o blinden vehículos en territorio nacional</w:t>
      </w:r>
      <w:r>
        <w:rPr>
          <w:rFonts w:ascii="Palatino Linotype" w:eastAsia="Palatino Linotype" w:hAnsi="Palatino Linotype" w:cs="Palatino Linotype"/>
          <w:sz w:val="24"/>
          <w:szCs w:val="24"/>
          <w:highlight w:val="white"/>
          <w:vertAlign w:val="superscript"/>
        </w:rPr>
        <w:footnoteReference w:id="2"/>
      </w:r>
      <w:r>
        <w:rPr>
          <w:rFonts w:ascii="Palatino Linotype" w:eastAsia="Palatino Linotype" w:hAnsi="Palatino Linotype" w:cs="Palatino Linotype"/>
          <w:sz w:val="24"/>
          <w:szCs w:val="24"/>
          <w:highlight w:val="white"/>
        </w:rPr>
        <w:t>, el cual es grabado directamente sobre una pieza estructural sólida del vehículo, que puede ser el chasis o en caso de remolques, semirremolques y convertidores, en una pieza inamovible o difícilmente reemplazable de la carrocería o en una placa metálica o etiqueta que no pueda removerse sin ser destruida, a través de procedimientos que garanticen la permanencia del NIV durante la vida útil del vehículo bajo condiciones normales siendo esto un sistema de seguridad que evita el mercado negro de autopartes de uso</w:t>
      </w:r>
      <w:r>
        <w:rPr>
          <w:rFonts w:ascii="Palatino Linotype" w:eastAsia="Palatino Linotype" w:hAnsi="Palatino Linotype" w:cs="Palatino Linotype"/>
          <w:sz w:val="24"/>
          <w:szCs w:val="24"/>
        </w:rPr>
        <w:t xml:space="preserve"> cuya función es hacer identificable algún automóvil, del cual si se logra proporcionar, atenta contra la seguridad pública, derivado de las condiciones socioeconómicas por las que atraviesa el país, en el que han proliferado grupos delictivos, que pudieran utilizar esa información para duplicar y/o clonar los datos referidos y utilizarlas con automóviles diversos susceptibles de robo a efecto de simular ser un miembro operativo de seguridad pública, con el motivo de realizar actos delictivos, siendo esto ajeno a los intereses institucionales, situación que puede corroborarse con la incidencia delictiva, que publica el Secretariado Ejecutivo del Sistema Nacional de Seguridad Pública, en el que en lo toral éste concentra la ocurrencia de delitos registrados en Carpetas de Investigación, reportadas por las Procuradurías de Justicia y las Fiscalías </w:t>
      </w:r>
      <w:r>
        <w:rPr>
          <w:rFonts w:ascii="Palatino Linotype" w:eastAsia="Palatino Linotype" w:hAnsi="Palatino Linotype" w:cs="Palatino Linotype"/>
          <w:sz w:val="24"/>
          <w:szCs w:val="24"/>
        </w:rPr>
        <w:lastRenderedPageBreak/>
        <w:t>Generales de las entidades federativas, en el caso del fuero común y la Fiscalía General de la República en el fuero federal, dato que deberá clasificar como reservado.</w:t>
      </w:r>
    </w:p>
    <w:p w:rsidR="000C2063" w:rsidRDefault="001D757E">
      <w:pPr>
        <w:spacing w:before="240" w:after="240" w:line="360" w:lineRule="auto"/>
        <w:ind w:right="50"/>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C2063" w:rsidRDefault="001D757E">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rsidR="000C2063" w:rsidRDefault="000C2063">
      <w:pPr>
        <w:spacing w:after="0"/>
        <w:ind w:left="851" w:right="851"/>
        <w:jc w:val="both"/>
        <w:rPr>
          <w:rFonts w:ascii="Palatino Linotype" w:eastAsia="Palatino Linotype" w:hAnsi="Palatino Linotype" w:cs="Palatino Linotype"/>
          <w:i/>
        </w:rPr>
      </w:pPr>
    </w:p>
    <w:p w:rsidR="000C2063" w:rsidRDefault="001D757E">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rsidR="000C2063" w:rsidRDefault="000C2063">
      <w:pPr>
        <w:spacing w:after="0"/>
        <w:ind w:left="851" w:right="851"/>
        <w:jc w:val="both"/>
        <w:rPr>
          <w:rFonts w:ascii="Palatino Linotype" w:eastAsia="Palatino Linotype" w:hAnsi="Palatino Linotype" w:cs="Palatino Linotype"/>
          <w:b/>
          <w:i/>
        </w:rPr>
      </w:pPr>
    </w:p>
    <w:p w:rsidR="000C2063" w:rsidRDefault="001D757E">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rsidR="000C2063" w:rsidRDefault="000C2063">
      <w:pPr>
        <w:spacing w:after="0"/>
        <w:ind w:left="851" w:right="851"/>
        <w:jc w:val="both"/>
        <w:rPr>
          <w:rFonts w:ascii="Palatino Linotype" w:eastAsia="Palatino Linotype" w:hAnsi="Palatino Linotype" w:cs="Palatino Linotype"/>
          <w:i/>
        </w:rPr>
      </w:pPr>
    </w:p>
    <w:p w:rsidR="000C2063" w:rsidRDefault="001D757E">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rsidR="000C2063" w:rsidRDefault="000C2063">
      <w:pPr>
        <w:spacing w:after="0"/>
        <w:ind w:left="851" w:right="851"/>
        <w:jc w:val="both"/>
        <w:rPr>
          <w:rFonts w:ascii="Palatino Linotype" w:eastAsia="Palatino Linotype" w:hAnsi="Palatino Linotype" w:cs="Palatino Linotype"/>
          <w:i/>
        </w:rPr>
      </w:pPr>
    </w:p>
    <w:p w:rsidR="000C2063" w:rsidRDefault="001D757E">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rsidR="000C2063" w:rsidRDefault="000C2063">
      <w:pPr>
        <w:spacing w:after="0"/>
        <w:ind w:left="851" w:right="851"/>
        <w:jc w:val="both"/>
        <w:rPr>
          <w:rFonts w:ascii="Palatino Linotype" w:eastAsia="Palatino Linotype" w:hAnsi="Palatino Linotype" w:cs="Palatino Linotype"/>
          <w:b/>
          <w:i/>
        </w:rPr>
      </w:pPr>
    </w:p>
    <w:p w:rsidR="000C2063" w:rsidRDefault="001D757E">
      <w:pPr>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rsidR="000C2063" w:rsidRDefault="000C2063">
      <w:pPr>
        <w:spacing w:after="80"/>
        <w:ind w:left="851" w:right="851"/>
        <w:jc w:val="both"/>
        <w:rPr>
          <w:rFonts w:ascii="Palatino Linotype" w:eastAsia="Palatino Linotype" w:hAnsi="Palatino Linotype" w:cs="Palatino Linotype"/>
          <w:i/>
        </w:rPr>
      </w:pPr>
    </w:p>
    <w:p w:rsidR="000C2063" w:rsidRDefault="001D757E">
      <w:pPr>
        <w:spacing w:before="8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cuyo contenido es de la literalidad siguiente:</w:t>
      </w:r>
    </w:p>
    <w:p w:rsidR="000C2063" w:rsidRDefault="001D757E">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Es decir,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w:t>
      </w:r>
      <w:r>
        <w:rPr>
          <w:rFonts w:ascii="Palatino Linotype" w:eastAsia="Palatino Linotype" w:hAnsi="Palatino Linotype" w:cs="Palatino Linotype"/>
          <w:sz w:val="24"/>
          <w:szCs w:val="24"/>
        </w:rPr>
        <w:lastRenderedPageBreak/>
        <w:t>razones de la versión pública de la documentación entregada se estaría violentando el derecho de acceso a la información de la solicitante.</w:t>
      </w:r>
    </w:p>
    <w:p w:rsidR="000C2063" w:rsidRDefault="001D757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Pr>
          <w:rFonts w:ascii="Palatino Linotype" w:eastAsia="Palatino Linotype" w:hAnsi="Palatino Linotype" w:cs="Palatino Linotype"/>
          <w:b/>
          <w:color w:val="000000"/>
          <w:sz w:val="24"/>
          <w:szCs w:val="24"/>
          <w:u w:val="single"/>
        </w:rPr>
        <w:t>razones, motivos o circunstancias especiales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u w:val="single"/>
        </w:rPr>
        <w:t>que lo llevaron a concluir que el caso concreto, se ajustó a los supuestos previstos en la normatividad legal invocada como fundamento, para dichos efectos, debe proceder a su vez a realizar una prueba de daño</w:t>
      </w:r>
      <w:r>
        <w:rPr>
          <w:rFonts w:ascii="Palatino Linotype" w:eastAsia="Palatino Linotype" w:hAnsi="Palatino Linotype" w:cs="Palatino Linotype"/>
          <w:color w:val="000000"/>
          <w:sz w:val="24"/>
          <w:szCs w:val="24"/>
        </w:rPr>
        <w:t>,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0C2063" w:rsidRDefault="001D757E">
      <w:pPr>
        <w:spacing w:before="240" w:after="240" w:line="360" w:lineRule="auto"/>
        <w:jc w:val="both"/>
        <w:rPr>
          <w:rFonts w:ascii="Palatino Linotype" w:eastAsia="Palatino Linotype" w:hAnsi="Palatino Linotype" w:cs="Palatino Linotype"/>
          <w:sz w:val="24"/>
          <w:szCs w:val="24"/>
          <w:highlight w:val="white"/>
        </w:rPr>
      </w:pPr>
      <w:r>
        <w:rPr>
          <w:rFonts w:ascii="Palatino Linotype" w:eastAsia="Palatino Linotype" w:hAnsi="Palatino Linotype" w:cs="Palatino Linotype"/>
          <w:sz w:val="24"/>
          <w:szCs w:val="24"/>
        </w:rPr>
        <w:t xml:space="preserve">Al respecto, se destaca que la versión pública que elabore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debe cumplir con las formalidades exigidas en la Ley, por lo que para tal efecto </w:t>
      </w:r>
      <w:r>
        <w:rPr>
          <w:rFonts w:ascii="Palatino Linotype" w:eastAsia="Palatino Linotype" w:hAnsi="Palatino Linotype" w:cs="Palatino Linotype"/>
          <w:sz w:val="24"/>
          <w:szCs w:val="24"/>
        </w:rPr>
        <w:lastRenderedPageBreak/>
        <w:t>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sz w:val="24"/>
          <w:szCs w:val="24"/>
          <w:highlight w:val="white"/>
        </w:rPr>
        <w:t>.</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rsidR="000C2063" w:rsidRDefault="001D757E">
      <w:pPr>
        <w:shd w:val="clear" w:color="auto" w:fill="FFFFFF"/>
        <w:spacing w:before="240" w:after="240" w:line="360" w:lineRule="auto"/>
        <w:ind w:right="51"/>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sz w:val="24"/>
          <w:szCs w:val="24"/>
        </w:rPr>
        <w:t>RECURRENTE.</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Quincuagésimo séptimo. Se considera, en principio, como información pública y no podrá omitirse de las versiones públicas la siguiente: </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rsidR="000C2063" w:rsidRDefault="001D757E">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lo tanto, </w:t>
      </w:r>
      <w:r>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En relación directa con ello, los Lineamientos en estudio establecen los formatos para la clasificación parcial y total de los documentos, que atienden a lo siguiente:</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568"/>
        <w:gridCol w:w="968"/>
        <w:gridCol w:w="3446"/>
      </w:tblGrid>
      <w:tr w:rsidR="000C2063" w:rsidTr="000C2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0C2063" w:rsidRDefault="001D757E">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414" w:type="dxa"/>
            <w:gridSpan w:val="2"/>
          </w:tcPr>
          <w:p w:rsidR="000C2063" w:rsidRDefault="001D757E">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568" w:type="dxa"/>
          </w:tcPr>
          <w:p w:rsidR="000C2063" w:rsidRDefault="001D757E">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0C2063" w:rsidRDefault="001D757E">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0C2063" w:rsidRDefault="001D757E">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0C2063" w:rsidTr="000C2063">
        <w:tc>
          <w:tcPr>
            <w:cnfStyle w:val="001000000000" w:firstRow="0" w:lastRow="0" w:firstColumn="1" w:lastColumn="0" w:oddVBand="0" w:evenVBand="0" w:oddHBand="0" w:evenHBand="0" w:firstRowFirstColumn="0" w:firstRowLastColumn="0" w:lastRowFirstColumn="0" w:lastRowLastColumn="0"/>
            <w:tcW w:w="8828" w:type="dxa"/>
            <w:gridSpan w:val="4"/>
          </w:tcPr>
          <w:p w:rsidR="000C2063" w:rsidRDefault="001D757E">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5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C2063" w:rsidTr="000C2063">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5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Información reservada</w:t>
            </w:r>
          </w:p>
        </w:tc>
        <w:tc>
          <w:tcPr>
            <w:tcW w:w="35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0C2063" w:rsidTr="000C2063">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5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C2063" w:rsidTr="000C2063">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5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0C2063" w:rsidTr="000C2063">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5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5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0C2063" w:rsidTr="000C2063">
        <w:tc>
          <w:tcPr>
            <w:cnfStyle w:val="001000000000" w:firstRow="0" w:lastRow="0" w:firstColumn="1" w:lastColumn="0" w:oddVBand="0" w:evenVBand="0" w:oddHBand="0" w:evenHBand="0" w:firstRowFirstColumn="0" w:firstRowLastColumn="0" w:lastRowFirstColumn="0" w:lastRowLastColumn="0"/>
            <w:tcW w:w="846" w:type="dxa"/>
          </w:tcPr>
          <w:p w:rsidR="000C2063" w:rsidRDefault="001D757E">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5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0C2063" w:rsidTr="000C2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0C2063" w:rsidRDefault="000C2063">
            <w:pPr>
              <w:jc w:val="both"/>
              <w:rPr>
                <w:rFonts w:ascii="Palatino Linotype" w:eastAsia="Palatino Linotype" w:hAnsi="Palatino Linotype" w:cs="Palatino Linotype"/>
                <w:sz w:val="12"/>
                <w:szCs w:val="12"/>
              </w:rPr>
            </w:pPr>
          </w:p>
        </w:tc>
        <w:tc>
          <w:tcPr>
            <w:tcW w:w="3568" w:type="dxa"/>
          </w:tcPr>
          <w:p w:rsidR="000C2063" w:rsidRDefault="000C206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0C2063" w:rsidRDefault="001D757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0C2063" w:rsidTr="000C2063">
        <w:tc>
          <w:tcPr>
            <w:cnfStyle w:val="001000000000" w:firstRow="0" w:lastRow="0" w:firstColumn="1" w:lastColumn="0" w:oddVBand="0" w:evenVBand="0" w:oddHBand="0" w:evenHBand="0" w:firstRowFirstColumn="0" w:firstRowLastColumn="0" w:lastRowFirstColumn="0" w:lastRowLastColumn="0"/>
            <w:tcW w:w="846" w:type="dxa"/>
          </w:tcPr>
          <w:p w:rsidR="000C2063" w:rsidRDefault="000C2063">
            <w:pPr>
              <w:jc w:val="both"/>
              <w:rPr>
                <w:rFonts w:ascii="Palatino Linotype" w:eastAsia="Palatino Linotype" w:hAnsi="Palatino Linotype" w:cs="Palatino Linotype"/>
                <w:sz w:val="12"/>
                <w:szCs w:val="12"/>
              </w:rPr>
            </w:pPr>
          </w:p>
        </w:tc>
        <w:tc>
          <w:tcPr>
            <w:tcW w:w="3568" w:type="dxa"/>
          </w:tcPr>
          <w:p w:rsidR="000C2063" w:rsidRDefault="000C206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0C2063" w:rsidRDefault="001D757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0C2063" w:rsidRDefault="000C2063">
      <w:pPr>
        <w:spacing w:before="240" w:after="0" w:line="360" w:lineRule="auto"/>
        <w:jc w:val="both"/>
        <w:rPr>
          <w:rFonts w:ascii="Palatino Linotype" w:eastAsia="Palatino Linotype" w:hAnsi="Palatino Linotype" w:cs="Palatino Linotype"/>
          <w:sz w:val="24"/>
          <w:szCs w:val="24"/>
        </w:rPr>
      </w:pPr>
    </w:p>
    <w:p w:rsidR="000C2063" w:rsidRDefault="001D757E">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w:t>
      </w:r>
      <w:r>
        <w:rPr>
          <w:rFonts w:ascii="Palatino Linotype" w:eastAsia="Palatino Linotype" w:hAnsi="Palatino Linotype" w:cs="Palatino Linotype"/>
          <w:sz w:val="24"/>
          <w:szCs w:val="24"/>
        </w:rPr>
        <w:lastRenderedPageBreak/>
        <w:t>fracción II de la Ley de Transparencia y Acceso a la Información Pública del Estado de México y Municipios, este Pleno:</w:t>
      </w:r>
    </w:p>
    <w:p w:rsidR="000C2063" w:rsidRDefault="001D757E">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U E L V E:</w:t>
      </w:r>
    </w:p>
    <w:p w:rsidR="000C2063" w:rsidRDefault="001D757E">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sz w:val="24"/>
          <w:szCs w:val="24"/>
        </w:rPr>
        <w:t xml:space="preserve">Resultan parcialmente fundados los motivos de inconformidad hechos valer por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 xml:space="preserve">02034/INFOEM/IP/RR/2022, </w:t>
      </w:r>
      <w:r>
        <w:rPr>
          <w:rFonts w:ascii="Palatino Linotype" w:eastAsia="Palatino Linotype" w:hAnsi="Palatino Linotype" w:cs="Palatino Linotype"/>
          <w:sz w:val="24"/>
          <w:szCs w:val="24"/>
        </w:rPr>
        <w:t xml:space="preserve">por lo que, en términos del considerando </w:t>
      </w: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y</w:t>
      </w:r>
      <w:r>
        <w:rPr>
          <w:rFonts w:ascii="Palatino Linotype" w:eastAsia="Palatino Linotype" w:hAnsi="Palatino Linotype" w:cs="Palatino Linotype"/>
          <w:b/>
          <w:sz w:val="24"/>
          <w:szCs w:val="24"/>
        </w:rPr>
        <w:t xml:space="preserve"> Quinto </w:t>
      </w:r>
      <w:r>
        <w:rPr>
          <w:rFonts w:ascii="Palatino Linotype" w:eastAsia="Palatino Linotype" w:hAnsi="Palatino Linotype" w:cs="Palatino Linotype"/>
          <w:sz w:val="24"/>
          <w:szCs w:val="24"/>
        </w:rPr>
        <w:t xml:space="preserve">de esta resolución, se </w:t>
      </w:r>
      <w:r>
        <w:rPr>
          <w:rFonts w:ascii="Palatino Linotype" w:eastAsia="Palatino Linotype" w:hAnsi="Palatino Linotype" w:cs="Palatino Linotype"/>
          <w:b/>
          <w:sz w:val="24"/>
          <w:szCs w:val="24"/>
        </w:rPr>
        <w:t xml:space="preserve">MODIFICA </w:t>
      </w:r>
      <w:r>
        <w:rPr>
          <w:rFonts w:ascii="Palatino Linotype" w:eastAsia="Palatino Linotype" w:hAnsi="Palatino Linotype" w:cs="Palatino Linotype"/>
          <w:sz w:val="24"/>
          <w:szCs w:val="24"/>
        </w:rPr>
        <w:t xml:space="preserve">la respuesta emitida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Se</w:t>
      </w:r>
      <w:r>
        <w:rPr>
          <w:rFonts w:ascii="Palatino Linotype" w:eastAsia="Palatino Linotype" w:hAnsi="Palatino Linotype" w:cs="Palatino Linotype"/>
          <w:b/>
          <w:sz w:val="24"/>
          <w:szCs w:val="24"/>
        </w:rPr>
        <w:t xml:space="preserve"> ORDENA </w:t>
      </w:r>
      <w:r>
        <w:rPr>
          <w:rFonts w:ascii="Palatino Linotype" w:eastAsia="Palatino Linotype" w:hAnsi="Palatino Linotype" w:cs="Palatino Linotype"/>
          <w:sz w:val="24"/>
          <w:szCs w:val="24"/>
        </w:rPr>
        <w:t xml:space="preserve">al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a que,</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en términos de los Considerandos Cuarto y Quinto de la presente resolución, haga en</w:t>
      </w:r>
      <w:r w:rsidR="009311E1">
        <w:rPr>
          <w:rFonts w:ascii="Palatino Linotype" w:eastAsia="Palatino Linotype" w:hAnsi="Palatino Linotype" w:cs="Palatino Linotype"/>
          <w:sz w:val="24"/>
          <w:szCs w:val="24"/>
        </w:rPr>
        <w:t>trega vía SAIMEX,</w:t>
      </w:r>
      <w:r>
        <w:rPr>
          <w:rFonts w:ascii="Palatino Linotype" w:eastAsia="Palatino Linotype" w:hAnsi="Palatino Linotype" w:cs="Palatino Linotype"/>
          <w:sz w:val="24"/>
          <w:szCs w:val="24"/>
        </w:rPr>
        <w:t xml:space="preserve"> en versión pública, del documento o documentos en donde conste lo siguiente:</w:t>
      </w:r>
    </w:p>
    <w:p w:rsidR="000C2063" w:rsidRDefault="001D757E">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4"/>
          <w:szCs w:val="24"/>
        </w:rPr>
      </w:pPr>
      <w:bookmarkStart w:id="2" w:name="_heading=h.30j0zll" w:colFirst="0" w:colLast="0"/>
      <w:bookmarkEnd w:id="2"/>
      <w:r>
        <w:rPr>
          <w:rFonts w:ascii="Palatino Linotype" w:eastAsia="Palatino Linotype" w:hAnsi="Palatino Linotype" w:cs="Palatino Linotype"/>
          <w:sz w:val="24"/>
          <w:szCs w:val="24"/>
        </w:rPr>
        <w:t xml:space="preserve">La Tarjeta de circulación del vehículo faltante, señalado en respuesta, y el documento donde conste la propiedad o posesión del mismo. </w:t>
      </w:r>
    </w:p>
    <w:p w:rsidR="000C2063" w:rsidRDefault="001D757E">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Debiendo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0C2063" w:rsidRDefault="001D757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8"/>
          <w:szCs w:val="28"/>
        </w:rPr>
      </w:pPr>
      <w:r>
        <w:rPr>
          <w:rFonts w:ascii="Palatino Linotype" w:eastAsia="Palatino Linotype" w:hAnsi="Palatino Linotype" w:cs="Palatino Linotype"/>
          <w:b/>
          <w:color w:val="000000"/>
          <w:sz w:val="24"/>
          <w:szCs w:val="24"/>
        </w:rPr>
        <w:t>Tercero.</w:t>
      </w:r>
      <w:r>
        <w:rPr>
          <w:rFonts w:ascii="Palatino Linotype" w:eastAsia="Palatino Linotype" w:hAnsi="Palatino Linotype" w:cs="Palatino Linotype"/>
          <w:b/>
          <w:color w:val="000000"/>
          <w:sz w:val="24"/>
          <w:szCs w:val="24"/>
          <w:highlight w:val="white"/>
        </w:rPr>
        <w:t xml:space="preserve"> Notifíquese vía SAIMEX, </w:t>
      </w:r>
      <w:r>
        <w:rPr>
          <w:rFonts w:ascii="Palatino Linotype" w:eastAsia="Palatino Linotype" w:hAnsi="Palatino Linotype" w:cs="Palatino Linotype"/>
          <w:color w:val="000000"/>
          <w:sz w:val="24"/>
          <w:szCs w:val="24"/>
          <w:highlight w:val="white"/>
        </w:rPr>
        <w:t xml:space="preserve">al Responsable de la Unidad de Transparencia del </w:t>
      </w:r>
      <w:r>
        <w:rPr>
          <w:rFonts w:ascii="Palatino Linotype" w:eastAsia="Palatino Linotype" w:hAnsi="Palatino Linotype" w:cs="Palatino Linotype"/>
          <w:b/>
          <w:color w:val="000000"/>
          <w:sz w:val="24"/>
          <w:szCs w:val="24"/>
          <w:highlight w:val="white"/>
        </w:rPr>
        <w:t>SUJETO OBLIGADO</w:t>
      </w:r>
      <w:r>
        <w:rPr>
          <w:rFonts w:ascii="Palatino Linotype" w:eastAsia="Palatino Linotype" w:hAnsi="Palatino Linotype" w:cs="Palatino Linotype"/>
          <w:color w:val="000000"/>
          <w:sz w:val="24"/>
          <w:szCs w:val="24"/>
          <w:highlight w:val="white"/>
        </w:rPr>
        <w:t xml:space="preserve"> la presente resolución, para que conforme al artículo 186, </w:t>
      </w:r>
      <w:r>
        <w:rPr>
          <w:rFonts w:ascii="Palatino Linotype" w:eastAsia="Palatino Linotype" w:hAnsi="Palatino Linotype" w:cs="Palatino Linotype"/>
          <w:color w:val="000000"/>
          <w:sz w:val="24"/>
          <w:szCs w:val="24"/>
          <w:highlight w:val="whit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0C2063" w:rsidRDefault="001D757E">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Cuarto. </w:t>
      </w:r>
      <w:r>
        <w:rPr>
          <w:rFonts w:ascii="Palatino Linotype" w:eastAsia="Palatino Linotype" w:hAnsi="Palatino Linotype" w:cs="Palatino Linotype"/>
          <w:sz w:val="24"/>
          <w:szCs w:val="24"/>
        </w:rPr>
        <w:t xml:space="preserve"> Notifíquese, vía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C2063" w:rsidRDefault="001D757E">
      <w:pPr>
        <w:spacing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0C2063" w:rsidRDefault="001D757E">
      <w:pPr>
        <w:spacing w:before="240" w:after="24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Sexto. </w:t>
      </w:r>
      <w:r>
        <w:rPr>
          <w:rFonts w:ascii="Palatino Linotype" w:eastAsia="Palatino Linotype" w:hAnsi="Palatino Linotype" w:cs="Palatino Linotype"/>
          <w:sz w:val="24"/>
          <w:szCs w:val="24"/>
        </w:rPr>
        <w:t>Gírese 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 Cuarto de la presente resolución.</w:t>
      </w:r>
      <w:r>
        <w:rPr>
          <w:rFonts w:ascii="Palatino Linotype" w:eastAsia="Palatino Linotype" w:hAnsi="Palatino Linotype" w:cs="Palatino Linotype"/>
          <w:b/>
          <w:sz w:val="24"/>
          <w:szCs w:val="24"/>
        </w:rPr>
        <w:t xml:space="preserve"> </w:t>
      </w:r>
    </w:p>
    <w:p w:rsidR="003D2EAC" w:rsidRDefault="001D757E">
      <w:pPr>
        <w:spacing w:before="240" w:after="240" w:line="360" w:lineRule="auto"/>
        <w:jc w:val="both"/>
        <w:rPr>
          <w:rFonts w:ascii="Palatino Linotype" w:eastAsia="Palatino Linotype" w:hAnsi="Palatino Linotype" w:cs="Palatino Linotype"/>
          <w:sz w:val="24"/>
          <w:szCs w:val="24"/>
        </w:rPr>
        <w:sectPr w:rsidR="003D2EAC">
          <w:headerReference w:type="default" r:id="rId26"/>
          <w:footerReference w:type="default" r:id="rId27"/>
          <w:headerReference w:type="first" r:id="rId28"/>
          <w:footerReference w:type="first" r:id="rId29"/>
          <w:pgSz w:w="12240" w:h="15840"/>
          <w:pgMar w:top="2041" w:right="1750" w:bottom="1701" w:left="1701" w:header="709" w:footer="709" w:gutter="0"/>
          <w:pgNumType w:start="1"/>
          <w:cols w:space="720"/>
          <w:titlePg/>
        </w:sectPr>
      </w:pPr>
      <w:r>
        <w:rPr>
          <w:rFonts w:ascii="Palatino Linotype" w:eastAsia="Palatino Linotype" w:hAnsi="Palatino Linotype" w:cs="Palatino Linotype"/>
          <w:color w:val="222222"/>
          <w:sz w:val="24"/>
          <w:szCs w:val="24"/>
          <w:highlight w:val="white"/>
        </w:rPr>
        <w:t xml:space="preserve">ASÍ LO RESUELVE, POR UNANIMIDAD DE VOTOS, EL PLENO DEL INSTITUTO DE TRANSPARENCIA, ACCESO A LA INFORMACIÓN </w:t>
      </w:r>
      <w:r>
        <w:rPr>
          <w:rFonts w:ascii="Palatino Linotype" w:eastAsia="Palatino Linotype" w:hAnsi="Palatino Linotype" w:cs="Palatino Linotype"/>
          <w:color w:val="222222"/>
          <w:sz w:val="24"/>
          <w:szCs w:val="24"/>
          <w:highlight w:val="white"/>
        </w:rPr>
        <w:lastRenderedPageBreak/>
        <w:t>PÚBLICA Y PROTECCIÓN DE DATOS PERSONALES DEL ESTADO DE MÉXICO Y MUNICIPIOS, CONFORMADO POR LOS COMISIONADOS JOSÉ MARTÍNEZ VILCHIS, MARÍA DEL ROSARIO MEJÍA AYALA PARTICULAR, SHARON CRISTINA MORALES MARTÍNEZ, LUIS GUSTAVO PARRA NORIEGA Y GUADALUPE RAMÍREZ PEÑA; EN LA DÉCIMA OCTAVA SESIÓN ORDINARIA CELEBRADA EL DIECIOCHO</w:t>
      </w:r>
      <w:r>
        <w:rPr>
          <w:rFonts w:ascii="Palatino Linotype" w:eastAsia="Palatino Linotype" w:hAnsi="Palatino Linotype" w:cs="Palatino Linotype"/>
          <w:sz w:val="24"/>
          <w:szCs w:val="24"/>
        </w:rPr>
        <w:t xml:space="preserve"> DE MAYO DEL DOS MIL VEINTIDÓS, ANTE EL SECRETARIO TÉCNICO DEL PLENO ALEXIS TAPIA </w:t>
      </w:r>
      <w:r w:rsidR="003D2EAC">
        <w:rPr>
          <w:rFonts w:ascii="Palatino Linotype" w:eastAsia="Palatino Linotype" w:hAnsi="Palatino Linotype" w:cs="Palatino Linotype"/>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25095</wp:posOffset>
                </wp:positionH>
                <wp:positionV relativeFrom="paragraph">
                  <wp:posOffset>2664073</wp:posOffset>
                </wp:positionV>
                <wp:extent cx="5390985" cy="4412974"/>
                <wp:effectExtent l="0" t="0" r="19685" b="26035"/>
                <wp:wrapNone/>
                <wp:docPr id="4" name="Conector recto 4"/>
                <wp:cNvGraphicFramePr/>
                <a:graphic xmlns:a="http://schemas.openxmlformats.org/drawingml/2006/main">
                  <a:graphicData uri="http://schemas.microsoft.com/office/word/2010/wordprocessingShape">
                    <wps:wsp>
                      <wps:cNvCnPr/>
                      <wps:spPr>
                        <a:xfrm>
                          <a:off x="0" y="0"/>
                          <a:ext cx="5390985" cy="44129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6C86E3"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pt,209.75pt" to="426.5pt,5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" strokecolor="black [3200]" strokeweight=".5pt">
                <v:stroke joinstyle="miter"/>
              </v:line>
            </w:pict>
          </mc:Fallback>
        </mc:AlternateContent>
      </w:r>
      <w:r>
        <w:rPr>
          <w:rFonts w:ascii="Palatino Linotype" w:eastAsia="Palatino Linotype" w:hAnsi="Palatino Linotype" w:cs="Palatino Linotype"/>
          <w:sz w:val="24"/>
          <w:szCs w:val="24"/>
        </w:rPr>
        <w:t xml:space="preserve">RAMÍREZ.  </w:t>
      </w:r>
    </w:p>
    <w:p w:rsidR="000C2063" w:rsidRDefault="000C2063">
      <w:bookmarkStart w:id="3" w:name="_GoBack"/>
      <w:bookmarkEnd w:id="3"/>
    </w:p>
    <w:sectPr w:rsidR="000C2063">
      <w:headerReference w:type="default" r:id="rId30"/>
      <w:footerReference w:type="default" r:id="rId31"/>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0A3" w:rsidRDefault="003C60A3">
      <w:pPr>
        <w:spacing w:after="0" w:line="240" w:lineRule="auto"/>
      </w:pPr>
      <w:r>
        <w:separator/>
      </w:r>
    </w:p>
  </w:endnote>
  <w:endnote w:type="continuationSeparator" w:id="0">
    <w:p w:rsidR="003C60A3" w:rsidRDefault="003C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63" w:rsidRDefault="001D757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D2EAC">
      <w:rPr>
        <w:rFonts w:ascii="Arial" w:eastAsia="Arial" w:hAnsi="Arial" w:cs="Arial"/>
        <w:b/>
        <w:noProof/>
        <w:color w:val="000000"/>
        <w:sz w:val="20"/>
        <w:szCs w:val="20"/>
      </w:rPr>
      <w:t>45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D2EA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0C2063" w:rsidRDefault="000C2063">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rPr>
    </w:pPr>
  </w:p>
  <w:p w:rsidR="000C2063" w:rsidRDefault="000C2063">
    <w:pPr>
      <w:pBdr>
        <w:top w:val="nil"/>
        <w:left w:val="nil"/>
        <w:bottom w:val="nil"/>
        <w:right w:val="nil"/>
        <w:between w:val="nil"/>
      </w:pBdr>
      <w:tabs>
        <w:tab w:val="center" w:pos="4419"/>
        <w:tab w:val="right" w:pos="8838"/>
      </w:tabs>
      <w:spacing w:after="0" w:line="240" w:lineRule="auto"/>
      <w:ind w:firstLine="708"/>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63" w:rsidRDefault="001D757E">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D2EA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D2EA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0C2063" w:rsidRDefault="000C206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63" w:rsidRDefault="001D757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D2EAC">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D2EAC">
      <w:rPr>
        <w:rFonts w:ascii="Arial" w:eastAsia="Arial" w:hAnsi="Arial" w:cs="Arial"/>
        <w:b/>
        <w:noProof/>
        <w:color w:val="000000"/>
        <w:sz w:val="20"/>
        <w:szCs w:val="20"/>
      </w:rPr>
      <w:t>46</w:t>
    </w:r>
    <w:r>
      <w:rPr>
        <w:rFonts w:ascii="Arial" w:eastAsia="Arial" w:hAnsi="Arial" w:cs="Arial"/>
        <w:b/>
        <w:color w:val="000000"/>
        <w:sz w:val="20"/>
        <w:szCs w:val="20"/>
      </w:rPr>
      <w:fldChar w:fldCharType="end"/>
    </w:r>
  </w:p>
  <w:p w:rsidR="000C2063" w:rsidRDefault="000C206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0A3" w:rsidRDefault="003C60A3">
      <w:pPr>
        <w:spacing w:after="0" w:line="240" w:lineRule="auto"/>
      </w:pPr>
      <w:r>
        <w:separator/>
      </w:r>
    </w:p>
  </w:footnote>
  <w:footnote w:type="continuationSeparator" w:id="0">
    <w:p w:rsidR="003C60A3" w:rsidRDefault="003C60A3">
      <w:pPr>
        <w:spacing w:after="0" w:line="240" w:lineRule="auto"/>
      </w:pPr>
      <w:r>
        <w:continuationSeparator/>
      </w:r>
    </w:p>
  </w:footnote>
  <w:footnote w:id="1">
    <w:p w:rsidR="000C2063" w:rsidRDefault="001D757E">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rsidR="000C2063" w:rsidRDefault="001D757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rsidR="000C2063" w:rsidRDefault="001D757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rsidR="000C2063" w:rsidRDefault="001D757E">
      <w:pPr>
        <w:spacing w:after="0" w:line="240" w:lineRule="auto"/>
        <w:rPr>
          <w:rFonts w:ascii="Palatino Linotype" w:eastAsia="Palatino Linotype" w:hAnsi="Palatino Linotype" w:cs="Palatino Linotype"/>
          <w:sz w:val="16"/>
          <w:szCs w:val="16"/>
        </w:rPr>
      </w:pPr>
      <w:r>
        <w:rPr>
          <w:vertAlign w:val="superscript"/>
        </w:rPr>
        <w:footnoteRef/>
      </w:r>
      <w:r>
        <w:rPr>
          <w:sz w:val="20"/>
          <w:szCs w:val="20"/>
        </w:rPr>
        <w:t xml:space="preserve"> </w:t>
      </w:r>
      <w:r>
        <w:rPr>
          <w:rFonts w:ascii="Palatino Linotype" w:eastAsia="Palatino Linotype" w:hAnsi="Palatino Linotype" w:cs="Palatino Linotype"/>
          <w:sz w:val="16"/>
          <w:szCs w:val="16"/>
        </w:rPr>
        <w:t>Artículo 13 de la Ley del Registro Público Vehicular.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63" w:rsidRDefault="000C2063">
    <w:pPr>
      <w:widowControl w:val="0"/>
      <w:pBdr>
        <w:top w:val="nil"/>
        <w:left w:val="nil"/>
        <w:bottom w:val="nil"/>
        <w:right w:val="nil"/>
        <w:between w:val="nil"/>
      </w:pBdr>
      <w:spacing w:after="0" w:line="276" w:lineRule="auto"/>
      <w:rPr>
        <w:color w:val="000000"/>
      </w:rPr>
    </w:pPr>
  </w:p>
  <w:tbl>
    <w:tblPr>
      <w:tblStyle w:val="a5"/>
      <w:tblW w:w="10479" w:type="dxa"/>
      <w:tblInd w:w="-1281" w:type="dxa"/>
      <w:tblLayout w:type="fixed"/>
      <w:tblLook w:val="0400" w:firstRow="0" w:lastRow="0" w:firstColumn="0" w:lastColumn="0" w:noHBand="0" w:noVBand="1"/>
    </w:tblPr>
    <w:tblGrid>
      <w:gridCol w:w="5576"/>
      <w:gridCol w:w="4903"/>
    </w:tblGrid>
    <w:tr w:rsidR="000C2063">
      <w:trPr>
        <w:trHeight w:val="245"/>
      </w:trPr>
      <w:tc>
        <w:tcPr>
          <w:tcW w:w="5576" w:type="dxa"/>
        </w:tcPr>
        <w:p w:rsidR="000C2063" w:rsidRDefault="001D757E">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0C2063" w:rsidRDefault="001D757E">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02034/INFOEM/IP/RR/2022</w:t>
          </w:r>
        </w:p>
      </w:tc>
    </w:tr>
    <w:tr w:rsidR="000C2063">
      <w:trPr>
        <w:trHeight w:val="211"/>
      </w:trPr>
      <w:tc>
        <w:tcPr>
          <w:tcW w:w="5576" w:type="dxa"/>
        </w:tcPr>
        <w:p w:rsidR="000C2063" w:rsidRDefault="001D757E">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0C2063" w:rsidRDefault="000C2063">
          <w:pPr>
            <w:spacing w:after="120"/>
            <w:ind w:left="-486" w:right="214" w:firstLine="567"/>
            <w:jc w:val="right"/>
            <w:rPr>
              <w:rFonts w:ascii="Palatino Linotype" w:eastAsia="Palatino Linotype" w:hAnsi="Palatino Linotype" w:cs="Palatino Linotype"/>
            </w:rPr>
          </w:pPr>
        </w:p>
      </w:tc>
    </w:tr>
    <w:tr w:rsidR="000C2063">
      <w:trPr>
        <w:trHeight w:val="262"/>
      </w:trPr>
      <w:tc>
        <w:tcPr>
          <w:tcW w:w="5576" w:type="dxa"/>
        </w:tcPr>
        <w:p w:rsidR="000C2063" w:rsidRDefault="001D757E">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0C2063" w:rsidRDefault="001D757E">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0C2063">
      <w:trPr>
        <w:trHeight w:val="371"/>
      </w:trPr>
      <w:tc>
        <w:tcPr>
          <w:tcW w:w="5576" w:type="dxa"/>
        </w:tcPr>
        <w:p w:rsidR="000C2063" w:rsidRDefault="001D757E">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0C2063" w:rsidRDefault="001D757E">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C2063" w:rsidRDefault="001D757E">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r>
      <w:rPr>
        <w:noProof/>
        <w:lang w:val="en-US"/>
      </w:rPr>
      <w:drawing>
        <wp:anchor distT="0" distB="0" distL="0" distR="0" simplePos="0" relativeHeight="251658240" behindDoc="1" locked="0" layoutInCell="1" hidden="0" allowOverlap="1" wp14:anchorId="5A848184" wp14:editId="286982B1">
          <wp:simplePos x="0" y="0"/>
          <wp:positionH relativeFrom="column">
            <wp:posOffset>-1057908</wp:posOffset>
          </wp:positionH>
          <wp:positionV relativeFrom="paragraph">
            <wp:posOffset>-1544953</wp:posOffset>
          </wp:positionV>
          <wp:extent cx="7809865" cy="10165715"/>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63" w:rsidRDefault="000C206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4"/>
      <w:tblW w:w="10479" w:type="dxa"/>
      <w:tblInd w:w="-1281" w:type="dxa"/>
      <w:tblLayout w:type="fixed"/>
      <w:tblLook w:val="0400" w:firstRow="0" w:lastRow="0" w:firstColumn="0" w:lastColumn="0" w:noHBand="0" w:noVBand="1"/>
    </w:tblPr>
    <w:tblGrid>
      <w:gridCol w:w="5576"/>
      <w:gridCol w:w="4903"/>
    </w:tblGrid>
    <w:tr w:rsidR="000C2063">
      <w:trPr>
        <w:trHeight w:val="245"/>
      </w:trPr>
      <w:tc>
        <w:tcPr>
          <w:tcW w:w="5576" w:type="dxa"/>
        </w:tcPr>
        <w:p w:rsidR="000C2063" w:rsidRDefault="001D757E">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rsidR="000C2063" w:rsidRDefault="001D757E">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02034/INFOEM/IP/RR/2022</w:t>
          </w:r>
        </w:p>
      </w:tc>
    </w:tr>
    <w:tr w:rsidR="000C2063">
      <w:trPr>
        <w:trHeight w:val="211"/>
      </w:trPr>
      <w:tc>
        <w:tcPr>
          <w:tcW w:w="5576" w:type="dxa"/>
        </w:tcPr>
        <w:p w:rsidR="000C2063" w:rsidRDefault="001D757E">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rsidR="000C2063" w:rsidRDefault="000C2063">
          <w:pPr>
            <w:spacing w:after="120"/>
            <w:ind w:left="-486" w:right="214" w:firstLine="567"/>
            <w:jc w:val="right"/>
            <w:rPr>
              <w:rFonts w:ascii="Palatino Linotype" w:eastAsia="Palatino Linotype" w:hAnsi="Palatino Linotype" w:cs="Palatino Linotype"/>
            </w:rPr>
          </w:pPr>
        </w:p>
      </w:tc>
    </w:tr>
    <w:tr w:rsidR="000C2063">
      <w:trPr>
        <w:trHeight w:val="262"/>
      </w:trPr>
      <w:tc>
        <w:tcPr>
          <w:tcW w:w="5576" w:type="dxa"/>
        </w:tcPr>
        <w:p w:rsidR="000C2063" w:rsidRDefault="001D757E">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rsidR="000C2063" w:rsidRDefault="001D757E">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Metepec.</w:t>
          </w:r>
        </w:p>
      </w:tc>
    </w:tr>
    <w:tr w:rsidR="000C2063">
      <w:trPr>
        <w:trHeight w:val="371"/>
      </w:trPr>
      <w:tc>
        <w:tcPr>
          <w:tcW w:w="5576" w:type="dxa"/>
        </w:tcPr>
        <w:p w:rsidR="000C2063" w:rsidRDefault="001D757E">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rsidR="000C2063" w:rsidRDefault="001D757E">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C2063" w:rsidRDefault="001D757E">
    <w:pPr>
      <w:pBdr>
        <w:top w:val="nil"/>
        <w:left w:val="nil"/>
        <w:bottom w:val="nil"/>
        <w:right w:val="nil"/>
        <w:between w:val="nil"/>
      </w:pBdr>
      <w:tabs>
        <w:tab w:val="center" w:pos="4419"/>
        <w:tab w:val="right" w:pos="8838"/>
      </w:tabs>
      <w:spacing w:after="0" w:line="240" w:lineRule="auto"/>
      <w:rPr>
        <w:color w:val="000000"/>
      </w:rPr>
    </w:pPr>
    <w:r>
      <w:rPr>
        <w:noProof/>
        <w:lang w:val="en-US"/>
      </w:rPr>
      <w:drawing>
        <wp:anchor distT="0" distB="0" distL="0" distR="0" simplePos="0" relativeHeight="251659264" behindDoc="1" locked="0" layoutInCell="1" hidden="0" allowOverlap="1">
          <wp:simplePos x="0" y="0"/>
          <wp:positionH relativeFrom="column">
            <wp:posOffset>-1108073</wp:posOffset>
          </wp:positionH>
          <wp:positionV relativeFrom="paragraph">
            <wp:posOffset>-1559558</wp:posOffset>
          </wp:positionV>
          <wp:extent cx="7809865" cy="1016571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EAC" w:rsidRDefault="003D2EAC">
    <w:pPr>
      <w:widowControl w:val="0"/>
      <w:pBdr>
        <w:top w:val="nil"/>
        <w:left w:val="nil"/>
        <w:bottom w:val="nil"/>
        <w:right w:val="nil"/>
        <w:between w:val="nil"/>
      </w:pBdr>
      <w:spacing w:after="0" w:line="276" w:lineRule="auto"/>
      <w:rPr>
        <w:color w:val="000000"/>
      </w:rPr>
    </w:pPr>
  </w:p>
  <w:p w:rsidR="003D2EAC" w:rsidRDefault="003D2EAC">
    <w:pPr>
      <w:pBdr>
        <w:top w:val="nil"/>
        <w:left w:val="nil"/>
        <w:bottom w:val="nil"/>
        <w:right w:val="nil"/>
        <w:between w:val="nil"/>
      </w:pBdr>
      <w:tabs>
        <w:tab w:val="center" w:pos="4419"/>
        <w:tab w:val="right" w:pos="8838"/>
        <w:tab w:val="left" w:pos="232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24943"/>
    <w:multiLevelType w:val="multilevel"/>
    <w:tmpl w:val="A6300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0A833A7"/>
    <w:multiLevelType w:val="multilevel"/>
    <w:tmpl w:val="B1769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E61430"/>
    <w:multiLevelType w:val="multilevel"/>
    <w:tmpl w:val="7706AE30"/>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63"/>
    <w:rsid w:val="00084D64"/>
    <w:rsid w:val="000C2063"/>
    <w:rsid w:val="001D757E"/>
    <w:rsid w:val="003C60A3"/>
    <w:rsid w:val="003D2EAC"/>
    <w:rsid w:val="00403D57"/>
    <w:rsid w:val="00836C3B"/>
    <w:rsid w:val="009311E1"/>
    <w:rsid w:val="00E73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C6F84"/>
  <w15:docId w15:val="{D513A388-27BC-48F2-A57F-626787B8C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0C3"/>
  </w:style>
  <w:style w:type="paragraph" w:styleId="Ttulo1">
    <w:name w:val="heading 1"/>
    <w:basedOn w:val="Normal"/>
    <w:next w:val="Normal"/>
    <w:link w:val="Ttulo1Car"/>
    <w:uiPriority w:val="9"/>
    <w:qFormat/>
    <w:rsid w:val="0005284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5284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84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46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46B2"/>
  </w:style>
  <w:style w:type="paragraph" w:styleId="Piedepgina">
    <w:name w:val="footer"/>
    <w:basedOn w:val="Normal"/>
    <w:link w:val="PiedepginaCar"/>
    <w:uiPriority w:val="99"/>
    <w:unhideWhenUsed/>
    <w:rsid w:val="005D46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46B2"/>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46B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46B2"/>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46B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D46B2"/>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D46B2"/>
    <w:rPr>
      <w:vertAlign w:val="superscript"/>
    </w:rPr>
  </w:style>
  <w:style w:type="table" w:styleId="Tablaconcuadrcula">
    <w:name w:val="Table Grid"/>
    <w:basedOn w:val="Tablanormal"/>
    <w:uiPriority w:val="59"/>
    <w:rsid w:val="005D46B2"/>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D46B2"/>
  </w:style>
  <w:style w:type="character" w:styleId="nfasis">
    <w:name w:val="Emphasis"/>
    <w:basedOn w:val="Fuentedeprrafopredeter"/>
    <w:uiPriority w:val="20"/>
    <w:qFormat/>
    <w:rsid w:val="005D46B2"/>
    <w:rPr>
      <w:i/>
      <w:iCs/>
    </w:rPr>
  </w:style>
  <w:style w:type="paragraph" w:customStyle="1" w:styleId="j">
    <w:name w:val="j"/>
    <w:basedOn w:val="Normal"/>
    <w:rsid w:val="005D46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05284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52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84F"/>
    <w:rPr>
      <w:rFonts w:ascii="Times New Roman" w:eastAsia="Times New Roman" w:hAnsi="Times New Roman" w:cs="Times New Roman"/>
      <w:b/>
      <w:bCs/>
      <w:sz w:val="27"/>
      <w:szCs w:val="27"/>
      <w:lang w:eastAsia="es-MX"/>
    </w:rPr>
  </w:style>
  <w:style w:type="character" w:customStyle="1" w:styleId="normaltextrun">
    <w:name w:val="normaltextrun"/>
    <w:basedOn w:val="Fuentedeprrafopredeter"/>
    <w:rsid w:val="0005284F"/>
  </w:style>
  <w:style w:type="paragraph" w:customStyle="1" w:styleId="paragraph">
    <w:name w:val="paragraph"/>
    <w:basedOn w:val="Normal"/>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05284F"/>
  </w:style>
  <w:style w:type="character" w:styleId="Hipervnculo">
    <w:name w:val="Hyperlink"/>
    <w:basedOn w:val="Fuentedeprrafopredeter"/>
    <w:uiPriority w:val="99"/>
    <w:unhideWhenUsed/>
    <w:rsid w:val="0005284F"/>
    <w:rPr>
      <w:color w:val="0563C1" w:themeColor="hyperlink"/>
      <w:u w:val="single"/>
    </w:rPr>
  </w:style>
  <w:style w:type="paragraph" w:styleId="NormalWeb">
    <w:name w:val="Normal (Web)"/>
    <w:basedOn w:val="Normal"/>
    <w:uiPriority w:val="99"/>
    <w:unhideWhenUsed/>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tulorubro">
    <w:name w:val="titulorubro"/>
    <w:basedOn w:val="Fuentedeprrafopredeter"/>
    <w:rsid w:val="0005284F"/>
  </w:style>
  <w:style w:type="paragraph" w:styleId="Textoindependiente">
    <w:name w:val="Body Text"/>
    <w:basedOn w:val="Normal"/>
    <w:link w:val="TextoindependienteCar"/>
    <w:uiPriority w:val="99"/>
    <w:qFormat/>
    <w:rsid w:val="0005284F"/>
    <w:pPr>
      <w:autoSpaceDE w:val="0"/>
      <w:autoSpaceDN w:val="0"/>
      <w:adjustRightInd w:val="0"/>
      <w:spacing w:after="0" w:line="240" w:lineRule="auto"/>
      <w:ind w:left="93"/>
    </w:pPr>
    <w:rPr>
      <w:rFonts w:ascii="Times New Roman" w:hAnsi="Times New Roman" w:cs="Times New Roman"/>
      <w:sz w:val="23"/>
      <w:szCs w:val="23"/>
    </w:rPr>
  </w:style>
  <w:style w:type="character" w:customStyle="1" w:styleId="TextoindependienteCar">
    <w:name w:val="Texto independiente Car"/>
    <w:basedOn w:val="Fuentedeprrafopredeter"/>
    <w:link w:val="Textoindependiente"/>
    <w:uiPriority w:val="99"/>
    <w:rsid w:val="0005284F"/>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05284F"/>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05284F"/>
    <w:rPr>
      <w:rFonts w:ascii="Segoe UI" w:eastAsia="Times New Roman" w:hAnsi="Segoe UI" w:cs="Segoe UI"/>
      <w:sz w:val="18"/>
      <w:szCs w:val="18"/>
      <w:lang w:val="es-ES" w:eastAsia="es-ES"/>
    </w:rPr>
  </w:style>
  <w:style w:type="paragraph" w:customStyle="1" w:styleId="Pa1">
    <w:name w:val="Pa1"/>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2">
    <w:name w:val="Pa2"/>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customStyle="1" w:styleId="Pa3">
    <w:name w:val="Pa3"/>
    <w:basedOn w:val="Normal"/>
    <w:next w:val="Normal"/>
    <w:uiPriority w:val="99"/>
    <w:rsid w:val="0005284F"/>
    <w:pPr>
      <w:autoSpaceDE w:val="0"/>
      <w:autoSpaceDN w:val="0"/>
      <w:adjustRightInd w:val="0"/>
      <w:spacing w:after="0" w:line="191" w:lineRule="atLeast"/>
    </w:pPr>
    <w:rPr>
      <w:rFonts w:ascii="Helvetica" w:hAnsi="Helvetica" w:cs="Helvetica"/>
      <w:sz w:val="24"/>
      <w:szCs w:val="24"/>
    </w:rPr>
  </w:style>
  <w:style w:type="paragraph" w:styleId="Sinespaciado">
    <w:name w:val="No Spacing"/>
    <w:aliases w:val="Francesa,INAI"/>
    <w:link w:val="SinespaciadoCar"/>
    <w:uiPriority w:val="1"/>
    <w:qFormat/>
    <w:rsid w:val="0005284F"/>
    <w:pPr>
      <w:spacing w:after="0" w:line="240" w:lineRule="auto"/>
    </w:pPr>
  </w:style>
  <w:style w:type="character" w:customStyle="1" w:styleId="SinespaciadoCar">
    <w:name w:val="Sin espaciado Car"/>
    <w:aliases w:val="Francesa Car,INAI Car"/>
    <w:link w:val="Sinespaciado"/>
    <w:uiPriority w:val="1"/>
    <w:locked/>
    <w:rsid w:val="0005284F"/>
  </w:style>
  <w:style w:type="table" w:styleId="Tabladelista1clara-nfasis1">
    <w:name w:val="List Table 1 Light Accent 1"/>
    <w:basedOn w:val="Tablanormal"/>
    <w:uiPriority w:val="46"/>
    <w:rsid w:val="0005284F"/>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pple-tab-span">
    <w:name w:val="apple-tab-span"/>
    <w:basedOn w:val="Fuentedeprrafopredeter"/>
    <w:rsid w:val="0005284F"/>
  </w:style>
  <w:style w:type="character" w:styleId="Textoennegrita">
    <w:name w:val="Strong"/>
    <w:uiPriority w:val="22"/>
    <w:qFormat/>
    <w:rsid w:val="0005284F"/>
    <w:rPr>
      <w:b/>
      <w:bCs/>
    </w:rPr>
  </w:style>
  <w:style w:type="paragraph" w:customStyle="1" w:styleId="Texto">
    <w:name w:val="Texto"/>
    <w:basedOn w:val="Normal"/>
    <w:link w:val="TextoCar"/>
    <w:qFormat/>
    <w:rsid w:val="0005284F"/>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05284F"/>
    <w:rPr>
      <w:rFonts w:ascii="Arial" w:eastAsia="Times New Roman" w:hAnsi="Arial" w:cs="Arial"/>
      <w:sz w:val="18"/>
      <w:szCs w:val="18"/>
      <w:lang w:eastAsia="es-ES"/>
    </w:rPr>
  </w:style>
  <w:style w:type="paragraph" w:styleId="Textosinformato">
    <w:name w:val="Plain Text"/>
    <w:basedOn w:val="Normal"/>
    <w:link w:val="TextosinformatoCar"/>
    <w:rsid w:val="0005284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84F"/>
    <w:rPr>
      <w:rFonts w:ascii="Courier New" w:eastAsia="Times New Roman" w:hAnsi="Courier New" w:cs="Times New Roman"/>
      <w:sz w:val="20"/>
      <w:szCs w:val="20"/>
      <w:lang w:val="es-ES" w:eastAsia="es-ES"/>
    </w:rPr>
  </w:style>
  <w:style w:type="paragraph" w:customStyle="1" w:styleId="Default">
    <w:name w:val="Default"/>
    <w:rsid w:val="0005284F"/>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05284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q">
    <w:name w:val="q"/>
    <w:basedOn w:val="Normal"/>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semiHidden/>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nacep">
    <w:name w:val="n_acep"/>
    <w:basedOn w:val="Fuentedeprrafopredeter"/>
    <w:rsid w:val="0005284F"/>
  </w:style>
  <w:style w:type="character" w:customStyle="1" w:styleId="m2871584667633129156gmail-apple-converted-space">
    <w:name w:val="m_2871584667633129156gmail-apple-converted-space"/>
    <w:basedOn w:val="Fuentedeprrafopredeter"/>
    <w:rsid w:val="0005284F"/>
  </w:style>
  <w:style w:type="character" w:customStyle="1" w:styleId="m2871584667633129156gmail-msofootnotereference">
    <w:name w:val="m_2871584667633129156gmail-msofootnotereference"/>
    <w:basedOn w:val="Fuentedeprrafopredeter"/>
    <w:rsid w:val="0005284F"/>
  </w:style>
  <w:style w:type="paragraph" w:customStyle="1" w:styleId="m2871584667633129156gmail-msofootnotetext">
    <w:name w:val="m_287158466763312915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05284F"/>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05284F"/>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05284F"/>
    <w:rPr>
      <w:color w:val="954F72" w:themeColor="followedHyperlink"/>
      <w:u w:val="single"/>
    </w:rPr>
  </w:style>
  <w:style w:type="paragraph" w:styleId="Lista">
    <w:name w:val="List"/>
    <w:basedOn w:val="Normal"/>
    <w:uiPriority w:val="99"/>
    <w:unhideWhenUsed/>
    <w:rsid w:val="0005284F"/>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05284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uiPriority w:val="99"/>
    <w:unhideWhenUsed/>
    <w:rsid w:val="0005284F"/>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uiPriority w:val="99"/>
    <w:rsid w:val="0005284F"/>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05284F"/>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05284F"/>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5284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84F"/>
    <w:rPr>
      <w:rFonts w:ascii="Times New Roman" w:eastAsia="Times New Roman" w:hAnsi="Times New Roman" w:cs="Times New Roman"/>
      <w:sz w:val="24"/>
      <w:szCs w:val="24"/>
      <w:lang w:val="es-ES" w:eastAsia="es-ES"/>
    </w:rPr>
  </w:style>
  <w:style w:type="character" w:customStyle="1" w:styleId="u">
    <w:name w:val="u"/>
    <w:basedOn w:val="Fuentedeprrafopredeter"/>
    <w:rsid w:val="0005284F"/>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05284F"/>
    <w:rPr>
      <w:sz w:val="20"/>
      <w:szCs w:val="20"/>
    </w:rPr>
  </w:style>
  <w:style w:type="paragraph" w:customStyle="1" w:styleId="rtejustify">
    <w:name w:val="rtejustify"/>
    <w:basedOn w:val="Normal"/>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84F"/>
  </w:style>
  <w:style w:type="character" w:customStyle="1" w:styleId="m-7180717751901043621gmail-msofootnotereference">
    <w:name w:val="m_-7180717751901043621gmail-msofootnotereference"/>
    <w:basedOn w:val="Fuentedeprrafopredeter"/>
    <w:rsid w:val="0005284F"/>
  </w:style>
  <w:style w:type="character" w:customStyle="1" w:styleId="m-3579365149168697376gmail-msofootnotereference">
    <w:name w:val="m_-3579365149168697376gmail-msofootnotereference"/>
    <w:basedOn w:val="Fuentedeprrafopredeter"/>
    <w:rsid w:val="0005284F"/>
  </w:style>
  <w:style w:type="paragraph" w:customStyle="1" w:styleId="m-3579365149168697376gmail-msofootnotetext">
    <w:name w:val="m_-3579365149168697376gmail-msofootnotetext"/>
    <w:basedOn w:val="Normal"/>
    <w:rsid w:val="000528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05284F"/>
  </w:style>
  <w:style w:type="character" w:customStyle="1" w:styleId="apple-style-span">
    <w:name w:val="apple-style-span"/>
    <w:rsid w:val="0005284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08" w:type="dxa"/>
        <w:right w:w="108"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rPr>
      <w:sz w:val="24"/>
      <w:szCs w:val="24"/>
    </w:rPr>
    <w:tblPr>
      <w:tblStyleRowBandSize w:val="1"/>
      <w:tblStyleColBandSize w:val="1"/>
      <w:tblCellMar>
        <w:left w:w="70" w:type="dxa"/>
        <w:right w:w="70" w:type="dxa"/>
      </w:tblCellMar>
    </w:tblPr>
    <w:tblStylePr w:type="firstRow">
      <w:rPr>
        <w:b/>
      </w:rPr>
      <w:tblPr/>
      <w:tcPr>
        <w:tcBorders>
          <w:bottom w:val="single" w:sz="4"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5">
    <w:basedOn w:val="TableNormal0"/>
    <w:pPr>
      <w:spacing w:after="0" w:line="240" w:lineRule="auto"/>
    </w:pPr>
    <w:rPr>
      <w:sz w:val="24"/>
      <w:szCs w:val="24"/>
    </w:rPr>
    <w:tblPr>
      <w:tblStyleRowBandSize w:val="1"/>
      <w:tblStyleColBandSize w:val="1"/>
      <w:tblCellMar>
        <w:left w:w="70" w:type="dxa"/>
        <w:right w:w="70" w:type="dxa"/>
      </w:tblCellMar>
    </w:tblPr>
  </w:style>
  <w:style w:type="table" w:customStyle="1" w:styleId="a6">
    <w:basedOn w:val="TableNormal0"/>
    <w:pPr>
      <w:spacing w:after="0" w:line="240" w:lineRule="auto"/>
    </w:pPr>
    <w:rPr>
      <w:sz w:val="24"/>
      <w:szCs w:val="24"/>
    </w:r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1328092.page"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saimex.org.mx/saimex/solicitud/downloadAttach/1402785.page"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VuCeJWvuQ2sgfitGOnbUT/3d3Q==">AMUW2mVsfJ9brQDDZTz66Lsgdlq2t6fJyK7sICwLGVCiblp6pi7unooIQPPkx2lxfc7bI7NyxkxxwE/GWg+ZFtsLbWjsnax2SBpKerJFdiuJWQ2IIF9Gny3HRT94Gk+W8gLs/PUjvTwxkgdXI4WA0TwiRoiYC4CbhA==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9308</Words>
  <Characters>53059</Characters>
  <Application>Microsoft Office Word</Application>
  <DocSecurity>0</DocSecurity>
  <Lines>442</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NAJERA </cp:lastModifiedBy>
  <cp:revision>4</cp:revision>
  <dcterms:created xsi:type="dcterms:W3CDTF">2022-05-17T14:02:00Z</dcterms:created>
  <dcterms:modified xsi:type="dcterms:W3CDTF">2022-05-20T18:11:00Z</dcterms:modified>
</cp:coreProperties>
</file>