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A6F6"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w:t>
      </w:r>
      <w:r w:rsidR="00847320">
        <w:rPr>
          <w:rFonts w:ascii="Palatino Linotype" w:eastAsia="Palatino Linotype" w:hAnsi="Palatino Linotype" w:cs="Palatino Linotype"/>
        </w:rPr>
        <w:t xml:space="preserve">ado de México, celebrada el </w:t>
      </w:r>
      <w:r w:rsidR="003B5580">
        <w:rPr>
          <w:rFonts w:ascii="Palatino Linotype" w:eastAsia="Palatino Linotype" w:hAnsi="Palatino Linotype" w:cs="Palatino Linotype"/>
        </w:rPr>
        <w:t xml:space="preserve">siete de septiembre </w:t>
      </w:r>
      <w:r w:rsidRPr="003F1A9B">
        <w:rPr>
          <w:rFonts w:ascii="Palatino Linotype" w:eastAsia="Palatino Linotype" w:hAnsi="Palatino Linotype" w:cs="Palatino Linotype"/>
        </w:rPr>
        <w:t xml:space="preserve">de dos mil veintidós. </w:t>
      </w:r>
    </w:p>
    <w:p w14:paraId="3804DDA5" w14:textId="77777777" w:rsidR="00F3139D" w:rsidRPr="003F1A9B" w:rsidRDefault="00F3139D">
      <w:pPr>
        <w:spacing w:line="360" w:lineRule="auto"/>
        <w:jc w:val="both"/>
        <w:rPr>
          <w:rFonts w:ascii="Palatino Linotype" w:eastAsia="Palatino Linotype" w:hAnsi="Palatino Linotype" w:cs="Palatino Linotype"/>
        </w:rPr>
      </w:pPr>
    </w:p>
    <w:p w14:paraId="2DB7D836" w14:textId="6C872BCC"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b/>
          <w:sz w:val="28"/>
          <w:szCs w:val="28"/>
        </w:rPr>
        <w:t>VISTO</w:t>
      </w:r>
      <w:r w:rsidRPr="003F1A9B">
        <w:rPr>
          <w:rFonts w:ascii="Palatino Linotype" w:eastAsia="Palatino Linotype" w:hAnsi="Palatino Linotype" w:cs="Palatino Linotype"/>
        </w:rPr>
        <w:t xml:space="preserve"> el expediente formado con motivo del Recurso de Revisión </w:t>
      </w:r>
      <w:r w:rsidR="00847320">
        <w:rPr>
          <w:rFonts w:ascii="Palatino Linotype" w:eastAsia="Palatino Linotype" w:hAnsi="Palatino Linotype" w:cs="Palatino Linotype"/>
          <w:b/>
        </w:rPr>
        <w:t>06802</w:t>
      </w:r>
      <w:r w:rsidRPr="003F1A9B">
        <w:rPr>
          <w:rFonts w:ascii="Palatino Linotype" w:eastAsia="Palatino Linotype" w:hAnsi="Palatino Linotype" w:cs="Palatino Linotype"/>
          <w:b/>
        </w:rPr>
        <w:t xml:space="preserve">/INFOEM/IP/RR/2022, </w:t>
      </w:r>
      <w:r w:rsidRPr="003F1A9B">
        <w:rPr>
          <w:rFonts w:ascii="Palatino Linotype" w:eastAsia="Palatino Linotype" w:hAnsi="Palatino Linotype" w:cs="Palatino Linotype"/>
        </w:rPr>
        <w:t xml:space="preserve">promovido por </w:t>
      </w:r>
      <w:r w:rsidRPr="003F1A9B">
        <w:rPr>
          <w:rFonts w:ascii="Palatino Linotype" w:eastAsia="Palatino Linotype" w:hAnsi="Palatino Linotype" w:cs="Palatino Linotype"/>
          <w:b/>
        </w:rPr>
        <w:t>“</w:t>
      </w:r>
      <w:bookmarkStart w:id="0" w:name="_GoBack"/>
      <w:r w:rsidR="00240CD0">
        <w:rPr>
          <w:rFonts w:ascii="Palatino Linotype" w:eastAsia="Palatino Linotype" w:hAnsi="Palatino Linotype" w:cs="Palatino Linotype"/>
          <w:b/>
        </w:rPr>
        <w:t>XXXX XXXXXXXXX XX XXXXXXXX</w:t>
      </w:r>
      <w:bookmarkEnd w:id="0"/>
      <w:r w:rsidRPr="003F1A9B">
        <w:rPr>
          <w:rFonts w:ascii="Palatino Linotype" w:eastAsia="Palatino Linotype" w:hAnsi="Palatino Linotype" w:cs="Palatino Linotype"/>
          <w:b/>
        </w:rPr>
        <w:t>”,</w:t>
      </w:r>
      <w:r w:rsidRPr="003F1A9B">
        <w:rPr>
          <w:rFonts w:ascii="Palatino Linotype" w:eastAsia="Palatino Linotype" w:hAnsi="Palatino Linotype" w:cs="Palatino Linotype"/>
        </w:rPr>
        <w:t xml:space="preserve"> a quien en lo sucesivo se le denominara como </w:t>
      </w:r>
      <w:r w:rsidRPr="003F1A9B">
        <w:rPr>
          <w:rFonts w:ascii="Palatino Linotype" w:eastAsia="Palatino Linotype" w:hAnsi="Palatino Linotype" w:cs="Palatino Linotype"/>
          <w:b/>
        </w:rPr>
        <w:t>EL RECURRENTE,</w:t>
      </w:r>
      <w:r w:rsidRPr="003F1A9B">
        <w:rPr>
          <w:rFonts w:ascii="Palatino Linotype" w:eastAsia="Palatino Linotype" w:hAnsi="Palatino Linotype" w:cs="Palatino Linotype"/>
        </w:rPr>
        <w:t xml:space="preserve"> en contra de la respuesta del </w:t>
      </w:r>
      <w:r w:rsidRPr="003F1A9B">
        <w:rPr>
          <w:rFonts w:ascii="Palatino Linotype" w:eastAsia="Palatino Linotype" w:hAnsi="Palatino Linotype" w:cs="Palatino Linotype"/>
          <w:b/>
        </w:rPr>
        <w:t xml:space="preserve">Organismo Público Descentralizado para la Prestación de Los Servicios de Agua Potable Alcantarillado y Saneamiento del Municipio de Tlalnepantla de Baz, </w:t>
      </w:r>
      <w:r w:rsidRPr="003F1A9B">
        <w:rPr>
          <w:rFonts w:ascii="Palatino Linotype" w:eastAsia="Palatino Linotype" w:hAnsi="Palatino Linotype" w:cs="Palatino Linotype"/>
        </w:rPr>
        <w:t xml:space="preserve">en lo subsecuente se le denominará </w:t>
      </w:r>
      <w:r w:rsidRPr="003F1A9B">
        <w:rPr>
          <w:rFonts w:ascii="Palatino Linotype" w:eastAsia="Palatino Linotype" w:hAnsi="Palatino Linotype" w:cs="Palatino Linotype"/>
          <w:b/>
        </w:rPr>
        <w:t xml:space="preserve">EL SUJETO OBLIGADO, </w:t>
      </w:r>
      <w:r w:rsidRPr="003F1A9B">
        <w:rPr>
          <w:rFonts w:ascii="Palatino Linotype" w:eastAsia="Palatino Linotype" w:hAnsi="Palatino Linotype" w:cs="Palatino Linotype"/>
        </w:rPr>
        <w:t>se procede a dictar la presente resolución con base en lo siguiente:</w:t>
      </w:r>
    </w:p>
    <w:p w14:paraId="00EE5E39" w14:textId="77777777" w:rsidR="00F3139D" w:rsidRPr="003F1A9B" w:rsidRDefault="00F3139D">
      <w:pPr>
        <w:spacing w:line="360" w:lineRule="auto"/>
        <w:jc w:val="both"/>
        <w:rPr>
          <w:rFonts w:ascii="Palatino Linotype" w:eastAsia="Palatino Linotype" w:hAnsi="Palatino Linotype" w:cs="Palatino Linotype"/>
          <w:b/>
        </w:rPr>
      </w:pPr>
    </w:p>
    <w:p w14:paraId="53A15293" w14:textId="77777777" w:rsidR="00F3139D" w:rsidRPr="003F1A9B" w:rsidRDefault="00C13437">
      <w:pPr>
        <w:jc w:val="center"/>
        <w:rPr>
          <w:rFonts w:ascii="Palatino Linotype" w:eastAsia="Palatino Linotype" w:hAnsi="Palatino Linotype" w:cs="Palatino Linotype"/>
          <w:b/>
          <w:sz w:val="28"/>
          <w:szCs w:val="28"/>
        </w:rPr>
      </w:pPr>
      <w:r w:rsidRPr="003F1A9B">
        <w:rPr>
          <w:rFonts w:ascii="Palatino Linotype" w:eastAsia="Palatino Linotype" w:hAnsi="Palatino Linotype" w:cs="Palatino Linotype"/>
          <w:b/>
          <w:sz w:val="28"/>
          <w:szCs w:val="28"/>
        </w:rPr>
        <w:t>ANTECEDENTES</w:t>
      </w:r>
    </w:p>
    <w:p w14:paraId="6EE9AF23" w14:textId="77777777" w:rsidR="00F3139D" w:rsidRPr="003F1A9B" w:rsidRDefault="00F3139D">
      <w:pPr>
        <w:rPr>
          <w:rFonts w:ascii="Palatino Linotype" w:eastAsia="Palatino Linotype" w:hAnsi="Palatino Linotype" w:cs="Palatino Linotype"/>
          <w:b/>
        </w:rPr>
      </w:pPr>
    </w:p>
    <w:p w14:paraId="15F0BFF0" w14:textId="77777777" w:rsidR="00F3139D" w:rsidRPr="003F1A9B" w:rsidRDefault="00C1343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3F1A9B">
        <w:rPr>
          <w:rFonts w:ascii="Palatino Linotype" w:eastAsia="Palatino Linotype" w:hAnsi="Palatino Linotype" w:cs="Palatino Linotype"/>
          <w:b/>
          <w:sz w:val="28"/>
          <w:szCs w:val="28"/>
        </w:rPr>
        <w:t>I.</w:t>
      </w:r>
      <w:r w:rsidRPr="003F1A9B">
        <w:rPr>
          <w:rFonts w:ascii="Palatino Linotype" w:eastAsia="Palatino Linotype" w:hAnsi="Palatino Linotype" w:cs="Palatino Linotype"/>
          <w:b/>
        </w:rPr>
        <w:t xml:space="preserve"> </w:t>
      </w:r>
      <w:r w:rsidRPr="003F1A9B">
        <w:rPr>
          <w:rFonts w:ascii="Palatino Linotype" w:eastAsia="Palatino Linotype" w:hAnsi="Palatino Linotype" w:cs="Palatino Linotype"/>
          <w:b/>
          <w:sz w:val="28"/>
          <w:szCs w:val="28"/>
        </w:rPr>
        <w:t>De la Solicitud de Información</w:t>
      </w:r>
    </w:p>
    <w:p w14:paraId="50001528" w14:textId="77777777" w:rsidR="00F3139D" w:rsidRDefault="00847320">
      <w:pPr>
        <w:spacing w:line="360" w:lineRule="auto"/>
        <w:jc w:val="both"/>
        <w:rPr>
          <w:rFonts w:ascii="Palatino Linotype" w:eastAsia="Palatino Linotype" w:hAnsi="Palatino Linotype" w:cs="Palatino Linotype"/>
        </w:rPr>
      </w:pPr>
      <w:bookmarkStart w:id="2" w:name="_heading=h.ifuj3wtxm21l" w:colFirst="0" w:colLast="0"/>
      <w:bookmarkEnd w:id="2"/>
      <w:r>
        <w:rPr>
          <w:rFonts w:ascii="Palatino Linotype" w:eastAsia="Palatino Linotype" w:hAnsi="Palatino Linotype" w:cs="Palatino Linotype"/>
        </w:rPr>
        <w:t xml:space="preserve"> En fecha cuatro</w:t>
      </w:r>
      <w:r w:rsidR="00C13437" w:rsidRPr="003F1A9B">
        <w:rPr>
          <w:rFonts w:ascii="Palatino Linotype" w:eastAsia="Palatino Linotype" w:hAnsi="Palatino Linotype" w:cs="Palatino Linotype"/>
        </w:rPr>
        <w:t xml:space="preserve"> de abril de dos mil veintidós, </w:t>
      </w:r>
      <w:r w:rsidR="00C13437" w:rsidRPr="003F1A9B">
        <w:rPr>
          <w:rFonts w:ascii="Palatino Linotype" w:eastAsia="Palatino Linotype" w:hAnsi="Palatino Linotype" w:cs="Palatino Linotype"/>
          <w:b/>
        </w:rPr>
        <w:t>EL RECURRENTE</w:t>
      </w:r>
      <w:r w:rsidR="00C13437" w:rsidRPr="003F1A9B">
        <w:rPr>
          <w:rFonts w:ascii="Palatino Linotype" w:eastAsia="Palatino Linotype" w:hAnsi="Palatino Linotype" w:cs="Palatino Linotype"/>
        </w:rPr>
        <w:t xml:space="preserve"> presentó a través del Sistema de Acceso a la Información Mexiquense, en lo subsecuente </w:t>
      </w:r>
      <w:r w:rsidR="00C13437" w:rsidRPr="003F1A9B">
        <w:rPr>
          <w:rFonts w:ascii="Palatino Linotype" w:eastAsia="Palatino Linotype" w:hAnsi="Palatino Linotype" w:cs="Palatino Linotype"/>
          <w:b/>
        </w:rPr>
        <w:t>EL SAIMEX</w:t>
      </w:r>
      <w:r w:rsidR="00C13437" w:rsidRPr="003F1A9B">
        <w:rPr>
          <w:rFonts w:ascii="Palatino Linotype" w:eastAsia="Palatino Linotype" w:hAnsi="Palatino Linotype" w:cs="Palatino Linotype"/>
        </w:rPr>
        <w:t xml:space="preserve"> ante </w:t>
      </w:r>
      <w:r w:rsidR="00C13437" w:rsidRPr="003F1A9B">
        <w:rPr>
          <w:rFonts w:ascii="Palatino Linotype" w:eastAsia="Palatino Linotype" w:hAnsi="Palatino Linotype" w:cs="Palatino Linotype"/>
          <w:b/>
        </w:rPr>
        <w:lastRenderedPageBreak/>
        <w:t>EL SUJETO OBLIGADO</w:t>
      </w:r>
      <w:r w:rsidR="00C13437" w:rsidRPr="003F1A9B">
        <w:rPr>
          <w:rFonts w:ascii="Palatino Linotype" w:eastAsia="Palatino Linotype" w:hAnsi="Palatino Linotype" w:cs="Palatino Linotype"/>
        </w:rPr>
        <w:t xml:space="preserve">, la solicitud de acceso a la información pública, a la que se le asignó el número de expediente </w:t>
      </w:r>
      <w:r w:rsidRPr="00847320">
        <w:rPr>
          <w:rFonts w:ascii="Palatino Linotype" w:eastAsia="Palatino Linotype" w:hAnsi="Palatino Linotype" w:cs="Palatino Linotype"/>
          <w:b/>
        </w:rPr>
        <w:t>00168/OASTLALNE/IP/2022</w:t>
      </w:r>
      <w:r w:rsidR="00C13437" w:rsidRPr="003F1A9B">
        <w:rPr>
          <w:rFonts w:ascii="Palatino Linotype" w:eastAsia="Palatino Linotype" w:hAnsi="Palatino Linotype" w:cs="Palatino Linotype"/>
          <w:b/>
        </w:rPr>
        <w:t xml:space="preserve">, </w:t>
      </w:r>
      <w:r w:rsidR="00C13437" w:rsidRPr="003F1A9B">
        <w:rPr>
          <w:rFonts w:ascii="Palatino Linotype" w:eastAsia="Palatino Linotype" w:hAnsi="Palatino Linotype" w:cs="Palatino Linotype"/>
        </w:rPr>
        <w:t>requirió, lo siguiente:</w:t>
      </w:r>
    </w:p>
    <w:p w14:paraId="2E387780" w14:textId="77777777" w:rsidR="00847320" w:rsidRPr="003F1A9B" w:rsidRDefault="00847320">
      <w:pPr>
        <w:spacing w:line="360" w:lineRule="auto"/>
        <w:jc w:val="both"/>
        <w:rPr>
          <w:rFonts w:ascii="Palatino Linotype" w:eastAsia="Palatino Linotype" w:hAnsi="Palatino Linotype" w:cs="Palatino Linotype"/>
          <w:i/>
          <w:sz w:val="20"/>
          <w:szCs w:val="20"/>
        </w:rPr>
      </w:pPr>
    </w:p>
    <w:p w14:paraId="474D266B" w14:textId="77777777" w:rsidR="00F3139D" w:rsidRDefault="00C13437">
      <w:pPr>
        <w:ind w:left="850"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t>“</w:t>
      </w:r>
      <w:r w:rsidR="00847320" w:rsidRPr="00847320">
        <w:rPr>
          <w:rFonts w:ascii="Palatino Linotype" w:eastAsia="Palatino Linotype" w:hAnsi="Palatino Linotype" w:cs="Palatino Linotype"/>
          <w:i/>
          <w:sz w:val="22"/>
          <w:szCs w:val="22"/>
        </w:rPr>
        <w:t xml:space="preserve">Quien dio la autorización de ser aviadora de la Gabriela </w:t>
      </w:r>
      <w:proofErr w:type="spellStart"/>
      <w:r w:rsidR="00847320" w:rsidRPr="00847320">
        <w:rPr>
          <w:rFonts w:ascii="Palatino Linotype" w:eastAsia="Palatino Linotype" w:hAnsi="Palatino Linotype" w:cs="Palatino Linotype"/>
          <w:i/>
          <w:sz w:val="22"/>
          <w:szCs w:val="22"/>
        </w:rPr>
        <w:t>Martinez</w:t>
      </w:r>
      <w:proofErr w:type="spellEnd"/>
      <w:r w:rsidR="00847320" w:rsidRPr="00847320">
        <w:rPr>
          <w:rFonts w:ascii="Palatino Linotype" w:eastAsia="Palatino Linotype" w:hAnsi="Palatino Linotype" w:cs="Palatino Linotype"/>
          <w:i/>
          <w:sz w:val="22"/>
          <w:szCs w:val="22"/>
        </w:rPr>
        <w:t xml:space="preserve"> González </w:t>
      </w:r>
      <w:r w:rsidR="00847320" w:rsidRPr="00847320">
        <w:rPr>
          <w:rFonts w:ascii="Palatino Linotype" w:eastAsia="Palatino Linotype" w:hAnsi="Palatino Linotype" w:cs="Palatino Linotype"/>
          <w:b/>
          <w:i/>
          <w:sz w:val="22"/>
          <w:szCs w:val="22"/>
        </w:rPr>
        <w:t>Indicar Cargo adscripción superior</w:t>
      </w:r>
      <w:r w:rsidRPr="003F1A9B">
        <w:rPr>
          <w:rFonts w:ascii="Palatino Linotype" w:eastAsia="Palatino Linotype" w:hAnsi="Palatino Linotype" w:cs="Palatino Linotype"/>
          <w:i/>
          <w:sz w:val="22"/>
          <w:szCs w:val="22"/>
        </w:rPr>
        <w:t>” (sic)</w:t>
      </w:r>
    </w:p>
    <w:p w14:paraId="75C7A432" w14:textId="77777777" w:rsidR="00847320" w:rsidRPr="003F1A9B" w:rsidRDefault="00847320">
      <w:pPr>
        <w:ind w:left="850" w:right="899"/>
        <w:jc w:val="both"/>
        <w:rPr>
          <w:rFonts w:ascii="Palatino Linotype" w:eastAsia="Palatino Linotype" w:hAnsi="Palatino Linotype" w:cs="Palatino Linotype"/>
          <w:sz w:val="22"/>
          <w:szCs w:val="22"/>
        </w:rPr>
      </w:pPr>
    </w:p>
    <w:p w14:paraId="06F2FD64" w14:textId="77777777" w:rsidR="00F3139D" w:rsidRPr="003F1A9B" w:rsidRDefault="00F3139D">
      <w:pPr>
        <w:tabs>
          <w:tab w:val="left" w:pos="851"/>
        </w:tabs>
        <w:ind w:right="901"/>
        <w:jc w:val="both"/>
        <w:rPr>
          <w:rFonts w:ascii="Palatino Linotype" w:eastAsia="Palatino Linotype" w:hAnsi="Palatino Linotype" w:cs="Palatino Linotype"/>
          <w:sz w:val="22"/>
          <w:szCs w:val="22"/>
        </w:rPr>
      </w:pPr>
    </w:p>
    <w:p w14:paraId="32EF961C" w14:textId="77777777" w:rsidR="00F3139D" w:rsidRPr="003F1A9B" w:rsidRDefault="00C13437">
      <w:pPr>
        <w:widowControl w:val="0"/>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t xml:space="preserve">MODALIDAD DE ENTREGA: </w:t>
      </w:r>
      <w:r w:rsidRPr="003F1A9B">
        <w:rPr>
          <w:rFonts w:ascii="Palatino Linotype" w:eastAsia="Palatino Linotype" w:hAnsi="Palatino Linotype" w:cs="Palatino Linotype"/>
        </w:rPr>
        <w:t xml:space="preserve">Vía </w:t>
      </w:r>
      <w:r w:rsidRPr="003F1A9B">
        <w:rPr>
          <w:rFonts w:ascii="Palatino Linotype" w:eastAsia="Palatino Linotype" w:hAnsi="Palatino Linotype" w:cs="Palatino Linotype"/>
          <w:b/>
        </w:rPr>
        <w:t>SAIMEX.</w:t>
      </w:r>
    </w:p>
    <w:p w14:paraId="2C5E6D2A" w14:textId="77777777" w:rsidR="00F3139D" w:rsidRPr="003F1A9B" w:rsidRDefault="00F3139D">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3D8EB88D" w14:textId="77777777" w:rsidR="00F3139D" w:rsidRPr="003F1A9B" w:rsidRDefault="00C13437">
      <w:pPr>
        <w:spacing w:line="360" w:lineRule="auto"/>
        <w:jc w:val="both"/>
        <w:rPr>
          <w:rFonts w:ascii="Palatino Linotype" w:eastAsia="Palatino Linotype" w:hAnsi="Palatino Linotype" w:cs="Palatino Linotype"/>
          <w:b/>
          <w:sz w:val="28"/>
          <w:szCs w:val="28"/>
        </w:rPr>
      </w:pPr>
      <w:r w:rsidRPr="003F1A9B">
        <w:rPr>
          <w:rFonts w:ascii="Palatino Linotype" w:eastAsia="Palatino Linotype" w:hAnsi="Palatino Linotype" w:cs="Palatino Linotype"/>
          <w:b/>
          <w:sz w:val="28"/>
          <w:szCs w:val="28"/>
        </w:rPr>
        <w:t>II. Turno de requerimiento del Sujeto Obligado</w:t>
      </w:r>
    </w:p>
    <w:p w14:paraId="274AE053"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De las constancias que obran en los expedientes electrónicos del SAIMEX advierte en fecha seis de abril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7E8CA797" w14:textId="77777777" w:rsidR="00F3139D" w:rsidRPr="003F1A9B" w:rsidRDefault="00C13437">
      <w:pPr>
        <w:spacing w:line="360" w:lineRule="auto"/>
        <w:jc w:val="both"/>
        <w:rPr>
          <w:rFonts w:ascii="Palatino Linotype" w:eastAsia="Palatino Linotype" w:hAnsi="Palatino Linotype" w:cs="Palatino Linotype"/>
          <w:b/>
          <w:sz w:val="28"/>
          <w:szCs w:val="28"/>
        </w:rPr>
      </w:pPr>
      <w:r w:rsidRPr="003F1A9B">
        <w:rPr>
          <w:rFonts w:ascii="Palatino Linotype" w:eastAsia="Palatino Linotype" w:hAnsi="Palatino Linotype" w:cs="Palatino Linotype"/>
          <w:b/>
          <w:sz w:val="28"/>
          <w:szCs w:val="28"/>
        </w:rPr>
        <w:t xml:space="preserve"> </w:t>
      </w:r>
    </w:p>
    <w:p w14:paraId="75064B15" w14:textId="77777777" w:rsidR="00F3139D" w:rsidRPr="003F1A9B" w:rsidRDefault="00C13437">
      <w:pPr>
        <w:spacing w:line="360" w:lineRule="auto"/>
        <w:jc w:val="both"/>
        <w:rPr>
          <w:rFonts w:ascii="Palatino Linotype" w:eastAsia="Palatino Linotype" w:hAnsi="Palatino Linotype" w:cs="Palatino Linotype"/>
          <w:b/>
          <w:sz w:val="28"/>
          <w:szCs w:val="28"/>
        </w:rPr>
      </w:pPr>
      <w:r w:rsidRPr="003F1A9B">
        <w:rPr>
          <w:rFonts w:ascii="Palatino Linotype" w:eastAsia="Palatino Linotype" w:hAnsi="Palatino Linotype" w:cs="Palatino Linotype"/>
          <w:b/>
          <w:sz w:val="28"/>
          <w:szCs w:val="28"/>
        </w:rPr>
        <w:t>III. Respuesta del Sujeto Obligado</w:t>
      </w:r>
    </w:p>
    <w:p w14:paraId="0D7B4EF5"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De las constancias que obran en el expediente electrónico del SAIMEX se</w:t>
      </w:r>
      <w:r w:rsidR="00847320">
        <w:rPr>
          <w:rFonts w:ascii="Palatino Linotype" w:eastAsia="Palatino Linotype" w:hAnsi="Palatino Linotype" w:cs="Palatino Linotype"/>
        </w:rPr>
        <w:t xml:space="preserve"> observa que </w:t>
      </w:r>
      <w:proofErr w:type="gramStart"/>
      <w:r w:rsidR="00847320">
        <w:rPr>
          <w:rFonts w:ascii="Palatino Linotype" w:eastAsia="Palatino Linotype" w:hAnsi="Palatino Linotype" w:cs="Palatino Linotype"/>
        </w:rPr>
        <w:t>en</w:t>
      </w:r>
      <w:proofErr w:type="gramEnd"/>
      <w:r w:rsidR="00847320">
        <w:rPr>
          <w:rFonts w:ascii="Palatino Linotype" w:eastAsia="Palatino Linotype" w:hAnsi="Palatino Linotype" w:cs="Palatino Linotype"/>
        </w:rPr>
        <w:t xml:space="preserve"> fecha veintidós</w:t>
      </w:r>
      <w:r w:rsidRPr="003F1A9B">
        <w:rPr>
          <w:rFonts w:ascii="Palatino Linotype" w:eastAsia="Palatino Linotype" w:hAnsi="Palatino Linotype" w:cs="Palatino Linotype"/>
        </w:rPr>
        <w:t xml:space="preserve"> de abril de dos mil veintidós, </w:t>
      </w:r>
      <w:r w:rsidRPr="003F1A9B">
        <w:rPr>
          <w:rFonts w:ascii="Palatino Linotype" w:eastAsia="Palatino Linotype" w:hAnsi="Palatino Linotype" w:cs="Palatino Linotype"/>
          <w:b/>
        </w:rPr>
        <w:t>EL SUJETO OBLIGADO</w:t>
      </w:r>
      <w:r w:rsidRPr="003F1A9B">
        <w:rPr>
          <w:rFonts w:ascii="Palatino Linotype" w:eastAsia="Palatino Linotype" w:hAnsi="Palatino Linotype" w:cs="Palatino Linotype"/>
        </w:rPr>
        <w:t xml:space="preserve"> dio respuesta a la solicitud de acceso a la información pública en los términos siguientes: </w:t>
      </w:r>
    </w:p>
    <w:p w14:paraId="4E90B6E3" w14:textId="77777777" w:rsidR="00F3139D" w:rsidRPr="003F1A9B" w:rsidRDefault="00F3139D">
      <w:pPr>
        <w:spacing w:line="360" w:lineRule="auto"/>
        <w:jc w:val="both"/>
        <w:rPr>
          <w:rFonts w:ascii="Palatino Linotype" w:eastAsia="Palatino Linotype" w:hAnsi="Palatino Linotype" w:cs="Palatino Linotype"/>
        </w:rPr>
      </w:pPr>
    </w:p>
    <w:p w14:paraId="20C510E9" w14:textId="77777777" w:rsidR="00847320" w:rsidRPr="00847320" w:rsidRDefault="00C13437" w:rsidP="00847320">
      <w:pPr>
        <w:ind w:left="850"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lastRenderedPageBreak/>
        <w:t>“</w:t>
      </w:r>
      <w:r w:rsidR="00847320" w:rsidRPr="0084732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268A71" w14:textId="77777777" w:rsidR="00F3139D" w:rsidRPr="003F1A9B" w:rsidRDefault="00847320" w:rsidP="00847320">
      <w:pPr>
        <w:ind w:left="850" w:right="899"/>
        <w:jc w:val="both"/>
        <w:rPr>
          <w:rFonts w:ascii="Palatino Linotype" w:eastAsia="Palatino Linotype" w:hAnsi="Palatino Linotype" w:cs="Palatino Linotype"/>
        </w:rPr>
      </w:pPr>
      <w:r w:rsidRPr="00847320">
        <w:rPr>
          <w:rFonts w:ascii="Palatino Linotype" w:eastAsia="Palatino Linotype" w:hAnsi="Palatino Linotype" w:cs="Palatino Linotype"/>
          <w:i/>
          <w:sz w:val="22"/>
          <w:szCs w:val="22"/>
        </w:rPr>
        <w:t>Le envío archivos electrónicos con respuesta a su solicitud de información con número de folio SAIMEX0168/OASTLALNE/IP/2022.</w:t>
      </w:r>
      <w:r w:rsidR="00C13437" w:rsidRPr="003F1A9B">
        <w:rPr>
          <w:rFonts w:ascii="Palatino Linotype" w:eastAsia="Palatino Linotype" w:hAnsi="Palatino Linotype" w:cs="Palatino Linotype"/>
          <w:i/>
          <w:sz w:val="22"/>
          <w:szCs w:val="22"/>
        </w:rPr>
        <w:t>”(Sic)</w:t>
      </w:r>
    </w:p>
    <w:p w14:paraId="3899FC0D" w14:textId="77777777" w:rsidR="00F3139D" w:rsidRPr="003F1A9B" w:rsidRDefault="00F3139D">
      <w:pPr>
        <w:spacing w:line="360" w:lineRule="auto"/>
        <w:jc w:val="both"/>
        <w:rPr>
          <w:rFonts w:ascii="Palatino Linotype" w:eastAsia="Palatino Linotype" w:hAnsi="Palatino Linotype" w:cs="Palatino Linotype"/>
        </w:rPr>
      </w:pPr>
    </w:p>
    <w:p w14:paraId="066740E3" w14:textId="77777777" w:rsidR="00847320"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Adjuntando a su respuesta </w:t>
      </w:r>
      <w:r w:rsidR="00847320">
        <w:rPr>
          <w:rFonts w:ascii="Palatino Linotype" w:eastAsia="Palatino Linotype" w:hAnsi="Palatino Linotype" w:cs="Palatino Linotype"/>
        </w:rPr>
        <w:t>dos</w:t>
      </w:r>
      <w:r w:rsidRPr="003F1A9B">
        <w:rPr>
          <w:rFonts w:ascii="Palatino Linotype" w:eastAsia="Palatino Linotype" w:hAnsi="Palatino Linotype" w:cs="Palatino Linotype"/>
        </w:rPr>
        <w:t xml:space="preserve"> documentos, el primero de ellos de nombre “</w:t>
      </w:r>
      <w:r w:rsidR="00847320" w:rsidRPr="00847320">
        <w:rPr>
          <w:rFonts w:ascii="Palatino Linotype" w:eastAsia="Palatino Linotype" w:hAnsi="Palatino Linotype" w:cs="Palatino Linotype"/>
          <w:b/>
        </w:rPr>
        <w:t>CONTESTACION SAIMEX 168.pdf</w:t>
      </w:r>
      <w:r w:rsidRPr="003F1A9B">
        <w:rPr>
          <w:rFonts w:ascii="Palatino Linotype" w:eastAsia="Palatino Linotype" w:hAnsi="Palatino Linotype" w:cs="Palatino Linotype"/>
        </w:rPr>
        <w:t xml:space="preserve">” </w:t>
      </w:r>
      <w:r w:rsidR="00847320">
        <w:rPr>
          <w:rFonts w:ascii="Palatino Linotype" w:eastAsia="Palatino Linotype" w:hAnsi="Palatino Linotype" w:cs="Palatino Linotype"/>
        </w:rPr>
        <w:t xml:space="preserve">archivo el cual contiene un oficio número OPDM/SA/04-034/2022, el cual refiere que se adjunta el nombramiento  de la C. Gabriela </w:t>
      </w:r>
      <w:proofErr w:type="spellStart"/>
      <w:r w:rsidR="00847320">
        <w:rPr>
          <w:rFonts w:ascii="Palatino Linotype" w:eastAsia="Palatino Linotype" w:hAnsi="Palatino Linotype" w:cs="Palatino Linotype"/>
        </w:rPr>
        <w:t>Haydelen</w:t>
      </w:r>
      <w:proofErr w:type="spellEnd"/>
      <w:r w:rsidR="00847320">
        <w:rPr>
          <w:rFonts w:ascii="Palatino Linotype" w:eastAsia="Palatino Linotype" w:hAnsi="Palatino Linotype" w:cs="Palatino Linotype"/>
        </w:rPr>
        <w:t xml:space="preserve"> Martínez González</w:t>
      </w:r>
      <w:r w:rsidRPr="003F1A9B">
        <w:rPr>
          <w:rFonts w:ascii="Palatino Linotype" w:eastAsia="Palatino Linotype" w:hAnsi="Palatino Linotype" w:cs="Palatino Linotype"/>
        </w:rPr>
        <w:t>.</w:t>
      </w:r>
    </w:p>
    <w:p w14:paraId="423106DA" w14:textId="77777777" w:rsidR="00847320" w:rsidRDefault="00847320">
      <w:pPr>
        <w:spacing w:line="360" w:lineRule="auto"/>
        <w:jc w:val="both"/>
        <w:rPr>
          <w:rFonts w:ascii="Palatino Linotype" w:eastAsia="Palatino Linotype" w:hAnsi="Palatino Linotype" w:cs="Palatino Linotype"/>
        </w:rPr>
      </w:pPr>
    </w:p>
    <w:p w14:paraId="6DE0B07C" w14:textId="77777777" w:rsidR="00847320" w:rsidRDefault="00C13437" w:rsidP="00847320">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El segundo denominado “</w:t>
      </w:r>
      <w:r w:rsidR="00847320" w:rsidRPr="00847320">
        <w:rPr>
          <w:rFonts w:ascii="Palatino Linotype" w:eastAsia="Palatino Linotype" w:hAnsi="Palatino Linotype" w:cs="Palatino Linotype"/>
          <w:b/>
        </w:rPr>
        <w:t>NOMBRAMIENTO.pdf</w:t>
      </w:r>
      <w:r w:rsidRPr="003F1A9B">
        <w:rPr>
          <w:rFonts w:ascii="Palatino Linotype" w:eastAsia="Palatino Linotype" w:hAnsi="Palatino Linotype" w:cs="Palatino Linotype"/>
        </w:rPr>
        <w:t xml:space="preserve">” contiene </w:t>
      </w:r>
      <w:r w:rsidR="00847320">
        <w:rPr>
          <w:rFonts w:ascii="Palatino Linotype" w:eastAsia="Palatino Linotype" w:hAnsi="Palatino Linotype" w:cs="Palatino Linotype"/>
        </w:rPr>
        <w:t xml:space="preserve">precisamente el nombramiento de la C. Gabriela </w:t>
      </w:r>
      <w:proofErr w:type="spellStart"/>
      <w:r w:rsidR="00847320">
        <w:rPr>
          <w:rFonts w:ascii="Palatino Linotype" w:eastAsia="Palatino Linotype" w:hAnsi="Palatino Linotype" w:cs="Palatino Linotype"/>
        </w:rPr>
        <w:t>Haydelen</w:t>
      </w:r>
      <w:proofErr w:type="spellEnd"/>
      <w:r w:rsidR="00847320">
        <w:rPr>
          <w:rFonts w:ascii="Palatino Linotype" w:eastAsia="Palatino Linotype" w:hAnsi="Palatino Linotype" w:cs="Palatino Linotype"/>
        </w:rPr>
        <w:t xml:space="preserve"> Martínez González en copia simple</w:t>
      </w:r>
      <w:r w:rsidR="00513AAE">
        <w:rPr>
          <w:rFonts w:ascii="Palatino Linotype" w:eastAsia="Palatino Linotype" w:hAnsi="Palatino Linotype" w:cs="Palatino Linotype"/>
        </w:rPr>
        <w:t>, ex</w:t>
      </w:r>
      <w:r w:rsidR="00847320">
        <w:rPr>
          <w:rFonts w:ascii="Palatino Linotype" w:eastAsia="Palatino Linotype" w:hAnsi="Palatino Linotype" w:cs="Palatino Linotype"/>
        </w:rPr>
        <w:t>pedido a esta última por el Director General</w:t>
      </w:r>
      <w:r w:rsidR="00513AAE">
        <w:rPr>
          <w:rFonts w:ascii="Palatino Linotype" w:eastAsia="Palatino Linotype" w:hAnsi="Palatino Linotype" w:cs="Palatino Linotype"/>
        </w:rPr>
        <w:t xml:space="preserve"> del OPDM.</w:t>
      </w:r>
    </w:p>
    <w:p w14:paraId="5FDF7656" w14:textId="77777777" w:rsidR="00F3139D" w:rsidRPr="003F1A9B" w:rsidRDefault="00F3139D">
      <w:pPr>
        <w:spacing w:line="360" w:lineRule="auto"/>
        <w:jc w:val="both"/>
        <w:rPr>
          <w:rFonts w:ascii="Palatino Linotype" w:eastAsia="Palatino Linotype" w:hAnsi="Palatino Linotype" w:cs="Palatino Linotype"/>
        </w:rPr>
      </w:pPr>
    </w:p>
    <w:p w14:paraId="1ACBB3A9" w14:textId="77777777" w:rsidR="00F3139D" w:rsidRPr="003F1A9B" w:rsidRDefault="00C13437">
      <w:pPr>
        <w:widowControl w:val="0"/>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sz w:val="28"/>
          <w:szCs w:val="28"/>
        </w:rPr>
        <w:t>IV. Del Recurso de Revisión</w:t>
      </w:r>
      <w:r w:rsidRPr="003F1A9B">
        <w:rPr>
          <w:rFonts w:ascii="Palatino Linotype" w:eastAsia="Palatino Linotype" w:hAnsi="Palatino Linotype" w:cs="Palatino Linotype"/>
          <w:b/>
        </w:rPr>
        <w:t>.</w:t>
      </w:r>
    </w:p>
    <w:p w14:paraId="13B81BE3" w14:textId="77777777" w:rsidR="00F3139D" w:rsidRPr="003F1A9B" w:rsidRDefault="00C13437">
      <w:pPr>
        <w:widowControl w:val="0"/>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Inconforme con la respuesta del</w:t>
      </w:r>
      <w:r w:rsidRPr="003F1A9B">
        <w:rPr>
          <w:rFonts w:ascii="Palatino Linotype" w:eastAsia="Palatino Linotype" w:hAnsi="Palatino Linotype" w:cs="Palatino Linotype"/>
          <w:b/>
        </w:rPr>
        <w:t xml:space="preserve"> SUJETO OBLIGADO</w:t>
      </w:r>
      <w:r w:rsidRPr="003F1A9B">
        <w:rPr>
          <w:rFonts w:ascii="Palatino Linotype" w:eastAsia="Palatino Linotype" w:hAnsi="Palatino Linotype" w:cs="Palatino Linotype"/>
        </w:rPr>
        <w:t xml:space="preserve">, el </w:t>
      </w:r>
      <w:r w:rsidR="002B7CF3">
        <w:rPr>
          <w:rFonts w:ascii="Palatino Linotype" w:eastAsia="Palatino Linotype" w:hAnsi="Palatino Linotype" w:cs="Palatino Linotype"/>
        </w:rPr>
        <w:t>veintinueve de abril</w:t>
      </w:r>
      <w:r w:rsidRPr="003F1A9B">
        <w:rPr>
          <w:rFonts w:ascii="Palatino Linotype" w:eastAsia="Palatino Linotype" w:hAnsi="Palatino Linotype" w:cs="Palatino Linotype"/>
        </w:rPr>
        <w:t xml:space="preserve"> de dos mil veintidós, </w:t>
      </w:r>
      <w:r w:rsidRPr="003F1A9B">
        <w:rPr>
          <w:rFonts w:ascii="Palatino Linotype" w:eastAsia="Palatino Linotype" w:hAnsi="Palatino Linotype" w:cs="Palatino Linotype"/>
          <w:b/>
        </w:rPr>
        <w:t>EL RECURRENTE</w:t>
      </w:r>
      <w:r w:rsidRPr="003F1A9B">
        <w:rPr>
          <w:rFonts w:ascii="Palatino Linotype" w:eastAsia="Palatino Linotype" w:hAnsi="Palatino Linotype" w:cs="Palatino Linotype"/>
        </w:rPr>
        <w:t xml:space="preserve"> interpuso el Recurso de Revisión. El cual fue registrado en </w:t>
      </w:r>
      <w:r w:rsidRPr="003F1A9B">
        <w:rPr>
          <w:rFonts w:ascii="Palatino Linotype" w:eastAsia="Palatino Linotype" w:hAnsi="Palatino Linotype" w:cs="Palatino Linotype"/>
          <w:b/>
        </w:rPr>
        <w:t>EL SAIMEX</w:t>
      </w:r>
      <w:r w:rsidRPr="003F1A9B">
        <w:rPr>
          <w:rFonts w:ascii="Palatino Linotype" w:eastAsia="Palatino Linotype" w:hAnsi="Palatino Linotype" w:cs="Palatino Linotype"/>
        </w:rPr>
        <w:t xml:space="preserve"> y se le asignó el número de expediente </w:t>
      </w:r>
      <w:r w:rsidR="002B7CF3">
        <w:rPr>
          <w:rFonts w:ascii="Palatino Linotype" w:eastAsia="Palatino Linotype" w:hAnsi="Palatino Linotype" w:cs="Palatino Linotype"/>
          <w:b/>
        </w:rPr>
        <w:t>06802</w:t>
      </w:r>
      <w:r w:rsidRPr="003F1A9B">
        <w:rPr>
          <w:rFonts w:ascii="Palatino Linotype" w:eastAsia="Palatino Linotype" w:hAnsi="Palatino Linotype" w:cs="Palatino Linotype"/>
          <w:b/>
        </w:rPr>
        <w:t xml:space="preserve">/INFOEM/IP/RR/2022, </w:t>
      </w:r>
      <w:r w:rsidRPr="003F1A9B">
        <w:rPr>
          <w:rFonts w:ascii="Palatino Linotype" w:eastAsia="Palatino Linotype" w:hAnsi="Palatino Linotype" w:cs="Palatino Linotype"/>
        </w:rPr>
        <w:t xml:space="preserve">donde los motivos de agravio del </w:t>
      </w:r>
      <w:r w:rsidRPr="003F1A9B">
        <w:rPr>
          <w:rFonts w:ascii="Palatino Linotype" w:eastAsia="Palatino Linotype" w:hAnsi="Palatino Linotype" w:cs="Palatino Linotype"/>
          <w:b/>
        </w:rPr>
        <w:t xml:space="preserve">RECURRENTE </w:t>
      </w:r>
      <w:r w:rsidRPr="003F1A9B">
        <w:rPr>
          <w:rFonts w:ascii="Palatino Linotype" w:eastAsia="Palatino Linotype" w:hAnsi="Palatino Linotype" w:cs="Palatino Linotype"/>
        </w:rPr>
        <w:t>fueron los siguientes:</w:t>
      </w:r>
    </w:p>
    <w:p w14:paraId="19127D81" w14:textId="77777777" w:rsidR="00F3139D" w:rsidRPr="003F1A9B" w:rsidRDefault="00C13437">
      <w:pPr>
        <w:spacing w:line="360" w:lineRule="auto"/>
        <w:ind w:left="-57" w:right="-57"/>
        <w:jc w:val="both"/>
        <w:rPr>
          <w:rFonts w:ascii="Palatino Linotype" w:eastAsia="Palatino Linotype" w:hAnsi="Palatino Linotype" w:cs="Palatino Linotype"/>
          <w:b/>
          <w:u w:val="single"/>
        </w:rPr>
      </w:pPr>
      <w:r w:rsidRPr="003F1A9B">
        <w:rPr>
          <w:rFonts w:ascii="Palatino Linotype" w:eastAsia="Palatino Linotype" w:hAnsi="Palatino Linotype" w:cs="Palatino Linotype"/>
          <w:b/>
          <w:u w:val="single"/>
        </w:rPr>
        <w:lastRenderedPageBreak/>
        <w:t>Acto Impugnado:</w:t>
      </w:r>
      <w:r w:rsidRPr="003F1A9B">
        <w:rPr>
          <w:b/>
          <w:u w:val="single"/>
        </w:rPr>
        <w:t xml:space="preserve"> </w:t>
      </w:r>
    </w:p>
    <w:p w14:paraId="75656D84" w14:textId="77777777" w:rsidR="00F3139D" w:rsidRPr="003F1A9B" w:rsidRDefault="00C13437">
      <w:pPr>
        <w:tabs>
          <w:tab w:val="left" w:pos="709"/>
        </w:tabs>
        <w:spacing w:before="66"/>
        <w:ind w:left="850"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t>“</w:t>
      </w:r>
      <w:r w:rsidR="002B7CF3" w:rsidRPr="002B7CF3">
        <w:rPr>
          <w:rFonts w:ascii="Palatino Linotype" w:eastAsia="Palatino Linotype" w:hAnsi="Palatino Linotype" w:cs="Palatino Linotype"/>
          <w:i/>
          <w:sz w:val="22"/>
          <w:szCs w:val="22"/>
        </w:rPr>
        <w:t>ES EVIDENTE QUE ESTAN EN FALTAS ADMINISTRATIVAS DE SERVIDORES PUBLICOS</w:t>
      </w:r>
      <w:r w:rsidR="002B7CF3">
        <w:rPr>
          <w:rFonts w:ascii="Palatino Linotype" w:eastAsia="Palatino Linotype" w:hAnsi="Palatino Linotype" w:cs="Palatino Linotype"/>
          <w:i/>
          <w:sz w:val="22"/>
          <w:szCs w:val="22"/>
        </w:rPr>
        <w:t>.</w:t>
      </w:r>
      <w:r w:rsidRPr="003F1A9B">
        <w:rPr>
          <w:rFonts w:ascii="Palatino Linotype" w:eastAsia="Palatino Linotype" w:hAnsi="Palatino Linotype" w:cs="Palatino Linotype"/>
          <w:i/>
          <w:sz w:val="22"/>
          <w:szCs w:val="22"/>
        </w:rPr>
        <w:t>”(</w:t>
      </w:r>
      <w:proofErr w:type="gramStart"/>
      <w:r w:rsidRPr="003F1A9B">
        <w:rPr>
          <w:rFonts w:ascii="Palatino Linotype" w:eastAsia="Palatino Linotype" w:hAnsi="Palatino Linotype" w:cs="Palatino Linotype"/>
          <w:i/>
          <w:sz w:val="22"/>
          <w:szCs w:val="22"/>
        </w:rPr>
        <w:t>sic</w:t>
      </w:r>
      <w:proofErr w:type="gramEnd"/>
      <w:r w:rsidRPr="003F1A9B">
        <w:rPr>
          <w:rFonts w:ascii="Palatino Linotype" w:eastAsia="Palatino Linotype" w:hAnsi="Palatino Linotype" w:cs="Palatino Linotype"/>
          <w:i/>
          <w:sz w:val="22"/>
          <w:szCs w:val="22"/>
        </w:rPr>
        <w:t>)</w:t>
      </w:r>
    </w:p>
    <w:p w14:paraId="4F274EDF" w14:textId="77777777" w:rsidR="00F3139D" w:rsidRPr="003F1A9B" w:rsidRDefault="00F3139D">
      <w:pPr>
        <w:ind w:right="899"/>
        <w:jc w:val="both"/>
        <w:rPr>
          <w:rFonts w:ascii="Palatino Linotype" w:eastAsia="Palatino Linotype" w:hAnsi="Palatino Linotype" w:cs="Palatino Linotype"/>
        </w:rPr>
      </w:pPr>
    </w:p>
    <w:p w14:paraId="3209ACD6" w14:textId="77777777" w:rsidR="00F3139D" w:rsidRPr="003F1A9B" w:rsidRDefault="00C13437">
      <w:pPr>
        <w:spacing w:line="360" w:lineRule="auto"/>
        <w:ind w:right="49"/>
        <w:jc w:val="both"/>
        <w:rPr>
          <w:rFonts w:ascii="Palatino Linotype" w:eastAsia="Palatino Linotype" w:hAnsi="Palatino Linotype" w:cs="Palatino Linotype"/>
          <w:b/>
          <w:u w:val="single"/>
        </w:rPr>
      </w:pPr>
      <w:r w:rsidRPr="003F1A9B">
        <w:rPr>
          <w:rFonts w:ascii="Palatino Linotype" w:eastAsia="Palatino Linotype" w:hAnsi="Palatino Linotype" w:cs="Palatino Linotype"/>
          <w:b/>
          <w:u w:val="single"/>
        </w:rPr>
        <w:t>Razones o motivos de inconformidad:</w:t>
      </w:r>
    </w:p>
    <w:p w14:paraId="38384FD4" w14:textId="77777777" w:rsidR="00F3139D" w:rsidRPr="003F1A9B" w:rsidRDefault="00C13437">
      <w:pPr>
        <w:tabs>
          <w:tab w:val="left" w:pos="709"/>
        </w:tabs>
        <w:spacing w:before="66"/>
        <w:ind w:left="850" w:right="899"/>
        <w:jc w:val="both"/>
        <w:rPr>
          <w:rFonts w:ascii="Palatino Linotype" w:eastAsia="Palatino Linotype" w:hAnsi="Palatino Linotype" w:cs="Palatino Linotype"/>
          <w:b/>
          <w:u w:val="single"/>
        </w:rPr>
      </w:pPr>
      <w:r w:rsidRPr="003F1A9B">
        <w:rPr>
          <w:rFonts w:ascii="Palatino Linotype" w:eastAsia="Palatino Linotype" w:hAnsi="Palatino Linotype" w:cs="Palatino Linotype"/>
          <w:i/>
          <w:sz w:val="22"/>
          <w:szCs w:val="22"/>
        </w:rPr>
        <w:t>“</w:t>
      </w:r>
      <w:r w:rsidR="002B7CF3" w:rsidRPr="002B7CF3">
        <w:rPr>
          <w:rFonts w:ascii="Palatino Linotype" w:eastAsia="Palatino Linotype" w:hAnsi="Palatino Linotype" w:cs="Palatino Linotype"/>
          <w:i/>
          <w:sz w:val="22"/>
          <w:szCs w:val="22"/>
        </w:rPr>
        <w:t>SE REALICE LA DEMANDA CORRESPONDIENTE POR COMETER ACTOS ATRIBUIDOS A SERVIDORES PUBLICOS IINVOLUCRADOS AL PERMITIR AVIADORES EN EL ORGANISMO. QUE EL DIRECTOR GENERAL Y EL PRESIDENTE MUNICPAL TENGA PLENO CONOCIMIENTO DE LAS IRREGULARIDADES Y PROBLEMAS QUE ESTA OCASIONANDO. POR MEDIO DE ESE INFOEM.SE HAGAN LAS GESTIONES QUE CORRESPONDAN CON LAS VISTAS AL MINISTERIO PUBLICO DE LA FEDERACION Y LOS ORGANOS INTERNOS ASI COMO AL OSFEM PARA SU ATENCION</w:t>
      </w:r>
      <w:r w:rsidRPr="003F1A9B">
        <w:rPr>
          <w:rFonts w:ascii="Palatino Linotype" w:eastAsia="Palatino Linotype" w:hAnsi="Palatino Linotype" w:cs="Palatino Linotype"/>
          <w:i/>
          <w:sz w:val="22"/>
          <w:szCs w:val="22"/>
        </w:rPr>
        <w:t>”(sic)</w:t>
      </w:r>
    </w:p>
    <w:p w14:paraId="635B59CC" w14:textId="77777777" w:rsidR="00F3139D" w:rsidRPr="003F1A9B" w:rsidRDefault="00F3139D">
      <w:pPr>
        <w:spacing w:line="360" w:lineRule="auto"/>
        <w:jc w:val="both"/>
        <w:rPr>
          <w:rFonts w:ascii="Palatino Linotype" w:eastAsia="Palatino Linotype" w:hAnsi="Palatino Linotype" w:cs="Palatino Linotype"/>
          <w:b/>
          <w:sz w:val="28"/>
          <w:szCs w:val="28"/>
        </w:rPr>
      </w:pPr>
    </w:p>
    <w:p w14:paraId="4290C286" w14:textId="77777777" w:rsidR="00F3139D" w:rsidRPr="003F1A9B" w:rsidRDefault="00C13437">
      <w:pPr>
        <w:spacing w:line="360" w:lineRule="auto"/>
        <w:jc w:val="both"/>
        <w:rPr>
          <w:rFonts w:ascii="Palatino Linotype" w:eastAsia="Palatino Linotype" w:hAnsi="Palatino Linotype" w:cs="Palatino Linotype"/>
          <w:b/>
          <w:sz w:val="28"/>
          <w:szCs w:val="28"/>
        </w:rPr>
      </w:pPr>
      <w:r w:rsidRPr="003F1A9B">
        <w:rPr>
          <w:rFonts w:ascii="Palatino Linotype" w:eastAsia="Palatino Linotype" w:hAnsi="Palatino Linotype" w:cs="Palatino Linotype"/>
          <w:b/>
          <w:sz w:val="28"/>
          <w:szCs w:val="28"/>
        </w:rPr>
        <w:t xml:space="preserve">V. Del turno del Recurso de Revisión. </w:t>
      </w:r>
    </w:p>
    <w:p w14:paraId="4683593C"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El </w:t>
      </w:r>
      <w:r w:rsidR="00BB3D16">
        <w:rPr>
          <w:rFonts w:ascii="Palatino Linotype" w:eastAsia="Palatino Linotype" w:hAnsi="Palatino Linotype" w:cs="Palatino Linotype"/>
        </w:rPr>
        <w:t>veintinueve de abril de</w:t>
      </w:r>
      <w:r w:rsidRPr="003F1A9B">
        <w:rPr>
          <w:rFonts w:ascii="Palatino Linotype" w:eastAsia="Palatino Linotype" w:hAnsi="Palatino Linotype" w:cs="Palatino Linotype"/>
        </w:rPr>
        <w:t xml:space="preserv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3F1A9B">
        <w:rPr>
          <w:rFonts w:ascii="Palatino Linotype" w:eastAsia="Palatino Linotype" w:hAnsi="Palatino Linotype" w:cs="Palatino Linotype"/>
          <w:b/>
        </w:rPr>
        <w:t>Comisionada Sharon Cristina Morales Martínez</w:t>
      </w:r>
      <w:r w:rsidRPr="003F1A9B">
        <w:rPr>
          <w:rFonts w:ascii="Palatino Linotype" w:eastAsia="Palatino Linotype" w:hAnsi="Palatino Linotype" w:cs="Palatino Linotype"/>
        </w:rPr>
        <w:t xml:space="preserve">; a efecto de decretar su admisión o </w:t>
      </w:r>
      <w:proofErr w:type="spellStart"/>
      <w:r w:rsidRPr="003F1A9B">
        <w:rPr>
          <w:rFonts w:ascii="Palatino Linotype" w:eastAsia="Palatino Linotype" w:hAnsi="Palatino Linotype" w:cs="Palatino Linotype"/>
        </w:rPr>
        <w:t>desechamiento</w:t>
      </w:r>
      <w:proofErr w:type="spellEnd"/>
      <w:r w:rsidRPr="003F1A9B">
        <w:rPr>
          <w:rFonts w:ascii="Palatino Linotype" w:eastAsia="Palatino Linotype" w:hAnsi="Palatino Linotype" w:cs="Palatino Linotype"/>
        </w:rPr>
        <w:t>.</w:t>
      </w:r>
    </w:p>
    <w:p w14:paraId="3803225F" w14:textId="77777777" w:rsidR="00F3139D" w:rsidRPr="003F1A9B" w:rsidRDefault="00F3139D">
      <w:pPr>
        <w:spacing w:line="360" w:lineRule="auto"/>
        <w:jc w:val="both"/>
        <w:rPr>
          <w:rFonts w:ascii="Palatino Linotype" w:eastAsia="Palatino Linotype" w:hAnsi="Palatino Linotype" w:cs="Palatino Linotype"/>
        </w:rPr>
      </w:pPr>
    </w:p>
    <w:p w14:paraId="6B4A6C9A" w14:textId="77777777" w:rsidR="00F3139D" w:rsidRPr="003F1A9B" w:rsidRDefault="00C13437">
      <w:pPr>
        <w:tabs>
          <w:tab w:val="center" w:pos="4252"/>
          <w:tab w:val="right" w:pos="8504"/>
        </w:tabs>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t>a) Admisión del Recurso de Revisión</w:t>
      </w:r>
    </w:p>
    <w:p w14:paraId="213544D6" w14:textId="77777777" w:rsidR="00F3139D" w:rsidRPr="003F1A9B" w:rsidRDefault="00C13437">
      <w:pPr>
        <w:tabs>
          <w:tab w:val="center" w:pos="4252"/>
          <w:tab w:val="right" w:pos="8504"/>
        </w:tabs>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lastRenderedPageBreak/>
        <w:t>De las constancias que obran en el expediente electrónico del</w:t>
      </w:r>
      <w:r w:rsidRPr="003F1A9B">
        <w:rPr>
          <w:rFonts w:ascii="Palatino Linotype" w:eastAsia="Palatino Linotype" w:hAnsi="Palatino Linotype" w:cs="Palatino Linotype"/>
          <w:b/>
        </w:rPr>
        <w:t xml:space="preserve"> SAIMEX</w:t>
      </w:r>
      <w:r w:rsidRPr="003F1A9B">
        <w:rPr>
          <w:rFonts w:ascii="Palatino Linotype" w:eastAsia="Palatino Linotype" w:hAnsi="Palatino Linotype" w:cs="Palatino Linotype"/>
        </w:rPr>
        <w:t xml:space="preserve">, se advierte que en fecha </w:t>
      </w:r>
      <w:r w:rsidR="00BB3D16">
        <w:rPr>
          <w:rFonts w:ascii="Palatino Linotype" w:eastAsia="Palatino Linotype" w:hAnsi="Palatino Linotype" w:cs="Palatino Linotype"/>
        </w:rPr>
        <w:t>tres</w:t>
      </w:r>
      <w:r w:rsidRPr="003F1A9B">
        <w:rPr>
          <w:rFonts w:ascii="Palatino Linotype" w:eastAsia="Palatino Linotype" w:hAnsi="Palatino Linotype" w:cs="Palatino Linotype"/>
        </w:rPr>
        <w:t xml:space="preserve"> de mayo de dos mil veintidós, se acordó la admisión a trámite del Recurso de Revisión que nos ocupa; así como la integración del expediente respectivo, mismo que se puso a disposición de las partes, para que en un plazo máximo de siete días hábiles </w:t>
      </w:r>
      <w:r w:rsidRPr="003F1A9B">
        <w:rPr>
          <w:rFonts w:ascii="Palatino Linotype" w:eastAsia="Palatino Linotype" w:hAnsi="Palatino Linotype" w:cs="Palatino Linotype"/>
          <w:b/>
        </w:rPr>
        <w:t xml:space="preserve">EL RECURRENTE </w:t>
      </w:r>
      <w:r w:rsidRPr="003F1A9B">
        <w:rPr>
          <w:rFonts w:ascii="Palatino Linotype" w:eastAsia="Palatino Linotype" w:hAnsi="Palatino Linotype" w:cs="Palatino Linotype"/>
        </w:rPr>
        <w:t xml:space="preserve">manifestara lo que a su derecho conviniera, a efecto de presentar pruebas y alegatos; así como, para que </w:t>
      </w:r>
      <w:r w:rsidRPr="003F1A9B">
        <w:rPr>
          <w:rFonts w:ascii="Palatino Linotype" w:eastAsia="Palatino Linotype" w:hAnsi="Palatino Linotype" w:cs="Palatino Linotype"/>
          <w:b/>
        </w:rPr>
        <w:t xml:space="preserve">EL SUJETO OBLIGADO </w:t>
      </w:r>
      <w:r w:rsidRPr="003F1A9B">
        <w:rPr>
          <w:rFonts w:ascii="Palatino Linotype" w:eastAsia="Palatino Linotype" w:hAnsi="Palatino Linotype" w:cs="Palatino Linotype"/>
        </w:rPr>
        <w:t>rindiera el correspondiente</w:t>
      </w:r>
      <w:r w:rsidRPr="003F1A9B">
        <w:rPr>
          <w:rFonts w:ascii="Palatino Linotype" w:eastAsia="Palatino Linotype" w:hAnsi="Palatino Linotype" w:cs="Palatino Linotype"/>
          <w:b/>
        </w:rPr>
        <w:t xml:space="preserve"> </w:t>
      </w:r>
      <w:r w:rsidRPr="003F1A9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39E8702" w14:textId="77777777" w:rsidR="00F3139D" w:rsidRPr="003F1A9B" w:rsidRDefault="00F3139D">
      <w:pPr>
        <w:tabs>
          <w:tab w:val="center" w:pos="4252"/>
          <w:tab w:val="right" w:pos="8504"/>
        </w:tabs>
        <w:spacing w:line="360" w:lineRule="auto"/>
        <w:jc w:val="both"/>
        <w:rPr>
          <w:rFonts w:ascii="Palatino Linotype" w:eastAsia="Palatino Linotype" w:hAnsi="Palatino Linotype" w:cs="Palatino Linotype"/>
        </w:rPr>
      </w:pPr>
    </w:p>
    <w:p w14:paraId="43AE1338" w14:textId="77777777" w:rsidR="00F3139D" w:rsidRPr="003F1A9B" w:rsidRDefault="00C13437">
      <w:pPr>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t>b) Informe Justificado</w:t>
      </w:r>
    </w:p>
    <w:p w14:paraId="08242DBA" w14:textId="77777777" w:rsidR="00F3139D" w:rsidRPr="003F1A9B" w:rsidRDefault="00C13437">
      <w:pPr>
        <w:widowControl w:val="0"/>
        <w:tabs>
          <w:tab w:val="left" w:pos="0"/>
        </w:tabs>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Conforme a las constancias que obran en el expediente del </w:t>
      </w:r>
      <w:r w:rsidRPr="003F1A9B">
        <w:rPr>
          <w:rFonts w:ascii="Palatino Linotype" w:eastAsia="Palatino Linotype" w:hAnsi="Palatino Linotype" w:cs="Palatino Linotype"/>
          <w:b/>
        </w:rPr>
        <w:t>SAIMEX,</w:t>
      </w:r>
      <w:r w:rsidRPr="003F1A9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3F1A9B">
        <w:rPr>
          <w:rFonts w:ascii="Palatino Linotype" w:eastAsia="Palatino Linotype" w:hAnsi="Palatino Linotype" w:cs="Palatino Linotype"/>
          <w:b/>
        </w:rPr>
        <w:t>EL</w:t>
      </w:r>
      <w:r w:rsidRPr="003F1A9B">
        <w:rPr>
          <w:rFonts w:ascii="Palatino Linotype" w:eastAsia="Palatino Linotype" w:hAnsi="Palatino Linotype" w:cs="Palatino Linotype"/>
        </w:rPr>
        <w:t xml:space="preserve"> </w:t>
      </w:r>
      <w:r w:rsidRPr="003F1A9B">
        <w:rPr>
          <w:rFonts w:ascii="Palatino Linotype" w:eastAsia="Palatino Linotype" w:hAnsi="Palatino Linotype" w:cs="Palatino Linotype"/>
          <w:b/>
        </w:rPr>
        <w:t>RECURRENTE</w:t>
      </w:r>
      <w:r w:rsidRPr="003F1A9B">
        <w:rPr>
          <w:rFonts w:ascii="Palatino Linotype" w:eastAsia="Palatino Linotype" w:hAnsi="Palatino Linotype" w:cs="Palatino Linotype"/>
        </w:rPr>
        <w:t xml:space="preserve"> no presentó manifestaciones que a su derecho convinieran.  </w:t>
      </w:r>
    </w:p>
    <w:p w14:paraId="6EFAFF00" w14:textId="77777777" w:rsidR="00F3139D" w:rsidRPr="003F1A9B" w:rsidRDefault="00F3139D">
      <w:pPr>
        <w:widowControl w:val="0"/>
        <w:tabs>
          <w:tab w:val="left" w:pos="0"/>
        </w:tabs>
        <w:spacing w:line="360" w:lineRule="auto"/>
        <w:jc w:val="both"/>
        <w:rPr>
          <w:rFonts w:ascii="Palatino Linotype" w:eastAsia="Palatino Linotype" w:hAnsi="Palatino Linotype" w:cs="Palatino Linotype"/>
        </w:rPr>
      </w:pPr>
    </w:p>
    <w:p w14:paraId="2E159950" w14:textId="77777777" w:rsidR="00F3139D" w:rsidRPr="003F1A9B" w:rsidRDefault="00C13437">
      <w:pPr>
        <w:widowControl w:val="0"/>
        <w:tabs>
          <w:tab w:val="left" w:pos="0"/>
        </w:tabs>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En cuanto al archivo denominado “</w:t>
      </w:r>
      <w:r w:rsidR="00BB3D16" w:rsidRPr="00BB3D16">
        <w:rPr>
          <w:rFonts w:ascii="Palatino Linotype" w:eastAsia="Palatino Linotype" w:hAnsi="Palatino Linotype" w:cs="Palatino Linotype"/>
          <w:b/>
        </w:rPr>
        <w:t>RR 6802 SAIMEX 168.pdf</w:t>
      </w:r>
      <w:r w:rsidRPr="003F1A9B">
        <w:rPr>
          <w:rFonts w:ascii="Palatino Linotype" w:eastAsia="Palatino Linotype" w:hAnsi="Palatino Linotype" w:cs="Palatino Linotype"/>
        </w:rPr>
        <w:t>”</w:t>
      </w:r>
      <w:r w:rsidR="00BB3D16">
        <w:rPr>
          <w:rFonts w:ascii="Palatino Linotype" w:eastAsia="Palatino Linotype" w:hAnsi="Palatino Linotype" w:cs="Palatino Linotype"/>
        </w:rPr>
        <w:t>,</w:t>
      </w:r>
      <w:r w:rsidRPr="003F1A9B">
        <w:rPr>
          <w:rFonts w:ascii="Palatino Linotype" w:eastAsia="Palatino Linotype" w:hAnsi="Palatino Linotype" w:cs="Palatino Linotype"/>
        </w:rPr>
        <w:t xml:space="preserve"> el cual fue puesto a disposición del particular y de cuyo contenido se advierte que el ente </w:t>
      </w:r>
      <w:r w:rsidR="002656B3">
        <w:rPr>
          <w:rFonts w:ascii="Palatino Linotype" w:eastAsia="Palatino Linotype" w:hAnsi="Palatino Linotype" w:cs="Palatino Linotype"/>
        </w:rPr>
        <w:t>recurrido ratifica</w:t>
      </w:r>
      <w:r w:rsidR="008C77D8">
        <w:rPr>
          <w:rFonts w:ascii="Palatino Linotype" w:eastAsia="Palatino Linotype" w:hAnsi="Palatino Linotype" w:cs="Palatino Linotype"/>
        </w:rPr>
        <w:t xml:space="preserve"> su respuesta.</w:t>
      </w:r>
    </w:p>
    <w:p w14:paraId="0DA764B6" w14:textId="77777777" w:rsidR="00F3139D" w:rsidRPr="003F1A9B" w:rsidRDefault="00C13437">
      <w:pPr>
        <w:widowControl w:val="0"/>
        <w:tabs>
          <w:tab w:val="left" w:pos="0"/>
        </w:tabs>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lastRenderedPageBreak/>
        <w:t xml:space="preserve">c) De la ampliación </w:t>
      </w:r>
    </w:p>
    <w:p w14:paraId="69CF5B01"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En fecha veintitrés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52E31ABE" w14:textId="77777777" w:rsidR="00F3139D" w:rsidRPr="003F1A9B" w:rsidRDefault="00F3139D">
      <w:pPr>
        <w:shd w:val="clear" w:color="auto" w:fill="FFFFFF"/>
        <w:spacing w:line="392" w:lineRule="auto"/>
        <w:jc w:val="both"/>
        <w:rPr>
          <w:rFonts w:ascii="Palatino Linotype" w:eastAsia="Palatino Linotype" w:hAnsi="Palatino Linotype" w:cs="Palatino Linotype"/>
        </w:rPr>
      </w:pPr>
    </w:p>
    <w:p w14:paraId="6D85BBA5"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E7C93DD"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4C4166EB"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3F1A9B">
        <w:rPr>
          <w:rFonts w:ascii="Palatino Linotype" w:eastAsia="Palatino Linotype" w:hAnsi="Palatino Linotype" w:cs="Palatino Linotype"/>
        </w:rPr>
        <w:lastRenderedPageBreak/>
        <w:t>establecidos por diversos órganos jurisdiccionales federales, aplicables también en procedimientos análogos, como el que nos ocupa.</w:t>
      </w:r>
    </w:p>
    <w:p w14:paraId="041612DA"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5DDDE1A0"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5AC51"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54505633"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07B3E7"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278D6270"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76061B08" w14:textId="77777777" w:rsidR="00F3139D" w:rsidRPr="003F1A9B" w:rsidRDefault="00C13437">
      <w:pPr>
        <w:shd w:val="clear" w:color="auto" w:fill="FFFFFF"/>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6347F286" w14:textId="77777777" w:rsidR="00F3139D" w:rsidRPr="003F1A9B" w:rsidRDefault="00C13437">
      <w:pPr>
        <w:shd w:val="clear" w:color="auto" w:fill="FFFFFF"/>
        <w:spacing w:before="200" w:after="200" w:line="360" w:lineRule="auto"/>
        <w:ind w:left="992"/>
        <w:jc w:val="both"/>
        <w:rPr>
          <w:rFonts w:ascii="Palatino Linotype" w:eastAsia="Palatino Linotype" w:hAnsi="Palatino Linotype" w:cs="Palatino Linotype"/>
        </w:rPr>
      </w:pPr>
      <w:r w:rsidRPr="003F1A9B">
        <w:rPr>
          <w:rFonts w:ascii="Palatino Linotype" w:eastAsia="Palatino Linotype" w:hAnsi="Palatino Linotype" w:cs="Palatino Linotype"/>
        </w:rPr>
        <w:lastRenderedPageBreak/>
        <w:t xml:space="preserve">a) Complejidad del Asunto: La complejidad de la prueba, la pluralidad de sujetos procesales, el tiempo transcurrido, las características y contexto del recurso. </w:t>
      </w:r>
    </w:p>
    <w:p w14:paraId="5A2FD8D1" w14:textId="77777777" w:rsidR="00F3139D" w:rsidRPr="003F1A9B" w:rsidRDefault="00C13437">
      <w:pPr>
        <w:shd w:val="clear" w:color="auto" w:fill="FFFFFF"/>
        <w:spacing w:before="200" w:after="200" w:line="360" w:lineRule="auto"/>
        <w:ind w:left="992"/>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b) Actividad Procesal del interesado. Acciones u omisiones del interesado. </w:t>
      </w:r>
    </w:p>
    <w:p w14:paraId="789DB778" w14:textId="77777777" w:rsidR="00F3139D" w:rsidRPr="003F1A9B" w:rsidRDefault="00C13437">
      <w:pPr>
        <w:shd w:val="clear" w:color="auto" w:fill="FFFFFF"/>
        <w:spacing w:before="200" w:after="200" w:line="360" w:lineRule="auto"/>
        <w:ind w:left="992"/>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c) Conducta de la Autoridad: Las Acciones u omisiones realizadas en el procedimiento. Así como si la autoridad actuó con la debida diligencia. </w:t>
      </w:r>
    </w:p>
    <w:p w14:paraId="559465DC" w14:textId="77777777" w:rsidR="00F3139D" w:rsidRPr="003F1A9B" w:rsidRDefault="00C13437">
      <w:pPr>
        <w:shd w:val="clear" w:color="auto" w:fill="FFFFFF"/>
        <w:spacing w:line="360" w:lineRule="auto"/>
        <w:ind w:left="992"/>
        <w:jc w:val="both"/>
        <w:rPr>
          <w:rFonts w:ascii="Palatino Linotype" w:eastAsia="Palatino Linotype" w:hAnsi="Palatino Linotype" w:cs="Palatino Linotype"/>
        </w:rPr>
      </w:pPr>
      <w:r w:rsidRPr="003F1A9B">
        <w:rPr>
          <w:rFonts w:ascii="Palatino Linotype" w:eastAsia="Palatino Linotype" w:hAnsi="Palatino Linotype" w:cs="Palatino Linotype"/>
        </w:rPr>
        <w:t>d) La afectación generada en la situación jurídica de la persona involucrada en el proceso: Violación a sus derechos humanos.</w:t>
      </w:r>
    </w:p>
    <w:p w14:paraId="39149F16" w14:textId="77777777" w:rsidR="00F3139D" w:rsidRPr="003F1A9B" w:rsidRDefault="00C13437">
      <w:pPr>
        <w:shd w:val="clear" w:color="auto" w:fill="FFFFFF"/>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6727D3A0"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EE89A6"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43238E0E"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Argumento que encuentra sustento en la jurisprudencia P</w:t>
      </w:r>
      <w:proofErr w:type="gramStart"/>
      <w:r w:rsidRPr="003F1A9B">
        <w:rPr>
          <w:rFonts w:ascii="Palatino Linotype" w:eastAsia="Palatino Linotype" w:hAnsi="Palatino Linotype" w:cs="Palatino Linotype"/>
        </w:rPr>
        <w:t>./</w:t>
      </w:r>
      <w:proofErr w:type="gramEnd"/>
      <w:r w:rsidRPr="003F1A9B">
        <w:rPr>
          <w:rFonts w:ascii="Palatino Linotype" w:eastAsia="Palatino Linotype" w:hAnsi="Palatino Linotype" w:cs="Palatino Linotype"/>
        </w:rPr>
        <w:t xml:space="preserve">J. 32/92 emitida por el Pleno de la Suprema Corte de Justicia de la Nación del rubro </w:t>
      </w:r>
      <w:r w:rsidRPr="003F1A9B">
        <w:rPr>
          <w:rFonts w:ascii="Palatino Linotype" w:eastAsia="Palatino Linotype" w:hAnsi="Palatino Linotype" w:cs="Palatino Linotype"/>
          <w:i/>
        </w:rPr>
        <w:t xml:space="preserve">“TÉRMINOS PROCESALES. PARA DETERMINAR SI UN FUNCIONARIO JUDICIAL ACTUÓ INDEBIDAMENTE </w:t>
      </w:r>
      <w:r w:rsidRPr="003F1A9B">
        <w:rPr>
          <w:rFonts w:ascii="Palatino Linotype" w:eastAsia="Palatino Linotype" w:hAnsi="Palatino Linotype" w:cs="Palatino Linotype"/>
          <w:i/>
        </w:rPr>
        <w:lastRenderedPageBreak/>
        <w:t>POR NO RESPETARLOS SE DEBE ATENDER AL PRESUPUESTO QUE CONSIDERÓ EL LEGISLADOR AL FIJARLOS Y LAS CARACTERÍSTICAS DEL CASO.”</w:t>
      </w:r>
      <w:r w:rsidRPr="003F1A9B">
        <w:rPr>
          <w:rFonts w:ascii="Palatino Linotype" w:eastAsia="Palatino Linotype" w:hAnsi="Palatino Linotype" w:cs="Palatino Linotype"/>
        </w:rPr>
        <w:t>, visible en la Gaceta del Semanario Judicial de la Federación con el registro digital 205635.</w:t>
      </w:r>
    </w:p>
    <w:p w14:paraId="460D8687" w14:textId="77777777" w:rsidR="00F3139D" w:rsidRPr="003F1A9B" w:rsidRDefault="00C13437">
      <w:pPr>
        <w:shd w:val="clear" w:color="auto" w:fill="FFFFFF"/>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0FEEC1E9"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91CB74"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553709BD"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B7D8761"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9BF6768"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 </w:t>
      </w:r>
    </w:p>
    <w:p w14:paraId="1EEEF273"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i/>
        </w:rPr>
        <w:t>“PLAZO RAZONABLE PARA RESOLVER. DIMENSIÓN Y EFECTOS DE ESTE CONCEPTO CUANDO SE ADUCE EXCESIVA CARGA DE TRABAJO.”</w:t>
      </w:r>
      <w:r w:rsidRPr="003F1A9B">
        <w:rPr>
          <w:rFonts w:ascii="Palatino Linotype" w:eastAsia="Palatino Linotype" w:hAnsi="Palatino Linotype" w:cs="Palatino Linotype"/>
        </w:rPr>
        <w:t xml:space="preserve"> consultable en el Seminario Judicial de la Federación y su gaceta, con el registro digital 2002351.</w:t>
      </w:r>
    </w:p>
    <w:p w14:paraId="4FD7EE4F" w14:textId="77777777" w:rsidR="00F3139D" w:rsidRPr="003F1A9B" w:rsidRDefault="00C13437">
      <w:pPr>
        <w:shd w:val="clear" w:color="auto" w:fill="FFFFFF"/>
        <w:spacing w:line="392"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t xml:space="preserve"> </w:t>
      </w:r>
    </w:p>
    <w:p w14:paraId="29DE1FF2"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i/>
        </w:rPr>
        <w:t>“PLAZO RAZONABLE PARA RESOLVER. CONCEPTO Y ELEMENTOS QUE LO INTEGRAN A LA LUZ DEL DERECHO INTERNACIONAL DE LOS DERECHOS HUMANOS.”</w:t>
      </w:r>
      <w:r w:rsidRPr="003F1A9B">
        <w:rPr>
          <w:rFonts w:ascii="Palatino Linotype" w:eastAsia="Palatino Linotype" w:hAnsi="Palatino Linotype" w:cs="Palatino Linotype"/>
        </w:rPr>
        <w:t>, visible en el Seminario Judicial de la Federación y su gaceta, con el registro digital 2002350.</w:t>
      </w:r>
    </w:p>
    <w:p w14:paraId="497C592F" w14:textId="77777777" w:rsidR="00F3139D" w:rsidRPr="003F1A9B" w:rsidRDefault="00C13437">
      <w:pPr>
        <w:shd w:val="clear" w:color="auto" w:fill="FFFFFF"/>
        <w:spacing w:line="392"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t xml:space="preserve"> </w:t>
      </w:r>
    </w:p>
    <w:p w14:paraId="42764AD9" w14:textId="77777777" w:rsidR="00F3139D" w:rsidRPr="003F1A9B" w:rsidRDefault="00C13437">
      <w:pPr>
        <w:shd w:val="clear" w:color="auto" w:fill="FFFFFF"/>
        <w:spacing w:line="392"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F223A74" w14:textId="77777777" w:rsidR="00F3139D" w:rsidRDefault="00F3139D">
      <w:pPr>
        <w:spacing w:line="360" w:lineRule="auto"/>
        <w:jc w:val="both"/>
        <w:rPr>
          <w:rFonts w:ascii="Palatino Linotype" w:eastAsia="Palatino Linotype" w:hAnsi="Palatino Linotype" w:cs="Palatino Linotype"/>
        </w:rPr>
      </w:pPr>
    </w:p>
    <w:p w14:paraId="6F2942E3" w14:textId="77777777" w:rsidR="003B5580" w:rsidRDefault="003B5580">
      <w:pPr>
        <w:spacing w:line="360" w:lineRule="auto"/>
        <w:jc w:val="both"/>
        <w:rPr>
          <w:rFonts w:ascii="Palatino Linotype" w:eastAsia="Palatino Linotype" w:hAnsi="Palatino Linotype" w:cs="Palatino Linotype"/>
        </w:rPr>
      </w:pPr>
    </w:p>
    <w:p w14:paraId="1CF7FB00" w14:textId="77777777" w:rsidR="003B5580" w:rsidRPr="003F1A9B" w:rsidRDefault="003B5580">
      <w:pPr>
        <w:spacing w:line="360" w:lineRule="auto"/>
        <w:jc w:val="both"/>
        <w:rPr>
          <w:rFonts w:ascii="Palatino Linotype" w:eastAsia="Palatino Linotype" w:hAnsi="Palatino Linotype" w:cs="Palatino Linotype"/>
        </w:rPr>
      </w:pPr>
    </w:p>
    <w:p w14:paraId="7064DE47" w14:textId="77777777" w:rsidR="00F3139D" w:rsidRPr="003F1A9B" w:rsidRDefault="00C13437">
      <w:pPr>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rPr>
        <w:lastRenderedPageBreak/>
        <w:t>d) Cierre de Instrucción</w:t>
      </w:r>
    </w:p>
    <w:p w14:paraId="68B03B3B"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Por lo que, una vez analizado el estado procesal que guarda el expediente, en fecha </w:t>
      </w:r>
      <w:r w:rsidR="003B5580">
        <w:rPr>
          <w:rFonts w:ascii="Palatino Linotype" w:eastAsia="Palatino Linotype" w:hAnsi="Palatino Linotype" w:cs="Palatino Linotype"/>
        </w:rPr>
        <w:t xml:space="preserve">seis de septiembre </w:t>
      </w:r>
      <w:r w:rsidRPr="003F1A9B">
        <w:rPr>
          <w:rFonts w:ascii="Palatino Linotype" w:eastAsia="Palatino Linotype" w:hAnsi="Palatino Linotype" w:cs="Palatino Linotype"/>
        </w:rPr>
        <w:t xml:space="preserve">de dos mil veintidós, la </w:t>
      </w:r>
      <w:r w:rsidRPr="003F1A9B">
        <w:rPr>
          <w:rFonts w:ascii="Palatino Linotype" w:eastAsia="Palatino Linotype" w:hAnsi="Palatino Linotype" w:cs="Palatino Linotype"/>
          <w:b/>
        </w:rPr>
        <w:t xml:space="preserve">Comisionada Sharon Cristina Morales Martínez </w:t>
      </w:r>
      <w:r w:rsidRPr="003F1A9B">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BDD46EF" w14:textId="77777777" w:rsidR="00F3139D" w:rsidRPr="003F1A9B" w:rsidRDefault="00F3139D">
      <w:pPr>
        <w:jc w:val="center"/>
        <w:rPr>
          <w:rFonts w:ascii="Palatino Linotype" w:eastAsia="Palatino Linotype" w:hAnsi="Palatino Linotype" w:cs="Palatino Linotype"/>
          <w:b/>
          <w:sz w:val="28"/>
          <w:szCs w:val="28"/>
        </w:rPr>
      </w:pPr>
    </w:p>
    <w:p w14:paraId="02F72C60" w14:textId="77777777" w:rsidR="00F3139D" w:rsidRPr="003F1A9B" w:rsidRDefault="00C13437">
      <w:pPr>
        <w:jc w:val="center"/>
        <w:rPr>
          <w:rFonts w:ascii="Palatino Linotype" w:eastAsia="Palatino Linotype" w:hAnsi="Palatino Linotype" w:cs="Palatino Linotype"/>
          <w:b/>
          <w:sz w:val="28"/>
          <w:szCs w:val="28"/>
        </w:rPr>
      </w:pPr>
      <w:r w:rsidRPr="003F1A9B">
        <w:rPr>
          <w:rFonts w:ascii="Palatino Linotype" w:eastAsia="Palatino Linotype" w:hAnsi="Palatino Linotype" w:cs="Palatino Linotype"/>
          <w:b/>
          <w:sz w:val="28"/>
          <w:szCs w:val="28"/>
        </w:rPr>
        <w:t>CONSIDERANDO</w:t>
      </w:r>
    </w:p>
    <w:p w14:paraId="5F6E016A" w14:textId="77777777" w:rsidR="00F3139D" w:rsidRPr="003B5580" w:rsidRDefault="00F3139D">
      <w:pPr>
        <w:jc w:val="center"/>
        <w:rPr>
          <w:rFonts w:ascii="Palatino Linotype" w:eastAsia="Palatino Linotype" w:hAnsi="Palatino Linotype" w:cs="Palatino Linotype"/>
          <w:b/>
          <w:sz w:val="16"/>
          <w:szCs w:val="16"/>
        </w:rPr>
      </w:pPr>
    </w:p>
    <w:p w14:paraId="1A39359A" w14:textId="77777777" w:rsidR="00F3139D" w:rsidRPr="003F1A9B" w:rsidRDefault="00C13437">
      <w:pPr>
        <w:widowControl w:val="0"/>
        <w:tabs>
          <w:tab w:val="left" w:pos="1701"/>
        </w:tabs>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b/>
          <w:sz w:val="28"/>
          <w:szCs w:val="28"/>
        </w:rPr>
        <w:t>PRIMERO.</w:t>
      </w:r>
      <w:r w:rsidRPr="003F1A9B">
        <w:rPr>
          <w:rFonts w:ascii="Palatino Linotype" w:eastAsia="Palatino Linotype" w:hAnsi="Palatino Linotype" w:cs="Palatino Linotype"/>
          <w:b/>
        </w:rPr>
        <w:t xml:space="preserve"> Competencia</w:t>
      </w:r>
      <w:r w:rsidRPr="003F1A9B">
        <w:rPr>
          <w:rFonts w:ascii="Palatino Linotype" w:eastAsia="Palatino Linotype" w:hAnsi="Palatino Linotype" w:cs="Palatino Linotype"/>
        </w:rPr>
        <w:t>.</w:t>
      </w:r>
      <w:r w:rsidRPr="003F1A9B">
        <w:rPr>
          <w:rFonts w:ascii="Palatino Linotype" w:eastAsia="Palatino Linotype" w:hAnsi="Palatino Linotype" w:cs="Palatino Linotype"/>
          <w:b/>
        </w:rPr>
        <w:t xml:space="preserve"> </w:t>
      </w:r>
    </w:p>
    <w:p w14:paraId="1FCA0341" w14:textId="77777777" w:rsidR="00F3139D" w:rsidRPr="003F1A9B" w:rsidRDefault="00C1343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3F1A9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3EB91D5" w14:textId="77777777" w:rsidR="00F3139D" w:rsidRPr="003F1A9B" w:rsidRDefault="00C13437">
      <w:pPr>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sz w:val="28"/>
          <w:szCs w:val="28"/>
        </w:rPr>
        <w:lastRenderedPageBreak/>
        <w:t>SEGUNDO</w:t>
      </w:r>
      <w:r w:rsidRPr="003F1A9B">
        <w:rPr>
          <w:rFonts w:ascii="Palatino Linotype" w:eastAsia="Palatino Linotype" w:hAnsi="Palatino Linotype" w:cs="Palatino Linotype"/>
          <w:b/>
        </w:rPr>
        <w:t xml:space="preserve">. Interés. </w:t>
      </w:r>
    </w:p>
    <w:p w14:paraId="1F465B38" w14:textId="77777777" w:rsidR="00F3139D" w:rsidRPr="003F1A9B" w:rsidRDefault="00C13437">
      <w:pPr>
        <w:spacing w:line="360" w:lineRule="auto"/>
        <w:jc w:val="both"/>
        <w:rPr>
          <w:rFonts w:ascii="Palatino Linotype" w:eastAsia="Palatino Linotype" w:hAnsi="Palatino Linotype" w:cs="Palatino Linotype"/>
          <w:b/>
          <w:color w:val="000000"/>
        </w:rPr>
      </w:pPr>
      <w:r w:rsidRPr="003F1A9B">
        <w:rPr>
          <w:rFonts w:ascii="Palatino Linotype" w:eastAsia="Palatino Linotype" w:hAnsi="Palatino Linotype" w:cs="Palatino Linotype"/>
        </w:rPr>
        <w:t>El</w:t>
      </w:r>
      <w:r w:rsidRPr="003F1A9B">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3F1A9B">
        <w:rPr>
          <w:rFonts w:ascii="Palatino Linotype" w:eastAsia="Palatino Linotype" w:hAnsi="Palatino Linotype" w:cs="Palatino Linotype"/>
          <w:b/>
        </w:rPr>
        <w:t>EL</w:t>
      </w:r>
      <w:r w:rsidRPr="003F1A9B">
        <w:rPr>
          <w:rFonts w:ascii="Palatino Linotype" w:eastAsia="Palatino Linotype" w:hAnsi="Palatino Linotype" w:cs="Palatino Linotype"/>
          <w:b/>
          <w:color w:val="000000"/>
        </w:rPr>
        <w:t xml:space="preserve"> RECURRENTE,</w:t>
      </w:r>
      <w:r w:rsidRPr="003F1A9B">
        <w:rPr>
          <w:rFonts w:ascii="Palatino Linotype" w:eastAsia="Palatino Linotype" w:hAnsi="Palatino Linotype" w:cs="Palatino Linotype"/>
          <w:color w:val="000000"/>
        </w:rPr>
        <w:t xml:space="preserve"> quien es la misma persona que formuló la solicitud de acceso a la información pública al </w:t>
      </w:r>
      <w:r w:rsidRPr="003F1A9B">
        <w:rPr>
          <w:rFonts w:ascii="Palatino Linotype" w:eastAsia="Palatino Linotype" w:hAnsi="Palatino Linotype" w:cs="Palatino Linotype"/>
          <w:b/>
          <w:color w:val="000000"/>
        </w:rPr>
        <w:t xml:space="preserve">SUJETO OBLIGADO, </w:t>
      </w:r>
      <w:r w:rsidRPr="003F1A9B">
        <w:rPr>
          <w:rFonts w:ascii="Palatino Linotype" w:eastAsia="Palatino Linotype" w:hAnsi="Palatino Linotype" w:cs="Palatino Linotype"/>
          <w:color w:val="000000"/>
        </w:rPr>
        <w:t xml:space="preserve">pues para ello, es necesario que el particular ingrese al </w:t>
      </w:r>
      <w:r w:rsidRPr="003F1A9B">
        <w:rPr>
          <w:rFonts w:ascii="Palatino Linotype" w:eastAsia="Palatino Linotype" w:hAnsi="Palatino Linotype" w:cs="Palatino Linotype"/>
          <w:b/>
          <w:color w:val="000000"/>
        </w:rPr>
        <w:t xml:space="preserve">SAIMEX </w:t>
      </w:r>
      <w:r w:rsidRPr="003F1A9B">
        <w:rPr>
          <w:rFonts w:ascii="Palatino Linotype" w:eastAsia="Palatino Linotype" w:hAnsi="Palatino Linotype" w:cs="Palatino Linotype"/>
          <w:color w:val="000000"/>
        </w:rPr>
        <w:t>mediante la utilización de su clave de usuario y contraseña.</w:t>
      </w:r>
    </w:p>
    <w:p w14:paraId="692627B7" w14:textId="77777777" w:rsidR="00F3139D" w:rsidRPr="003F1A9B" w:rsidRDefault="00F3139D">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7CE9668" w14:textId="77777777" w:rsidR="00F3139D" w:rsidRPr="003F1A9B" w:rsidRDefault="00C13437">
      <w:pPr>
        <w:tabs>
          <w:tab w:val="center" w:pos="4252"/>
          <w:tab w:val="right" w:pos="8504"/>
        </w:tabs>
        <w:spacing w:line="360" w:lineRule="auto"/>
        <w:ind w:left="-57"/>
        <w:jc w:val="both"/>
        <w:rPr>
          <w:rFonts w:ascii="Palatino Linotype" w:eastAsia="Palatino Linotype" w:hAnsi="Palatino Linotype" w:cs="Palatino Linotype"/>
          <w:color w:val="000000"/>
        </w:rPr>
      </w:pPr>
      <w:r w:rsidRPr="003F1A9B">
        <w:rPr>
          <w:rFonts w:ascii="Palatino Linotype" w:eastAsia="Palatino Linotype" w:hAnsi="Palatino Linotype" w:cs="Palatino Linotype"/>
          <w:b/>
          <w:sz w:val="28"/>
          <w:szCs w:val="28"/>
        </w:rPr>
        <w:t>TERCERO.</w:t>
      </w:r>
      <w:r w:rsidRPr="003F1A9B">
        <w:rPr>
          <w:rFonts w:ascii="Palatino Linotype" w:eastAsia="Palatino Linotype" w:hAnsi="Palatino Linotype" w:cs="Palatino Linotype"/>
        </w:rPr>
        <w:t xml:space="preserve"> </w:t>
      </w:r>
      <w:r w:rsidRPr="003F1A9B">
        <w:rPr>
          <w:rFonts w:ascii="Palatino Linotype" w:eastAsia="Palatino Linotype" w:hAnsi="Palatino Linotype" w:cs="Palatino Linotype"/>
          <w:b/>
          <w:color w:val="000000"/>
        </w:rPr>
        <w:t>Oportunidad</w:t>
      </w:r>
      <w:r w:rsidRPr="003F1A9B">
        <w:rPr>
          <w:rFonts w:ascii="Palatino Linotype" w:eastAsia="Palatino Linotype" w:hAnsi="Palatino Linotype" w:cs="Palatino Linotype"/>
          <w:color w:val="000000"/>
        </w:rPr>
        <w:t xml:space="preserve">. </w:t>
      </w:r>
    </w:p>
    <w:p w14:paraId="4B6D0872" w14:textId="77777777" w:rsidR="00F3139D" w:rsidRPr="003F1A9B" w:rsidRDefault="00C13437">
      <w:pPr>
        <w:widowControl w:val="0"/>
        <w:tabs>
          <w:tab w:val="left" w:pos="1701"/>
        </w:tabs>
        <w:spacing w:line="360" w:lineRule="auto"/>
        <w:ind w:right="49"/>
        <w:jc w:val="both"/>
        <w:rPr>
          <w:rFonts w:ascii="Palatino Linotype" w:eastAsia="Palatino Linotype" w:hAnsi="Palatino Linotype" w:cs="Palatino Linotype"/>
          <w:b/>
        </w:rPr>
      </w:pPr>
      <w:r w:rsidRPr="003F1A9B">
        <w:rPr>
          <w:rFonts w:ascii="Palatino Linotype" w:eastAsia="Palatino Linotype" w:hAnsi="Palatino Linotype" w:cs="Palatino Linotype"/>
        </w:rPr>
        <w:t xml:space="preserve">El Recurso de Revisión fue interpuesto dentro del plazo de quince días hábiles, contados a partir del día siguiente al que </w:t>
      </w:r>
      <w:r w:rsidRPr="003F1A9B">
        <w:rPr>
          <w:rFonts w:ascii="Palatino Linotype" w:eastAsia="Palatino Linotype" w:hAnsi="Palatino Linotype" w:cs="Palatino Linotype"/>
          <w:b/>
        </w:rPr>
        <w:t xml:space="preserve">EL RECURRENTE </w:t>
      </w:r>
      <w:r w:rsidRPr="003F1A9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30E9D036" w14:textId="77777777" w:rsidR="00F3139D" w:rsidRPr="003F1A9B" w:rsidRDefault="00F3139D">
      <w:pPr>
        <w:ind w:left="720" w:right="709"/>
        <w:jc w:val="both"/>
        <w:rPr>
          <w:rFonts w:ascii="Palatino Linotype" w:eastAsia="Palatino Linotype" w:hAnsi="Palatino Linotype" w:cs="Palatino Linotype"/>
          <w:i/>
          <w:sz w:val="22"/>
          <w:szCs w:val="22"/>
        </w:rPr>
      </w:pPr>
    </w:p>
    <w:p w14:paraId="14E57672" w14:textId="77777777" w:rsidR="00F3139D" w:rsidRPr="003F1A9B" w:rsidRDefault="00C13437">
      <w:pPr>
        <w:ind w:left="851"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t>“</w:t>
      </w:r>
      <w:r w:rsidRPr="003F1A9B">
        <w:rPr>
          <w:rFonts w:ascii="Palatino Linotype" w:eastAsia="Palatino Linotype" w:hAnsi="Palatino Linotype" w:cs="Palatino Linotype"/>
          <w:b/>
          <w:i/>
          <w:sz w:val="22"/>
          <w:szCs w:val="22"/>
        </w:rPr>
        <w:t>Artículo 178.</w:t>
      </w:r>
      <w:r w:rsidRPr="003F1A9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FDAA30" w14:textId="77777777" w:rsidR="00F3139D" w:rsidRPr="003F1A9B" w:rsidRDefault="00F3139D">
      <w:pPr>
        <w:ind w:left="851" w:right="899"/>
        <w:jc w:val="both"/>
        <w:rPr>
          <w:rFonts w:ascii="Palatino Linotype" w:eastAsia="Palatino Linotype" w:hAnsi="Palatino Linotype" w:cs="Palatino Linotype"/>
          <w:i/>
          <w:sz w:val="22"/>
          <w:szCs w:val="22"/>
        </w:rPr>
      </w:pPr>
    </w:p>
    <w:p w14:paraId="3B76C4CF" w14:textId="77777777" w:rsidR="00F3139D" w:rsidRPr="003F1A9B" w:rsidRDefault="00C13437">
      <w:pPr>
        <w:ind w:left="851"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6691D14" w14:textId="77777777" w:rsidR="00F3139D" w:rsidRPr="003F1A9B" w:rsidRDefault="00F3139D">
      <w:pPr>
        <w:ind w:left="851" w:right="899"/>
        <w:jc w:val="both"/>
        <w:rPr>
          <w:rFonts w:ascii="Palatino Linotype" w:eastAsia="Palatino Linotype" w:hAnsi="Palatino Linotype" w:cs="Palatino Linotype"/>
          <w:i/>
          <w:sz w:val="22"/>
          <w:szCs w:val="22"/>
        </w:rPr>
      </w:pPr>
    </w:p>
    <w:p w14:paraId="198D66FA" w14:textId="77777777" w:rsidR="00F3139D" w:rsidRPr="003F1A9B" w:rsidRDefault="00C13437">
      <w:pPr>
        <w:ind w:left="851"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60B44F13" w14:textId="77777777" w:rsidR="00F3139D" w:rsidRPr="003F1A9B" w:rsidRDefault="00F3139D">
      <w:pPr>
        <w:ind w:left="720" w:right="709"/>
        <w:jc w:val="both"/>
        <w:rPr>
          <w:rFonts w:ascii="Palatino Linotype" w:eastAsia="Palatino Linotype" w:hAnsi="Palatino Linotype" w:cs="Palatino Linotype"/>
          <w:i/>
          <w:sz w:val="22"/>
          <w:szCs w:val="22"/>
        </w:rPr>
      </w:pPr>
    </w:p>
    <w:p w14:paraId="004A65F8" w14:textId="77777777" w:rsidR="00F3139D" w:rsidRPr="003F1A9B" w:rsidRDefault="00C13437">
      <w:pPr>
        <w:spacing w:line="360" w:lineRule="auto"/>
        <w:jc w:val="both"/>
        <w:rPr>
          <w:rFonts w:ascii="Palatino Linotype" w:eastAsia="Palatino Linotype" w:hAnsi="Palatino Linotype" w:cs="Palatino Linotype"/>
        </w:rPr>
      </w:pPr>
      <w:bookmarkStart w:id="4" w:name="_heading=h.2et92p0" w:colFirst="0" w:colLast="0"/>
      <w:bookmarkEnd w:id="4"/>
      <w:r w:rsidRPr="003F1A9B">
        <w:rPr>
          <w:rFonts w:ascii="Palatino Linotype" w:eastAsia="Palatino Linotype" w:hAnsi="Palatino Linotype" w:cs="Palatino Linotype"/>
        </w:rPr>
        <w:t xml:space="preserve">En esa tesitura, atendiendo a que </w:t>
      </w:r>
      <w:r w:rsidRPr="003F1A9B">
        <w:rPr>
          <w:rFonts w:ascii="Palatino Linotype" w:eastAsia="Palatino Linotype" w:hAnsi="Palatino Linotype" w:cs="Palatino Linotype"/>
          <w:b/>
        </w:rPr>
        <w:t>EL SUJETO OBLIGADO</w:t>
      </w:r>
      <w:r w:rsidRPr="003F1A9B">
        <w:rPr>
          <w:rFonts w:ascii="Palatino Linotype" w:eastAsia="Palatino Linotype" w:hAnsi="Palatino Linotype" w:cs="Palatino Linotype"/>
        </w:rPr>
        <w:t xml:space="preserve"> notificó la respuesta a la solicitud de acceso a la información pública el día</w:t>
      </w:r>
      <w:r w:rsidR="009656D1">
        <w:rPr>
          <w:rFonts w:ascii="Palatino Linotype" w:eastAsia="Palatino Linotype" w:hAnsi="Palatino Linotype" w:cs="Palatino Linotype"/>
          <w:b/>
        </w:rPr>
        <w:t xml:space="preserve"> veintidós de abril</w:t>
      </w:r>
      <w:r w:rsidRPr="003F1A9B">
        <w:rPr>
          <w:rFonts w:ascii="Palatino Linotype" w:eastAsia="Palatino Linotype" w:hAnsi="Palatino Linotype" w:cs="Palatino Linotype"/>
          <w:b/>
        </w:rPr>
        <w:t xml:space="preserve"> de dos mil veintidós</w:t>
      </w:r>
      <w:r w:rsidRPr="003F1A9B">
        <w:rPr>
          <w:rFonts w:ascii="Palatino Linotype" w:eastAsia="Palatino Linotype" w:hAnsi="Palatino Linotype" w:cs="Palatino Linotype"/>
        </w:rPr>
        <w:t xml:space="preserve">, así el plazo de quince días hábiles que el artículo 178 de la Ley de la materia otorga al </w:t>
      </w:r>
      <w:r w:rsidRPr="003F1A9B">
        <w:rPr>
          <w:rFonts w:ascii="Palatino Linotype" w:eastAsia="Palatino Linotype" w:hAnsi="Palatino Linotype" w:cs="Palatino Linotype"/>
          <w:b/>
        </w:rPr>
        <w:t xml:space="preserve"> RECURRENTE</w:t>
      </w:r>
      <w:r w:rsidRPr="003F1A9B">
        <w:rPr>
          <w:rFonts w:ascii="Palatino Linotype" w:eastAsia="Palatino Linotype" w:hAnsi="Palatino Linotype" w:cs="Palatino Linotype"/>
        </w:rPr>
        <w:t xml:space="preserve"> para presentar el respectivo Recurso de Revisión, transcurrió del </w:t>
      </w:r>
      <w:r w:rsidR="009656D1">
        <w:rPr>
          <w:rFonts w:ascii="Palatino Linotype" w:eastAsia="Palatino Linotype" w:hAnsi="Palatino Linotype" w:cs="Palatino Linotype"/>
          <w:b/>
        </w:rPr>
        <w:t xml:space="preserve">veinticinco </w:t>
      </w:r>
      <w:r w:rsidRPr="003F1A9B">
        <w:rPr>
          <w:rFonts w:ascii="Palatino Linotype" w:eastAsia="Palatino Linotype" w:hAnsi="Palatino Linotype" w:cs="Palatino Linotype"/>
          <w:b/>
        </w:rPr>
        <w:t>de abril</w:t>
      </w:r>
      <w:r w:rsidRPr="003F1A9B">
        <w:rPr>
          <w:rFonts w:ascii="Palatino Linotype" w:eastAsia="Palatino Linotype" w:hAnsi="Palatino Linotype" w:cs="Palatino Linotype"/>
        </w:rPr>
        <w:t xml:space="preserve"> </w:t>
      </w:r>
      <w:r w:rsidR="009656D1">
        <w:rPr>
          <w:rFonts w:ascii="Palatino Linotype" w:eastAsia="Palatino Linotype" w:hAnsi="Palatino Linotype" w:cs="Palatino Linotype"/>
          <w:b/>
        </w:rPr>
        <w:t xml:space="preserve">al </w:t>
      </w:r>
      <w:r w:rsidR="003033EE">
        <w:rPr>
          <w:rFonts w:ascii="Palatino Linotype" w:eastAsia="Palatino Linotype" w:hAnsi="Palatino Linotype" w:cs="Palatino Linotype"/>
          <w:b/>
        </w:rPr>
        <w:t>dieciséis</w:t>
      </w:r>
      <w:r w:rsidRPr="003F1A9B">
        <w:rPr>
          <w:rFonts w:ascii="Palatino Linotype" w:eastAsia="Palatino Linotype" w:hAnsi="Palatino Linotype" w:cs="Palatino Linotype"/>
          <w:b/>
        </w:rPr>
        <w:t xml:space="preserve"> de mayo de dos mil veintidós, </w:t>
      </w:r>
      <w:r w:rsidR="003033EE">
        <w:rPr>
          <w:rFonts w:ascii="Palatino Linotype" w:eastAsia="Palatino Linotype" w:hAnsi="Palatino Linotype" w:cs="Palatino Linotype"/>
        </w:rPr>
        <w:t>sin contemplar en el cómputo los días veintitrés, veinticuatro,  y treinta de abril, uno, siete, ocho catorce y quince de mayo de dos mil veintidós</w:t>
      </w:r>
      <w:r w:rsidRPr="003F1A9B">
        <w:rPr>
          <w:rFonts w:ascii="Palatino Linotype" w:eastAsia="Palatino Linotype" w:hAnsi="Palatino Linotype" w:cs="Palatino Linotype"/>
        </w:rPr>
        <w:t>,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3F1A9B">
        <w:rPr>
          <w:rFonts w:ascii="Palatino Linotype" w:eastAsia="Palatino Linotype" w:hAnsi="Palatino Linotype" w:cs="Palatino Linotype"/>
          <w:vertAlign w:val="superscript"/>
        </w:rPr>
        <w:footnoteReference w:id="1"/>
      </w:r>
      <w:r w:rsidRPr="003F1A9B">
        <w:rPr>
          <w:rFonts w:ascii="Palatino Linotype" w:eastAsia="Palatino Linotype" w:hAnsi="Palatino Linotype" w:cs="Palatino Linotype"/>
        </w:rPr>
        <w:t>.</w:t>
      </w:r>
    </w:p>
    <w:p w14:paraId="41369B4F" w14:textId="77777777" w:rsidR="00F3139D" w:rsidRPr="003F1A9B" w:rsidRDefault="00F3139D">
      <w:pPr>
        <w:spacing w:line="360" w:lineRule="auto"/>
        <w:jc w:val="both"/>
        <w:rPr>
          <w:rFonts w:ascii="Palatino Linotype" w:eastAsia="Palatino Linotype" w:hAnsi="Palatino Linotype" w:cs="Palatino Linotype"/>
        </w:rPr>
      </w:pPr>
      <w:bookmarkStart w:id="5" w:name="_heading=h.orkc3o7h9xbv" w:colFirst="0" w:colLast="0"/>
      <w:bookmarkEnd w:id="5"/>
    </w:p>
    <w:p w14:paraId="66F0F2BA" w14:textId="77777777" w:rsidR="00F3139D" w:rsidRPr="003F1A9B" w:rsidRDefault="00C13437">
      <w:pPr>
        <w:spacing w:line="360" w:lineRule="auto"/>
        <w:ind w:left="-5" w:hanging="10"/>
        <w:jc w:val="both"/>
        <w:rPr>
          <w:rFonts w:ascii="Palatino Linotype" w:eastAsia="Palatino Linotype" w:hAnsi="Palatino Linotype" w:cs="Palatino Linotype"/>
        </w:rPr>
      </w:pPr>
      <w:r w:rsidRPr="003F1A9B">
        <w:rPr>
          <w:rFonts w:ascii="Palatino Linotype" w:eastAsia="Palatino Linotype" w:hAnsi="Palatino Linotype" w:cs="Palatino Linotype"/>
        </w:rPr>
        <w:lastRenderedPageBreak/>
        <w:t xml:space="preserve">En ese tenor, se advierte que </w:t>
      </w:r>
      <w:r w:rsidRPr="003F1A9B">
        <w:rPr>
          <w:rFonts w:ascii="Palatino Linotype" w:eastAsia="Palatino Linotype" w:hAnsi="Palatino Linotype" w:cs="Palatino Linotype"/>
          <w:b/>
        </w:rPr>
        <w:t>EL RECURRENTE</w:t>
      </w:r>
      <w:r w:rsidRPr="003F1A9B">
        <w:rPr>
          <w:rFonts w:ascii="Palatino Linotype" w:eastAsia="Palatino Linotype" w:hAnsi="Palatino Linotype" w:cs="Palatino Linotype"/>
        </w:rPr>
        <w:t xml:space="preserve"> presentó el medio de impugna</w:t>
      </w:r>
      <w:r w:rsidR="002F6A1D">
        <w:rPr>
          <w:rFonts w:ascii="Palatino Linotype" w:eastAsia="Palatino Linotype" w:hAnsi="Palatino Linotype" w:cs="Palatino Linotype"/>
        </w:rPr>
        <w:t>ción, el  día veintinueve de abril</w:t>
      </w:r>
      <w:r w:rsidRPr="003F1A9B">
        <w:rPr>
          <w:rFonts w:ascii="Palatino Linotype" w:eastAsia="Palatino Linotype" w:hAnsi="Palatino Linotype" w:cs="Palatino Linotype"/>
        </w:rPr>
        <w:t xml:space="preserve"> de dos mil veintidós, luego entonces debe considerarse en tiempo.</w:t>
      </w:r>
    </w:p>
    <w:p w14:paraId="449CA74E" w14:textId="77777777" w:rsidR="00F3139D" w:rsidRPr="003F1A9B" w:rsidRDefault="00F3139D">
      <w:pPr>
        <w:spacing w:line="360" w:lineRule="auto"/>
        <w:ind w:left="-5" w:hanging="10"/>
        <w:jc w:val="both"/>
        <w:rPr>
          <w:rFonts w:ascii="Palatino Linotype" w:eastAsia="Palatino Linotype" w:hAnsi="Palatino Linotype" w:cs="Palatino Linotype"/>
        </w:rPr>
      </w:pPr>
    </w:p>
    <w:p w14:paraId="48CB3E17" w14:textId="77777777" w:rsidR="00F3139D" w:rsidRPr="003F1A9B" w:rsidRDefault="00C13437">
      <w:pPr>
        <w:spacing w:line="360" w:lineRule="auto"/>
        <w:ind w:right="49"/>
        <w:jc w:val="both"/>
        <w:rPr>
          <w:rFonts w:ascii="Palatino Linotype" w:eastAsia="Palatino Linotype" w:hAnsi="Palatino Linotype" w:cs="Palatino Linotype"/>
          <w:b/>
        </w:rPr>
      </w:pPr>
      <w:r w:rsidRPr="003F1A9B">
        <w:rPr>
          <w:rFonts w:ascii="Palatino Linotype" w:eastAsia="Palatino Linotype" w:hAnsi="Palatino Linotype" w:cs="Palatino Linotype"/>
          <w:b/>
          <w:sz w:val="28"/>
          <w:szCs w:val="28"/>
        </w:rPr>
        <w:t>CUARTO</w:t>
      </w:r>
      <w:r w:rsidRPr="003F1A9B">
        <w:rPr>
          <w:rFonts w:ascii="Palatino Linotype" w:eastAsia="Palatino Linotype" w:hAnsi="Palatino Linotype" w:cs="Palatino Linotype"/>
          <w:b/>
        </w:rPr>
        <w:t xml:space="preserve">. </w:t>
      </w:r>
      <w:proofErr w:type="spellStart"/>
      <w:r w:rsidRPr="003F1A9B">
        <w:rPr>
          <w:rFonts w:ascii="Palatino Linotype" w:eastAsia="Palatino Linotype" w:hAnsi="Palatino Linotype" w:cs="Palatino Linotype"/>
          <w:b/>
        </w:rPr>
        <w:t>Procedibilidad</w:t>
      </w:r>
      <w:proofErr w:type="spellEnd"/>
      <w:r w:rsidRPr="003F1A9B">
        <w:rPr>
          <w:rFonts w:ascii="Palatino Linotype" w:eastAsia="Palatino Linotype" w:hAnsi="Palatino Linotype" w:cs="Palatino Linotype"/>
          <w:b/>
        </w:rPr>
        <w:t xml:space="preserve">. </w:t>
      </w:r>
    </w:p>
    <w:p w14:paraId="3819E1A1" w14:textId="77777777" w:rsidR="00F3139D" w:rsidRPr="003F1A9B" w:rsidRDefault="00C13437">
      <w:pPr>
        <w:spacing w:line="360" w:lineRule="auto"/>
        <w:ind w:right="49"/>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3F1BF32" w14:textId="77777777" w:rsidR="00F3139D" w:rsidRPr="003F1A9B" w:rsidRDefault="00F3139D">
      <w:pPr>
        <w:ind w:right="49"/>
        <w:jc w:val="both"/>
        <w:rPr>
          <w:rFonts w:ascii="Palatino Linotype" w:eastAsia="Palatino Linotype" w:hAnsi="Palatino Linotype" w:cs="Palatino Linotype"/>
        </w:rPr>
      </w:pPr>
    </w:p>
    <w:p w14:paraId="7C40B59B" w14:textId="77777777" w:rsidR="00F3139D" w:rsidRPr="003F1A9B" w:rsidRDefault="00C13437">
      <w:pPr>
        <w:tabs>
          <w:tab w:val="left" w:pos="851"/>
        </w:tabs>
        <w:ind w:left="851" w:right="901"/>
        <w:jc w:val="both"/>
        <w:rPr>
          <w:rFonts w:ascii="Palatino Linotype" w:eastAsia="Palatino Linotype" w:hAnsi="Palatino Linotype" w:cs="Palatino Linotype"/>
          <w:b/>
          <w:i/>
          <w:sz w:val="22"/>
          <w:szCs w:val="22"/>
        </w:rPr>
      </w:pPr>
      <w:r w:rsidRPr="003F1A9B">
        <w:rPr>
          <w:rFonts w:ascii="Palatino Linotype" w:eastAsia="Palatino Linotype" w:hAnsi="Palatino Linotype" w:cs="Palatino Linotype"/>
          <w:b/>
          <w:i/>
          <w:sz w:val="22"/>
          <w:szCs w:val="22"/>
        </w:rPr>
        <w:t xml:space="preserve">“Artículo 180. </w:t>
      </w:r>
      <w:r w:rsidRPr="003F1A9B">
        <w:rPr>
          <w:rFonts w:ascii="Palatino Linotype" w:eastAsia="Palatino Linotype" w:hAnsi="Palatino Linotype" w:cs="Palatino Linotype"/>
          <w:i/>
          <w:sz w:val="22"/>
          <w:szCs w:val="22"/>
        </w:rPr>
        <w:t>El Recurso de Revisión contendrá:</w:t>
      </w:r>
      <w:r w:rsidRPr="003F1A9B">
        <w:rPr>
          <w:rFonts w:ascii="Palatino Linotype" w:eastAsia="Palatino Linotype" w:hAnsi="Palatino Linotype" w:cs="Palatino Linotype"/>
          <w:b/>
          <w:i/>
          <w:sz w:val="22"/>
          <w:szCs w:val="22"/>
        </w:rPr>
        <w:t xml:space="preserve"> </w:t>
      </w:r>
    </w:p>
    <w:p w14:paraId="5983F058" w14:textId="77777777" w:rsidR="00F3139D" w:rsidRPr="003F1A9B" w:rsidRDefault="00C13437">
      <w:pPr>
        <w:tabs>
          <w:tab w:val="left" w:pos="851"/>
        </w:tabs>
        <w:ind w:left="851" w:right="901"/>
        <w:jc w:val="both"/>
        <w:rPr>
          <w:rFonts w:ascii="Palatino Linotype" w:eastAsia="Palatino Linotype" w:hAnsi="Palatino Linotype" w:cs="Palatino Linotype"/>
          <w:b/>
          <w:i/>
          <w:sz w:val="22"/>
          <w:szCs w:val="22"/>
        </w:rPr>
      </w:pPr>
      <w:r w:rsidRPr="003F1A9B">
        <w:rPr>
          <w:rFonts w:ascii="Palatino Linotype" w:eastAsia="Palatino Linotype" w:hAnsi="Palatino Linotype" w:cs="Palatino Linotype"/>
          <w:b/>
          <w:i/>
          <w:sz w:val="22"/>
          <w:szCs w:val="22"/>
        </w:rPr>
        <w:t>…</w:t>
      </w:r>
    </w:p>
    <w:p w14:paraId="35A855AF" w14:textId="77777777" w:rsidR="00F3139D" w:rsidRPr="003F1A9B" w:rsidRDefault="00C13437">
      <w:pPr>
        <w:tabs>
          <w:tab w:val="left" w:pos="851"/>
        </w:tabs>
        <w:ind w:left="851" w:right="901"/>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b/>
          <w:i/>
          <w:sz w:val="22"/>
          <w:szCs w:val="22"/>
        </w:rPr>
        <w:t xml:space="preserve">II. El nombre del solicitante que recurre </w:t>
      </w:r>
      <w:r w:rsidRPr="003F1A9B">
        <w:rPr>
          <w:rFonts w:ascii="Palatino Linotype" w:eastAsia="Palatino Linotype" w:hAnsi="Palatino Linotype" w:cs="Palatino Linotype"/>
          <w:i/>
          <w:sz w:val="22"/>
          <w:szCs w:val="22"/>
        </w:rPr>
        <w:t>o de su representante y, en su caso</w:t>
      </w:r>
      <w:proofErr w:type="gramStart"/>
      <w:r w:rsidRPr="003F1A9B">
        <w:rPr>
          <w:rFonts w:ascii="Palatino Linotype" w:eastAsia="Palatino Linotype" w:hAnsi="Palatino Linotype" w:cs="Palatino Linotype"/>
          <w:i/>
          <w:sz w:val="22"/>
          <w:szCs w:val="22"/>
        </w:rPr>
        <w:t>, …</w:t>
      </w:r>
      <w:proofErr w:type="gramEnd"/>
    </w:p>
    <w:p w14:paraId="15EBDBC4" w14:textId="77777777" w:rsidR="00F3139D" w:rsidRPr="003F1A9B" w:rsidRDefault="00C13437">
      <w:pPr>
        <w:tabs>
          <w:tab w:val="left" w:pos="851"/>
        </w:tabs>
        <w:ind w:left="851" w:right="901"/>
        <w:jc w:val="both"/>
        <w:rPr>
          <w:rFonts w:ascii="Palatino Linotype" w:eastAsia="Palatino Linotype" w:hAnsi="Palatino Linotype" w:cs="Palatino Linotype"/>
          <w:b/>
          <w:i/>
          <w:sz w:val="22"/>
          <w:szCs w:val="22"/>
        </w:rPr>
      </w:pPr>
      <w:r w:rsidRPr="003F1A9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F1A9B">
        <w:rPr>
          <w:rFonts w:ascii="Palatino Linotype" w:eastAsia="Palatino Linotype" w:hAnsi="Palatino Linotype" w:cs="Palatino Linotype"/>
          <w:i/>
          <w:sz w:val="22"/>
          <w:szCs w:val="22"/>
        </w:rPr>
        <w:t>, IV, VII y VIII.</w:t>
      </w:r>
      <w:r w:rsidRPr="003F1A9B">
        <w:rPr>
          <w:rFonts w:ascii="Palatino Linotype" w:eastAsia="Palatino Linotype" w:hAnsi="Palatino Linotype" w:cs="Palatino Linotype"/>
          <w:b/>
          <w:i/>
          <w:sz w:val="22"/>
          <w:szCs w:val="22"/>
        </w:rPr>
        <w:t>”</w:t>
      </w:r>
    </w:p>
    <w:p w14:paraId="145AA2BB" w14:textId="77777777" w:rsidR="00F3139D" w:rsidRPr="003F1A9B" w:rsidRDefault="00C13437">
      <w:pPr>
        <w:tabs>
          <w:tab w:val="left" w:pos="851"/>
        </w:tabs>
        <w:ind w:left="851" w:right="901"/>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t>(Énfasis añadido)</w:t>
      </w:r>
    </w:p>
    <w:p w14:paraId="7421A012" w14:textId="77777777" w:rsidR="00F3139D" w:rsidRPr="003F1A9B" w:rsidRDefault="00F3139D">
      <w:pPr>
        <w:tabs>
          <w:tab w:val="left" w:pos="851"/>
        </w:tabs>
        <w:ind w:right="901"/>
        <w:jc w:val="both"/>
        <w:rPr>
          <w:rFonts w:ascii="Palatino Linotype" w:eastAsia="Palatino Linotype" w:hAnsi="Palatino Linotype" w:cs="Palatino Linotype"/>
          <w:i/>
          <w:sz w:val="22"/>
          <w:szCs w:val="22"/>
        </w:rPr>
      </w:pPr>
    </w:p>
    <w:p w14:paraId="4906BEF6" w14:textId="77777777" w:rsidR="00F3139D" w:rsidRPr="003F1A9B" w:rsidRDefault="00C13437">
      <w:pPr>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3F1A9B">
        <w:rPr>
          <w:rFonts w:ascii="Palatino Linotype" w:eastAsia="Palatino Linotype" w:hAnsi="Palatino Linotype" w:cs="Palatino Linotype"/>
          <w:b/>
        </w:rPr>
        <w:t xml:space="preserve">  RECURRENTE;</w:t>
      </w:r>
      <w:r w:rsidRPr="003F1A9B">
        <w:rPr>
          <w:rFonts w:ascii="Palatino Linotype" w:eastAsia="Palatino Linotype" w:hAnsi="Palatino Linotype" w:cs="Palatino Linotype"/>
        </w:rPr>
        <w:t xml:space="preserve"> por lo que, en el presente caso, </w:t>
      </w:r>
      <w:r w:rsidRPr="003F1A9B">
        <w:rPr>
          <w:rFonts w:ascii="Palatino Linotype" w:eastAsia="Palatino Linotype" w:hAnsi="Palatino Linotype" w:cs="Palatino Linotype"/>
        </w:rPr>
        <w:lastRenderedPageBreak/>
        <w:t xml:space="preserve">al haber sido presentado el Recurso de Revisión vía </w:t>
      </w:r>
      <w:r w:rsidRPr="003F1A9B">
        <w:rPr>
          <w:rFonts w:ascii="Palatino Linotype" w:eastAsia="Palatino Linotype" w:hAnsi="Palatino Linotype" w:cs="Palatino Linotype"/>
          <w:b/>
        </w:rPr>
        <w:t>SAIMEX</w:t>
      </w:r>
      <w:r w:rsidRPr="003F1A9B">
        <w:rPr>
          <w:rFonts w:ascii="Palatino Linotype" w:eastAsia="Palatino Linotype" w:hAnsi="Palatino Linotype" w:cs="Palatino Linotype"/>
        </w:rPr>
        <w:t>, dicho requisito resulta innecesario.</w:t>
      </w:r>
    </w:p>
    <w:p w14:paraId="22D8B6EA" w14:textId="77777777" w:rsidR="00F3139D" w:rsidRPr="003F1A9B" w:rsidRDefault="00F3139D">
      <w:pPr>
        <w:spacing w:line="360" w:lineRule="auto"/>
        <w:jc w:val="both"/>
        <w:rPr>
          <w:rFonts w:ascii="Palatino Linotype" w:eastAsia="Palatino Linotype" w:hAnsi="Palatino Linotype" w:cs="Palatino Linotype"/>
        </w:rPr>
      </w:pPr>
    </w:p>
    <w:p w14:paraId="6EEDF6C9"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F1A9B">
        <w:rPr>
          <w:rFonts w:ascii="Palatino Linotype" w:eastAsia="Palatino Linotype" w:hAnsi="Palatino Linotype" w:cs="Palatino Linotype"/>
          <w:b/>
          <w:u w:val="single"/>
        </w:rPr>
        <w:t xml:space="preserve">el nombre no es un requisito </w:t>
      </w:r>
      <w:r w:rsidRPr="003F1A9B">
        <w:rPr>
          <w:rFonts w:ascii="Palatino Linotype" w:eastAsia="Palatino Linotype" w:hAnsi="Palatino Linotype" w:cs="Palatino Linotype"/>
          <w:b/>
          <w:i/>
          <w:u w:val="single"/>
        </w:rPr>
        <w:t>sine qua non</w:t>
      </w:r>
      <w:r w:rsidRPr="003F1A9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A217DAC" w14:textId="77777777" w:rsidR="00F3139D" w:rsidRPr="003F1A9B" w:rsidRDefault="00F3139D">
      <w:pPr>
        <w:spacing w:line="360" w:lineRule="auto"/>
        <w:jc w:val="both"/>
        <w:rPr>
          <w:rFonts w:ascii="Palatino Linotype" w:eastAsia="Palatino Linotype" w:hAnsi="Palatino Linotype" w:cs="Palatino Linotype"/>
        </w:rPr>
      </w:pPr>
    </w:p>
    <w:p w14:paraId="31DF04AE" w14:textId="77777777" w:rsidR="00F3139D" w:rsidRPr="003F1A9B" w:rsidRDefault="00C13437">
      <w:pPr>
        <w:spacing w:line="360" w:lineRule="auto"/>
        <w:jc w:val="both"/>
        <w:rPr>
          <w:rFonts w:ascii="Palatino Linotype" w:eastAsia="Palatino Linotype" w:hAnsi="Palatino Linotype" w:cs="Palatino Linotype"/>
          <w:sz w:val="22"/>
          <w:szCs w:val="22"/>
        </w:rPr>
      </w:pPr>
      <w:r w:rsidRPr="003F1A9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3C34ED7" w14:textId="77777777" w:rsidR="00F3139D" w:rsidRPr="003F1A9B" w:rsidRDefault="00F3139D">
      <w:pPr>
        <w:tabs>
          <w:tab w:val="left" w:pos="851"/>
        </w:tabs>
        <w:spacing w:line="360" w:lineRule="auto"/>
        <w:ind w:left="851" w:right="901"/>
        <w:jc w:val="both"/>
        <w:rPr>
          <w:rFonts w:ascii="Palatino Linotype" w:eastAsia="Palatino Linotype" w:hAnsi="Palatino Linotype" w:cs="Palatino Linotype"/>
          <w:sz w:val="22"/>
          <w:szCs w:val="22"/>
        </w:rPr>
      </w:pPr>
    </w:p>
    <w:p w14:paraId="06B480D3"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lastRenderedPageBreak/>
        <w:t xml:space="preserve">Asimismo, se estima que el requisito relativo al nombre del </w:t>
      </w:r>
      <w:r w:rsidRPr="003F1A9B">
        <w:rPr>
          <w:rFonts w:ascii="Palatino Linotype" w:eastAsia="Palatino Linotype" w:hAnsi="Palatino Linotype" w:cs="Palatino Linotype"/>
          <w:b/>
        </w:rPr>
        <w:t>RECURRENTE</w:t>
      </w:r>
      <w:r w:rsidRPr="003F1A9B">
        <w:rPr>
          <w:rFonts w:ascii="Palatino Linotype" w:eastAsia="Palatino Linotype" w:hAnsi="Palatino Linotype" w:cs="Palatino Linotype"/>
        </w:rPr>
        <w:t xml:space="preserve"> no constituye un supuesto indispensable de </w:t>
      </w:r>
      <w:proofErr w:type="spellStart"/>
      <w:r w:rsidRPr="003F1A9B">
        <w:rPr>
          <w:rFonts w:ascii="Palatino Linotype" w:eastAsia="Palatino Linotype" w:hAnsi="Palatino Linotype" w:cs="Palatino Linotype"/>
        </w:rPr>
        <w:t>procedibilidad</w:t>
      </w:r>
      <w:proofErr w:type="spellEnd"/>
      <w:r w:rsidRPr="003F1A9B">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F1A9B">
        <w:rPr>
          <w:rFonts w:ascii="Palatino Linotype" w:eastAsia="Palatino Linotype" w:hAnsi="Palatino Linotype" w:cs="Palatino Linotype"/>
          <w:b/>
        </w:rPr>
        <w:t>EL RECURRENTE</w:t>
      </w:r>
      <w:r w:rsidRPr="003F1A9B">
        <w:rPr>
          <w:rFonts w:ascii="Palatino Linotype" w:eastAsia="Palatino Linotype" w:hAnsi="Palatino Linotype" w:cs="Palatino Linotype"/>
        </w:rPr>
        <w:t xml:space="preserve"> es la misma persona que realizó la solicitud de acceso a la información pública que ahora se impugna.</w:t>
      </w:r>
    </w:p>
    <w:p w14:paraId="55BED5A6" w14:textId="77777777" w:rsidR="00F3139D" w:rsidRPr="003F1A9B" w:rsidRDefault="00F3139D">
      <w:pPr>
        <w:tabs>
          <w:tab w:val="left" w:pos="851"/>
        </w:tabs>
        <w:spacing w:line="360" w:lineRule="auto"/>
        <w:ind w:left="851" w:right="901"/>
        <w:jc w:val="both"/>
        <w:rPr>
          <w:rFonts w:ascii="Palatino Linotype" w:eastAsia="Palatino Linotype" w:hAnsi="Palatino Linotype" w:cs="Palatino Linotype"/>
          <w:sz w:val="22"/>
          <w:szCs w:val="22"/>
        </w:rPr>
      </w:pPr>
    </w:p>
    <w:p w14:paraId="15172796" w14:textId="77777777"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45656A5" w14:textId="77777777" w:rsidR="00F3139D" w:rsidRPr="003F1A9B" w:rsidRDefault="00C13437">
      <w:pPr>
        <w:spacing w:line="360" w:lineRule="auto"/>
        <w:jc w:val="both"/>
        <w:rPr>
          <w:rFonts w:ascii="Palatino Linotype" w:eastAsia="Palatino Linotype" w:hAnsi="Palatino Linotype" w:cs="Palatino Linotype"/>
          <w:b/>
        </w:rPr>
      </w:pPr>
      <w:r w:rsidRPr="003F1A9B">
        <w:rPr>
          <w:rFonts w:ascii="Palatino Linotype" w:eastAsia="Palatino Linotype" w:hAnsi="Palatino Linotype" w:cs="Palatino Linotype"/>
          <w:b/>
          <w:sz w:val="28"/>
          <w:szCs w:val="28"/>
        </w:rPr>
        <w:lastRenderedPageBreak/>
        <w:t>QUINTO</w:t>
      </w:r>
      <w:r w:rsidRPr="003F1A9B">
        <w:rPr>
          <w:rFonts w:ascii="Palatino Linotype" w:eastAsia="Palatino Linotype" w:hAnsi="Palatino Linotype" w:cs="Palatino Linotype"/>
          <w:b/>
        </w:rPr>
        <w:t xml:space="preserve">. Estudio y resolución del asunto. </w:t>
      </w:r>
    </w:p>
    <w:p w14:paraId="6F46D7C6" w14:textId="77777777" w:rsidR="00D40D76" w:rsidRPr="00877066" w:rsidRDefault="00D40D76" w:rsidP="00D40D76">
      <w:pPr>
        <w:spacing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BD0ACFC" w14:textId="77777777" w:rsidR="00D40D76" w:rsidRPr="00877066" w:rsidRDefault="00D40D76" w:rsidP="00D40D76">
      <w:pPr>
        <w:spacing w:line="360" w:lineRule="auto"/>
        <w:jc w:val="both"/>
        <w:rPr>
          <w:rFonts w:ascii="Palatino Linotype" w:eastAsiaTheme="minorHAnsi" w:hAnsi="Palatino Linotype" w:cstheme="minorBidi"/>
          <w:lang w:val="es-ES_tradnl" w:eastAsia="en-US"/>
        </w:rPr>
      </w:pPr>
    </w:p>
    <w:p w14:paraId="5F89024E" w14:textId="77777777" w:rsidR="00D40D76" w:rsidRPr="00877066" w:rsidRDefault="00D40D76" w:rsidP="00D40D76">
      <w:pPr>
        <w:spacing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lang w:val="es-ES_tradnl" w:eastAsia="en-US"/>
        </w:rPr>
        <w:t>La Ley de Transparencia de la entidad, en su artículo 192, contempla la figura jurídica del sobreseimiento, y específicamente en su hipótesis inmersa en la fracción V, refiere que se sobreseerá el asunto cuando por cualquier motivo se quede sin materia.</w:t>
      </w:r>
    </w:p>
    <w:p w14:paraId="262A6479" w14:textId="77777777" w:rsidR="00D40D76" w:rsidRPr="00877066" w:rsidRDefault="00D40D76" w:rsidP="00D40D76">
      <w:pPr>
        <w:spacing w:line="360" w:lineRule="auto"/>
        <w:jc w:val="both"/>
        <w:rPr>
          <w:rFonts w:ascii="Palatino Linotype" w:eastAsiaTheme="minorHAnsi" w:hAnsi="Palatino Linotype" w:cstheme="minorBidi"/>
          <w:lang w:val="es-ES_tradnl" w:eastAsia="en-US"/>
        </w:rPr>
      </w:pPr>
    </w:p>
    <w:p w14:paraId="435D2C48" w14:textId="77777777" w:rsidR="00D40D76" w:rsidRPr="00877066" w:rsidRDefault="00D40D76" w:rsidP="00D40D76">
      <w:pPr>
        <w:spacing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lang w:val="es-ES_tradnl" w:eastAsia="en-US"/>
        </w:rPr>
        <w:t xml:space="preserve">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V del artículo 192, de la Ley de Transparencia y Acceso a la Información Pública del Estado de México y Municipios, a efecto de generar certeza jurídica sobre la satisfacción del derecho de acceso a la </w:t>
      </w:r>
      <w:r w:rsidRPr="00877066">
        <w:rPr>
          <w:rFonts w:ascii="Palatino Linotype" w:eastAsiaTheme="minorHAnsi" w:hAnsi="Palatino Linotype" w:cstheme="minorBidi"/>
          <w:lang w:val="es-ES_tradnl" w:eastAsia="en-US"/>
        </w:rPr>
        <w:lastRenderedPageBreak/>
        <w:t>información accionado por el particular, sirviendo para tales efectos las siguientes líneas argumentativas.</w:t>
      </w:r>
    </w:p>
    <w:p w14:paraId="68789414" w14:textId="77777777" w:rsidR="00D40D76" w:rsidRPr="00877066" w:rsidRDefault="00D40D76" w:rsidP="00D40D76">
      <w:pPr>
        <w:spacing w:line="360" w:lineRule="auto"/>
        <w:jc w:val="both"/>
        <w:rPr>
          <w:rFonts w:ascii="Palatino Linotype" w:eastAsiaTheme="minorHAnsi" w:hAnsi="Palatino Linotype" w:cstheme="minorBidi"/>
          <w:lang w:val="es-ES_tradnl" w:eastAsia="en-US"/>
        </w:rPr>
      </w:pPr>
    </w:p>
    <w:p w14:paraId="74D5BFDE" w14:textId="77777777" w:rsidR="008272ED" w:rsidRDefault="00D40D76" w:rsidP="00D40D76">
      <w:pPr>
        <w:spacing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lang w:val="es-ES_tradnl" w:eastAsia="en-US"/>
        </w:rPr>
        <w:t xml:space="preserve">En virtud de lo anterior, es conveniente recordar que el recurrente solicitó al Sujeto Obligado que se le indique </w:t>
      </w:r>
      <w:r w:rsidR="008272ED">
        <w:rPr>
          <w:rFonts w:ascii="Palatino Linotype" w:eastAsiaTheme="minorHAnsi" w:hAnsi="Palatino Linotype" w:cstheme="minorBidi"/>
          <w:lang w:val="es-ES_tradnl" w:eastAsia="en-US"/>
        </w:rPr>
        <w:t>lo siguiente:</w:t>
      </w:r>
    </w:p>
    <w:p w14:paraId="472EAA79" w14:textId="77777777" w:rsidR="008272ED" w:rsidRDefault="008272ED" w:rsidP="00D40D76">
      <w:pPr>
        <w:spacing w:line="360" w:lineRule="auto"/>
        <w:jc w:val="both"/>
        <w:rPr>
          <w:rFonts w:ascii="Palatino Linotype" w:eastAsiaTheme="minorHAnsi" w:hAnsi="Palatino Linotype" w:cstheme="minorBidi"/>
          <w:lang w:val="es-ES_tradnl" w:eastAsia="en-US"/>
        </w:rPr>
      </w:pPr>
    </w:p>
    <w:p w14:paraId="644EC37D" w14:textId="77777777" w:rsidR="008272ED" w:rsidRDefault="008272ED" w:rsidP="008272ED">
      <w:pPr>
        <w:spacing w:line="360"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sidRPr="00847320">
        <w:rPr>
          <w:rFonts w:ascii="Palatino Linotype" w:eastAsia="Palatino Linotype" w:hAnsi="Palatino Linotype" w:cs="Palatino Linotype"/>
          <w:i/>
          <w:sz w:val="22"/>
          <w:szCs w:val="22"/>
        </w:rPr>
        <w:t xml:space="preserve">Quien dio la autorización de ser aviadora de la Gabriela </w:t>
      </w:r>
      <w:proofErr w:type="spellStart"/>
      <w:r w:rsidRPr="00847320">
        <w:rPr>
          <w:rFonts w:ascii="Palatino Linotype" w:eastAsia="Palatino Linotype" w:hAnsi="Palatino Linotype" w:cs="Palatino Linotype"/>
          <w:i/>
          <w:sz w:val="22"/>
          <w:szCs w:val="22"/>
        </w:rPr>
        <w:t>Martinez</w:t>
      </w:r>
      <w:proofErr w:type="spellEnd"/>
      <w:r w:rsidRPr="00847320">
        <w:rPr>
          <w:rFonts w:ascii="Palatino Linotype" w:eastAsia="Palatino Linotype" w:hAnsi="Palatino Linotype" w:cs="Palatino Linotype"/>
          <w:i/>
          <w:sz w:val="22"/>
          <w:szCs w:val="22"/>
        </w:rPr>
        <w:t xml:space="preserve"> González </w:t>
      </w:r>
      <w:r w:rsidRPr="00847320">
        <w:rPr>
          <w:rFonts w:ascii="Palatino Linotype" w:eastAsia="Palatino Linotype" w:hAnsi="Palatino Linotype" w:cs="Palatino Linotype"/>
          <w:b/>
          <w:i/>
          <w:sz w:val="22"/>
          <w:szCs w:val="22"/>
        </w:rPr>
        <w:t>Indicar Cargo adscripción superio</w:t>
      </w:r>
      <w:r>
        <w:rPr>
          <w:rFonts w:ascii="Palatino Linotype" w:eastAsia="Palatino Linotype" w:hAnsi="Palatino Linotype" w:cs="Palatino Linotype"/>
          <w:b/>
          <w:i/>
          <w:sz w:val="22"/>
          <w:szCs w:val="22"/>
        </w:rPr>
        <w:t>r.”</w:t>
      </w:r>
    </w:p>
    <w:p w14:paraId="3CAE82F4" w14:textId="77777777" w:rsidR="008272ED" w:rsidRDefault="008272ED" w:rsidP="008272ED">
      <w:pPr>
        <w:spacing w:line="360" w:lineRule="auto"/>
        <w:ind w:left="851" w:right="899"/>
        <w:jc w:val="both"/>
        <w:rPr>
          <w:rFonts w:ascii="Palatino Linotype" w:eastAsiaTheme="minorHAnsi" w:hAnsi="Palatino Linotype" w:cstheme="minorBidi"/>
          <w:lang w:val="es-ES_tradnl" w:eastAsia="en-US"/>
        </w:rPr>
      </w:pPr>
    </w:p>
    <w:p w14:paraId="0DE29DBD"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877066">
        <w:rPr>
          <w:rFonts w:ascii="Palatino Linotype" w:eastAsia="Palatino Linotype" w:hAnsi="Palatino Linotype" w:cs="Palatino Linotype"/>
          <w:color w:val="000000"/>
          <w:lang w:val="es-ES_tradnl"/>
        </w:rPr>
        <w:t>Al respecto, el Sujeto Obligado respondió al solicitante mediante la presentación de</w:t>
      </w:r>
      <w:r w:rsidR="001611EA">
        <w:rPr>
          <w:rFonts w:ascii="Palatino Linotype" w:eastAsia="Palatino Linotype" w:hAnsi="Palatino Linotype" w:cs="Palatino Linotype"/>
          <w:color w:val="000000"/>
          <w:lang w:val="es-ES_tradnl"/>
        </w:rPr>
        <w:t xml:space="preserve"> </w:t>
      </w:r>
      <w:r w:rsidRPr="00877066">
        <w:rPr>
          <w:rFonts w:ascii="Palatino Linotype" w:eastAsia="Palatino Linotype" w:hAnsi="Palatino Linotype" w:cs="Palatino Linotype"/>
          <w:color w:val="000000"/>
          <w:lang w:val="es-ES_tradnl"/>
        </w:rPr>
        <w:t>l</w:t>
      </w:r>
      <w:r w:rsidR="001611EA">
        <w:rPr>
          <w:rFonts w:ascii="Palatino Linotype" w:eastAsia="Palatino Linotype" w:hAnsi="Palatino Linotype" w:cs="Palatino Linotype"/>
          <w:color w:val="000000"/>
          <w:lang w:val="es-ES_tradnl"/>
        </w:rPr>
        <w:t>os</w:t>
      </w:r>
      <w:r w:rsidRPr="00877066">
        <w:rPr>
          <w:rFonts w:ascii="Palatino Linotype" w:eastAsia="Palatino Linotype" w:hAnsi="Palatino Linotype" w:cs="Palatino Linotype"/>
          <w:color w:val="000000"/>
          <w:lang w:val="es-ES_tradnl"/>
        </w:rPr>
        <w:t xml:space="preserve"> siguiente</w:t>
      </w:r>
      <w:r w:rsidR="001611EA">
        <w:rPr>
          <w:rFonts w:ascii="Palatino Linotype" w:eastAsia="Palatino Linotype" w:hAnsi="Palatino Linotype" w:cs="Palatino Linotype"/>
          <w:color w:val="000000"/>
          <w:lang w:val="es-ES_tradnl"/>
        </w:rPr>
        <w:t>s</w:t>
      </w:r>
      <w:r w:rsidRPr="00877066">
        <w:rPr>
          <w:rFonts w:ascii="Palatino Linotype" w:eastAsia="Palatino Linotype" w:hAnsi="Palatino Linotype" w:cs="Palatino Linotype"/>
          <w:color w:val="000000"/>
          <w:lang w:val="es-ES_tradnl"/>
        </w:rPr>
        <w:t xml:space="preserve"> documento</w:t>
      </w:r>
      <w:r w:rsidR="001611EA">
        <w:rPr>
          <w:rFonts w:ascii="Palatino Linotype" w:eastAsia="Palatino Linotype" w:hAnsi="Palatino Linotype" w:cs="Palatino Linotype"/>
          <w:color w:val="000000"/>
          <w:lang w:val="es-ES_tradnl"/>
        </w:rPr>
        <w:t>s</w:t>
      </w:r>
      <w:r w:rsidRPr="00877066">
        <w:rPr>
          <w:rFonts w:ascii="Palatino Linotype" w:eastAsia="Palatino Linotype" w:hAnsi="Palatino Linotype" w:cs="Palatino Linotype"/>
          <w:color w:val="000000"/>
          <w:lang w:val="es-ES_tradnl"/>
        </w:rPr>
        <w:t xml:space="preserve"> electrónico</w:t>
      </w:r>
      <w:r w:rsidR="001611EA">
        <w:rPr>
          <w:rFonts w:ascii="Palatino Linotype" w:eastAsia="Palatino Linotype" w:hAnsi="Palatino Linotype" w:cs="Palatino Linotype"/>
          <w:color w:val="000000"/>
          <w:lang w:val="es-ES_tradnl"/>
        </w:rPr>
        <w:t>s</w:t>
      </w:r>
      <w:r w:rsidRPr="00877066">
        <w:rPr>
          <w:rFonts w:ascii="Palatino Linotype" w:eastAsia="Palatino Linotype" w:hAnsi="Palatino Linotype" w:cs="Palatino Linotype"/>
          <w:color w:val="000000"/>
          <w:lang w:val="es-ES_tradnl"/>
        </w:rPr>
        <w:t xml:space="preserve">: </w:t>
      </w:r>
    </w:p>
    <w:p w14:paraId="49CA1FFF" w14:textId="77777777" w:rsidR="00D40D7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A3A4649" w14:textId="77777777" w:rsidR="00ED3FA5" w:rsidRDefault="00ED3FA5" w:rsidP="00ED3FA5">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t>“</w:t>
      </w:r>
      <w:r w:rsidRPr="00847320">
        <w:rPr>
          <w:rFonts w:ascii="Palatino Linotype" w:eastAsia="Palatino Linotype" w:hAnsi="Palatino Linotype" w:cs="Palatino Linotype"/>
          <w:b/>
        </w:rPr>
        <w:t>CONTESTACION SAIMEX 168.pdf</w:t>
      </w:r>
      <w:r w:rsidRPr="003F1A9B">
        <w:rPr>
          <w:rFonts w:ascii="Palatino Linotype" w:eastAsia="Palatino Linotype" w:hAnsi="Palatino Linotype" w:cs="Palatino Linotype"/>
        </w:rPr>
        <w:t xml:space="preserve">” </w:t>
      </w:r>
      <w:r>
        <w:rPr>
          <w:rFonts w:ascii="Palatino Linotype" w:eastAsia="Palatino Linotype" w:hAnsi="Palatino Linotype" w:cs="Palatino Linotype"/>
        </w:rPr>
        <w:t xml:space="preserve">archivo el cual contiene un oficio número OPDM/SA/04-034/2022, el cual refiere que se adjunta el nombramiento  de la C. Gabriela </w:t>
      </w:r>
      <w:proofErr w:type="spellStart"/>
      <w:r>
        <w:rPr>
          <w:rFonts w:ascii="Palatino Linotype" w:eastAsia="Palatino Linotype" w:hAnsi="Palatino Linotype" w:cs="Palatino Linotype"/>
        </w:rPr>
        <w:t>Haydelen</w:t>
      </w:r>
      <w:proofErr w:type="spellEnd"/>
      <w:r>
        <w:rPr>
          <w:rFonts w:ascii="Palatino Linotype" w:eastAsia="Palatino Linotype" w:hAnsi="Palatino Linotype" w:cs="Palatino Linotype"/>
        </w:rPr>
        <w:t xml:space="preserve"> Martínez González</w:t>
      </w:r>
      <w:r w:rsidRPr="003F1A9B">
        <w:rPr>
          <w:rFonts w:ascii="Palatino Linotype" w:eastAsia="Palatino Linotype" w:hAnsi="Palatino Linotype" w:cs="Palatino Linotype"/>
        </w:rPr>
        <w:t>.</w:t>
      </w:r>
    </w:p>
    <w:p w14:paraId="58A757C1" w14:textId="77777777" w:rsidR="00ED3FA5" w:rsidRDefault="00ED3FA5" w:rsidP="00ED3FA5">
      <w:pPr>
        <w:spacing w:line="360" w:lineRule="auto"/>
        <w:jc w:val="both"/>
        <w:rPr>
          <w:rFonts w:ascii="Palatino Linotype" w:eastAsia="Palatino Linotype" w:hAnsi="Palatino Linotype" w:cs="Palatino Linotype"/>
        </w:rPr>
      </w:pPr>
    </w:p>
    <w:p w14:paraId="26DE5CE8" w14:textId="77777777" w:rsidR="00ED3FA5" w:rsidRDefault="00ED3FA5" w:rsidP="001611EA">
      <w:pPr>
        <w:spacing w:line="360" w:lineRule="auto"/>
        <w:contextualSpacing/>
        <w:jc w:val="both"/>
        <w:rPr>
          <w:rFonts w:ascii="Palatino Linotype" w:eastAsia="Palatino Linotype" w:hAnsi="Palatino Linotype" w:cs="Palatino Linotype"/>
          <w:color w:val="000000"/>
        </w:rPr>
      </w:pPr>
      <w:r w:rsidRPr="003F1A9B">
        <w:rPr>
          <w:rFonts w:ascii="Palatino Linotype" w:eastAsia="Palatino Linotype" w:hAnsi="Palatino Linotype" w:cs="Palatino Linotype"/>
        </w:rPr>
        <w:t>“</w:t>
      </w:r>
      <w:r w:rsidRPr="00847320">
        <w:rPr>
          <w:rFonts w:ascii="Palatino Linotype" w:eastAsia="Palatino Linotype" w:hAnsi="Palatino Linotype" w:cs="Palatino Linotype"/>
          <w:b/>
        </w:rPr>
        <w:t>NOMBRAMIENTO.pdf</w:t>
      </w:r>
      <w:r w:rsidRPr="003F1A9B">
        <w:rPr>
          <w:rFonts w:ascii="Palatino Linotype" w:eastAsia="Palatino Linotype" w:hAnsi="Palatino Linotype" w:cs="Palatino Linotype"/>
        </w:rPr>
        <w:t xml:space="preserve">” contiene </w:t>
      </w:r>
      <w:r>
        <w:rPr>
          <w:rFonts w:ascii="Palatino Linotype" w:eastAsia="Palatino Linotype" w:hAnsi="Palatino Linotype" w:cs="Palatino Linotype"/>
        </w:rPr>
        <w:t xml:space="preserve">precisamente el nombramiento de la C. Gabriela </w:t>
      </w:r>
      <w:proofErr w:type="spellStart"/>
      <w:r>
        <w:rPr>
          <w:rFonts w:ascii="Palatino Linotype" w:eastAsia="Palatino Linotype" w:hAnsi="Palatino Linotype" w:cs="Palatino Linotype"/>
        </w:rPr>
        <w:t>Haydelen</w:t>
      </w:r>
      <w:proofErr w:type="spellEnd"/>
      <w:r>
        <w:rPr>
          <w:rFonts w:ascii="Palatino Linotype" w:eastAsia="Palatino Linotype" w:hAnsi="Palatino Linotype" w:cs="Palatino Linotype"/>
        </w:rPr>
        <w:t xml:space="preserve"> Martínez González en copia simple, expedido a esta última por el Director General del </w:t>
      </w:r>
      <w:r w:rsidR="001611EA">
        <w:rPr>
          <w:rFonts w:ascii="Palatino Linotype" w:eastAsia="Palatino Linotype" w:hAnsi="Palatino Linotype" w:cs="Palatino Linotype"/>
        </w:rPr>
        <w:t>OPDM; c</w:t>
      </w:r>
      <w:r w:rsidR="001611EA">
        <w:rPr>
          <w:rFonts w:ascii="Palatino Linotype" w:eastAsia="Palatino Linotype" w:hAnsi="Palatino Linotype" w:cs="Palatino Linotype"/>
          <w:color w:val="000000"/>
        </w:rPr>
        <w:t>omo a continuación se advierte de las siguientes imágenes:</w:t>
      </w:r>
    </w:p>
    <w:p w14:paraId="3B9F094C" w14:textId="77777777" w:rsidR="001611EA" w:rsidRDefault="001611EA" w:rsidP="001611EA">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r>
        <w:rPr>
          <w:noProof/>
        </w:rPr>
        <w:lastRenderedPageBreak/>
        <w:drawing>
          <wp:inline distT="0" distB="0" distL="0" distR="0" wp14:anchorId="54BB6AA4" wp14:editId="34F6E9A6">
            <wp:extent cx="5619037" cy="5271247"/>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1159" cy="5282619"/>
                    </a:xfrm>
                    <a:prstGeom prst="rect">
                      <a:avLst/>
                    </a:prstGeom>
                  </pic:spPr>
                </pic:pic>
              </a:graphicData>
            </a:graphic>
          </wp:inline>
        </w:drawing>
      </w:r>
    </w:p>
    <w:p w14:paraId="5F347A5B" w14:textId="77777777" w:rsidR="001611EA" w:rsidRDefault="001611EA" w:rsidP="001611EA">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r>
        <w:rPr>
          <w:noProof/>
        </w:rPr>
        <w:lastRenderedPageBreak/>
        <w:drawing>
          <wp:inline distT="0" distB="0" distL="0" distR="0" wp14:anchorId="7F6E577F" wp14:editId="471FAD4E">
            <wp:extent cx="4514850" cy="5876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14850" cy="5876925"/>
                    </a:xfrm>
                    <a:prstGeom prst="rect">
                      <a:avLst/>
                    </a:prstGeom>
                  </pic:spPr>
                </pic:pic>
              </a:graphicData>
            </a:graphic>
          </wp:inline>
        </w:drawing>
      </w:r>
    </w:p>
    <w:p w14:paraId="7B46D56A" w14:textId="77777777" w:rsidR="001611EA" w:rsidRDefault="001611EA"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77633F9" w14:textId="77777777" w:rsidR="00590423" w:rsidRDefault="00590423"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lang w:val="es-ES_tradnl"/>
        </w:rPr>
        <w:lastRenderedPageBreak/>
        <w:t xml:space="preserve">Cabe destacar que con la entrega del nombramiento de </w:t>
      </w:r>
      <w:r>
        <w:rPr>
          <w:rFonts w:ascii="Palatino Linotype" w:eastAsia="Palatino Linotype" w:hAnsi="Palatino Linotype" w:cs="Palatino Linotype"/>
        </w:rPr>
        <w:t xml:space="preserve">Gabriela </w:t>
      </w:r>
      <w:proofErr w:type="spellStart"/>
      <w:r>
        <w:rPr>
          <w:rFonts w:ascii="Palatino Linotype" w:eastAsia="Palatino Linotype" w:hAnsi="Palatino Linotype" w:cs="Palatino Linotype"/>
        </w:rPr>
        <w:t>Haydelen</w:t>
      </w:r>
      <w:proofErr w:type="spellEnd"/>
      <w:r>
        <w:rPr>
          <w:rFonts w:ascii="Palatino Linotype" w:eastAsia="Palatino Linotype" w:hAnsi="Palatino Linotype" w:cs="Palatino Linotype"/>
        </w:rPr>
        <w:t xml:space="preserve"> Martínez González quien está designada como Jefa de Departamento de Patrimonio y Servicios Generales </w:t>
      </w:r>
      <w:r w:rsidRPr="00590423">
        <w:rPr>
          <w:rFonts w:ascii="Palatino Linotype" w:eastAsia="Palatino Linotype" w:hAnsi="Palatino Linotype" w:cs="Palatino Linotype"/>
        </w:rPr>
        <w:t>Organismo Público Descentralizado para la Prestación de Los Servicios de Agua Potable Alcantarillado y Saneamiento del Municipio de Tlalnepantla de Baz</w:t>
      </w:r>
      <w:r>
        <w:rPr>
          <w:rFonts w:ascii="Palatino Linotype" w:eastAsia="Palatino Linotype" w:hAnsi="Palatino Linotype" w:cs="Palatino Linotype"/>
        </w:rPr>
        <w:t>, para la administración 2022-2024</w:t>
      </w:r>
      <w:r w:rsidR="0081136B">
        <w:rPr>
          <w:rFonts w:ascii="Palatino Linotype" w:eastAsia="Palatino Linotype" w:hAnsi="Palatino Linotype" w:cs="Palatino Linotype"/>
        </w:rPr>
        <w:t>, quien tiene como superior jerárquico el Subdirector de Administración</w:t>
      </w:r>
      <w:r w:rsidR="00671FC5">
        <w:rPr>
          <w:rFonts w:ascii="Palatino Linotype" w:eastAsia="Palatino Linotype" w:hAnsi="Palatino Linotype" w:cs="Palatino Linotype"/>
        </w:rPr>
        <w:t>;</w:t>
      </w:r>
      <w:r w:rsidR="0081136B">
        <w:rPr>
          <w:rFonts w:ascii="Palatino Linotype" w:eastAsia="Palatino Linotype" w:hAnsi="Palatino Linotype" w:cs="Palatino Linotype"/>
        </w:rPr>
        <w:t xml:space="preserve"> colma lo peticionado en primer término</w:t>
      </w:r>
      <w:r w:rsidR="00671FC5">
        <w:rPr>
          <w:rFonts w:ascii="Palatino Linotype" w:eastAsia="Palatino Linotype" w:hAnsi="Palatino Linotype" w:cs="Palatino Linotype"/>
        </w:rPr>
        <w:t xml:space="preserve"> pues</w:t>
      </w:r>
      <w:r w:rsidR="0081136B">
        <w:rPr>
          <w:rFonts w:ascii="Palatino Linotype" w:eastAsia="Palatino Linotype" w:hAnsi="Palatino Linotype" w:cs="Palatino Linotype"/>
        </w:rPr>
        <w:t xml:space="preserve"> el ciudadano solicitó  cargo, adscripción y S</w:t>
      </w:r>
      <w:r w:rsidR="00671FC5">
        <w:rPr>
          <w:rFonts w:ascii="Palatino Linotype" w:eastAsia="Palatino Linotype" w:hAnsi="Palatino Linotype" w:cs="Palatino Linotype"/>
        </w:rPr>
        <w:t>uperior.</w:t>
      </w:r>
    </w:p>
    <w:p w14:paraId="3CB4CA06" w14:textId="77777777" w:rsidR="0081136B" w:rsidRDefault="0081136B"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7EB7179A" w14:textId="77777777" w:rsidR="00AF06D3" w:rsidRDefault="00AF06D3"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 obstante lo anterior, </w:t>
      </w:r>
      <w:r w:rsidR="00D40D76" w:rsidRPr="00877066">
        <w:rPr>
          <w:rFonts w:ascii="Palatino Linotype" w:eastAsia="Palatino Linotype" w:hAnsi="Palatino Linotype" w:cs="Palatino Linotype"/>
          <w:color w:val="000000"/>
          <w:lang w:val="es-ES_tradnl"/>
        </w:rPr>
        <w:t xml:space="preserve">el Recurrente consideró que su derecho de acceso a la información no se colmó a plenitud, por lo que interpuso el presente recurso de revisión </w:t>
      </w:r>
      <w:r>
        <w:rPr>
          <w:rFonts w:ascii="Palatino Linotype" w:eastAsia="Palatino Linotype" w:hAnsi="Palatino Linotype" w:cs="Palatino Linotype"/>
          <w:color w:val="000000"/>
          <w:lang w:val="es-ES_tradnl"/>
        </w:rPr>
        <w:t>señalando lo siguiente:</w:t>
      </w:r>
    </w:p>
    <w:p w14:paraId="51115D77" w14:textId="77777777" w:rsidR="00AF06D3" w:rsidRDefault="00AF06D3"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23B7513" w14:textId="77777777" w:rsidR="00AF06D3" w:rsidRPr="003F1A9B" w:rsidRDefault="00AF06D3" w:rsidP="00AF06D3">
      <w:pPr>
        <w:spacing w:line="360" w:lineRule="auto"/>
        <w:ind w:left="-57" w:right="-57"/>
        <w:jc w:val="both"/>
        <w:rPr>
          <w:rFonts w:ascii="Palatino Linotype" w:eastAsia="Palatino Linotype" w:hAnsi="Palatino Linotype" w:cs="Palatino Linotype"/>
          <w:b/>
          <w:u w:val="single"/>
        </w:rPr>
      </w:pPr>
      <w:r w:rsidRPr="003F1A9B">
        <w:rPr>
          <w:rFonts w:ascii="Palatino Linotype" w:eastAsia="Palatino Linotype" w:hAnsi="Palatino Linotype" w:cs="Palatino Linotype"/>
          <w:b/>
          <w:u w:val="single"/>
        </w:rPr>
        <w:t>Acto Impugnado:</w:t>
      </w:r>
      <w:r w:rsidRPr="003F1A9B">
        <w:rPr>
          <w:b/>
          <w:u w:val="single"/>
        </w:rPr>
        <w:t xml:space="preserve"> </w:t>
      </w:r>
    </w:p>
    <w:p w14:paraId="5E072162" w14:textId="77777777" w:rsidR="00AF06D3" w:rsidRPr="003F1A9B" w:rsidRDefault="00AF06D3" w:rsidP="00AF06D3">
      <w:pPr>
        <w:tabs>
          <w:tab w:val="left" w:pos="709"/>
        </w:tabs>
        <w:spacing w:before="66"/>
        <w:ind w:left="850" w:right="899"/>
        <w:jc w:val="both"/>
        <w:rPr>
          <w:rFonts w:ascii="Palatino Linotype" w:eastAsia="Palatino Linotype" w:hAnsi="Palatino Linotype" w:cs="Palatino Linotype"/>
          <w:i/>
          <w:sz w:val="22"/>
          <w:szCs w:val="22"/>
        </w:rPr>
      </w:pPr>
      <w:r w:rsidRPr="003F1A9B">
        <w:rPr>
          <w:rFonts w:ascii="Palatino Linotype" w:eastAsia="Palatino Linotype" w:hAnsi="Palatino Linotype" w:cs="Palatino Linotype"/>
          <w:i/>
          <w:sz w:val="22"/>
          <w:szCs w:val="22"/>
        </w:rPr>
        <w:t>“</w:t>
      </w:r>
      <w:r w:rsidRPr="002B7CF3">
        <w:rPr>
          <w:rFonts w:ascii="Palatino Linotype" w:eastAsia="Palatino Linotype" w:hAnsi="Palatino Linotype" w:cs="Palatino Linotype"/>
          <w:i/>
          <w:sz w:val="22"/>
          <w:szCs w:val="22"/>
        </w:rPr>
        <w:t>ES EVIDENTE QUE ESTAN EN FALTAS ADMINISTRATIVAS DE SERVIDORES PUBLICOS</w:t>
      </w:r>
      <w:r>
        <w:rPr>
          <w:rFonts w:ascii="Palatino Linotype" w:eastAsia="Palatino Linotype" w:hAnsi="Palatino Linotype" w:cs="Palatino Linotype"/>
          <w:i/>
          <w:sz w:val="22"/>
          <w:szCs w:val="22"/>
        </w:rPr>
        <w:t>.</w:t>
      </w:r>
      <w:r w:rsidRPr="003F1A9B">
        <w:rPr>
          <w:rFonts w:ascii="Palatino Linotype" w:eastAsia="Palatino Linotype" w:hAnsi="Palatino Linotype" w:cs="Palatino Linotype"/>
          <w:i/>
          <w:sz w:val="22"/>
          <w:szCs w:val="22"/>
        </w:rPr>
        <w:t>”(</w:t>
      </w:r>
      <w:proofErr w:type="gramStart"/>
      <w:r w:rsidRPr="003F1A9B">
        <w:rPr>
          <w:rFonts w:ascii="Palatino Linotype" w:eastAsia="Palatino Linotype" w:hAnsi="Palatino Linotype" w:cs="Palatino Linotype"/>
          <w:i/>
          <w:sz w:val="22"/>
          <w:szCs w:val="22"/>
        </w:rPr>
        <w:t>sic</w:t>
      </w:r>
      <w:proofErr w:type="gramEnd"/>
      <w:r w:rsidRPr="003F1A9B">
        <w:rPr>
          <w:rFonts w:ascii="Palatino Linotype" w:eastAsia="Palatino Linotype" w:hAnsi="Palatino Linotype" w:cs="Palatino Linotype"/>
          <w:i/>
          <w:sz w:val="22"/>
          <w:szCs w:val="22"/>
        </w:rPr>
        <w:t>)</w:t>
      </w:r>
    </w:p>
    <w:p w14:paraId="52989161" w14:textId="77777777" w:rsidR="00AF06D3" w:rsidRPr="003F1A9B" w:rsidRDefault="00AF06D3" w:rsidP="00AF06D3">
      <w:pPr>
        <w:ind w:right="899"/>
        <w:jc w:val="both"/>
        <w:rPr>
          <w:rFonts w:ascii="Palatino Linotype" w:eastAsia="Palatino Linotype" w:hAnsi="Palatino Linotype" w:cs="Palatino Linotype"/>
        </w:rPr>
      </w:pPr>
    </w:p>
    <w:p w14:paraId="420E1BD7" w14:textId="77777777" w:rsidR="00AF06D3" w:rsidRPr="003F1A9B" w:rsidRDefault="00AF06D3" w:rsidP="00AF06D3">
      <w:pPr>
        <w:spacing w:line="360" w:lineRule="auto"/>
        <w:ind w:right="49"/>
        <w:jc w:val="both"/>
        <w:rPr>
          <w:rFonts w:ascii="Palatino Linotype" w:eastAsia="Palatino Linotype" w:hAnsi="Palatino Linotype" w:cs="Palatino Linotype"/>
          <w:b/>
          <w:u w:val="single"/>
        </w:rPr>
      </w:pPr>
      <w:r w:rsidRPr="003F1A9B">
        <w:rPr>
          <w:rFonts w:ascii="Palatino Linotype" w:eastAsia="Palatino Linotype" w:hAnsi="Palatino Linotype" w:cs="Palatino Linotype"/>
          <w:b/>
          <w:u w:val="single"/>
        </w:rPr>
        <w:t>Razones o motivos de inconformidad:</w:t>
      </w:r>
    </w:p>
    <w:p w14:paraId="324EECA2" w14:textId="77777777" w:rsidR="00AF06D3" w:rsidRPr="003F1A9B" w:rsidRDefault="00AF06D3" w:rsidP="00AF06D3">
      <w:pPr>
        <w:tabs>
          <w:tab w:val="left" w:pos="709"/>
        </w:tabs>
        <w:spacing w:before="66"/>
        <w:ind w:left="850" w:right="899"/>
        <w:jc w:val="both"/>
        <w:rPr>
          <w:rFonts w:ascii="Palatino Linotype" w:eastAsia="Palatino Linotype" w:hAnsi="Palatino Linotype" w:cs="Palatino Linotype"/>
          <w:b/>
          <w:u w:val="single"/>
        </w:rPr>
      </w:pPr>
      <w:r w:rsidRPr="003F1A9B">
        <w:rPr>
          <w:rFonts w:ascii="Palatino Linotype" w:eastAsia="Palatino Linotype" w:hAnsi="Palatino Linotype" w:cs="Palatino Linotype"/>
          <w:i/>
          <w:sz w:val="22"/>
          <w:szCs w:val="22"/>
        </w:rPr>
        <w:t>“</w:t>
      </w:r>
      <w:r w:rsidRPr="002B7CF3">
        <w:rPr>
          <w:rFonts w:ascii="Palatino Linotype" w:eastAsia="Palatino Linotype" w:hAnsi="Palatino Linotype" w:cs="Palatino Linotype"/>
          <w:i/>
          <w:sz w:val="22"/>
          <w:szCs w:val="22"/>
        </w:rPr>
        <w:t xml:space="preserve">SE REALICE LA DEMANDA CORRESPONDIENTE POR COMETER ACTOS ATRIBUIDOS A SERVIDORES PUBLICOS IINVOLUCRADOS AL PERMITIR AVIADORES EN EL ORGANISMO. QUE EL DIRECTOR GENERAL Y EL PRESIDENTE MUNICPAL TENGA PLENO CONOCIMIENTO DE LAS IRREGULARIDADES Y PROBLEMAS QUE ESTA OCASIONANDO. POR MEDIO DE ESE INFOEM.SE HAGAN LAS </w:t>
      </w:r>
      <w:r w:rsidRPr="002B7CF3">
        <w:rPr>
          <w:rFonts w:ascii="Palatino Linotype" w:eastAsia="Palatino Linotype" w:hAnsi="Palatino Linotype" w:cs="Palatino Linotype"/>
          <w:i/>
          <w:sz w:val="22"/>
          <w:szCs w:val="22"/>
        </w:rPr>
        <w:lastRenderedPageBreak/>
        <w:t>GESTIONES QUE CORRESPONDAN CON LAS VISTAS AL MINISTERIO PUBLICO DE LA FEDERACION Y LOS ORGANOS INTERNOS ASI COMO AL OSFEM PARA SU ATENCION</w:t>
      </w:r>
      <w:r w:rsidRPr="003F1A9B">
        <w:rPr>
          <w:rFonts w:ascii="Palatino Linotype" w:eastAsia="Palatino Linotype" w:hAnsi="Palatino Linotype" w:cs="Palatino Linotype"/>
          <w:i/>
          <w:sz w:val="22"/>
          <w:szCs w:val="22"/>
        </w:rPr>
        <w:t>”(sic)</w:t>
      </w:r>
    </w:p>
    <w:p w14:paraId="18D8E16A" w14:textId="77777777" w:rsidR="00AF06D3" w:rsidRPr="00AF06D3" w:rsidRDefault="00AF06D3"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34C5BD3" w14:textId="77777777" w:rsidR="00D40D76" w:rsidRPr="00877066" w:rsidRDefault="00D40D76" w:rsidP="00D40D76">
      <w:pPr>
        <w:pStyle w:val="Sinespaciado"/>
        <w:spacing w:line="360" w:lineRule="auto"/>
        <w:jc w:val="both"/>
        <w:rPr>
          <w:rFonts w:ascii="Palatino Linotype" w:hAnsi="Palatino Linotype"/>
          <w:lang w:val="es-ES_tradnl"/>
        </w:rPr>
      </w:pPr>
      <w:r w:rsidRPr="00877066">
        <w:rPr>
          <w:rFonts w:ascii="Palatino Linotype" w:hAnsi="Palatino Linotype"/>
          <w:lang w:val="es-ES_tradnl"/>
        </w:rPr>
        <w:t>Caber precisar que durante la etapa de instrucción el Recurrente no realizó manifestaciones. Por otra parte, el Sujeto Obligado rindió su Informe Justifi</w:t>
      </w:r>
      <w:r w:rsidR="00AF06D3">
        <w:rPr>
          <w:rFonts w:ascii="Palatino Linotype" w:hAnsi="Palatino Linotype"/>
          <w:lang w:val="es-ES_tradnl"/>
        </w:rPr>
        <w:t>cado mediante el cual ratifica la entrega primigenia.</w:t>
      </w:r>
    </w:p>
    <w:p w14:paraId="336B8FF6" w14:textId="77777777" w:rsidR="00D40D76" w:rsidRPr="00877066" w:rsidRDefault="00D40D76" w:rsidP="00D40D76">
      <w:pPr>
        <w:pStyle w:val="Sinespaciado"/>
        <w:spacing w:line="360" w:lineRule="auto"/>
        <w:jc w:val="both"/>
        <w:rPr>
          <w:rFonts w:ascii="Palatino Linotype" w:hAnsi="Palatino Linotype"/>
          <w:sz w:val="21"/>
          <w:szCs w:val="21"/>
          <w:lang w:val="es-ES_tradnl"/>
        </w:rPr>
      </w:pPr>
    </w:p>
    <w:p w14:paraId="407E8FD5"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877066">
        <w:rPr>
          <w:rFonts w:ascii="Palatino Linotype" w:eastAsia="Palatino Linotype" w:hAnsi="Palatino Linotype" w:cs="Palatino Linotype"/>
          <w:color w:val="000000"/>
          <w:lang w:val="es-ES_tradnl"/>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5260B273"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2AAB7F9"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6o.</w:t>
      </w:r>
      <w:r w:rsidRPr="00877066">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7066">
        <w:rPr>
          <w:rFonts w:ascii="Palatino Linotype" w:eastAsia="Palatino Linotype" w:hAnsi="Palatino Linotype" w:cs="Palatino Linotype"/>
          <w:b/>
          <w:i/>
          <w:color w:val="000000"/>
          <w:lang w:val="es-ES_tradnl"/>
        </w:rPr>
        <w:t>El derecho a la información será garantizado por el Estado.</w:t>
      </w:r>
      <w:r w:rsidRPr="00877066">
        <w:rPr>
          <w:rFonts w:ascii="Palatino Linotype" w:eastAsia="Palatino Linotype" w:hAnsi="Palatino Linotype" w:cs="Palatino Linotype"/>
          <w:i/>
          <w:color w:val="000000"/>
          <w:lang w:val="es-ES_tradnl"/>
        </w:rPr>
        <w:t xml:space="preserve"> </w:t>
      </w:r>
    </w:p>
    <w:p w14:paraId="4A60AF43"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7A307514"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30087501"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F7D8134"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Para efectos de lo dispuesto en el presente artículo se observará lo siguiente:</w:t>
      </w:r>
    </w:p>
    <w:p w14:paraId="1CD27991"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518E62B4"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lastRenderedPageBreak/>
        <w:t>A. Para el ejercicio del derecho de acceso a la información, la Federación, los Estados y el Distrito Federal, en el ámbito de sus respectivas competencias, se regirán por los siguientes principios y bases:</w:t>
      </w:r>
    </w:p>
    <w:p w14:paraId="5E6D619D"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2546B627"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I. Toda la información en posesión de</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cualquier autoridad</w:t>
      </w:r>
      <w:r w:rsidRPr="00877066">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77066">
        <w:rPr>
          <w:rFonts w:ascii="Palatino Linotype" w:eastAsia="Palatino Linotype" w:hAnsi="Palatino Linotype" w:cs="Palatino Linotype"/>
          <w:b/>
          <w:i/>
          <w:color w:val="000000"/>
          <w:lang w:val="es-ES_tradnl"/>
        </w:rPr>
        <w:t>en el ámbito federal, estatal y municipal, es pública</w:t>
      </w:r>
      <w:r w:rsidRPr="00877066">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77066">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877066">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4C6C226"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7812E652"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081AD2AD"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810E622"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877066">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0B594B12"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lastRenderedPageBreak/>
        <w:t>VI. Las leyes determinarán la manera en que los sujetos obligados deberán hacer pública la información relativa a los recursos públicos que entreguen a personas físicas o morales.</w:t>
      </w:r>
    </w:p>
    <w:p w14:paraId="7BA1A529"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034A1BDF"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D1BE4CC"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p>
    <w:p w14:paraId="42253516"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La ley establecerá aquella información que se considere reservada o confidencial.</w:t>
      </w:r>
    </w:p>
    <w:p w14:paraId="287268B5"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827A7D1"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877066">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345DE261"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0C27AD5"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5</w:t>
      </w:r>
      <w:r w:rsidRPr="00877066">
        <w:rPr>
          <w:rFonts w:ascii="Palatino Linotype" w:eastAsia="Palatino Linotype" w:hAnsi="Palatino Linotype" w:cs="Palatino Linotype"/>
          <w:i/>
          <w:color w:val="000000"/>
          <w:lang w:val="es-ES_tradnl"/>
        </w:rPr>
        <w:t xml:space="preserve">. … </w:t>
      </w:r>
    </w:p>
    <w:p w14:paraId="0FEEFDD2"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5E8C1CDB"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03BE6E8"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5163AF5"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50E09954"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Este derecho se regirá por los principios y bases siguientes:</w:t>
      </w:r>
    </w:p>
    <w:p w14:paraId="5366FA90"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30A7585B"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F56012"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4673512E"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50FE25DB"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40FF1BB9"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5D767E5"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3B96DF3" w14:textId="77777777" w:rsidR="00D40D76" w:rsidRPr="00877066" w:rsidRDefault="00D40D76" w:rsidP="00D40D7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7BBBA7C4" w14:textId="77777777" w:rsidR="00D40D76" w:rsidRPr="00877066"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FF5A6" w14:textId="77777777" w:rsidR="00D40D76" w:rsidRPr="00877066" w:rsidRDefault="00D40D76" w:rsidP="00D40D76">
      <w:pPr>
        <w:spacing w:line="360" w:lineRule="auto"/>
        <w:jc w:val="both"/>
        <w:rPr>
          <w:rFonts w:ascii="Palatino Linotype" w:eastAsia="Palatino Linotype" w:hAnsi="Palatino Linotype" w:cs="Palatino Linotype"/>
          <w:lang w:val="es-ES_tradnl"/>
        </w:rPr>
      </w:pPr>
      <w:r w:rsidRPr="00877066">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0A1FCD6E" w14:textId="77777777" w:rsidR="00D40D76" w:rsidRPr="00877066" w:rsidRDefault="00D40D76" w:rsidP="00D40D76">
      <w:pPr>
        <w:spacing w:line="360" w:lineRule="auto"/>
        <w:jc w:val="both"/>
        <w:rPr>
          <w:rFonts w:ascii="Palatino Linotype" w:eastAsia="Palatino Linotype" w:hAnsi="Palatino Linotype" w:cs="Palatino Linotype"/>
          <w:lang w:val="es-ES_tradnl"/>
        </w:rPr>
      </w:pPr>
    </w:p>
    <w:p w14:paraId="0118AC90" w14:textId="77777777" w:rsidR="00D40D76" w:rsidRPr="00877066" w:rsidRDefault="00D40D76" w:rsidP="00D40D76">
      <w:pPr>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i/>
          <w:lang w:val="es-ES_tradnl"/>
        </w:rPr>
        <w:t>Artículo 23.</w:t>
      </w:r>
      <w:r w:rsidRPr="00877066">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2AA0BB3F" w14:textId="77777777" w:rsidR="00D40D76" w:rsidRPr="00877066" w:rsidRDefault="00D40D76" w:rsidP="00D40D76">
      <w:pPr>
        <w:ind w:left="567" w:right="567"/>
        <w:jc w:val="both"/>
        <w:rPr>
          <w:rFonts w:ascii="Palatino Linotype" w:eastAsia="Palatino Linotype" w:hAnsi="Palatino Linotype" w:cs="Palatino Linotype"/>
          <w:i/>
          <w:lang w:val="es-ES_tradnl"/>
        </w:rPr>
      </w:pPr>
    </w:p>
    <w:p w14:paraId="733C3CCC" w14:textId="77777777" w:rsidR="00D40D76" w:rsidRPr="00877066" w:rsidRDefault="00D40D76" w:rsidP="00D40D76">
      <w:pPr>
        <w:ind w:left="567" w:right="567"/>
        <w:jc w:val="both"/>
        <w:rPr>
          <w:rFonts w:ascii="Palatino Linotype" w:eastAsia="Palatino Linotype" w:hAnsi="Palatino Linotype" w:cs="Palatino Linotype"/>
          <w:bCs/>
          <w:i/>
          <w:lang w:val="es-ES_tradnl"/>
        </w:rPr>
      </w:pPr>
      <w:r w:rsidRPr="00877066">
        <w:rPr>
          <w:rFonts w:ascii="Palatino Linotype" w:eastAsia="Palatino Linotype" w:hAnsi="Palatino Linotype" w:cs="Palatino Linotype"/>
          <w:b/>
          <w:bCs/>
          <w:i/>
          <w:lang w:val="es-ES_tradnl"/>
        </w:rPr>
        <w:t>I.</w:t>
      </w:r>
      <w:r w:rsidRPr="00877066">
        <w:rPr>
          <w:rFonts w:ascii="Palatino Linotype" w:eastAsia="Palatino Linotype" w:hAnsi="Palatino Linotype" w:cs="Palatino Linotype"/>
          <w:i/>
          <w:lang w:val="es-ES_tradnl"/>
        </w:rPr>
        <w:t xml:space="preserve"> </w:t>
      </w:r>
      <w:r w:rsidRPr="00AA25BF">
        <w:rPr>
          <w:rFonts w:ascii="Palatino Linotype" w:eastAsia="Palatino Linotype" w:hAnsi="Palatino Linotype" w:cs="Palatino Linotype"/>
          <w:i/>
          <w:lang w:val="es-ES_tradnl"/>
        </w:rPr>
        <w:t>El Poder Ejecutivo del Estado de México, las dependencias, organismos auxiliares, órganos, entidades, fideicomisos y fondos públicos, así como la Procuraduría General de Justicia</w:t>
      </w:r>
      <w:r w:rsidRPr="00877066">
        <w:rPr>
          <w:rFonts w:ascii="Palatino Linotype" w:eastAsia="Palatino Linotype" w:hAnsi="Palatino Linotype" w:cs="Palatino Linotype"/>
          <w:i/>
          <w:lang w:val="es-ES_tradnl"/>
        </w:rPr>
        <w:t>;</w:t>
      </w:r>
    </w:p>
    <w:p w14:paraId="68F54C70" w14:textId="77777777" w:rsidR="00D40D76" w:rsidRPr="00877066" w:rsidRDefault="00D40D76" w:rsidP="00D40D76">
      <w:pPr>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i/>
          <w:lang w:val="es-ES_tradnl"/>
        </w:rPr>
        <w:t>(…)</w:t>
      </w:r>
    </w:p>
    <w:p w14:paraId="258263B1" w14:textId="77777777" w:rsidR="00D40D76" w:rsidRPr="00236BFE"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6375292" w14:textId="77777777" w:rsidR="00D40D76" w:rsidRPr="00236BFE" w:rsidRDefault="00D40D76" w:rsidP="00D40D7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236BFE">
        <w:rPr>
          <w:rFonts w:ascii="Palatino Linotype" w:eastAsia="Palatino Linotype" w:hAnsi="Palatino Linotype" w:cs="Palatino Linotype"/>
          <w:color w:val="000000"/>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36779A3" w14:textId="77777777" w:rsidR="002E7A00" w:rsidRDefault="00D40D76" w:rsidP="0027035B">
      <w:pPr>
        <w:pStyle w:val="Sinespaciado"/>
        <w:spacing w:line="360" w:lineRule="auto"/>
        <w:jc w:val="both"/>
        <w:rPr>
          <w:rFonts w:ascii="Palatino Linotype" w:eastAsia="Palatino Linotype" w:hAnsi="Palatino Linotype" w:cs="Palatino Linotype"/>
          <w:color w:val="000000"/>
        </w:rPr>
      </w:pPr>
      <w:r w:rsidRPr="00877066">
        <w:rPr>
          <w:rFonts w:ascii="Palatino Linotype" w:eastAsia="Palatino Linotype" w:hAnsi="Palatino Linotype" w:cs="Palatino Linotype"/>
          <w:lang w:val="es-ES_tradnl"/>
        </w:rPr>
        <w:lastRenderedPageBreak/>
        <w:t>En segundo término, se debe</w:t>
      </w:r>
      <w:r>
        <w:rPr>
          <w:rFonts w:ascii="Palatino Linotype" w:hAnsi="Palatino Linotype" w:cs="Arial"/>
        </w:rPr>
        <w:t xml:space="preserve"> señalar que de la simple lectura del recurso de revisión se desprende que este Instituto carece de los elementos para pronunciarse respecto al fondo del presente asunto, pues </w:t>
      </w:r>
      <w:r w:rsidR="0027035B">
        <w:rPr>
          <w:rFonts w:ascii="Palatino Linotype" w:hAnsi="Palatino Linotype" w:cs="Arial"/>
        </w:rPr>
        <w:t>no se advierte motivo de inconformidad alguno tendente a controvertir lo entregado en vía de respuesta por el SUJETO OBLIGADO, pues expone como agravios en acto impugnado “</w:t>
      </w:r>
      <w:r w:rsidR="0027035B" w:rsidRPr="002B7CF3">
        <w:rPr>
          <w:rFonts w:ascii="Palatino Linotype" w:eastAsia="Palatino Linotype" w:hAnsi="Palatino Linotype" w:cs="Palatino Linotype"/>
          <w:i/>
          <w:sz w:val="22"/>
          <w:szCs w:val="22"/>
        </w:rPr>
        <w:t>ES EVIDENTE QUE ESTAN EN FALTAS ADMINISTRATIVAS DE SERVIDORES PUBLICOS</w:t>
      </w:r>
      <w:r w:rsidR="0027035B">
        <w:rPr>
          <w:rFonts w:ascii="Palatino Linotype" w:eastAsia="Palatino Linotype" w:hAnsi="Palatino Linotype" w:cs="Palatino Linotype"/>
          <w:i/>
          <w:sz w:val="22"/>
          <w:szCs w:val="22"/>
        </w:rPr>
        <w:t xml:space="preserve">” </w:t>
      </w:r>
      <w:r w:rsidR="0027035B" w:rsidRPr="0027035B">
        <w:rPr>
          <w:rFonts w:ascii="Palatino Linotype" w:eastAsia="Palatino Linotype" w:hAnsi="Palatino Linotype" w:cs="Palatino Linotype"/>
          <w:sz w:val="22"/>
          <w:szCs w:val="22"/>
        </w:rPr>
        <w:t>y como motivos de inconformidad</w:t>
      </w:r>
      <w:r w:rsidR="0027035B">
        <w:rPr>
          <w:rFonts w:ascii="Palatino Linotype" w:hAnsi="Palatino Linotype" w:cs="Arial"/>
        </w:rPr>
        <w:t xml:space="preserve"> </w:t>
      </w:r>
      <w:r w:rsidR="002E7A00" w:rsidRPr="002E7A00">
        <w:rPr>
          <w:rFonts w:ascii="Palatino Linotype" w:eastAsia="Palatino Linotype" w:hAnsi="Palatino Linotype" w:cs="Palatino Linotype"/>
          <w:i/>
          <w:color w:val="000000"/>
        </w:rPr>
        <w:t>“…SE REALICE LA DEMANDA CORRESPONDIENTE POR COMETER ACTOS ATRIBUIDOS A SERVIDORES PUBLICOS IINVOLUCRADOS AL PERMITIR AVIADORES EN EL ORGANISMO. QUE EL DIRECTOR GENERAL Y EL PRESIDENTE MUNICPAL TENGA PLENO CONOCIMIENTO DE LAS IRREGULARIDADES Y PROBLEMAS QUE ESTA OCASIONANDO. POR MEDIO DE ESE INFOEM.SE HAGAN LAS GESTIONES QUE CORRESPONDAN CON LAS VISTAS AL MINISTERIO PUBLICO DE LA FEDERACION Y LOS ORGANOS INTERNOS ASI COMO AL OSFEM PARA SU ATENCION.”,</w:t>
      </w:r>
      <w:r w:rsidR="002E7A00">
        <w:rPr>
          <w:rFonts w:ascii="Palatino Linotype" w:eastAsia="Palatino Linotype" w:hAnsi="Palatino Linotype" w:cs="Palatino Linotype"/>
          <w:i/>
          <w:color w:val="000000"/>
        </w:rPr>
        <w:t xml:space="preserve"> </w:t>
      </w:r>
      <w:r w:rsidR="0027035B" w:rsidRPr="0027035B">
        <w:rPr>
          <w:rFonts w:ascii="Palatino Linotype" w:eastAsia="Palatino Linotype" w:hAnsi="Palatino Linotype" w:cs="Palatino Linotype"/>
          <w:color w:val="000000"/>
        </w:rPr>
        <w:t>por ello</w:t>
      </w:r>
      <w:r w:rsidR="0027035B">
        <w:rPr>
          <w:rFonts w:ascii="Palatino Linotype" w:eastAsia="Palatino Linotype" w:hAnsi="Palatino Linotype" w:cs="Palatino Linotype"/>
          <w:i/>
          <w:color w:val="000000"/>
        </w:rPr>
        <w:t xml:space="preserve">, </w:t>
      </w:r>
      <w:r w:rsidR="002E7A00">
        <w:rPr>
          <w:rFonts w:ascii="Palatino Linotype" w:eastAsia="Palatino Linotype" w:hAnsi="Palatino Linotype" w:cs="Palatino Linotype"/>
          <w:color w:val="000000"/>
        </w:rPr>
        <w:t xml:space="preserve">este Organismo Garante advierte que se trata de manifestaciones emitidas por el particular sobre las cuales no cuenta con facultades o atribuciones para resolver o pronunciarse sobre tales expresiones, ya que no constituyen materia de acceso a la información pública, por tratarse de declaraciones que no se colman con la entrega de documentos; toda vez, que se trata de apreciaciones particulares del entonces solicitante. </w:t>
      </w:r>
    </w:p>
    <w:p w14:paraId="13B250D0" w14:textId="77777777" w:rsidR="00D40D76" w:rsidRDefault="00D40D76" w:rsidP="00D40D76">
      <w:pPr>
        <w:pStyle w:val="Sinespaciado"/>
        <w:spacing w:line="360" w:lineRule="auto"/>
        <w:jc w:val="both"/>
        <w:rPr>
          <w:rFonts w:ascii="Palatino Linotype" w:hAnsi="Palatino Linotype" w:cs="Arial"/>
        </w:rPr>
      </w:pPr>
      <w:r>
        <w:rPr>
          <w:rFonts w:ascii="Palatino Linotype" w:hAnsi="Palatino Linotype" w:cs="Arial"/>
        </w:rPr>
        <w:lastRenderedPageBreak/>
        <w:t xml:space="preserve">En ese sentido, debe estimarse que tanto el acto impugnado como los motivos de inconformidad son inexistentes, pues no están encaminados a controvertir la respuesta emitida por el Sujeto Obligado, sino que </w:t>
      </w:r>
      <w:r w:rsidR="00FA3CE6">
        <w:rPr>
          <w:rFonts w:ascii="Palatino Linotype" w:hAnsi="Palatino Linotype" w:cs="Arial"/>
        </w:rPr>
        <w:t>refieren situaciones relativo al tema en estudio, pero no se advierte motivo de inconformidad con la respuesta otorgada</w:t>
      </w:r>
      <w:r>
        <w:rPr>
          <w:rFonts w:ascii="Palatino Linotype" w:hAnsi="Palatino Linotype" w:cs="Arial"/>
        </w:rPr>
        <w:t>, por lo que resulta aplicable la te</w:t>
      </w:r>
      <w:r w:rsidR="00FF75D0">
        <w:rPr>
          <w:rFonts w:ascii="Palatino Linotype" w:hAnsi="Palatino Linotype" w:cs="Arial"/>
        </w:rPr>
        <w:t>s</w:t>
      </w:r>
      <w:r>
        <w:rPr>
          <w:rFonts w:ascii="Palatino Linotype" w:hAnsi="Palatino Linotype" w:cs="Arial"/>
        </w:rPr>
        <w:t>is aislada con número de registro digital 2017549</w:t>
      </w:r>
      <w:r>
        <w:rPr>
          <w:rStyle w:val="Refdenotaalpie"/>
          <w:rFonts w:ascii="Palatino Linotype" w:hAnsi="Palatino Linotype" w:cs="Arial"/>
        </w:rPr>
        <w:footnoteReference w:id="2"/>
      </w:r>
      <w:r>
        <w:rPr>
          <w:rFonts w:ascii="Palatino Linotype" w:hAnsi="Palatino Linotype" w:cs="Arial"/>
        </w:rPr>
        <w:t>, que a la letra establece lo siguiente:</w:t>
      </w:r>
    </w:p>
    <w:p w14:paraId="3AD2F2EF" w14:textId="77777777" w:rsidR="00D40D76" w:rsidRDefault="00D40D76" w:rsidP="00D40D76">
      <w:pPr>
        <w:pStyle w:val="Sinespaciado"/>
        <w:spacing w:line="360" w:lineRule="auto"/>
        <w:jc w:val="both"/>
        <w:rPr>
          <w:rFonts w:ascii="Palatino Linotype" w:hAnsi="Palatino Linotype" w:cs="Arial"/>
        </w:rPr>
      </w:pPr>
    </w:p>
    <w:p w14:paraId="49BE9D94" w14:textId="77777777" w:rsidR="00D40D76" w:rsidRPr="00B01229" w:rsidRDefault="00D40D76" w:rsidP="00D40D76">
      <w:pPr>
        <w:pBdr>
          <w:top w:val="nil"/>
          <w:left w:val="nil"/>
          <w:bottom w:val="nil"/>
          <w:right w:val="nil"/>
          <w:between w:val="nil"/>
        </w:pBdr>
        <w:ind w:left="567" w:right="567"/>
        <w:jc w:val="both"/>
        <w:rPr>
          <w:rFonts w:ascii="Palatino Linotype" w:hAnsi="Palatino Linotype"/>
          <w:b/>
          <w:bCs/>
          <w:i/>
          <w:lang w:val="es-ES" w:eastAsia="es-ES"/>
        </w:rPr>
      </w:pPr>
      <w:r w:rsidRPr="00B01229">
        <w:rPr>
          <w:rFonts w:ascii="Palatino Linotype" w:hAnsi="Palatino Linotype"/>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14:paraId="30B0200B" w14:textId="77777777" w:rsidR="00D40D76" w:rsidRPr="00B01229" w:rsidRDefault="00D40D76" w:rsidP="00D40D76">
      <w:pPr>
        <w:pBdr>
          <w:top w:val="nil"/>
          <w:left w:val="nil"/>
          <w:bottom w:val="nil"/>
          <w:right w:val="nil"/>
          <w:between w:val="nil"/>
        </w:pBdr>
        <w:ind w:left="567" w:right="567"/>
        <w:jc w:val="both"/>
        <w:rPr>
          <w:rFonts w:ascii="Palatino Linotype" w:hAnsi="Palatino Linotype"/>
          <w:bCs/>
          <w:i/>
          <w:lang w:val="es-ES" w:eastAsia="es-ES"/>
        </w:rPr>
      </w:pPr>
      <w:r w:rsidRPr="00B01229">
        <w:rPr>
          <w:rFonts w:ascii="Palatino Linotype" w:hAnsi="Palatino Linotype"/>
          <w:bCs/>
          <w:i/>
          <w:lang w:val="es-ES" w:eastAsia="es-ES"/>
        </w:rPr>
        <w:t xml:space="preserve">Conforme al artículo 63, fracción IV, de la Ley de Amparo, </w:t>
      </w:r>
      <w:r w:rsidRPr="00B01229">
        <w:rPr>
          <w:rFonts w:ascii="Palatino Linotype" w:hAnsi="Palatino Linotype"/>
          <w:b/>
          <w:bCs/>
          <w:i/>
          <w:u w:val="single"/>
          <w:lang w:val="es-ES" w:eastAsia="es-ES"/>
        </w:rPr>
        <w:t>la inexistencia de los actos reclamados es una causal de sobreseimiento</w:t>
      </w:r>
      <w:r w:rsidRPr="00B01229">
        <w:rPr>
          <w:rFonts w:ascii="Palatino Linotype" w:hAnsi="Palatino Linotype"/>
          <w:bCs/>
          <w:i/>
          <w:lang w:val="es-ES" w:eastAsia="es-ES"/>
        </w:rPr>
        <w:t xml:space="preserve">, pero no de improcedencia del juicio de amparo; por ende, no puede ser un motivo manifiesto e indudable que dé lugar al </w:t>
      </w:r>
      <w:proofErr w:type="spellStart"/>
      <w:r w:rsidRPr="00B01229">
        <w:rPr>
          <w:rFonts w:ascii="Palatino Linotype" w:hAnsi="Palatino Linotype"/>
          <w:bCs/>
          <w:i/>
          <w:lang w:val="es-ES" w:eastAsia="es-ES"/>
        </w:rPr>
        <w:t>desechamiento</w:t>
      </w:r>
      <w:proofErr w:type="spellEnd"/>
      <w:r w:rsidRPr="00B01229">
        <w:rPr>
          <w:rFonts w:ascii="Palatino Linotype" w:hAnsi="Palatino Linotype"/>
          <w:bCs/>
          <w:i/>
          <w:lang w:val="es-ES" w:eastAsia="es-ES"/>
        </w:rPr>
        <w:t xml:space="preserve"> de la demanda con sustento en el diverso precepto 113 de ese ordenamiento, pues el pronunciamiento relativo necesariamente debe efectuarse hasta la sentencia, al no haberse demostrado su existencia en la audiencia constitucional.</w:t>
      </w:r>
    </w:p>
    <w:p w14:paraId="6FCA0156" w14:textId="77777777" w:rsidR="00D40D76" w:rsidRPr="00E47D6C" w:rsidRDefault="00D40D76" w:rsidP="00D40D76">
      <w:pPr>
        <w:pStyle w:val="Sinespaciado"/>
        <w:spacing w:line="360" w:lineRule="auto"/>
        <w:jc w:val="both"/>
        <w:rPr>
          <w:rFonts w:ascii="Palatino Linotype" w:hAnsi="Palatino Linotype" w:cs="Arial"/>
          <w:lang w:val="es-ES"/>
        </w:rPr>
      </w:pPr>
    </w:p>
    <w:p w14:paraId="33A23B0D" w14:textId="77777777" w:rsidR="00D40D76" w:rsidRDefault="00D40D76" w:rsidP="00D40D76">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Por tanto, al acreditarse la procedencia del sobreseimiento, este Instituto está imposibilitado para analizar las cuestiones de fondo, en virtud de que el </w:t>
      </w:r>
      <w:r>
        <w:rPr>
          <w:rFonts w:ascii="Palatino Linotype" w:eastAsia="Palatino Linotype" w:hAnsi="Palatino Linotype" w:cs="Palatino Linotype"/>
          <w:lang w:val="es-ES_tradnl"/>
        </w:rPr>
        <w:lastRenderedPageBreak/>
        <w:t>sobreseimiento constituye un</w:t>
      </w:r>
      <w:r>
        <w:rPr>
          <w:rStyle w:val="Refdenotaalpie"/>
          <w:rFonts w:ascii="Palatino Linotype" w:eastAsia="Palatino Linotype" w:hAnsi="Palatino Linotype" w:cs="Palatino Linotype"/>
          <w:lang w:val="es-ES_tradnl"/>
        </w:rPr>
        <w:footnoteReference w:id="3"/>
      </w:r>
      <w:r>
        <w:rPr>
          <w:rFonts w:ascii="Palatino Linotype" w:eastAsia="Palatino Linotype" w:hAnsi="Palatino Linotype" w:cs="Palatino Linotype"/>
          <w:lang w:val="es-ES_tradnl"/>
        </w:rPr>
        <w:t xml:space="preserve"> acto procesal que termina el proceso por cuestiones ajenas al fondo del asunto, lo anterior conforme a la jurisprudencia identificada como el registro digital 220705, en la que se estipula lo siguiente:</w:t>
      </w:r>
    </w:p>
    <w:p w14:paraId="71C03078" w14:textId="77777777" w:rsidR="00D40D76" w:rsidRDefault="00D40D76" w:rsidP="00D40D76">
      <w:pPr>
        <w:pStyle w:val="Sinespaciado"/>
        <w:spacing w:line="360" w:lineRule="auto"/>
        <w:jc w:val="both"/>
        <w:rPr>
          <w:rFonts w:ascii="Palatino Linotype" w:eastAsia="Palatino Linotype" w:hAnsi="Palatino Linotype" w:cs="Palatino Linotype"/>
          <w:lang w:val="es-ES_tradnl"/>
        </w:rPr>
      </w:pPr>
    </w:p>
    <w:p w14:paraId="7510681F" w14:textId="77777777" w:rsidR="00D40D76" w:rsidRPr="0027331A" w:rsidRDefault="00D40D76" w:rsidP="00D40D76">
      <w:pPr>
        <w:pStyle w:val="Sinespaciado"/>
        <w:ind w:left="567" w:right="567"/>
        <w:jc w:val="both"/>
        <w:rPr>
          <w:rFonts w:ascii="Palatino Linotype" w:eastAsia="Palatino Linotype" w:hAnsi="Palatino Linotype" w:cs="Palatino Linotype"/>
          <w:b/>
          <w:bCs/>
          <w:i/>
          <w:iCs/>
          <w:sz w:val="22"/>
          <w:szCs w:val="22"/>
          <w:lang w:val="es-ES_tradnl"/>
        </w:rPr>
      </w:pPr>
      <w:r w:rsidRPr="0027331A">
        <w:rPr>
          <w:rFonts w:ascii="Palatino Linotype" w:eastAsia="Palatino Linotype" w:hAnsi="Palatino Linotype" w:cs="Palatino Linotype"/>
          <w:b/>
          <w:bCs/>
          <w:i/>
          <w:iCs/>
          <w:sz w:val="22"/>
          <w:szCs w:val="22"/>
          <w:lang w:val="es-ES_tradnl"/>
        </w:rPr>
        <w:t>SOBRESEIMIENTO. IMPIDE EL ESTUDIO DE LAS CUESTIONES DE FONDO.</w:t>
      </w:r>
    </w:p>
    <w:p w14:paraId="11776945" w14:textId="77777777" w:rsidR="00D40D76" w:rsidRPr="0027331A" w:rsidRDefault="00D40D76" w:rsidP="00D40D76">
      <w:pPr>
        <w:pStyle w:val="Sinespaciado"/>
        <w:ind w:left="567" w:right="567"/>
        <w:jc w:val="both"/>
        <w:rPr>
          <w:rFonts w:ascii="Palatino Linotype" w:eastAsia="Palatino Linotype" w:hAnsi="Palatino Linotype" w:cs="Palatino Linotype"/>
          <w:i/>
          <w:iCs/>
          <w:sz w:val="22"/>
          <w:szCs w:val="22"/>
          <w:lang w:val="es-ES_tradnl"/>
        </w:rPr>
      </w:pPr>
      <w:r w:rsidRPr="0027331A">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D0E4739" w14:textId="77777777" w:rsidR="00D40D76" w:rsidRPr="00236BFE" w:rsidRDefault="00D40D76" w:rsidP="00D40D76">
      <w:pPr>
        <w:pStyle w:val="Sinespaciado"/>
        <w:spacing w:line="360" w:lineRule="auto"/>
        <w:jc w:val="both"/>
        <w:rPr>
          <w:rFonts w:ascii="Palatino Linotype" w:eastAsia="Palatino Linotype" w:hAnsi="Palatino Linotype" w:cs="Palatino Linotype"/>
          <w:lang w:val="es-ES_tradnl"/>
        </w:rPr>
      </w:pPr>
    </w:p>
    <w:p w14:paraId="17CF104E" w14:textId="77777777" w:rsidR="00D40D76" w:rsidRPr="00236BFE" w:rsidRDefault="00D40D76" w:rsidP="00D40D76">
      <w:pPr>
        <w:spacing w:line="360" w:lineRule="auto"/>
        <w:jc w:val="both"/>
        <w:rPr>
          <w:rFonts w:ascii="Palatino Linotype" w:eastAsia="Palatino Linotype" w:hAnsi="Palatino Linotype" w:cs="Palatino Linotype"/>
        </w:rPr>
      </w:pPr>
      <w:r>
        <w:rPr>
          <w:rFonts w:ascii="Palatino Linotype" w:hAnsi="Palatino Linotype" w:cs="Arial"/>
          <w:lang w:val="es-ES_tradnl"/>
        </w:rPr>
        <w:t>Por lo anterior</w:t>
      </w:r>
      <w:r w:rsidRPr="00236BFE">
        <w:rPr>
          <w:rFonts w:ascii="Palatino Linotype" w:hAnsi="Palatino Linotype" w:cs="Arial"/>
        </w:rPr>
        <w:t xml:space="preserve">, </w:t>
      </w:r>
      <w:r w:rsidRPr="00236BFE">
        <w:rPr>
          <w:rFonts w:ascii="Palatino Linotype" w:eastAsia="Palatino Linotype" w:hAnsi="Palatino Linotype" w:cs="Palatino Linotype"/>
        </w:rPr>
        <w:t xml:space="preserve">el Pleno de este Instituto </w:t>
      </w:r>
      <w:r>
        <w:rPr>
          <w:rFonts w:ascii="Palatino Linotype" w:eastAsia="Palatino Linotype" w:hAnsi="Palatino Linotype" w:cs="Palatino Linotype"/>
        </w:rPr>
        <w:t>estima</w:t>
      </w:r>
      <w:r w:rsidRPr="00236BFE">
        <w:rPr>
          <w:rFonts w:ascii="Palatino Linotype" w:eastAsia="Palatino Linotype" w:hAnsi="Palatino Linotype" w:cs="Palatino Linotype"/>
        </w:rPr>
        <w:t xml:space="preserve"> que el presente recurso de revisión</w:t>
      </w:r>
      <w:r w:rsidR="00CC69B8">
        <w:rPr>
          <w:rFonts w:ascii="Palatino Linotype" w:eastAsia="Palatino Linotype" w:hAnsi="Palatino Linotype" w:cs="Palatino Linotype"/>
        </w:rPr>
        <w:t xml:space="preserve"> al ser admitido </w:t>
      </w:r>
      <w:r w:rsidR="00CC69B8" w:rsidRPr="00CC69B8">
        <w:rPr>
          <w:rFonts w:ascii="Palatino Linotype" w:eastAsia="Palatino Linotype" w:hAnsi="Palatino Linotype" w:cs="Palatino Linotype"/>
        </w:rPr>
        <w:t>apare</w:t>
      </w:r>
      <w:r w:rsidR="00CC69B8">
        <w:rPr>
          <w:rFonts w:ascii="Palatino Linotype" w:eastAsia="Palatino Linotype" w:hAnsi="Palatino Linotype" w:cs="Palatino Linotype"/>
        </w:rPr>
        <w:t>ció</w:t>
      </w:r>
      <w:r w:rsidR="00CC69B8" w:rsidRPr="00CC69B8">
        <w:rPr>
          <w:rFonts w:ascii="Palatino Linotype" w:eastAsia="Palatino Linotype" w:hAnsi="Palatino Linotype" w:cs="Palatino Linotype"/>
        </w:rPr>
        <w:t xml:space="preserve"> alguna causal de improcedencia en términos de la presente Ley</w:t>
      </w:r>
      <w:r w:rsidRPr="00236BFE">
        <w:rPr>
          <w:rFonts w:ascii="Palatino Linotype" w:eastAsia="Palatino Linotype" w:hAnsi="Palatino Linotype" w:cs="Palatino Linotype"/>
        </w:rPr>
        <w:t xml:space="preserve">, en </w:t>
      </w:r>
      <w:r>
        <w:rPr>
          <w:rFonts w:ascii="Palatino Linotype" w:eastAsia="Palatino Linotype" w:hAnsi="Palatino Linotype" w:cs="Palatino Linotype"/>
        </w:rPr>
        <w:t>virtud</w:t>
      </w:r>
      <w:r w:rsidRPr="00236BFE">
        <w:rPr>
          <w:rFonts w:ascii="Palatino Linotype" w:eastAsia="Palatino Linotype" w:hAnsi="Palatino Linotype" w:cs="Palatino Linotype"/>
        </w:rPr>
        <w:t xml:space="preserve">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w:t>
      </w:r>
      <w:r w:rsidR="00FA3CE6">
        <w:rPr>
          <w:rFonts w:ascii="Palatino Linotype" w:eastAsia="Palatino Linotype" w:hAnsi="Palatino Linotype" w:cs="Palatino Linotype"/>
        </w:rPr>
        <w:t>I</w:t>
      </w:r>
      <w:r w:rsidRPr="00236BFE">
        <w:rPr>
          <w:rFonts w:ascii="Palatino Linotype" w:eastAsia="Palatino Linotype" w:hAnsi="Palatino Linotype" w:cs="Palatino Linotype"/>
        </w:rPr>
        <w:t xml:space="preserve">V del artículo 192 de la Ley de Transparencia y Acceso a la Información Pública del Estado de México y Municipio, </w:t>
      </w:r>
      <w:r>
        <w:rPr>
          <w:rFonts w:ascii="Palatino Linotype" w:eastAsia="Palatino Linotype" w:hAnsi="Palatino Linotype" w:cs="Palatino Linotype"/>
        </w:rPr>
        <w:t>en la que se dispone lo siguiente:</w:t>
      </w:r>
    </w:p>
    <w:p w14:paraId="7DB13575" w14:textId="77777777" w:rsidR="00D40D76" w:rsidRPr="00236BFE" w:rsidRDefault="00D40D76" w:rsidP="00D40D76">
      <w:pPr>
        <w:spacing w:line="360" w:lineRule="auto"/>
        <w:jc w:val="both"/>
        <w:rPr>
          <w:rFonts w:ascii="Palatino Linotype" w:eastAsia="Palatino Linotype" w:hAnsi="Palatino Linotype" w:cs="Palatino Linotype"/>
        </w:rPr>
      </w:pPr>
    </w:p>
    <w:p w14:paraId="125CC164" w14:textId="77777777" w:rsidR="00FA3CE6" w:rsidRPr="003B5580" w:rsidRDefault="00FA3CE6" w:rsidP="00FA3CE6">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3B5580">
        <w:rPr>
          <w:rFonts w:ascii="Palatino Linotype" w:eastAsia="Palatino Linotype" w:hAnsi="Palatino Linotype" w:cs="Palatino Linotype"/>
          <w:b/>
          <w:i/>
          <w:sz w:val="22"/>
          <w:szCs w:val="22"/>
        </w:rPr>
        <w:lastRenderedPageBreak/>
        <w:t xml:space="preserve">Artículo 192. El recurso será </w:t>
      </w:r>
      <w:r w:rsidRPr="003B5580">
        <w:rPr>
          <w:rFonts w:ascii="Palatino Linotype" w:eastAsia="Palatino Linotype" w:hAnsi="Palatino Linotype" w:cs="Palatino Linotype"/>
          <w:b/>
          <w:i/>
          <w:sz w:val="22"/>
          <w:szCs w:val="22"/>
          <w:u w:val="single"/>
        </w:rPr>
        <w:t>sobreseído</w:t>
      </w:r>
      <w:r w:rsidRPr="003B5580">
        <w:rPr>
          <w:rFonts w:ascii="Palatino Linotype" w:eastAsia="Palatino Linotype" w:hAnsi="Palatino Linotype" w:cs="Palatino Linotype"/>
          <w:b/>
          <w:i/>
          <w:sz w:val="22"/>
          <w:szCs w:val="22"/>
        </w:rPr>
        <w:t>, en todo o en parte, cuando una vez admitido, se actualicen alguno de los siguientes supuestos:</w:t>
      </w:r>
    </w:p>
    <w:p w14:paraId="0B73E4C9" w14:textId="77777777" w:rsidR="00FA3CE6" w:rsidRPr="003B5580" w:rsidRDefault="00FA3CE6" w:rsidP="00FA3CE6">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3B5580">
        <w:rPr>
          <w:rFonts w:ascii="Palatino Linotype" w:eastAsia="Palatino Linotype" w:hAnsi="Palatino Linotype" w:cs="Palatino Linotype"/>
          <w:b/>
          <w:i/>
          <w:sz w:val="22"/>
          <w:szCs w:val="22"/>
        </w:rPr>
        <w:t>(…)</w:t>
      </w:r>
    </w:p>
    <w:p w14:paraId="781CA31F" w14:textId="77777777" w:rsidR="00FA3CE6" w:rsidRDefault="00FA3CE6" w:rsidP="00FA3CE6">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3B5580">
        <w:rPr>
          <w:rFonts w:ascii="Palatino Linotype" w:eastAsia="Palatino Linotype" w:hAnsi="Palatino Linotype" w:cs="Palatino Linotype"/>
          <w:b/>
          <w:i/>
          <w:sz w:val="22"/>
          <w:szCs w:val="22"/>
        </w:rPr>
        <w:t>IV. Admitido el recurso de revisión aparezca alguna causal de improcedencia en términos de la presente Ley… (Sic)”</w:t>
      </w:r>
    </w:p>
    <w:p w14:paraId="7DAACDA0" w14:textId="77777777" w:rsidR="00D40D76" w:rsidRDefault="00D40D76" w:rsidP="00D40D76">
      <w:pPr>
        <w:spacing w:line="360" w:lineRule="auto"/>
        <w:jc w:val="both"/>
        <w:rPr>
          <w:rFonts w:ascii="Palatino Linotype" w:eastAsia="Palatino Linotype" w:hAnsi="Palatino Linotype" w:cs="Palatino Linotype"/>
        </w:rPr>
      </w:pPr>
    </w:p>
    <w:p w14:paraId="1C9F6C96" w14:textId="77777777" w:rsidR="00C02D85" w:rsidRDefault="00C02D85" w:rsidP="00C02D85">
      <w:pPr>
        <w:spacing w:line="360" w:lineRule="auto"/>
        <w:jc w:val="both"/>
        <w:rPr>
          <w:rFonts w:ascii="Palatino Linotype" w:eastAsia="Palatino Linotype" w:hAnsi="Palatino Linotype" w:cs="Palatino Linotype"/>
        </w:rPr>
      </w:pPr>
      <w:r w:rsidRPr="00C02D85">
        <w:rPr>
          <w:rFonts w:ascii="Palatino Linotype" w:eastAsia="Palatino Linotype" w:hAnsi="Palatino Linotype" w:cs="Palatino Linotype"/>
        </w:rPr>
        <w:t>Es importante señalar que el Recurso de Revisión no es la vía para realizar</w:t>
      </w:r>
      <w:r>
        <w:rPr>
          <w:rFonts w:ascii="Palatino Linotype" w:eastAsia="Palatino Linotype" w:hAnsi="Palatino Linotype" w:cs="Palatino Linotype"/>
        </w:rPr>
        <w:t xml:space="preserve"> </w:t>
      </w:r>
      <w:r w:rsidRPr="00C02D85">
        <w:rPr>
          <w:rFonts w:ascii="Palatino Linotype" w:eastAsia="Palatino Linotype" w:hAnsi="Palatino Linotype" w:cs="Palatino Linotype"/>
        </w:rPr>
        <w:t>investigaciones o calificar conductas administrativas, aunado a ello de las</w:t>
      </w:r>
      <w:r>
        <w:rPr>
          <w:rFonts w:ascii="Palatino Linotype" w:eastAsia="Palatino Linotype" w:hAnsi="Palatino Linotype" w:cs="Palatino Linotype"/>
        </w:rPr>
        <w:t xml:space="preserve"> </w:t>
      </w:r>
      <w:r w:rsidRPr="00C02D85">
        <w:rPr>
          <w:rFonts w:ascii="Palatino Linotype" w:eastAsia="Palatino Linotype" w:hAnsi="Palatino Linotype" w:cs="Palatino Linotype"/>
        </w:rPr>
        <w:t>constancias que obran en el expediente electrónico del SAIMEX no hay elementos</w:t>
      </w:r>
      <w:r>
        <w:rPr>
          <w:rFonts w:ascii="Palatino Linotype" w:eastAsia="Palatino Linotype" w:hAnsi="Palatino Linotype" w:cs="Palatino Linotype"/>
        </w:rPr>
        <w:t xml:space="preserve"> </w:t>
      </w:r>
      <w:r w:rsidR="00777F38">
        <w:rPr>
          <w:rFonts w:ascii="Palatino Linotype" w:eastAsia="Palatino Linotype" w:hAnsi="Palatino Linotype" w:cs="Palatino Linotype"/>
        </w:rPr>
        <w:t>para determinar que el</w:t>
      </w:r>
      <w:r w:rsidRPr="00C02D85">
        <w:rPr>
          <w:rFonts w:ascii="Palatino Linotype" w:eastAsia="Palatino Linotype" w:hAnsi="Palatino Linotype" w:cs="Palatino Linotype"/>
        </w:rPr>
        <w:t xml:space="preserve"> </w:t>
      </w:r>
      <w:r w:rsidRPr="00777F38">
        <w:rPr>
          <w:rFonts w:ascii="Palatino Linotype" w:eastAsia="Palatino Linotype" w:hAnsi="Palatino Linotype" w:cs="Palatino Linotype"/>
          <w:b/>
        </w:rPr>
        <w:t>SUJETO OBLIGADO</w:t>
      </w:r>
      <w:r w:rsidRPr="00C02D85">
        <w:rPr>
          <w:rFonts w:ascii="Palatino Linotype" w:eastAsia="Palatino Linotype" w:hAnsi="Palatino Linotype" w:cs="Palatino Linotype"/>
        </w:rPr>
        <w:t xml:space="preserve"> haya actuado con negligencia o dolo,</w:t>
      </w:r>
      <w:r>
        <w:rPr>
          <w:rFonts w:ascii="Palatino Linotype" w:eastAsia="Palatino Linotype" w:hAnsi="Palatino Linotype" w:cs="Palatino Linotype"/>
        </w:rPr>
        <w:t xml:space="preserve"> </w:t>
      </w:r>
      <w:r w:rsidRPr="00C02D85">
        <w:rPr>
          <w:rFonts w:ascii="Palatino Linotype" w:eastAsia="Palatino Linotype" w:hAnsi="Palatino Linotype" w:cs="Palatino Linotype"/>
        </w:rPr>
        <w:t>razón por la cual este Instituto no puede pronunciarse sobre dichas manifestaciones,</w:t>
      </w:r>
      <w:r>
        <w:rPr>
          <w:rFonts w:ascii="Palatino Linotype" w:eastAsia="Palatino Linotype" w:hAnsi="Palatino Linotype" w:cs="Palatino Linotype"/>
        </w:rPr>
        <w:t xml:space="preserve"> </w:t>
      </w:r>
      <w:r w:rsidRPr="00C02D85">
        <w:rPr>
          <w:rFonts w:ascii="Palatino Linotype" w:eastAsia="Palatino Linotype" w:hAnsi="Palatino Linotype" w:cs="Palatino Linotype"/>
        </w:rPr>
        <w:t>sin perjuicio de que el particular pueda presentar las denuncias o quejas que a su</w:t>
      </w:r>
      <w:r>
        <w:rPr>
          <w:rFonts w:ascii="Palatino Linotype" w:eastAsia="Palatino Linotype" w:hAnsi="Palatino Linotype" w:cs="Palatino Linotype"/>
        </w:rPr>
        <w:t xml:space="preserve"> </w:t>
      </w:r>
      <w:r w:rsidRPr="00C02D85">
        <w:rPr>
          <w:rFonts w:ascii="Palatino Linotype" w:eastAsia="Palatino Linotype" w:hAnsi="Palatino Linotype" w:cs="Palatino Linotype"/>
        </w:rPr>
        <w:t>derecho convengan ante la instancia correspondiente.</w:t>
      </w:r>
    </w:p>
    <w:p w14:paraId="2B157AE7" w14:textId="77777777" w:rsidR="00C02D85" w:rsidRDefault="00C02D85" w:rsidP="00C02D85">
      <w:pPr>
        <w:spacing w:line="360" w:lineRule="auto"/>
        <w:jc w:val="both"/>
        <w:rPr>
          <w:rFonts w:ascii="Palatino Linotype" w:eastAsia="Palatino Linotype" w:hAnsi="Palatino Linotype" w:cs="Palatino Linotype"/>
        </w:rPr>
      </w:pPr>
    </w:p>
    <w:p w14:paraId="7218C389" w14:textId="77777777" w:rsidR="00D40D76" w:rsidRDefault="00D40D76" w:rsidP="00C02D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14:paraId="3B1253E2" w14:textId="77777777" w:rsidR="00D40D76" w:rsidRDefault="00D40D76" w:rsidP="00D40D76">
      <w:pPr>
        <w:spacing w:line="360" w:lineRule="auto"/>
        <w:jc w:val="both"/>
        <w:rPr>
          <w:rFonts w:ascii="Palatino Linotype" w:eastAsia="Palatino Linotype" w:hAnsi="Palatino Linotype" w:cs="Palatino Linotype"/>
        </w:rPr>
      </w:pPr>
    </w:p>
    <w:p w14:paraId="4928DB58" w14:textId="77777777" w:rsidR="003B5580" w:rsidRDefault="003B5580" w:rsidP="00D40D76">
      <w:pPr>
        <w:spacing w:line="360" w:lineRule="auto"/>
        <w:jc w:val="both"/>
        <w:rPr>
          <w:rFonts w:ascii="Palatino Linotype" w:eastAsia="Palatino Linotype" w:hAnsi="Palatino Linotype" w:cs="Palatino Linotype"/>
        </w:rPr>
      </w:pPr>
    </w:p>
    <w:p w14:paraId="3F739B6E" w14:textId="77777777" w:rsidR="003B5580" w:rsidRDefault="003B5580" w:rsidP="00D40D76">
      <w:pPr>
        <w:spacing w:line="360" w:lineRule="auto"/>
        <w:jc w:val="both"/>
        <w:rPr>
          <w:rFonts w:ascii="Palatino Linotype" w:eastAsia="Palatino Linotype" w:hAnsi="Palatino Linotype" w:cs="Palatino Linotype"/>
        </w:rPr>
      </w:pPr>
    </w:p>
    <w:p w14:paraId="511EAA58" w14:textId="77777777" w:rsidR="00D40D76" w:rsidRDefault="00D40D76" w:rsidP="00D40D76">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RESUELVE</w:t>
      </w:r>
    </w:p>
    <w:p w14:paraId="2079D494" w14:textId="77777777" w:rsidR="00D40D76" w:rsidRPr="00D85087" w:rsidRDefault="00D40D76" w:rsidP="00D40D76">
      <w:pPr>
        <w:spacing w:line="360" w:lineRule="auto"/>
        <w:jc w:val="both"/>
        <w:rPr>
          <w:rFonts w:ascii="Palatino Linotype" w:eastAsia="Palatino Linotype" w:hAnsi="Palatino Linotype" w:cs="Palatino Linotype"/>
        </w:rPr>
      </w:pPr>
    </w:p>
    <w:p w14:paraId="7CDCE6BD" w14:textId="77777777" w:rsidR="00D40D76" w:rsidRDefault="00D40D76" w:rsidP="00D40D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PRIMERO</w:t>
      </w:r>
      <w:r>
        <w:rPr>
          <w:rFonts w:ascii="Palatino Linotype" w:eastAsia="Palatino Linotype" w:hAnsi="Palatino Linotype" w:cs="Palatino Linotype"/>
          <w:color w:val="000000"/>
        </w:rPr>
        <w:t xml:space="preserve"> Se</w:t>
      </w:r>
      <w:r>
        <w:rPr>
          <w:rFonts w:ascii="Palatino Linotype" w:eastAsia="Palatino Linotype" w:hAnsi="Palatino Linotype" w:cs="Palatino Linotype"/>
          <w:b/>
          <w:color w:val="000000"/>
        </w:rPr>
        <w:t xml:space="preserve"> SOBRESEE </w:t>
      </w:r>
      <w:r>
        <w:rPr>
          <w:rFonts w:ascii="Palatino Linotype" w:eastAsia="Palatino Linotype" w:hAnsi="Palatino Linotype" w:cs="Palatino Linotype"/>
          <w:color w:val="000000"/>
        </w:rPr>
        <w:t xml:space="preserve">el recurso de revisión </w:t>
      </w:r>
      <w:r w:rsidRPr="00236BFE">
        <w:rPr>
          <w:rFonts w:ascii="Palatino Linotype" w:eastAsia="Palatino Linotype" w:hAnsi="Palatino Linotype" w:cs="Palatino Linotype"/>
          <w:color w:val="000000"/>
        </w:rPr>
        <w:t xml:space="preserve">número </w:t>
      </w:r>
      <w:r w:rsidRPr="00236BFE">
        <w:rPr>
          <w:rFonts w:ascii="Palatino Linotype" w:eastAsia="Palatino Linotype" w:hAnsi="Palatino Linotype" w:cs="Palatino Linotype"/>
          <w:b/>
          <w:color w:val="000000"/>
        </w:rPr>
        <w:t>0</w:t>
      </w:r>
      <w:r w:rsidR="00640C44">
        <w:rPr>
          <w:rFonts w:ascii="Palatino Linotype" w:eastAsia="Palatino Linotype" w:hAnsi="Palatino Linotype" w:cs="Palatino Linotype"/>
          <w:b/>
          <w:color w:val="000000"/>
        </w:rPr>
        <w:t>6802</w:t>
      </w:r>
      <w:r w:rsidRPr="00236BFE">
        <w:rPr>
          <w:rFonts w:ascii="Palatino Linotype" w:eastAsia="Palatino Linotype" w:hAnsi="Palatino Linotype" w:cs="Palatino Linotype"/>
          <w:b/>
          <w:color w:val="000000"/>
        </w:rPr>
        <w:t>/INFOEM/IP/RR/2022</w:t>
      </w:r>
      <w:r>
        <w:rPr>
          <w:rFonts w:ascii="Palatino Linotype" w:eastAsia="Palatino Linotype" w:hAnsi="Palatino Linotype" w:cs="Palatino Linotype"/>
          <w:color w:val="000000"/>
        </w:rPr>
        <w:t xml:space="preserve">, por quedarse sin materia al actualizarse lo dispuesto en el </w:t>
      </w:r>
      <w:r w:rsidRPr="003B5580">
        <w:rPr>
          <w:rFonts w:ascii="Palatino Linotype" w:eastAsia="Palatino Linotype" w:hAnsi="Palatino Linotype" w:cs="Palatino Linotype"/>
          <w:color w:val="000000"/>
        </w:rPr>
        <w:t xml:space="preserve">artículo 192 fracción </w:t>
      </w:r>
      <w:r w:rsidR="00391172" w:rsidRPr="003B5580">
        <w:rPr>
          <w:rFonts w:ascii="Palatino Linotype" w:eastAsia="Palatino Linotype" w:hAnsi="Palatino Linotype" w:cs="Palatino Linotype"/>
          <w:color w:val="000000"/>
        </w:rPr>
        <w:t>I</w:t>
      </w:r>
      <w:r w:rsidRPr="003B5580">
        <w:rPr>
          <w:rFonts w:ascii="Palatino Linotype" w:eastAsia="Palatino Linotype" w:hAnsi="Palatino Linotype" w:cs="Palatino Linotype"/>
          <w:color w:val="000000"/>
        </w:rPr>
        <w:t>V</w:t>
      </w:r>
      <w:r>
        <w:rPr>
          <w:rFonts w:ascii="Palatino Linotype" w:eastAsia="Palatino Linotype" w:hAnsi="Palatino Linotype" w:cs="Palatino Linotype"/>
          <w:color w:val="000000"/>
        </w:rPr>
        <w:t xml:space="preserve"> de la </w:t>
      </w:r>
      <w:r>
        <w:rPr>
          <w:rFonts w:ascii="Palatino Linotype" w:eastAsia="Palatino Linotype" w:hAnsi="Palatino Linotype" w:cs="Palatino Linotype"/>
        </w:rPr>
        <w:t xml:space="preserve">Ley de Transparencia y Acceso a la Información Pública del Estado de México y Municipios, </w:t>
      </w:r>
      <w:r>
        <w:rPr>
          <w:rFonts w:ascii="Palatino Linotype" w:eastAsia="Palatino Linotype" w:hAnsi="Palatino Linotype" w:cs="Palatino Linotype"/>
          <w:color w:val="000000"/>
        </w:rPr>
        <w:t xml:space="preserve">en términos del </w:t>
      </w:r>
      <w:r>
        <w:rPr>
          <w:rFonts w:ascii="Palatino Linotype" w:eastAsia="Palatino Linotype" w:hAnsi="Palatino Linotype" w:cs="Palatino Linotype"/>
          <w:b/>
          <w:color w:val="000000"/>
        </w:rPr>
        <w:t xml:space="preserve">Considerando </w:t>
      </w:r>
      <w:r w:rsidR="00640C44">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de la presente resolución.</w:t>
      </w:r>
    </w:p>
    <w:p w14:paraId="418CCA9C" w14:textId="77777777" w:rsidR="00D40D76" w:rsidRDefault="00D40D76" w:rsidP="00D40D76">
      <w:pPr>
        <w:spacing w:line="360" w:lineRule="auto"/>
        <w:jc w:val="both"/>
        <w:rPr>
          <w:rFonts w:ascii="Palatino Linotype" w:eastAsia="Palatino Linotype" w:hAnsi="Palatino Linotype" w:cs="Palatino Linotype"/>
        </w:rPr>
      </w:pPr>
    </w:p>
    <w:p w14:paraId="51459684" w14:textId="77777777" w:rsidR="00D40D76" w:rsidRDefault="00D40D76" w:rsidP="00D40D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la presente resolución al Titular de la Unidad de Transparencia del Sujeto Obligado mediante el Sistema de Acceso a la Información Mexiquense (SAIMEX).</w:t>
      </w:r>
    </w:p>
    <w:p w14:paraId="75AC299B" w14:textId="77777777" w:rsidR="00D40D76" w:rsidRDefault="00D40D76" w:rsidP="00D40D76">
      <w:pPr>
        <w:spacing w:line="360" w:lineRule="auto"/>
        <w:jc w:val="both"/>
        <w:rPr>
          <w:rFonts w:ascii="Palatino Linotype" w:eastAsia="Palatino Linotype" w:hAnsi="Palatino Linotype" w:cs="Palatino Linotype"/>
        </w:rPr>
      </w:pPr>
    </w:p>
    <w:p w14:paraId="68C50F79" w14:textId="77777777" w:rsidR="00D40D76" w:rsidRDefault="00D40D76" w:rsidP="00D40D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rPr>
        <w:t xml:space="preserve"> la presente resolución al Recurrente</w:t>
      </w:r>
      <w:r>
        <w:t xml:space="preserve"> </w:t>
      </w:r>
      <w:r>
        <w:rPr>
          <w:rFonts w:ascii="Palatino Linotype" w:eastAsia="Palatino Linotype" w:hAnsi="Palatino Linotype" w:cs="Palatino Linotype"/>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6AEF9203" w14:textId="77777777" w:rsidR="003B5580" w:rsidRDefault="003B5580" w:rsidP="00D40D76">
      <w:pPr>
        <w:spacing w:line="360" w:lineRule="auto"/>
        <w:jc w:val="both"/>
        <w:rPr>
          <w:rFonts w:ascii="Palatino Linotype" w:eastAsia="Palatino Linotype" w:hAnsi="Palatino Linotype" w:cs="Palatino Linotype"/>
        </w:rPr>
      </w:pPr>
    </w:p>
    <w:p w14:paraId="03C15D01" w14:textId="77777777" w:rsidR="003B5580" w:rsidRDefault="003B5580" w:rsidP="00D40D76">
      <w:pPr>
        <w:spacing w:line="360" w:lineRule="auto"/>
        <w:jc w:val="both"/>
        <w:rPr>
          <w:rFonts w:ascii="Palatino Linotype" w:eastAsia="Palatino Linotype" w:hAnsi="Palatino Linotype" w:cs="Palatino Linotype"/>
        </w:rPr>
      </w:pPr>
    </w:p>
    <w:p w14:paraId="2C198FA9" w14:textId="1FAF6C63" w:rsidR="00F3139D" w:rsidRPr="003F1A9B" w:rsidRDefault="00C13437">
      <w:pPr>
        <w:spacing w:line="360" w:lineRule="auto"/>
        <w:jc w:val="both"/>
        <w:rPr>
          <w:rFonts w:ascii="Palatino Linotype" w:eastAsia="Palatino Linotype" w:hAnsi="Palatino Linotype" w:cs="Palatino Linotype"/>
        </w:rPr>
      </w:pPr>
      <w:r w:rsidRPr="003F1A9B">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47320">
        <w:rPr>
          <w:rFonts w:ascii="Palatino Linotype" w:eastAsia="Palatino Linotype" w:hAnsi="Palatino Linotype" w:cs="Palatino Linotype"/>
        </w:rPr>
        <w:t xml:space="preserve">TRIGÉSIMA </w:t>
      </w:r>
      <w:r w:rsidR="003B5580">
        <w:rPr>
          <w:rFonts w:ascii="Palatino Linotype" w:eastAsia="Palatino Linotype" w:hAnsi="Palatino Linotype" w:cs="Palatino Linotype"/>
        </w:rPr>
        <w:t>SEGUNDA</w:t>
      </w:r>
      <w:r w:rsidRPr="003F1A9B">
        <w:rPr>
          <w:rFonts w:ascii="Palatino Linotype" w:eastAsia="Palatino Linotype" w:hAnsi="Palatino Linotype" w:cs="Palatino Linotype"/>
        </w:rPr>
        <w:t xml:space="preserve"> SESIÓN ORDINARIA CELEBRADA EL </w:t>
      </w:r>
      <w:r w:rsidR="003B5580">
        <w:rPr>
          <w:rFonts w:ascii="Palatino Linotype" w:eastAsia="Palatino Linotype" w:hAnsi="Palatino Linotype" w:cs="Palatino Linotype"/>
        </w:rPr>
        <w:t xml:space="preserve">SIETE DE </w:t>
      </w:r>
      <w:r w:rsidR="00AA3EDB">
        <w:rPr>
          <w:rFonts w:ascii="Palatino Linotype" w:eastAsia="Palatino Linotype" w:hAnsi="Palatino Linotype" w:cs="Palatino Linotype"/>
        </w:rPr>
        <w:t>SEPTIEMBRE</w:t>
      </w:r>
      <w:r w:rsidR="003B5580">
        <w:rPr>
          <w:rFonts w:ascii="Palatino Linotype" w:eastAsia="Palatino Linotype" w:hAnsi="Palatino Linotype" w:cs="Palatino Linotype"/>
        </w:rPr>
        <w:t xml:space="preserve"> </w:t>
      </w:r>
      <w:r w:rsidRPr="003F1A9B">
        <w:rPr>
          <w:rFonts w:ascii="Palatino Linotype" w:eastAsia="Palatino Linotype" w:hAnsi="Palatino Linotype" w:cs="Palatino Linotype"/>
        </w:rPr>
        <w:t>DE DOS MIL VEINTIDÓS, ANTE EL SECRETARIO TÉCNICO DEL PLENO, ALEXIS TAPIA RAMÍREZ.</w:t>
      </w:r>
    </w:p>
    <w:p w14:paraId="6BA904E2" w14:textId="77777777" w:rsidR="00F3139D" w:rsidRDefault="00847320">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SCMM/BLA/DEMF/AGE</w:t>
      </w:r>
    </w:p>
    <w:p w14:paraId="4E2D3EAC" w14:textId="77777777" w:rsidR="00F3139D" w:rsidRDefault="00C13437">
      <w:pPr>
        <w:rPr>
          <w:rFonts w:ascii="Palatino Linotype" w:eastAsia="Palatino Linotype" w:hAnsi="Palatino Linotype" w:cs="Palatino Linotype"/>
        </w:rPr>
      </w:pPr>
      <w:r>
        <w:br w:type="page"/>
      </w:r>
    </w:p>
    <w:p w14:paraId="38CA2DF8" w14:textId="77777777" w:rsidR="00F3139D" w:rsidRDefault="00F3139D">
      <w:pPr>
        <w:spacing w:line="360" w:lineRule="auto"/>
        <w:jc w:val="both"/>
        <w:rPr>
          <w:rFonts w:ascii="Palatino Linotype" w:eastAsia="Palatino Linotype" w:hAnsi="Palatino Linotype" w:cs="Palatino Linotype"/>
        </w:rPr>
      </w:pPr>
    </w:p>
    <w:p w14:paraId="3F5242A2" w14:textId="77777777" w:rsidR="00F3139D" w:rsidRDefault="00F3139D">
      <w:pPr>
        <w:spacing w:line="360" w:lineRule="auto"/>
        <w:jc w:val="both"/>
        <w:rPr>
          <w:rFonts w:ascii="Palatino Linotype" w:eastAsia="Palatino Linotype" w:hAnsi="Palatino Linotype" w:cs="Palatino Linotype"/>
        </w:rPr>
      </w:pPr>
    </w:p>
    <w:p w14:paraId="51D31BE4" w14:textId="77777777" w:rsidR="00F3139D" w:rsidRDefault="00F3139D">
      <w:pPr>
        <w:spacing w:line="360" w:lineRule="auto"/>
        <w:jc w:val="both"/>
        <w:rPr>
          <w:rFonts w:ascii="Palatino Linotype" w:eastAsia="Palatino Linotype" w:hAnsi="Palatino Linotype" w:cs="Palatino Linotype"/>
        </w:rPr>
      </w:pPr>
    </w:p>
    <w:p w14:paraId="2AE1C7E8" w14:textId="77777777" w:rsidR="00F3139D" w:rsidRDefault="00F3139D">
      <w:pPr>
        <w:spacing w:line="360" w:lineRule="auto"/>
        <w:jc w:val="both"/>
        <w:rPr>
          <w:rFonts w:ascii="Palatino Linotype" w:eastAsia="Palatino Linotype" w:hAnsi="Palatino Linotype" w:cs="Palatino Linotype"/>
        </w:rPr>
      </w:pPr>
    </w:p>
    <w:p w14:paraId="32BECD19" w14:textId="77777777" w:rsidR="00F3139D" w:rsidRDefault="00F3139D">
      <w:pPr>
        <w:spacing w:line="360" w:lineRule="auto"/>
        <w:jc w:val="both"/>
        <w:rPr>
          <w:rFonts w:ascii="Palatino Linotype" w:eastAsia="Palatino Linotype" w:hAnsi="Palatino Linotype" w:cs="Palatino Linotype"/>
        </w:rPr>
      </w:pPr>
    </w:p>
    <w:p w14:paraId="5CCF0C4D" w14:textId="77777777" w:rsidR="00F3139D" w:rsidRDefault="00F3139D">
      <w:pPr>
        <w:spacing w:line="360" w:lineRule="auto"/>
        <w:jc w:val="both"/>
        <w:rPr>
          <w:rFonts w:ascii="Palatino Linotype" w:eastAsia="Palatino Linotype" w:hAnsi="Palatino Linotype" w:cs="Palatino Linotype"/>
        </w:rPr>
      </w:pPr>
    </w:p>
    <w:p w14:paraId="0E17C61C" w14:textId="77777777" w:rsidR="00F3139D" w:rsidRDefault="00F3139D">
      <w:pPr>
        <w:spacing w:line="360" w:lineRule="auto"/>
        <w:jc w:val="both"/>
        <w:rPr>
          <w:rFonts w:ascii="Palatino Linotype" w:eastAsia="Palatino Linotype" w:hAnsi="Palatino Linotype" w:cs="Palatino Linotype"/>
        </w:rPr>
      </w:pPr>
    </w:p>
    <w:p w14:paraId="4117D55F" w14:textId="77777777" w:rsidR="00F3139D" w:rsidRDefault="00F3139D">
      <w:pPr>
        <w:spacing w:line="360" w:lineRule="auto"/>
        <w:jc w:val="both"/>
        <w:rPr>
          <w:rFonts w:ascii="Palatino Linotype" w:eastAsia="Palatino Linotype" w:hAnsi="Palatino Linotype" w:cs="Palatino Linotype"/>
        </w:rPr>
      </w:pPr>
    </w:p>
    <w:p w14:paraId="4A617600" w14:textId="77777777" w:rsidR="00F3139D" w:rsidRDefault="00F3139D">
      <w:pPr>
        <w:spacing w:line="360" w:lineRule="auto"/>
        <w:jc w:val="both"/>
        <w:rPr>
          <w:rFonts w:ascii="Palatino Linotype" w:eastAsia="Palatino Linotype" w:hAnsi="Palatino Linotype" w:cs="Palatino Linotype"/>
        </w:rPr>
      </w:pPr>
    </w:p>
    <w:p w14:paraId="17F8CBB3" w14:textId="77777777" w:rsidR="00F3139D" w:rsidRDefault="00F3139D">
      <w:pPr>
        <w:spacing w:line="360" w:lineRule="auto"/>
        <w:jc w:val="both"/>
        <w:rPr>
          <w:rFonts w:ascii="Palatino Linotype" w:eastAsia="Palatino Linotype" w:hAnsi="Palatino Linotype" w:cs="Palatino Linotype"/>
        </w:rPr>
      </w:pPr>
    </w:p>
    <w:p w14:paraId="3EAB4282" w14:textId="77777777" w:rsidR="00F3139D" w:rsidRDefault="00F3139D">
      <w:pPr>
        <w:spacing w:line="360" w:lineRule="auto"/>
        <w:jc w:val="both"/>
        <w:rPr>
          <w:rFonts w:ascii="Palatino Linotype" w:eastAsia="Palatino Linotype" w:hAnsi="Palatino Linotype" w:cs="Palatino Linotype"/>
        </w:rPr>
      </w:pPr>
    </w:p>
    <w:p w14:paraId="4B233CB5" w14:textId="77777777" w:rsidR="00F3139D" w:rsidRDefault="00F3139D">
      <w:pPr>
        <w:spacing w:line="360" w:lineRule="auto"/>
        <w:jc w:val="both"/>
        <w:rPr>
          <w:rFonts w:ascii="Palatino Linotype" w:eastAsia="Palatino Linotype" w:hAnsi="Palatino Linotype" w:cs="Palatino Linotype"/>
        </w:rPr>
      </w:pPr>
    </w:p>
    <w:p w14:paraId="21DCD089" w14:textId="77777777" w:rsidR="00F3139D" w:rsidRDefault="00F3139D">
      <w:pPr>
        <w:spacing w:line="360" w:lineRule="auto"/>
        <w:jc w:val="both"/>
        <w:rPr>
          <w:rFonts w:ascii="Palatino Linotype" w:eastAsia="Palatino Linotype" w:hAnsi="Palatino Linotype" w:cs="Palatino Linotype"/>
        </w:rPr>
      </w:pPr>
    </w:p>
    <w:p w14:paraId="2F38D703" w14:textId="77777777" w:rsidR="00F3139D" w:rsidRDefault="00F3139D">
      <w:pPr>
        <w:spacing w:line="360" w:lineRule="auto"/>
        <w:jc w:val="both"/>
        <w:rPr>
          <w:rFonts w:ascii="Palatino Linotype" w:eastAsia="Palatino Linotype" w:hAnsi="Palatino Linotype" w:cs="Palatino Linotype"/>
        </w:rPr>
      </w:pPr>
    </w:p>
    <w:p w14:paraId="329D4D41" w14:textId="77777777" w:rsidR="00F3139D" w:rsidRDefault="00F3139D">
      <w:pPr>
        <w:spacing w:line="360" w:lineRule="auto"/>
        <w:jc w:val="both"/>
        <w:rPr>
          <w:rFonts w:ascii="Palatino Linotype" w:eastAsia="Palatino Linotype" w:hAnsi="Palatino Linotype" w:cs="Palatino Linotype"/>
        </w:rPr>
      </w:pPr>
    </w:p>
    <w:p w14:paraId="57A9952C" w14:textId="77777777" w:rsidR="00F3139D" w:rsidRDefault="00F3139D">
      <w:pPr>
        <w:spacing w:line="360" w:lineRule="auto"/>
        <w:jc w:val="both"/>
        <w:rPr>
          <w:rFonts w:ascii="Palatino Linotype" w:eastAsia="Palatino Linotype" w:hAnsi="Palatino Linotype" w:cs="Palatino Linotype"/>
        </w:rPr>
      </w:pPr>
    </w:p>
    <w:p w14:paraId="1FCC9BAB" w14:textId="77777777" w:rsidR="00F3139D" w:rsidRDefault="00F3139D">
      <w:pPr>
        <w:spacing w:line="360" w:lineRule="auto"/>
        <w:jc w:val="both"/>
        <w:rPr>
          <w:rFonts w:ascii="Palatino Linotype" w:eastAsia="Palatino Linotype" w:hAnsi="Palatino Linotype" w:cs="Palatino Linotype"/>
        </w:rPr>
      </w:pPr>
    </w:p>
    <w:p w14:paraId="077CAB11" w14:textId="77777777" w:rsidR="00F3139D" w:rsidRDefault="00F3139D">
      <w:pPr>
        <w:spacing w:line="360" w:lineRule="auto"/>
        <w:jc w:val="both"/>
        <w:rPr>
          <w:rFonts w:ascii="Palatino Linotype" w:eastAsia="Palatino Linotype" w:hAnsi="Palatino Linotype" w:cs="Palatino Linotype"/>
        </w:rPr>
      </w:pPr>
    </w:p>
    <w:sectPr w:rsidR="00F3139D">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A7392" w14:textId="77777777" w:rsidR="0029755E" w:rsidRDefault="0029755E">
      <w:r>
        <w:separator/>
      </w:r>
    </w:p>
  </w:endnote>
  <w:endnote w:type="continuationSeparator" w:id="0">
    <w:p w14:paraId="7F3F8360" w14:textId="77777777" w:rsidR="0029755E" w:rsidRDefault="0029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02D39" w14:textId="77777777" w:rsidR="00F3139D" w:rsidRDefault="00C134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0CD0">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0CD0">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9B961" w14:textId="77777777" w:rsidR="00F3139D" w:rsidRDefault="00C1343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0CD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0CD0">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35E9A" w14:textId="77777777" w:rsidR="0029755E" w:rsidRDefault="0029755E">
      <w:r>
        <w:separator/>
      </w:r>
    </w:p>
  </w:footnote>
  <w:footnote w:type="continuationSeparator" w:id="0">
    <w:p w14:paraId="50A50143" w14:textId="77777777" w:rsidR="0029755E" w:rsidRDefault="0029755E">
      <w:r>
        <w:continuationSeparator/>
      </w:r>
    </w:p>
  </w:footnote>
  <w:footnote w:id="1">
    <w:p w14:paraId="54DCA244" w14:textId="77777777" w:rsidR="00F3139D" w:rsidRDefault="00C1343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2F49EB96" w14:textId="77777777" w:rsidR="00D40D76" w:rsidRPr="00E20137" w:rsidRDefault="00D40D76" w:rsidP="00D40D76">
      <w:pPr>
        <w:pStyle w:val="Textonotapie"/>
        <w:jc w:val="both"/>
        <w:rPr>
          <w:rFonts w:ascii="Palatino Linotype" w:hAnsi="Palatino Linotype"/>
          <w:lang w:val="es-ES_tradnl"/>
        </w:rPr>
      </w:pPr>
      <w:r w:rsidRPr="00E47D6C">
        <w:rPr>
          <w:rStyle w:val="Refdenotaalpie"/>
          <w:rFonts w:ascii="Palatino Linotype" w:hAnsi="Palatino Linotype"/>
        </w:rPr>
        <w:footnoteRef/>
      </w:r>
      <w:r w:rsidRPr="00E47D6C">
        <w:rPr>
          <w:rFonts w:ascii="Palatino Linotype" w:hAnsi="Palatino Linotype"/>
        </w:rPr>
        <w:t xml:space="preserve"> </w:t>
      </w:r>
      <w:r w:rsidRPr="00E47D6C">
        <w:rPr>
          <w:rFonts w:ascii="Palatino Linotype" w:hAnsi="Palatino Linotype"/>
          <w:lang w:val="es-ES_tradnl"/>
        </w:rPr>
        <w:t>Tesis</w:t>
      </w:r>
      <w:r>
        <w:rPr>
          <w:rFonts w:ascii="Palatino Linotype" w:hAnsi="Palatino Linotype"/>
          <w:lang w:val="es-ES_tradnl"/>
        </w:rPr>
        <w:t xml:space="preserve"> I.1o.A. 40 K, </w:t>
      </w:r>
      <w:r>
        <w:rPr>
          <w:rFonts w:ascii="Palatino Linotype" w:hAnsi="Palatino Linotype"/>
          <w:i/>
          <w:iCs/>
          <w:lang w:val="es-ES_tradnl"/>
        </w:rPr>
        <w:t>Gaceta del Semanario Judicial de la Federación</w:t>
      </w:r>
      <w:r>
        <w:rPr>
          <w:rFonts w:ascii="Palatino Linotype" w:hAnsi="Palatino Linotype"/>
          <w:lang w:val="es-ES_tradnl"/>
        </w:rPr>
        <w:t>, Décima Época, libro 57, tomo III, agosto de 2018, p. 2860.</w:t>
      </w:r>
    </w:p>
  </w:footnote>
  <w:footnote w:id="3">
    <w:p w14:paraId="41DFAE03" w14:textId="77777777" w:rsidR="00D40D76" w:rsidRPr="0027331A" w:rsidRDefault="00D40D76" w:rsidP="00D40D76">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D942" w14:textId="77777777" w:rsidR="00F3139D" w:rsidRDefault="0029755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2BF1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4354" w14:textId="77777777" w:rsidR="00276B8A" w:rsidRDefault="0029755E">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7587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F3139D" w14:paraId="259B7436" w14:textId="77777777">
      <w:tc>
        <w:tcPr>
          <w:tcW w:w="3261" w:type="dxa"/>
          <w:vMerge w:val="restart"/>
        </w:tcPr>
        <w:p w14:paraId="7DC9A256"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86C44F7" wp14:editId="6C9EBBE7">
                <wp:extent cx="1692162" cy="852673"/>
                <wp:effectExtent l="0" t="0" r="0" b="0"/>
                <wp:docPr id="3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B65BF9E"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974EC56" w14:textId="77777777" w:rsidR="00F3139D" w:rsidRDefault="00640C44">
          <w:pPr>
            <w:jc w:val="both"/>
            <w:rPr>
              <w:rFonts w:ascii="Palatino Linotype" w:eastAsia="Palatino Linotype" w:hAnsi="Palatino Linotype" w:cs="Palatino Linotype"/>
              <w:b/>
            </w:rPr>
          </w:pPr>
          <w:r>
            <w:rPr>
              <w:rFonts w:ascii="Palatino Linotype" w:eastAsia="Palatino Linotype" w:hAnsi="Palatino Linotype" w:cs="Palatino Linotype"/>
              <w:b/>
            </w:rPr>
            <w:t>06802</w:t>
          </w:r>
          <w:r w:rsidR="00C13437">
            <w:rPr>
              <w:rFonts w:ascii="Palatino Linotype" w:eastAsia="Palatino Linotype" w:hAnsi="Palatino Linotype" w:cs="Palatino Linotype"/>
              <w:b/>
            </w:rPr>
            <w:t>/INFOEM/IP/RR/2022</w:t>
          </w:r>
        </w:p>
      </w:tc>
    </w:tr>
    <w:tr w:rsidR="00F3139D" w14:paraId="5842ECDB" w14:textId="77777777">
      <w:tc>
        <w:tcPr>
          <w:tcW w:w="3261" w:type="dxa"/>
          <w:vMerge/>
        </w:tcPr>
        <w:p w14:paraId="57C614B5"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5153C78"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ABDA3D4"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p>
      </w:tc>
    </w:tr>
    <w:tr w:rsidR="00F3139D" w14:paraId="3D4AEA2E" w14:textId="77777777">
      <w:trPr>
        <w:trHeight w:val="790"/>
      </w:trPr>
      <w:tc>
        <w:tcPr>
          <w:tcW w:w="3261" w:type="dxa"/>
          <w:vMerge/>
        </w:tcPr>
        <w:p w14:paraId="1A857CAE"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E0CE100"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F2082E9"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E06AFC3" w14:textId="77777777" w:rsidR="00276B8A" w:rsidRDefault="00276B8A">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09DF0" w14:textId="77777777" w:rsidR="00F3139D" w:rsidRDefault="0029755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09B7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1"/>
      <w:tblW w:w="9900" w:type="dxa"/>
      <w:tblInd w:w="-833" w:type="dxa"/>
      <w:tblLayout w:type="fixed"/>
      <w:tblLook w:val="0400" w:firstRow="0" w:lastRow="0" w:firstColumn="0" w:lastColumn="0" w:noHBand="0" w:noVBand="1"/>
    </w:tblPr>
    <w:tblGrid>
      <w:gridCol w:w="3805"/>
      <w:gridCol w:w="3000"/>
      <w:gridCol w:w="3095"/>
    </w:tblGrid>
    <w:tr w:rsidR="00F3139D" w14:paraId="4075ADB4" w14:textId="77777777">
      <w:tc>
        <w:tcPr>
          <w:tcW w:w="3805" w:type="dxa"/>
          <w:vMerge w:val="restart"/>
          <w:shd w:val="clear" w:color="auto" w:fill="auto"/>
        </w:tcPr>
        <w:p w14:paraId="58F7D8E7" w14:textId="77777777" w:rsidR="00F3139D" w:rsidRDefault="00C1343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72356CF" wp14:editId="71C605E2">
                <wp:extent cx="1692162" cy="852673"/>
                <wp:effectExtent l="0" t="0" r="0" b="0"/>
                <wp:docPr id="3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749008B"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6A69A2F" w14:textId="77777777" w:rsidR="00F3139D" w:rsidRDefault="00847320">
          <w:pPr>
            <w:jc w:val="both"/>
            <w:rPr>
              <w:rFonts w:ascii="Palatino Linotype" w:eastAsia="Palatino Linotype" w:hAnsi="Palatino Linotype" w:cs="Palatino Linotype"/>
              <w:b/>
            </w:rPr>
          </w:pPr>
          <w:r>
            <w:rPr>
              <w:rFonts w:ascii="Palatino Linotype" w:eastAsia="Palatino Linotype" w:hAnsi="Palatino Linotype" w:cs="Palatino Linotype"/>
              <w:b/>
            </w:rPr>
            <w:t>06802</w:t>
          </w:r>
          <w:r w:rsidR="00C13437">
            <w:rPr>
              <w:rFonts w:ascii="Palatino Linotype" w:eastAsia="Palatino Linotype" w:hAnsi="Palatino Linotype" w:cs="Palatino Linotype"/>
              <w:b/>
            </w:rPr>
            <w:t xml:space="preserve">/INFOEM/IP/RR/2022 </w:t>
          </w:r>
        </w:p>
      </w:tc>
    </w:tr>
    <w:tr w:rsidR="00F3139D" w14:paraId="2EB514BC" w14:textId="77777777">
      <w:tc>
        <w:tcPr>
          <w:tcW w:w="3805" w:type="dxa"/>
          <w:vMerge/>
          <w:shd w:val="clear" w:color="auto" w:fill="auto"/>
        </w:tcPr>
        <w:p w14:paraId="7D95A7CE"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1538CBC"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D4AEEBA" w14:textId="744A2529" w:rsidR="00F3139D" w:rsidRDefault="00240CD0">
          <w:pPr>
            <w:jc w:val="both"/>
            <w:rPr>
              <w:rFonts w:ascii="Palatino Linotype" w:eastAsia="Palatino Linotype" w:hAnsi="Palatino Linotype" w:cs="Palatino Linotype"/>
              <w:b/>
            </w:rPr>
          </w:pPr>
          <w:r>
            <w:rPr>
              <w:rFonts w:ascii="Palatino Linotype" w:eastAsia="Palatino Linotype" w:hAnsi="Palatino Linotype" w:cs="Palatino Linotype"/>
              <w:b/>
            </w:rPr>
            <w:t>XXXX XXXXXXXXX XX XXXXXXXX</w:t>
          </w:r>
        </w:p>
      </w:tc>
    </w:tr>
    <w:tr w:rsidR="00F3139D" w14:paraId="6A4AA2ED" w14:textId="77777777">
      <w:trPr>
        <w:trHeight w:val="228"/>
      </w:trPr>
      <w:tc>
        <w:tcPr>
          <w:tcW w:w="3805" w:type="dxa"/>
          <w:vMerge/>
          <w:shd w:val="clear" w:color="auto" w:fill="auto"/>
        </w:tcPr>
        <w:p w14:paraId="73E94EDB"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8830A3D"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62CA88B"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p>
      </w:tc>
    </w:tr>
    <w:tr w:rsidR="00F3139D" w14:paraId="47B5E057" w14:textId="77777777">
      <w:tc>
        <w:tcPr>
          <w:tcW w:w="3805" w:type="dxa"/>
          <w:vMerge/>
          <w:shd w:val="clear" w:color="auto" w:fill="auto"/>
        </w:tcPr>
        <w:p w14:paraId="4C595469"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A0812B8"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2C2D6C3"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76C39DB" w14:textId="77777777" w:rsidR="00F3139D" w:rsidRDefault="00F3139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D34E56"/>
    <w:multiLevelType w:val="hybridMultilevel"/>
    <w:tmpl w:val="B0CAB812"/>
    <w:lvl w:ilvl="0" w:tplc="F7004226">
      <w:start w:val="1"/>
      <w:numFmt w:val="decimal"/>
      <w:lvlText w:val="%1."/>
      <w:lvlJc w:val="left"/>
      <w:pPr>
        <w:ind w:left="993" w:hanging="425"/>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4C5472E8"/>
    <w:multiLevelType w:val="multilevel"/>
    <w:tmpl w:val="04DA8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9D"/>
    <w:rsid w:val="001076E5"/>
    <w:rsid w:val="00160D96"/>
    <w:rsid w:val="001611EA"/>
    <w:rsid w:val="00240CD0"/>
    <w:rsid w:val="002656B3"/>
    <w:rsid w:val="0027035B"/>
    <w:rsid w:val="00276B8A"/>
    <w:rsid w:val="0029755E"/>
    <w:rsid w:val="002B7CF3"/>
    <w:rsid w:val="002E7A00"/>
    <w:rsid w:val="002F6A1D"/>
    <w:rsid w:val="003033EE"/>
    <w:rsid w:val="00307DD8"/>
    <w:rsid w:val="00391172"/>
    <w:rsid w:val="003B5580"/>
    <w:rsid w:val="003F1A9B"/>
    <w:rsid w:val="0044749C"/>
    <w:rsid w:val="00513AAE"/>
    <w:rsid w:val="00590423"/>
    <w:rsid w:val="0062620D"/>
    <w:rsid w:val="00640C44"/>
    <w:rsid w:val="00671FC5"/>
    <w:rsid w:val="00777F38"/>
    <w:rsid w:val="0081136B"/>
    <w:rsid w:val="008272ED"/>
    <w:rsid w:val="00847320"/>
    <w:rsid w:val="008C77D8"/>
    <w:rsid w:val="009656D1"/>
    <w:rsid w:val="009C10FD"/>
    <w:rsid w:val="00AA3EDB"/>
    <w:rsid w:val="00AF06D3"/>
    <w:rsid w:val="00B15D6A"/>
    <w:rsid w:val="00BB3D16"/>
    <w:rsid w:val="00C02D85"/>
    <w:rsid w:val="00C13437"/>
    <w:rsid w:val="00CC69B8"/>
    <w:rsid w:val="00D40D76"/>
    <w:rsid w:val="00D87858"/>
    <w:rsid w:val="00ED3FA5"/>
    <w:rsid w:val="00F3139D"/>
    <w:rsid w:val="00FA3CE6"/>
    <w:rsid w:val="00FE06EE"/>
    <w:rsid w:val="00FF75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8AE5DD"/>
  <w15:docId w15:val="{B269EB8D-97A4-42E1-95C7-1BF778B8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6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42">
    <w:name w:val="Table Normal42"/>
    <w:tblPr>
      <w:tblCellMar>
        <w:top w:w="0" w:type="dxa"/>
        <w:left w:w="0" w:type="dxa"/>
        <w:bottom w:w="0" w:type="dxa"/>
        <w:right w:w="0" w:type="dxa"/>
      </w:tblCellMar>
    </w:tblPr>
  </w:style>
  <w:style w:type="table" w:customStyle="1" w:styleId="TableNormal41">
    <w:name w:val="Table Normal41"/>
    <w:tblPr>
      <w:tblCellMar>
        <w:top w:w="0" w:type="dxa"/>
        <w:left w:w="0" w:type="dxa"/>
        <w:bottom w:w="0" w:type="dxa"/>
        <w:right w:w="0" w:type="dxa"/>
      </w:tblCellMar>
    </w:tblPr>
  </w:style>
  <w:style w:type="table" w:customStyle="1" w:styleId="TableNormal40">
    <w:name w:val="Table Normal40"/>
    <w:tblPr>
      <w:tblCellMar>
        <w:top w:w="0" w:type="dxa"/>
        <w:left w:w="0" w:type="dxa"/>
        <w:bottom w:w="0" w:type="dxa"/>
        <w:right w:w="0" w:type="dxa"/>
      </w:tblCellMar>
    </w:tblPr>
  </w:style>
  <w:style w:type="table" w:customStyle="1" w:styleId="TableNormal39">
    <w:name w:val="Table Normal39"/>
    <w:tblPr>
      <w:tblCellMar>
        <w:top w:w="0" w:type="dxa"/>
        <w:left w:w="0" w:type="dxa"/>
        <w:bottom w:w="0" w:type="dxa"/>
        <w:right w:w="0" w:type="dxa"/>
      </w:tblCellMar>
    </w:tblPr>
  </w:style>
  <w:style w:type="table" w:customStyle="1" w:styleId="TableNormal38">
    <w:name w:val="Table Normal38"/>
    <w:tblPr>
      <w:tblCellMar>
        <w:top w:w="0" w:type="dxa"/>
        <w:left w:w="0" w:type="dxa"/>
        <w:bottom w:w="0" w:type="dxa"/>
        <w:right w:w="0" w:type="dxa"/>
      </w:tblCellMar>
    </w:tblPr>
  </w:style>
  <w:style w:type="table" w:customStyle="1" w:styleId="TableNormal37">
    <w:name w:val="Table Normal37"/>
    <w:tblPr>
      <w:tblCellMar>
        <w:top w:w="0" w:type="dxa"/>
        <w:left w:w="0" w:type="dxa"/>
        <w:bottom w:w="0" w:type="dxa"/>
        <w:right w:w="0" w:type="dxa"/>
      </w:tblCellMar>
    </w:tblPr>
  </w:style>
  <w:style w:type="table" w:customStyle="1" w:styleId="TableNormal36">
    <w:name w:val="Table Normal36"/>
    <w:tblPr>
      <w:tblCellMar>
        <w:top w:w="0" w:type="dxa"/>
        <w:left w:w="0" w:type="dxa"/>
        <w:bottom w:w="0" w:type="dxa"/>
        <w:right w:w="0" w:type="dxa"/>
      </w:tblCellMar>
    </w:tblPr>
  </w:style>
  <w:style w:type="table" w:customStyle="1" w:styleId="TableNormal35">
    <w:name w:val="Table Normal35"/>
    <w:tblPr>
      <w:tblCellMar>
        <w:top w:w="0" w:type="dxa"/>
        <w:left w:w="0" w:type="dxa"/>
        <w:bottom w:w="0" w:type="dxa"/>
        <w:right w:w="0" w:type="dxa"/>
      </w:tblCellMar>
    </w:tblPr>
  </w:style>
  <w:style w:type="table" w:customStyle="1" w:styleId="TableNormal34">
    <w:name w:val="Table Normal34"/>
    <w:tblPr>
      <w:tblCellMar>
        <w:top w:w="0" w:type="dxa"/>
        <w:left w:w="0" w:type="dxa"/>
        <w:bottom w:w="0" w:type="dxa"/>
        <w:right w:w="0" w:type="dxa"/>
      </w:tblCellMar>
    </w:tblPr>
  </w:style>
  <w:style w:type="table" w:customStyle="1" w:styleId="TableNormal33">
    <w:name w:val="Table Normal33"/>
    <w:tblPr>
      <w:tblCellMar>
        <w:top w:w="0" w:type="dxa"/>
        <w:left w:w="0" w:type="dxa"/>
        <w:bottom w:w="0" w:type="dxa"/>
        <w:right w:w="0" w:type="dxa"/>
      </w:tblCellMar>
    </w:tblPr>
  </w:style>
  <w:style w:type="table" w:customStyle="1" w:styleId="TableNormal32">
    <w:name w:val="Table Normal32"/>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table" w:customStyle="1" w:styleId="TableNormal30">
    <w:name w:val="Table Normal30"/>
    <w:tblPr>
      <w:tblCellMar>
        <w:top w:w="0" w:type="dxa"/>
        <w:left w:w="0" w:type="dxa"/>
        <w:bottom w:w="0" w:type="dxa"/>
        <w:right w:w="0" w:type="dxa"/>
      </w:tblCellMar>
    </w:tblPr>
  </w:style>
  <w:style w:type="table" w:customStyle="1" w:styleId="TableNormal29">
    <w:name w:val="Table Normal29"/>
    <w:tblPr>
      <w:tblCellMar>
        <w:top w:w="0" w:type="dxa"/>
        <w:left w:w="0" w:type="dxa"/>
        <w:bottom w:w="0" w:type="dxa"/>
        <w:right w:w="0" w:type="dxa"/>
      </w:tblCellMar>
    </w:tblPr>
  </w:style>
  <w:style w:type="table" w:customStyle="1" w:styleId="TableNormal28">
    <w:name w:val="Table Normal28"/>
    <w:tblPr>
      <w:tblCellMar>
        <w:top w:w="0" w:type="dxa"/>
        <w:left w:w="0" w:type="dxa"/>
        <w:bottom w:w="0" w:type="dxa"/>
        <w:right w:w="0" w:type="dxa"/>
      </w:tblCellMar>
    </w:tblPr>
  </w:style>
  <w:style w:type="table" w:customStyle="1" w:styleId="TableNormal27">
    <w:name w:val="Table Normal27"/>
    <w:tblPr>
      <w:tblCellMar>
        <w:top w:w="0" w:type="dxa"/>
        <w:left w:w="0" w:type="dxa"/>
        <w:bottom w:w="0" w:type="dxa"/>
        <w:right w:w="0" w:type="dxa"/>
      </w:tblCellMar>
    </w:tblPr>
  </w:style>
  <w:style w:type="table" w:customStyle="1" w:styleId="TableNormal26">
    <w:name w:val="Table Normal26"/>
    <w:tblPr>
      <w:tblCellMar>
        <w:top w:w="0" w:type="dxa"/>
        <w:left w:w="0" w:type="dxa"/>
        <w:bottom w:w="0" w:type="dxa"/>
        <w:right w:w="0" w:type="dxa"/>
      </w:tblCellMar>
    </w:tblPr>
  </w:style>
  <w:style w:type="table" w:customStyle="1" w:styleId="TableNormal25">
    <w:name w:val="Table Normal25"/>
    <w:tblPr>
      <w:tblCellMar>
        <w:top w:w="0" w:type="dxa"/>
        <w:left w:w="0" w:type="dxa"/>
        <w:bottom w:w="0" w:type="dxa"/>
        <w:right w:w="0" w:type="dxa"/>
      </w:tblCellMar>
    </w:tblPr>
  </w:style>
  <w:style w:type="table" w:customStyle="1" w:styleId="TableNormal24">
    <w:name w:val="Table Normal24"/>
    <w:tblPr>
      <w:tblCellMar>
        <w:top w:w="0" w:type="dxa"/>
        <w:left w:w="0" w:type="dxa"/>
        <w:bottom w:w="0" w:type="dxa"/>
        <w:right w:w="0" w:type="dxa"/>
      </w:tblCellMar>
    </w:tblPr>
  </w:style>
  <w:style w:type="table" w:customStyle="1" w:styleId="TableNormal23">
    <w:name w:val="Table Normal23"/>
    <w:tblPr>
      <w:tblCellMar>
        <w:top w:w="0" w:type="dxa"/>
        <w:left w:w="0" w:type="dxa"/>
        <w:bottom w:w="0" w:type="dxa"/>
        <w:right w:w="0" w:type="dxa"/>
      </w:tblCellMar>
    </w:tblPr>
  </w:style>
  <w:style w:type="table" w:customStyle="1" w:styleId="TableNormal22">
    <w:name w:val="Table Normal22"/>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20">
    <w:name w:val="Table Normal20"/>
    <w:tblPr>
      <w:tblCellMar>
        <w:top w:w="0" w:type="dxa"/>
        <w:left w:w="0" w:type="dxa"/>
        <w:bottom w:w="0" w:type="dxa"/>
        <w:right w:w="0" w:type="dxa"/>
      </w:tblCellMar>
    </w:tblPr>
  </w:style>
  <w:style w:type="table" w:customStyle="1" w:styleId="TableNormal19">
    <w:name w:val="Table Normal19"/>
    <w:tblPr>
      <w:tblCellMar>
        <w:top w:w="0" w:type="dxa"/>
        <w:left w:w="0" w:type="dxa"/>
        <w:bottom w:w="0" w:type="dxa"/>
        <w:right w:w="0" w:type="dxa"/>
      </w:tblCellMar>
    </w:tblPr>
  </w:style>
  <w:style w:type="table" w:customStyle="1" w:styleId="TableNormal18">
    <w:name w:val="Table Normal18"/>
    <w:tblPr>
      <w:tblCellMar>
        <w:top w:w="0" w:type="dxa"/>
        <w:left w:w="0" w:type="dxa"/>
        <w:bottom w:w="0" w:type="dxa"/>
        <w:right w:w="0" w:type="dxa"/>
      </w:tblCellMar>
    </w:tbl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5">
    <w:name w:val="115"/>
    <w:basedOn w:val="TableNormal1"/>
    <w:tblPr>
      <w:tblStyleRowBandSize w:val="1"/>
      <w:tblStyleColBandSize w:val="1"/>
      <w:tblCellMar>
        <w:top w:w="100" w:type="dxa"/>
        <w:left w:w="100" w:type="dxa"/>
        <w:bottom w:w="100" w:type="dxa"/>
        <w:right w:w="100" w:type="dxa"/>
      </w:tblCellMar>
    </w:tblPr>
  </w:style>
  <w:style w:type="table" w:customStyle="1" w:styleId="114">
    <w:name w:val="114"/>
    <w:basedOn w:val="TableNormal1"/>
    <w:tblPr>
      <w:tblStyleRowBandSize w:val="1"/>
      <w:tblStyleColBandSize w:val="1"/>
      <w:tblCellMar>
        <w:left w:w="115" w:type="dxa"/>
        <w:right w:w="115" w:type="dxa"/>
      </w:tblCellMar>
    </w:tblPr>
  </w:style>
  <w:style w:type="table" w:customStyle="1" w:styleId="113">
    <w:name w:val="113"/>
    <w:basedOn w:val="TableNormal1"/>
    <w:tblPr>
      <w:tblStyleRowBandSize w:val="1"/>
      <w:tblStyleColBandSize w:val="1"/>
      <w:tblCellMar>
        <w:left w:w="115" w:type="dxa"/>
        <w:right w:w="115" w:type="dxa"/>
      </w:tblCellMar>
    </w:tblPr>
  </w:style>
  <w:style w:type="table" w:customStyle="1" w:styleId="112">
    <w:name w:val="112"/>
    <w:basedOn w:val="TableNormal1"/>
    <w:tblPr>
      <w:tblStyleRowBandSize w:val="1"/>
      <w:tblStyleColBandSize w:val="1"/>
      <w:tblCellMar>
        <w:left w:w="115" w:type="dxa"/>
        <w:right w:w="115" w:type="dxa"/>
      </w:tblCellMar>
    </w:tblPr>
  </w:style>
  <w:style w:type="table" w:customStyle="1" w:styleId="111">
    <w:name w:val="111"/>
    <w:basedOn w:val="TableNormal1"/>
    <w:tblPr>
      <w:tblStyleRowBandSize w:val="1"/>
      <w:tblStyleColBandSize w:val="1"/>
      <w:tblCellMar>
        <w:left w:w="115" w:type="dxa"/>
        <w:right w:w="115" w:type="dxa"/>
      </w:tblCellMar>
    </w:tblPr>
  </w:style>
  <w:style w:type="table" w:customStyle="1" w:styleId="110">
    <w:name w:val="110"/>
    <w:basedOn w:val="TableNormal1"/>
    <w:tblPr>
      <w:tblStyleRowBandSize w:val="1"/>
      <w:tblStyleColBandSize w:val="1"/>
      <w:tblCellMar>
        <w:left w:w="115" w:type="dxa"/>
        <w:right w:w="115" w:type="dxa"/>
      </w:tblCellMar>
    </w:tblPr>
  </w:style>
  <w:style w:type="table" w:customStyle="1" w:styleId="109">
    <w:name w:val="10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108">
    <w:name w:val="108"/>
    <w:basedOn w:val="TableNormal1"/>
    <w:tblPr>
      <w:tblStyleRowBandSize w:val="1"/>
      <w:tblStyleColBandSize w:val="1"/>
      <w:tblCellMar>
        <w:left w:w="115" w:type="dxa"/>
        <w:right w:w="115" w:type="dxa"/>
      </w:tblCellMar>
    </w:tblPr>
  </w:style>
  <w:style w:type="table" w:customStyle="1" w:styleId="107">
    <w:name w:val="107"/>
    <w:basedOn w:val="TableNormal1"/>
    <w:tblPr>
      <w:tblStyleRowBandSize w:val="1"/>
      <w:tblStyleColBandSize w:val="1"/>
      <w:tblCellMar>
        <w:left w:w="115" w:type="dxa"/>
        <w:right w:w="115" w:type="dxa"/>
      </w:tblCellMar>
    </w:tblPr>
  </w:style>
  <w:style w:type="table" w:customStyle="1" w:styleId="106">
    <w:name w:val="106"/>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105">
    <w:name w:val="105"/>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104">
    <w:name w:val="104"/>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103">
    <w:name w:val="10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2">
    <w:name w:val="10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1">
    <w:name w:val="10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0">
    <w:name w:val="10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9">
    <w:name w:val="9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8">
    <w:name w:val="9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7">
    <w:name w:val="9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6">
    <w:name w:val="9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5">
    <w:name w:val="9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4">
    <w:name w:val="9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3">
    <w:name w:val="9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2">
    <w:name w:val="9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1">
    <w:name w:val="9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0">
    <w:name w:val="9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9">
    <w:name w:val="8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8">
    <w:name w:val="8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7">
    <w:name w:val="8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6">
    <w:name w:val="8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5">
    <w:name w:val="8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4">
    <w:name w:val="8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3">
    <w:name w:val="8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2">
    <w:name w:val="8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1">
    <w:name w:val="8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0">
    <w:name w:val="8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9">
    <w:name w:val="7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8">
    <w:name w:val="7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7">
    <w:name w:val="7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6">
    <w:name w:val="7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5">
    <w:name w:val="7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4">
    <w:name w:val="7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3">
    <w:name w:val="7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2">
    <w:name w:val="7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1">
    <w:name w:val="7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0">
    <w:name w:val="7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9">
    <w:name w:val="6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8">
    <w:name w:val="6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7">
    <w:name w:val="6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6">
    <w:name w:val="66"/>
    <w:basedOn w:val="TableNormal1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5">
    <w:name w:val="65"/>
    <w:basedOn w:val="TableNormal1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4">
    <w:name w:val="64"/>
    <w:basedOn w:val="TableNormal18"/>
    <w:tblPr>
      <w:tblStyleRowBandSize w:val="1"/>
      <w:tblStyleColBandSize w:val="1"/>
      <w:tblCellMar>
        <w:left w:w="115" w:type="dxa"/>
        <w:right w:w="115" w:type="dxa"/>
      </w:tblCellMar>
    </w:tblPr>
  </w:style>
  <w:style w:type="table" w:customStyle="1" w:styleId="63">
    <w:name w:val="63"/>
    <w:basedOn w:val="TableNormal18"/>
    <w:tblPr>
      <w:tblStyleRowBandSize w:val="1"/>
      <w:tblStyleColBandSize w:val="1"/>
      <w:tblCellMar>
        <w:top w:w="100" w:type="dxa"/>
        <w:left w:w="100" w:type="dxa"/>
        <w:bottom w:w="100" w:type="dxa"/>
        <w:right w:w="100" w:type="dxa"/>
      </w:tblCellMar>
    </w:tblPr>
  </w:style>
  <w:style w:type="table" w:customStyle="1" w:styleId="62">
    <w:name w:val="62"/>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1">
    <w:name w:val="61"/>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0">
    <w:name w:val="60"/>
    <w:basedOn w:val="TableNormal18"/>
    <w:tblPr>
      <w:tblStyleRowBandSize w:val="1"/>
      <w:tblStyleColBandSize w:val="1"/>
      <w:tblCellMar>
        <w:top w:w="100" w:type="dxa"/>
        <w:left w:w="100" w:type="dxa"/>
        <w:bottom w:w="100" w:type="dxa"/>
        <w:right w:w="100" w:type="dxa"/>
      </w:tblCellMar>
    </w:tblPr>
  </w:style>
  <w:style w:type="table" w:customStyle="1" w:styleId="59">
    <w:name w:val="59"/>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8">
    <w:name w:val="58"/>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7">
    <w:name w:val="57"/>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6">
    <w:name w:val="56"/>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5">
    <w:name w:val="55"/>
    <w:basedOn w:val="TableNormal18"/>
    <w:rPr>
      <w:rFonts w:ascii="Arial" w:eastAsia="Arial" w:hAnsi="Arial" w:cs="Arial"/>
      <w:sz w:val="22"/>
      <w:szCs w:val="22"/>
    </w:rPr>
    <w:tblPr>
      <w:tblStyleRowBandSize w:val="1"/>
      <w:tblStyleColBandSize w:val="1"/>
      <w:tblCellMar>
        <w:left w:w="115" w:type="dxa"/>
        <w:right w:w="115" w:type="dxa"/>
      </w:tblCellMar>
    </w:tblPr>
  </w:style>
  <w:style w:type="table" w:customStyle="1" w:styleId="54">
    <w:name w:val="54"/>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3">
    <w:name w:val="53"/>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2">
    <w:name w:val="52"/>
    <w:basedOn w:val="TableNormal18"/>
    <w:rPr>
      <w:rFonts w:ascii="Arial" w:eastAsia="Arial" w:hAnsi="Arial" w:cs="Arial"/>
      <w:sz w:val="22"/>
      <w:szCs w:val="22"/>
    </w:rPr>
    <w:tblPr>
      <w:tblStyleRowBandSize w:val="1"/>
      <w:tblStyleColBandSize w:val="1"/>
      <w:tblCellMar>
        <w:left w:w="108" w:type="dxa"/>
        <w:right w:w="108" w:type="dxa"/>
      </w:tblCellMar>
    </w:tblPr>
  </w:style>
  <w:style w:type="table" w:customStyle="1" w:styleId="51">
    <w:name w:val="51"/>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0">
    <w:name w:val="50"/>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9">
    <w:name w:val="49"/>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8">
    <w:name w:val="48"/>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7">
    <w:name w:val="47"/>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6">
    <w:name w:val="46"/>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5">
    <w:name w:val="45"/>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4">
    <w:name w:val="44"/>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3">
    <w:name w:val="43"/>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2">
    <w:name w:val="42"/>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1">
    <w:name w:val="41"/>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0">
    <w:name w:val="40"/>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9">
    <w:name w:val="39"/>
    <w:basedOn w:val="TableNormal1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8">
    <w:name w:val="38"/>
    <w:basedOn w:val="TableNormal2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7">
    <w:name w:val="37"/>
    <w:basedOn w:val="TableNormal2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6">
    <w:name w:val="36"/>
    <w:basedOn w:val="TableNormal2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5">
    <w:name w:val="35"/>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4">
    <w:name w:val="34"/>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3">
    <w:name w:val="33"/>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2">
    <w:name w:val="32"/>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1">
    <w:name w:val="31"/>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0">
    <w:name w:val="30"/>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9">
    <w:name w:val="29"/>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8">
    <w:name w:val="28"/>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7">
    <w:name w:val="27"/>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8">
    <w:name w:val="18"/>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7">
    <w:name w:val="17"/>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6">
    <w:name w:val="16"/>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5">
    <w:name w:val="15"/>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4">
    <w:name w:val="14"/>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2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3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3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3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3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3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3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4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4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0722">
      <w:bodyDiv w:val="1"/>
      <w:marLeft w:val="0"/>
      <w:marRight w:val="0"/>
      <w:marTop w:val="0"/>
      <w:marBottom w:val="0"/>
      <w:divBdr>
        <w:top w:val="none" w:sz="0" w:space="0" w:color="auto"/>
        <w:left w:val="none" w:sz="0" w:space="0" w:color="auto"/>
        <w:bottom w:val="none" w:sz="0" w:space="0" w:color="auto"/>
        <w:right w:val="none" w:sz="0" w:space="0" w:color="auto"/>
      </w:divBdr>
    </w:div>
    <w:div w:id="1240598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qEL4XYyYsuolv9ti0baljY0kcg==">AMUW2mWNt897iu38iIX/dVEroXqUoZFegx3LXsfGPSAC9uIdf0NWMaflAS8I1564SYj94HgX3bz5qbNemEYeSxv3cE7G0bSs5DQEgtb9bky/3zmGL8w+L53nB4TSAwWSCFCiyMN+EzDUQTX1JOaTMY9rcjcvByKkP+U2Ga/2lJV2s0mSmOvKtNugIfxUZVfuFdH5e9lA8rJvXe9sL1/PgTal8j+DmeSmbxc8Tiau/Ex7wuciaUMrEQ7ThJ/Gcyi7KefD7v+iPhMCHPd6d56iuODh3qbaR90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33</Pages>
  <Words>5773</Words>
  <Characters>31754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2022-09-09T03:36:00Z</cp:lastPrinted>
  <dcterms:created xsi:type="dcterms:W3CDTF">2022-08-22T19:40:00Z</dcterms:created>
  <dcterms:modified xsi:type="dcterms:W3CDTF">2022-09-26T20:09:00Z</dcterms:modified>
</cp:coreProperties>
</file>