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Pr>
          <w:rFonts w:ascii="Palatino Linotype" w:eastAsia="Palatino Linotype" w:hAnsi="Palatino Linotype" w:cs="Palatino Linotype"/>
          <w:b/>
        </w:rPr>
        <w:t>diecinueve</w:t>
      </w:r>
      <w:r>
        <w:rPr>
          <w:rFonts w:ascii="Palatino Linotype" w:eastAsia="Palatino Linotype" w:hAnsi="Palatino Linotype" w:cs="Palatino Linotype"/>
        </w:rPr>
        <w:t xml:space="preserve"> </w:t>
      </w:r>
      <w:r>
        <w:rPr>
          <w:rFonts w:ascii="Palatino Linotype" w:eastAsia="Palatino Linotype" w:hAnsi="Palatino Linotype" w:cs="Palatino Linotype"/>
          <w:b/>
        </w:rPr>
        <w:t>de octubre del dos mil veintidós</w:t>
      </w:r>
      <w:r>
        <w:rPr>
          <w:rFonts w:ascii="Palatino Linotype" w:eastAsia="Palatino Linotype" w:hAnsi="Palatino Linotype" w:cs="Palatino Linotype"/>
        </w:rPr>
        <w:t>.</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08759/INFOEM/IP/RR/2022</w:t>
      </w:r>
      <w:r>
        <w:rPr>
          <w:rFonts w:ascii="Palatino Linotype" w:eastAsia="Palatino Linotype" w:hAnsi="Palatino Linotype" w:cs="Palatino Linotype"/>
        </w:rPr>
        <w:t>, interpuesto por</w:t>
      </w:r>
      <w:r w:rsidR="00E62ABA">
        <w:rPr>
          <w:rFonts w:ascii="Palatino Linotype" w:eastAsia="Palatino Linotype" w:hAnsi="Palatino Linotype" w:cs="Palatino Linotype"/>
          <w:b/>
        </w:rPr>
        <w:t xml:space="preserve"> XXXXXXXXX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quien en lo sucesivo se le denominará </w:t>
      </w:r>
      <w:r>
        <w:rPr>
          <w:rFonts w:ascii="Palatino Linotype" w:eastAsia="Palatino Linotype" w:hAnsi="Palatino Linotype" w:cs="Palatino Linotype"/>
          <w:b/>
        </w:rPr>
        <w:t>la</w:t>
      </w:r>
      <w:r>
        <w:rPr>
          <w:rFonts w:ascii="Palatino Linotype" w:eastAsia="Palatino Linotype" w:hAnsi="Palatino Linotype" w:cs="Palatino Linotype"/>
          <w:b/>
          <w:i/>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en contra de la respuesta a su solicitud de información pública con número de folio</w:t>
      </w:r>
      <w:r>
        <w:rPr>
          <w:rFonts w:ascii="Verdana" w:eastAsia="Verdana" w:hAnsi="Verdana" w:cs="Verdana"/>
          <w:b/>
          <w:color w:val="FF0000"/>
        </w:rPr>
        <w:t> </w:t>
      </w:r>
      <w:r>
        <w:rPr>
          <w:rFonts w:ascii="Palatino Linotype" w:eastAsia="Palatino Linotype" w:hAnsi="Palatino Linotype" w:cs="Palatino Linotype"/>
          <w:b/>
        </w:rPr>
        <w:t>00093/LAPAZ/IP/2022,</w:t>
      </w:r>
      <w:r>
        <w:rPr>
          <w:rFonts w:ascii="Palatino Linotype" w:eastAsia="Palatino Linotype" w:hAnsi="Palatino Linotype" w:cs="Palatino Linotype"/>
        </w:rPr>
        <w:t xml:space="preserve"> otorgada por el </w:t>
      </w:r>
      <w:r>
        <w:rPr>
          <w:rFonts w:ascii="Palatino Linotype" w:eastAsia="Palatino Linotype" w:hAnsi="Palatino Linotype" w:cs="Palatino Linotype"/>
          <w:b/>
        </w:rPr>
        <w:t>Ayuntamiento de la Paz</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procede a dictar la presente resolución, con base en lo siguiente. </w:t>
      </w:r>
    </w:p>
    <w:p w:rsidR="000D0B1C" w:rsidRDefault="00ED1B67">
      <w:pPr>
        <w:keepNext/>
        <w:keepLines/>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 A N T E C E D E N T E S:</w:t>
      </w:r>
    </w:p>
    <w:p w:rsidR="000D0B1C" w:rsidRDefault="00ED1B6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b/>
          <w:sz w:val="22"/>
          <w:szCs w:val="22"/>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veintitrés de marzo del dos mil veintidós,</w:t>
      </w:r>
      <w:r>
        <w:rPr>
          <w:rFonts w:ascii="Palatino Linotype" w:eastAsia="Palatino Linotype" w:hAnsi="Palatino Linotype" w:cs="Palatino Linotype"/>
        </w:rPr>
        <w:t xml:space="preserve"> la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 la Plataforma Nacional de Transparencia (PNT), la cual se encuentra vinculada al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a la que se le asignó el número</w:t>
      </w:r>
      <w:r>
        <w:rPr>
          <w:rFonts w:ascii="Palatino Linotype" w:eastAsia="Palatino Linotype" w:hAnsi="Palatino Linotype" w:cs="Palatino Linotype"/>
          <w:b/>
        </w:rPr>
        <w:t xml:space="preserve"> </w:t>
      </w:r>
      <w:r>
        <w:rPr>
          <w:rFonts w:ascii="Palatino Linotype" w:eastAsia="Palatino Linotype" w:hAnsi="Palatino Linotype" w:cs="Palatino Linotype"/>
        </w:rPr>
        <w:t>de folio</w:t>
      </w:r>
      <w:r>
        <w:rPr>
          <w:rFonts w:ascii="Palatino Linotype" w:eastAsia="Palatino Linotype" w:hAnsi="Palatino Linotype" w:cs="Palatino Linotype"/>
          <w:b/>
        </w:rPr>
        <w:t xml:space="preserve"> 00093/LAPAZ/IP/2022, </w:t>
      </w:r>
      <w:r>
        <w:rPr>
          <w:rFonts w:ascii="Palatino Linotype" w:eastAsia="Palatino Linotype" w:hAnsi="Palatino Linotype" w:cs="Palatino Linotype"/>
        </w:rPr>
        <w:t>a través de la cual requirió  lo siguiente:</w:t>
      </w:r>
    </w:p>
    <w:p w:rsidR="000D0B1C" w:rsidRDefault="00ED1B67">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conteste con la debida diligencia lo siguiente; ¿</w:t>
      </w:r>
      <w:r>
        <w:rPr>
          <w:rFonts w:ascii="Palatino Linotype" w:eastAsia="Palatino Linotype" w:hAnsi="Palatino Linotype" w:cs="Palatino Linotype"/>
          <w:b/>
          <w:i/>
          <w:sz w:val="22"/>
          <w:szCs w:val="22"/>
        </w:rPr>
        <w:t>Cuál es el nivel de deuda, plazos y apalancamiento financiero? ¿Cuál es el sistema de planificación financiera con que cuenta el municipio? ¿Cuenta con un balance general? ¿Lleva a cabo el municipio acciones tendientes a la armonización contable? ¿</w:t>
      </w:r>
      <w:proofErr w:type="gramStart"/>
      <w:r>
        <w:rPr>
          <w:rFonts w:ascii="Palatino Linotype" w:eastAsia="Palatino Linotype" w:hAnsi="Palatino Linotype" w:cs="Palatino Linotype"/>
          <w:b/>
          <w:i/>
          <w:sz w:val="22"/>
          <w:szCs w:val="22"/>
        </w:rPr>
        <w:t>cuales</w:t>
      </w:r>
      <w:proofErr w:type="gramEnd"/>
      <w:r>
        <w:rPr>
          <w:rFonts w:ascii="Palatino Linotype" w:eastAsia="Palatino Linotype" w:hAnsi="Palatino Linotype" w:cs="Palatino Linotype"/>
          <w:b/>
          <w:i/>
          <w:sz w:val="22"/>
          <w:szCs w:val="22"/>
        </w:rPr>
        <w:t xml:space="preserve">? ¿A </w:t>
      </w:r>
      <w:proofErr w:type="spellStart"/>
      <w:r>
        <w:rPr>
          <w:rFonts w:ascii="Palatino Linotype" w:eastAsia="Palatino Linotype" w:hAnsi="Palatino Linotype" w:cs="Palatino Linotype"/>
          <w:b/>
          <w:i/>
          <w:sz w:val="22"/>
          <w:szCs w:val="22"/>
        </w:rPr>
        <w:t>cuanto</w:t>
      </w:r>
      <w:proofErr w:type="spellEnd"/>
      <w:r>
        <w:rPr>
          <w:rFonts w:ascii="Palatino Linotype" w:eastAsia="Palatino Linotype" w:hAnsi="Palatino Linotype" w:cs="Palatino Linotype"/>
          <w:b/>
          <w:i/>
          <w:sz w:val="22"/>
          <w:szCs w:val="22"/>
        </w:rPr>
        <w:t xml:space="preserve"> asciende la deuda total del municipio? Especificar conceptos, nombres de acreedores y montos de deuda, incluyendo deuda por pago de compras, proveedores y </w:t>
      </w:r>
      <w:r>
        <w:rPr>
          <w:rFonts w:ascii="Palatino Linotype" w:eastAsia="Palatino Linotype" w:hAnsi="Palatino Linotype" w:cs="Palatino Linotype"/>
          <w:b/>
          <w:i/>
          <w:sz w:val="22"/>
          <w:szCs w:val="22"/>
        </w:rPr>
        <w:lastRenderedPageBreak/>
        <w:t>juicios (Civiles, mercantiles, laborales y otros) ¿Cuántos elementos de seguridad por cada 1000 habitantes tiene el municipio? ¿Cuántos elementos son en total? ¿Cuántos elementos se encuentran comisionados a labores distintas a la prevención del delito y seguridad pública? ¿Cuántos tienen función de escolta y cuantos están comisionados al resguardo de instalaciones municipales? ¿Cuentan los elementos de seguridad con el equipo básico y en qué consiste? ¿El municipio está implementando el Servicio Profesional de Carrera Policial? ¿Lleva a cabo el municipio acciones tendientes al cumplimiento de los exámenes de control de confianza? Y ¿Cuándo se realizaron los últimos?</w:t>
      </w: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sz w:val="22"/>
          <w:szCs w:val="22"/>
        </w:rPr>
        <w:t xml:space="preserve"> (Sic) (Énfasis añadido)</w:t>
      </w:r>
    </w:p>
    <w:p w:rsidR="000D0B1C" w:rsidRDefault="00ED1B6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vía </w:t>
      </w:r>
      <w:r>
        <w:rPr>
          <w:rFonts w:ascii="Palatino Linotype" w:eastAsia="Palatino Linotype" w:hAnsi="Palatino Linotype" w:cs="Palatino Linotype"/>
          <w:b/>
        </w:rPr>
        <w:t>SAIMEX y correo electrónico.</w:t>
      </w:r>
    </w:p>
    <w:p w:rsidR="000D0B1C" w:rsidRDefault="00ED1B67">
      <w:pPr>
        <w:spacing w:before="240" w:after="240" w:line="360" w:lineRule="auto"/>
        <w:jc w:val="both"/>
        <w:rPr>
          <w:rFonts w:ascii="Palatino Linotype" w:eastAsia="Palatino Linotype" w:hAnsi="Palatino Linotype" w:cs="Palatino Linotype"/>
          <w:b/>
        </w:rPr>
      </w:pPr>
      <w:bookmarkStart w:id="0" w:name="_GoBack"/>
      <w:r>
        <w:rPr>
          <w:rFonts w:ascii="Palatino Linotype" w:eastAsia="Palatino Linotype" w:hAnsi="Palatino Linotype" w:cs="Palatino Linotype"/>
          <w:b/>
          <w:noProof/>
          <w:lang w:val="es-MX"/>
        </w:rPr>
        <w:drawing>
          <wp:inline distT="0" distB="0" distL="0" distR="0">
            <wp:extent cx="5458377" cy="539099"/>
            <wp:effectExtent l="0" t="0" r="0" b="0"/>
            <wp:docPr id="1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458377" cy="539099"/>
                    </a:xfrm>
                    <a:prstGeom prst="rect">
                      <a:avLst/>
                    </a:prstGeom>
                    <a:ln/>
                  </pic:spPr>
                </pic:pic>
              </a:graphicData>
            </a:graphic>
          </wp:inline>
        </w:drawing>
      </w:r>
      <w:bookmarkEnd w:id="0"/>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Solicitud de aclaración.  </w:t>
      </w:r>
      <w:r>
        <w:rPr>
          <w:rFonts w:ascii="Palatino Linotype" w:eastAsia="Palatino Linotype" w:hAnsi="Palatino Linotype" w:cs="Palatino Linotype"/>
        </w:rPr>
        <w:t xml:space="preserve">El </w:t>
      </w:r>
      <w:r>
        <w:rPr>
          <w:rFonts w:ascii="Palatino Linotype" w:eastAsia="Palatino Linotype" w:hAnsi="Palatino Linotype" w:cs="Palatino Linotype"/>
          <w:b/>
        </w:rPr>
        <w:t>treinta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requirió a la particular la aclaración a su solicitud de información de la siguiente manera: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fundamento en el </w:t>
      </w:r>
      <w:proofErr w:type="spellStart"/>
      <w:r>
        <w:rPr>
          <w:rFonts w:ascii="Palatino Linotype" w:eastAsia="Palatino Linotype" w:hAnsi="Palatino Linotype" w:cs="Palatino Linotype"/>
          <w:i/>
          <w:sz w:val="22"/>
          <w:szCs w:val="22"/>
        </w:rPr>
        <w:t>articulo</w:t>
      </w:r>
      <w:proofErr w:type="spellEnd"/>
      <w:r>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medio del presente le envió un cordial y atento saludo, al tiempo que de acuerdo al artículo 159 de la Ley de Transparencia y Acceso a la Información Pública del Estado de México y Municipios y respecto a la solicitud de información pública que ingresa a través del Sistema de Acceso a la Información Mexiquense (SAIMEX), me permito solicitar a usted las siguientes aclaraciones: </w:t>
      </w:r>
      <w:r>
        <w:rPr>
          <w:rFonts w:ascii="Palatino Linotype" w:eastAsia="Palatino Linotype" w:hAnsi="Palatino Linotype" w:cs="Palatino Linotype"/>
          <w:b/>
          <w:i/>
          <w:sz w:val="22"/>
          <w:szCs w:val="22"/>
          <w:u w:val="single"/>
        </w:rPr>
        <w:t>• Respecto del numeral 1,3 y 5 señale de manera clara y precisa ¿De qué periodo de tiempo requiere la información? • Con respecto al numeral 7, ¿A qué se refiere con “elementos”? • Respecto al numeral 10, ¿A qué se refiere con “elementos de seguridad”?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lastRenderedPageBreak/>
        <w:t>Sin otro particular, quedo atenta a la respuesta de la solicitud y aclaraciones requeridas.</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MTRA. GUADALUPE DEL PILAR CASTELLANOS GUERRERO” (Sic) (Énfasis añadido)</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Aclaración.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siete de abril de dos mil veintidós, </w:t>
      </w:r>
      <w:r>
        <w:rPr>
          <w:rFonts w:ascii="Palatino Linotype" w:eastAsia="Palatino Linotype" w:hAnsi="Palatino Linotype" w:cs="Palatino Linotype"/>
        </w:rPr>
        <w:t xml:space="preserve">la solicitante desahogó el requerimiento de aclaración en los siguientes términos: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“Respecto a los numerales 1, 3 y 5: </w:t>
      </w:r>
      <w:proofErr w:type="spellStart"/>
      <w:r>
        <w:rPr>
          <w:rFonts w:ascii="Palatino Linotype" w:eastAsia="Palatino Linotype" w:hAnsi="Palatino Linotype" w:cs="Palatino Linotype"/>
          <w:i/>
          <w:sz w:val="22"/>
          <w:szCs w:val="22"/>
        </w:rPr>
        <w:t>De el</w:t>
      </w:r>
      <w:proofErr w:type="spellEnd"/>
      <w:r>
        <w:rPr>
          <w:rFonts w:ascii="Palatino Linotype" w:eastAsia="Palatino Linotype" w:hAnsi="Palatino Linotype" w:cs="Palatino Linotype"/>
          <w:i/>
          <w:sz w:val="22"/>
          <w:szCs w:val="22"/>
        </w:rPr>
        <w:t xml:space="preserve"> primer día de Enero del año 2022 a la fecha Respecto al numeral 7: a los elementos de seguridad pública municipal, es decir a la policía municipal Respecto al numeral 10: Refiero a la policía municipal Saludos Cordiales.” (Sic)</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Prórroga. </w:t>
      </w:r>
      <w:r>
        <w:rPr>
          <w:rFonts w:ascii="Palatino Linotype" w:eastAsia="Palatino Linotype" w:hAnsi="Palatino Linotype" w:cs="Palatino Linotype"/>
        </w:rPr>
        <w:t xml:space="preserve">El seis de mayo de la presente anualidad, el Sujeto Obligado notificó la prórroga para atender la solicitud de información, medularmente de la siguiente manera: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aprueba la </w:t>
      </w:r>
      <w:proofErr w:type="spellStart"/>
      <w:r>
        <w:rPr>
          <w:rFonts w:ascii="Palatino Linotype" w:eastAsia="Palatino Linotype" w:hAnsi="Palatino Linotype" w:cs="Palatino Linotype"/>
          <w:i/>
          <w:sz w:val="22"/>
          <w:szCs w:val="22"/>
        </w:rPr>
        <w:t>Prorroga</w:t>
      </w:r>
      <w:proofErr w:type="spellEnd"/>
      <w:r>
        <w:rPr>
          <w:rFonts w:ascii="Palatino Linotype" w:eastAsia="Palatino Linotype" w:hAnsi="Palatino Linotype" w:cs="Palatino Linotype"/>
          <w:i/>
          <w:sz w:val="22"/>
          <w:szCs w:val="22"/>
        </w:rPr>
        <w:t xml:space="preserve"> solicitada mediante Sesión de Comité de Transparencia</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MTRA. GUADALUPE DEL PILAR CASTELLANOS GUERRERO</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 (Sic)</w:t>
      </w:r>
    </w:p>
    <w:p w:rsidR="000D0B1C" w:rsidRDefault="00ED1B67">
      <w:pPr>
        <w:spacing w:before="240" w:after="240" w:line="276" w:lineRule="auto"/>
        <w:ind w:left="567" w:righ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 xml:space="preserve">Archivos adjuntos: </w:t>
      </w:r>
    </w:p>
    <w:p w:rsidR="000D0B1C" w:rsidRDefault="00ED1B67">
      <w:pPr>
        <w:spacing w:before="240" w:after="240"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 xml:space="preserve">“Acta de la </w:t>
      </w:r>
      <w:proofErr w:type="spellStart"/>
      <w:r>
        <w:rPr>
          <w:rFonts w:ascii="Palatino Linotype" w:eastAsia="Palatino Linotype" w:hAnsi="Palatino Linotype" w:cs="Palatino Linotype"/>
          <w:b/>
          <w:i/>
          <w:sz w:val="22"/>
          <w:szCs w:val="22"/>
        </w:rPr>
        <w:t>Decimo</w:t>
      </w:r>
      <w:proofErr w:type="spellEnd"/>
      <w:r>
        <w:rPr>
          <w:rFonts w:ascii="Palatino Linotype" w:eastAsia="Palatino Linotype" w:hAnsi="Palatino Linotype" w:cs="Palatino Linotype"/>
          <w:b/>
          <w:i/>
          <w:sz w:val="22"/>
          <w:szCs w:val="22"/>
        </w:rPr>
        <w:t xml:space="preserve"> Tercera </w:t>
      </w:r>
      <w:proofErr w:type="spellStart"/>
      <w:r>
        <w:rPr>
          <w:rFonts w:ascii="Palatino Linotype" w:eastAsia="Palatino Linotype" w:hAnsi="Palatino Linotype" w:cs="Palatino Linotype"/>
          <w:b/>
          <w:i/>
          <w:sz w:val="22"/>
          <w:szCs w:val="22"/>
        </w:rPr>
        <w:t>Sesion</w:t>
      </w:r>
      <w:proofErr w:type="spellEnd"/>
      <w:r>
        <w:rPr>
          <w:rFonts w:ascii="Palatino Linotype" w:eastAsia="Palatino Linotype" w:hAnsi="Palatino Linotype" w:cs="Palatino Linotype"/>
          <w:b/>
          <w:i/>
          <w:sz w:val="22"/>
          <w:szCs w:val="22"/>
        </w:rPr>
        <w:t xml:space="preserve"> Extraordinaria.pdf”: </w:t>
      </w:r>
      <w:r>
        <w:rPr>
          <w:rFonts w:ascii="Palatino Linotype" w:eastAsia="Palatino Linotype" w:hAnsi="Palatino Linotype" w:cs="Palatino Linotype"/>
        </w:rPr>
        <w:t xml:space="preserve">Consiste en el Acta de la Décima Tercera Sesión Extraordinaria del Comité de Transparencia, por la cual se aprobó la prórroga para atender la presente solicitud de información, en razón de que la Titular de la Unidad de Transparencia remitió diversos oficios de turno para atención a las solicitudes de información. </w:t>
      </w:r>
    </w:p>
    <w:p w:rsidR="000D0B1C" w:rsidRDefault="00ED1B67">
      <w:pPr>
        <w:spacing w:before="240" w:after="240"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677927" cy="5964976"/>
            <wp:effectExtent l="0" t="0" r="0" b="0"/>
            <wp:docPr id="10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677927" cy="5964976"/>
                    </a:xfrm>
                    <a:prstGeom prst="rect">
                      <a:avLst/>
                    </a:prstGeom>
                    <a:ln/>
                  </pic:spPr>
                </pic:pic>
              </a:graphicData>
            </a:graphic>
          </wp:inline>
        </w:drawing>
      </w:r>
      <w:r>
        <w:rPr>
          <w:noProof/>
          <w:lang w:val="es-MX"/>
        </w:rPr>
        <mc:AlternateContent>
          <mc:Choice Requires="wps">
            <w:drawing>
              <wp:anchor distT="0" distB="0" distL="114300" distR="114300" simplePos="0" relativeHeight="251658240" behindDoc="0" locked="0" layoutInCell="1" hidden="0" allowOverlap="1">
                <wp:simplePos x="0" y="0"/>
                <wp:positionH relativeFrom="column">
                  <wp:posOffset>3492500</wp:posOffset>
                </wp:positionH>
                <wp:positionV relativeFrom="paragraph">
                  <wp:posOffset>5092700</wp:posOffset>
                </wp:positionV>
                <wp:extent cx="1019175" cy="285750"/>
                <wp:effectExtent l="0" t="0" r="0" b="0"/>
                <wp:wrapNone/>
                <wp:docPr id="96" name="Rectángulo 96"/>
                <wp:cNvGraphicFramePr/>
                <a:graphic xmlns:a="http://schemas.openxmlformats.org/drawingml/2006/main">
                  <a:graphicData uri="http://schemas.microsoft.com/office/word/2010/wordprocessingShape">
                    <wps:wsp>
                      <wps:cNvSpPr/>
                      <wps:spPr>
                        <a:xfrm>
                          <a:off x="4907850" y="3708563"/>
                          <a:ext cx="876300" cy="142875"/>
                        </a:xfrm>
                        <a:prstGeom prst="rect">
                          <a:avLst/>
                        </a:prstGeom>
                        <a:noFill/>
                        <a:ln w="28575" cap="flat" cmpd="sng">
                          <a:solidFill>
                            <a:srgbClr val="002060"/>
                          </a:solidFill>
                          <a:prstDash val="solid"/>
                          <a:round/>
                          <a:headEnd type="none" w="sm" len="sm"/>
                          <a:tailEnd type="none" w="sm" len="sm"/>
                        </a:ln>
                      </wps:spPr>
                      <wps:txbx>
                        <w:txbxContent>
                          <w:p w:rsidR="00E62ABA" w:rsidRDefault="00E62ABA">
                            <w:pPr>
                              <w:textDirection w:val="btLr"/>
                            </w:pPr>
                          </w:p>
                        </w:txbxContent>
                      </wps:txbx>
                      <wps:bodyPr spcFirstLastPara="1" wrap="square" lIns="91425" tIns="91425" rIns="91425" bIns="91425" anchor="ctr" anchorCtr="0">
                        <a:noAutofit/>
                      </wps:bodyPr>
                    </wps:wsp>
                  </a:graphicData>
                </a:graphic>
              </wp:anchor>
            </w:drawing>
          </mc:Choice>
          <mc:Fallback>
            <w:pict>
              <v:rect id="Rectángulo 96" o:spid="_x0000_s1026" style="position:absolute;left:0;text-align:left;margin-left:275pt;margin-top:401pt;width:80.25pt;height:2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" filled="f" strokecolor="#002060" strokeweight="2.25pt">
                <v:stroke startarrowwidth="narrow" startarrowlength="short" endarrowwidth="narrow" endarrowlength="short" joinstyle="round"/>
                <v:textbox inset="2.53958mm,2.53958mm,2.53958mm,2.53958mm">
                  <w:txbxContent>
                    <w:p w:rsidR="00E62ABA" w:rsidRDefault="00E62ABA">
                      <w:pPr>
                        <w:textDirection w:val="btLr"/>
                      </w:pPr>
                    </w:p>
                  </w:txbxContent>
                </v:textbox>
              </v:rect>
            </w:pict>
          </mc:Fallback>
        </mc:AlternateContent>
      </w:r>
    </w:p>
    <w:p w:rsidR="000D0B1C" w:rsidRDefault="000D0B1C">
      <w:pPr>
        <w:spacing w:before="240" w:after="240" w:line="276" w:lineRule="auto"/>
        <w:ind w:left="567" w:right="567"/>
        <w:jc w:val="both"/>
        <w:rPr>
          <w:rFonts w:ascii="Palatino Linotype" w:eastAsia="Palatino Linotype" w:hAnsi="Palatino Linotype" w:cs="Palatino Linotype"/>
        </w:rPr>
      </w:pPr>
    </w:p>
    <w:p w:rsidR="000D0B1C" w:rsidRDefault="00ED1B67">
      <w:pPr>
        <w:spacing w:before="240" w:after="240"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222104" cy="5174701"/>
            <wp:effectExtent l="0" t="0" r="0" b="0"/>
            <wp:docPr id="1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222104" cy="5174701"/>
                    </a:xfrm>
                    <a:prstGeom prst="rect">
                      <a:avLst/>
                    </a:prstGeom>
                    <a:ln/>
                  </pic:spPr>
                </pic:pic>
              </a:graphicData>
            </a:graphic>
          </wp:inline>
        </w:drawing>
      </w:r>
    </w:p>
    <w:p w:rsidR="000D0B1C" w:rsidRDefault="00ED1B67">
      <w:pPr>
        <w:spacing w:before="240" w:after="240"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872526" cy="5587048"/>
            <wp:effectExtent l="0" t="0" r="0" b="0"/>
            <wp:docPr id="1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872526" cy="5587048"/>
                    </a:xfrm>
                    <a:prstGeom prst="rect">
                      <a:avLst/>
                    </a:prstGeom>
                    <a:ln/>
                  </pic:spPr>
                </pic:pic>
              </a:graphicData>
            </a:graphic>
          </wp:inline>
        </w:drawing>
      </w:r>
      <w:r>
        <w:rPr>
          <w:noProof/>
          <w:lang w:val="es-MX"/>
        </w:rPr>
        <mc:AlternateContent>
          <mc:Choice Requires="wps">
            <w:drawing>
              <wp:anchor distT="0" distB="0" distL="114300" distR="114300" simplePos="0" relativeHeight="251659264" behindDoc="0" locked="0" layoutInCell="1" hidden="0" allowOverlap="1">
                <wp:simplePos x="0" y="0"/>
                <wp:positionH relativeFrom="column">
                  <wp:posOffset>3009900</wp:posOffset>
                </wp:positionH>
                <wp:positionV relativeFrom="paragraph">
                  <wp:posOffset>2120900</wp:posOffset>
                </wp:positionV>
                <wp:extent cx="904875" cy="209550"/>
                <wp:effectExtent l="0" t="0" r="0" b="0"/>
                <wp:wrapNone/>
                <wp:docPr id="94" name="Rectángulo 94"/>
                <wp:cNvGraphicFramePr/>
                <a:graphic xmlns:a="http://schemas.openxmlformats.org/drawingml/2006/main">
                  <a:graphicData uri="http://schemas.microsoft.com/office/word/2010/wordprocessingShape">
                    <wps:wsp>
                      <wps:cNvSpPr/>
                      <wps:spPr>
                        <a:xfrm>
                          <a:off x="4941188" y="3722850"/>
                          <a:ext cx="809625" cy="114300"/>
                        </a:xfrm>
                        <a:prstGeom prst="rect">
                          <a:avLst/>
                        </a:prstGeom>
                        <a:noFill/>
                        <a:ln w="19050" cap="flat" cmpd="sng">
                          <a:solidFill>
                            <a:srgbClr val="002060"/>
                          </a:solidFill>
                          <a:prstDash val="solid"/>
                          <a:round/>
                          <a:headEnd type="none" w="sm" len="sm"/>
                          <a:tailEnd type="none" w="sm" len="sm"/>
                        </a:ln>
                      </wps:spPr>
                      <wps:txbx>
                        <w:txbxContent>
                          <w:p w:rsidR="00E62ABA" w:rsidRDefault="00E62ABA">
                            <w:pPr>
                              <w:textDirection w:val="btLr"/>
                            </w:pPr>
                          </w:p>
                        </w:txbxContent>
                      </wps:txbx>
                      <wps:bodyPr spcFirstLastPara="1" wrap="square" lIns="91425" tIns="91425" rIns="91425" bIns="91425" anchor="ctr" anchorCtr="0">
                        <a:noAutofit/>
                      </wps:bodyPr>
                    </wps:wsp>
                  </a:graphicData>
                </a:graphic>
              </wp:anchor>
            </w:drawing>
          </mc:Choice>
          <mc:Fallback>
            <w:pict>
              <v:rect id="Rectángulo 94" o:spid="_x0000_s1027" style="position:absolute;left:0;text-align:left;margin-left:237pt;margin-top:167pt;width:71.2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" filled="f" strokecolor="#002060" strokeweight="1.5pt">
                <v:stroke startarrowwidth="narrow" startarrowlength="short" endarrowwidth="narrow" endarrowlength="short" joinstyle="round"/>
                <v:textbox inset="2.53958mm,2.53958mm,2.53958mm,2.53958mm">
                  <w:txbxContent>
                    <w:p w:rsidR="00E62ABA" w:rsidRDefault="00E62ABA">
                      <w:pPr>
                        <w:textDirection w:val="btLr"/>
                      </w:pPr>
                    </w:p>
                  </w:txbxContent>
                </v:textbox>
              </v:rect>
            </w:pict>
          </mc:Fallback>
        </mc:AlternateConten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Respuesta. </w:t>
      </w:r>
      <w:r>
        <w:rPr>
          <w:rFonts w:ascii="Palatino Linotype" w:eastAsia="Palatino Linotype" w:hAnsi="Palatino Linotype" w:cs="Palatino Linotype"/>
        </w:rPr>
        <w:t xml:space="preserve">El </w:t>
      </w:r>
      <w:r>
        <w:rPr>
          <w:rFonts w:ascii="Palatino Linotype" w:eastAsia="Palatino Linotype" w:hAnsi="Palatino Linotype" w:cs="Palatino Linotype"/>
          <w:b/>
        </w:rPr>
        <w:t>diecisiete de mayo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otorgó, a través del </w:t>
      </w:r>
      <w:r>
        <w:rPr>
          <w:rFonts w:ascii="Palatino Linotype" w:eastAsia="Palatino Linotype" w:hAnsi="Palatino Linotype" w:cs="Palatino Linotype"/>
          <w:b/>
        </w:rPr>
        <w:t>SAIMEX</w:t>
      </w:r>
      <w:r>
        <w:rPr>
          <w:rFonts w:ascii="Palatino Linotype" w:eastAsia="Palatino Linotype" w:hAnsi="Palatino Linotype" w:cs="Palatino Linotype"/>
        </w:rPr>
        <w:t>, la respuesta a la solicitud de acceso a la información en los siguientes términos:</w:t>
      </w:r>
    </w:p>
    <w:p w:rsidR="000D0B1C" w:rsidRDefault="00ED1B67">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0B1C" w:rsidRDefault="00ED1B67">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Se anexa respuesta en formato .</w:t>
      </w:r>
      <w:proofErr w:type="spellStart"/>
      <w:r>
        <w:rPr>
          <w:rFonts w:ascii="Palatino Linotype" w:eastAsia="Palatino Linotype" w:hAnsi="Palatino Linotype" w:cs="Palatino Linotype"/>
          <w:i/>
          <w:sz w:val="22"/>
          <w:szCs w:val="22"/>
        </w:rPr>
        <w:t>Pdf</w:t>
      </w:r>
      <w:proofErr w:type="spellEnd"/>
    </w:p>
    <w:p w:rsidR="000D0B1C" w:rsidRDefault="00ED1B67">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0D0B1C" w:rsidRDefault="00ED1B67">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MTRA. GUADALUPE DEL PILAR CASTELLANOS GUERRERO “(Sic)</w:t>
      </w:r>
    </w:p>
    <w:p w:rsidR="000D0B1C" w:rsidRDefault="00ED1B67">
      <w:pPr>
        <w:spacing w:before="240" w:after="240" w:line="360" w:lineRule="auto"/>
        <w:ind w:right="567"/>
        <w:jc w:val="both"/>
        <w:rPr>
          <w:rFonts w:ascii="Palatino Linotype" w:eastAsia="Palatino Linotype" w:hAnsi="Palatino Linotype" w:cs="Palatino Linotype"/>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w:t>
      </w:r>
    </w:p>
    <w:p w:rsidR="000D0B1C" w:rsidRDefault="00ED1B67">
      <w:pPr>
        <w:spacing w:before="240" w:after="24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 xml:space="preserve">“Respuesta a Solicitud 00093.pdf”: </w:t>
      </w:r>
      <w:r>
        <w:rPr>
          <w:rFonts w:ascii="Palatino Linotype" w:eastAsia="Palatino Linotype" w:hAnsi="Palatino Linotype" w:cs="Palatino Linotype"/>
        </w:rPr>
        <w:t xml:space="preserve">Oficio signado por el Subdirector de Egresos, mediante el cual otorga respuesta a diversas preguntas. </w:t>
      </w:r>
    </w:p>
    <w:p w:rsidR="000D0B1C" w:rsidRDefault="00ED1B67">
      <w:pPr>
        <w:spacing w:before="240" w:after="240" w:line="360" w:lineRule="auto"/>
        <w:ind w:left="567" w:right="567"/>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extent cx="3844824" cy="5228147"/>
            <wp:effectExtent l="0" t="0" r="0" b="0"/>
            <wp:docPr id="1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844824" cy="5228147"/>
                    </a:xfrm>
                    <a:prstGeom prst="rect">
                      <a:avLst/>
                    </a:prstGeom>
                    <a:ln/>
                  </pic:spPr>
                </pic:pic>
              </a:graphicData>
            </a:graphic>
          </wp:inline>
        </w:drawing>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6.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Inconforme con la respuesta recibida,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interpuso el </w:t>
      </w:r>
      <w:r>
        <w:rPr>
          <w:rFonts w:ascii="Palatino Linotype" w:eastAsia="Palatino Linotype" w:hAnsi="Palatino Linotype" w:cs="Palatino Linotype"/>
          <w:b/>
        </w:rPr>
        <w:t>veinte de mayo del año dos mil veintidós</w:t>
      </w:r>
      <w:r>
        <w:rPr>
          <w:rFonts w:ascii="Palatino Linotype" w:eastAsia="Palatino Linotype" w:hAnsi="Palatino Linotype" w:cs="Palatino Linotype"/>
        </w:rPr>
        <w:t>, el presente medio de impugnación expresando las siguientes manifestaciones:</w:t>
      </w:r>
    </w:p>
    <w:p w:rsidR="000D0B1C" w:rsidRDefault="00ED1B67">
      <w:pPr>
        <w:spacing w:before="240" w:after="240" w:line="360" w:lineRule="auto"/>
        <w:ind w:left="567" w:righ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realizó una solicitud de acceso a la información pública el día 23-03-2022 en la cual se realizaron una serie de DOCE interrogantes al Ayuntamiento de la Paz, el sujeto obligado. Siendo estas preguntas de carácter administrativo y de orden público. Posterior a ello se presentó por parte de la MTRA. GUADALUPE DEL PILAR CASTELLANOS GUERRERO, después de una prórroga concedida, se responde a la solicitud el día 17 de mayo del 2022 con ciertas deficiencias que impiden ejercer mi derecho al acceso a la información garantizados en los artículos 6 y 8 constitucionales así como los artículos 4 y 6 de la Ley General de Transparencia y Acceso a la Información Pública debido a que solo se han contestado CUATRO preguntas por el subdirector de egresos JORGE GUADARRAMA GARCÍA, sin embargo se omitió contestar las ocho preguntas restantes El sujeto obligado ha incurrido en uno de los motivos para presentar un Recurso de revisión consagrado en el artículo 179 fracción VII la falta de respuesta a una solicitud de acceso a la información. Las preguntas que se omitieron responder fueron: ¿Lleva a cabo el municipio acciones tendientes a la armonización contable? ¿Cuáles? ¿A cuánto asciende la deuda total del municipio? Especificar conceptos, nombres de acreedores y montos de deuda, incluyendo deuda por pago de compras, proveedores y juicios (Civiles, mercantiles, laborales y otros) ¿Cuántos elementos de seguridad por cada 1000 habitantes tiene el municipio? ¿Cuántos elementos son en total? ¿Cuántos elementos se encuentran comisionados a labores distintas a la prevención del delito y seguridad pública? ¿Cuántos tienen función de escolta y cuantos están comisionados al resguardo de instalaciones municipales? ¿Cuentan los elementos de seguridad con el equipo básico y en qué consiste? ¿El municipio está implementando el Servicio Profesional de Carrera Policial?” (Sic)</w:t>
      </w:r>
    </w:p>
    <w:p w:rsidR="000D0B1C" w:rsidRDefault="000D0B1C">
      <w:pPr>
        <w:spacing w:before="240" w:after="240" w:line="276" w:lineRule="auto"/>
        <w:ind w:left="567" w:right="567"/>
        <w:jc w:val="both"/>
        <w:rPr>
          <w:rFonts w:ascii="Palatino Linotype" w:eastAsia="Palatino Linotype" w:hAnsi="Palatino Linotype" w:cs="Palatino Linotype"/>
          <w:i/>
          <w:sz w:val="22"/>
          <w:szCs w:val="22"/>
        </w:rPr>
      </w:pPr>
    </w:p>
    <w:p w:rsidR="000D0B1C" w:rsidRDefault="000D0B1C">
      <w:pPr>
        <w:spacing w:before="240" w:after="240" w:line="276" w:lineRule="auto"/>
        <w:ind w:left="567" w:right="567"/>
        <w:jc w:val="both"/>
        <w:rPr>
          <w:rFonts w:ascii="Palatino Linotype" w:eastAsia="Palatino Linotype" w:hAnsi="Palatino Linotype" w:cs="Palatino Linotype"/>
          <w:i/>
          <w:sz w:val="22"/>
          <w:szCs w:val="22"/>
        </w:rPr>
      </w:pPr>
    </w:p>
    <w:p w:rsidR="000D0B1C" w:rsidRDefault="00ED1B67">
      <w:pPr>
        <w:spacing w:before="240" w:after="240" w:line="360" w:lineRule="auto"/>
        <w:ind w:left="567" w:right="567"/>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b) Razones o motivos de inconformidad.</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han omitido sin haber fundamentado o motivado de ninguna forma las razón para no contestar a las interrogantes solicitadas." (Sic) (Énfasis añadido)</w:t>
      </w:r>
    </w:p>
    <w:p w:rsidR="000D0B1C" w:rsidRDefault="00ED1B67">
      <w:pPr>
        <w:spacing w:before="240" w:after="240" w:line="276" w:lineRule="auto"/>
        <w:ind w:left="567" w:righ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rsidR="000D0B1C" w:rsidRDefault="00ED1B67">
      <w:pPr>
        <w:spacing w:before="240" w:after="24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i/>
        </w:rPr>
        <w:t>“_Recurso de revisión 5 (2).</w:t>
      </w:r>
      <w:proofErr w:type="spellStart"/>
      <w:r>
        <w:rPr>
          <w:rFonts w:ascii="Palatino Linotype" w:eastAsia="Palatino Linotype" w:hAnsi="Palatino Linotype" w:cs="Palatino Linotype"/>
          <w:b/>
          <w:i/>
        </w:rPr>
        <w:t>pdf</w:t>
      </w:r>
      <w:proofErr w:type="spellEnd"/>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Documento de seis fojas en el que se aprecia el escrito de recurso de revisión de la particular, se insertan capturas de pantalla con los argumentos centrales de su inconformidad: </w:t>
      </w:r>
      <w:r>
        <w:rPr>
          <w:noProof/>
          <w:lang w:val="es-MX"/>
        </w:rPr>
        <w:drawing>
          <wp:anchor distT="0" distB="0" distL="114300" distR="114300" simplePos="0" relativeHeight="251660288" behindDoc="0" locked="0" layoutInCell="1" hidden="0" allowOverlap="1">
            <wp:simplePos x="0" y="0"/>
            <wp:positionH relativeFrom="column">
              <wp:posOffset>53346</wp:posOffset>
            </wp:positionH>
            <wp:positionV relativeFrom="paragraph">
              <wp:posOffset>1384935</wp:posOffset>
            </wp:positionV>
            <wp:extent cx="5305685" cy="2762250"/>
            <wp:effectExtent l="0" t="0" r="0" b="0"/>
            <wp:wrapTopAndBottom distT="0" distB="0"/>
            <wp:docPr id="1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t="63865" r="-4"/>
                    <a:stretch>
                      <a:fillRect/>
                    </a:stretch>
                  </pic:blipFill>
                  <pic:spPr>
                    <a:xfrm>
                      <a:off x="0" y="0"/>
                      <a:ext cx="5305685" cy="2762250"/>
                    </a:xfrm>
                    <a:prstGeom prst="rect">
                      <a:avLst/>
                    </a:prstGeom>
                    <a:ln/>
                  </pic:spPr>
                </pic:pic>
              </a:graphicData>
            </a:graphic>
          </wp:anchor>
        </w:drawing>
      </w:r>
    </w:p>
    <w:p w:rsidR="000D0B1C" w:rsidRDefault="000D0B1C">
      <w:pPr>
        <w:spacing w:before="240" w:after="240" w:line="276" w:lineRule="auto"/>
        <w:ind w:left="567" w:right="567"/>
        <w:jc w:val="both"/>
        <w:rPr>
          <w:rFonts w:ascii="Palatino Linotype" w:eastAsia="Palatino Linotype" w:hAnsi="Palatino Linotype" w:cs="Palatino Linotype"/>
        </w:rPr>
      </w:pPr>
    </w:p>
    <w:p w:rsidR="000D0B1C" w:rsidRDefault="000D0B1C">
      <w:pPr>
        <w:spacing w:before="240" w:after="240" w:line="276" w:lineRule="auto"/>
        <w:ind w:left="567" w:right="567"/>
        <w:jc w:val="both"/>
        <w:rPr>
          <w:rFonts w:ascii="Palatino Linotype" w:eastAsia="Palatino Linotype" w:hAnsi="Palatino Linotype" w:cs="Palatino Linotype"/>
        </w:rPr>
      </w:pPr>
    </w:p>
    <w:p w:rsidR="000D0B1C" w:rsidRDefault="00ED1B67">
      <w:pPr>
        <w:spacing w:before="240" w:after="240"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631235" cy="6571460"/>
            <wp:effectExtent l="0" t="0" r="0" b="0"/>
            <wp:docPr id="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631235" cy="6571460"/>
                    </a:xfrm>
                    <a:prstGeom prst="rect">
                      <a:avLst/>
                    </a:prstGeom>
                    <a:ln/>
                  </pic:spPr>
                </pic:pic>
              </a:graphicData>
            </a:graphic>
          </wp:inline>
        </w:drawing>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w:t>
      </w:r>
      <w:r>
        <w:rPr>
          <w:rFonts w:ascii="Palatino Linotype" w:eastAsia="Palatino Linotype" w:hAnsi="Palatino Linotype" w:cs="Palatino Linotype"/>
        </w:rPr>
        <w:lastRenderedPageBreak/>
        <w:t xml:space="preserve">Instituto de Transparencia, Acceso a la Información Pública y Protección de Datos Personales del Estado de México y Municipios, que por razón de turno fue asignado a la </w:t>
      </w:r>
      <w:r>
        <w:rPr>
          <w:rFonts w:ascii="Palatino Linotype" w:eastAsia="Palatino Linotype" w:hAnsi="Palatino Linotype" w:cs="Palatino Linotype"/>
          <w:b/>
        </w:rPr>
        <w:t>Comisionada 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0D0B1C" w:rsidRDefault="00ED1B67">
      <w:pPr>
        <w:spacing w:before="240" w:after="240" w:line="360" w:lineRule="auto"/>
        <w:jc w:val="both"/>
      </w:pPr>
      <w:r>
        <w:rPr>
          <w:rFonts w:ascii="Palatino Linotype" w:eastAsia="Palatino Linotype" w:hAnsi="Palatino Linotype" w:cs="Palatino Linotype"/>
          <w:b/>
        </w:rPr>
        <w:t xml:space="preserve">8. Admisión. </w:t>
      </w:r>
      <w:r>
        <w:rPr>
          <w:rFonts w:ascii="Palatino Linotype" w:eastAsia="Palatino Linotype" w:hAnsi="Palatino Linotype" w:cs="Palatino Linotype"/>
        </w:rPr>
        <w:t xml:space="preserve">Mediante auto de fecha </w:t>
      </w:r>
      <w:r>
        <w:rPr>
          <w:rFonts w:ascii="Palatino Linotype" w:eastAsia="Palatino Linotype" w:hAnsi="Palatino Linotype" w:cs="Palatino Linotype"/>
          <w:b/>
        </w:rPr>
        <w:t>veintiséis de mayo del dos mil veintidós</w:t>
      </w:r>
      <w:r>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rsidR="000D0B1C" w:rsidRDefault="00ED1B67">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Manifestaciones.</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las constancias que integran el expediente en que se actúan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Pr>
          <w:rFonts w:ascii="Palatino Linotype" w:eastAsia="Palatino Linotype" w:hAnsi="Palatino Linotype" w:cs="Palatino Linotype"/>
          <w:b/>
        </w:rPr>
        <w:t>seis de junio de dos mil veintidós</w:t>
      </w:r>
      <w:r>
        <w:rPr>
          <w:rFonts w:ascii="Palatino Linotype" w:eastAsia="Palatino Linotype" w:hAnsi="Palatino Linotype" w:cs="Palatino Linotype"/>
        </w:rPr>
        <w:t xml:space="preserve">, mediante el archivo electrónico </w:t>
      </w:r>
      <w:r>
        <w:rPr>
          <w:rFonts w:ascii="Palatino Linotype" w:eastAsia="Palatino Linotype" w:hAnsi="Palatino Linotype" w:cs="Palatino Linotype"/>
          <w:b/>
          <w:i/>
        </w:rPr>
        <w:t xml:space="preserve">“rr93.pdf”, </w:t>
      </w:r>
      <w:r>
        <w:rPr>
          <w:rFonts w:ascii="Palatino Linotype" w:eastAsia="Palatino Linotype" w:hAnsi="Palatino Linotype" w:cs="Palatino Linotype"/>
        </w:rPr>
        <w:t xml:space="preserve">el cual ratifica la respuesta vertida inicialmente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debe precisarse que este documento fue puesto a la vista de la particular mediante acuerdo emitido por la Comisionada Ponente el</w:t>
      </w:r>
      <w:r>
        <w:rPr>
          <w:rFonts w:ascii="Palatino Linotype" w:eastAsia="Palatino Linotype" w:hAnsi="Palatino Linotype" w:cs="Palatino Linotype"/>
          <w:b/>
        </w:rPr>
        <w:t xml:space="preserve"> veintitrés de septiembre de dos mil veintidós</w:t>
      </w:r>
      <w:r>
        <w:rPr>
          <w:rFonts w:ascii="Palatino Linotype" w:eastAsia="Palatino Linotype" w:hAnsi="Palatino Linotype" w:cs="Palatino Linotype"/>
        </w:rPr>
        <w:t xml:space="preserve">, asimismo, por cuanto hace 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se tiene que fue omisa en emitir pronunciamiento alguno que a su derecho convenga, por lo tanto,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 para tal efecto. </w:t>
      </w:r>
    </w:p>
    <w:p w:rsidR="000D0B1C" w:rsidRDefault="00ED1B67">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391150" cy="1762125"/>
            <wp:effectExtent l="0" t="0" r="0" b="0"/>
            <wp:docPr id="1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391150" cy="1762125"/>
                    </a:xfrm>
                    <a:prstGeom prst="rect">
                      <a:avLst/>
                    </a:prstGeom>
                    <a:ln/>
                  </pic:spPr>
                </pic:pic>
              </a:graphicData>
            </a:graphic>
          </wp:inline>
        </w:drawing>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10.-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veintisiete de septiembre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D0B1C" w:rsidRDefault="00ED1B67">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Este organismo garante no pasa por alto justificar, que el plazo </w:t>
      </w:r>
      <w:r>
        <w:rPr>
          <w:rFonts w:ascii="Palatino Linotype" w:eastAsia="Palatino Linotype" w:hAnsi="Palatino Linotype" w:cs="Palatino Linotype"/>
        </w:rPr>
        <w:t>para</w:t>
      </w:r>
      <w:r>
        <w:rPr>
          <w:rFonts w:ascii="Palatino Linotype" w:eastAsia="Palatino Linotype" w:hAnsi="Palatino Linotype" w:cs="Palatino Linotype"/>
          <w:color w:val="000000"/>
        </w:rPr>
        <w:t xml:space="preserve">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D0B1C" w:rsidRDefault="000D0B1C">
      <w:pPr>
        <w:spacing w:line="360" w:lineRule="auto"/>
      </w:pPr>
    </w:p>
    <w:p w:rsidR="000D0B1C" w:rsidRDefault="00ED1B67">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w:t>
      </w:r>
      <w:r>
        <w:rPr>
          <w:rFonts w:ascii="Palatino Linotype" w:eastAsia="Palatino Linotype" w:hAnsi="Palatino Linotype" w:cs="Palatino Linotype"/>
          <w:color w:val="000000"/>
        </w:rPr>
        <w:lastRenderedPageBreak/>
        <w:t>diversos órganos jurisdiccionales federales, aplicables también en procedimientos análogos, como el que nos ocupa.</w:t>
      </w:r>
    </w:p>
    <w:p w:rsidR="000D0B1C" w:rsidRDefault="000D0B1C">
      <w:pPr>
        <w:spacing w:line="360" w:lineRule="auto"/>
      </w:pPr>
    </w:p>
    <w:p w:rsidR="000D0B1C" w:rsidRDefault="00ED1B67">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D0B1C" w:rsidRDefault="000D0B1C">
      <w:pPr>
        <w:spacing w:line="360" w:lineRule="auto"/>
      </w:pPr>
    </w:p>
    <w:p w:rsidR="000D0B1C" w:rsidRDefault="00ED1B67">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D0B1C" w:rsidRDefault="000D0B1C">
      <w:pPr>
        <w:spacing w:line="360" w:lineRule="auto"/>
      </w:pP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w:t>
      </w:r>
      <w:proofErr w:type="gramStart"/>
      <w:r>
        <w:rPr>
          <w:rFonts w:ascii="Palatino Linotype" w:eastAsia="Palatino Linotype" w:hAnsi="Palatino Linotype" w:cs="Palatino Linotype"/>
          <w:color w:val="000000"/>
        </w:rPr>
        <w:t>su resolución atentos</w:t>
      </w:r>
      <w:proofErr w:type="gramEnd"/>
      <w:r>
        <w:rPr>
          <w:rFonts w:ascii="Palatino Linotype" w:eastAsia="Palatino Linotype" w:hAnsi="Palatino Linotype" w:cs="Palatino Linotype"/>
          <w:color w:val="000000"/>
        </w:rPr>
        <w:t xml:space="preserve"> a los siguientes criterios: </w:t>
      </w:r>
    </w:p>
    <w:p w:rsidR="000D0B1C" w:rsidRDefault="00ED1B67">
      <w:pPr>
        <w:pBdr>
          <w:top w:val="nil"/>
          <w:left w:val="nil"/>
          <w:bottom w:val="nil"/>
          <w:right w:val="nil"/>
          <w:between w:val="nil"/>
        </w:pBdr>
        <w:spacing w:line="360" w:lineRule="auto"/>
        <w:jc w:val="both"/>
        <w:rPr>
          <w:color w:val="000000"/>
        </w:rPr>
      </w:pPr>
      <w:r>
        <w:br/>
      </w:r>
    </w:p>
    <w:p w:rsidR="000D0B1C" w:rsidRDefault="00ED1B67">
      <w:pPr>
        <w:numPr>
          <w:ilvl w:val="0"/>
          <w:numId w:val="2"/>
        </w:numPr>
        <w:pBdr>
          <w:top w:val="nil"/>
          <w:left w:val="nil"/>
          <w:bottom w:val="nil"/>
          <w:right w:val="nil"/>
          <w:between w:val="nil"/>
        </w:pBdr>
        <w:spacing w:line="360" w:lineRule="auto"/>
        <w:ind w:left="927"/>
        <w:jc w:val="both"/>
      </w:pPr>
      <w:r>
        <w:rPr>
          <w:rFonts w:ascii="Palatino Linotype" w:eastAsia="Palatino Linotype" w:hAnsi="Palatino Linotype" w:cs="Palatino Linotype"/>
          <w:color w:val="000000"/>
        </w:rPr>
        <w:t>Complejidad del Asunto: La complejidad de la prueba, la pluralidad de sujetos procesales, el tiempo transcurrido</w:t>
      </w:r>
      <w:r>
        <w:t>, las características y contexto del recurso. </w:t>
      </w:r>
      <w:r>
        <w:br/>
      </w:r>
    </w:p>
    <w:p w:rsidR="000D0B1C" w:rsidRDefault="00ED1B67">
      <w:pPr>
        <w:numPr>
          <w:ilvl w:val="0"/>
          <w:numId w:val="2"/>
        </w:numPr>
        <w:pBdr>
          <w:top w:val="nil"/>
          <w:left w:val="nil"/>
          <w:bottom w:val="nil"/>
          <w:right w:val="nil"/>
          <w:between w:val="nil"/>
        </w:pBdr>
        <w:spacing w:line="360" w:lineRule="auto"/>
        <w:ind w:left="92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Actividad Procesal del interesado. Acciones u omisiones del interesado.</w:t>
      </w:r>
    </w:p>
    <w:p w:rsidR="000D0B1C" w:rsidRDefault="000D0B1C">
      <w:pPr>
        <w:spacing w:line="360" w:lineRule="auto"/>
      </w:pPr>
    </w:p>
    <w:p w:rsidR="000D0B1C" w:rsidRDefault="00ED1B67">
      <w:pPr>
        <w:numPr>
          <w:ilvl w:val="0"/>
          <w:numId w:val="11"/>
        </w:numPr>
        <w:pBdr>
          <w:top w:val="nil"/>
          <w:left w:val="nil"/>
          <w:bottom w:val="nil"/>
          <w:right w:val="nil"/>
          <w:between w:val="nil"/>
        </w:pBdr>
        <w:spacing w:line="360" w:lineRule="auto"/>
        <w:ind w:left="92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rsidR="000D0B1C" w:rsidRDefault="000D0B1C">
      <w:pPr>
        <w:spacing w:line="360" w:lineRule="auto"/>
      </w:pPr>
    </w:p>
    <w:p w:rsidR="000D0B1C" w:rsidRDefault="00ED1B67">
      <w:pPr>
        <w:pBdr>
          <w:top w:val="nil"/>
          <w:left w:val="nil"/>
          <w:bottom w:val="nil"/>
          <w:right w:val="nil"/>
          <w:between w:val="nil"/>
        </w:pBdr>
        <w:spacing w:line="360" w:lineRule="auto"/>
        <w:ind w:left="567"/>
        <w:jc w:val="both"/>
        <w:rPr>
          <w:color w:val="000000"/>
        </w:rPr>
      </w:pPr>
      <w:r>
        <w:rPr>
          <w:rFonts w:ascii="Palatino Linotype" w:eastAsia="Palatino Linotype" w:hAnsi="Palatino Linotype" w:cs="Palatino Linotype"/>
          <w:color w:val="000000"/>
        </w:rPr>
        <w:t>d) La afectación generada en la situación jurídica de la persona involucrada en el proceso: Violación a sus derechos humanos.</w:t>
      </w:r>
    </w:p>
    <w:p w:rsidR="000D0B1C" w:rsidRDefault="000D0B1C">
      <w:pPr>
        <w:spacing w:line="360" w:lineRule="auto"/>
      </w:pPr>
    </w:p>
    <w:p w:rsidR="000D0B1C" w:rsidRDefault="00ED1B67">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D0B1C" w:rsidRDefault="000D0B1C">
      <w:pPr>
        <w:spacing w:line="360" w:lineRule="auto"/>
      </w:pPr>
    </w:p>
    <w:p w:rsidR="000D0B1C" w:rsidRDefault="00ED1B67">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Argumento que encuentra sustento en la jurisprudencia P</w:t>
      </w:r>
      <w:proofErr w:type="gramStart"/>
      <w:r>
        <w:rPr>
          <w:rFonts w:ascii="Palatino Linotype" w:eastAsia="Palatino Linotype" w:hAnsi="Palatino Linotype" w:cs="Palatino Linotype"/>
          <w:color w:val="000000"/>
        </w:rPr>
        <w:t>./</w:t>
      </w:r>
      <w:proofErr w:type="gramEnd"/>
      <w:r>
        <w:rPr>
          <w:rFonts w:ascii="Palatino Linotype" w:eastAsia="Palatino Linotype" w:hAnsi="Palatino Linotype" w:cs="Palatino Linotype"/>
          <w:color w:val="000000"/>
        </w:rPr>
        <w:t xml:space="preserve">J. 32/92 emitida por el Pleno de la Suprema Corte de Justicia de la Nación de rubro </w:t>
      </w:r>
      <w:r>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color w:val="000000"/>
        </w:rPr>
        <w:t>, visible en la Gaceta del Seminario Judicial de la Federación con el registro digital 205635.</w:t>
      </w:r>
    </w:p>
    <w:p w:rsidR="000D0B1C" w:rsidRDefault="000D0B1C">
      <w:pPr>
        <w:spacing w:line="360" w:lineRule="auto"/>
      </w:pPr>
    </w:p>
    <w:p w:rsidR="000D0B1C" w:rsidRDefault="00ED1B67">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w:t>
      </w:r>
      <w:r>
        <w:rPr>
          <w:rFonts w:ascii="Palatino Linotype" w:eastAsia="Palatino Linotype" w:hAnsi="Palatino Linotype" w:cs="Palatino Linotype"/>
          <w:color w:val="000000"/>
        </w:rPr>
        <w:lastRenderedPageBreak/>
        <w:t>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D0B1C" w:rsidRDefault="000D0B1C">
      <w:pPr>
        <w:spacing w:line="360" w:lineRule="auto"/>
      </w:pPr>
    </w:p>
    <w:p w:rsidR="000D0B1C" w:rsidRDefault="00ED1B67">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rsidR="000D0B1C" w:rsidRDefault="000D0B1C">
      <w:pPr>
        <w:spacing w:line="360" w:lineRule="auto"/>
      </w:pPr>
    </w:p>
    <w:p w:rsidR="000D0B1C" w:rsidRDefault="00ED1B67">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w:t>
      </w:r>
      <w:r>
        <w:rPr>
          <w:rFonts w:ascii="Palatino Linotype" w:eastAsia="Palatino Linotype" w:hAnsi="Palatino Linotype" w:cs="Palatino Linotype"/>
          <w:i/>
          <w:color w:val="000000"/>
        </w:rPr>
        <w:t>“PLAZO RAZONABLE PARA RESOLVER. DIMENSIÓN Y EFECTOS DE ESTE CONCEPTO CUANDO SE ADUCE EXCESIVA CARGA DE TRABAJO.”</w:t>
      </w:r>
      <w:r>
        <w:rPr>
          <w:rFonts w:ascii="Palatino Linotype" w:eastAsia="Palatino Linotype" w:hAnsi="Palatino Linotype" w:cs="Palatino Linotype"/>
          <w:color w:val="000000"/>
        </w:rPr>
        <w:t xml:space="preserve"> consultable en el Seminario Judicial de la Federación y su gaceta, con el registro digital 2002351.</w:t>
      </w:r>
    </w:p>
    <w:p w:rsidR="000D0B1C" w:rsidRDefault="000D0B1C">
      <w:pPr>
        <w:spacing w:line="360" w:lineRule="auto"/>
      </w:pPr>
    </w:p>
    <w:p w:rsidR="000D0B1C" w:rsidRDefault="00ED1B67">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i/>
          <w:color w:val="000000"/>
        </w:rPr>
        <w:t>“PLAZO RAZONABLE PARA RESOLVER. CONCEPTO Y ELEMENTOS QUE LO INTEGRAN A LA LUZ DEL DERECHO INTERNACIONAL DE LOS DERECHOS HUMANOS.”</w:t>
      </w:r>
      <w:r>
        <w:rPr>
          <w:rFonts w:ascii="Palatino Linotype" w:eastAsia="Palatino Linotype" w:hAnsi="Palatino Linotype" w:cs="Palatino Linotype"/>
          <w:color w:val="000000"/>
        </w:rPr>
        <w:t>, visible en el Seminario Judicial de la Federación y su gaceta, con el registro digital 2002350.</w:t>
      </w:r>
    </w:p>
    <w:p w:rsidR="000D0B1C" w:rsidRDefault="000D0B1C">
      <w:pPr>
        <w:spacing w:line="360" w:lineRule="auto"/>
      </w:pPr>
    </w:p>
    <w:p w:rsidR="000D0B1C" w:rsidRDefault="00ED1B67">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rsidR="000D0B1C" w:rsidRDefault="00ED1B67">
      <w:pPr>
        <w:spacing w:before="240" w:after="24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rPr>
        <w:t xml:space="preserve">11. Cierre de Instrucción. </w:t>
      </w:r>
      <w:r>
        <w:rPr>
          <w:rFonts w:ascii="Palatino Linotype" w:eastAsia="Palatino Linotype" w:hAnsi="Palatino Linotype" w:cs="Palatino Linotype"/>
        </w:rPr>
        <w:t xml:space="preserve">El </w:t>
      </w:r>
      <w:r>
        <w:rPr>
          <w:rFonts w:ascii="Palatino Linotype" w:eastAsia="Palatino Linotype" w:hAnsi="Palatino Linotype" w:cs="Palatino Linotype"/>
          <w:b/>
        </w:rPr>
        <w:t>veintinueve de septiembre del año dos mil veintidós</w:t>
      </w:r>
      <w:r>
        <w:rPr>
          <w:rFonts w:ascii="Palatino Linotype" w:eastAsia="Palatino Linotype" w:hAnsi="Palatino Linotype" w:cs="Palatino Linotype"/>
        </w:rPr>
        <w:t xml:space="preserve">, se emitió el acuerdo por medio del cual se declaró cerrada la instrucción, pasando el expediente a resolución, debido a que fue debidamente </w:t>
      </w:r>
      <w:r>
        <w:rPr>
          <w:rFonts w:ascii="Palatino Linotype" w:eastAsia="Palatino Linotype" w:hAnsi="Palatino Linotype" w:cs="Palatino Linotype"/>
        </w:rPr>
        <w:lastRenderedPageBreak/>
        <w:t xml:space="preserve">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Pr>
          <w:rFonts w:ascii="Palatino Linotype" w:eastAsia="Palatino Linotype" w:hAnsi="Palatino Linotype" w:cs="Palatino Linotype"/>
          <w:b/>
          <w:sz w:val="28"/>
          <w:szCs w:val="28"/>
        </w:rPr>
        <w:t xml:space="preserve"> </w:t>
      </w:r>
    </w:p>
    <w:p w:rsidR="000D0B1C" w:rsidRDefault="00ED1B6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 de acuerdo con los siguientes: </w:t>
      </w:r>
    </w:p>
    <w:p w:rsidR="000D0B1C" w:rsidRDefault="00ED1B67">
      <w:pPr>
        <w:keepNext/>
        <w:keepLines/>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 C O N S I D E R A N D O S:</w:t>
      </w:r>
    </w:p>
    <w:p w:rsidR="000D0B1C" w:rsidRDefault="00ED1B6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Primero. 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w:t>
      </w:r>
      <w:r>
        <w:rPr>
          <w:rFonts w:ascii="Palatino Linotype" w:eastAsia="Palatino Linotype" w:hAnsi="Palatino Linotype" w:cs="Palatino Linotype"/>
        </w:rPr>
        <w:t xml:space="preserve">9 fracciones I,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w:t>
      </w:r>
      <w:r>
        <w:rPr>
          <w:rFonts w:ascii="Palatino Linotype" w:eastAsia="Palatino Linotype" w:hAnsi="Palatino Linotype" w:cs="Palatino Linotype"/>
        </w:rPr>
        <w:lastRenderedPageBreak/>
        <w:t>los artículos 178 y 180 de la Ley de Transparencia y Acceso a la Información Pública del Estado de México y Municipios.</w:t>
      </w:r>
    </w:p>
    <w:p w:rsidR="000D0B1C" w:rsidRDefault="00ED1B6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respuesta a la solicitud de información el día </w:t>
      </w:r>
      <w:r>
        <w:rPr>
          <w:rFonts w:ascii="Palatino Linotype" w:eastAsia="Palatino Linotype" w:hAnsi="Palatino Linotype" w:cs="Palatino Linotype"/>
          <w:b/>
        </w:rPr>
        <w:t xml:space="preserve">diecisiete de mayo de dos mil veintidós, </w:t>
      </w:r>
      <w:r>
        <w:rPr>
          <w:rFonts w:ascii="Palatino Linotype" w:eastAsia="Palatino Linotype" w:hAnsi="Palatino Linotype" w:cs="Palatino Linotype"/>
        </w:rPr>
        <w:t xml:space="preserve">mientras que el recurso de revisión interpuesto por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veinte de mayo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tercer día hábil</w:t>
      </w:r>
      <w:r>
        <w:rPr>
          <w:rFonts w:ascii="Palatino Linotype" w:eastAsia="Palatino Linotype" w:hAnsi="Palatino Linotype" w:cs="Palatino Linotype"/>
        </w:rPr>
        <w:t xml:space="preserve"> en que tuvo conocimiento de la respuesta impugnada</w:t>
      </w:r>
      <w:r>
        <w:rPr>
          <w:rFonts w:ascii="Palatino Linotype" w:eastAsia="Palatino Linotype" w:hAnsi="Palatino Linotype" w:cs="Palatino Linotype"/>
          <w:b/>
        </w:rPr>
        <w:t>.</w:t>
      </w:r>
    </w:p>
    <w:p w:rsidR="000D0B1C" w:rsidRDefault="00ED1B6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omitió señalar nombre completo,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D0B1C" w:rsidRDefault="00ED1B67">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0D0B1C" w:rsidRDefault="00ED1B67">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del recurso de revisión, una vez realizado el análisis del formato de interposición del mismo, se concluye la acreditación plena de los elementos formales precisados por el artículo 180 de la </w:t>
      </w:r>
      <w:r>
        <w:rPr>
          <w:rFonts w:ascii="Palatino Linotype" w:eastAsia="Palatino Linotype" w:hAnsi="Palatino Linotype" w:cs="Palatino Linotype"/>
          <w:color w:val="000000"/>
        </w:rPr>
        <w:lastRenderedPageBreak/>
        <w:t>Ley de Transparencia y Acceso a la Información Pública del Estado de México y Municipios, en atención a que fue presentado mediante el formato visible en el SAIMEX.</w:t>
      </w:r>
    </w:p>
    <w:p w:rsidR="000D0B1C" w:rsidRDefault="00ED1B67">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resulta procedente la interposición del recurso, según lo aducido por el recurrente en sus razones o </w:t>
      </w:r>
      <w:r>
        <w:rPr>
          <w:rFonts w:ascii="Palatino Linotype" w:eastAsia="Palatino Linotype" w:hAnsi="Palatino Linotype" w:cs="Palatino Linotype"/>
          <w:color w:val="000000"/>
        </w:rPr>
        <w:t>motivos de inconformidad, de acuerdo al artículo 179, fracción V de la Ley de Transparencia y Acceso a la Información Pública del Estado de México y Municipios; que a la letra dice:</w:t>
      </w:r>
    </w:p>
    <w:p w:rsidR="000D0B1C" w:rsidRDefault="00ED1B67">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0D0B1C" w:rsidRDefault="00ED1B67">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0D0B1C" w:rsidRDefault="00ED1B67">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La entrega de información incompleta;</w:t>
      </w:r>
      <w:r>
        <w:rPr>
          <w:rFonts w:ascii="Palatino Linotype" w:eastAsia="Palatino Linotype" w:hAnsi="Palatino Linotype" w:cs="Palatino Linotype"/>
          <w:i/>
          <w:sz w:val="22"/>
          <w:szCs w:val="22"/>
        </w:rPr>
        <w:t>”    (Sic)</w:t>
      </w:r>
    </w:p>
    <w:p w:rsidR="000D0B1C" w:rsidRDefault="00ED1B67">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(Énfasis añadido)              </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Recurrente</w:t>
      </w:r>
      <w:r>
        <w:rPr>
          <w:rFonts w:ascii="Palatino Linotype" w:eastAsia="Palatino Linotype" w:hAnsi="Palatino Linotype" w:cs="Palatino Linotype"/>
        </w:rPr>
        <w:t>, o en su defecto, en caso de ser procedente, ordenar la entrega de información oportuna.</w:t>
      </w:r>
    </w:p>
    <w:p w:rsidR="000D0B1C" w:rsidRDefault="00ED1B6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w:t>
      </w:r>
      <w:r>
        <w:rPr>
          <w:rFonts w:ascii="Palatino Linotype" w:eastAsia="Palatino Linotype" w:hAnsi="Palatino Linotype" w:cs="Palatino Linotype"/>
          <w:color w:val="000000"/>
        </w:rPr>
        <w:lastRenderedPageBreak/>
        <w:t>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D0B1C" w:rsidRDefault="00ED1B67">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0D0B1C" w:rsidRDefault="00ED1B67">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0D0B1C" w:rsidRDefault="00ED1B67">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0D0B1C" w:rsidRDefault="00ED1B67">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i/>
          <w:color w:val="000000"/>
          <w:sz w:val="22"/>
          <w:szCs w:val="22"/>
        </w:rPr>
        <w:t>[…]</w:t>
      </w:r>
    </w:p>
    <w:p w:rsidR="000D0B1C" w:rsidRDefault="00ED1B67">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b/>
          <w:i/>
          <w:color w:val="000000"/>
          <w:sz w:val="22"/>
          <w:szCs w:val="22"/>
        </w:rPr>
        <w:t>“Artículo 6o.</w:t>
      </w:r>
    </w:p>
    <w:p w:rsidR="000D0B1C" w:rsidRDefault="00ED1B67">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i/>
          <w:color w:val="000000"/>
          <w:sz w:val="22"/>
          <w:szCs w:val="22"/>
        </w:rPr>
        <w:t>[...]</w:t>
      </w:r>
    </w:p>
    <w:p w:rsidR="000D0B1C" w:rsidRDefault="00ED1B67">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0D0B1C" w:rsidRDefault="00ED1B67">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w:t>
      </w:r>
      <w:r>
        <w:rPr>
          <w:rFonts w:ascii="Palatino Linotype" w:eastAsia="Palatino Linotype" w:hAnsi="Palatino Linotype" w:cs="Palatino Linotype"/>
          <w:i/>
          <w:color w:val="000000"/>
          <w:sz w:val="22"/>
          <w:szCs w:val="22"/>
        </w:rPr>
        <w:lastRenderedPageBreak/>
        <w:t xml:space="preserve">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D0B1C" w:rsidRDefault="00ED1B67">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0D0B1C" w:rsidRDefault="00ED1B67">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rsidR="000D0B1C" w:rsidRDefault="00ED1B67">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0D0B1C" w:rsidRDefault="00ED1B67">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D0B1C" w:rsidRDefault="00ED1B67">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0D0B1C" w:rsidRDefault="00ED1B67">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0D0B1C" w:rsidRDefault="00ED1B6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w:t>
      </w:r>
      <w:r>
        <w:rPr>
          <w:rFonts w:ascii="Palatino Linotype" w:eastAsia="Palatino Linotype" w:hAnsi="Palatino Linotype" w:cs="Palatino Linotype"/>
          <w:color w:val="000000"/>
        </w:rPr>
        <w:lastRenderedPageBreak/>
        <w:t>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D0B1C" w:rsidRDefault="00ED1B67">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0D0B1C" w:rsidRDefault="00ED1B67">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D0B1C" w:rsidRDefault="00ED1B67">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rsidR="000D0B1C" w:rsidRDefault="00ED1B6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D0B1C" w:rsidRDefault="00ED1B67">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0D0B1C" w:rsidRDefault="00ED1B67">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D0B1C" w:rsidRDefault="00ED1B6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0D0B1C" w:rsidRDefault="00ED1B6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03/17</w:t>
      </w:r>
    </w:p>
    <w:p w:rsidR="000D0B1C" w:rsidRDefault="00ED1B6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rsidR="000D0B1C" w:rsidRDefault="00ED1B6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D0B1C" w:rsidRDefault="00ED1B6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D0B1C" w:rsidRDefault="00ED1B67">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D0B1C" w:rsidRDefault="00ED1B6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D0B1C" w:rsidRDefault="00ED1B6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0D0B1C" w:rsidRDefault="00ED1B6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lastRenderedPageBreak/>
        <w:t>…</w:t>
      </w:r>
    </w:p>
    <w:p w:rsidR="000D0B1C" w:rsidRDefault="00ED1B6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0D0B1C" w:rsidRDefault="00ED1B6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D0B1C" w:rsidRDefault="00ED1B6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CRITERIO 0002-11</w:t>
      </w:r>
    </w:p>
    <w:p w:rsidR="000D0B1C" w:rsidRDefault="00ED1B6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D0B1C" w:rsidRDefault="00ED1B67">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0D0B1C" w:rsidRDefault="00ED1B67">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0D0B1C" w:rsidRDefault="00ED1B67">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0D0B1C" w:rsidRDefault="00ED1B67">
      <w:pPr>
        <w:pBdr>
          <w:top w:val="nil"/>
          <w:left w:val="nil"/>
          <w:bottom w:val="nil"/>
          <w:right w:val="nil"/>
          <w:between w:val="nil"/>
        </w:pBdr>
        <w:spacing w:before="240" w:after="240"/>
        <w:ind w:left="567" w:right="567" w:hanging="284"/>
        <w:jc w:val="both"/>
        <w:rPr>
          <w:color w:val="000000"/>
        </w:rPr>
      </w:pPr>
      <w:r>
        <w:rPr>
          <w:rFonts w:ascii="Palatino Linotype" w:eastAsia="Palatino Linotype" w:hAnsi="Palatino Linotype" w:cs="Palatino Linotype"/>
          <w:i/>
          <w:color w:val="000000"/>
          <w:sz w:val="22"/>
          <w:szCs w:val="22"/>
        </w:rPr>
        <w:lastRenderedPageBreak/>
        <w:t xml:space="preserve">3. </w:t>
      </w: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0D0B1C" w:rsidRDefault="00ED1B6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0D0B1C" w:rsidRDefault="00ED1B6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Ahora bien, para profundizar en el estudio del presente asunto, es conveniente recordar que la solicitante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le proporcionara respuesta a los siguientes planteamientos:</w:t>
      </w:r>
    </w:p>
    <w:p w:rsidR="000D0B1C" w:rsidRDefault="00ED1B67">
      <w:pPr>
        <w:numPr>
          <w:ilvl w:val="0"/>
          <w:numId w:val="3"/>
        </w:numPr>
        <w:pBdr>
          <w:top w:val="nil"/>
          <w:left w:val="nil"/>
          <w:bottom w:val="nil"/>
          <w:right w:val="nil"/>
          <w:between w:val="nil"/>
        </w:pBdr>
        <w:spacing w:before="240" w:after="240" w:line="360" w:lineRule="auto"/>
        <w:ind w:left="567" w:right="567" w:hanging="14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¿Cuál es el nivel de deuda, plazos y apalancamiento financiero? </w:t>
      </w:r>
    </w:p>
    <w:p w:rsidR="000D0B1C" w:rsidRDefault="00ED1B67">
      <w:pPr>
        <w:numPr>
          <w:ilvl w:val="0"/>
          <w:numId w:val="3"/>
        </w:numPr>
        <w:pBdr>
          <w:top w:val="nil"/>
          <w:left w:val="nil"/>
          <w:bottom w:val="nil"/>
          <w:right w:val="nil"/>
          <w:between w:val="nil"/>
        </w:pBdr>
        <w:spacing w:before="240" w:after="240" w:line="360" w:lineRule="auto"/>
        <w:ind w:left="567" w:right="567" w:hanging="14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¿Cuál es el sistema de planificación financiera con que cuenta el municipio? </w:t>
      </w:r>
    </w:p>
    <w:p w:rsidR="000D0B1C" w:rsidRDefault="00ED1B67">
      <w:pPr>
        <w:numPr>
          <w:ilvl w:val="0"/>
          <w:numId w:val="3"/>
        </w:numPr>
        <w:pBdr>
          <w:top w:val="nil"/>
          <w:left w:val="nil"/>
          <w:bottom w:val="nil"/>
          <w:right w:val="nil"/>
          <w:between w:val="nil"/>
        </w:pBdr>
        <w:spacing w:before="240" w:after="240" w:line="360" w:lineRule="auto"/>
        <w:ind w:left="567" w:right="567" w:hanging="14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¿Cuenta con un balance general? </w:t>
      </w:r>
    </w:p>
    <w:p w:rsidR="000D0B1C" w:rsidRDefault="00ED1B67">
      <w:pPr>
        <w:numPr>
          <w:ilvl w:val="0"/>
          <w:numId w:val="3"/>
        </w:numPr>
        <w:pBdr>
          <w:top w:val="nil"/>
          <w:left w:val="nil"/>
          <w:bottom w:val="nil"/>
          <w:right w:val="nil"/>
          <w:between w:val="nil"/>
        </w:pBdr>
        <w:spacing w:before="240" w:after="240" w:line="360" w:lineRule="auto"/>
        <w:ind w:left="567" w:right="567" w:hanging="14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¿Lleva a cabo el municipio acciones tendientes a la armonización contable?  ¿cuales? </w:t>
      </w:r>
    </w:p>
    <w:p w:rsidR="000D0B1C" w:rsidRDefault="00ED1B67">
      <w:pPr>
        <w:numPr>
          <w:ilvl w:val="0"/>
          <w:numId w:val="3"/>
        </w:numPr>
        <w:pBdr>
          <w:top w:val="nil"/>
          <w:left w:val="nil"/>
          <w:bottom w:val="nil"/>
          <w:right w:val="nil"/>
          <w:between w:val="nil"/>
        </w:pBdr>
        <w:spacing w:before="240" w:after="240" w:line="360" w:lineRule="auto"/>
        <w:ind w:left="567" w:right="567" w:hanging="14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¿A cuánto asciende la deuda total del municipio? Especificar conceptos, nombres de acreedores y montos de deuda, incluyendo deuda por pago de compras, proveedores y juicios (Civiles, mercantiles, laborales y otros) </w:t>
      </w:r>
    </w:p>
    <w:p w:rsidR="000D0B1C" w:rsidRDefault="00ED1B67">
      <w:pPr>
        <w:numPr>
          <w:ilvl w:val="0"/>
          <w:numId w:val="3"/>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 xml:space="preserve">¿Cuántos elementos de seguridad por cada 1000 habitantes tiene el municipio? ¿Cuántos elementos son en total? </w:t>
      </w:r>
    </w:p>
    <w:p w:rsidR="000D0B1C" w:rsidRDefault="00ED1B67">
      <w:pPr>
        <w:numPr>
          <w:ilvl w:val="0"/>
          <w:numId w:val="3"/>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¿Cuántos elementos se encuentran comisionados a labores distintas a la prevención del delito y seguridad pública? </w:t>
      </w:r>
    </w:p>
    <w:p w:rsidR="000D0B1C" w:rsidRDefault="00ED1B67">
      <w:pPr>
        <w:numPr>
          <w:ilvl w:val="0"/>
          <w:numId w:val="3"/>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¿Cuántos tienen función de escolta y cuantos están comisionados al resguardo de instalaciones municipales?</w:t>
      </w:r>
    </w:p>
    <w:p w:rsidR="000D0B1C" w:rsidRDefault="00ED1B67">
      <w:pPr>
        <w:numPr>
          <w:ilvl w:val="0"/>
          <w:numId w:val="3"/>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¿Cuentan los elementos de seguridad con el equipo básico y en qué consiste? </w:t>
      </w:r>
    </w:p>
    <w:p w:rsidR="000D0B1C" w:rsidRDefault="00ED1B67">
      <w:pPr>
        <w:numPr>
          <w:ilvl w:val="0"/>
          <w:numId w:val="3"/>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¿El municipio está implementando el Servicio Profesional de Carrera Policial? </w:t>
      </w:r>
    </w:p>
    <w:p w:rsidR="000D0B1C" w:rsidRDefault="00ED1B67">
      <w:pPr>
        <w:numPr>
          <w:ilvl w:val="0"/>
          <w:numId w:val="3"/>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¿Lleva a cabo el municipio acciones tendientes al cumplimiento de los exámenes de control de confianza? Y ¿Cuándo se realizaron los últimos?</w:t>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requirió al particular que aclarara algunos puntos de sus planteamientos: </w:t>
      </w:r>
      <w:r>
        <w:rPr>
          <w:rFonts w:ascii="Palatino Linotype" w:eastAsia="Palatino Linotype" w:hAnsi="Palatino Linotype" w:cs="Palatino Linotype"/>
          <w:b/>
          <w:i/>
          <w:u w:val="single"/>
        </w:rPr>
        <w:t xml:space="preserve">• Respecto del numeral 1,3 y 5 señale de manera clara y precisa ¿De qué periodo de tiempo requiere la información? • Con respecto al numeral 7, ¿A qué se refiere con “elementos”? • Respecto al numeral 10, ¿A qué se refiere con “elementos de seguridad”?, </w:t>
      </w:r>
      <w:r>
        <w:rPr>
          <w:rFonts w:ascii="Palatino Linotype" w:eastAsia="Palatino Linotype" w:hAnsi="Palatino Linotype" w:cs="Palatino Linotype"/>
        </w:rPr>
        <w:t xml:space="preserve">mismos que la particular atendió de la siguiente manera: </w:t>
      </w:r>
      <w:r>
        <w:rPr>
          <w:rFonts w:ascii="Palatino Linotype" w:eastAsia="Palatino Linotype" w:hAnsi="Palatino Linotype" w:cs="Palatino Linotype"/>
          <w:b/>
          <w:i/>
          <w:u w:val="single"/>
        </w:rPr>
        <w:t>• Respecto del numeral 1,3 y 5 señale de manera clara y precisa ¿De qué periodo de tiempo requiere la información? • Con respecto al numeral 7, ¿A qué se refiere con “elementos”? • Respecto al numeral 10, ¿A qué se refiere con “elementos de seguridad”?</w:t>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a la solicitud de información,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el archivo electrónico </w:t>
      </w:r>
      <w:r>
        <w:rPr>
          <w:rFonts w:ascii="Palatino Linotype" w:eastAsia="Palatino Linotype" w:hAnsi="Palatino Linotype" w:cs="Palatino Linotype"/>
          <w:b/>
          <w:i/>
        </w:rPr>
        <w:t xml:space="preserve">“Respuesta a Solicitud 00093.pdf”, </w:t>
      </w:r>
      <w:r>
        <w:rPr>
          <w:rFonts w:ascii="Palatino Linotype" w:eastAsia="Palatino Linotype" w:hAnsi="Palatino Linotype" w:cs="Palatino Linotype"/>
        </w:rPr>
        <w:t xml:space="preserve">en el cual se aprecia el oficio </w:t>
      </w:r>
      <w:proofErr w:type="spellStart"/>
      <w:r>
        <w:rPr>
          <w:rFonts w:ascii="Palatino Linotype" w:eastAsia="Palatino Linotype" w:hAnsi="Palatino Linotype" w:cs="Palatino Linotype"/>
        </w:rPr>
        <w:lastRenderedPageBreak/>
        <w:t>DGAyF</w:t>
      </w:r>
      <w:proofErr w:type="spellEnd"/>
      <w:r>
        <w:rPr>
          <w:rFonts w:ascii="Palatino Linotype" w:eastAsia="Palatino Linotype" w:hAnsi="Palatino Linotype" w:cs="Palatino Linotype"/>
        </w:rPr>
        <w:t xml:space="preserve">/LAPAZ/028/2022, el cual fue signado por el Subdirector de Egresos, mediante el cual otorga respuesta a diversas preguntas. </w:t>
      </w:r>
    </w:p>
    <w:p w:rsidR="000D0B1C" w:rsidRDefault="00ED1B67">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892780" cy="6653147"/>
            <wp:effectExtent l="0" t="0" r="0" b="0"/>
            <wp:docPr id="1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892780" cy="6653147"/>
                    </a:xfrm>
                    <a:prstGeom prst="rect">
                      <a:avLst/>
                    </a:prstGeom>
                    <a:ln/>
                  </pic:spPr>
                </pic:pic>
              </a:graphicData>
            </a:graphic>
          </wp:inline>
        </w:drawing>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Conocida la respuesta,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que nos ocupa, expresando medularmente en sus razones o motivos de inconformidad lo siguiente: </w:t>
      </w:r>
      <w:r>
        <w:rPr>
          <w:rFonts w:ascii="Palatino Linotype" w:eastAsia="Palatino Linotype" w:hAnsi="Palatino Linotype" w:cs="Palatino Linotype"/>
          <w:i/>
          <w:sz w:val="22"/>
          <w:szCs w:val="22"/>
        </w:rPr>
        <w:t xml:space="preserve">“Se realizó una solicitud de acceso a la información pública el día 23-03-2022 en la cual se realizaron una serie de DOCE interrogantes al Ayuntamiento de la Paz, el sujeto obligado. Siendo estas preguntas de carácter administrativo y de orden público. Posterior a ello se presentó por parte de la MTRA. GUADALUPE DEL PILAR CASTELLANOS GUERRERO, después de una prórroga concedida, </w:t>
      </w:r>
      <w:r>
        <w:rPr>
          <w:rFonts w:ascii="Palatino Linotype" w:eastAsia="Palatino Linotype" w:hAnsi="Palatino Linotype" w:cs="Palatino Linotype"/>
          <w:b/>
          <w:i/>
          <w:sz w:val="22"/>
          <w:szCs w:val="22"/>
        </w:rPr>
        <w:t xml:space="preserve">se responde a la solicitud el día 17 de mayo del 2022 con ciertas deficiencias que impiden ejercer mi derecho al acceso a la información garantizados en los artículos 6 y 8 constitucionales así como los artículos 4 y 6 de la Ley General de Transparencia y Acceso a la Información Pública </w:t>
      </w:r>
      <w:r>
        <w:rPr>
          <w:rFonts w:ascii="Palatino Linotype" w:eastAsia="Palatino Linotype" w:hAnsi="Palatino Linotype" w:cs="Palatino Linotype"/>
          <w:b/>
          <w:i/>
          <w:sz w:val="22"/>
          <w:szCs w:val="22"/>
          <w:u w:val="single"/>
        </w:rPr>
        <w:t>debido a que solo se han contestado CUATRO preguntas</w:t>
      </w:r>
      <w:r>
        <w:rPr>
          <w:rFonts w:ascii="Palatino Linotype" w:eastAsia="Palatino Linotype" w:hAnsi="Palatino Linotype" w:cs="Palatino Linotype"/>
          <w:b/>
          <w:i/>
          <w:sz w:val="22"/>
          <w:szCs w:val="22"/>
        </w:rPr>
        <w:t xml:space="preserve"> por el subdirector de egresos JORGE GUADARRAMA GARCÍA,</w:t>
      </w:r>
      <w:r>
        <w:rPr>
          <w:rFonts w:ascii="Palatino Linotype" w:eastAsia="Palatino Linotype" w:hAnsi="Palatino Linotype" w:cs="Palatino Linotype"/>
          <w:i/>
          <w:sz w:val="22"/>
          <w:szCs w:val="22"/>
        </w:rPr>
        <w:t xml:space="preserve"> sin embargo </w:t>
      </w:r>
      <w:r>
        <w:rPr>
          <w:rFonts w:ascii="Palatino Linotype" w:eastAsia="Palatino Linotype" w:hAnsi="Palatino Linotype" w:cs="Palatino Linotype"/>
          <w:b/>
          <w:i/>
          <w:sz w:val="22"/>
          <w:szCs w:val="22"/>
          <w:u w:val="single"/>
        </w:rPr>
        <w:t>se omitió contestar las ocho preguntas restantes</w:t>
      </w:r>
      <w:r>
        <w:rPr>
          <w:rFonts w:ascii="Palatino Linotype" w:eastAsia="Palatino Linotype" w:hAnsi="Palatino Linotype" w:cs="Palatino Linotype"/>
          <w:i/>
          <w:sz w:val="22"/>
          <w:szCs w:val="22"/>
        </w:rPr>
        <w:t xml:space="preserve"> El sujeto obligado ha incurrido en uno de los motivos para presentar un Recurso de revisión consagrado en el artículo 179 fracción VII la falta de respuesta a una solicitud de acceso a la información. </w:t>
      </w:r>
      <w:r>
        <w:rPr>
          <w:rFonts w:ascii="Palatino Linotype" w:eastAsia="Palatino Linotype" w:hAnsi="Palatino Linotype" w:cs="Palatino Linotype"/>
          <w:b/>
          <w:i/>
          <w:sz w:val="22"/>
          <w:szCs w:val="22"/>
        </w:rPr>
        <w:t>Las preguntas que se omitieron responder fueron: ¿Lleva a cabo el municipio acciones tendientes a la armonización contable? ¿Cuáles? ¿A cuánto asciende la deuda total del municipio? Especificar conceptos, nombres de acreedores y montos de deuda, incluyendo deuda por pago de compras, proveedores y juicios (Civiles, mercantiles, laborales y otros) ¿Cuántos elementos de seguridad por cada 1000 habitantes tiene el municipio? ¿Cuántos elementos son en total? ¿Cuántos elementos se encuentran comisionados a labores distintas a la prevención del delito y seguridad pública? ¿Cuántos tienen función de escolta y cuantos están comisionados al resguardo de instalaciones municipales? ¿Cuentan los elementos de seguridad con el equipo básico y en qué consiste? ¿El municipio está implementando el Servicio Profesional de Carrera Policial?</w:t>
      </w:r>
      <w:r>
        <w:rPr>
          <w:rFonts w:ascii="Palatino Linotype" w:eastAsia="Palatino Linotype" w:hAnsi="Palatino Linotype" w:cs="Palatino Linotype"/>
          <w:i/>
          <w:sz w:val="22"/>
          <w:szCs w:val="22"/>
        </w:rPr>
        <w:t xml:space="preserve">"(Énfasis añadido), </w:t>
      </w:r>
      <w:r>
        <w:rPr>
          <w:rFonts w:ascii="Palatino Linotype" w:eastAsia="Palatino Linotype" w:hAnsi="Palatino Linotype" w:cs="Palatino Linotype"/>
        </w:rPr>
        <w:t xml:space="preserve">por lo cual se advierte que se inconforma por la entrega de información incompleta. </w:t>
      </w:r>
    </w:p>
    <w:p w:rsidR="000D0B1C" w:rsidRDefault="00ED1B67">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lastRenderedPageBreak/>
        <w:t xml:space="preserve">Bajo este tenor, la parte de la solicitud concerniente a </w:t>
      </w:r>
      <w:r>
        <w:rPr>
          <w:rFonts w:ascii="Palatino Linotype" w:eastAsia="Palatino Linotype" w:hAnsi="Palatino Linotype" w:cs="Palatino Linotype"/>
          <w:b/>
          <w:i/>
          <w:color w:val="000000"/>
        </w:rPr>
        <w:t>“¿Cuál es el nivel de deuda, plazos y apalancamiento financiero? ¿Cuál es el sistema de planificación financiera con que cuenta el municipio?  ¿Cuenta con un balance general? ¿Lleva a cabo el municipio acciones tendientes al cumplimiento de los exámenes de control de confianza? Y ¿Cuándo se realizaron los últimos?”</w:t>
      </w:r>
      <w:r>
        <w:rPr>
          <w:rFonts w:ascii="Palatino Linotype" w:eastAsia="Palatino Linotype" w:hAnsi="Palatino Linotype" w:cs="Palatino Linotype"/>
          <w:color w:val="000000"/>
        </w:rPr>
        <w:t xml:space="preserve">, se tiene que no fue impugnada, por lo que consecuentemente debe declararse consentida, toda vez que, al no haber realizado manifestaciones de inconformidad al respecto, se infiere que la información proporcionada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satisface este punto de la solicitud presentada.</w:t>
      </w:r>
    </w:p>
    <w:p w:rsidR="000D0B1C" w:rsidRDefault="00ED1B6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es así, debido a que cuando un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impugna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 éste no expresa Razón o Motivo de Inconformidad en contra de todos los rubros solicitados, dichos rubros deben declararse atendidos, pues se entiende que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D0B1C" w:rsidRDefault="00ED1B67">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“REVISIÓN EN AMPARO. LOS RESOLUTIVOS NO COMBATIDOS DEBEN DECLARARSE FIRMES. </w:t>
      </w:r>
      <w:r>
        <w:rPr>
          <w:rFonts w:ascii="Palatino Linotype" w:eastAsia="Palatino Linotype" w:hAnsi="Palatino Linotype" w:cs="Palatino Linotype"/>
          <w:i/>
          <w:color w:val="000000"/>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D0B1C" w:rsidRDefault="00ED1B6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Consecuentemente, se reitera que la parte de la solicitud que no fue impugnada debe declararse consentida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rsidR="000D0B1C" w:rsidRDefault="00ED1B6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rsidR="000D0B1C" w:rsidRDefault="00ED1B67">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smallCaps/>
          <w:color w:val="000000"/>
          <w:sz w:val="22"/>
          <w:szCs w:val="22"/>
        </w:rPr>
        <w:t xml:space="preserve">“ACTOS CONSENTIDOS. SON LOS QUE NO SE IMPUGNAN MEDIANTE EL RECURSO IDÓNEO. </w:t>
      </w:r>
      <w:r>
        <w:rPr>
          <w:rFonts w:ascii="Palatino Linotype" w:eastAsia="Palatino Linotype" w:hAnsi="Palatino Linotype" w:cs="Palatino Linotype"/>
          <w:i/>
          <w:color w:val="000000"/>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D0B1C" w:rsidRDefault="00ED1B6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Ahora bien, a efecto de garantizar el efectivo ejercicio del derecho de acceso a la información pública que asiste a la particular, resulta conveniente precisar que el presente análisis versará respecto a las siguientes preguntas:</w:t>
      </w:r>
      <w:r>
        <w:rPr>
          <w:rFonts w:ascii="Palatino Linotype" w:eastAsia="Palatino Linotype" w:hAnsi="Palatino Linotype" w:cs="Palatino Linotype"/>
          <w:b/>
        </w:rPr>
        <w:t xml:space="preserve"> </w:t>
      </w:r>
    </w:p>
    <w:p w:rsidR="000D0B1C" w:rsidRDefault="00ED1B67">
      <w:pPr>
        <w:numPr>
          <w:ilvl w:val="0"/>
          <w:numId w:val="9"/>
        </w:numPr>
        <w:pBdr>
          <w:top w:val="nil"/>
          <w:left w:val="nil"/>
          <w:bottom w:val="nil"/>
          <w:right w:val="nil"/>
          <w:between w:val="nil"/>
        </w:pBdr>
        <w:spacing w:before="240" w:after="240" w:line="276" w:lineRule="auto"/>
        <w:ind w:right="567"/>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¿Lleva a cabo el municipio acciones tendientes a la armonización contable? ¿Cuáles? </w:t>
      </w:r>
    </w:p>
    <w:p w:rsidR="000D0B1C" w:rsidRDefault="00ED1B67">
      <w:pPr>
        <w:numPr>
          <w:ilvl w:val="0"/>
          <w:numId w:val="9"/>
        </w:numPr>
        <w:pBdr>
          <w:top w:val="nil"/>
          <w:left w:val="nil"/>
          <w:bottom w:val="nil"/>
          <w:right w:val="nil"/>
          <w:between w:val="nil"/>
        </w:pBdr>
        <w:spacing w:before="240" w:after="240" w:line="276" w:lineRule="auto"/>
        <w:ind w:right="567"/>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¿A cuánto asciende la deuda total del municipio? Especificar conceptos, nombres de acreedores y montos de deuda, incluyendo deuda por pago de compras, proveedores y juicios (Civiles, mercantiles, laborales y otros) </w:t>
      </w:r>
    </w:p>
    <w:p w:rsidR="000D0B1C" w:rsidRDefault="00ED1B67">
      <w:pPr>
        <w:numPr>
          <w:ilvl w:val="0"/>
          <w:numId w:val="9"/>
        </w:numPr>
        <w:pBdr>
          <w:top w:val="nil"/>
          <w:left w:val="nil"/>
          <w:bottom w:val="nil"/>
          <w:right w:val="nil"/>
          <w:between w:val="nil"/>
        </w:pBdr>
        <w:spacing w:before="240" w:after="240" w:line="276" w:lineRule="auto"/>
        <w:ind w:right="567"/>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¿Cuántos elementos de seguridad por cada 1000 habitantes tiene el municipio? ¿Cuántos elementos son en total? </w:t>
      </w:r>
    </w:p>
    <w:p w:rsidR="000D0B1C" w:rsidRDefault="00ED1B67">
      <w:pPr>
        <w:numPr>
          <w:ilvl w:val="0"/>
          <w:numId w:val="9"/>
        </w:numPr>
        <w:pBdr>
          <w:top w:val="nil"/>
          <w:left w:val="nil"/>
          <w:bottom w:val="nil"/>
          <w:right w:val="nil"/>
          <w:between w:val="nil"/>
        </w:pBdr>
        <w:spacing w:before="240" w:after="240" w:line="276" w:lineRule="auto"/>
        <w:ind w:right="567"/>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 xml:space="preserve">¿Cuántos elementos se encuentran comisionados a labores distintas a la prevención del delito y seguridad pública? </w:t>
      </w:r>
    </w:p>
    <w:p w:rsidR="000D0B1C" w:rsidRDefault="00ED1B67">
      <w:pPr>
        <w:numPr>
          <w:ilvl w:val="0"/>
          <w:numId w:val="9"/>
        </w:numPr>
        <w:pBdr>
          <w:top w:val="nil"/>
          <w:left w:val="nil"/>
          <w:bottom w:val="nil"/>
          <w:right w:val="nil"/>
          <w:between w:val="nil"/>
        </w:pBdr>
        <w:spacing w:before="240" w:after="240" w:line="276" w:lineRule="auto"/>
        <w:ind w:right="567"/>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¿Cuántos tienen función de escolta y cuantos están comisionados al resguardo de instalaciones municipales? </w:t>
      </w:r>
    </w:p>
    <w:p w:rsidR="000D0B1C" w:rsidRDefault="00ED1B67">
      <w:pPr>
        <w:numPr>
          <w:ilvl w:val="0"/>
          <w:numId w:val="9"/>
        </w:numPr>
        <w:pBdr>
          <w:top w:val="nil"/>
          <w:left w:val="nil"/>
          <w:bottom w:val="nil"/>
          <w:right w:val="nil"/>
          <w:between w:val="nil"/>
        </w:pBdr>
        <w:spacing w:before="240" w:after="240" w:line="276" w:lineRule="auto"/>
        <w:ind w:right="567"/>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¿Cuentan los elementos de seguridad con el equipo básico y en qué consiste? </w:t>
      </w:r>
    </w:p>
    <w:p w:rsidR="000D0B1C" w:rsidRDefault="00ED1B67">
      <w:pPr>
        <w:numPr>
          <w:ilvl w:val="0"/>
          <w:numId w:val="9"/>
        </w:numPr>
        <w:pBdr>
          <w:top w:val="nil"/>
          <w:left w:val="nil"/>
          <w:bottom w:val="nil"/>
          <w:right w:val="nil"/>
          <w:between w:val="nil"/>
        </w:pBdr>
        <w:spacing w:before="240" w:after="240" w:line="276" w:lineRule="auto"/>
        <w:ind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¿El municipio está implementando el Servicio Profesional de Carrera Policial?</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Ahora bien, previo a entrar al estudio de fondo del presente asunto, no escapa de la óptica que la particular, a través de su solicitud de información pretende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pronuncie de manera afirmativa negativa, o bien emita un pronunciamiento categórico mediante el cual explique determinada situación, a fin de satisfacer la mayoría de sus interrogantes o inquietudes</w:t>
      </w:r>
      <w:r>
        <w:rPr>
          <w:rFonts w:ascii="Palatino Linotype" w:eastAsia="Palatino Linotype" w:hAnsi="Palatino Linotype" w:cs="Palatino Linotype"/>
          <w:i/>
        </w:rPr>
        <w:t>,</w:t>
      </w:r>
      <w:r>
        <w:rPr>
          <w:rFonts w:ascii="Palatino Linotype" w:eastAsia="Palatino Linotype" w:hAnsi="Palatino Linotype" w:cs="Palatino Linotype"/>
        </w:rPr>
        <w:t xml:space="preserve"> razón por la cual este Organismo considera pertinente, en primer lugar, establecer las diferencias entre el derecho de petición y el derecho base del asunto que nos ocupa, basado en lo siguiente:</w:t>
      </w:r>
    </w:p>
    <w:p w:rsidR="000D0B1C" w:rsidRDefault="00ED1B67">
      <w:pPr>
        <w:spacing w:before="240" w:after="360" w:line="360" w:lineRule="auto"/>
        <w:jc w:val="both"/>
        <w:rPr>
          <w:rFonts w:ascii="Palatino Linotype" w:eastAsia="Palatino Linotype" w:hAnsi="Palatino Linotype" w:cs="Palatino Linotype"/>
          <w:i/>
        </w:rPr>
      </w:pPr>
      <w:r>
        <w:rPr>
          <w:rFonts w:ascii="Palatino Linotype" w:eastAsia="Palatino Linotype" w:hAnsi="Palatino Linotype" w:cs="Palatino Linotype"/>
        </w:rPr>
        <w:t>El Maestro Ignacio Burgoa Orihuela refiere que el derecho de petición “…</w:t>
      </w:r>
      <w:r>
        <w:rPr>
          <w:rFonts w:ascii="Palatino Linotype" w:eastAsia="Palatino Linotype" w:hAnsi="Palatino Linotype" w:cs="Palatino Linotype"/>
          <w:i/>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w:t>
      </w:r>
      <w:r>
        <w:rPr>
          <w:rFonts w:ascii="Palatino Linotype" w:eastAsia="Palatino Linotype" w:hAnsi="Palatino Linotype" w:cs="Palatino Linotype"/>
          <w:i/>
        </w:rPr>
        <w:lastRenderedPageBreak/>
        <w:t>recurso, etc.</w:t>
      </w:r>
      <w:r>
        <w:rPr>
          <w:rFonts w:ascii="Palatino Linotype" w:eastAsia="Palatino Linotype" w:hAnsi="Palatino Linotype" w:cs="Palatino Linotype"/>
          <w:i/>
          <w:vertAlign w:val="superscript"/>
        </w:rPr>
        <w:t xml:space="preserve"> </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rPr>
        <w:t xml:space="preserve">“, </w:t>
      </w:r>
      <w:r>
        <w:rPr>
          <w:rFonts w:ascii="Palatino Linotype" w:eastAsia="Palatino Linotype" w:hAnsi="Palatino Linotype" w:cs="Palatino Linotype"/>
        </w:rPr>
        <w:t>mientras que</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David Cienfuegos Salgado, lo concibe como </w:t>
      </w:r>
      <w:r>
        <w:rPr>
          <w:rFonts w:ascii="Palatino Linotype" w:eastAsia="Palatino Linotype" w:hAnsi="Palatino Linotype" w:cs="Palatino Linotype"/>
          <w:i/>
        </w:rPr>
        <w:t>“el derecho de toda persona a ser escuchado por quienes ejercen el poder público</w:t>
      </w:r>
      <w:proofErr w:type="gramStart"/>
      <w:r>
        <w:rPr>
          <w:rFonts w:ascii="Palatino Linotype" w:eastAsia="Palatino Linotype" w:hAnsi="Palatino Linotype" w:cs="Palatino Linotype"/>
          <w:i/>
        </w:rPr>
        <w:t>.</w:t>
      </w:r>
      <w:r>
        <w:rPr>
          <w:rFonts w:ascii="Palatino Linotype" w:eastAsia="Palatino Linotype" w:hAnsi="Palatino Linotype" w:cs="Palatino Linotype"/>
          <w:i/>
          <w:vertAlign w:val="superscript"/>
        </w:rPr>
        <w:t xml:space="preserve"> </w:t>
      </w:r>
      <w:proofErr w:type="gramEnd"/>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i/>
        </w:rPr>
        <w:t xml:space="preserve">” </w:t>
      </w:r>
    </w:p>
    <w:p w:rsidR="000D0B1C" w:rsidRDefault="00ED1B67">
      <w:pPr>
        <w:spacing w:before="240" w:after="36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Para diferenciar el derecho de petición al derecho de acceso a la información, resulta conducente señalar que José Guadalupe Robles, conceptualiza el derecho a la información como </w:t>
      </w:r>
      <w:r>
        <w:rPr>
          <w:rFonts w:ascii="Palatino Linotype" w:eastAsia="Palatino Linotype" w:hAnsi="Palatino Linotype" w:cs="Palatino Linotype"/>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Pr>
          <w:rFonts w:ascii="Palatino Linotype" w:eastAsia="Palatino Linotype" w:hAnsi="Palatino Linotype" w:cs="Palatino Linotype"/>
          <w:i/>
          <w:vertAlign w:val="superscript"/>
        </w:rPr>
        <w:t xml:space="preserve"> </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i/>
        </w:rPr>
        <w:t>“</w:t>
      </w:r>
    </w:p>
    <w:p w:rsidR="000D0B1C" w:rsidRDefault="00ED1B67">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el derecho a la información constituye una prerrogativa de acceder a documentación en poder de los Sujetos Obligados, no así a realizar cuestionamientos, o manifestaciones subjetivas. </w:t>
      </w:r>
    </w:p>
    <w:p w:rsidR="000D0B1C" w:rsidRDefault="00ED1B67">
      <w:pPr>
        <w:spacing w:before="240" w:after="36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Sirve de apoyo a lo anterior la definición de derecho a la información de Ernesto Villanueva </w:t>
      </w:r>
      <w:proofErr w:type="spellStart"/>
      <w:r>
        <w:rPr>
          <w:rFonts w:ascii="Palatino Linotype" w:eastAsia="Palatino Linotype" w:hAnsi="Palatino Linotype" w:cs="Palatino Linotype"/>
        </w:rPr>
        <w:t>Villanueva</w:t>
      </w:r>
      <w:proofErr w:type="spellEnd"/>
      <w:r>
        <w:rPr>
          <w:rFonts w:ascii="Palatino Linotype" w:eastAsia="Palatino Linotype" w:hAnsi="Palatino Linotype" w:cs="Palatino Linotype"/>
        </w:rPr>
        <w:t xml:space="preserve"> que dice: “</w:t>
      </w:r>
      <w:r>
        <w:rPr>
          <w:rFonts w:ascii="Palatino Linotype" w:eastAsia="Palatino Linotype" w:hAnsi="Palatino Linotype" w:cs="Palatino Linotype"/>
          <w:i/>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Pr>
          <w:rFonts w:ascii="Palatino Linotype" w:eastAsia="Palatino Linotype" w:hAnsi="Palatino Linotype" w:cs="Palatino Linotype"/>
          <w:i/>
          <w:vertAlign w:val="superscript"/>
        </w:rPr>
        <w:footnoteReference w:id="4"/>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que, </w:t>
      </w:r>
      <w:r>
        <w:rPr>
          <w:rFonts w:ascii="Palatino Linotype" w:eastAsia="Palatino Linotype" w:hAnsi="Palatino Linotype" w:cs="Palatino Linotype"/>
          <w:b/>
        </w:rPr>
        <w:t>la entrega de una razón o un razonamiento por parte del Sujeto Obligado no es algo que la ley establezca como atribución, derecho, o facultad</w:t>
      </w:r>
      <w:r>
        <w:rPr>
          <w:rFonts w:ascii="Palatino Linotype" w:eastAsia="Palatino Linotype" w:hAnsi="Palatino Linotype" w:cs="Palatino Linotype"/>
        </w:rPr>
        <w:t xml:space="preserve">; </w:t>
      </w:r>
      <w:r>
        <w:rPr>
          <w:rFonts w:ascii="Palatino Linotype" w:eastAsia="Palatino Linotype" w:hAnsi="Palatino Linotype" w:cs="Palatino Linotype"/>
          <w:b/>
        </w:rPr>
        <w:t>pues ello implicaría un juicio de valor referente a un cuestionamiento realizado</w:t>
      </w:r>
      <w:r>
        <w:rPr>
          <w:rFonts w:ascii="Palatino Linotype" w:eastAsia="Palatino Linotype" w:hAnsi="Palatino Linotype" w:cs="Palatino Linotype"/>
        </w:rPr>
        <w:t>, los cuales, al constituir interrogantes, inquietudes y manifestaciones se satisfacen vía derecho de petición.</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se menciona que el derecho de acceso a la información pública por disposición del artículo 4 citado con antelación, de la Ley de Transparencia y Acceso a la Información Pública del Estado de México y Municipios es la prerrogativa de las personas para buscar, difundir, investigar, recabar, recibir y solicitar información pública. </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w:t>
      </w:r>
      <w:r>
        <w:rPr>
          <w:rFonts w:ascii="Palatino Linotype" w:eastAsia="Palatino Linotype" w:hAnsi="Palatino Linotype" w:cs="Palatino Linotype"/>
        </w:rPr>
        <w:lastRenderedPageBreak/>
        <w:t xml:space="preserve">Pública del Estado de México y Municipios y demás disposiciones de la materia, privilegiando el principio de máxima publicidad de la información. </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el derecho de acceso a la información pública se satisface en aquellos casos en que se entregue el soporte documental en que conste la información pública, toda vez que los Sujetos Obligados no tienen el deber de generar información, resumirla, practicar investigaciones o realizar cálculos para satisfacer el derecho de acceso a la información conforme al interés de los particulares. </w:t>
      </w:r>
    </w:p>
    <w:p w:rsidR="000D0B1C" w:rsidRDefault="00ED1B67">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Así, se puede concluir que la distinción entre el derecho de petición y el derecho de acceso a la información pública estriba principalmente en que en el primero de ellos, la pretensión del peticionario consiste generalmente en </w:t>
      </w:r>
      <w:r>
        <w:rPr>
          <w:rFonts w:ascii="Palatino Linotype" w:eastAsia="Palatino Linotype" w:hAnsi="Palatino Linotype" w:cs="Palatino Linotype"/>
          <w:i/>
        </w:rPr>
        <w:t>obligar a la autoridad responsable a que actúe en el sentido de contestar lo solicitado</w:t>
      </w:r>
      <w:r>
        <w:rPr>
          <w:rFonts w:ascii="Palatino Linotype" w:eastAsia="Palatino Linotype" w:hAnsi="Palatino Linotype" w:cs="Palatino Linotype"/>
        </w:rPr>
        <w:t xml:space="preserve">, mientras que en el segundo supuesto la solicitud de acceso a la información pública </w:t>
      </w:r>
      <w:r>
        <w:rPr>
          <w:rFonts w:ascii="Palatino Linotype" w:eastAsia="Palatino Linotype" w:hAnsi="Palatino Linotype" w:cs="Palatino Linotype"/>
          <w:i/>
        </w:rPr>
        <w:t>se encamina primordialmente a permitir el acceso a datos, registros y todo tipo de información pública que conste en documentos, sea generada o se encuentre en posesión de la autoridad.</w:t>
      </w:r>
    </w:p>
    <w:p w:rsidR="000D0B1C" w:rsidRDefault="00ED1B67">
      <w:pPr>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lastRenderedPageBreak/>
        <w:t xml:space="preserve">Asimismo, es importante enfatizar que el Derecho de Acceso a la Información Pública consiste en que la </w:t>
      </w:r>
      <w:r>
        <w:rPr>
          <w:rFonts w:ascii="Palatino Linotype" w:eastAsia="Palatino Linotype" w:hAnsi="Palatino Linotype" w:cs="Palatino Linotype"/>
          <w:b/>
          <w:u w:val="single"/>
        </w:rPr>
        <w:t>información solicitada conste en un soporte documental</w:t>
      </w:r>
      <w:r>
        <w:rPr>
          <w:rFonts w:ascii="Palatino Linotype" w:eastAsia="Palatino Linotype" w:hAnsi="Palatino Linotype" w:cs="Palatino Linotype"/>
        </w:rPr>
        <w:t xml:space="preserve"> en cualquiera de sus formas, a saber: expedientes, reportes, estudios, actas</w:t>
      </w:r>
      <w:r>
        <w:rPr>
          <w:rFonts w:ascii="Palatino Linotype" w:eastAsia="Palatino Linotype" w:hAnsi="Palatino Linotype" w:cs="Palatino Linotype"/>
          <w:b/>
        </w:rPr>
        <w:t>,</w:t>
      </w:r>
      <w:r>
        <w:rPr>
          <w:rFonts w:ascii="Palatino Linotype" w:eastAsia="Palatino Linotype" w:hAnsi="Palatino Linotype" w:cs="Palatino Linotype"/>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0D0B1C" w:rsidRDefault="00ED1B67">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0D0B1C" w:rsidRDefault="00ED1B67">
      <w:pPr>
        <w:ind w:left="1134"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D0B1C" w:rsidRDefault="00ED1B67">
      <w:pPr>
        <w:ind w:left="1134"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 resoluciones,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D0B1C" w:rsidRDefault="000D0B1C">
      <w:pPr>
        <w:ind w:left="1134" w:right="901"/>
        <w:jc w:val="both"/>
        <w:rPr>
          <w:rFonts w:ascii="Palatino Linotype" w:eastAsia="Palatino Linotype" w:hAnsi="Palatino Linotype" w:cs="Palatino Linotype"/>
          <w:sz w:val="22"/>
          <w:szCs w:val="22"/>
        </w:rPr>
      </w:pPr>
    </w:p>
    <w:p w:rsidR="000D0B1C" w:rsidRDefault="00ED1B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0D0B1C" w:rsidRDefault="000D0B1C">
      <w:pPr>
        <w:ind w:left="851" w:right="850"/>
        <w:jc w:val="both"/>
        <w:rPr>
          <w:rFonts w:ascii="Palatino Linotype" w:eastAsia="Palatino Linotype" w:hAnsi="Palatino Linotype" w:cs="Palatino Linotype"/>
          <w:sz w:val="20"/>
          <w:szCs w:val="20"/>
        </w:rPr>
      </w:pPr>
    </w:p>
    <w:p w:rsidR="000D0B1C" w:rsidRDefault="00ED1B67">
      <w:pPr>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0D0B1C" w:rsidRDefault="00ED1B67">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lastRenderedPageBreak/>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D0B1C" w:rsidRDefault="00ED1B67">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0D0B1C" w:rsidRDefault="00ED1B67">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w:t>
      </w:r>
      <w:r>
        <w:rPr>
          <w:rFonts w:ascii="Palatino Linotype" w:eastAsia="Palatino Linotype" w:hAnsi="Palatino Linotype" w:cs="Palatino Linotype"/>
          <w:b/>
          <w:i/>
          <w:sz w:val="22"/>
          <w:szCs w:val="22"/>
          <w:u w:val="single"/>
        </w:rPr>
        <w:t>registrada en cualquier soporte documental</w:t>
      </w:r>
      <w:r>
        <w:rPr>
          <w:rFonts w:ascii="Palatino Linotype" w:eastAsia="Palatino Linotype" w:hAnsi="Palatino Linotype" w:cs="Palatino Linotype"/>
          <w:i/>
          <w:sz w:val="22"/>
          <w:szCs w:val="22"/>
        </w:rPr>
        <w:t>, que en ejercicio de las atribuciones conferidas, sea generada por los Sujetos Obligados;</w:t>
      </w:r>
    </w:p>
    <w:p w:rsidR="000D0B1C" w:rsidRDefault="00ED1B67">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Que se trate de información </w:t>
      </w:r>
      <w:r>
        <w:rPr>
          <w:rFonts w:ascii="Palatino Linotype" w:eastAsia="Palatino Linotype" w:hAnsi="Palatino Linotype" w:cs="Palatino Linotype"/>
          <w:b/>
          <w:i/>
          <w:sz w:val="22"/>
          <w:szCs w:val="22"/>
          <w:u w:val="single"/>
        </w:rPr>
        <w:t>registrada en cualquier soporte documental</w:t>
      </w:r>
      <w:r>
        <w:rPr>
          <w:rFonts w:ascii="Palatino Linotype" w:eastAsia="Palatino Linotype" w:hAnsi="Palatino Linotype" w:cs="Palatino Linotype"/>
          <w:i/>
          <w:sz w:val="22"/>
          <w:szCs w:val="22"/>
        </w:rPr>
        <w:t>, que en ejercicio de las atribuciones conferidas, sea administrada por los Sujetos Obligados, y</w:t>
      </w:r>
    </w:p>
    <w:p w:rsidR="000D0B1C" w:rsidRDefault="00ED1B67">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w:t>
      </w:r>
      <w:r>
        <w:rPr>
          <w:rFonts w:ascii="Palatino Linotype" w:eastAsia="Palatino Linotype" w:hAnsi="Palatino Linotype" w:cs="Palatino Linotype"/>
          <w:b/>
          <w:i/>
          <w:sz w:val="22"/>
          <w:szCs w:val="22"/>
          <w:u w:val="single"/>
        </w:rPr>
        <w:t>registrada en cualquier soporte documental</w:t>
      </w:r>
      <w:r>
        <w:rPr>
          <w:rFonts w:ascii="Palatino Linotype" w:eastAsia="Palatino Linotype" w:hAnsi="Palatino Linotype" w:cs="Palatino Linotype"/>
          <w:i/>
          <w:sz w:val="22"/>
          <w:szCs w:val="22"/>
        </w:rPr>
        <w:t>, que en ejercicio de las atribuciones conferidas, se encuentre en posesión de los Sujetos Obligados.” (Sic)</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generó o porque como parte del ejercicio de sus funciones la recibió y por consiguiente, la administra y posee. </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no obsta mencionar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w:t>
      </w:r>
      <w:r>
        <w:rPr>
          <w:rFonts w:ascii="Palatino Linotype" w:eastAsia="Palatino Linotype" w:hAnsi="Palatino Linotype" w:cs="Palatino Linotype"/>
        </w:rPr>
        <w:lastRenderedPageBreak/>
        <w:t>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rsidR="000D0B1C" w:rsidRDefault="00ED1B6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sustento a lo anterior resulta aplicable el Criterio 16/17, emitido por el Instituto Nacional de Transparencia, Acceso a la Información y Protección de Datos Personales, INAI, establece lo siguiente: </w:t>
      </w:r>
    </w:p>
    <w:p w:rsidR="000D0B1C" w:rsidRDefault="00ED1B67">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Pr>
          <w:sz w:val="22"/>
          <w:szCs w:val="22"/>
        </w:rPr>
        <w:t xml:space="preserve"> “</w:t>
      </w:r>
      <w:r>
        <w:rPr>
          <w:rFonts w:ascii="Palatino Linotype" w:eastAsia="Palatino Linotype" w:hAnsi="Palatino Linotype" w:cs="Palatino Linotype"/>
          <w:b/>
          <w:i/>
          <w:sz w:val="22"/>
          <w:szCs w:val="22"/>
        </w:rPr>
        <w:t xml:space="preserve">Expresión documental. </w:t>
      </w:r>
      <w:r>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efecto de determinar si existe una afectación al derecho de acceso a la información pública de la particular, conviene esquematizar las constancias que conforman el expediente electrónico. </w:t>
      </w:r>
    </w:p>
    <w:tbl>
      <w:tblPr>
        <w:tblStyle w:val="af2"/>
        <w:tblW w:w="90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1"/>
        <w:gridCol w:w="5787"/>
        <w:gridCol w:w="1537"/>
      </w:tblGrid>
      <w:tr w:rsidR="000D0B1C">
        <w:tc>
          <w:tcPr>
            <w:tcW w:w="1721" w:type="dxa"/>
            <w:shd w:val="clear" w:color="auto" w:fill="C6D9F1"/>
          </w:tcPr>
          <w:p w:rsidR="000D0B1C" w:rsidRDefault="00ED1B67">
            <w:pPr>
              <w:spacing w:before="240" w:after="240" w:line="360" w:lineRule="auto"/>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Solicitud</w:t>
            </w:r>
          </w:p>
        </w:tc>
        <w:tc>
          <w:tcPr>
            <w:tcW w:w="5787" w:type="dxa"/>
            <w:shd w:val="clear" w:color="auto" w:fill="C6D9F1"/>
          </w:tcPr>
          <w:p w:rsidR="000D0B1C" w:rsidRDefault="00ED1B67">
            <w:pPr>
              <w:spacing w:before="240" w:after="240" w:line="360" w:lineRule="auto"/>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Respuesta</w:t>
            </w:r>
          </w:p>
        </w:tc>
        <w:tc>
          <w:tcPr>
            <w:tcW w:w="1537" w:type="dxa"/>
            <w:shd w:val="clear" w:color="auto" w:fill="C6D9F1"/>
          </w:tcPr>
          <w:p w:rsidR="000D0B1C" w:rsidRDefault="00ED1B67">
            <w:pPr>
              <w:spacing w:before="240" w:after="240" w:line="360" w:lineRule="auto"/>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Colma</w:t>
            </w:r>
          </w:p>
        </w:tc>
      </w:tr>
      <w:tr w:rsidR="000D0B1C">
        <w:tc>
          <w:tcPr>
            <w:tcW w:w="1721" w:type="dxa"/>
          </w:tcPr>
          <w:p w:rsidR="000D0B1C" w:rsidRDefault="00ED1B67">
            <w:pPr>
              <w:spacing w:before="240" w:after="240" w:line="276" w:lineRule="auto"/>
              <w:ind w:right="49"/>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1. ¿Lleva a cabo el municipio acciones tendientes a la armonización contable? ¿Cuáles? </w:t>
            </w:r>
          </w:p>
        </w:tc>
        <w:tc>
          <w:tcPr>
            <w:tcW w:w="5787" w:type="dxa"/>
          </w:tcPr>
          <w:p w:rsidR="000D0B1C" w:rsidRDefault="00ED1B67">
            <w:pPr>
              <w:spacing w:before="240" w:after="240" w:line="360" w:lineRule="auto"/>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Subdirector de Egresos: </w:t>
            </w:r>
            <w:r>
              <w:rPr>
                <w:rFonts w:ascii="Palatino Linotype" w:eastAsia="Palatino Linotype" w:hAnsi="Palatino Linotype" w:cs="Palatino Linotype"/>
                <w:b/>
                <w:color w:val="FF0000"/>
                <w:sz w:val="20"/>
                <w:szCs w:val="20"/>
              </w:rPr>
              <w:t xml:space="preserve"> </w:t>
            </w:r>
            <w:r>
              <w:rPr>
                <w:noProof/>
                <w:lang w:val="es-MX"/>
              </w:rPr>
              <w:drawing>
                <wp:anchor distT="0" distB="0" distL="114300" distR="114300" simplePos="0" relativeHeight="251661312" behindDoc="0" locked="0" layoutInCell="1" hidden="0" allowOverlap="1">
                  <wp:simplePos x="0" y="0"/>
                  <wp:positionH relativeFrom="column">
                    <wp:posOffset>87001</wp:posOffset>
                  </wp:positionH>
                  <wp:positionV relativeFrom="paragraph">
                    <wp:posOffset>569595</wp:posOffset>
                  </wp:positionV>
                  <wp:extent cx="3271038" cy="514350"/>
                  <wp:effectExtent l="0" t="0" r="0" b="0"/>
                  <wp:wrapTopAndBottom distT="0" distB="0"/>
                  <wp:docPr id="10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271038" cy="514350"/>
                          </a:xfrm>
                          <a:prstGeom prst="rect">
                            <a:avLst/>
                          </a:prstGeom>
                          <a:ln/>
                        </pic:spPr>
                      </pic:pic>
                    </a:graphicData>
                  </a:graphic>
                </wp:anchor>
              </w:drawing>
            </w:r>
          </w:p>
        </w:tc>
        <w:tc>
          <w:tcPr>
            <w:tcW w:w="1537" w:type="dxa"/>
          </w:tcPr>
          <w:p w:rsidR="000D0B1C" w:rsidRDefault="00ED1B67">
            <w:pPr>
              <w:spacing w:before="240" w:after="240" w:line="360" w:lineRule="auto"/>
              <w:ind w:right="49"/>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Parcialmente</w:t>
            </w:r>
          </w:p>
        </w:tc>
      </w:tr>
      <w:tr w:rsidR="000D0B1C">
        <w:tc>
          <w:tcPr>
            <w:tcW w:w="1721" w:type="dxa"/>
          </w:tcPr>
          <w:p w:rsidR="000D0B1C" w:rsidRDefault="00ED1B67">
            <w:pPr>
              <w:spacing w:before="240" w:after="240" w:line="276" w:lineRule="auto"/>
              <w:ind w:right="49"/>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lastRenderedPageBreak/>
              <w:t xml:space="preserve">2. ¿A cuánto asciende la deuda total del municipio? Especificar conceptos, nombres de acreedores y montos de deuda, incluyendo deuda por pago de compras, proveedores y juicios (Civiles, mercantiles, laborales y otros) </w:t>
            </w:r>
          </w:p>
        </w:tc>
        <w:tc>
          <w:tcPr>
            <w:tcW w:w="5787" w:type="dxa"/>
          </w:tcPr>
          <w:p w:rsidR="000D0B1C" w:rsidRDefault="00ED1B67">
            <w:pPr>
              <w:spacing w:before="240" w:after="240" w:line="360" w:lineRule="auto"/>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Subdirector de Egresos: </w:t>
            </w:r>
            <w:r>
              <w:rPr>
                <w:rFonts w:ascii="Palatino Linotype" w:eastAsia="Palatino Linotype" w:hAnsi="Palatino Linotype" w:cs="Palatino Linotype"/>
                <w:sz w:val="20"/>
                <w:szCs w:val="20"/>
              </w:rPr>
              <w:t>Lo referente a juicios, el área competente es la dirección de asuntos jurídicos.</w:t>
            </w:r>
          </w:p>
          <w:p w:rsidR="000D0B1C" w:rsidRDefault="000D0B1C">
            <w:pPr>
              <w:spacing w:before="240" w:after="240" w:line="360" w:lineRule="auto"/>
              <w:ind w:right="49"/>
              <w:jc w:val="both"/>
              <w:rPr>
                <w:rFonts w:ascii="Palatino Linotype" w:eastAsia="Palatino Linotype" w:hAnsi="Palatino Linotype" w:cs="Palatino Linotype"/>
                <w:b/>
                <w:sz w:val="20"/>
                <w:szCs w:val="20"/>
              </w:rPr>
            </w:pPr>
          </w:p>
          <w:p w:rsidR="000D0B1C" w:rsidRDefault="000D0B1C">
            <w:pPr>
              <w:spacing w:before="240" w:after="240" w:line="360" w:lineRule="auto"/>
              <w:ind w:right="49"/>
              <w:jc w:val="both"/>
              <w:rPr>
                <w:rFonts w:ascii="Palatino Linotype" w:eastAsia="Palatino Linotype" w:hAnsi="Palatino Linotype" w:cs="Palatino Linotype"/>
              </w:rPr>
            </w:pPr>
          </w:p>
        </w:tc>
        <w:tc>
          <w:tcPr>
            <w:tcW w:w="1537" w:type="dxa"/>
          </w:tcPr>
          <w:p w:rsidR="000D0B1C" w:rsidRDefault="00ED1B67">
            <w:pPr>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0D0B1C">
        <w:tc>
          <w:tcPr>
            <w:tcW w:w="1721" w:type="dxa"/>
          </w:tcPr>
          <w:p w:rsidR="000D0B1C" w:rsidRDefault="00ED1B67">
            <w:pPr>
              <w:spacing w:before="240" w:after="240" w:line="276" w:lineRule="auto"/>
              <w:ind w:right="49"/>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3. ¿Cuántos elementos de seguridad por cada 1000 habitantes tiene el municipio? ¿Cuántos elementos son en total? </w:t>
            </w:r>
          </w:p>
        </w:tc>
        <w:tc>
          <w:tcPr>
            <w:tcW w:w="5787" w:type="dxa"/>
          </w:tcPr>
          <w:p w:rsidR="000D0B1C" w:rsidRDefault="00ED1B67">
            <w:pPr>
              <w:spacing w:before="240" w:after="240" w:line="276"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 hay pronunciamiento por parte del Sujeto Obligado</w:t>
            </w:r>
          </w:p>
        </w:tc>
        <w:tc>
          <w:tcPr>
            <w:tcW w:w="1537" w:type="dxa"/>
          </w:tcPr>
          <w:p w:rsidR="000D0B1C" w:rsidRDefault="00ED1B67">
            <w:pPr>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0D0B1C">
        <w:tc>
          <w:tcPr>
            <w:tcW w:w="1721" w:type="dxa"/>
          </w:tcPr>
          <w:p w:rsidR="000D0B1C" w:rsidRDefault="00ED1B67">
            <w:pPr>
              <w:spacing w:before="240" w:after="240" w:line="276" w:lineRule="auto"/>
              <w:ind w:right="49"/>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4. ¿Cuántos elementos se encuentran comisionados a labores distintas a la prevención del delito y seguridad pública? </w:t>
            </w:r>
          </w:p>
        </w:tc>
        <w:tc>
          <w:tcPr>
            <w:tcW w:w="5787" w:type="dxa"/>
          </w:tcPr>
          <w:p w:rsidR="000D0B1C" w:rsidRDefault="00ED1B67">
            <w:pPr>
              <w:spacing w:before="240" w:after="240" w:line="276"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 hay pronunciamiento por parte del Sujeto Obligado</w:t>
            </w:r>
          </w:p>
        </w:tc>
        <w:tc>
          <w:tcPr>
            <w:tcW w:w="1537" w:type="dxa"/>
          </w:tcPr>
          <w:p w:rsidR="000D0B1C" w:rsidRDefault="00ED1B67">
            <w:pPr>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0D0B1C">
        <w:tc>
          <w:tcPr>
            <w:tcW w:w="1721" w:type="dxa"/>
          </w:tcPr>
          <w:p w:rsidR="000D0B1C" w:rsidRDefault="00ED1B67">
            <w:pPr>
              <w:spacing w:before="240" w:after="240" w:line="276" w:lineRule="auto"/>
              <w:ind w:right="49"/>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5. ¿Cuántos tienen función de escolta y cuantos </w:t>
            </w:r>
            <w:r>
              <w:rPr>
                <w:rFonts w:ascii="Palatino Linotype" w:eastAsia="Palatino Linotype" w:hAnsi="Palatino Linotype" w:cs="Palatino Linotype"/>
                <w:b/>
                <w:sz w:val="18"/>
                <w:szCs w:val="18"/>
              </w:rPr>
              <w:lastRenderedPageBreak/>
              <w:t xml:space="preserve">están comisionados al resguardo de instalaciones municipales? </w:t>
            </w:r>
          </w:p>
        </w:tc>
        <w:tc>
          <w:tcPr>
            <w:tcW w:w="5787" w:type="dxa"/>
          </w:tcPr>
          <w:p w:rsidR="000D0B1C" w:rsidRDefault="00ED1B67">
            <w:pPr>
              <w:spacing w:before="240" w:after="240" w:line="276"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No hay pronunciamiento por parte del Sujeto Obligado</w:t>
            </w:r>
          </w:p>
        </w:tc>
        <w:tc>
          <w:tcPr>
            <w:tcW w:w="1537" w:type="dxa"/>
          </w:tcPr>
          <w:p w:rsidR="000D0B1C" w:rsidRDefault="00ED1B67">
            <w:pPr>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0D0B1C">
        <w:tc>
          <w:tcPr>
            <w:tcW w:w="1721" w:type="dxa"/>
          </w:tcPr>
          <w:p w:rsidR="000D0B1C" w:rsidRDefault="00ED1B67">
            <w:pPr>
              <w:spacing w:before="240" w:after="240" w:line="276" w:lineRule="auto"/>
              <w:ind w:right="49"/>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lastRenderedPageBreak/>
              <w:t>6. ¿Cuentan los elementos de seguridad con el equipo básico y en qué consiste?</w:t>
            </w:r>
          </w:p>
        </w:tc>
        <w:tc>
          <w:tcPr>
            <w:tcW w:w="5787" w:type="dxa"/>
          </w:tcPr>
          <w:p w:rsidR="000D0B1C" w:rsidRDefault="00ED1B67">
            <w:pPr>
              <w:spacing w:before="240" w:after="240" w:line="276"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 hay pronunciamiento por parte del Sujeto Obligado</w:t>
            </w:r>
          </w:p>
        </w:tc>
        <w:tc>
          <w:tcPr>
            <w:tcW w:w="1537" w:type="dxa"/>
          </w:tcPr>
          <w:p w:rsidR="000D0B1C" w:rsidRDefault="00ED1B67">
            <w:pPr>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0D0B1C">
        <w:tc>
          <w:tcPr>
            <w:tcW w:w="1721" w:type="dxa"/>
          </w:tcPr>
          <w:p w:rsidR="000D0B1C" w:rsidRDefault="00ED1B67">
            <w:pPr>
              <w:spacing w:before="240" w:after="240" w:line="276" w:lineRule="auto"/>
              <w:ind w:right="49"/>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7. ¿El municipio está implementando el Servicio Profesional de Carrera Policial?</w:t>
            </w:r>
          </w:p>
        </w:tc>
        <w:tc>
          <w:tcPr>
            <w:tcW w:w="5787" w:type="dxa"/>
          </w:tcPr>
          <w:p w:rsidR="000D0B1C" w:rsidRDefault="00ED1B67">
            <w:pPr>
              <w:spacing w:before="240" w:after="240" w:line="276"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 hay pronunciamiento por parte del Sujeto Obligado</w:t>
            </w:r>
          </w:p>
        </w:tc>
        <w:tc>
          <w:tcPr>
            <w:tcW w:w="1537" w:type="dxa"/>
          </w:tcPr>
          <w:p w:rsidR="000D0B1C" w:rsidRDefault="00ED1B67">
            <w:pPr>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bl>
    <w:p w:rsidR="000D0B1C" w:rsidRDefault="00ED1B67">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Una vez esquematizados los planteamientos así como sus constancias dentro del expediente electrónico, se procede al análisis de cada uno con la finalidad de determinar si existe una expresión documental que pudiera atender dichos puntos: </w:t>
      </w:r>
    </w:p>
    <w:p w:rsidR="000D0B1C" w:rsidRDefault="00ED1B67">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De las acciones tendientes a la armonización contable</w:t>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apartado, se realizó la siguiente pregunta: </w:t>
      </w:r>
    </w:p>
    <w:p w:rsidR="000D0B1C" w:rsidRDefault="00ED1B67">
      <w:pPr>
        <w:spacing w:before="240" w:after="240"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¿Lleva a cabo el municipio acciones tendientes a la armonización contable? ¿Cuáles?</w:t>
      </w:r>
    </w:p>
    <w:p w:rsidR="000D0B1C" w:rsidRDefault="00ED1B67">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En respuesta, el Subdirector de Egresos en su carácter de servidor público habilitado manifestó que </w:t>
      </w:r>
      <w:r>
        <w:rPr>
          <w:rFonts w:ascii="Palatino Linotype" w:eastAsia="Palatino Linotype" w:hAnsi="Palatino Linotype" w:cs="Palatino Linotype"/>
          <w:b/>
        </w:rPr>
        <w:t xml:space="preserve">las acciones de armonización contable son apegadas a la Ley y al Manual único de Contabilidad Gubernamental para las Dependencias y Entidades Públicas del Gobierno y Municipios del Estado de México 2022, esto sin que se precise cuales son dichas acciones. </w:t>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Al respecto es preciso señalar que el derecho de acceso a la información pública se satisface en aquellos casos en que se entregue el soporte documental en que conste la información pública, sin la necesidad de elaborar documentos </w:t>
      </w:r>
      <w:r>
        <w:rPr>
          <w:rFonts w:ascii="Palatino Linotype" w:eastAsia="Palatino Linotype" w:hAnsi="Palatino Linotype" w:cs="Palatino Linotype"/>
          <w:i/>
        </w:rPr>
        <w:t>ad hoc</w:t>
      </w:r>
      <w:r>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reitera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elaboró un documento ad hoc para dar cabal cumplimiento al derecho de acceso a la información del particular aún y </w:t>
      </w:r>
      <w:r>
        <w:rPr>
          <w:rFonts w:ascii="Palatino Linotype" w:eastAsia="Palatino Linotype" w:hAnsi="Palatino Linotype" w:cs="Palatino Linotype"/>
          <w:b/>
        </w:rPr>
        <w:t>cuando no es una obligación de las autoridades</w:t>
      </w:r>
      <w:r>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Pr>
          <w:rFonts w:ascii="Palatino Linotype" w:eastAsia="Palatino Linotype" w:hAnsi="Palatino Linotype" w:cs="Palatino Linotype"/>
          <w:b/>
        </w:rPr>
        <w:t xml:space="preserve"> </w:t>
      </w:r>
    </w:p>
    <w:p w:rsidR="000D0B1C" w:rsidRDefault="00ED1B67">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dependencias y entidades no están obligadas a generar documentos ad hoc para responder una solicitud de acceso a la información</w:t>
      </w:r>
      <w:r>
        <w:rPr>
          <w:rFonts w:ascii="Palatino Linotype" w:eastAsia="Palatino Linotype" w:hAnsi="Palatino Linotype" w:cs="Palatino Linotype"/>
          <w:i/>
          <w:sz w:val="22"/>
          <w:szCs w:val="22"/>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0D0B1C" w:rsidRDefault="00ED1B67">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Expedientes:</w:t>
      </w:r>
    </w:p>
    <w:p w:rsidR="000D0B1C" w:rsidRDefault="00ED1B67">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0438/08 Pemex Exploración y Producción – Alonso Lujambio Irazábal</w:t>
      </w:r>
    </w:p>
    <w:p w:rsidR="000D0B1C" w:rsidRDefault="00ED1B67">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1751/09 Laboratorios de Biológicos y Reactivos de México S.A. de C.V. –</w:t>
      </w:r>
    </w:p>
    <w:p w:rsidR="000D0B1C" w:rsidRDefault="00ED1B67">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María </w:t>
      </w:r>
      <w:proofErr w:type="spellStart"/>
      <w:r>
        <w:rPr>
          <w:rFonts w:ascii="Palatino Linotype" w:eastAsia="Palatino Linotype" w:hAnsi="Palatino Linotype" w:cs="Palatino Linotype"/>
          <w:i/>
          <w:sz w:val="22"/>
          <w:szCs w:val="22"/>
        </w:rPr>
        <w:t>Marván</w:t>
      </w:r>
      <w:proofErr w:type="spellEnd"/>
      <w:r>
        <w:rPr>
          <w:rFonts w:ascii="Palatino Linotype" w:eastAsia="Palatino Linotype" w:hAnsi="Palatino Linotype" w:cs="Palatino Linotype"/>
          <w:i/>
          <w:sz w:val="22"/>
          <w:szCs w:val="22"/>
        </w:rPr>
        <w:t xml:space="preserve"> Laborde</w:t>
      </w:r>
    </w:p>
    <w:p w:rsidR="000D0B1C" w:rsidRDefault="00ED1B67">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2868/09 Consejo Nacional de Ciencia y Tecnología – Jacqueline </w:t>
      </w:r>
      <w:proofErr w:type="spellStart"/>
      <w:r>
        <w:rPr>
          <w:rFonts w:ascii="Palatino Linotype" w:eastAsia="Palatino Linotype" w:hAnsi="Palatino Linotype" w:cs="Palatino Linotype"/>
          <w:i/>
          <w:sz w:val="22"/>
          <w:szCs w:val="22"/>
        </w:rPr>
        <w:t>Peschard</w:t>
      </w:r>
      <w:proofErr w:type="spellEnd"/>
    </w:p>
    <w:p w:rsidR="000D0B1C" w:rsidRDefault="00ED1B67">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Mariscal</w:t>
      </w:r>
    </w:p>
    <w:p w:rsidR="000D0B1C" w:rsidRDefault="00ED1B67">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5160/09 Secretaría de Hacienda y Crédito Público – Ángel Trinidad Zaldívar</w:t>
      </w:r>
    </w:p>
    <w:p w:rsidR="000D0B1C" w:rsidRDefault="00ED1B67">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0304/10 Instituto Nacional de Cancerología – Jacqueline </w:t>
      </w:r>
      <w:proofErr w:type="spellStart"/>
      <w:r>
        <w:rPr>
          <w:rFonts w:ascii="Palatino Linotype" w:eastAsia="Palatino Linotype" w:hAnsi="Palatino Linotype" w:cs="Palatino Linotype"/>
          <w:i/>
          <w:sz w:val="22"/>
          <w:szCs w:val="22"/>
        </w:rPr>
        <w:t>Peschard</w:t>
      </w:r>
      <w:proofErr w:type="spellEnd"/>
      <w:r>
        <w:rPr>
          <w:rFonts w:ascii="Palatino Linotype" w:eastAsia="Palatino Linotype" w:hAnsi="Palatino Linotype" w:cs="Palatino Linotype"/>
          <w:i/>
          <w:sz w:val="22"/>
          <w:szCs w:val="22"/>
        </w:rPr>
        <w:t xml:space="preserve"> Mariscal”</w:t>
      </w:r>
    </w:p>
    <w:p w:rsidR="000D0B1C" w:rsidRDefault="00ED1B67">
      <w:pPr>
        <w:spacing w:before="240" w:after="240"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rPr>
        <w:lastRenderedPageBreak/>
        <w:t xml:space="preserve">Entonces, dado a que el criterio en mención establece que las autoridades </w:t>
      </w:r>
      <w:r>
        <w:rPr>
          <w:rFonts w:ascii="Palatino Linotype" w:eastAsia="Palatino Linotype" w:hAnsi="Palatino Linotype" w:cs="Palatino Linotype"/>
          <w:b/>
        </w:rPr>
        <w:t xml:space="preserve">no están obligadas a generar documentos “ad hoc” </w:t>
      </w:r>
      <w:r>
        <w:rPr>
          <w:rFonts w:ascii="Palatino Linotype" w:eastAsia="Palatino Linotype" w:hAnsi="Palatino Linotype" w:cs="Palatino Linotype"/>
        </w:rPr>
        <w:t xml:space="preserve">en contrario sensu, dicho criterio se puede interpretar resultando que las autoridades no están impedidas a generar documentos “ad hoc”, esto, siempre que con dicho documento elaborado se dé cabal cumplimiento a los requerimientos planteados, por lo que para tener por atendido este punto bastará con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entregue los documentos </w:t>
      </w:r>
      <w:proofErr w:type="spellStart"/>
      <w:r>
        <w:rPr>
          <w:rFonts w:ascii="Palatino Linotype" w:eastAsia="Palatino Linotype" w:hAnsi="Palatino Linotype" w:cs="Palatino Linotype"/>
        </w:rPr>
        <w:t>quen</w:t>
      </w:r>
      <w:proofErr w:type="spellEnd"/>
      <w:r>
        <w:rPr>
          <w:rFonts w:ascii="Palatino Linotype" w:eastAsia="Palatino Linotype" w:hAnsi="Palatino Linotype" w:cs="Palatino Linotype"/>
        </w:rPr>
        <w:t xml:space="preserve"> los que dé cuenta de estas acciones.</w:t>
      </w:r>
    </w:p>
    <w:p w:rsidR="000D0B1C" w:rsidRDefault="00ED1B67">
      <w:pPr>
        <w:spacing w:before="240" w:after="240"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De la deuda total del municipio</w:t>
      </w:r>
    </w:p>
    <w:p w:rsidR="000D0B1C" w:rsidRDefault="00ED1B67">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presente apartado abordará la siguiente pregunta, misma en la que el</w:t>
      </w:r>
      <w:r>
        <w:rPr>
          <w:rFonts w:ascii="Palatino Linotype" w:eastAsia="Palatino Linotype" w:hAnsi="Palatino Linotype" w:cs="Palatino Linotype"/>
          <w:b/>
          <w:sz w:val="22"/>
          <w:szCs w:val="22"/>
        </w:rPr>
        <w:t xml:space="preserve"> Sujeto Obligado </w:t>
      </w:r>
      <w:r>
        <w:rPr>
          <w:rFonts w:ascii="Palatino Linotype" w:eastAsia="Palatino Linotype" w:hAnsi="Palatino Linotype" w:cs="Palatino Linotype"/>
          <w:sz w:val="22"/>
          <w:szCs w:val="22"/>
        </w:rPr>
        <w:t xml:space="preserve">fue omiso en emitir pronunciamiento alguno: </w:t>
      </w:r>
    </w:p>
    <w:p w:rsidR="000D0B1C" w:rsidRDefault="00ED1B67">
      <w:pPr>
        <w:spacing w:before="240" w:after="240" w:line="276" w:lineRule="auto"/>
        <w:ind w:left="567" w:righ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2. ¿A cuánto asciende la deuda total del municipio? Especificar conceptos, nombres de acreedores y montos de deuda, incluyendo deuda por pago de compras, proveedores y juicios (Civiles, mercantiles, laborales y otros) </w:t>
      </w:r>
    </w:p>
    <w:p w:rsidR="000D0B1C" w:rsidRDefault="00ED1B67">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Bajo esta lógica, se advierte que en efecto, que al no existir una manifestación de manera puntual, se contraviene a los </w:t>
      </w:r>
      <w:r>
        <w:rPr>
          <w:rFonts w:ascii="Palatino Linotype" w:eastAsia="Palatino Linotype" w:hAnsi="Palatino Linotype" w:cs="Palatino Linotype"/>
          <w:color w:val="000000"/>
        </w:rPr>
        <w:t>principios de congruencia y exhaustividad, ello en virtud de que no se pronuncia respecto del requerimiento de información como refuerzo de lo anterior</w:t>
      </w:r>
      <w:r>
        <w:rPr>
          <w:rFonts w:ascii="Palatino Linotype" w:eastAsia="Palatino Linotype" w:hAnsi="Palatino Linotype" w:cs="Palatino Linotype"/>
          <w:color w:val="000000"/>
          <w:u w:val="single"/>
        </w:rPr>
        <w:t xml:space="preserve">, resulta crucial traer a colación el Criterio 02/17, emitido por el Pleno del </w:t>
      </w:r>
      <w:r>
        <w:rPr>
          <w:rFonts w:ascii="Palatino Linotype" w:eastAsia="Palatino Linotype" w:hAnsi="Palatino Linotype" w:cs="Palatino Linotype"/>
          <w:color w:val="000000"/>
        </w:rPr>
        <w:t>Instituto Nacional de Transparencia y Acceso a la Información y Protección de Datos Personales, de título y texto siguientes:</w:t>
      </w:r>
    </w:p>
    <w:p w:rsidR="000D0B1C" w:rsidRDefault="00ED1B67">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 “Congruencia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 xml:space="preserve">la congruencia implica que exista concordancia entre el requerimiento </w:t>
      </w:r>
      <w:r>
        <w:rPr>
          <w:rFonts w:ascii="Palatino Linotype" w:eastAsia="Palatino Linotype" w:hAnsi="Palatino Linotype" w:cs="Palatino Linotype"/>
          <w:b/>
          <w:i/>
          <w:color w:val="000000"/>
          <w:sz w:val="22"/>
          <w:szCs w:val="22"/>
        </w:rPr>
        <w:lastRenderedPageBreak/>
        <w:t>formulado por el particular y la respuesta proporcionada por el sujeto obligado</w:t>
      </w:r>
      <w:r>
        <w:rPr>
          <w:rFonts w:ascii="Palatino Linotype" w:eastAsia="Palatino Linotype" w:hAnsi="Palatino Linotype" w:cs="Palatino Linotype"/>
          <w:i/>
          <w:color w:val="000000"/>
          <w:sz w:val="22"/>
          <w:szCs w:val="22"/>
        </w:rPr>
        <w:t xml:space="preserve">; mientras que </w:t>
      </w:r>
      <w:r>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D0B1C" w:rsidRDefault="00ED1B67">
      <w:pPr>
        <w:spacing w:before="240" w:after="240"/>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(Énfasis añadido)</w:t>
      </w:r>
    </w:p>
    <w:p w:rsidR="000D0B1C" w:rsidRDefault="00ED1B67">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es preciso resaltar que no se advierte que se haya turnado este punto a la unidad administrativa competente, consecuentemente, no se satisfizo en su totalidad el derecho de acceso el derecho de acceso a la información pública de la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al incumplir con el principio de exhaustividad, toda vez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dichos requerimientos debieron turnarse a su vez a la Dirección de Seguridad Pública y Tránsito,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0D0B1C" w:rsidRDefault="00ED1B6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D0B1C" w:rsidRDefault="00ED1B6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La respuesta a los requerimientos informativos, deberá notificarse al interesado en el menor tiempo posible, que no podrá exceder de quince días hábiles, contados a partir del día siguiente a la presentación de esta. </w:t>
      </w:r>
    </w:p>
    <w:p w:rsidR="000D0B1C" w:rsidRDefault="00ED1B6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rsidR="000D0B1C" w:rsidRDefault="00ED1B6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D0B1C" w:rsidRDefault="00ED1B6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0D0B1C" w:rsidRDefault="00ED1B6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este orden de ideas, se reitera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la</w:t>
      </w:r>
      <w:r>
        <w:rPr>
          <w:rFonts w:ascii="Palatino Linotype" w:eastAsia="Palatino Linotype" w:hAnsi="Palatino Linotype" w:cs="Palatino Linotype"/>
          <w:color w:val="000000"/>
        </w:rPr>
        <w:t xml:space="preserve"> Tesorería Municipal, </w:t>
      </w:r>
      <w:r>
        <w:rPr>
          <w:rFonts w:ascii="Palatino Linotype" w:eastAsia="Palatino Linotype" w:hAnsi="Palatino Linotype" w:cs="Palatino Linotype"/>
        </w:rPr>
        <w:t>ello de conformidad con lo previsto por la Ley Orgánica Municipal, pues en su artículo 95, delega una serie de atribuciones a esta unidad administrativa, tal como se desprende de la siguiente cita:</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 xml:space="preserve">“Artículo 95.- Son atribuciones del tesorero municipal: </w:t>
      </w:r>
    </w:p>
    <w:p w:rsidR="000D0B1C" w:rsidRDefault="00ED1B67">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Administrar la hacienda pública municipal, de conformidad con las disposiciones legales aplicables; </w:t>
      </w:r>
    </w:p>
    <w:p w:rsidR="000D0B1C" w:rsidRDefault="00ED1B67">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Llevar los registros contables, financieros y administrativos de los</w:t>
      </w:r>
      <w:r>
        <w:rPr>
          <w:rFonts w:ascii="Palatino Linotype" w:eastAsia="Palatino Linotype" w:hAnsi="Palatino Linotype" w:cs="Palatino Linotype"/>
          <w:i/>
          <w:sz w:val="22"/>
          <w:szCs w:val="22"/>
        </w:rPr>
        <w:t xml:space="preserve"> ingresos, </w:t>
      </w:r>
      <w:r>
        <w:rPr>
          <w:rFonts w:ascii="Palatino Linotype" w:eastAsia="Palatino Linotype" w:hAnsi="Palatino Linotype" w:cs="Palatino Linotype"/>
          <w:b/>
          <w:i/>
          <w:sz w:val="22"/>
          <w:szCs w:val="22"/>
          <w:u w:val="single"/>
        </w:rPr>
        <w:t>egresos,</w:t>
      </w:r>
      <w:r>
        <w:rPr>
          <w:rFonts w:ascii="Palatino Linotype" w:eastAsia="Palatino Linotype" w:hAnsi="Palatino Linotype" w:cs="Palatino Linotype"/>
          <w:i/>
          <w:sz w:val="22"/>
          <w:szCs w:val="22"/>
        </w:rPr>
        <w:t xml:space="preserve"> e inventarios;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Proporcionar oportunamente al ayuntamiento todos los datos o informes que sean necesarios para la formulación del Presupuesto de Egresos Municipales</w:t>
      </w:r>
      <w:r>
        <w:rPr>
          <w:rFonts w:ascii="Palatino Linotype" w:eastAsia="Palatino Linotype" w:hAnsi="Palatino Linotype" w:cs="Palatino Linotype"/>
          <w:i/>
          <w:sz w:val="22"/>
          <w:szCs w:val="22"/>
        </w:rPr>
        <w:t xml:space="preserve">, vigilando que se ajuste a las disposiciones de esta Ley y otros ordenamientos aplicables; </w:t>
      </w:r>
    </w:p>
    <w:p w:rsidR="000D0B1C" w:rsidRDefault="00ED1B67">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Presentar anualmente al ayuntamiento un informe de la situación contable financiera de la Tesorería Municipal;</w:t>
      </w:r>
    </w:p>
    <w:p w:rsidR="000D0B1C" w:rsidRDefault="00ED1B67">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Bis. Proporcionar para la formulación del proyecto de Presupuesto de Egresos Municipales la información financiera relativa a la solución o en su caso, el pago de los litigios laborales;</w:t>
      </w:r>
    </w:p>
    <w:p w:rsidR="000D0B1C" w:rsidRDefault="00ED1B67">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 (Énfasis añadido)</w:t>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Como se visualiza con la siguiente cita, corresponde a la Tesorería Municipal, la administración de la hacienda pública, así como llevar el registro de los egresos, proporcionar la información financiera para la formulación del proyecto de </w:t>
      </w:r>
      <w:r>
        <w:rPr>
          <w:rFonts w:ascii="Palatino Linotype" w:eastAsia="Palatino Linotype" w:hAnsi="Palatino Linotype" w:cs="Palatino Linotype"/>
        </w:rPr>
        <w:lastRenderedPageBreak/>
        <w:t xml:space="preserve">presupuesto de egresos. Teniendo esta premisa en cuenta, el artículo 101 de la legislación referida anteriormente, establece que el proyecto de presupuesto de egresos contará con la siguiente información: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101.- El proyecto del presupuesto de egresos se integrará básicamente con</w:t>
      </w:r>
      <w:r>
        <w:rPr>
          <w:rFonts w:ascii="Palatino Linotype" w:eastAsia="Palatino Linotype" w:hAnsi="Palatino Linotype" w:cs="Palatino Linotype"/>
          <w:i/>
          <w:sz w:val="22"/>
          <w:szCs w:val="22"/>
        </w:rPr>
        <w:t xml:space="preserve">: </w:t>
      </w:r>
    </w:p>
    <w:p w:rsidR="000D0B1C" w:rsidRDefault="00ED1B67">
      <w:pPr>
        <w:numPr>
          <w:ilvl w:val="1"/>
          <w:numId w:val="1"/>
        </w:numPr>
        <w:pBdr>
          <w:top w:val="nil"/>
          <w:left w:val="nil"/>
          <w:bottom w:val="nil"/>
          <w:right w:val="nil"/>
          <w:between w:val="nil"/>
        </w:pBdr>
        <w:spacing w:before="240" w:after="240" w:line="276" w:lineRule="auto"/>
        <w:ind w:left="567" w:right="567"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Los programas en que se señalen objetivos, metas y unidades responsables para su ejecución, así como la valuación estimada del programa; </w:t>
      </w:r>
    </w:p>
    <w:p w:rsidR="000D0B1C" w:rsidRDefault="00ED1B67">
      <w:pPr>
        <w:numPr>
          <w:ilvl w:val="1"/>
          <w:numId w:val="1"/>
        </w:numPr>
        <w:pBdr>
          <w:top w:val="nil"/>
          <w:left w:val="nil"/>
          <w:bottom w:val="nil"/>
          <w:right w:val="nil"/>
          <w:between w:val="nil"/>
        </w:pBdr>
        <w:spacing w:before="240" w:after="240" w:line="276" w:lineRule="auto"/>
        <w:ind w:left="567" w:right="567"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Estimación de los ingresos y gastos del ejercicio fiscal calendarizados; </w:t>
      </w:r>
    </w:p>
    <w:p w:rsidR="000D0B1C" w:rsidRDefault="00ED1B67">
      <w:pPr>
        <w:numPr>
          <w:ilvl w:val="1"/>
          <w:numId w:val="1"/>
        </w:numPr>
        <w:pBdr>
          <w:top w:val="nil"/>
          <w:left w:val="nil"/>
          <w:bottom w:val="nil"/>
          <w:right w:val="nil"/>
          <w:between w:val="nil"/>
        </w:pBdr>
        <w:spacing w:before="240" w:after="240" w:line="276" w:lineRule="auto"/>
        <w:ind w:left="567" w:right="567"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Situación de la deuda pública, incluyendo el contingente económico de los litigios laborales en los que el ayuntamiento forme parte.” </w:t>
      </w:r>
      <w:r>
        <w:rPr>
          <w:rFonts w:ascii="Palatino Linotype" w:eastAsia="Palatino Linotype" w:hAnsi="Palatino Linotype" w:cs="Palatino Linotype"/>
          <w:i/>
          <w:color w:val="000000"/>
          <w:sz w:val="22"/>
          <w:szCs w:val="22"/>
        </w:rPr>
        <w:t>(Sic) (Énfasis añadido)</w:t>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como se visualiza en lo anteriormente citado, le corresponde a la Tesorería la administración de la hacienda pública, así como proporcionar la información financiera o en su caso, el pago de los litigios laborales, elemento que también se prevé para la formulación del proyecto de presupuesto de egresos. </w:t>
      </w:r>
    </w:p>
    <w:p w:rsidR="000D0B1C" w:rsidRDefault="00ED1B67">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Ahora, por cuanto hace a los montos de deuda por pago de juicios mercantiles, civiles, entre otros, debe tenerse en cuenta que la </w:t>
      </w:r>
      <w:r>
        <w:rPr>
          <w:rFonts w:ascii="Palatino Linotype" w:eastAsia="Palatino Linotype" w:hAnsi="Palatino Linotype" w:cs="Palatino Linotype"/>
          <w:color w:val="000000"/>
        </w:rPr>
        <w:t xml:space="preserve">Ley Orgánica señala claramente en los artículos 95 fracción VI Bis y 101 fracción III que </w:t>
      </w:r>
      <w:r>
        <w:rPr>
          <w:rFonts w:ascii="Palatino Linotype" w:eastAsia="Palatino Linotype" w:hAnsi="Palatino Linotype" w:cs="Palatino Linotype"/>
          <w:b/>
        </w:rPr>
        <w:t>la Tesorería únicamente generará el concerniente a los juicios laborales.</w:t>
      </w:r>
    </w:p>
    <w:p w:rsidR="000D0B1C" w:rsidRDefault="00ED1B67">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En esta tesitura, no se advierte la fuente obligacional para que la Dirección de Asuntos Jurídicos cuente con información concerniente montos derivado de  juicios civiles y mercantiles, esto en razón de que únicamente les compete la representación jurídica, por lo que para tener por atendido este punto, bastará </w:t>
      </w:r>
      <w:r>
        <w:rPr>
          <w:rFonts w:ascii="Palatino Linotype" w:eastAsia="Palatino Linotype" w:hAnsi="Palatino Linotype" w:cs="Palatino Linotype"/>
        </w:rPr>
        <w:lastRenderedPageBreak/>
        <w:t xml:space="preserve">con que se entregue lo tocante a la </w:t>
      </w:r>
      <w:r>
        <w:rPr>
          <w:rFonts w:ascii="Palatino Linotype" w:eastAsia="Palatino Linotype" w:hAnsi="Palatino Linotype" w:cs="Palatino Linotype"/>
          <w:b/>
        </w:rPr>
        <w:t>deuda total del municipio, especificar conceptos, nombres de acreedores y montos de deuda, incluyendo deuda por pago de compras, proveedores y juicios laborales.</w:t>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 En aras de robustecer este argumento, conviene citar las atribuciones conferidas a la Dirección de Asuntos Jurídicos, las cuales son las siguientes: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Proporcionar y coordinar la asesoría jurídica gratuita a la Administración Municipal así como a los miembros del Ayuntamiento, autoridades auxiliares, organizaciones comunitarias y a la ciudadanía en general sin perjuicio de las facultades que corresponda a otras Unidades Administrativas del Municipio.</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Colaborará a petición de la Secretaría del Ayuntamiento en la revisión y elaboración de los proyectos de acuerdos de Cabildo relacionados con la emisión, modificación, derogación o abrogación de disposiciones del Bando Municipal, Reglamentos, Manuales y demás actos administrativos de carácter general;</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Asesorar a las Dependencias y Unidades Administrativas, cuando estas así lo requieran en la adecuada fundamentación y motivación de los actos administrativos que lleven a cabo, en ejercicio de sus facultades de conformidad con la normatividad que les resulte aplicable.</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Fundamentar las solicitudes de expropiación por causa de utilidad pública que sean presentadas por el Ayuntamiento ante el Ejecutivo del Estado de México;</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Coadyuvar con las Dependencias de la Administración Pública Municipal, en la formulación, presentación y seguimiento de las solicitudes, consultas o requerimientos de autoridades federales, estatales u otros órganos estatales, de acuerdo al ámbito de su competencia;</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Coordinar la actualización permanente de los reglamentos municipales y demás actos administrativos de carácter general del Ayuntamiento, en coordinación con las Dependencias que correspondan;</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VII. Coadyuvar con la Secretaría del Ayuntamiento, en la elaboración y revisión de las normas de gobierno en los que intervenga el Ayuntamiento o la Presidenta Municipal;</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Coadyuvar en la elaboración, revisión y sanción de los convenios, contratos y demás instrumentos jurídicos y administrativos relativos a la coordinación con las administraciones </w:t>
      </w:r>
      <w:proofErr w:type="gramStart"/>
      <w:r>
        <w:rPr>
          <w:rFonts w:ascii="Palatino Linotype" w:eastAsia="Palatino Linotype" w:hAnsi="Palatino Linotype" w:cs="Palatino Linotype"/>
          <w:i/>
          <w:sz w:val="22"/>
          <w:szCs w:val="22"/>
        </w:rPr>
        <w:t>publicas</w:t>
      </w:r>
      <w:proofErr w:type="gramEnd"/>
      <w:r>
        <w:rPr>
          <w:rFonts w:ascii="Palatino Linotype" w:eastAsia="Palatino Linotype" w:hAnsi="Palatino Linotype" w:cs="Palatino Linotype"/>
          <w:i/>
          <w:sz w:val="22"/>
          <w:szCs w:val="22"/>
        </w:rPr>
        <w:t xml:space="preserve"> federal y estatal;</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Representar a la Presidenta Municipal y al Síndico Municipal en los juicios en que sean parte, pudiendo delegar está en terceros o subalternos. Para la representación se requiere que exista imposibilidad de la Presidente Municipal o del Síndico Municipal para suscribir los diversos instrumentos jurídicos; por ausencia; por exceso en su agenda de actividades o por motivos de salud u otra causa justificada.</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Representar a los titulares de las dependencias, unidades administrativas, así como de las diversas áreas de la Administración Pública Municipal en los juicios a que se refiere el artículo 56 de este reglamento, así como en los procedimientos administrativos seguidos ante diversas dependencias federales o estatales en que estos sean parte, en caso de ausencia de los mismos.</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Las demás que le sean delegadas o se prevean en la normatividad que resulte aplicable.”</w:t>
      </w:r>
    </w:p>
    <w:p w:rsidR="000D0B1C" w:rsidRDefault="00ED1B67">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En esta tesitura, no se advierte la fuente obligacional para que dicha Dirección cuente con información concerniente a que dentro de su patrimonio documental obren archivos que den cuenta del pago de montos derivado de dichos juicios, esto en razón de que únicamente les compete la representación jurídica y bastará con que se entregue lo tocante a la </w:t>
      </w:r>
      <w:r>
        <w:rPr>
          <w:rFonts w:ascii="Palatino Linotype" w:eastAsia="Palatino Linotype" w:hAnsi="Palatino Linotype" w:cs="Palatino Linotype"/>
          <w:b/>
        </w:rPr>
        <w:t xml:space="preserve">deuda total del municipio, especificar conceptos, nombres de acreedores y montos de deuda, incluyendo deuda por pago de compras, proveedores y juicios laborales.  </w:t>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Cabe señalar que dicha información, la Tesorería Municipal la remite al Órgano Superior de Fiscalización del Estado de México y Municipios en sus informes trimestrales, tal como se advierte de las siguientes capturas de pantalla: </w:t>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400675" cy="6591300"/>
            <wp:effectExtent l="0" t="0" r="0" b="0"/>
            <wp:docPr id="1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400675" cy="6591300"/>
                    </a:xfrm>
                    <a:prstGeom prst="rect">
                      <a:avLst/>
                    </a:prstGeom>
                    <a:ln/>
                  </pic:spPr>
                </pic:pic>
              </a:graphicData>
            </a:graphic>
          </wp:inline>
        </w:drawing>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162550" cy="3238500"/>
            <wp:effectExtent l="0" t="0" r="0" b="0"/>
            <wp:docPr id="1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r="4239" b="16666"/>
                    <a:stretch>
                      <a:fillRect/>
                    </a:stretch>
                  </pic:blipFill>
                  <pic:spPr>
                    <a:xfrm>
                      <a:off x="0" y="0"/>
                      <a:ext cx="5162550" cy="3238500"/>
                    </a:xfrm>
                    <a:prstGeom prst="rect">
                      <a:avLst/>
                    </a:prstGeom>
                    <a:ln/>
                  </pic:spPr>
                </pic:pic>
              </a:graphicData>
            </a:graphic>
          </wp:inline>
        </w:drawing>
      </w:r>
    </w:p>
    <w:p w:rsidR="000D0B1C" w:rsidRDefault="00ED1B67">
      <w:pPr>
        <w:spacing w:before="240" w:after="240" w:line="360" w:lineRule="auto"/>
        <w:ind w:right="49"/>
        <w:jc w:val="both"/>
        <w:rPr>
          <w:rFonts w:ascii="Palatino Linotype" w:eastAsia="Palatino Linotype" w:hAnsi="Palatino Linotype" w:cs="Palatino Linotype"/>
          <w:b/>
          <w:color w:val="FF0000"/>
        </w:rPr>
      </w:pPr>
      <w:r>
        <w:rPr>
          <w:rFonts w:ascii="Palatino Linotype" w:eastAsia="Palatino Linotype" w:hAnsi="Palatino Linotype" w:cs="Palatino Linotype"/>
          <w:b/>
          <w:noProof/>
          <w:color w:val="FF0000"/>
          <w:lang w:val="es-MX"/>
        </w:rPr>
        <w:drawing>
          <wp:inline distT="0" distB="0" distL="0" distR="0">
            <wp:extent cx="5391150" cy="3752850"/>
            <wp:effectExtent l="0" t="0" r="0" b="0"/>
            <wp:docPr id="11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5391150" cy="3752850"/>
                    </a:xfrm>
                    <a:prstGeom prst="rect">
                      <a:avLst/>
                    </a:prstGeom>
                    <a:ln/>
                  </pic:spPr>
                </pic:pic>
              </a:graphicData>
            </a:graphic>
          </wp:inline>
        </w:drawing>
      </w:r>
    </w:p>
    <w:p w:rsidR="000D0B1C" w:rsidRDefault="000D0B1C">
      <w:pPr>
        <w:spacing w:before="240" w:after="240" w:line="360" w:lineRule="auto"/>
        <w:ind w:right="49"/>
        <w:jc w:val="both"/>
        <w:rPr>
          <w:rFonts w:ascii="Palatino Linotype" w:eastAsia="Palatino Linotype" w:hAnsi="Palatino Linotype" w:cs="Palatino Linotype"/>
          <w:b/>
        </w:rPr>
      </w:pPr>
    </w:p>
    <w:p w:rsidR="000D0B1C" w:rsidRDefault="00ED1B67">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lastRenderedPageBreak/>
        <w:drawing>
          <wp:inline distT="0" distB="0" distL="0" distR="0">
            <wp:extent cx="5391150" cy="6248400"/>
            <wp:effectExtent l="0" t="0" r="0" b="0"/>
            <wp:docPr id="11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5391150" cy="6248400"/>
                    </a:xfrm>
                    <a:prstGeom prst="rect">
                      <a:avLst/>
                    </a:prstGeom>
                    <a:ln/>
                  </pic:spPr>
                </pic:pic>
              </a:graphicData>
            </a:graphic>
          </wp:inline>
        </w:drawing>
      </w:r>
    </w:p>
    <w:p w:rsidR="000D0B1C" w:rsidRDefault="00ED1B67">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lastRenderedPageBreak/>
        <w:drawing>
          <wp:inline distT="0" distB="0" distL="0" distR="0">
            <wp:extent cx="5400675" cy="4619625"/>
            <wp:effectExtent l="0" t="0" r="0" b="0"/>
            <wp:docPr id="1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5400675" cy="4619625"/>
                    </a:xfrm>
                    <a:prstGeom prst="rect">
                      <a:avLst/>
                    </a:prstGeom>
                    <a:ln/>
                  </pic:spPr>
                </pic:pic>
              </a:graphicData>
            </a:graphic>
          </wp:inline>
        </w:drawing>
      </w:r>
    </w:p>
    <w:p w:rsidR="000D0B1C" w:rsidRDefault="00ED1B67">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Diversos planteamientos en materia de seguridad pública</w:t>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particular se advierten tres planteamientos que no fueron atendidos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los cuales se enlistan a continuación: </w:t>
      </w:r>
    </w:p>
    <w:p w:rsidR="000D0B1C" w:rsidRDefault="00ED1B67">
      <w:pPr>
        <w:spacing w:before="240" w:after="240" w:line="360" w:lineRule="auto"/>
        <w:ind w:left="567" w:righ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3. ¿Cuántos elementos de seguridad por cada 1000 habitantes tiene el municipio? ¿Cuántos elementos son en total? </w:t>
      </w:r>
    </w:p>
    <w:p w:rsidR="000D0B1C" w:rsidRDefault="00ED1B67">
      <w:pPr>
        <w:spacing w:before="240" w:after="240" w:line="360" w:lineRule="auto"/>
        <w:ind w:left="567" w:righ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4. ¿Cuántos elementos se encuentran comisionados a labores distintas a la prevención del delito y seguridad pública? </w:t>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Para iniciar el estudio de este apartado conviene señalar que al no turnarse estos requerimientos de información a la unidad administrativa competente para obtener su pronunciamiento,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contraviene a los principios de congruencia y exhaustividad, mismos que se citaron en líneas anteriores. </w:t>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se colige que para colmar estos puntos de la solicitud, deberá turnarse a la Dirección de Seguridad Pública Municipal, misma que depende de la Dirección de Seguridad Pública, Tránsito Municipal y Protección Civil y cuenta con las siguientes atribuciones: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Vigilar el cumplimiento de las leyes, reglamentos, convenios, acuerdos y demás disposiciones relativas a la policía preventiva;</w:t>
      </w:r>
      <w:r>
        <w:rPr>
          <w:rFonts w:ascii="Palatino Linotype" w:eastAsia="Palatino Linotype" w:hAnsi="Palatino Linotype" w:cs="Palatino Linotype"/>
          <w:i/>
          <w:sz w:val="22"/>
          <w:szCs w:val="22"/>
        </w:rPr>
        <w:br/>
      </w: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b/>
          <w:i/>
          <w:sz w:val="22"/>
          <w:szCs w:val="22"/>
          <w:u w:val="single"/>
        </w:rPr>
        <w:t>Vigilar que los cuerpos preventivos de policía del Municipio cumplan con los ordenamientos legales aplicables, en la ejecución de sus actividades relacionadas con la protección de la población, la prevención de los delitos y el mantenimiento del orden público;</w:t>
      </w:r>
      <w:r>
        <w:rPr>
          <w:rFonts w:ascii="Palatino Linotype" w:eastAsia="Palatino Linotype" w:hAnsi="Palatino Linotype" w:cs="Palatino Linotype"/>
          <w:b/>
          <w:i/>
          <w:sz w:val="22"/>
          <w:szCs w:val="22"/>
        </w:rPr>
        <w:br/>
      </w:r>
      <w:r>
        <w:rPr>
          <w:rFonts w:ascii="Palatino Linotype" w:eastAsia="Palatino Linotype" w:hAnsi="Palatino Linotype" w:cs="Palatino Linotype"/>
          <w:i/>
          <w:sz w:val="22"/>
          <w:szCs w:val="22"/>
        </w:rPr>
        <w:t>III. Aplicar las disposiciones, normas operativas, administrativas y disciplinarias a los elementos de policía a fin de que sus actividades se apeguen a los principios de</w:t>
      </w:r>
      <w:r>
        <w:rPr>
          <w:rFonts w:ascii="Palatino Linotype" w:eastAsia="Palatino Linotype" w:hAnsi="Palatino Linotype" w:cs="Palatino Linotype"/>
          <w:i/>
          <w:sz w:val="22"/>
          <w:szCs w:val="22"/>
        </w:rPr>
        <w:br/>
        <w:t>legalidad, eficiencia, profesionalismo, honestidad y probidad;</w:t>
      </w:r>
      <w:r>
        <w:rPr>
          <w:rFonts w:ascii="Palatino Linotype" w:eastAsia="Palatino Linotype" w:hAnsi="Palatino Linotype" w:cs="Palatino Linotype"/>
          <w:i/>
          <w:sz w:val="22"/>
          <w:szCs w:val="22"/>
        </w:rPr>
        <w:br/>
        <w:t>IV. Establecer mecanismos de coordinación con otras autoridades competentes en la</w:t>
      </w:r>
      <w:r>
        <w:rPr>
          <w:rFonts w:ascii="Palatino Linotype" w:eastAsia="Palatino Linotype" w:hAnsi="Palatino Linotype" w:cs="Palatino Linotype"/>
          <w:i/>
          <w:sz w:val="22"/>
          <w:szCs w:val="22"/>
        </w:rPr>
        <w:br/>
        <w:t>materia, para ampliar y mejorar la cobertura del servicio de seguridad pública;</w:t>
      </w:r>
      <w:r>
        <w:rPr>
          <w:rFonts w:ascii="Palatino Linotype" w:eastAsia="Palatino Linotype" w:hAnsi="Palatino Linotype" w:cs="Palatino Linotype"/>
          <w:i/>
          <w:sz w:val="22"/>
          <w:szCs w:val="22"/>
        </w:rPr>
        <w:br/>
        <w:t>V. Coordinar, supervisar y vigilar la adecuada calidad en la prestación de servicios al público;</w:t>
      </w:r>
      <w:r>
        <w:rPr>
          <w:rFonts w:ascii="Palatino Linotype" w:eastAsia="Palatino Linotype" w:hAnsi="Palatino Linotype" w:cs="Palatino Linotype"/>
          <w:i/>
          <w:sz w:val="22"/>
          <w:szCs w:val="22"/>
        </w:rPr>
        <w:br/>
        <w:t>VI. Proponer las políticas, programas, proyectos y acciones, para la prestación eficaz y eficiente del servicio de seguridad pública en el territorio municipal;</w:t>
      </w:r>
      <w:r>
        <w:rPr>
          <w:rFonts w:ascii="Palatino Linotype" w:eastAsia="Palatino Linotype" w:hAnsi="Palatino Linotype" w:cs="Palatino Linotype"/>
          <w:i/>
          <w:sz w:val="22"/>
          <w:szCs w:val="22"/>
        </w:rPr>
        <w:br/>
      </w:r>
      <w:r>
        <w:rPr>
          <w:rFonts w:ascii="Palatino Linotype" w:eastAsia="Palatino Linotype" w:hAnsi="Palatino Linotype" w:cs="Palatino Linotype"/>
          <w:b/>
          <w:i/>
          <w:sz w:val="22"/>
          <w:szCs w:val="22"/>
          <w:u w:val="single"/>
        </w:rPr>
        <w:t>VII. Organizar, coordinar y tener el mando operativo de los cuerpos de la policía;</w:t>
      </w:r>
      <w:r>
        <w:rPr>
          <w:rFonts w:ascii="Palatino Linotype" w:eastAsia="Palatino Linotype" w:hAnsi="Palatino Linotype" w:cs="Palatino Linotype"/>
          <w:i/>
          <w:sz w:val="22"/>
          <w:szCs w:val="22"/>
        </w:rPr>
        <w:br/>
      </w:r>
      <w:r>
        <w:rPr>
          <w:rFonts w:ascii="Palatino Linotype" w:eastAsia="Palatino Linotype" w:hAnsi="Palatino Linotype" w:cs="Palatino Linotype"/>
          <w:b/>
          <w:i/>
          <w:sz w:val="22"/>
          <w:szCs w:val="22"/>
          <w:u w:val="single"/>
        </w:rPr>
        <w:t>VIII. Mantener y garantizar la paz y orden público, mediante la vigilancia permanente, para la seguridad de la población, protección de sus derechos y resguardo de sus bienes;</w:t>
      </w:r>
      <w:r>
        <w:rPr>
          <w:rFonts w:ascii="Palatino Linotype" w:eastAsia="Palatino Linotype" w:hAnsi="Palatino Linotype" w:cs="Palatino Linotype"/>
          <w:i/>
          <w:sz w:val="22"/>
          <w:szCs w:val="22"/>
        </w:rPr>
        <w:br/>
        <w:t xml:space="preserve">IX. Promover una cultura de la legalidad, respeto a las leyes y reglamentos aplicables para preservar la paz y el orden público, así como la sana convivencia social y el </w:t>
      </w:r>
      <w:r>
        <w:rPr>
          <w:rFonts w:ascii="Palatino Linotype" w:eastAsia="Palatino Linotype" w:hAnsi="Palatino Linotype" w:cs="Palatino Linotype"/>
          <w:i/>
          <w:sz w:val="22"/>
          <w:szCs w:val="22"/>
        </w:rPr>
        <w:lastRenderedPageBreak/>
        <w:t>respeto a los derechos, bienes e integridad física de la población;</w:t>
      </w:r>
      <w:r>
        <w:rPr>
          <w:rFonts w:ascii="Palatino Linotype" w:eastAsia="Palatino Linotype" w:hAnsi="Palatino Linotype" w:cs="Palatino Linotype"/>
          <w:i/>
          <w:sz w:val="22"/>
          <w:szCs w:val="22"/>
        </w:rPr>
        <w:br/>
        <w:t>X. Realizar programas de atención primaria a mujeres en situación de violencia, que permita sacarlas del estado de riesgo y canalizarlas a las instituciones municipales o estatales de protección de los derechos humanos;</w:t>
      </w:r>
      <w:r>
        <w:rPr>
          <w:rFonts w:ascii="Palatino Linotype" w:eastAsia="Palatino Linotype" w:hAnsi="Palatino Linotype" w:cs="Palatino Linotype"/>
          <w:i/>
          <w:sz w:val="22"/>
          <w:szCs w:val="22"/>
        </w:rPr>
        <w:br/>
        <w:t>XI. Mantener y promover la coordinación y cooperación con las corporaciones de los distintos órdenes de gobierno, de conformidad con el Programa Nacional de Seguridad Pública;</w:t>
      </w:r>
      <w:r>
        <w:rPr>
          <w:rFonts w:ascii="Palatino Linotype" w:eastAsia="Palatino Linotype" w:hAnsi="Palatino Linotype" w:cs="Palatino Linotype"/>
          <w:i/>
          <w:sz w:val="22"/>
          <w:szCs w:val="22"/>
        </w:rPr>
        <w:br/>
        <w:t>XII. Auxiliar a las autoridades estatales y federales en la aprehensión de los</w:t>
      </w:r>
      <w:r>
        <w:rPr>
          <w:rFonts w:ascii="Palatino Linotype" w:eastAsia="Palatino Linotype" w:hAnsi="Palatino Linotype" w:cs="Palatino Linotype"/>
          <w:i/>
          <w:sz w:val="22"/>
          <w:szCs w:val="22"/>
        </w:rPr>
        <w:br/>
        <w:t>delincuentes, cuando así lo soliciten, y cumplir sus atribuciones relativas al</w:t>
      </w:r>
      <w:r>
        <w:rPr>
          <w:rFonts w:ascii="Palatino Linotype" w:eastAsia="Palatino Linotype" w:hAnsi="Palatino Linotype" w:cs="Palatino Linotype"/>
          <w:i/>
          <w:sz w:val="22"/>
          <w:szCs w:val="22"/>
        </w:rPr>
        <w:br/>
        <w:t>Sistema de Seguridad Nacional;</w:t>
      </w:r>
      <w:r>
        <w:rPr>
          <w:rFonts w:ascii="Palatino Linotype" w:eastAsia="Palatino Linotype" w:hAnsi="Palatino Linotype" w:cs="Palatino Linotype"/>
          <w:i/>
          <w:sz w:val="22"/>
          <w:szCs w:val="22"/>
        </w:rPr>
        <w:br/>
      </w:r>
      <w:r>
        <w:rPr>
          <w:rFonts w:ascii="Palatino Linotype" w:eastAsia="Palatino Linotype" w:hAnsi="Palatino Linotype" w:cs="Palatino Linotype"/>
          <w:b/>
          <w:i/>
          <w:sz w:val="22"/>
          <w:szCs w:val="22"/>
          <w:u w:val="single"/>
        </w:rPr>
        <w:t>XIII. Detener a los delincuentes cuando éstos sean sorprendidos en flagrante delito y ponerlos a disposición del Ministerio Público, en los términos que establezca la Ley, así como presentar ante la Oficialía Conciliadora y Calificadora a quienes incumplan las disposiciones del Bando Municipal, los reglamentos, acuerdos, circulares y demás disposiciones administrativas de carácter general que emanen del Ayuntamiento o de la Presidenta Municipal;</w:t>
      </w:r>
      <w:r>
        <w:rPr>
          <w:rFonts w:ascii="Palatino Linotype" w:eastAsia="Palatino Linotype" w:hAnsi="Palatino Linotype" w:cs="Palatino Linotype"/>
          <w:i/>
          <w:sz w:val="22"/>
          <w:szCs w:val="22"/>
        </w:rPr>
        <w:br/>
        <w:t>XIV. Ejecutar las resoluciones y auxiliar a las instancias judiciales en los requerimientos que solicite, de conformidad con las disposiciones legales aplicables;</w:t>
      </w:r>
      <w:r>
        <w:rPr>
          <w:rFonts w:ascii="Palatino Linotype" w:eastAsia="Palatino Linotype" w:hAnsi="Palatino Linotype" w:cs="Palatino Linotype"/>
          <w:i/>
          <w:sz w:val="22"/>
          <w:szCs w:val="22"/>
        </w:rPr>
        <w:br/>
      </w:r>
      <w:r>
        <w:rPr>
          <w:rFonts w:ascii="Palatino Linotype" w:eastAsia="Palatino Linotype" w:hAnsi="Palatino Linotype" w:cs="Palatino Linotype"/>
          <w:b/>
          <w:i/>
          <w:sz w:val="22"/>
          <w:szCs w:val="22"/>
          <w:u w:val="single"/>
        </w:rPr>
        <w:t>XV. Proponer, acordar, coordinar y vigilar el desarrollo de los operativos de seguridad para prevenir ilícitos, resguardar eventos, y personas y/o bienes en casos de emergencia;</w:t>
      </w:r>
      <w:r>
        <w:rPr>
          <w:rFonts w:ascii="Palatino Linotype" w:eastAsia="Palatino Linotype" w:hAnsi="Palatino Linotype" w:cs="Palatino Linotype"/>
          <w:b/>
          <w:i/>
          <w:sz w:val="22"/>
          <w:szCs w:val="22"/>
          <w:u w:val="single"/>
        </w:rPr>
        <w:br/>
      </w:r>
      <w:r>
        <w:rPr>
          <w:rFonts w:ascii="Palatino Linotype" w:eastAsia="Palatino Linotype" w:hAnsi="Palatino Linotype" w:cs="Palatino Linotype"/>
          <w:i/>
          <w:sz w:val="22"/>
          <w:szCs w:val="22"/>
        </w:rPr>
        <w:t>…” (Sic) (Énfasis añadido)</w:t>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la Ley de Seguridad del Estado de México le concede a los servidores públicos adscritos a las instituciones de seguridad pública, los siguientes derechos y obligaciones: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100.- Con el objeto de garantizar el cumplimiento de los principios constitucionales de legalidad, objetividad, eficiencia, profesionalismo, honradez y respeto a los derechos humanos, los integrantes de las Instituciones de Seguridad Pública tendrán, de conformidad con su adscripción a unidades de prevención, de reacción o de investigación, los derechos y obligaciones siguientes: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B. Obligaciones: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Generales:</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D0B1C" w:rsidRDefault="00ED1B67">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Participar en operativos y mecanismos de coordinación con otras Instituciones de Seguridad Pública, así como brindarles, en su caso, el apoyo que conforme a derecho proceda;</w:t>
      </w:r>
    </w:p>
    <w:p w:rsidR="000D0B1C" w:rsidRDefault="00ED1B67">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0D0B1C" w:rsidRDefault="00ED1B67">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 Cumplir y hacer cumplir con diligencia las órdenes que reciban con motivo del desempeño de sus funciones, evitando todo acto u omisión que produzca deficiencia en su cumplimiento;</w:t>
      </w:r>
    </w:p>
    <w:p w:rsidR="000D0B1C" w:rsidRDefault="00ED1B67">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 (Énfasis añadido)</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lo anteriormente citado que se advierte que la Dirección de Seguridad Pública Municipal es la unidad administrativa competente para pronunciarse respecto de estos puntos, en razón de que le compete vigilar que los cuerpos preventivos de policía del Municipio cumplan con los ordenamientos legales aplicables, en la ejecución de sus actividades relacionadas con la protección de la población, la prevención de los delitos y el mantenimiento del orden público, entre otras funciones destinadas a la prestación del servicio de seguridad pública, por lo tanto, se estima que puede otorgar respuesta a estos requerimientos. </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no pasa desapercibido para este organismo garante que la particular requirió el número de elementos de seguridad por cada 1000 habitantes en el municipio, al respecto es importante señalar que esta unidad de medida deviene de un estándar que deviene de la Organización de las Naciones Unidas (ONU) como resultado de las encuestas que realiza en materia de seguridad y justicia, </w:t>
      </w:r>
      <w:r>
        <w:rPr>
          <w:rFonts w:ascii="Palatino Linotype" w:eastAsia="Palatino Linotype" w:hAnsi="Palatino Linotype" w:cs="Palatino Linotype"/>
        </w:rPr>
        <w:lastRenderedPageBreak/>
        <w:t>dentro de las cuales un rubro es el número de policías por cada mil habitantes de los países miembros, por lo que las naciones han retomado esta unidad de medición para diagnosticar el estado de fuerza de las instituciones de seguridad pública, como se ha visto en el caso de nuestro país con el Modelo Óptimo de la Función Policial.</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Teniendo esto en cuenta, es importante señalar que esta información estadística pudiera obrar dentro de las Fichas Técnicas de Seguimiento de Indicadores 2022 de Gestión o Estratégico (</w:t>
      </w:r>
      <w:proofErr w:type="spellStart"/>
      <w:r>
        <w:rPr>
          <w:rFonts w:ascii="Palatino Linotype" w:eastAsia="Palatino Linotype" w:hAnsi="Palatino Linotype" w:cs="Palatino Linotype"/>
        </w:rPr>
        <w:t>PbRM</w:t>
      </w:r>
      <w:proofErr w:type="spellEnd"/>
      <w:r>
        <w:rPr>
          <w:rFonts w:ascii="Palatino Linotype" w:eastAsia="Palatino Linotype" w:hAnsi="Palatino Linotype" w:cs="Palatino Linotype"/>
        </w:rPr>
        <w:t xml:space="preserve"> 08b) de los Programas Ejecutados en el Ejercicio Fiscal 2022, toda vez que como se verá a continuación, dicha cifra deberá reportarse en el Plan de Desarrollo Municipal mediante el pilar correspondiente a seguridad pues su objetivo es identificar y analizar los principales problemas en materia de seguridad pública y procuración de justicia en el municipio, para su posterior evaluación y seguimiento mediante indicadores. </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Expuesto lo anterior, conviene iniciar resaltando que la Guía Técnica para la Planeación del Desarrollo Municipal para el Estado de México, establece que con el propósito de instrumentar, coordinar y orientar las políticas públicas establecidas en el Plan de Desarrollo del Estado de México 2017- 2023, se integraron cinco Programas Sectoriales en materia social, económica, territorial, seguridad pública y de política transversal, de los cuales reviste interés a nuestro estudio el Programa Sectorial Pilar Seguridad, el cual se cita a continuación: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Programa Sectorial Pilar Seguridad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Promueve estrategias de seguridad pública como una de las principales exigencias sociales y asume que es obligación y deber del Estado proporcionarla para </w:t>
      </w:r>
      <w:r>
        <w:rPr>
          <w:rFonts w:ascii="Palatino Linotype" w:eastAsia="Palatino Linotype" w:hAnsi="Palatino Linotype" w:cs="Palatino Linotype"/>
          <w:i/>
          <w:sz w:val="22"/>
          <w:szCs w:val="22"/>
        </w:rPr>
        <w:lastRenderedPageBreak/>
        <w:t>salvaguardar la integridad y los derechos de las personas, así como de preservar la libertad, el orden y la paz social.</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armonía con lo citado anteriormente, el Manual para la Elaboración de los Planes de Desarrollo Municipal que observarán los Municipios para formular su plan de desarrollo municipal, señala que por cuanto hace al tema de seguridad pública, deberán abordarse como elementos mínimos los siguientes tópicos:</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PILAR 4 SEGURIDAD: MUNICIPIO CON SEGURIDAD Y JUSTICIA</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IX.I. TEMA: SEGURIDAD CON VISIÓN CIUDADANA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Objetivo: Identificar y analizar los principales problemas en materia de seguridad pública y procuración de justicia en el municipio.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Contenido mínimo: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Dentro de los indicadores para realizar el diagnóstico de este tema se encuentran los referentes a la estructura y equipamiento para la seguridad pública </w:t>
      </w:r>
      <w:r>
        <w:rPr>
          <w:rFonts w:ascii="Palatino Linotype" w:eastAsia="Palatino Linotype" w:hAnsi="Palatino Linotype" w:cs="Palatino Linotype"/>
          <w:i/>
          <w:sz w:val="22"/>
          <w:szCs w:val="22"/>
        </w:rPr>
        <w:t xml:space="preserve">y procuración de justicia. </w:t>
      </w:r>
      <w:r>
        <w:rPr>
          <w:rFonts w:ascii="Palatino Linotype" w:eastAsia="Palatino Linotype" w:hAnsi="Palatino Linotype" w:cs="Palatino Linotype"/>
          <w:b/>
          <w:i/>
          <w:sz w:val="22"/>
          <w:szCs w:val="22"/>
          <w:u w:val="single"/>
        </w:rPr>
        <w:t>Lo anterior, permite no sólo renovar los requerimientos con que cuentan las instituciones de seguridad pública, incluso mejorar en números y calidad la estructura</w:t>
      </w:r>
      <w:r>
        <w:rPr>
          <w:rFonts w:ascii="Palatino Linotype" w:eastAsia="Palatino Linotype" w:hAnsi="Palatino Linotype" w:cs="Palatino Linotype"/>
          <w:i/>
          <w:sz w:val="22"/>
          <w:szCs w:val="22"/>
        </w:rPr>
        <w:t xml:space="preserve"> y equipamiento para incorporar los últimos avances tecnológicos en la materia. </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Teniendo estas premisas en cuenta, este organismo garante procedió a consultar el Plan de Desarrollo Municipal del Ayuntamiento de la Paz 2022-2024, obteniendo sobre el pilar IX, correspondiente a seguridad y justicia lo siguiente: </w:t>
      </w:r>
    </w:p>
    <w:p w:rsidR="000D0B1C" w:rsidRDefault="00ED1B67">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IX. Pilar Seguridad: Municipio con Seguridad y Justicia </w:t>
      </w:r>
    </w:p>
    <w:p w:rsidR="000D0B1C" w:rsidRDefault="00ED1B67">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El Pilar Seguridad analizará las estrategias, programas, proyectos y líneas de acción que son necesarias para fortalecer una seguridad con visión ciudadana, los derechos humanos, así como la mediación y conciliación. </w:t>
      </w:r>
    </w:p>
    <w:p w:rsidR="000D0B1C" w:rsidRDefault="00ED1B67">
      <w:pPr>
        <w:spacing w:before="240" w:after="240" w:line="276" w:lineRule="auto"/>
        <w:ind w:left="567" w:right="567"/>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El objetivo principal de la presente administración consiste consolidar una justicia efectiva para todos que garantice el acceso igualitario a todos los habitantes de La Paz. </w:t>
      </w:r>
      <w:r>
        <w:rPr>
          <w:rFonts w:ascii="Palatino Linotype" w:eastAsia="Palatino Linotype" w:hAnsi="Palatino Linotype" w:cs="Palatino Linotype"/>
          <w:b/>
          <w:i/>
          <w:sz w:val="22"/>
          <w:szCs w:val="22"/>
          <w:u w:val="single"/>
        </w:rPr>
        <w:t xml:space="preserve">Para lograr lo anterior, impulsaremos la modernización de las </w:t>
      </w:r>
      <w:r>
        <w:rPr>
          <w:rFonts w:ascii="Palatino Linotype" w:eastAsia="Palatino Linotype" w:hAnsi="Palatino Linotype" w:cs="Palatino Linotype"/>
          <w:b/>
          <w:i/>
          <w:sz w:val="22"/>
          <w:szCs w:val="22"/>
          <w:u w:val="single"/>
        </w:rPr>
        <w:lastRenderedPageBreak/>
        <w:t xml:space="preserve">instituciones de seguridad y justicia, la capacitación y profesionalización de policías, el fortalecimiento de la inteligencia policial y de las capacidades de las oficialías mediadoras, conciliadoras y calificadoras, garantizando el irrestricto respeto a los derechos humanos.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este sentido, reconocemos la obligación de salvaguardar la integridad y los derechos de las personas, así como de preservar la libertad, el orden y la paz social. Dicha tarea, requiere la vinculación interinstitucional con los órganos de seguridad y justicia en los diferentes órdenes de gobierno y de los tres poderes, así como la participación de instituciones de desarrollo social, educación, salud, la sociedad civil organizada, pero sobre todo, la cooperación con el sector social, académico y privado, a efecto de garantizar el respeto de los derechos humanos, dando prioridad a los grupos más vulnerables de la sociedad, incluyendo niños, niñas y adolescentes, mujeres, adultos mayores y personas con discapacidad.” (Sic) (Énfasis añadido)</w:t>
      </w:r>
    </w:p>
    <w:p w:rsidR="000D0B1C" w:rsidRDefault="000D0B1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D0B1C" w:rsidRDefault="000D0B1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5400675" cy="4820285"/>
            <wp:effectExtent l="0" t="0" r="0" b="0"/>
            <wp:docPr id="1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5400675" cy="4820285"/>
                    </a:xfrm>
                    <a:prstGeom prst="rect">
                      <a:avLst/>
                    </a:prstGeom>
                    <a:ln/>
                  </pic:spPr>
                </pic:pic>
              </a:graphicData>
            </a:graphic>
          </wp:inline>
        </w:drawing>
      </w:r>
      <w:r>
        <w:rPr>
          <w:noProof/>
          <w:lang w:val="es-MX"/>
        </w:rPr>
        <mc:AlternateContent>
          <mc:Choice Requires="wps">
            <w:drawing>
              <wp:anchor distT="0" distB="0" distL="114300" distR="114300" simplePos="0" relativeHeight="251662336" behindDoc="0" locked="0" layoutInCell="1" hidden="0" allowOverlap="1">
                <wp:simplePos x="0" y="0"/>
                <wp:positionH relativeFrom="column">
                  <wp:posOffset>-12699</wp:posOffset>
                </wp:positionH>
                <wp:positionV relativeFrom="paragraph">
                  <wp:posOffset>3314700</wp:posOffset>
                </wp:positionV>
                <wp:extent cx="5381625" cy="1466850"/>
                <wp:effectExtent l="0" t="0" r="0" b="0"/>
                <wp:wrapNone/>
                <wp:docPr id="99" name="Rectángulo 99"/>
                <wp:cNvGraphicFramePr/>
                <a:graphic xmlns:a="http://schemas.openxmlformats.org/drawingml/2006/main">
                  <a:graphicData uri="http://schemas.microsoft.com/office/word/2010/wordprocessingShape">
                    <wps:wsp>
                      <wps:cNvSpPr/>
                      <wps:spPr>
                        <a:xfrm>
                          <a:off x="2669475" y="3060863"/>
                          <a:ext cx="5353050" cy="1438275"/>
                        </a:xfrm>
                        <a:prstGeom prst="rect">
                          <a:avLst/>
                        </a:prstGeom>
                        <a:noFill/>
                        <a:ln w="28575" cap="flat" cmpd="sng">
                          <a:solidFill>
                            <a:srgbClr val="002060"/>
                          </a:solidFill>
                          <a:prstDash val="solid"/>
                          <a:round/>
                          <a:headEnd type="none" w="sm" len="sm"/>
                          <a:tailEnd type="none" w="sm" len="sm"/>
                        </a:ln>
                      </wps:spPr>
                      <wps:txbx>
                        <w:txbxContent>
                          <w:p w:rsidR="00E62ABA" w:rsidRDefault="00E62ABA">
                            <w:pPr>
                              <w:textDirection w:val="btLr"/>
                            </w:pPr>
                          </w:p>
                        </w:txbxContent>
                      </wps:txbx>
                      <wps:bodyPr spcFirstLastPara="1" wrap="square" lIns="91425" tIns="91425" rIns="91425" bIns="91425" anchor="ctr" anchorCtr="0">
                        <a:noAutofit/>
                      </wps:bodyPr>
                    </wps:wsp>
                  </a:graphicData>
                </a:graphic>
              </wp:anchor>
            </w:drawing>
          </mc:Choice>
          <mc:Fallback>
            <w:pict>
              <v:rect id="Rectángulo 99" o:spid="_x0000_s1028" style="position:absolute;left:0;text-align:left;margin-left:-1pt;margin-top:261pt;width:423.75pt;height:11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" filled="f" strokecolor="#002060" strokeweight="2.25pt">
                <v:stroke startarrowwidth="narrow" startarrowlength="short" endarrowwidth="narrow" endarrowlength="short" joinstyle="round"/>
                <v:textbox inset="2.53958mm,2.53958mm,2.53958mm,2.53958mm">
                  <w:txbxContent>
                    <w:p w:rsidR="00E62ABA" w:rsidRDefault="00E62ABA">
                      <w:pPr>
                        <w:textDirection w:val="btLr"/>
                      </w:pPr>
                    </w:p>
                  </w:txbxContent>
                </v:textbox>
              </v:rect>
            </w:pict>
          </mc:Fallback>
        </mc:AlternateContent>
      </w:r>
      <w:r>
        <w:rPr>
          <w:noProof/>
          <w:lang w:val="es-MX"/>
        </w:rPr>
        <mc:AlternateContent>
          <mc:Choice Requires="wps">
            <w:drawing>
              <wp:anchor distT="0" distB="0" distL="114300" distR="114300" simplePos="0" relativeHeight="251663360" behindDoc="0" locked="0" layoutInCell="1" hidden="0" allowOverlap="1">
                <wp:simplePos x="0" y="0"/>
                <wp:positionH relativeFrom="column">
                  <wp:posOffset>-12699</wp:posOffset>
                </wp:positionH>
                <wp:positionV relativeFrom="paragraph">
                  <wp:posOffset>508000</wp:posOffset>
                </wp:positionV>
                <wp:extent cx="5381625" cy="1838325"/>
                <wp:effectExtent l="0" t="0" r="0" b="0"/>
                <wp:wrapNone/>
                <wp:docPr id="101" name="Rectángulo 101"/>
                <wp:cNvGraphicFramePr/>
                <a:graphic xmlns:a="http://schemas.openxmlformats.org/drawingml/2006/main">
                  <a:graphicData uri="http://schemas.microsoft.com/office/word/2010/wordprocessingShape">
                    <wps:wsp>
                      <wps:cNvSpPr/>
                      <wps:spPr>
                        <a:xfrm>
                          <a:off x="2669475" y="2875125"/>
                          <a:ext cx="5353050" cy="1809750"/>
                        </a:xfrm>
                        <a:prstGeom prst="rect">
                          <a:avLst/>
                        </a:prstGeom>
                        <a:noFill/>
                        <a:ln w="28575" cap="flat" cmpd="sng">
                          <a:solidFill>
                            <a:srgbClr val="002060"/>
                          </a:solidFill>
                          <a:prstDash val="solid"/>
                          <a:round/>
                          <a:headEnd type="none" w="sm" len="sm"/>
                          <a:tailEnd type="none" w="sm" len="sm"/>
                        </a:ln>
                      </wps:spPr>
                      <wps:txbx>
                        <w:txbxContent>
                          <w:p w:rsidR="00E62ABA" w:rsidRDefault="00E62ABA">
                            <w:pPr>
                              <w:textDirection w:val="btLr"/>
                            </w:pPr>
                          </w:p>
                        </w:txbxContent>
                      </wps:txbx>
                      <wps:bodyPr spcFirstLastPara="1" wrap="square" lIns="91425" tIns="91425" rIns="91425" bIns="91425" anchor="ctr" anchorCtr="0">
                        <a:noAutofit/>
                      </wps:bodyPr>
                    </wps:wsp>
                  </a:graphicData>
                </a:graphic>
              </wp:anchor>
            </w:drawing>
          </mc:Choice>
          <mc:Fallback>
            <w:pict>
              <v:rect id="Rectángulo 101" o:spid="_x0000_s1029" style="position:absolute;left:0;text-align:left;margin-left:-1pt;margin-top:40pt;width:423.75pt;height:144.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" filled="f" strokecolor="#002060" strokeweight="2.25pt">
                <v:stroke startarrowwidth="narrow" startarrowlength="short" endarrowwidth="narrow" endarrowlength="short" joinstyle="round"/>
                <v:textbox inset="2.53958mm,2.53958mm,2.53958mm,2.53958mm">
                  <w:txbxContent>
                    <w:p w:rsidR="00E62ABA" w:rsidRDefault="00E62ABA">
                      <w:pPr>
                        <w:textDirection w:val="btLr"/>
                      </w:pPr>
                    </w:p>
                  </w:txbxContent>
                </v:textbox>
              </v:rect>
            </w:pict>
          </mc:Fallback>
        </mc:AlternateContent>
      </w: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esta tesitura, se advierte que una vez realizado el diagnóstico y proponer las estrategias y líneas de acción a seguir, para su posterior seguimiento y evaluación, el Manual para la Planeación, Programación y Presupuesto de Egresos Municipal para el Ejercicio Fiscal 2022, dispone la definición de indicadores y metas para evaluar el desempeño de lo estipulado en el Plan de Desarrollo Municipal, el cual contiene el Sistema de Evaluación de la Gestión Municipal (SEGEMUN) consolidado por los gobiernos municipales y se integra por se integra por un conjunto de Matrices de Indicadores para Resultados, MIR Tipo, que orientan y miden la gestión gubernamental, utilizando el enfoque de la </w:t>
      </w:r>
      <w:r>
        <w:rPr>
          <w:rFonts w:ascii="Palatino Linotype" w:eastAsia="Palatino Linotype" w:hAnsi="Palatino Linotype" w:cs="Palatino Linotype"/>
          <w:color w:val="000000"/>
        </w:rPr>
        <w:lastRenderedPageBreak/>
        <w:t>Metodología del Marco Lógico (MML) como la base para poder cumplir los procesos de evaluación de los Programas presupuestarios.</w:t>
      </w: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sistema permite a las Dependencias Generales, Auxiliares y Organismos Municipales lo siguiente: </w:t>
      </w: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Symbol" w:eastAsia="Symbol" w:hAnsi="Symbol" w:cs="Symbol"/>
          <w:color w:val="000000"/>
        </w:rPr>
        <w:t>∙</w:t>
      </w:r>
      <w:r>
        <w:rPr>
          <w:rFonts w:ascii="Palatino Linotype" w:eastAsia="Palatino Linotype" w:hAnsi="Palatino Linotype" w:cs="Palatino Linotype"/>
          <w:color w:val="000000"/>
        </w:rPr>
        <w:t xml:space="preserve"> Establecer los compromisos y la magnitud de los retos a lograr para satisfacer las necesidades de la población a la que atiende el gobierno municipal;</w:t>
      </w: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r>
        <w:rPr>
          <w:rFonts w:ascii="Symbol" w:eastAsia="Symbol" w:hAnsi="Symbol" w:cs="Symbol"/>
          <w:color w:val="000000"/>
        </w:rPr>
        <w:t>∙</w:t>
      </w:r>
      <w:r>
        <w:rPr>
          <w:rFonts w:ascii="Palatino Linotype" w:eastAsia="Palatino Linotype" w:hAnsi="Palatino Linotype" w:cs="Palatino Linotype"/>
          <w:color w:val="000000"/>
        </w:rPr>
        <w:t xml:space="preserve"> Detectar y/o prevenir desviaciones que impidan alcanzar los objetivos; </w:t>
      </w: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Symbol" w:eastAsia="Symbol" w:hAnsi="Symbol" w:cs="Symbol"/>
          <w:color w:val="000000"/>
        </w:rPr>
        <w:t>∙</w:t>
      </w:r>
      <w:r>
        <w:rPr>
          <w:rFonts w:ascii="Palatino Linotype" w:eastAsia="Palatino Linotype" w:hAnsi="Palatino Linotype" w:cs="Palatino Linotype"/>
          <w:color w:val="000000"/>
        </w:rPr>
        <w:t xml:space="preserve"> Generar un proceso de autoevaluación y mejores prácticas en el servicio de la operación diaria; </w:t>
      </w: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Symbol" w:eastAsia="Symbol" w:hAnsi="Symbol" w:cs="Symbol"/>
          <w:color w:val="000000"/>
        </w:rPr>
        <w:t>∙</w:t>
      </w:r>
      <w:r>
        <w:rPr>
          <w:rFonts w:ascii="Palatino Linotype" w:eastAsia="Palatino Linotype" w:hAnsi="Palatino Linotype" w:cs="Palatino Linotype"/>
          <w:color w:val="000000"/>
        </w:rPr>
        <w:t xml:space="preserve"> Evaluar el cumplimiento de sus objetivos; e </w:t>
      </w: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Symbol" w:eastAsia="Symbol" w:hAnsi="Symbol" w:cs="Symbol"/>
          <w:color w:val="000000"/>
        </w:rPr>
        <w:t>∙</w:t>
      </w:r>
      <w:r>
        <w:rPr>
          <w:rFonts w:ascii="Palatino Linotype" w:eastAsia="Palatino Linotype" w:hAnsi="Palatino Linotype" w:cs="Palatino Linotype"/>
          <w:color w:val="000000"/>
        </w:rPr>
        <w:t xml:space="preserve"> Informar a la comunidad sobre los resultados de la gestión gubernamental municipal</w:t>
      </w:r>
    </w:p>
    <w:p w:rsidR="000D0B1C" w:rsidRDefault="000D0B1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Dentro de este sistema se establecen dos tipos de indicadores para la evaluación del desempeño de la administración pública municipal a saber: </w:t>
      </w:r>
    </w:p>
    <w:p w:rsidR="000D0B1C" w:rsidRDefault="000D0B1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Estratégicos:</w:t>
      </w:r>
      <w:r>
        <w:rPr>
          <w:rFonts w:ascii="Palatino Linotype" w:eastAsia="Palatino Linotype" w:hAnsi="Palatino Linotype" w:cs="Palatino Linotype"/>
          <w:color w:val="000000"/>
        </w:rPr>
        <w:t xml:space="preserve"> Miden el grado de cumplimiento de los objetivos de las Políticas Públicas y Programas presupuestarios, así como también contribuyen a fortalecer o corregir las estrategias y la orientación de los recursos. Regularmente se identifican en la MIR a nivel de Fin y Propósito. </w:t>
      </w:r>
    </w:p>
    <w:p w:rsidR="000D0B1C" w:rsidRDefault="000D0B1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De Gestión:</w:t>
      </w:r>
      <w:r>
        <w:rPr>
          <w:rFonts w:ascii="Palatino Linotype" w:eastAsia="Palatino Linotype" w:hAnsi="Palatino Linotype" w:cs="Palatino Linotype"/>
          <w:color w:val="000000"/>
        </w:rPr>
        <w:t xml:space="preserve"> Miden el avance y logro en procesos y actividades, es decir la forma en que los bienes y servicios públicos son generados y entregados. Estos se identifican a nivel de Componente y Actividad y se vinculan con los distintos proyectos de la Estructura Programática y determinan el logro, alcance o </w:t>
      </w:r>
      <w:r>
        <w:rPr>
          <w:rFonts w:ascii="Palatino Linotype" w:eastAsia="Palatino Linotype" w:hAnsi="Palatino Linotype" w:cs="Palatino Linotype"/>
          <w:color w:val="000000"/>
        </w:rPr>
        <w:lastRenderedPageBreak/>
        <w:t>beneficio obtenido con la ejecución de acciones y la entrega de servicios y/o productos.</w:t>
      </w:r>
    </w:p>
    <w:p w:rsidR="000D0B1C" w:rsidRDefault="000D0B1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Dichos indicadores contarán con las siguientes características: </w:t>
      </w:r>
    </w:p>
    <w:p w:rsidR="000D0B1C" w:rsidRDefault="000D0B1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D0B1C" w:rsidRDefault="00ED1B67">
      <w:pPr>
        <w:numPr>
          <w:ilvl w:val="0"/>
          <w:numId w:val="14"/>
        </w:numPr>
        <w:pBdr>
          <w:top w:val="nil"/>
          <w:left w:val="nil"/>
          <w:bottom w:val="nil"/>
          <w:right w:val="nil"/>
          <w:between w:val="nil"/>
        </w:pBdr>
        <w:spacing w:line="360" w:lineRule="auto"/>
        <w:ind w:right="708"/>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Retadoras.</w:t>
      </w:r>
      <w:r>
        <w:rPr>
          <w:rFonts w:ascii="Palatino Linotype" w:eastAsia="Palatino Linotype" w:hAnsi="Palatino Linotype" w:cs="Palatino Linotype"/>
          <w:color w:val="000000"/>
        </w:rPr>
        <w:t xml:space="preserve"> Con base en el objetivo fundamental de mejorar la efectividad del sistema gubernamental, y satisfacer eficazmente las necesidades de la población objetivo o área de enfoque, las metas en sí mismas comprometen mejoras en el desempeño. </w:t>
      </w:r>
    </w:p>
    <w:p w:rsidR="000D0B1C" w:rsidRDefault="00ED1B67">
      <w:pPr>
        <w:numPr>
          <w:ilvl w:val="0"/>
          <w:numId w:val="14"/>
        </w:numPr>
        <w:pBdr>
          <w:top w:val="nil"/>
          <w:left w:val="nil"/>
          <w:bottom w:val="nil"/>
          <w:right w:val="nil"/>
          <w:between w:val="nil"/>
        </w:pBdr>
        <w:spacing w:line="360" w:lineRule="auto"/>
        <w:ind w:right="708"/>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Alcanzables.</w:t>
      </w:r>
      <w:r>
        <w:rPr>
          <w:rFonts w:ascii="Palatino Linotype" w:eastAsia="Palatino Linotype" w:hAnsi="Palatino Linotype" w:cs="Palatino Linotype"/>
          <w:color w:val="000000"/>
        </w:rPr>
        <w:t xml:space="preserve"> Es decir, factibles de alcanzar. Las unidades responsables deben realizar un análisis del desempeño histórico del factor en cuestión, identificar las necesidades de los beneficiarios, la capacidad de respuesta actual de la unidad, y el potencial de mejora estimado, lo cual permitirá realizar una prospectiva sobre la meta a alcanzar en un periodo definido.</w:t>
      </w:r>
    </w:p>
    <w:p w:rsidR="000D0B1C" w:rsidRDefault="00ED1B67">
      <w:pPr>
        <w:numPr>
          <w:ilvl w:val="0"/>
          <w:numId w:val="14"/>
        </w:numPr>
        <w:pBdr>
          <w:top w:val="nil"/>
          <w:left w:val="nil"/>
          <w:bottom w:val="nil"/>
          <w:right w:val="nil"/>
          <w:between w:val="nil"/>
        </w:pBdr>
        <w:spacing w:line="360" w:lineRule="auto"/>
        <w:ind w:right="708"/>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Medibles.</w:t>
      </w:r>
      <w:r>
        <w:rPr>
          <w:rFonts w:ascii="Palatino Linotype" w:eastAsia="Palatino Linotype" w:hAnsi="Palatino Linotype" w:cs="Palatino Linotype"/>
          <w:color w:val="000000"/>
        </w:rPr>
        <w:t xml:space="preserve"> Se debe contar con los datos de las variables, preferentemente la información debe ser emitida por instituciones generadoras de estadística oficial, de no ser así, se deberá asegurar que sea veraz y oportuna.</w:t>
      </w: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400675" cy="1838325"/>
            <wp:effectExtent l="0" t="0" r="0" b="0"/>
            <wp:docPr id="1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5400675" cy="1838325"/>
                    </a:xfrm>
                    <a:prstGeom prst="rect">
                      <a:avLst/>
                    </a:prstGeom>
                    <a:ln/>
                  </pic:spPr>
                </pic:pic>
              </a:graphicData>
            </a:graphic>
          </wp:inline>
        </w:drawing>
      </w:r>
    </w:p>
    <w:p w:rsidR="000D0B1C" w:rsidRDefault="000D0B1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Dentro de los documentos en los que puede obrar esta información, se localizan las Fichas Técnicas de Seguimiento de Indicadores 2022 de Gestión o Estratégico</w:t>
      </w: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roofErr w:type="spellStart"/>
      <w:r>
        <w:rPr>
          <w:rFonts w:ascii="Palatino Linotype" w:eastAsia="Palatino Linotype" w:hAnsi="Palatino Linotype" w:cs="Palatino Linotype"/>
          <w:color w:val="000000"/>
        </w:rPr>
        <w:t>PbRM</w:t>
      </w:r>
      <w:proofErr w:type="spellEnd"/>
      <w:r>
        <w:rPr>
          <w:rFonts w:ascii="Palatino Linotype" w:eastAsia="Palatino Linotype" w:hAnsi="Palatino Linotype" w:cs="Palatino Linotype"/>
          <w:color w:val="000000"/>
        </w:rPr>
        <w:t xml:space="preserve"> 08b) de los Programas Ejecutados en el Ejercicio Fiscal 2022, que corresponden al Módulo 3 de los Lineamientos del Informe Trimestral Municipal 2022, ello en virtud de que le da seguimiento a los indicadores, se visualiza el avance, se evalúa al indicador para finalmente dar resultados y justificación. </w:t>
      </w:r>
    </w:p>
    <w:p w:rsidR="000D0B1C" w:rsidRDefault="000D0B1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D0B1C" w:rsidRDefault="00ED1B67">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4597563" cy="5473287"/>
            <wp:effectExtent l="0" t="0" r="0" b="0"/>
            <wp:docPr id="1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4597563" cy="5473287"/>
                    </a:xfrm>
                    <a:prstGeom prst="rect">
                      <a:avLst/>
                    </a:prstGeom>
                    <a:ln/>
                  </pic:spPr>
                </pic:pic>
              </a:graphicData>
            </a:graphic>
          </wp:inline>
        </w:drawing>
      </w:r>
    </w:p>
    <w:p w:rsidR="000D0B1C" w:rsidRDefault="00ED1B67">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4667901" cy="6211167"/>
            <wp:effectExtent l="0" t="0" r="0" b="0"/>
            <wp:docPr id="1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4667901" cy="6211167"/>
                    </a:xfrm>
                    <a:prstGeom prst="rect">
                      <a:avLst/>
                    </a:prstGeom>
                    <a:ln/>
                  </pic:spPr>
                </pic:pic>
              </a:graphicData>
            </a:graphic>
          </wp:inline>
        </w:drawing>
      </w:r>
      <w:r>
        <w:rPr>
          <w:noProof/>
          <w:lang w:val="es-MX"/>
        </w:rPr>
        <mc:AlternateContent>
          <mc:Choice Requires="wps">
            <w:drawing>
              <wp:anchor distT="0" distB="0" distL="114300" distR="114300" simplePos="0" relativeHeight="251664384" behindDoc="0" locked="0" layoutInCell="1" hidden="0" allowOverlap="1">
                <wp:simplePos x="0" y="0"/>
                <wp:positionH relativeFrom="column">
                  <wp:posOffset>406400</wp:posOffset>
                </wp:positionH>
                <wp:positionV relativeFrom="paragraph">
                  <wp:posOffset>927100</wp:posOffset>
                </wp:positionV>
                <wp:extent cx="4639310" cy="1752600"/>
                <wp:effectExtent l="0" t="0" r="0" b="0"/>
                <wp:wrapNone/>
                <wp:docPr id="95" name="Rectángulo 95"/>
                <wp:cNvGraphicFramePr/>
                <a:graphic xmlns:a="http://schemas.openxmlformats.org/drawingml/2006/main">
                  <a:graphicData uri="http://schemas.microsoft.com/office/word/2010/wordprocessingShape">
                    <wps:wsp>
                      <wps:cNvSpPr/>
                      <wps:spPr>
                        <a:xfrm>
                          <a:off x="3040633" y="2917988"/>
                          <a:ext cx="4610735" cy="1724025"/>
                        </a:xfrm>
                        <a:prstGeom prst="rect">
                          <a:avLst/>
                        </a:prstGeom>
                        <a:noFill/>
                        <a:ln w="28575" cap="flat" cmpd="sng">
                          <a:solidFill>
                            <a:srgbClr val="002060"/>
                          </a:solidFill>
                          <a:prstDash val="solid"/>
                          <a:round/>
                          <a:headEnd type="none" w="sm" len="sm"/>
                          <a:tailEnd type="none" w="sm" len="sm"/>
                        </a:ln>
                      </wps:spPr>
                      <wps:txbx>
                        <w:txbxContent>
                          <w:p w:rsidR="00E62ABA" w:rsidRDefault="00E62ABA">
                            <w:pPr>
                              <w:textDirection w:val="btLr"/>
                            </w:pPr>
                          </w:p>
                        </w:txbxContent>
                      </wps:txbx>
                      <wps:bodyPr spcFirstLastPara="1" wrap="square" lIns="91425" tIns="91425" rIns="91425" bIns="91425" anchor="ctr" anchorCtr="0">
                        <a:noAutofit/>
                      </wps:bodyPr>
                    </wps:wsp>
                  </a:graphicData>
                </a:graphic>
              </wp:anchor>
            </w:drawing>
          </mc:Choice>
          <mc:Fallback>
            <w:pict>
              <v:rect id="Rectángulo 95" o:spid="_x0000_s1030" style="position:absolute;left:0;text-align:left;margin-left:32pt;margin-top:73pt;width:365.3pt;height:13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" filled="f" strokecolor="#002060" strokeweight="2.25pt">
                <v:stroke startarrowwidth="narrow" startarrowlength="short" endarrowwidth="narrow" endarrowlength="short" joinstyle="round"/>
                <v:textbox inset="2.53958mm,2.53958mm,2.53958mm,2.53958mm">
                  <w:txbxContent>
                    <w:p w:rsidR="00E62ABA" w:rsidRDefault="00E62ABA">
                      <w:pPr>
                        <w:textDirection w:val="btLr"/>
                      </w:pPr>
                    </w:p>
                  </w:txbxContent>
                </v:textbox>
              </v:rect>
            </w:pict>
          </mc:Fallback>
        </mc:AlternateContent>
      </w:r>
      <w:r>
        <w:rPr>
          <w:noProof/>
          <w:lang w:val="es-MX"/>
        </w:rPr>
        <mc:AlternateContent>
          <mc:Choice Requires="wps">
            <w:drawing>
              <wp:anchor distT="0" distB="0" distL="114300" distR="114300" simplePos="0" relativeHeight="251665408" behindDoc="0" locked="0" layoutInCell="1" hidden="0" allowOverlap="1">
                <wp:simplePos x="0" y="0"/>
                <wp:positionH relativeFrom="column">
                  <wp:posOffset>381000</wp:posOffset>
                </wp:positionH>
                <wp:positionV relativeFrom="paragraph">
                  <wp:posOffset>3251200</wp:posOffset>
                </wp:positionV>
                <wp:extent cx="4667885" cy="1971675"/>
                <wp:effectExtent l="0" t="0" r="0" b="0"/>
                <wp:wrapNone/>
                <wp:docPr id="98" name="Rectángulo 98"/>
                <wp:cNvGraphicFramePr/>
                <a:graphic xmlns:a="http://schemas.openxmlformats.org/drawingml/2006/main">
                  <a:graphicData uri="http://schemas.microsoft.com/office/word/2010/wordprocessingShape">
                    <wps:wsp>
                      <wps:cNvSpPr/>
                      <wps:spPr>
                        <a:xfrm>
                          <a:off x="3026345" y="2808450"/>
                          <a:ext cx="4639310" cy="1943100"/>
                        </a:xfrm>
                        <a:prstGeom prst="rect">
                          <a:avLst/>
                        </a:prstGeom>
                        <a:noFill/>
                        <a:ln w="28575" cap="flat" cmpd="sng">
                          <a:solidFill>
                            <a:srgbClr val="002060"/>
                          </a:solidFill>
                          <a:prstDash val="solid"/>
                          <a:round/>
                          <a:headEnd type="none" w="sm" len="sm"/>
                          <a:tailEnd type="none" w="sm" len="sm"/>
                        </a:ln>
                      </wps:spPr>
                      <wps:txbx>
                        <w:txbxContent>
                          <w:p w:rsidR="00E62ABA" w:rsidRDefault="00E62ABA">
                            <w:pPr>
                              <w:textDirection w:val="btLr"/>
                            </w:pPr>
                          </w:p>
                        </w:txbxContent>
                      </wps:txbx>
                      <wps:bodyPr spcFirstLastPara="1" wrap="square" lIns="91425" tIns="91425" rIns="91425" bIns="91425" anchor="ctr" anchorCtr="0">
                        <a:noAutofit/>
                      </wps:bodyPr>
                    </wps:wsp>
                  </a:graphicData>
                </a:graphic>
              </wp:anchor>
            </w:drawing>
          </mc:Choice>
          <mc:Fallback>
            <w:pict>
              <v:rect id="Rectángulo 98" o:spid="_x0000_s1031" style="position:absolute;left:0;text-align:left;margin-left:30pt;margin-top:256pt;width:367.55pt;height:15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" filled="f" strokecolor="#002060" strokeweight="2.25pt">
                <v:stroke startarrowwidth="narrow" startarrowlength="short" endarrowwidth="narrow" endarrowlength="short" joinstyle="round"/>
                <v:textbox inset="2.53958mm,2.53958mm,2.53958mm,2.53958mm">
                  <w:txbxContent>
                    <w:p w:rsidR="00E62ABA" w:rsidRDefault="00E62ABA">
                      <w:pPr>
                        <w:textDirection w:val="btLr"/>
                      </w:pPr>
                    </w:p>
                  </w:txbxContent>
                </v:textbox>
              </v:rect>
            </w:pict>
          </mc:Fallback>
        </mc:AlternateContent>
      </w:r>
    </w:p>
    <w:p w:rsidR="000D0B1C" w:rsidRDefault="00ED1B67">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4639322" cy="6182588"/>
            <wp:effectExtent l="0" t="0" r="0" b="0"/>
            <wp:docPr id="1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4639322" cy="6182588"/>
                    </a:xfrm>
                    <a:prstGeom prst="rect">
                      <a:avLst/>
                    </a:prstGeom>
                    <a:ln/>
                  </pic:spPr>
                </pic:pic>
              </a:graphicData>
            </a:graphic>
          </wp:inline>
        </w:drawing>
      </w:r>
      <w:r>
        <w:rPr>
          <w:noProof/>
          <w:lang w:val="es-MX"/>
        </w:rPr>
        <mc:AlternateContent>
          <mc:Choice Requires="wps">
            <w:drawing>
              <wp:anchor distT="0" distB="0" distL="114300" distR="114300" simplePos="0" relativeHeight="251666432" behindDoc="0" locked="0" layoutInCell="1" hidden="0" allowOverlap="1">
                <wp:simplePos x="0" y="0"/>
                <wp:positionH relativeFrom="column">
                  <wp:posOffset>393700</wp:posOffset>
                </wp:positionH>
                <wp:positionV relativeFrom="paragraph">
                  <wp:posOffset>1206500</wp:posOffset>
                </wp:positionV>
                <wp:extent cx="4629785" cy="371475"/>
                <wp:effectExtent l="0" t="0" r="0" b="0"/>
                <wp:wrapNone/>
                <wp:docPr id="100" name="Rectángulo 100"/>
                <wp:cNvGraphicFramePr/>
                <a:graphic xmlns:a="http://schemas.openxmlformats.org/drawingml/2006/main">
                  <a:graphicData uri="http://schemas.microsoft.com/office/word/2010/wordprocessingShape">
                    <wps:wsp>
                      <wps:cNvSpPr/>
                      <wps:spPr>
                        <a:xfrm>
                          <a:off x="3050158" y="3613313"/>
                          <a:ext cx="4591685" cy="333375"/>
                        </a:xfrm>
                        <a:prstGeom prst="rect">
                          <a:avLst/>
                        </a:prstGeom>
                        <a:noFill/>
                        <a:ln w="38100" cap="flat" cmpd="sng">
                          <a:solidFill>
                            <a:srgbClr val="002060"/>
                          </a:solidFill>
                          <a:prstDash val="solid"/>
                          <a:round/>
                          <a:headEnd type="none" w="sm" len="sm"/>
                          <a:tailEnd type="none" w="sm" len="sm"/>
                        </a:ln>
                      </wps:spPr>
                      <wps:txbx>
                        <w:txbxContent>
                          <w:p w:rsidR="00E62ABA" w:rsidRDefault="00E62ABA">
                            <w:pPr>
                              <w:textDirection w:val="btLr"/>
                            </w:pPr>
                          </w:p>
                        </w:txbxContent>
                      </wps:txbx>
                      <wps:bodyPr spcFirstLastPara="1" wrap="square" lIns="91425" tIns="91425" rIns="91425" bIns="91425" anchor="ctr" anchorCtr="0">
                        <a:noAutofit/>
                      </wps:bodyPr>
                    </wps:wsp>
                  </a:graphicData>
                </a:graphic>
              </wp:anchor>
            </w:drawing>
          </mc:Choice>
          <mc:Fallback>
            <w:pict>
              <v:rect id="Rectángulo 100" o:spid="_x0000_s1032" style="position:absolute;left:0;text-align:left;margin-left:31pt;margin-top:95pt;width:364.55pt;height:29.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" filled="f" strokecolor="#002060" strokeweight="3pt">
                <v:stroke startarrowwidth="narrow" startarrowlength="short" endarrowwidth="narrow" endarrowlength="short" joinstyle="round"/>
                <v:textbox inset="2.53958mm,2.53958mm,2.53958mm,2.53958mm">
                  <w:txbxContent>
                    <w:p w:rsidR="00E62ABA" w:rsidRDefault="00E62ABA">
                      <w:pPr>
                        <w:textDirection w:val="btLr"/>
                      </w:pPr>
                    </w:p>
                  </w:txbxContent>
                </v:textbox>
              </v:rect>
            </w:pict>
          </mc:Fallback>
        </mc:AlternateContent>
      </w:r>
    </w:p>
    <w:p w:rsidR="000D0B1C" w:rsidRDefault="000D0B1C">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rsidR="000D0B1C" w:rsidRDefault="00ED1B67">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4620270" cy="2324424"/>
            <wp:effectExtent l="0" t="0" r="0" b="0"/>
            <wp:docPr id="1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4620270" cy="2324424"/>
                    </a:xfrm>
                    <a:prstGeom prst="rect">
                      <a:avLst/>
                    </a:prstGeom>
                    <a:ln/>
                  </pic:spPr>
                </pic:pic>
              </a:graphicData>
            </a:graphic>
          </wp:inline>
        </w:drawing>
      </w: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manera que como se vislumbra con todo lo analizado,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al momento de la elaboración del Plan de Desarrollo Municipal deberá realizar un diagnóstico de los pilares que constituyen la estructura de la administración pública municipal para a su vez dar cumplimiento a los objetivos del Plan de Desarrollo Estatal, el cual establece en materia de seguridad que deberán promoverse estrategias de seguridad pública como una de las principales exigencias sociales y asume que es obligación y deber del Estado proporcionarla para salvaguardar la integridad y los derechos de las personas, así como de preservar la libertad, el orden y la paz social, para su posterior seguimiento y evaluación a efecto de determinar si existe un avance o si en su caso no se han cumplido con los objetivos del programa presupuestario, es por ello que para atender este requerimiento, deberá entregarse el número de elementos de seguridad pública por cada 1000 habitantes. </w:t>
      </w:r>
    </w:p>
    <w:p w:rsidR="000D0B1C" w:rsidRDefault="000D0B1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D0B1C" w:rsidRDefault="00ED1B67">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Es de vital importancia destacar que los requerimientos del solicitante consistentes en el número de elementos de seguridad por cada 1000 habitantes tiene el municipio, número total de elementos de seguridad pública y número de </w:t>
      </w:r>
      <w:r>
        <w:rPr>
          <w:rFonts w:ascii="Palatino Linotype" w:eastAsia="Palatino Linotype" w:hAnsi="Palatino Linotype" w:cs="Palatino Linotype"/>
          <w:color w:val="000000"/>
        </w:rPr>
        <w:lastRenderedPageBreak/>
        <w:t xml:space="preserve">elementos que se encuentran comisionados a labores distintas a la prevención del delito y seguridad pública, van en sentido de saber el número total, es decir, </w:t>
      </w:r>
      <w:r>
        <w:rPr>
          <w:rFonts w:ascii="Palatino Linotype" w:eastAsia="Palatino Linotype" w:hAnsi="Palatino Linotype" w:cs="Palatino Linotype"/>
          <w:b/>
          <w:color w:val="000000"/>
        </w:rPr>
        <w:t>un dato estadístico</w:t>
      </w:r>
      <w:r>
        <w:rPr>
          <w:rFonts w:ascii="Palatino Linotype" w:eastAsia="Palatino Linotype" w:hAnsi="Palatino Linotype" w:cs="Palatino Linotype"/>
          <w:color w:val="000000"/>
        </w:rPr>
        <w:t>, luego entonces en términos de los criterios emitidos por el Instituto Federal de Transparencia, Acceso a la Información Pública y Protección de Datos Personales ahora Instituto Nacional de Transparencia, Acceso a la Información Pública y Protección de Datos Personales:</w:t>
      </w:r>
    </w:p>
    <w:p w:rsidR="000D0B1C" w:rsidRDefault="000D0B1C"/>
    <w:p w:rsidR="000D0B1C" w:rsidRDefault="00ED1B67">
      <w:pPr>
        <w:pBdr>
          <w:top w:val="nil"/>
          <w:left w:val="nil"/>
          <w:bottom w:val="nil"/>
          <w:right w:val="nil"/>
          <w:between w:val="nil"/>
        </w:pBdr>
        <w:spacing w:after="12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“Bases de datos. Deberá otorgarse acceso a las mismas, en el formato en el que obren en los archivos de los sujetos obligados, a fin de garantizar la libre explotación, manipulación y reutilización de la información que contienen. </w:t>
      </w:r>
      <w:r>
        <w:rPr>
          <w:rFonts w:ascii="Palatino Linotype" w:eastAsia="Palatino Linotype" w:hAnsi="Palatino Linotype" w:cs="Palatino Linotype"/>
          <w:i/>
          <w:color w:val="000000"/>
          <w:sz w:val="22"/>
          <w:szCs w:val="22"/>
        </w:rPr>
        <w:t>Uno de los objetivos de la Ley Federal de Transparencia y Acceso a la Información Pública Gubernamental, previsto en el artículo 4, fracción I, es garantizar el acceso a la información en posesión de los sujetos obligados. En este sentido, al amparo de la Ley es posible solicitar acceso a la información contenida en documentos, en el sentido más amplio  del  término,  en el formato  en  el  que  se  encuentren  en  los  archivos  de  las dependencias y entidades, el cual puede ser escrito, impreso, sonoro, visual, electrónico, informático u holográfico, de conformidad con lo dispuesto en las fracciones III y V del artículo 3 de la Ley. En este contexto y de conformidad con lo dispuesto en el artículo 42 de dicho ordenamiento legal que establece que las dependencias y entidades están obligadas a proporcionar la información que se encuentra en sus archivos, en la forma en que lo permita el documento de que se trate, ante solicitudes de acceso en las que se requieran bases de datos, o información pública contenida en éstas, deberá otorgarse acceso a las mismas, por tratarse de documentos en archivo electrónico a partir de los cuales se recoge, genera, transforma o conserva información de los sujetos obligados. La entrega de dicha información no constituye la elaboración de un documento ad hoc, ni resulta una carga para las autoridades, pues consiste, simplemente, en poner a disposición de los particulares las bases de datos, o el repositorio de las mismas, en el formato en el que obran en sus archivos, garantizando a los solicitantes la libre explotación, manipulación y reutilización de la información gubernamental.</w:t>
      </w:r>
    </w:p>
    <w:p w:rsidR="000D0B1C" w:rsidRDefault="000D0B1C">
      <w:pPr>
        <w:pBdr>
          <w:top w:val="nil"/>
          <w:left w:val="nil"/>
          <w:bottom w:val="nil"/>
          <w:right w:val="nil"/>
          <w:between w:val="nil"/>
        </w:pBdr>
        <w:spacing w:after="120" w:line="276" w:lineRule="auto"/>
        <w:ind w:left="851" w:right="900"/>
        <w:jc w:val="both"/>
        <w:rPr>
          <w:color w:val="000000"/>
        </w:rPr>
      </w:pPr>
    </w:p>
    <w:p w:rsidR="000D0B1C" w:rsidRDefault="00ED1B67">
      <w:pPr>
        <w:pBdr>
          <w:top w:val="nil"/>
          <w:left w:val="nil"/>
          <w:bottom w:val="nil"/>
          <w:right w:val="nil"/>
          <w:between w:val="nil"/>
        </w:pBdr>
        <w:spacing w:after="120" w:line="276" w:lineRule="auto"/>
        <w:ind w:left="851" w:right="958"/>
        <w:jc w:val="both"/>
        <w:rPr>
          <w:color w:val="000000"/>
        </w:rPr>
      </w:pPr>
      <w:r>
        <w:rPr>
          <w:rFonts w:ascii="Palatino Linotype" w:eastAsia="Palatino Linotype" w:hAnsi="Palatino Linotype" w:cs="Palatino Linotype"/>
          <w:b/>
          <w:i/>
          <w:color w:val="000000"/>
          <w:sz w:val="22"/>
          <w:szCs w:val="22"/>
        </w:rPr>
        <w:t xml:space="preserve">La información estadística es de naturaleza pública, independientemente de la materia con la que se encuentre vinculada. </w:t>
      </w:r>
      <w:r>
        <w:rPr>
          <w:rFonts w:ascii="Palatino Linotype" w:eastAsia="Palatino Linotype" w:hAnsi="Palatino Linotype" w:cs="Palatino Linotype"/>
          <w:i/>
          <w:color w:val="000000"/>
          <w:sz w:val="22"/>
          <w:szCs w:val="22"/>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(Sic)</w:t>
      </w:r>
    </w:p>
    <w:p w:rsidR="000D0B1C" w:rsidRDefault="00ED1B67">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en lo tocante a los siguientes planteamientos: </w:t>
      </w:r>
    </w:p>
    <w:p w:rsidR="000D0B1C" w:rsidRDefault="00ED1B67">
      <w:pPr>
        <w:spacing w:before="240" w:after="240" w:line="360" w:lineRule="auto"/>
        <w:ind w:left="567" w:righ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5. ¿Cuántos tienen función de escolta y cuantos están comisionados al resguardo de instalaciones municipales? </w:t>
      </w:r>
    </w:p>
    <w:p w:rsidR="000D0B1C" w:rsidRDefault="00ED1B67">
      <w:pPr>
        <w:spacing w:before="240" w:after="240" w:line="360" w:lineRule="auto"/>
        <w:ind w:left="567" w:righ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6. ¿Cuentan los elementos de seguridad con el equipo básico y en qué consiste?</w:t>
      </w:r>
    </w:p>
    <w:p w:rsidR="000D0B1C" w:rsidRDefault="00ED1B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primera instancia, se reitera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fue omiso en turnar estos requerimientos de información al servidor público habilitado, con la finalidad de obtener un pronunciamiento, por lo tanto, </w:t>
      </w:r>
      <w:r>
        <w:rPr>
          <w:rFonts w:ascii="Palatino Linotype" w:eastAsia="Palatino Linotype" w:hAnsi="Palatino Linotype" w:cs="Palatino Linotype"/>
        </w:rPr>
        <w:t xml:space="preserve">no satisfizo el derecho de acceso a la información </w:t>
      </w:r>
      <w:r>
        <w:rPr>
          <w:rFonts w:ascii="Palatino Linotype" w:eastAsia="Palatino Linotype" w:hAnsi="Palatino Linotype" w:cs="Palatino Linotype"/>
          <w:b/>
        </w:rPr>
        <w:t>del 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al incumplir el principio de exhaustividad, </w:t>
      </w:r>
      <w:r>
        <w:rPr>
          <w:rFonts w:ascii="Palatino Linotype" w:eastAsia="Palatino Linotype" w:hAnsi="Palatino Linotype" w:cs="Palatino Linotype"/>
        </w:rPr>
        <w:t xml:space="preserve">pues no se pronunció de manera puntual, respecto de cada uno de los puntos, no obstante lo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efecto de dar cumplimiento a la </w:t>
      </w:r>
      <w:r>
        <w:rPr>
          <w:rFonts w:ascii="Palatino Linotype" w:eastAsia="Palatino Linotype" w:hAnsi="Palatino Linotype" w:cs="Palatino Linotype"/>
        </w:rPr>
        <w:lastRenderedPageBreak/>
        <w:t xml:space="preserve">presente resolución, deberá tomar en consideración que el </w:t>
      </w:r>
      <w:r>
        <w:rPr>
          <w:rFonts w:ascii="Palatino Linotype" w:eastAsia="Palatino Linotype" w:hAnsi="Palatino Linotype" w:cs="Palatino Linotype"/>
          <w:b/>
        </w:rPr>
        <w:t xml:space="preserve">actual Pleno de este Instituto ha sostenido el criterio de no dar a conocer información de aquellos servidores públicos que realizan funciones operativas en materia de seguridad pública, </w:t>
      </w:r>
      <w:r>
        <w:rPr>
          <w:rFonts w:ascii="Palatino Linotype" w:eastAsia="Palatino Linotype" w:hAnsi="Palatino Linotype" w:cs="Palatino Linotype"/>
        </w:rPr>
        <w:t xml:space="preserve">pues los vuelve identificables y posiblemente reconocibles para grupos delictivos, que pudieran relacionarlos directamente con actividades u operativos pasados, presentes, o ubicarlos simplemente por el hecho de pertenecer o haber pertenecido a una organización que lleve a cabo actividades de prevención y salvaguarda de la integridad de las personas en el combate a la delincuencia; así, dicha información puede ser utilizada para </w:t>
      </w:r>
      <w:r>
        <w:rPr>
          <w:rFonts w:ascii="Palatino Linotype" w:eastAsia="Palatino Linotype" w:hAnsi="Palatino Linotype" w:cs="Palatino Linotype"/>
          <w:b/>
        </w:rPr>
        <w:t>vulnerar la vida, seguridad o salud de dichos elementos.</w:t>
      </w:r>
      <w:r>
        <w:rPr>
          <w:rFonts w:ascii="Palatino Linotype" w:eastAsia="Palatino Linotype" w:hAnsi="Palatino Linotype" w:cs="Palatino Linotype"/>
        </w:rPr>
        <w:t xml:space="preserve"> </w:t>
      </w:r>
    </w:p>
    <w:p w:rsidR="000D0B1C" w:rsidRDefault="000D0B1C">
      <w:pPr>
        <w:spacing w:line="360" w:lineRule="auto"/>
        <w:jc w:val="both"/>
        <w:rPr>
          <w:rFonts w:ascii="Palatino Linotype" w:eastAsia="Palatino Linotype" w:hAnsi="Palatino Linotype" w:cs="Palatino Linotype"/>
          <w:color w:val="000000"/>
        </w:rPr>
      </w:pPr>
    </w:p>
    <w:p w:rsidR="000D0B1C" w:rsidRDefault="00ED1B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al hecho de que aumenta el riesgo de que personas ajenas a los intereses institucionales que persigue el Ayuntamiento de la Paz, en el presente caso, intenten realizar actos tendientes a inhibir o entrometerse en las funciones de dicha dependencia, lo cual causaría una vulneración a la seguridad pública a nivel municipal.</w:t>
      </w:r>
    </w:p>
    <w:p w:rsidR="000D0B1C" w:rsidRDefault="000D0B1C">
      <w:pPr>
        <w:spacing w:line="360" w:lineRule="auto"/>
        <w:jc w:val="both"/>
        <w:rPr>
          <w:rFonts w:ascii="Palatino Linotype" w:eastAsia="Palatino Linotype" w:hAnsi="Palatino Linotype" w:cs="Palatino Linotype"/>
        </w:rPr>
      </w:pPr>
    </w:p>
    <w:p w:rsidR="000D0B1C" w:rsidRDefault="00ED1B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es de señalar que el artículo 100, fracción IV de la Ley de Seguridad del Estado de México, establece cuales son las funciones principales del personal operativo de las instituciones de seguridad pública, a saber, las siguientes:</w:t>
      </w:r>
    </w:p>
    <w:p w:rsidR="000D0B1C" w:rsidRDefault="000D0B1C">
      <w:pPr>
        <w:spacing w:line="360" w:lineRule="auto"/>
        <w:jc w:val="both"/>
        <w:rPr>
          <w:rFonts w:ascii="Palatino Linotype" w:eastAsia="Palatino Linotype" w:hAnsi="Palatino Linotype" w:cs="Palatino Linotype"/>
        </w:rPr>
      </w:pPr>
    </w:p>
    <w:p w:rsidR="000D0B1C" w:rsidRDefault="00ED1B67">
      <w:pPr>
        <w:numPr>
          <w:ilvl w:val="0"/>
          <w:numId w:val="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Prestar auxilio a personas amenazadas o que hayan sido víctimas u ofendidos de algún delito;</w:t>
      </w:r>
    </w:p>
    <w:p w:rsidR="000D0B1C" w:rsidRDefault="00ED1B67">
      <w:pPr>
        <w:numPr>
          <w:ilvl w:val="0"/>
          <w:numId w:val="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Hacer detención de personas y aseguramiento de bienes;</w:t>
      </w:r>
    </w:p>
    <w:p w:rsidR="000D0B1C" w:rsidRDefault="00ED1B67">
      <w:pPr>
        <w:numPr>
          <w:ilvl w:val="0"/>
          <w:numId w:val="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Remitir al detenido y los instrumentos, objetos o productos asegurados e información al Ministerio Público;</w:t>
      </w:r>
    </w:p>
    <w:p w:rsidR="000D0B1C" w:rsidRDefault="00ED1B67">
      <w:pPr>
        <w:numPr>
          <w:ilvl w:val="0"/>
          <w:numId w:val="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Reunir información que pueda ser útil para acreditar el hecho delictivo;</w:t>
      </w:r>
    </w:p>
    <w:p w:rsidR="000D0B1C" w:rsidRDefault="00ED1B67">
      <w:pPr>
        <w:numPr>
          <w:ilvl w:val="0"/>
          <w:numId w:val="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Realizar la búsqueda de personas no localizadas, ausentes o extraviadas;</w:t>
      </w:r>
    </w:p>
    <w:p w:rsidR="000D0B1C" w:rsidRDefault="00ED1B67">
      <w:pPr>
        <w:numPr>
          <w:ilvl w:val="0"/>
          <w:numId w:val="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Resguardar las unidades de investigación de delitos y alrededores;</w:t>
      </w:r>
    </w:p>
    <w:p w:rsidR="000D0B1C" w:rsidRDefault="00ED1B67">
      <w:pPr>
        <w:numPr>
          <w:ilvl w:val="0"/>
          <w:numId w:val="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Participar en operativos conjuntos con otras corporaciones policiales;</w:t>
      </w:r>
    </w:p>
    <w:p w:rsidR="000D0B1C" w:rsidRDefault="00ED1B67">
      <w:pPr>
        <w:numPr>
          <w:ilvl w:val="0"/>
          <w:numId w:val="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Hacer uso de la fuerza pública, en cumplimiento de su deber;</w:t>
      </w:r>
    </w:p>
    <w:p w:rsidR="000D0B1C" w:rsidRDefault="00ED1B67">
      <w:pPr>
        <w:numPr>
          <w:ilvl w:val="0"/>
          <w:numId w:val="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Realizar la investigación para la prevención de los delitos y vincular estas con las relativas a los delitos;</w:t>
      </w:r>
    </w:p>
    <w:p w:rsidR="000D0B1C" w:rsidRDefault="00ED1B67">
      <w:pPr>
        <w:numPr>
          <w:ilvl w:val="0"/>
          <w:numId w:val="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Proporcionar atención de primer contacto a víctimas, ofendidos o testigos;</w:t>
      </w:r>
    </w:p>
    <w:p w:rsidR="000D0B1C" w:rsidRDefault="00ED1B67">
      <w:pPr>
        <w:numPr>
          <w:ilvl w:val="0"/>
          <w:numId w:val="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Prestar protección y auxilio de inmediato;</w:t>
      </w:r>
    </w:p>
    <w:p w:rsidR="000D0B1C" w:rsidRDefault="00ED1B67">
      <w:pPr>
        <w:numPr>
          <w:ilvl w:val="0"/>
          <w:numId w:val="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Practicar las investigaciones necesarias que permitan aclarar los hechos y la identidad de los imputados;</w:t>
      </w:r>
    </w:p>
    <w:p w:rsidR="000D0B1C" w:rsidRDefault="00ED1B67">
      <w:pPr>
        <w:numPr>
          <w:ilvl w:val="0"/>
          <w:numId w:val="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Entre otras.</w:t>
      </w:r>
    </w:p>
    <w:p w:rsidR="000D0B1C" w:rsidRDefault="00ED1B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resulta importante señalar sobre el número de escoltas o personas que se encuentran a cargo de del resguardo de instalaciones municipales que las medidas de protección y custodia para los presidentes municipales de la Entidad, tienen como fin prevenir riesgos y salvaguardar la vida, integridad, libertad y seguridad de los funcionarios en comento, implementando estrategias de seguridad para cada servidor público y el riego que deviene,  por lo que </w:t>
      </w:r>
      <w:r>
        <w:rPr>
          <w:rFonts w:ascii="Palatino Linotype" w:eastAsia="Palatino Linotype" w:hAnsi="Palatino Linotype" w:cs="Palatino Linotype"/>
          <w:color w:val="000000"/>
        </w:rPr>
        <w:lastRenderedPageBreak/>
        <w:t>proporcionar información relacionada con el número de escoltas, los dejaría vulnerables y además colocaría en desventaja al personal encargado de ello por dar cuenta de funciones específicas que realiza este personal, por lo que al existir la inminente posibilidad de transgredir su labor táctica y, con ello, su vida e integridad física, a través de cualquier atentado, se considera que debe clasificarse esta información como reservada.</w:t>
      </w:r>
    </w:p>
    <w:p w:rsidR="000D0B1C" w:rsidRDefault="000D0B1C">
      <w:pPr>
        <w:spacing w:line="360" w:lineRule="auto"/>
        <w:jc w:val="both"/>
        <w:rPr>
          <w:rFonts w:ascii="Palatino Linotype" w:eastAsia="Palatino Linotype" w:hAnsi="Palatino Linotype" w:cs="Palatino Linotype"/>
        </w:rPr>
      </w:pPr>
    </w:p>
    <w:p w:rsidR="000D0B1C" w:rsidRDefault="00ED1B67">
      <w:pPr>
        <w:spacing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rPr>
        <w:t xml:space="preserve">Bajo esta lógica, emitir un pronunciamiento sobre el número de escoltas así como los elementos comisionados al resguardo de instalaciones municipales, y dar a conocer el equipamiento de los elementos de seguridad y a su vez especificar las características del mismo, revelaría el estado de fuerza con el que cuenta el municipio, y por ende, puede ser utilizada para poner en riesgo las actividades de seguridad pública, </w:t>
      </w:r>
      <w:r>
        <w:rPr>
          <w:rFonts w:ascii="Palatino Linotype" w:eastAsia="Palatino Linotype" w:hAnsi="Palatino Linotype" w:cs="Palatino Linotype"/>
          <w:b/>
        </w:rPr>
        <w:t>lo cual va en contra del criterio adoptado por este Instituto</w:t>
      </w:r>
      <w:r>
        <w:rPr>
          <w:rFonts w:ascii="Palatino Linotype" w:eastAsia="Palatino Linotype" w:hAnsi="Palatino Linotype" w:cs="Palatino Linotype"/>
        </w:rPr>
        <w:t xml:space="preserve">, por lo que se considera </w:t>
      </w:r>
      <w:r>
        <w:rPr>
          <w:rFonts w:ascii="Palatino Linotype" w:eastAsia="Palatino Linotype" w:hAnsi="Palatino Linotype" w:cs="Palatino Linotype"/>
          <w:color w:val="000000"/>
        </w:rPr>
        <w:t xml:space="preserve">que en </w:t>
      </w:r>
      <w:r>
        <w:rPr>
          <w:rFonts w:ascii="Palatino Linotype" w:eastAsia="Palatino Linotype" w:hAnsi="Palatino Linotype" w:cs="Palatino Linotype"/>
        </w:rPr>
        <w:t>el presente caso, lo requerido, corresponde, en su caso, se actualiza la causal de reserva; prevista en el artículo 140, fracción I, de la Ley de Transparencia y Acceso a la Información Pública del Estado de México y Municipios, (homólogo a parte del artículo 113, fracción I de la Ley General de Transparencia y Acceso a la Información Pública), prevé lo siguiente:</w:t>
      </w:r>
    </w:p>
    <w:p w:rsidR="000D0B1C" w:rsidRDefault="000D0B1C">
      <w:pPr>
        <w:spacing w:line="360" w:lineRule="auto"/>
        <w:jc w:val="both"/>
        <w:rPr>
          <w:rFonts w:ascii="Palatino Linotype" w:eastAsia="Palatino Linotype" w:hAnsi="Palatino Linotype" w:cs="Palatino Linotype"/>
        </w:rPr>
      </w:pPr>
    </w:p>
    <w:p w:rsidR="000D0B1C" w:rsidRDefault="00ED1B67">
      <w:pPr>
        <w:tabs>
          <w:tab w:val="left" w:pos="4962"/>
        </w:tabs>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140.</w:t>
      </w:r>
      <w:r>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rsidR="000D0B1C" w:rsidRDefault="00ED1B67">
      <w:pPr>
        <w:tabs>
          <w:tab w:val="left" w:pos="4962"/>
        </w:tabs>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Comprometa la seguridad pública y cuente con un propósito genuino y un efecto demostrable;…” (Sic)</w:t>
      </w:r>
    </w:p>
    <w:p w:rsidR="000D0B1C" w:rsidRDefault="000D0B1C">
      <w:pPr>
        <w:spacing w:line="360" w:lineRule="auto"/>
        <w:jc w:val="both"/>
        <w:rPr>
          <w:rFonts w:ascii="Palatino Linotype" w:eastAsia="Palatino Linotype" w:hAnsi="Palatino Linotype" w:cs="Palatino Linotype"/>
          <w:highlight w:val="cyan"/>
        </w:rPr>
      </w:pPr>
    </w:p>
    <w:p w:rsidR="000D0B1C" w:rsidRDefault="00ED1B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Además, el artículo 81, fracción II, de la Ley de Seguridad del Estado de México, establece lo siguiente:</w:t>
      </w:r>
    </w:p>
    <w:p w:rsidR="000D0B1C" w:rsidRDefault="000D0B1C">
      <w:pPr>
        <w:spacing w:line="360" w:lineRule="auto"/>
        <w:jc w:val="both"/>
        <w:rPr>
          <w:rFonts w:ascii="Palatino Linotype" w:eastAsia="Palatino Linotype" w:hAnsi="Palatino Linotype" w:cs="Palatino Linotype"/>
        </w:rPr>
      </w:pPr>
    </w:p>
    <w:p w:rsidR="000D0B1C" w:rsidRDefault="00ED1B67">
      <w:pPr>
        <w:tabs>
          <w:tab w:val="left" w:pos="496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81.- </w:t>
      </w:r>
      <w:r>
        <w:rPr>
          <w:rFonts w:ascii="Palatino Linotype" w:eastAsia="Palatino Linotype" w:hAnsi="Palatino Linotype" w:cs="Palatino Linotype"/>
          <w:b/>
          <w:i/>
          <w:sz w:val="22"/>
          <w:szCs w:val="22"/>
        </w:rPr>
        <w:t>Toda información para la seguridad pública generada o en poder de Instituciones de Seguridad Pública</w:t>
      </w:r>
      <w:r>
        <w:rPr>
          <w:rFonts w:ascii="Palatino Linotype" w:eastAsia="Palatino Linotype" w:hAnsi="Palatino Linotype" w:cs="Palatino Linotype"/>
          <w:i/>
          <w:sz w:val="22"/>
          <w:szCs w:val="22"/>
        </w:rPr>
        <w:t xml:space="preserve"> o de cualquier instancia del Sistema Estatal </w:t>
      </w:r>
      <w:r>
        <w:rPr>
          <w:rFonts w:ascii="Palatino Linotype" w:eastAsia="Palatino Linotype" w:hAnsi="Palatino Linotype" w:cs="Palatino Linotype"/>
          <w:b/>
          <w:i/>
          <w:sz w:val="22"/>
          <w:szCs w:val="22"/>
          <w:u w:val="single"/>
        </w:rPr>
        <w:t xml:space="preserve">debe registrarse, clasificarse </w:t>
      </w:r>
      <w:r>
        <w:rPr>
          <w:rFonts w:ascii="Palatino Linotype" w:eastAsia="Palatino Linotype" w:hAnsi="Palatino Linotype" w:cs="Palatino Linotype"/>
          <w:i/>
          <w:sz w:val="22"/>
          <w:szCs w:val="22"/>
        </w:rPr>
        <w:t xml:space="preserve">y tratarse de conformidad con las disposiciones aplicables. No obstante lo anterior, esta información se considerará reservada en los casos siguientes: </w:t>
      </w:r>
    </w:p>
    <w:p w:rsidR="000D0B1C" w:rsidRDefault="00ED1B67">
      <w:pPr>
        <w:tabs>
          <w:tab w:val="left" w:pos="496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D0B1C" w:rsidRDefault="00ED1B67">
      <w:pPr>
        <w:tabs>
          <w:tab w:val="left" w:pos="496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II. Aquella cuya revelación pueda ser utilizada para actualizar o potenciar una amenaza a la seguridad pública o a las instituciones del Estado de México</w:t>
      </w:r>
      <w:r>
        <w:rPr>
          <w:rFonts w:ascii="Palatino Linotype" w:eastAsia="Palatino Linotype" w:hAnsi="Palatino Linotype" w:cs="Palatino Linotype"/>
          <w:i/>
          <w:sz w:val="22"/>
          <w:szCs w:val="22"/>
        </w:rPr>
        <w:t>…” (Sic)</w:t>
      </w:r>
    </w:p>
    <w:p w:rsidR="000D0B1C" w:rsidRDefault="000D0B1C">
      <w:pPr>
        <w:spacing w:line="360" w:lineRule="auto"/>
        <w:jc w:val="both"/>
        <w:rPr>
          <w:rFonts w:ascii="Palatino Linotype" w:eastAsia="Palatino Linotype" w:hAnsi="Palatino Linotype" w:cs="Palatino Linotype"/>
          <w:highlight w:val="green"/>
        </w:rPr>
      </w:pPr>
    </w:p>
    <w:p w:rsidR="000D0B1C" w:rsidRDefault="00ED1B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en el presente caso, se desprende que es reservada toda aquella información que revele el estado de fuerza, y que puede ser utilizada para poner en riesgo la seguridad pública del Municipio.</w:t>
      </w:r>
    </w:p>
    <w:p w:rsidR="000D0B1C" w:rsidRDefault="000D0B1C">
      <w:pPr>
        <w:spacing w:line="360" w:lineRule="auto"/>
        <w:jc w:val="both"/>
        <w:rPr>
          <w:rFonts w:ascii="Palatino Linotype" w:eastAsia="Palatino Linotype" w:hAnsi="Palatino Linotype" w:cs="Palatino Linotype"/>
        </w:rPr>
      </w:pPr>
    </w:p>
    <w:p w:rsidR="000D0B1C" w:rsidRDefault="00ED1B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preceptos legales citados se desprende que como información reservada podrá clasificarse aquella cuya publicación pueda poner en riesgo la seguridad pública.</w:t>
      </w:r>
      <w:r>
        <w:rPr>
          <w:rFonts w:ascii="Palatino Linotype" w:eastAsia="Palatino Linotype" w:hAnsi="Palatino Linotype" w:cs="Palatino Linotype"/>
          <w:b/>
        </w:rPr>
        <w:t xml:space="preserve"> </w:t>
      </w:r>
      <w:r>
        <w:rPr>
          <w:rFonts w:ascii="Palatino Linotype" w:eastAsia="Palatino Linotype" w:hAnsi="Palatino Linotype" w:cs="Palatino Linotype"/>
        </w:rPr>
        <w:t>En concatenación con lo anterior, los Lineamientos Generales en Materia de Clasificación y Desclasificación de la Información, así como para la Elaboración de Versiones Públicas -Lineamientos Generales-, establecen lo siguiente:</w:t>
      </w:r>
    </w:p>
    <w:p w:rsidR="000D0B1C" w:rsidRDefault="000D0B1C">
      <w:pPr>
        <w:spacing w:line="360" w:lineRule="auto"/>
        <w:jc w:val="both"/>
        <w:rPr>
          <w:rFonts w:ascii="Palatino Linotype" w:eastAsia="Palatino Linotype" w:hAnsi="Palatino Linotype" w:cs="Palatino Linotype"/>
        </w:rPr>
      </w:pPr>
    </w:p>
    <w:p w:rsidR="000D0B1C" w:rsidRDefault="00ED1B67">
      <w:pPr>
        <w:tabs>
          <w:tab w:val="left" w:pos="496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Décimo séptimo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 conformidad con el artículo 113, fracción I de la Ley General, podrá considerarse como información reservada, aquella que de difundirse actualice o potencialice un riesgo o amenaza a la seguridad nacional cuando</w:t>
      </w:r>
      <w:r>
        <w:rPr>
          <w:rFonts w:ascii="Palatino Linotype" w:eastAsia="Palatino Linotype" w:hAnsi="Palatino Linotype" w:cs="Palatino Linotype"/>
          <w:i/>
          <w:sz w:val="22"/>
          <w:szCs w:val="22"/>
        </w:rPr>
        <w:t xml:space="preserve">: </w:t>
      </w:r>
    </w:p>
    <w:p w:rsidR="000D0B1C" w:rsidRDefault="00ED1B67">
      <w:pPr>
        <w:tabs>
          <w:tab w:val="left" w:pos="496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D0B1C" w:rsidRDefault="00ED1B67">
      <w:pPr>
        <w:tabs>
          <w:tab w:val="left" w:pos="4962"/>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VII. Se puedan menoscabar, obstaculizar o dificultar las estrategias o acciones para combatir la delincuencia organizada, la comisión de los </w:t>
      </w:r>
      <w:r>
        <w:rPr>
          <w:rFonts w:ascii="Palatino Linotype" w:eastAsia="Palatino Linotype" w:hAnsi="Palatino Linotype" w:cs="Palatino Linotype"/>
          <w:b/>
          <w:i/>
          <w:sz w:val="22"/>
          <w:szCs w:val="22"/>
        </w:rPr>
        <w:lastRenderedPageBreak/>
        <w:t>delitos contra la seguridad de la nación, entendiéndose estos últimos como traición a la patria, espionaje, sedición, motín, rebelión, terrorismo, sabotaje, conspiración, el tráfico ilegal de materiales nucleares, de armas químicas, biológicas y convencionales de destrucción masiva;</w:t>
      </w:r>
    </w:p>
    <w:p w:rsidR="000D0B1C" w:rsidRDefault="00ED1B67">
      <w:pPr>
        <w:tabs>
          <w:tab w:val="left" w:pos="496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D0B1C" w:rsidRDefault="00ED1B67">
      <w:pPr>
        <w:tabs>
          <w:tab w:val="left" w:pos="496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Asimismo, </w:t>
      </w:r>
      <w:r>
        <w:rPr>
          <w:rFonts w:ascii="Palatino Linotype" w:eastAsia="Palatino Linotype" w:hAnsi="Palatino Linotype" w:cs="Palatino Linotype"/>
          <w:b/>
          <w:i/>
          <w:sz w:val="22"/>
          <w:szCs w:val="22"/>
        </w:rPr>
        <w:t>podrá considerarse como reservada aquella que revele datos que pudieran ser aprovechados para conocer la capacidad de reacción de las instituciones encargadas de la seguridad nacional</w:t>
      </w:r>
      <w:r>
        <w:rPr>
          <w:rFonts w:ascii="Palatino Linotype" w:eastAsia="Palatino Linotype" w:hAnsi="Palatino Linotype" w:cs="Palatino Linotype"/>
          <w:i/>
          <w:sz w:val="22"/>
          <w:szCs w:val="22"/>
        </w:rPr>
        <w:t xml:space="preserve">; sus normas, procedimientos, métodos, fuentes, especificaciones técnicas, tecnología o equipo útiles a la generación de inteligencia para la Seguridad Nacional, sin importar la naturaleza o el origen de los documentos que la consignen. </w:t>
      </w:r>
    </w:p>
    <w:p w:rsidR="000D0B1C" w:rsidRDefault="000D0B1C">
      <w:pPr>
        <w:tabs>
          <w:tab w:val="left" w:pos="4962"/>
        </w:tabs>
        <w:ind w:left="567" w:right="567"/>
        <w:jc w:val="both"/>
        <w:rPr>
          <w:rFonts w:ascii="Palatino Linotype" w:eastAsia="Palatino Linotype" w:hAnsi="Palatino Linotype" w:cs="Palatino Linotype"/>
          <w:i/>
          <w:sz w:val="22"/>
          <w:szCs w:val="22"/>
        </w:rPr>
      </w:pPr>
    </w:p>
    <w:p w:rsidR="000D0B1C" w:rsidRDefault="00ED1B67">
      <w:pPr>
        <w:tabs>
          <w:tab w:val="left" w:pos="496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octavo</w:t>
      </w:r>
      <w:r>
        <w:rPr>
          <w:rFonts w:ascii="Palatino Linotype" w:eastAsia="Palatino Linotype" w:hAnsi="Palatino Linotype" w:cs="Palatino Linotype"/>
          <w:i/>
          <w:sz w:val="22"/>
          <w:szCs w:val="22"/>
        </w:rPr>
        <w:t xml:space="preserve">. De conformidad con el artículo 113, fracción I de la Ley General, </w:t>
      </w:r>
      <w:r>
        <w:rPr>
          <w:rFonts w:ascii="Palatino Linotype" w:eastAsia="Palatino Linotype" w:hAnsi="Palatino Linotype" w:cs="Palatino Linotype"/>
          <w:b/>
          <w:i/>
          <w:sz w:val="22"/>
          <w:szCs w:val="22"/>
        </w:rPr>
        <w:t>podrá considerarse como información reservada, aquella que comprometa la seguridad pública, al poner en peligro las funciones a cargo de la</w:t>
      </w:r>
      <w:r>
        <w:rPr>
          <w:rFonts w:ascii="Palatino Linotype" w:eastAsia="Palatino Linotype" w:hAnsi="Palatino Linotype" w:cs="Palatino Linotype"/>
          <w:i/>
          <w:sz w:val="22"/>
          <w:szCs w:val="22"/>
        </w:rPr>
        <w:t xml:space="preserve"> Federación, la Ciudad de México, los Estados y </w:t>
      </w:r>
      <w:r>
        <w:rPr>
          <w:rFonts w:ascii="Palatino Linotype" w:eastAsia="Palatino Linotype" w:hAnsi="Palatino Linotype" w:cs="Palatino Linotype"/>
          <w:b/>
          <w:i/>
          <w:sz w:val="22"/>
          <w:szCs w:val="22"/>
        </w:rPr>
        <w:t>los Municipios</w:t>
      </w:r>
      <w:r>
        <w:rPr>
          <w:rFonts w:ascii="Palatino Linotype" w:eastAsia="Palatino Linotype" w:hAnsi="Palatino Linotype" w:cs="Palatino Linotype"/>
          <w:i/>
          <w:sz w:val="22"/>
          <w:szCs w:val="22"/>
        </w:rPr>
        <w:t xml:space="preserve">, tendientes a preservar y resguardar la vida, la salud, la integridad y el ejercicio de los derechos de las personas, así como para el mantenimiento del orden público. 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rsidR="000D0B1C" w:rsidRDefault="00ED1B67">
      <w:pPr>
        <w:tabs>
          <w:tab w:val="left" w:pos="4962"/>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Asimismo, </w:t>
      </w:r>
      <w:r>
        <w:rPr>
          <w:rFonts w:ascii="Palatino Linotype" w:eastAsia="Palatino Linotype" w:hAnsi="Palatino Linotype" w:cs="Palatino Linotype"/>
          <w:b/>
          <w:i/>
          <w:sz w:val="22"/>
          <w:szCs w:val="22"/>
        </w:rPr>
        <w:t xml:space="preserve">podrá considerarse como reservada aquella que revele datos que pudieran ser aprovechados para conocer la capacidad de reacción de las instituciones encargadas de la seguridad pública, sus planes, estrategias, tecnología, información, sistemas de comunicaciones. </w:t>
      </w:r>
    </w:p>
    <w:p w:rsidR="000D0B1C" w:rsidRDefault="000D0B1C">
      <w:pPr>
        <w:tabs>
          <w:tab w:val="left" w:pos="4962"/>
        </w:tabs>
        <w:ind w:left="567" w:right="567"/>
        <w:jc w:val="both"/>
        <w:rPr>
          <w:rFonts w:ascii="Palatino Linotype" w:eastAsia="Palatino Linotype" w:hAnsi="Palatino Linotype" w:cs="Palatino Linotype"/>
          <w:b/>
          <w:i/>
          <w:sz w:val="22"/>
          <w:szCs w:val="22"/>
        </w:rPr>
      </w:pPr>
    </w:p>
    <w:p w:rsidR="000D0B1C" w:rsidRDefault="00ED1B67">
      <w:pPr>
        <w:tabs>
          <w:tab w:val="left" w:pos="4962"/>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Décimo noveno. De conformidad con el artículo 113, fracción I de la Ley General, podrá considerarse como información reservada que compromete la defensa nacional, aquella que difunda, actualice o potencialice un riesgo o amenaza que ponga en peligro las misiones generales</w:t>
      </w:r>
      <w:r>
        <w:rPr>
          <w:rFonts w:ascii="Palatino Linotype" w:eastAsia="Palatino Linotype" w:hAnsi="Palatino Linotype" w:cs="Palatino Linotype"/>
          <w:i/>
          <w:sz w:val="22"/>
          <w:szCs w:val="22"/>
        </w:rPr>
        <w:t xml:space="preserve"> del Ejército, Fuerza Aérea Mexicana o Armada de México, relacionadas con la defensa del Estado mexicano, para salvaguardar la soberanía y defender la integridad, y permanencia del territorio nacional. Asimismo, </w:t>
      </w:r>
      <w:r>
        <w:rPr>
          <w:rFonts w:ascii="Palatino Linotype" w:eastAsia="Palatino Linotype" w:hAnsi="Palatino Linotype" w:cs="Palatino Linotype"/>
          <w:b/>
          <w:i/>
          <w:sz w:val="22"/>
          <w:szCs w:val="22"/>
        </w:rPr>
        <w:t>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w:t>
      </w:r>
    </w:p>
    <w:p w:rsidR="000D0B1C" w:rsidRDefault="00ED1B67">
      <w:pPr>
        <w:tabs>
          <w:tab w:val="left" w:pos="4962"/>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0D0B1C" w:rsidRDefault="00ED1B67">
      <w:pPr>
        <w:tabs>
          <w:tab w:val="left" w:pos="4962"/>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Vigésimo tercero. Para clasificar la información como reservada, de conformidad con el artículo 113, fracción V de la Ley General, será necesario acreditar un vínculo, entre la persona física y la información que pueda poner en riesgo su vida, seguridad o salud.</w:t>
      </w:r>
    </w:p>
    <w:p w:rsidR="000D0B1C" w:rsidRDefault="00ED1B67">
      <w:pPr>
        <w:tabs>
          <w:tab w:val="left" w:pos="4962"/>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Trigésimo tercero. Para la aplicación de la prueba de daño a la que hace referencia el artículo 104 de la Ley General, los sujetos obligados atenderán lo siguiente: </w:t>
      </w:r>
    </w:p>
    <w:p w:rsidR="000D0B1C" w:rsidRDefault="00ED1B67">
      <w:pPr>
        <w:tabs>
          <w:tab w:val="left" w:pos="4962"/>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rsidR="000D0B1C" w:rsidRDefault="00ED1B67">
      <w:pPr>
        <w:tabs>
          <w:tab w:val="left" w:pos="4962"/>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rsidR="000D0B1C" w:rsidRDefault="00ED1B67">
      <w:pPr>
        <w:tabs>
          <w:tab w:val="left" w:pos="4962"/>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Se debe de acreditar el vínculo entre la difusión de la información y la afectación del interés jurídico tutelado de que se trate; </w:t>
      </w:r>
    </w:p>
    <w:p w:rsidR="000D0B1C" w:rsidRDefault="00ED1B67">
      <w:pPr>
        <w:tabs>
          <w:tab w:val="left" w:pos="4962"/>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IV. Precisar las razones objetivas por las que la apertura de la información generaría una afectación, a través de los elementos de un riesgo real, demostrable e identificable; </w:t>
      </w:r>
    </w:p>
    <w:p w:rsidR="000D0B1C" w:rsidRDefault="00ED1B67">
      <w:pPr>
        <w:tabs>
          <w:tab w:val="left" w:pos="4962"/>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 En la motivación de la clasificación, el sujeto obligado deberá acreditar las circunstancias de modo, tiempo y lugar del daño, y </w:t>
      </w:r>
    </w:p>
    <w:p w:rsidR="000D0B1C" w:rsidRDefault="00ED1B67">
      <w:pPr>
        <w:tabs>
          <w:tab w:val="left" w:pos="4962"/>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rsidR="000D0B1C" w:rsidRDefault="00ED1B67">
      <w:pPr>
        <w:tabs>
          <w:tab w:val="left" w:pos="4962"/>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(Sic)</w:t>
      </w:r>
    </w:p>
    <w:p w:rsidR="000D0B1C" w:rsidRDefault="000D0B1C">
      <w:pPr>
        <w:spacing w:line="360" w:lineRule="auto"/>
        <w:jc w:val="both"/>
        <w:rPr>
          <w:rFonts w:ascii="Palatino Linotype" w:eastAsia="Palatino Linotype" w:hAnsi="Palatino Linotype" w:cs="Palatino Linotype"/>
        </w:rPr>
      </w:pPr>
    </w:p>
    <w:p w:rsidR="000D0B1C" w:rsidRDefault="00ED1B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Lineamientos referidos, se desprende que para clasificar la información como reservada, será aquella que revele datos que pudieran ser aprovechados para conocer la capacidad de reacción de las instituciones encargadas de la seguridad pública y que pongan en peligro la seguridad pública y funciones de los Municipios, tendientes a preservar y resguardar la vida e integridad física de los gobernados.</w:t>
      </w:r>
    </w:p>
    <w:p w:rsidR="000D0B1C" w:rsidRDefault="00ED1B67">
      <w:pPr>
        <w:tabs>
          <w:tab w:val="left" w:pos="709"/>
        </w:tabs>
        <w:spacing w:before="240" w:after="16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Aunado a lo anterior, es preciso recordar que corresponde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confirmar, modificar o revocar la clasificación de la información, mediante el respectivo acuerdo que cumpla con las formalidades que se analizarán a continuación; para tal efecto, en primera instancia, deberán realizar una prueba de daño en la que se fundan y motivan las razones por las  que se clasifica la información, esto de conformidad con el numeral 129 de la Ley de Transparencia Local, así como los diversos 128, 130, 131, 133 y 134 de la misma Ley, para poder emitir el acuerdo de clasificación en donde se funden y motiven las razones por las cuales no se puede entregar la información. </w:t>
      </w:r>
    </w:p>
    <w:p w:rsidR="000D0B1C" w:rsidRDefault="00ED1B67">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128.</w:t>
      </w:r>
      <w:r>
        <w:rPr>
          <w:rFonts w:ascii="Palatino Linotype" w:eastAsia="Palatino Linotype" w:hAnsi="Palatino Linotype" w:cs="Palatino Linotype"/>
          <w:i/>
          <w:sz w:val="22"/>
          <w:szCs w:val="22"/>
        </w:rPr>
        <w:t xml:space="preserve"> En los casos en que se niegue el acceso a la información, por actualizarse alguno de los supuestos de clasificación, </w:t>
      </w:r>
      <w:r>
        <w:rPr>
          <w:rFonts w:ascii="Palatino Linotype" w:eastAsia="Palatino Linotype" w:hAnsi="Palatino Linotype" w:cs="Palatino Linotype"/>
          <w:i/>
          <w:sz w:val="22"/>
          <w:szCs w:val="22"/>
          <w:u w:val="single"/>
        </w:rPr>
        <w:t>el Comité de Transparencia deberá confirmar, modificar o revocar la decisión</w:t>
      </w:r>
      <w:r>
        <w:rPr>
          <w:rFonts w:ascii="Palatino Linotype" w:eastAsia="Palatino Linotype" w:hAnsi="Palatino Linotype" w:cs="Palatino Linotype"/>
          <w:i/>
          <w:sz w:val="22"/>
          <w:szCs w:val="22"/>
        </w:rPr>
        <w:t xml:space="preserve">. </w:t>
      </w:r>
    </w:p>
    <w:p w:rsidR="000D0B1C" w:rsidRDefault="00ED1B67">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rsidR="000D0B1C" w:rsidRDefault="00ED1B67">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Tratándose de aquélla información que actualice los supuestos de clasificación, deberá señalarse el plazo al que estará sujeto la reserva. </w:t>
      </w:r>
    </w:p>
    <w:p w:rsidR="000D0B1C" w:rsidRDefault="00ED1B67">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En la aplicación de la prueba de daño</w:t>
      </w:r>
      <w:r>
        <w:rPr>
          <w:rFonts w:ascii="Palatino Linotype" w:eastAsia="Palatino Linotype" w:hAnsi="Palatino Linotype" w:cs="Palatino Linotype"/>
          <w:i/>
          <w:sz w:val="22"/>
          <w:szCs w:val="22"/>
        </w:rPr>
        <w:t xml:space="preserve">, el sujeto obligado deberá precisar las razones objetivas por las que la apertura de la información generaría una afectación, justificando que: </w:t>
      </w:r>
    </w:p>
    <w:p w:rsidR="000D0B1C" w:rsidRDefault="00ED1B67">
      <w:pPr>
        <w:spacing w:before="240" w:after="240"/>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 xml:space="preserve">La divulgación de la información representa un riesgo real, demostrable e identificable del perjuicio significativo al interés público o a la seguridad pública; </w:t>
      </w:r>
    </w:p>
    <w:p w:rsidR="000D0B1C" w:rsidRDefault="00ED1B67">
      <w:pPr>
        <w:spacing w:before="240" w:after="240"/>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II.</w:t>
      </w:r>
      <w:r>
        <w:rPr>
          <w:rFonts w:ascii="Palatino Linotype" w:eastAsia="Palatino Linotype" w:hAnsi="Palatino Linotype" w:cs="Palatino Linotype"/>
          <w:i/>
          <w:sz w:val="22"/>
          <w:szCs w:val="22"/>
          <w:u w:val="single"/>
        </w:rPr>
        <w:t xml:space="preserve"> El riesgo de perjuicio que supondría la divulgación supera el interés público general de que se difunda; y </w:t>
      </w:r>
    </w:p>
    <w:p w:rsidR="000D0B1C" w:rsidRDefault="00ED1B67">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lastRenderedPageBreak/>
        <w:t>III.</w:t>
      </w:r>
      <w:r>
        <w:rPr>
          <w:rFonts w:ascii="Palatino Linotype" w:eastAsia="Palatino Linotype" w:hAnsi="Palatino Linotype" w:cs="Palatino Linotype"/>
          <w:i/>
          <w:sz w:val="22"/>
          <w:szCs w:val="22"/>
          <w:u w:val="single"/>
        </w:rPr>
        <w:t xml:space="preserve"> La limitación se adecua al principio de proporcionalidad y representa el medio menos restrictivo disponible representa el medio menos restrictivo disponible para evitar el perjuicio. </w:t>
      </w:r>
    </w:p>
    <w:p w:rsidR="000D0B1C" w:rsidRDefault="00ED1B67">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130.</w:t>
      </w:r>
      <w:r>
        <w:rPr>
          <w:rFonts w:ascii="Palatino Linotype" w:eastAsia="Palatino Linotype" w:hAnsi="Palatino Linotype" w:cs="Palatino Linotype"/>
          <w:i/>
          <w:sz w:val="22"/>
          <w:szCs w:val="22"/>
        </w:rPr>
        <w:t xml:space="preserve">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w:t>
      </w:r>
    </w:p>
    <w:p w:rsidR="000D0B1C" w:rsidRDefault="00ED1B67">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La carga de la prueba para justificar toda negativa de acceso a la información, por actualizarse cualquiera de los supuestos de clasificación previstos en esta Ley corresponderá a los sujetos obligados</w:t>
      </w:r>
      <w:r>
        <w:rPr>
          <w:rFonts w:ascii="Palatino Linotype" w:eastAsia="Palatino Linotype" w:hAnsi="Palatino Linotype" w:cs="Palatino Linotype"/>
          <w:i/>
          <w:sz w:val="22"/>
          <w:szCs w:val="22"/>
        </w:rPr>
        <w:t>; en tal caso deberá fundar y motivar debidamente la clasificación de la información, de conformidad con lo previsto en la presente Ley.</w:t>
      </w:r>
    </w:p>
    <w:p w:rsidR="000D0B1C" w:rsidRDefault="00ED1B67">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133.</w:t>
      </w:r>
      <w:r>
        <w:rPr>
          <w:rFonts w:ascii="Palatino Linotype" w:eastAsia="Palatino Linotype" w:hAnsi="Palatino Linotype" w:cs="Palatino Linotype"/>
          <w:i/>
          <w:sz w:val="22"/>
          <w:szCs w:val="22"/>
        </w:rPr>
        <w:t xml:space="preserve"> Los documentos clasificados total o parcialmente deberán llevar una leyenda que indique tal carácter, la fecha de clasificación, el fundamento legal y, en su caso, el periodo de reserva. </w:t>
      </w:r>
    </w:p>
    <w:p w:rsidR="000D0B1C" w:rsidRDefault="00ED1B67">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Los sujetos obligados no podrán emitir acuerdos de carácter general ni particular que clasifiquen documentos o información como reservada</w:t>
      </w:r>
      <w:r>
        <w:rPr>
          <w:rFonts w:ascii="Palatino Linotype" w:eastAsia="Palatino Linotype" w:hAnsi="Palatino Linotype" w:cs="Palatino Linotype"/>
          <w:i/>
          <w:sz w:val="22"/>
          <w:szCs w:val="22"/>
        </w:rPr>
        <w:t>. La clasificación podrá establecerse de manera parcial o total de acuerdo al contenido de la información del documento y deberá estar acorde con la actualización de los supuestos definidos en el presente Título como información clasificada.”</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que, en los casos en que se niegue el acceso a la información por actualizarse alguno de los supuestos de clasificación, se deberá confirmar, modificar o revocar la decisión, así como generar una prueba de daño, en la cual,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justificar que la divulgación de la información representa un riesgo real, demostrable e identificable. Que el riesgo de perjuicio que supondría la divulgación supera el interés público general y analizar si las limitaciones se adecuan al principio de proporcionalidad o si representa el medio menos restrictivo disponible para evitar algún perjuicio.</w:t>
      </w:r>
    </w:p>
    <w:p w:rsidR="000D0B1C" w:rsidRDefault="00ED1B67">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Dicha prueba de daño establecida en el artículo 129 de dicho ordenamiento, se debe justificar de la siguiente manera:</w:t>
      </w:r>
    </w:p>
    <w:p w:rsidR="000D0B1C" w:rsidRDefault="000D0B1C">
      <w:pPr>
        <w:tabs>
          <w:tab w:val="left" w:pos="4962"/>
        </w:tabs>
        <w:spacing w:line="360" w:lineRule="auto"/>
        <w:jc w:val="both"/>
        <w:rPr>
          <w:rFonts w:ascii="Palatino Linotype" w:eastAsia="Palatino Linotype" w:hAnsi="Palatino Linotype" w:cs="Palatino Linotype"/>
        </w:rPr>
      </w:pPr>
    </w:p>
    <w:p w:rsidR="000D0B1C" w:rsidRDefault="00ED1B67">
      <w:pPr>
        <w:numPr>
          <w:ilvl w:val="0"/>
          <w:numId w:val="5"/>
        </w:numPr>
        <w:tabs>
          <w:tab w:val="left" w:pos="4962"/>
        </w:tabs>
        <w:spacing w:after="160" w:line="360" w:lineRule="auto"/>
        <w:ind w:left="567" w:right="567" w:hanging="371"/>
        <w:jc w:val="both"/>
        <w:rPr>
          <w:rFonts w:ascii="Palatino Linotype" w:eastAsia="Palatino Linotype" w:hAnsi="Palatino Linotype" w:cs="Palatino Linotype"/>
        </w:rPr>
      </w:pPr>
      <w:r>
        <w:rPr>
          <w:rFonts w:ascii="Palatino Linotype" w:eastAsia="Palatino Linotype" w:hAnsi="Palatino Linotype" w:cs="Palatino Linotype"/>
        </w:rPr>
        <w:t>La divulgación de la información representa un riesgo real, demostrable e identificable de perjuicio significativo al interés público o a la seguridad nacional.</w:t>
      </w:r>
    </w:p>
    <w:p w:rsidR="000D0B1C" w:rsidRDefault="00ED1B67">
      <w:pPr>
        <w:numPr>
          <w:ilvl w:val="0"/>
          <w:numId w:val="5"/>
        </w:numPr>
        <w:tabs>
          <w:tab w:val="left" w:pos="4962"/>
        </w:tabs>
        <w:spacing w:after="160" w:line="360" w:lineRule="auto"/>
        <w:ind w:left="567" w:right="567" w:hanging="371"/>
        <w:jc w:val="both"/>
        <w:rPr>
          <w:rFonts w:ascii="Palatino Linotype" w:eastAsia="Palatino Linotype" w:hAnsi="Palatino Linotype" w:cs="Palatino Linotype"/>
        </w:rPr>
      </w:pPr>
      <w:r>
        <w:rPr>
          <w:rFonts w:ascii="Palatino Linotype" w:eastAsia="Palatino Linotype" w:hAnsi="Palatino Linotype" w:cs="Palatino Linotype"/>
        </w:rPr>
        <w:t>El riesgo de perjuicio supera el interés público general de que se difunda.</w:t>
      </w:r>
    </w:p>
    <w:p w:rsidR="000D0B1C" w:rsidRDefault="00ED1B67">
      <w:pPr>
        <w:numPr>
          <w:ilvl w:val="0"/>
          <w:numId w:val="5"/>
        </w:numPr>
        <w:tabs>
          <w:tab w:val="left" w:pos="4962"/>
        </w:tabs>
        <w:spacing w:after="160" w:line="360" w:lineRule="auto"/>
        <w:ind w:left="567" w:right="567" w:hanging="371"/>
        <w:jc w:val="both"/>
        <w:rPr>
          <w:rFonts w:ascii="Palatino Linotype" w:eastAsia="Palatino Linotype" w:hAnsi="Palatino Linotype" w:cs="Palatino Linotype"/>
        </w:rPr>
      </w:pPr>
      <w:r>
        <w:rPr>
          <w:rFonts w:ascii="Palatino Linotype" w:eastAsia="Palatino Linotype" w:hAnsi="Palatino Linotype" w:cs="Palatino Linotype"/>
        </w:rPr>
        <w:t>Que la limitación se adecua al principio de proporcionalidad y representa el medio menos restrictivo disponible para evitar el perjuicio.</w:t>
      </w:r>
    </w:p>
    <w:p w:rsidR="000D0B1C" w:rsidRDefault="00ED1B6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Finalmente, 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rsidR="000D0B1C" w:rsidRDefault="000D0B1C">
      <w:pPr>
        <w:spacing w:line="360" w:lineRule="auto"/>
        <w:jc w:val="both"/>
        <w:rPr>
          <w:rFonts w:ascii="Palatino Linotype" w:eastAsia="Palatino Linotype" w:hAnsi="Palatino Linotype" w:cs="Palatino Linotype"/>
          <w:color w:val="000000"/>
        </w:rPr>
      </w:pPr>
    </w:p>
    <w:p w:rsidR="000D0B1C" w:rsidRDefault="00ED1B67">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Pr>
          <w:rFonts w:ascii="Palatino Linotype" w:eastAsia="Palatino Linotype" w:hAnsi="Palatino Linotype" w:cs="Palatino Linotype"/>
          <w:b/>
        </w:rPr>
        <w:t>RESERVADA</w:t>
      </w:r>
      <w:r>
        <w:rPr>
          <w:rFonts w:ascii="Palatino Linotype" w:eastAsia="Palatino Linotype" w:hAnsi="Palatino Linotype" w:cs="Palatino Linotype"/>
        </w:rPr>
        <w:t>, delimitando una serie de hipótesis de hecho en las cuales descansa la posibilidad de reserva de información, por lo que dentro la información que generen, posean o administren los Sujetos Obligados, se considerará reservada cuando su divulgación comprometa la seguridad pública y cuente con un propósito genuino y un efecto demostrable, como lo es en el caso en particular.</w:t>
      </w:r>
    </w:p>
    <w:p w:rsidR="000D0B1C" w:rsidRDefault="00ED1B6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expuesto, se considera que para atender los requerimientos de información,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entregar el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respecto a los datos requeridos en la solicitud de información.</w:t>
      </w:r>
    </w:p>
    <w:p w:rsidR="000D0B1C" w:rsidRDefault="000D0B1C">
      <w:pPr>
        <w:spacing w:line="360" w:lineRule="auto"/>
        <w:jc w:val="both"/>
        <w:rPr>
          <w:rFonts w:ascii="Palatino Linotype" w:eastAsia="Palatino Linotype" w:hAnsi="Palatino Linotype" w:cs="Palatino Linotype"/>
          <w:color w:val="000000"/>
          <w:highlight w:val="green"/>
        </w:rPr>
      </w:pPr>
    </w:p>
    <w:p w:rsidR="000D0B1C" w:rsidRDefault="00ED1B6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orden de ideas, toda vez que, en el presente caso, no se le entregará la información peticionada, se considera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únicamente deberá proporcionar el Acuerdo de Clasificación previamente referido.</w:t>
      </w:r>
    </w:p>
    <w:p w:rsidR="000D0B1C" w:rsidRDefault="000D0B1C">
      <w:pPr>
        <w:spacing w:line="360" w:lineRule="auto"/>
        <w:jc w:val="both"/>
        <w:rPr>
          <w:rFonts w:ascii="Palatino Linotype" w:eastAsia="Palatino Linotype" w:hAnsi="Palatino Linotype" w:cs="Palatino Linotype"/>
          <w:color w:val="000000"/>
        </w:rPr>
      </w:pPr>
    </w:p>
    <w:p w:rsidR="000D0B1C" w:rsidRDefault="00ED1B6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Finalmente respecto al planteamiento </w:t>
      </w:r>
      <w:r>
        <w:rPr>
          <w:rFonts w:ascii="Palatino Linotype" w:eastAsia="Palatino Linotype" w:hAnsi="Palatino Linotype" w:cs="Palatino Linotype"/>
          <w:i/>
          <w:sz w:val="22"/>
          <w:szCs w:val="22"/>
        </w:rPr>
        <w:t>“</w:t>
      </w:r>
      <w:r>
        <w:rPr>
          <w:rFonts w:ascii="Palatino Linotype" w:eastAsia="Palatino Linotype" w:hAnsi="Palatino Linotype" w:cs="Palatino Linotype"/>
          <w:b/>
          <w:i/>
        </w:rPr>
        <w:t>7. ¿El municipio está implementando el Servicio Profesional de Carrera Policial?</w:t>
      </w:r>
      <w:r>
        <w:rPr>
          <w:rFonts w:ascii="Palatino Linotype" w:eastAsia="Palatino Linotype" w:hAnsi="Palatino Linotype" w:cs="Palatino Linotype"/>
          <w:b/>
          <w:i/>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rPr>
        <w:t xml:space="preserve">la multicitada Ley de Seguridad </w:t>
      </w:r>
      <w:r>
        <w:rPr>
          <w:rFonts w:ascii="Palatino Linotype" w:eastAsia="Palatino Linotype" w:hAnsi="Palatino Linotype" w:cs="Palatino Linotype"/>
        </w:rPr>
        <w:lastRenderedPageBreak/>
        <w:t xml:space="preserve">aplicable a la entidad, determina en su artículo 20, fracción VI que es atribución de los ayuntamientos, la implementación de la carrera policial, la cual deberá establecerse en estricta observancia a los artículos 140 y 141 de la legislación en referencia: </w:t>
      </w:r>
    </w:p>
    <w:p w:rsidR="000D0B1C" w:rsidRDefault="00ED1B67">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140.- </w:t>
      </w:r>
      <w:r>
        <w:rPr>
          <w:rFonts w:ascii="Palatino Linotype" w:eastAsia="Palatino Linotype" w:hAnsi="Palatino Linotype" w:cs="Palatino Linotype"/>
          <w:b/>
          <w:i/>
          <w:sz w:val="22"/>
          <w:szCs w:val="22"/>
        </w:rPr>
        <w:t xml:space="preserve">La Carrera Policial es el sistema de carácter </w:t>
      </w:r>
      <w:r>
        <w:rPr>
          <w:rFonts w:ascii="Palatino Linotype" w:eastAsia="Palatino Linotype" w:hAnsi="Palatino Linotype" w:cs="Palatino Linotype"/>
          <w:b/>
          <w:i/>
          <w:sz w:val="22"/>
          <w:szCs w:val="22"/>
          <w:u w:val="single"/>
        </w:rPr>
        <w:t>obligatorio y permanente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conforme al cual se establecen los lineamientos que definen los procedimientos de reclutamiento, selección, ingreso, formación, certificación, permanencia, evaluación, promoción y reconocimiento, así como la separación o baja del servicio de los integrantes de las Instituciones Policiales, en el que se regirán por una doctrina policial fundada en el servicio a la sociedad, la disciplina, el respeto a los derechos humanos, al imperio de la ley, al mando superior, y en lo conducente a la perspectiva de género.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141.- Los fines de la Carrera Policial son: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Garantizar el desarrollo institucional y asegurar la estabilidad en el empleo, con base en un esquema proporcional y equitativo de remuneraciones y prestaciones para los integrantes de las Instituciones Policiales;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Promover la responsabilidad, honradez, diligencia, eficiencia y eficacia en el desempeño de las funciones y en la óptima utilización de los recursos de las Instituciones Policiales;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Fomentar la vocación de servicio y el sentido de pertenencia, mediante la motivación y el establecimiento de un adecuado sistema de promociones que permita satisfacer las expectativas de desarrollo profesional y reconocimiento de los integrantes de las Instituciones Policiales;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Instrumentar e impulsar la capacitación y profesionalización permanente de los integrantes de las Instituciones Policiales para asegurar la lealtad institucional en la prestación de los servicios; y </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Los demás que establezcan las disposiciones aplicables</w:t>
      </w:r>
    </w:p>
    <w:p w:rsidR="000D0B1C" w:rsidRDefault="00ED1B6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(Sic) (Énfasis añadido)</w:t>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tales consideraciones, se estima que, para colmar el requerimiento de información del particular,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entregar el o los documentos mediante los cuales se dé cuenta de la implementación del servicio profesional de carrera policial en el </w:t>
      </w:r>
      <w:r>
        <w:rPr>
          <w:rFonts w:ascii="Palatino Linotype" w:eastAsia="Palatino Linotype" w:hAnsi="Palatino Linotype" w:cs="Palatino Linotype"/>
          <w:b/>
        </w:rPr>
        <w:t>Sujeto Obligado</w:t>
      </w:r>
      <w:r>
        <w:rPr>
          <w:rFonts w:ascii="Palatino Linotype" w:eastAsia="Palatino Linotype" w:hAnsi="Palatino Linotype" w:cs="Palatino Linotype"/>
        </w:rPr>
        <w:t>, sin embargo, si derivado de la búsqueda que se efectúe, no llegara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 xml:space="preserve"> (…)</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Pr>
          <w:rFonts w:ascii="Palatino Linotype" w:eastAsia="Palatino Linotype" w:hAnsi="Palatino Linotype" w:cs="Palatino Linotype"/>
          <w:i/>
          <w:sz w:val="22"/>
          <w:szCs w:val="22"/>
        </w:rPr>
        <w:t>, debidamente fundado y motivado, en el que detalle las razones del por qué no obra en sus archivos.”</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atribuciones</w:t>
      </w:r>
      <w:r>
        <w:rPr>
          <w:rFonts w:ascii="Palatino Linotype" w:eastAsia="Palatino Linotype" w:hAnsi="Palatino Linotype" w:cs="Palatino Linotype"/>
          <w:i/>
          <w:sz w:val="22"/>
          <w:szCs w:val="22"/>
        </w:rPr>
        <w:t>:</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Confirmar, modificar o revocar las determinaciones que en materia de</w:t>
      </w:r>
      <w:r>
        <w:rPr>
          <w:rFonts w:ascii="Palatino Linotype" w:eastAsia="Palatino Linotype" w:hAnsi="Palatino Linotype" w:cs="Palatino Linotype"/>
          <w:i/>
          <w:sz w:val="22"/>
          <w:szCs w:val="22"/>
        </w:rPr>
        <w:t xml:space="preserve"> ampliación del plazo de respuesta, clasificación de la información y </w:t>
      </w:r>
      <w:r>
        <w:rPr>
          <w:rFonts w:ascii="Palatino Linotype" w:eastAsia="Palatino Linotype" w:hAnsi="Palatino Linotype" w:cs="Palatino Linotype"/>
          <w:b/>
          <w:i/>
          <w:sz w:val="22"/>
          <w:szCs w:val="22"/>
        </w:rPr>
        <w:t>declaración de inexistencia</w:t>
      </w:r>
      <w:r>
        <w:rPr>
          <w:rFonts w:ascii="Palatino Linotype" w:eastAsia="Palatino Linotype" w:hAnsi="Palatino Linotype" w:cs="Palatino Linotype"/>
          <w:i/>
          <w:sz w:val="22"/>
          <w:szCs w:val="22"/>
        </w:rPr>
        <w:t xml:space="preserve"> o de incompetencia realicen los titulares de las áreas de los sujetos obligados;</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w:t>
      </w:r>
      <w:r>
        <w:rPr>
          <w:rFonts w:ascii="Palatino Linotype" w:eastAsia="Palatino Linotype" w:hAnsi="Palatino Linotype" w:cs="Palatino Linotype"/>
          <w:b/>
          <w:i/>
          <w:sz w:val="22"/>
          <w:szCs w:val="22"/>
        </w:rPr>
        <w:t>Dictaminar las declaratorias de inexistencia de la información</w:t>
      </w:r>
      <w:r>
        <w:rPr>
          <w:rFonts w:ascii="Palatino Linotype" w:eastAsia="Palatino Linotype" w:hAnsi="Palatino Linotype" w:cs="Palatino Linotype"/>
          <w:i/>
          <w:sz w:val="22"/>
          <w:szCs w:val="22"/>
        </w:rPr>
        <w:t xml:space="preserve"> que les remitan las unidades administrativas y resolver en consecuencia…”</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Cuando la información no se encuentre en los archivos del sujeto obligado, el Comité de Transparencia</w:t>
      </w:r>
      <w:r>
        <w:rPr>
          <w:rFonts w:ascii="Palatino Linotype" w:eastAsia="Palatino Linotype" w:hAnsi="Palatino Linotype" w:cs="Palatino Linotype"/>
          <w:i/>
          <w:sz w:val="22"/>
          <w:szCs w:val="22"/>
        </w:rPr>
        <w:t xml:space="preserve">: </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Analizará el caso y tomará las medidas necesarias para localizar la información; </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Expedirá una resolución que confirme la inexistencia del documento</w:t>
      </w:r>
      <w:r>
        <w:rPr>
          <w:rFonts w:ascii="Palatino Linotype" w:eastAsia="Palatino Linotype" w:hAnsi="Palatino Linotype" w:cs="Palatino Linotype"/>
          <w:i/>
          <w:sz w:val="22"/>
          <w:szCs w:val="22"/>
        </w:rPr>
        <w:t xml:space="preserve">; </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Notificará al órgano interno de control o equivalente del sujeto obligado quien, en su caso, deberá iniciar el procedimiento de responsabilidad administrativa que corresponda. </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que permitan al solicitante tener la certeza de que se utilizó un criterio de búsqueda exhaustivo</w:t>
      </w:r>
      <w:r>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rsidR="000D0B1C" w:rsidRDefault="00ED1B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rsidR="000D0B1C" w:rsidRDefault="00ED1B67">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“CRITERIO 0004-11 </w:t>
      </w:r>
    </w:p>
    <w:p w:rsidR="000D0B1C" w:rsidRDefault="00ED1B67">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INEXISTENCIA. DECLARATORIA DE LA. ALCANCES Y PROCEDIMIENTOS</w:t>
      </w:r>
      <w:r>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rsidR="000D0B1C" w:rsidRDefault="00ED1B67">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Bajo el entendido de que dicha búsqueda exhaustiva permitirá dos determinaciones: </w:t>
      </w:r>
    </w:p>
    <w:p w:rsidR="000D0B1C" w:rsidRDefault="00ED1B67">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1ª)</w:t>
      </w:r>
      <w:r>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rsidR="000D0B1C" w:rsidRDefault="00ED1B67">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2ª)</w:t>
      </w:r>
      <w:r>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0D0B1C" w:rsidRDefault="00ED1B67">
      <w:pPr>
        <w:spacing w:before="240" w:after="240"/>
        <w:ind w:left="851"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w:t>
      </w:r>
      <w:r>
        <w:rPr>
          <w:rFonts w:ascii="Palatino Linotype" w:eastAsia="Palatino Linotype" w:hAnsi="Palatino Linotype" w:cs="Palatino Linotype"/>
          <w:i/>
          <w:sz w:val="22"/>
          <w:szCs w:val="22"/>
        </w:rPr>
        <w:lastRenderedPageBreak/>
        <w:t>circunstancias que se tomaron en cuenta para llegar a determinar que la información requerida no obra en los archivos a cargo.”</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rsidR="000D0B1C" w:rsidRDefault="00ED1B67">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INEXISTENCIA, CONCEPTO DE, EN MATERIA DE TRANSPARENCIA</w:t>
      </w:r>
      <w:r>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Pr>
          <w:rFonts w:ascii="Palatino Linotype" w:eastAsia="Palatino Linotype" w:hAnsi="Palatino Linotype" w:cs="Palatino Linotype"/>
          <w:b/>
          <w:i/>
          <w:sz w:val="22"/>
          <w:szCs w:val="22"/>
        </w:rPr>
        <w:t>supuestos:</w:t>
      </w:r>
      <w:r>
        <w:rPr>
          <w:rFonts w:ascii="Palatino Linotype" w:eastAsia="Palatino Linotype" w:hAnsi="Palatino Linotype" w:cs="Palatino Linotype"/>
          <w:i/>
          <w:sz w:val="22"/>
          <w:szCs w:val="22"/>
        </w:rPr>
        <w:t xml:space="preserve"> </w:t>
      </w:r>
    </w:p>
    <w:p w:rsidR="000D0B1C" w:rsidRDefault="00ED1B67">
      <w:pPr>
        <w:numPr>
          <w:ilvl w:val="0"/>
          <w:numId w:val="10"/>
        </w:numPr>
        <w:tabs>
          <w:tab w:val="left" w:pos="1276"/>
        </w:tabs>
        <w:spacing w:before="240"/>
        <w:ind w:left="993" w:right="900" w:firstLine="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0D0B1C" w:rsidRDefault="00ED1B67">
      <w:pPr>
        <w:numPr>
          <w:ilvl w:val="0"/>
          <w:numId w:val="10"/>
        </w:numPr>
        <w:tabs>
          <w:tab w:val="left" w:pos="1276"/>
        </w:tabs>
        <w:spacing w:after="240"/>
        <w:ind w:left="993" w:right="900" w:firstLine="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w:t>
      </w:r>
      <w:proofErr w:type="gramStart"/>
      <w:r>
        <w:rPr>
          <w:rFonts w:ascii="Palatino Linotype" w:eastAsia="Palatino Linotype" w:hAnsi="Palatino Linotype" w:cs="Palatino Linotype"/>
          <w:b/>
          <w:i/>
          <w:sz w:val="22"/>
          <w:szCs w:val="22"/>
        </w:rPr>
        <w:t>ninguna</w:t>
      </w:r>
      <w:proofErr w:type="gramEnd"/>
      <w:r>
        <w:rPr>
          <w:rFonts w:ascii="Palatino Linotype" w:eastAsia="Palatino Linotype" w:hAnsi="Palatino Linotype" w:cs="Palatino Linotype"/>
          <w:b/>
          <w:i/>
          <w:sz w:val="22"/>
          <w:szCs w:val="22"/>
        </w:rPr>
        <w:t xml:space="preserve"> de esas acciones. </w:t>
      </w:r>
    </w:p>
    <w:p w:rsidR="000D0B1C" w:rsidRDefault="00ED1B67">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 instruir una búsqueda exhaustiva a todas y cada una de las áreas administrativas de las que se compone, que permitirá:</w:t>
      </w:r>
    </w:p>
    <w:p w:rsidR="000D0B1C" w:rsidRDefault="00ED1B67">
      <w:pPr>
        <w:numPr>
          <w:ilvl w:val="0"/>
          <w:numId w:val="13"/>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actualizarse esta primera hipótesis, la información debe entregarse a la  </w:t>
      </w:r>
      <w:r>
        <w:rPr>
          <w:rFonts w:ascii="Palatino Linotype" w:eastAsia="Palatino Linotype" w:hAnsi="Palatino Linotype" w:cs="Palatino Linotype"/>
          <w:b/>
          <w:i/>
        </w:rPr>
        <w:t xml:space="preserve">Recurrente </w:t>
      </w:r>
      <w:r>
        <w:rPr>
          <w:rFonts w:ascii="Palatino Linotype" w:eastAsia="Palatino Linotype" w:hAnsi="Palatino Linotype" w:cs="Palatino Linotype"/>
        </w:rPr>
        <w:t>a través del o los documentos fuente.</w:t>
      </w:r>
    </w:p>
    <w:p w:rsidR="000D0B1C" w:rsidRDefault="00ED1B67">
      <w:pPr>
        <w:numPr>
          <w:ilvl w:val="0"/>
          <w:numId w:val="13"/>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y a este Pleno.</w:t>
      </w:r>
    </w:p>
    <w:p w:rsidR="000D0B1C" w:rsidRDefault="00ED1B67">
      <w:pPr>
        <w:numPr>
          <w:ilvl w:val="0"/>
          <w:numId w:val="13"/>
        </w:numPr>
        <w:spacing w:before="240" w:after="240" w:line="360" w:lineRule="auto"/>
        <w:ind w:left="714" w:hanging="357"/>
        <w:jc w:val="both"/>
        <w:rPr>
          <w:rFonts w:ascii="Palatino Linotype" w:eastAsia="Palatino Linotype" w:hAnsi="Palatino Linotype" w:cs="Palatino Linotype"/>
        </w:rPr>
      </w:pPr>
      <w:r>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rsidR="000D0B1C" w:rsidRDefault="00ED1B67">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por todo lo expuesto que se concluye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no garantizó el derecho de acceso a la información del particular, toda vez que, en términos del análisis planteado se determinó que no se satisface a totalidad la solicitud de información, se estima procedente ordenar la entrega de los documentos donde consten deuda total del municipio, especificar conceptos, nombres de acreedores y montos de deuda, incluyendo deuda por pago de compras, proveedores y juicios laborales, número de elementos de seguridad por cada 1000 habitantes tiene el municipio, número total de elementos de seguridad pública, número de elementos que se encuentran comisionados a labores distintas a la prevención del delito y seguridad pública, el acuerdo por el que se clasifique como reservado el número de elementos que tienen función de escolta y los que se encuentran comisionados al resguardo de instalaciones municipales, documento en el que se advierta si los elementos de seguridad cuentan  con el equipo básico y en qué consiste, así como los documentos mediante los cuales se dé cuenta de la implementación del servicio profesional de carrera policial,  esto de conformidad con el Considerando siguiente.</w:t>
      </w:r>
    </w:p>
    <w:p w:rsidR="000D0B1C" w:rsidRDefault="00ED1B6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w:t>
      </w:r>
      <w:r>
        <w:rPr>
          <w:rFonts w:ascii="Palatino Linotype" w:eastAsia="Palatino Linotype" w:hAnsi="Palatino Linotype" w:cs="Palatino Linotype"/>
        </w:rPr>
        <w:lastRenderedPageBreak/>
        <w:t>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0D0B1C" w:rsidRDefault="00ED1B67">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Pr>
          <w:rFonts w:ascii="Palatino Linotype" w:eastAsia="Palatino Linotype" w:hAnsi="Palatino Linotype" w:cs="Palatino Linotype"/>
        </w:rPr>
        <w:t>fracción</w:t>
      </w:r>
      <w:proofErr w:type="gramEnd"/>
      <w:r>
        <w:rPr>
          <w:rFonts w:ascii="Palatino Linotype" w:eastAsia="Palatino Linotype" w:hAnsi="Palatino Linotype" w:cs="Palatino Linotype"/>
        </w:rPr>
        <w:t xml:space="preserve"> I de la Ley de Transparencia y Acceso a la Información Pública del Estado de México y Municipios que establecen:</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0D0B1C" w:rsidRDefault="00ED1B6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D0B1C" w:rsidRDefault="00ED1B6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0D0B1C" w:rsidRDefault="00ED1B6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0D0B1C" w:rsidRDefault="00ED1B6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D0B1C" w:rsidRDefault="00ED1B6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0D0B1C" w:rsidRDefault="00ED1B6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132. </w:t>
      </w:r>
      <w:r>
        <w:rPr>
          <w:rFonts w:ascii="Palatino Linotype" w:eastAsia="Palatino Linotype" w:hAnsi="Palatino Linotype" w:cs="Palatino Linotype"/>
          <w:i/>
          <w:sz w:val="22"/>
          <w:szCs w:val="22"/>
        </w:rPr>
        <w:t>La clasificación de la información se llevará a cabo en el momento en que:</w:t>
      </w:r>
    </w:p>
    <w:p w:rsidR="000D0B1C" w:rsidRDefault="00ED1B6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rsidR="000D0B1C" w:rsidRDefault="00ED1B6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rsidR="000D0B1C" w:rsidRDefault="00ED1B6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0D0B1C" w:rsidRDefault="00ED1B6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Pr>
          <w:rFonts w:ascii="Palatino Linotype" w:eastAsia="Palatino Linotype" w:hAnsi="Palatino Linotype" w:cs="Palatino Linotype"/>
          <w:i/>
          <w:sz w:val="22"/>
          <w:szCs w:val="22"/>
        </w:rPr>
        <w:t>jurídico</w:t>
      </w:r>
      <w:proofErr w:type="gramEnd"/>
      <w:r>
        <w:rPr>
          <w:rFonts w:ascii="Palatino Linotype" w:eastAsia="Palatino Linotype" w:hAnsi="Palatino Linotype" w:cs="Palatino Linotype"/>
          <w:i/>
          <w:sz w:val="22"/>
          <w:szCs w:val="22"/>
        </w:rPr>
        <w:t xml:space="preserve"> colectiva identificada o identificable;</w:t>
      </w:r>
    </w:p>
    <w:p w:rsidR="000D0B1C" w:rsidRDefault="00ED1B6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D0B1C" w:rsidRDefault="00ED1B6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w:t>
      </w:r>
      <w:r>
        <w:rPr>
          <w:rFonts w:ascii="Palatino Linotype" w:eastAsia="Palatino Linotype" w:hAnsi="Palatino Linotype" w:cs="Palatino Linotype"/>
        </w:rPr>
        <w:lastRenderedPageBreak/>
        <w:t>posean, desclasificarán y generarán, en su caso, versiones públicas de expedientes o documentos que contengan partes o secciones clasificadas.</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0D0B1C" w:rsidRDefault="00ED1B6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0D0B1C" w:rsidRDefault="00ED1B6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0D0B1C" w:rsidRDefault="00ED1B6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0D0B1C" w:rsidRDefault="00ED1B6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w:t>
      </w:r>
      <w:r>
        <w:rPr>
          <w:rFonts w:ascii="Palatino Linotype" w:eastAsia="Palatino Linotype" w:hAnsi="Palatino Linotype" w:cs="Palatino Linotype"/>
        </w:rPr>
        <w:lastRenderedPageBreak/>
        <w:t>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0D0B1C">
        <w:tc>
          <w:tcPr>
            <w:tcW w:w="4253" w:type="dxa"/>
            <w:gridSpan w:val="2"/>
            <w:tcBorders>
              <w:top w:val="nil"/>
              <w:left w:val="nil"/>
              <w:right w:val="nil"/>
            </w:tcBorders>
          </w:tcPr>
          <w:p w:rsidR="000D0B1C" w:rsidRDefault="00ED1B6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0D0B1C" w:rsidRDefault="00ED1B6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0D0B1C">
        <w:tc>
          <w:tcPr>
            <w:tcW w:w="1134" w:type="dxa"/>
          </w:tcPr>
          <w:p w:rsidR="000D0B1C" w:rsidRDefault="00ED1B6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rsidR="000D0B1C" w:rsidRDefault="00ED1B6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rsidR="000D0B1C" w:rsidRDefault="00ED1B6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0D0B1C" w:rsidRDefault="00ED1B6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0D0B1C">
        <w:tc>
          <w:tcPr>
            <w:tcW w:w="8828" w:type="dxa"/>
            <w:gridSpan w:val="4"/>
          </w:tcPr>
          <w:p w:rsidR="000D0B1C" w:rsidRDefault="00ED1B6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0D0B1C">
        <w:tc>
          <w:tcPr>
            <w:tcW w:w="1134"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0D0B1C">
        <w:tc>
          <w:tcPr>
            <w:tcW w:w="1134"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0D0B1C">
        <w:tc>
          <w:tcPr>
            <w:tcW w:w="1134"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sz w:val="12"/>
                <w:szCs w:val="12"/>
              </w:rPr>
              <w:t>anotarán</w:t>
            </w:r>
            <w:proofErr w:type="gramEnd"/>
            <w:r>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0D0B1C">
        <w:tc>
          <w:tcPr>
            <w:tcW w:w="1134"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0D0B1C">
        <w:tc>
          <w:tcPr>
            <w:tcW w:w="1134"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0D0B1C">
        <w:tc>
          <w:tcPr>
            <w:tcW w:w="1134"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0D0B1C">
        <w:tc>
          <w:tcPr>
            <w:tcW w:w="1134"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0D0B1C">
        <w:tc>
          <w:tcPr>
            <w:tcW w:w="1134"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0D0B1C">
        <w:tc>
          <w:tcPr>
            <w:tcW w:w="1134"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0D0B1C">
        <w:tc>
          <w:tcPr>
            <w:tcW w:w="1134"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0D0B1C">
        <w:tc>
          <w:tcPr>
            <w:tcW w:w="1134" w:type="dxa"/>
          </w:tcPr>
          <w:p w:rsidR="000D0B1C" w:rsidRDefault="000D0B1C">
            <w:pPr>
              <w:jc w:val="both"/>
              <w:rPr>
                <w:rFonts w:ascii="Palatino Linotype" w:eastAsia="Palatino Linotype" w:hAnsi="Palatino Linotype" w:cs="Palatino Linotype"/>
                <w:b/>
                <w:sz w:val="12"/>
                <w:szCs w:val="12"/>
              </w:rPr>
            </w:pPr>
          </w:p>
        </w:tc>
        <w:tc>
          <w:tcPr>
            <w:tcW w:w="3119" w:type="dxa"/>
          </w:tcPr>
          <w:p w:rsidR="000D0B1C" w:rsidRDefault="000D0B1C">
            <w:pPr>
              <w:jc w:val="both"/>
              <w:rPr>
                <w:rFonts w:ascii="Palatino Linotype" w:eastAsia="Palatino Linotype" w:hAnsi="Palatino Linotype" w:cs="Palatino Linotype"/>
                <w:sz w:val="12"/>
                <w:szCs w:val="12"/>
              </w:rPr>
            </w:pPr>
          </w:p>
        </w:tc>
        <w:tc>
          <w:tcPr>
            <w:tcW w:w="1129"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0D0B1C">
        <w:tc>
          <w:tcPr>
            <w:tcW w:w="1134" w:type="dxa"/>
          </w:tcPr>
          <w:p w:rsidR="000D0B1C" w:rsidRDefault="000D0B1C">
            <w:pPr>
              <w:jc w:val="both"/>
              <w:rPr>
                <w:rFonts w:ascii="Palatino Linotype" w:eastAsia="Palatino Linotype" w:hAnsi="Palatino Linotype" w:cs="Palatino Linotype"/>
                <w:b/>
                <w:sz w:val="12"/>
                <w:szCs w:val="12"/>
              </w:rPr>
            </w:pPr>
          </w:p>
        </w:tc>
        <w:tc>
          <w:tcPr>
            <w:tcW w:w="3119" w:type="dxa"/>
          </w:tcPr>
          <w:p w:rsidR="000D0B1C" w:rsidRDefault="000D0B1C">
            <w:pPr>
              <w:jc w:val="both"/>
              <w:rPr>
                <w:rFonts w:ascii="Palatino Linotype" w:eastAsia="Palatino Linotype" w:hAnsi="Palatino Linotype" w:cs="Palatino Linotype"/>
                <w:sz w:val="12"/>
                <w:szCs w:val="12"/>
              </w:rPr>
            </w:pPr>
          </w:p>
        </w:tc>
        <w:tc>
          <w:tcPr>
            <w:tcW w:w="1129" w:type="dxa"/>
          </w:tcPr>
          <w:p w:rsidR="000D0B1C" w:rsidRDefault="00ED1B6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0D0B1C" w:rsidRDefault="00ED1B6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consecuencia, resulta procedente modificar la respuesta en términos de la fracción III del artículo 186 de la Ley de Transparencia y Acceso a la Información Pública del Estado de México y Municipios, a efectos 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entregue la información requerida.</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0D0B1C" w:rsidRDefault="00ED1B67">
      <w:pPr>
        <w:numPr>
          <w:ilvl w:val="0"/>
          <w:numId w:val="8"/>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 </w:t>
      </w:r>
      <w:r>
        <w:rPr>
          <w:rFonts w:ascii="Palatino Linotype" w:eastAsia="Palatino Linotype" w:hAnsi="Palatino Linotype" w:cs="Palatino Linotype"/>
          <w:b/>
        </w:rPr>
        <w:t>fundado</w:t>
      </w:r>
      <w:r>
        <w:rPr>
          <w:rFonts w:ascii="Palatino Linotype" w:eastAsia="Palatino Linotype" w:hAnsi="Palatino Linotype" w:cs="Palatino Linotype"/>
        </w:rPr>
        <w:t xml:space="preserve"> el motivo de inconformidad planteado por </w:t>
      </w:r>
      <w:r>
        <w:rPr>
          <w:rFonts w:ascii="Palatino Linotype" w:eastAsia="Palatino Linotype" w:hAnsi="Palatino Linotype" w:cs="Palatino Linotype"/>
          <w:b/>
        </w:rPr>
        <w:t>la 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08759/INFOEM/IP/RR/2022</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0D0B1C" w:rsidRDefault="00ED1B67">
      <w:pPr>
        <w:spacing w:before="240" w:after="240" w:line="360" w:lineRule="auto"/>
        <w:ind w:right="49"/>
        <w:jc w:val="both"/>
        <w:rPr>
          <w:rFonts w:ascii="Palatino Linotype" w:eastAsia="Palatino Linotype" w:hAnsi="Palatino Linotype" w:cs="Palatino Linotype"/>
          <w:b/>
        </w:rPr>
      </w:pPr>
      <w:bookmarkStart w:id="1" w:name="_heading=h.30j0zll" w:colFirst="0" w:colLast="0"/>
      <w:bookmarkEnd w:id="1"/>
      <w:r>
        <w:rPr>
          <w:rFonts w:ascii="Palatino Linotype" w:eastAsia="Palatino Linotype" w:hAnsi="Palatino Linotype" w:cs="Palatino Linotype"/>
          <w:b/>
        </w:rPr>
        <w:t>Segundo.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términos de los </w:t>
      </w:r>
      <w:r>
        <w:rPr>
          <w:rFonts w:ascii="Palatino Linotype" w:eastAsia="Palatino Linotype" w:hAnsi="Palatino Linotype" w:cs="Palatino Linotype"/>
          <w:b/>
        </w:rPr>
        <w:t xml:space="preserve">Considerandos Cuarto y Quinto </w:t>
      </w:r>
      <w:r>
        <w:rPr>
          <w:rFonts w:ascii="Palatino Linotype" w:eastAsia="Palatino Linotype" w:hAnsi="Palatino Linotype" w:cs="Palatino Linotype"/>
        </w:rPr>
        <w:t xml:space="preserve">de esta resolución haga entrega en versión pública de ser procedente, 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 xml:space="preserve">SAIMEX </w:t>
      </w:r>
      <w:r>
        <w:rPr>
          <w:rFonts w:ascii="Palatino Linotype" w:eastAsia="Palatino Linotype" w:hAnsi="Palatino Linotype" w:cs="Palatino Linotype"/>
          <w:b/>
          <w:color w:val="000000"/>
        </w:rPr>
        <w:t>y correo electrónico</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rPr>
        <w:t>de lo siguiente:</w:t>
      </w:r>
    </w:p>
    <w:p w:rsidR="000D0B1C" w:rsidRDefault="00ED1B67">
      <w:pPr>
        <w:numPr>
          <w:ilvl w:val="3"/>
          <w:numId w:val="12"/>
        </w:numPr>
        <w:pBdr>
          <w:top w:val="nil"/>
          <w:left w:val="nil"/>
          <w:bottom w:val="nil"/>
          <w:right w:val="nil"/>
          <w:between w:val="nil"/>
        </w:pBdr>
        <w:spacing w:before="240" w:after="240" w:line="360" w:lineRule="auto"/>
        <w:ind w:left="567" w:right="49"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documentos que den cuenta de lo siguiente al veintitrés de marzo de dos mil veintidós:</w:t>
      </w:r>
    </w:p>
    <w:p w:rsidR="000D0B1C" w:rsidRDefault="00ED1B67">
      <w:pPr>
        <w:numPr>
          <w:ilvl w:val="0"/>
          <w:numId w:val="6"/>
        </w:numPr>
        <w:pBdr>
          <w:top w:val="nil"/>
          <w:left w:val="nil"/>
          <w:bottom w:val="nil"/>
          <w:right w:val="nil"/>
          <w:between w:val="nil"/>
        </w:pBdr>
        <w:spacing w:before="240" w:after="240" w:line="276" w:lineRule="auto"/>
        <w:ind w:left="567" w:right="567"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Las acciones tendientes a la armonización contable</w:t>
      </w:r>
    </w:p>
    <w:p w:rsidR="000D0B1C" w:rsidRDefault="00ED1B67">
      <w:pPr>
        <w:numPr>
          <w:ilvl w:val="0"/>
          <w:numId w:val="6"/>
        </w:numPr>
        <w:pBdr>
          <w:top w:val="nil"/>
          <w:left w:val="nil"/>
          <w:bottom w:val="nil"/>
          <w:right w:val="nil"/>
          <w:between w:val="nil"/>
        </w:pBdr>
        <w:spacing w:before="240" w:after="240" w:line="276" w:lineRule="auto"/>
        <w:ind w:left="567" w:right="567"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Deuda total del municipio, especificar conceptos, nombres de acreedores y montos de deuda, incluyendo deuda por pago de compras, proveedores y juicios laborales.</w:t>
      </w:r>
    </w:p>
    <w:p w:rsidR="000D0B1C" w:rsidRDefault="00ED1B67">
      <w:pPr>
        <w:numPr>
          <w:ilvl w:val="0"/>
          <w:numId w:val="6"/>
        </w:numPr>
        <w:pBdr>
          <w:top w:val="nil"/>
          <w:left w:val="nil"/>
          <w:bottom w:val="nil"/>
          <w:right w:val="nil"/>
          <w:between w:val="nil"/>
        </w:pBdr>
        <w:spacing w:before="240" w:after="240" w:line="276" w:lineRule="auto"/>
        <w:ind w:left="567" w:right="567" w:hanging="28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Número de elementos de seguridad por cada 1000 habitantes del municipio.</w:t>
      </w:r>
    </w:p>
    <w:p w:rsidR="000D0B1C" w:rsidRDefault="00ED1B67">
      <w:pPr>
        <w:numPr>
          <w:ilvl w:val="0"/>
          <w:numId w:val="6"/>
        </w:numPr>
        <w:pBdr>
          <w:top w:val="nil"/>
          <w:left w:val="nil"/>
          <w:bottom w:val="nil"/>
          <w:right w:val="nil"/>
          <w:between w:val="nil"/>
        </w:pBdr>
        <w:spacing w:before="240" w:after="240" w:line="276" w:lineRule="auto"/>
        <w:ind w:left="567" w:right="567" w:hanging="28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Número total de elementos de seguridad pública</w:t>
      </w:r>
    </w:p>
    <w:p w:rsidR="000D0B1C" w:rsidRDefault="00ED1B67">
      <w:pPr>
        <w:numPr>
          <w:ilvl w:val="0"/>
          <w:numId w:val="6"/>
        </w:numPr>
        <w:pBdr>
          <w:top w:val="nil"/>
          <w:left w:val="nil"/>
          <w:bottom w:val="nil"/>
          <w:right w:val="nil"/>
          <w:between w:val="nil"/>
        </w:pBdr>
        <w:spacing w:before="240" w:after="240" w:line="276" w:lineRule="auto"/>
        <w:ind w:left="567" w:right="567" w:hanging="28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Número de elementos que se encuentran comisionados a labores distintas a la prevención del delito y seguridad pública.</w:t>
      </w:r>
    </w:p>
    <w:p w:rsidR="000D0B1C" w:rsidRDefault="00ED1B67">
      <w:pPr>
        <w:numPr>
          <w:ilvl w:val="0"/>
          <w:numId w:val="6"/>
        </w:numPr>
        <w:pBdr>
          <w:top w:val="nil"/>
          <w:left w:val="nil"/>
          <w:bottom w:val="nil"/>
          <w:right w:val="nil"/>
          <w:between w:val="nil"/>
        </w:pBdr>
        <w:spacing w:before="240" w:after="240" w:line="276" w:lineRule="auto"/>
        <w:ind w:left="567" w:right="567" w:hanging="28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Documentos mediante los cuales se dé cuenta de la implementación del servicio profesional de carrera policial.</w:t>
      </w:r>
    </w:p>
    <w:p w:rsidR="000D0B1C" w:rsidRDefault="000D0B1C">
      <w:pPr>
        <w:pBdr>
          <w:top w:val="nil"/>
          <w:left w:val="nil"/>
          <w:bottom w:val="nil"/>
          <w:right w:val="nil"/>
          <w:between w:val="nil"/>
        </w:pBdr>
        <w:ind w:left="567" w:right="567"/>
        <w:jc w:val="both"/>
        <w:rPr>
          <w:rFonts w:ascii="Palatino Linotype" w:eastAsia="Palatino Linotype" w:hAnsi="Palatino Linotype" w:cs="Palatino Linotype"/>
          <w:b/>
          <w:i/>
          <w:color w:val="000000"/>
          <w:sz w:val="20"/>
          <w:szCs w:val="20"/>
        </w:rPr>
      </w:pPr>
    </w:p>
    <w:p w:rsidR="000D0B1C" w:rsidRDefault="00ED1B67">
      <w:pPr>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ser el caso en el que la entrega de los documentos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w:t>
      </w:r>
    </w:p>
    <w:p w:rsidR="000D0B1C" w:rsidRDefault="000D0B1C">
      <w:pPr>
        <w:ind w:left="567" w:right="709"/>
        <w:jc w:val="both"/>
        <w:rPr>
          <w:rFonts w:ascii="Palatino Linotype" w:eastAsia="Palatino Linotype" w:hAnsi="Palatino Linotype" w:cs="Palatino Linotype"/>
          <w:i/>
          <w:sz w:val="22"/>
          <w:szCs w:val="22"/>
        </w:rPr>
      </w:pPr>
    </w:p>
    <w:p w:rsidR="000D0B1C" w:rsidRDefault="00ED1B67">
      <w:pPr>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el caso de que 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xml:space="preserve"> no cuente con la información que se ordena en el inciso f) deberá emitir el Acuerdo de Inexistencia, en términos de los artículos 169 y 170 de la Ley de Transparencia y Acceso a la Información Pública del Estado de México y Municipios.</w:t>
      </w:r>
    </w:p>
    <w:p w:rsidR="000D0B1C" w:rsidRDefault="000D0B1C">
      <w:pPr>
        <w:ind w:left="567" w:right="709"/>
        <w:jc w:val="both"/>
        <w:rPr>
          <w:rFonts w:ascii="Palatino Linotype" w:eastAsia="Palatino Linotype" w:hAnsi="Palatino Linotype" w:cs="Palatino Linotype"/>
          <w:i/>
          <w:sz w:val="22"/>
          <w:szCs w:val="22"/>
        </w:rPr>
      </w:pPr>
    </w:p>
    <w:p w:rsidR="000D0B1C" w:rsidRDefault="00ED1B67">
      <w:pPr>
        <w:spacing w:line="360" w:lineRule="auto"/>
        <w:ind w:left="567"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2.- El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el número de escoltas y de elementos comisionados al resguardo de instalaciones municipales, así como el equipamiento de los elementos de seguridad y sus características.</w:t>
      </w:r>
    </w:p>
    <w:p w:rsidR="000D0B1C" w:rsidRDefault="000D0B1C">
      <w:pPr>
        <w:ind w:right="709"/>
        <w:jc w:val="both"/>
        <w:rPr>
          <w:rFonts w:ascii="Palatino Linotype" w:eastAsia="Palatino Linotype" w:hAnsi="Palatino Linotype" w:cs="Palatino Linotype"/>
          <w:b/>
          <w:i/>
          <w:sz w:val="22"/>
          <w:szCs w:val="22"/>
        </w:rPr>
      </w:pPr>
    </w:p>
    <w:p w:rsidR="000D0B1C" w:rsidRDefault="00ED1B67">
      <w:pPr>
        <w:spacing w:before="240"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b/>
        </w:rPr>
        <w:lastRenderedPageBreak/>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D0B1C" w:rsidRDefault="00ED1B6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D0B1C" w:rsidRDefault="00ED1B67">
      <w:pPr>
        <w:spacing w:before="240" w:after="240" w:line="360" w:lineRule="auto"/>
        <w:jc w:val="both"/>
        <w:rPr>
          <w:rFonts w:ascii="Palatino Linotype" w:eastAsia="Palatino Linotype" w:hAnsi="Palatino Linotype" w:cs="Palatino Linotype"/>
        </w:rPr>
      </w:pPr>
      <w:bookmarkStart w:id="3" w:name="_heading=h.gjdgxs" w:colFirst="0" w:colLast="0"/>
      <w:bookmarkEnd w:id="3"/>
      <w:r>
        <w:rPr>
          <w:rFonts w:ascii="Palatino Linotype" w:eastAsia="Palatino Linotype" w:hAnsi="Palatino Linotype" w:cs="Palatino Linotype"/>
          <w:b/>
        </w:rPr>
        <w:t xml:space="preserve">Quinto. Notifíquese vía SAIMEX, </w:t>
      </w:r>
      <w:r>
        <w:rPr>
          <w:rFonts w:ascii="Palatino Linotype" w:eastAsia="Palatino Linotype" w:hAnsi="Palatino Linotype" w:cs="Palatino Linotype"/>
        </w:rPr>
        <w:t>a</w:t>
      </w:r>
      <w:r>
        <w:rPr>
          <w:rFonts w:ascii="Palatino Linotype" w:eastAsia="Palatino Linotype" w:hAnsi="Palatino Linotype" w:cs="Palatino Linotype"/>
          <w:b/>
        </w:rPr>
        <w:t xml:space="preserve"> la 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rsidR="000D0B1C" w:rsidRDefault="00ED1B67">
      <w:pPr>
        <w:spacing w:before="240" w:after="240" w:line="360" w:lineRule="auto"/>
        <w:jc w:val="both"/>
        <w:rPr>
          <w:rFonts w:ascii="Palatino Linotype" w:eastAsia="Palatino Linotype" w:hAnsi="Palatino Linotype" w:cs="Palatino Linotype"/>
        </w:rPr>
        <w:sectPr w:rsidR="000D0B1C">
          <w:headerReference w:type="default" r:id="rId28"/>
          <w:footerReference w:type="default" r:id="rId29"/>
          <w:headerReference w:type="first" r:id="rId30"/>
          <w:footerReference w:type="first" r:id="rId31"/>
          <w:pgSz w:w="12240" w:h="15840"/>
          <w:pgMar w:top="1417" w:right="2034" w:bottom="1417" w:left="1701" w:header="709" w:footer="709" w:gutter="0"/>
          <w:pgNumType w:start="1"/>
          <w:cols w:space="720"/>
          <w:titlePg/>
        </w:sectPr>
      </w:pPr>
      <w:bookmarkStart w:id="4" w:name="_heading=h.3znysh7" w:colFirst="0" w:colLast="0"/>
      <w:bookmarkEnd w:id="4"/>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w:t>
      </w:r>
      <w:r>
        <w:rPr>
          <w:rFonts w:ascii="Palatino Linotype" w:eastAsia="Palatino Linotype" w:hAnsi="Palatino Linotype" w:cs="Palatino Linotype"/>
        </w:rPr>
        <w:lastRenderedPageBreak/>
        <w:t>MARTÍNEZ VILCHIS, MARÍA DEL ROSARIO MEJÍA AYALA; EMITIENDO VOTO PARTICULAR; SHARON CRISTINA MORALES MARTÍNEZ, LUIS GUSTAVO PARRA NORIEGA; EMITIENDO VOTO PARTICULAR Y GUADALUPE RAMÍREZ PEÑA; EN LA TRIGÉSIMA OCTAVA SESIÓN ORDINARIA CELEBRADA EL DIECINUEVE DE OCTUBRE DEL DOS MIL VEINTIDÓS, ANTE EL SECRETARIO TÉCNICO DEL PLENO, ALEXIS TAPIA RAMÍREZ.</w:t>
      </w:r>
      <w:r>
        <w:rPr>
          <w:noProof/>
          <w:lang w:val="es-MX"/>
        </w:rPr>
        <mc:AlternateContent>
          <mc:Choice Requires="wpg">
            <w:drawing>
              <wp:anchor distT="0" distB="0" distL="114300" distR="114300" simplePos="0" relativeHeight="251667456" behindDoc="0" locked="0" layoutInCell="1" hidden="0" allowOverlap="1">
                <wp:simplePos x="0" y="0"/>
                <wp:positionH relativeFrom="column">
                  <wp:posOffset>38101</wp:posOffset>
                </wp:positionH>
                <wp:positionV relativeFrom="paragraph">
                  <wp:posOffset>2032000</wp:posOffset>
                </wp:positionV>
                <wp:extent cx="5248275" cy="5600700"/>
                <wp:effectExtent l="0" t="0" r="0" b="0"/>
                <wp:wrapNone/>
                <wp:docPr id="97" name="Conector recto de flecha 97"/>
                <wp:cNvGraphicFramePr/>
                <a:graphic xmlns:a="http://schemas.openxmlformats.org/drawingml/2006/main">
                  <a:graphicData uri="http://schemas.microsoft.com/office/word/2010/wordprocessingShape">
                    <wps:wsp>
                      <wps:cNvCnPr/>
                      <wps:spPr>
                        <a:xfrm>
                          <a:off x="2726625" y="984413"/>
                          <a:ext cx="5238750" cy="559117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38101</wp:posOffset>
                </wp:positionH>
                <wp:positionV relativeFrom="paragraph">
                  <wp:posOffset>2032000</wp:posOffset>
                </wp:positionV>
                <wp:extent cx="5248275" cy="5600700"/>
                <wp:effectExtent b="0" l="0" r="0" t="0"/>
                <wp:wrapNone/>
                <wp:docPr id="97" name="image15.png"/>
                <a:graphic>
                  <a:graphicData uri="http://schemas.openxmlformats.org/drawingml/2006/picture">
                    <pic:pic>
                      <pic:nvPicPr>
                        <pic:cNvPr id="0" name="image15.png"/>
                        <pic:cNvPicPr preferRelativeResize="0"/>
                      </pic:nvPicPr>
                      <pic:blipFill>
                        <a:blip r:embed="rId39"/>
                        <a:srcRect/>
                        <a:stretch>
                          <a:fillRect/>
                        </a:stretch>
                      </pic:blipFill>
                      <pic:spPr>
                        <a:xfrm>
                          <a:off x="0" y="0"/>
                          <a:ext cx="5248275" cy="5600700"/>
                        </a:xfrm>
                        <a:prstGeom prst="rect"/>
                        <a:ln/>
                      </pic:spPr>
                    </pic:pic>
                  </a:graphicData>
                </a:graphic>
              </wp:anchor>
            </w:drawing>
          </mc:Fallback>
        </mc:AlternateContent>
      </w:r>
    </w:p>
    <w:p w:rsidR="000D0B1C" w:rsidRDefault="000D0B1C">
      <w:pPr>
        <w:spacing w:before="240" w:after="240" w:line="360" w:lineRule="auto"/>
        <w:jc w:val="both"/>
        <w:rPr>
          <w:rFonts w:ascii="Palatino Linotype" w:eastAsia="Palatino Linotype" w:hAnsi="Palatino Linotype" w:cs="Palatino Linotype"/>
        </w:rPr>
      </w:pPr>
    </w:p>
    <w:sectPr w:rsidR="000D0B1C">
      <w:headerReference w:type="first" r:id="rId40"/>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ABA" w:rsidRDefault="00E62ABA">
      <w:r>
        <w:separator/>
      </w:r>
    </w:p>
  </w:endnote>
  <w:endnote w:type="continuationSeparator" w:id="0">
    <w:p w:rsidR="00E62ABA" w:rsidRDefault="00E62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altName w:val="Palatino"/>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ABA" w:rsidRDefault="00E62AB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D36B5">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D36B5">
      <w:rPr>
        <w:rFonts w:ascii="Arial" w:eastAsia="Arial" w:hAnsi="Arial" w:cs="Arial"/>
        <w:b/>
        <w:noProof/>
        <w:color w:val="000000"/>
        <w:sz w:val="20"/>
        <w:szCs w:val="20"/>
      </w:rPr>
      <w:t>94</w:t>
    </w:r>
    <w:r>
      <w:rPr>
        <w:rFonts w:ascii="Arial" w:eastAsia="Arial" w:hAnsi="Arial" w:cs="Arial"/>
        <w:b/>
        <w:color w:val="000000"/>
        <w:sz w:val="20"/>
        <w:szCs w:val="20"/>
      </w:rPr>
      <w:fldChar w:fldCharType="end"/>
    </w:r>
  </w:p>
  <w:p w:rsidR="00E62ABA" w:rsidRDefault="00E62ABA">
    <w:pPr>
      <w:pBdr>
        <w:top w:val="nil"/>
        <w:left w:val="nil"/>
        <w:bottom w:val="nil"/>
        <w:right w:val="nil"/>
        <w:between w:val="nil"/>
      </w:pBdr>
      <w:tabs>
        <w:tab w:val="center" w:pos="4252"/>
        <w:tab w:val="right" w:pos="8504"/>
      </w:tabs>
      <w:rPr>
        <w:color w:val="000000"/>
      </w:rPr>
    </w:pPr>
  </w:p>
  <w:p w:rsidR="00E62ABA" w:rsidRDefault="00E62AB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ABA" w:rsidRDefault="00E62AB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D36B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D36B5">
      <w:rPr>
        <w:rFonts w:ascii="Arial" w:eastAsia="Arial" w:hAnsi="Arial" w:cs="Arial"/>
        <w:b/>
        <w:noProof/>
        <w:color w:val="000000"/>
        <w:sz w:val="20"/>
        <w:szCs w:val="20"/>
      </w:rPr>
      <w:t>94</w:t>
    </w:r>
    <w:r>
      <w:rPr>
        <w:rFonts w:ascii="Arial" w:eastAsia="Arial" w:hAnsi="Arial" w:cs="Arial"/>
        <w:b/>
        <w:color w:val="000000"/>
        <w:sz w:val="20"/>
        <w:szCs w:val="20"/>
      </w:rPr>
      <w:fldChar w:fldCharType="end"/>
    </w:r>
  </w:p>
  <w:p w:rsidR="00E62ABA" w:rsidRDefault="00E62AB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ABA" w:rsidRDefault="00E62ABA">
      <w:r>
        <w:separator/>
      </w:r>
    </w:p>
  </w:footnote>
  <w:footnote w:type="continuationSeparator" w:id="0">
    <w:p w:rsidR="00E62ABA" w:rsidRDefault="00E62ABA">
      <w:r>
        <w:continuationSeparator/>
      </w:r>
    </w:p>
  </w:footnote>
  <w:footnote w:id="1">
    <w:p w:rsidR="00E62ABA" w:rsidRDefault="00E62ABA">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w:t>
      </w:r>
      <w:r>
        <w:rPr>
          <w:rFonts w:ascii="Palatino Linotype" w:eastAsia="Palatino Linotype" w:hAnsi="Palatino Linotype" w:cs="Palatino Linotype"/>
          <w:i/>
          <w:sz w:val="16"/>
          <w:szCs w:val="16"/>
        </w:rPr>
        <w:t>Diccionario De Derecho Constitucional, Garantías y Amparo</w:t>
      </w:r>
      <w:r>
        <w:rPr>
          <w:rFonts w:ascii="Palatino Linotype" w:eastAsia="Palatino Linotype" w:hAnsi="Palatino Linotype" w:cs="Palatino Linotype"/>
          <w:sz w:val="16"/>
          <w:szCs w:val="16"/>
        </w:rPr>
        <w:t>. Ed. Porrúa, S.A., México. 1992. p. 115.</w:t>
      </w:r>
    </w:p>
  </w:footnote>
  <w:footnote w:id="2">
    <w:p w:rsidR="00E62ABA" w:rsidRDefault="00E62ABA">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3">
    <w:p w:rsidR="00E62ABA" w:rsidRDefault="00E62AB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4">
    <w:p w:rsidR="00E62ABA" w:rsidRDefault="00E62ABA">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w:t>
      </w:r>
      <w:proofErr w:type="spellStart"/>
      <w:r>
        <w:rPr>
          <w:rFonts w:ascii="Palatino Linotype" w:eastAsia="Palatino Linotype" w:hAnsi="Palatino Linotype" w:cs="Palatino Linotype"/>
          <w:sz w:val="16"/>
          <w:szCs w:val="16"/>
        </w:rPr>
        <w:t>VILLANUEVA</w:t>
      </w:r>
      <w:proofErr w:type="spellEnd"/>
      <w:r>
        <w:rPr>
          <w:rFonts w:ascii="Palatino Linotype" w:eastAsia="Palatino Linotype" w:hAnsi="Palatino Linotype" w:cs="Palatino Linotype"/>
          <w:sz w:val="16"/>
          <w:szCs w:val="16"/>
        </w:rPr>
        <w:t xml:space="preserve"> Ernesto. Derecho de la Información, Ed. Porrúa. 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ABA" w:rsidRDefault="00E62ABA">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-1010280</wp:posOffset>
          </wp:positionH>
          <wp:positionV relativeFrom="paragraph">
            <wp:posOffset>-300350</wp:posOffset>
          </wp:positionV>
          <wp:extent cx="7635600" cy="9943200"/>
          <wp:effectExtent l="0" t="0" r="0" b="0"/>
          <wp:wrapNone/>
          <wp:docPr id="1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f5"/>
      <w:tblW w:w="6240" w:type="dxa"/>
      <w:tblInd w:w="3746" w:type="dxa"/>
      <w:tblLayout w:type="fixed"/>
      <w:tblLook w:val="0400" w:firstRow="0" w:lastRow="0" w:firstColumn="0" w:lastColumn="0" w:noHBand="0" w:noVBand="1"/>
    </w:tblPr>
    <w:tblGrid>
      <w:gridCol w:w="2553"/>
      <w:gridCol w:w="3687"/>
    </w:tblGrid>
    <w:tr w:rsidR="00E62ABA">
      <w:tc>
        <w:tcPr>
          <w:tcW w:w="2553" w:type="dxa"/>
          <w:vAlign w:val="center"/>
        </w:tcPr>
        <w:p w:rsidR="00E62ABA" w:rsidRDefault="00E62A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E62ABA" w:rsidRDefault="00E62ABA">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08759/INFOEM/IP/RR/2022</w:t>
          </w:r>
        </w:p>
      </w:tc>
    </w:tr>
    <w:tr w:rsidR="00E62ABA">
      <w:trPr>
        <w:trHeight w:val="228"/>
      </w:trPr>
      <w:tc>
        <w:tcPr>
          <w:tcW w:w="2553" w:type="dxa"/>
          <w:vAlign w:val="center"/>
        </w:tcPr>
        <w:p w:rsidR="00E62ABA" w:rsidRDefault="00E62A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E62ABA" w:rsidRDefault="00E62ABA">
          <w:pPr>
            <w:tabs>
              <w:tab w:val="left" w:pos="1531"/>
            </w:tabs>
            <w:ind w:right="80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la Paz</w:t>
          </w:r>
        </w:p>
      </w:tc>
    </w:tr>
    <w:tr w:rsidR="00E62ABA">
      <w:tc>
        <w:tcPr>
          <w:tcW w:w="2553" w:type="dxa"/>
          <w:vAlign w:val="center"/>
        </w:tcPr>
        <w:p w:rsidR="00E62ABA" w:rsidRDefault="00E62A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E62ABA" w:rsidRDefault="00E62AB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62ABA" w:rsidRDefault="00E62AB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ABA" w:rsidRDefault="00E62ABA">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-973448</wp:posOffset>
          </wp:positionH>
          <wp:positionV relativeFrom="paragraph">
            <wp:posOffset>-354959</wp:posOffset>
          </wp:positionV>
          <wp:extent cx="7635600" cy="9943200"/>
          <wp:effectExtent l="0" t="0" r="0" b="0"/>
          <wp:wrapNone/>
          <wp:docPr id="10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f4"/>
      <w:tblW w:w="6240" w:type="dxa"/>
      <w:tblInd w:w="3685" w:type="dxa"/>
      <w:tblLayout w:type="fixed"/>
      <w:tblLook w:val="0400" w:firstRow="0" w:lastRow="0" w:firstColumn="0" w:lastColumn="0" w:noHBand="0" w:noVBand="1"/>
    </w:tblPr>
    <w:tblGrid>
      <w:gridCol w:w="2553"/>
      <w:gridCol w:w="3687"/>
    </w:tblGrid>
    <w:tr w:rsidR="00E62ABA">
      <w:tc>
        <w:tcPr>
          <w:tcW w:w="2553" w:type="dxa"/>
          <w:vAlign w:val="center"/>
        </w:tcPr>
        <w:p w:rsidR="00E62ABA" w:rsidRDefault="00E62A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E62ABA" w:rsidRDefault="00E62A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08759/INFOEM/IP/RR/2022</w:t>
          </w:r>
        </w:p>
      </w:tc>
    </w:tr>
    <w:tr w:rsidR="00E62ABA">
      <w:tc>
        <w:tcPr>
          <w:tcW w:w="2553" w:type="dxa"/>
          <w:vAlign w:val="center"/>
        </w:tcPr>
        <w:p w:rsidR="00E62ABA" w:rsidRDefault="00E62A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E62ABA" w:rsidRDefault="00E62ABA" w:rsidP="00E62A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XXXXXXXXX </w:t>
          </w:r>
        </w:p>
      </w:tc>
    </w:tr>
    <w:tr w:rsidR="00E62ABA">
      <w:trPr>
        <w:trHeight w:val="228"/>
      </w:trPr>
      <w:tc>
        <w:tcPr>
          <w:tcW w:w="2553" w:type="dxa"/>
          <w:vAlign w:val="center"/>
        </w:tcPr>
        <w:p w:rsidR="00E62ABA" w:rsidRDefault="00E62A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E62ABA" w:rsidRDefault="00E62AB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la Paz</w:t>
          </w:r>
        </w:p>
      </w:tc>
    </w:tr>
    <w:tr w:rsidR="00E62ABA">
      <w:tc>
        <w:tcPr>
          <w:tcW w:w="2553" w:type="dxa"/>
          <w:vAlign w:val="center"/>
        </w:tcPr>
        <w:p w:rsidR="00E62ABA" w:rsidRDefault="00E62A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E62ABA" w:rsidRDefault="00E62AB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62ABA" w:rsidRDefault="00E62ABA">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ABA" w:rsidRDefault="00E62ABA">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E62ABA" w:rsidRDefault="00E62AB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773AE"/>
    <w:multiLevelType w:val="multilevel"/>
    <w:tmpl w:val="579C8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A358B0"/>
    <w:multiLevelType w:val="multilevel"/>
    <w:tmpl w:val="520ADCA4"/>
    <w:lvl w:ilvl="0">
      <w:start w:val="3"/>
      <w:numFmt w:val="lowerLetter"/>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CE01BFF"/>
    <w:multiLevelType w:val="multilevel"/>
    <w:tmpl w:val="71CE717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nsid w:val="1A085404"/>
    <w:multiLevelType w:val="multilevel"/>
    <w:tmpl w:val="D6307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B4E2ABC"/>
    <w:multiLevelType w:val="multilevel"/>
    <w:tmpl w:val="44AE5936"/>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nsid w:val="1FE13931"/>
    <w:multiLevelType w:val="multilevel"/>
    <w:tmpl w:val="B504D4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364C38B6"/>
    <w:multiLevelType w:val="multilevel"/>
    <w:tmpl w:val="CE646228"/>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nsid w:val="370B6C48"/>
    <w:multiLevelType w:val="multilevel"/>
    <w:tmpl w:val="85520BC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nsid w:val="3A353D00"/>
    <w:multiLevelType w:val="multilevel"/>
    <w:tmpl w:val="D18EAB12"/>
    <w:lvl w:ilvl="0">
      <w:start w:val="1"/>
      <w:numFmt w:val="lowerLetter"/>
      <w:lvlText w:val="%1)"/>
      <w:lvlJc w:val="left"/>
      <w:pPr>
        <w:ind w:left="927" w:hanging="360"/>
      </w:pPr>
      <w:rPr>
        <w:b/>
        <w:i/>
        <w:color w:val="00000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nsid w:val="5213782B"/>
    <w:multiLevelType w:val="multilevel"/>
    <w:tmpl w:val="C7B271D4"/>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nsid w:val="629D73DC"/>
    <w:multiLevelType w:val="multilevel"/>
    <w:tmpl w:val="2DDCA29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53859AF"/>
    <w:multiLevelType w:val="multilevel"/>
    <w:tmpl w:val="C114A86A"/>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68321A91"/>
    <w:multiLevelType w:val="multilevel"/>
    <w:tmpl w:val="D0888DF8"/>
    <w:lvl w:ilvl="0">
      <w:numFmt w:val="lowerLetter"/>
      <w:lvlText w:val="%1."/>
      <w:lvlJc w:val="left"/>
      <w:pPr>
        <w:ind w:left="0" w:firstLine="0"/>
      </w:pPr>
    </w:lvl>
    <w:lvl w:ilvl="1">
      <w:start w:val="1"/>
      <w:numFmt w:val="upperRoman"/>
      <w:lvlText w:val="%2."/>
      <w:lvlJc w:val="left"/>
      <w:pPr>
        <w:ind w:left="1800" w:hanging="72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7CE22D97"/>
    <w:multiLevelType w:val="multilevel"/>
    <w:tmpl w:val="6706AC4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1"/>
  </w:num>
  <w:num w:numId="3">
    <w:abstractNumId w:val="7"/>
  </w:num>
  <w:num w:numId="4">
    <w:abstractNumId w:val="2"/>
  </w:num>
  <w:num w:numId="5">
    <w:abstractNumId w:val="10"/>
  </w:num>
  <w:num w:numId="6">
    <w:abstractNumId w:val="8"/>
  </w:num>
  <w:num w:numId="7">
    <w:abstractNumId w:val="5"/>
  </w:num>
  <w:num w:numId="8">
    <w:abstractNumId w:val="13"/>
  </w:num>
  <w:num w:numId="9">
    <w:abstractNumId w:val="9"/>
  </w:num>
  <w:num w:numId="10">
    <w:abstractNumId w:val="6"/>
  </w:num>
  <w:num w:numId="11">
    <w:abstractNumId w:val="1"/>
  </w:num>
  <w:num w:numId="12">
    <w:abstractNumId w:val="4"/>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B1C"/>
    <w:rsid w:val="000D0B1C"/>
    <w:rsid w:val="001D36B5"/>
    <w:rsid w:val="00C646D5"/>
    <w:rsid w:val="00E603E7"/>
    <w:rsid w:val="00E62ABA"/>
    <w:rsid w:val="00ED1B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9516E0-8C9C-49E5-B455-C31D412BC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0" w:type="dxa"/>
        <w:left w:w="115" w:type="dxa"/>
        <w:bottom w:w="0" w:type="dxa"/>
        <w:right w:w="115" w:type="dxa"/>
      </w:tblCellMar>
    </w:tbl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1">
    <w:basedOn w:val="TableNormal4"/>
    <w:tblPr>
      <w:tblStyleRowBandSize w:val="1"/>
      <w:tblStyleColBandSize w:val="1"/>
      <w:tblCellMar>
        <w:top w:w="0" w:type="dxa"/>
        <w:left w:w="115" w:type="dxa"/>
        <w:bottom w:w="0" w:type="dxa"/>
        <w:right w:w="115" w:type="dxa"/>
      </w:tblCellMar>
    </w:tblPr>
  </w:style>
  <w:style w:type="paragraph" w:styleId="Listaconvietas3">
    <w:name w:val="List Bullet 3"/>
    <w:basedOn w:val="Normal"/>
    <w:uiPriority w:val="99"/>
    <w:unhideWhenUsed/>
    <w:rsid w:val="00A1735F"/>
    <w:pPr>
      <w:numPr>
        <w:numId w:val="11"/>
      </w:numPr>
      <w:contextualSpacing/>
    </w:pPr>
  </w:style>
  <w:style w:type="table" w:customStyle="1" w:styleId="a2">
    <w:basedOn w:val="TableNormal4"/>
    <w:tblPr>
      <w:tblStyleRowBandSize w:val="1"/>
      <w:tblStyleColBandSize w:val="1"/>
      <w:tblCellMar>
        <w:top w:w="0" w:type="dxa"/>
        <w:left w:w="108" w:type="dxa"/>
        <w:bottom w:w="0" w:type="dxa"/>
        <w:right w:w="108" w:type="dxa"/>
      </w:tblCellMar>
    </w:tblPr>
  </w:style>
  <w:style w:type="table" w:customStyle="1" w:styleId="a3">
    <w:basedOn w:val="TableNormal4"/>
    <w:tblPr>
      <w:tblStyleRowBandSize w:val="1"/>
      <w:tblStyleColBandSize w:val="1"/>
      <w:tblCellMar>
        <w:top w:w="0" w:type="dxa"/>
        <w:left w:w="115" w:type="dxa"/>
        <w:bottom w:w="0" w:type="dxa"/>
        <w:right w:w="115" w:type="dxa"/>
      </w:tblCellMar>
    </w:tblPr>
  </w:style>
  <w:style w:type="table" w:customStyle="1" w:styleId="a4">
    <w:basedOn w:val="TableNormal4"/>
    <w:tblPr>
      <w:tblStyleRowBandSize w:val="1"/>
      <w:tblStyleColBandSize w:val="1"/>
      <w:tblCellMar>
        <w:top w:w="0" w:type="dxa"/>
        <w:left w:w="115" w:type="dxa"/>
        <w:bottom w:w="0" w:type="dxa"/>
        <w:right w:w="115" w:type="dxa"/>
      </w:tblCellMar>
    </w:tblPr>
  </w:style>
  <w:style w:type="table" w:customStyle="1" w:styleId="a5">
    <w:basedOn w:val="TableNormal4"/>
    <w:tblPr>
      <w:tblStyleRowBandSize w:val="1"/>
      <w:tblStyleColBandSize w:val="1"/>
      <w:tblCellMar>
        <w:top w:w="0" w:type="dxa"/>
        <w:left w:w="115" w:type="dxa"/>
        <w:bottom w:w="0" w:type="dxa"/>
        <w:right w:w="115" w:type="dxa"/>
      </w:tblCellMar>
    </w:tblPr>
  </w:style>
  <w:style w:type="table" w:customStyle="1" w:styleId="a6">
    <w:basedOn w:val="TableNormal4"/>
    <w:tblPr>
      <w:tblStyleRowBandSize w:val="1"/>
      <w:tblStyleColBandSize w:val="1"/>
      <w:tblCellMar>
        <w:top w:w="0" w:type="dxa"/>
        <w:left w:w="115" w:type="dxa"/>
        <w:bottom w:w="0" w:type="dxa"/>
        <w:right w:w="115" w:type="dxa"/>
      </w:tblCellMar>
    </w:tblPr>
  </w:style>
  <w:style w:type="table" w:customStyle="1" w:styleId="a7">
    <w:basedOn w:val="TableNormal4"/>
    <w:tblPr>
      <w:tblStyleRowBandSize w:val="1"/>
      <w:tblStyleColBandSize w:val="1"/>
      <w:tblCellMar>
        <w:top w:w="0" w:type="dxa"/>
        <w:left w:w="115" w:type="dxa"/>
        <w:bottom w:w="0" w:type="dxa"/>
        <w:right w:w="115" w:type="dxa"/>
      </w:tblCellMar>
    </w:tblPr>
  </w:style>
  <w:style w:type="table" w:customStyle="1" w:styleId="a8">
    <w:basedOn w:val="TableNormal4"/>
    <w:tblPr>
      <w:tblStyleRowBandSize w:val="1"/>
      <w:tblStyleColBandSize w:val="1"/>
      <w:tblCellMar>
        <w:top w:w="0" w:type="dxa"/>
        <w:left w:w="115" w:type="dxa"/>
        <w:bottom w:w="0" w:type="dxa"/>
        <w:right w:w="115" w:type="dxa"/>
      </w:tblCellMar>
    </w:tblPr>
  </w:style>
  <w:style w:type="table" w:customStyle="1" w:styleId="a9">
    <w:basedOn w:val="TableNormal4"/>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style>
  <w:style w:type="table" w:customStyle="1" w:styleId="ad">
    <w:basedOn w:val="TableNormal2"/>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150.png"/><Relationship Id="rId3" Type="http://schemas.openxmlformats.org/officeDocument/2006/relationships/styles" Target="styles.xml"/><Relationship Id="rId21"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ef/ER2jUcdNzMQxZMkPnn/J0Lg==">AMUW2mVz3r4sBzZDlEqK+k/Ru2pFU+51omhA7SU5VBiaqPqj0s+twm+e1Ye8NvoFNtsPchjFpLklNiCTZB8NNJQJqxKw6tAfzXYmvSVoNrnAPB09ZuwvwdYfXgP3lHgrR2O/8SQlYxD5BXv4uCLQxVtQhJxqHMKRng+ebzGz9+4LVkOBiX2xjOs=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20543</Words>
  <Characters>112992</Characters>
  <Application>Microsoft Office Word</Application>
  <DocSecurity>0</DocSecurity>
  <Lines>941</Lines>
  <Paragraphs>266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cp:lastPrinted>2022-10-20T15:26:00Z</cp:lastPrinted>
  <dcterms:created xsi:type="dcterms:W3CDTF">2022-11-04T03:22:00Z</dcterms:created>
  <dcterms:modified xsi:type="dcterms:W3CDTF">2022-11-04T03:22:00Z</dcterms:modified>
</cp:coreProperties>
</file>