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4B4C02">
        <w:rPr>
          <w:rFonts w:ascii="Palatino Linotype" w:eastAsia="Palatino Linotype" w:hAnsi="Palatino Linotype" w:cs="Palatino Linotype"/>
          <w:b/>
        </w:rPr>
        <w:t>tres</w:t>
      </w:r>
      <w:r>
        <w:rPr>
          <w:rFonts w:ascii="Palatino Linotype" w:eastAsia="Palatino Linotype" w:hAnsi="Palatino Linotype" w:cs="Palatino Linotype"/>
        </w:rPr>
        <w:t xml:space="preserve"> </w:t>
      </w:r>
      <w:r w:rsidR="004B4C02">
        <w:rPr>
          <w:rFonts w:ascii="Palatino Linotype" w:eastAsia="Palatino Linotype" w:hAnsi="Palatino Linotype" w:cs="Palatino Linotype"/>
          <w:b/>
        </w:rPr>
        <w:t>de agost</w:t>
      </w:r>
      <w:r>
        <w:rPr>
          <w:rFonts w:ascii="Palatino Linotype" w:eastAsia="Palatino Linotype" w:hAnsi="Palatino Linotype" w:cs="Palatino Linotype"/>
          <w:b/>
        </w:rPr>
        <w:t>o del dos mil veintidós</w:t>
      </w:r>
      <w:r>
        <w:rPr>
          <w:rFonts w:ascii="Palatino Linotype" w:eastAsia="Palatino Linotype" w:hAnsi="Palatino Linotype" w:cs="Palatino Linotype"/>
        </w:rPr>
        <w:t>.</w:t>
      </w:r>
    </w:p>
    <w:p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sidR="004B4C02">
        <w:rPr>
          <w:rFonts w:ascii="Palatino Linotype" w:eastAsia="Palatino Linotype" w:hAnsi="Palatino Linotype" w:cs="Palatino Linotype"/>
          <w:b/>
        </w:rPr>
        <w:t>0455</w:t>
      </w:r>
      <w:r>
        <w:rPr>
          <w:rFonts w:ascii="Palatino Linotype" w:eastAsia="Palatino Linotype" w:hAnsi="Palatino Linotype" w:cs="Palatino Linotype"/>
          <w:b/>
        </w:rPr>
        <w:t>4/INFOEM/IP/RR/2022</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sidR="00136F51" w:rsidRPr="00136F51">
        <w:rPr>
          <w:rFonts w:ascii="Palatino Linotype" w:eastAsia="Palatino Linotype" w:hAnsi="Palatino Linotype" w:cs="Palatino Linotype"/>
          <w:b/>
        </w:rPr>
        <w:t>XXXXX XXXXXXX X</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quien en lo sucesivo se le denominará </w:t>
      </w:r>
      <w:r>
        <w:rPr>
          <w:rFonts w:ascii="Palatino Linotype" w:eastAsia="Palatino Linotype" w:hAnsi="Palatino Linotype" w:cs="Palatino Linotype"/>
          <w:b/>
        </w:rPr>
        <w:t>el</w:t>
      </w:r>
      <w:r>
        <w:rPr>
          <w:rFonts w:ascii="Palatino Linotype" w:eastAsia="Palatino Linotype" w:hAnsi="Palatino Linotype" w:cs="Palatino Linotype"/>
          <w:b/>
          <w:i/>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en contra de la respuesta a su solicitud de información con número de folio</w:t>
      </w:r>
      <w:r>
        <w:rPr>
          <w:rFonts w:ascii="Verdana" w:eastAsia="Verdana" w:hAnsi="Verdana" w:cs="Verdana"/>
          <w:b/>
          <w:color w:val="FF0000"/>
        </w:rPr>
        <w:t> </w:t>
      </w:r>
      <w:r w:rsidR="004B4C02" w:rsidRPr="004B4C02">
        <w:rPr>
          <w:rFonts w:ascii="Palatino Linotype" w:eastAsia="Palatino Linotype" w:hAnsi="Palatino Linotype" w:cs="Palatino Linotype"/>
          <w:b/>
        </w:rPr>
        <w:t>00079/PLEGISLA/IP/2022</w:t>
      </w:r>
      <w:r>
        <w:rPr>
          <w:rFonts w:ascii="Palatino Linotype" w:eastAsia="Palatino Linotype" w:hAnsi="Palatino Linotype" w:cs="Palatino Linotype"/>
          <w:b/>
        </w:rPr>
        <w:t>,</w:t>
      </w:r>
      <w:r>
        <w:rPr>
          <w:rFonts w:ascii="Palatino Linotype" w:eastAsia="Palatino Linotype" w:hAnsi="Palatino Linotype" w:cs="Palatino Linotype"/>
        </w:rPr>
        <w:t xml:space="preserve"> otorgada por el </w:t>
      </w:r>
      <w:r w:rsidR="004B4C02">
        <w:rPr>
          <w:rFonts w:ascii="Palatino Linotype" w:eastAsia="Palatino Linotype" w:hAnsi="Palatino Linotype" w:cs="Palatino Linotype"/>
          <w:b/>
        </w:rPr>
        <w:t>Poder Legislativo</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 procede a dictar la presente resolución, con base en lo siguiente. </w:t>
      </w:r>
    </w:p>
    <w:p w:rsidR="00CD0F3E" w:rsidRDefault="00D470B8">
      <w:pPr>
        <w:pStyle w:val="Ttulo2"/>
        <w:spacing w:before="240" w:after="24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 A N T E C E D E N T E S:</w:t>
      </w:r>
    </w:p>
    <w:p w:rsidR="00CD0F3E" w:rsidRDefault="00D470B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Con fecha </w:t>
      </w:r>
      <w:r w:rsidR="004B4C02">
        <w:rPr>
          <w:rFonts w:ascii="Palatino Linotype" w:eastAsia="Palatino Linotype" w:hAnsi="Palatino Linotype" w:cs="Palatino Linotype"/>
          <w:b/>
        </w:rPr>
        <w:t>ocho de febrer</w:t>
      </w:r>
      <w:r>
        <w:rPr>
          <w:rFonts w:ascii="Palatino Linotype" w:eastAsia="Palatino Linotype" w:hAnsi="Palatino Linotype" w:cs="Palatino Linotype"/>
          <w:b/>
        </w:rPr>
        <w:t>o del dos mil veintidós,</w:t>
      </w:r>
      <w:r>
        <w:rPr>
          <w:rFonts w:ascii="Palatino Linotype" w:eastAsia="Palatino Linotype" w:hAnsi="Palatino Linotype" w:cs="Palatino Linotype"/>
        </w:rPr>
        <w:t xml:space="preserve"> 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w:t>
      </w:r>
      <w:r>
        <w:rPr>
          <w:rFonts w:ascii="Palatino Linotype" w:eastAsia="Palatino Linotype" w:hAnsi="Palatino Linotype" w:cs="Palatino Linotype"/>
        </w:rPr>
        <w:t>de folio</w:t>
      </w:r>
      <w:r>
        <w:rPr>
          <w:rFonts w:ascii="Palatino Linotype" w:eastAsia="Palatino Linotype" w:hAnsi="Palatino Linotype" w:cs="Palatino Linotype"/>
          <w:b/>
        </w:rPr>
        <w:t xml:space="preserve"> </w:t>
      </w:r>
      <w:r w:rsidR="00627B82" w:rsidRPr="00627B82">
        <w:rPr>
          <w:rFonts w:ascii="Palatino Linotype" w:eastAsia="Palatino Linotype" w:hAnsi="Palatino Linotype" w:cs="Palatino Linotype"/>
          <w:b/>
        </w:rPr>
        <w:t>00079/PLEGISLA/IP/2022</w:t>
      </w:r>
      <w:r>
        <w:rPr>
          <w:rFonts w:ascii="Palatino Linotype" w:eastAsia="Palatino Linotype" w:hAnsi="Palatino Linotype" w:cs="Palatino Linotype"/>
          <w:b/>
        </w:rPr>
        <w:t xml:space="preserve">, </w:t>
      </w:r>
      <w:r>
        <w:rPr>
          <w:rFonts w:ascii="Palatino Linotype" w:eastAsia="Palatino Linotype" w:hAnsi="Palatino Linotype" w:cs="Palatino Linotype"/>
        </w:rPr>
        <w:t>a través de la cual requirió  lo siguiente:</w:t>
      </w:r>
    </w:p>
    <w:p w:rsidR="00CD0F3E" w:rsidRDefault="00D470B8" w:rsidP="00DF726C">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627B82" w:rsidRPr="00627B82">
        <w:rPr>
          <w:rFonts w:ascii="Palatino Linotype" w:eastAsia="Palatino Linotype" w:hAnsi="Palatino Linotype" w:cs="Palatino Linotype"/>
          <w:i/>
          <w:sz w:val="22"/>
          <w:szCs w:val="22"/>
        </w:rPr>
        <w:t xml:space="preserve">Buenos días, solicito de la manera más </w:t>
      </w:r>
      <w:proofErr w:type="spellStart"/>
      <w:r w:rsidR="00627B82" w:rsidRPr="00627B82">
        <w:rPr>
          <w:rFonts w:ascii="Palatino Linotype" w:eastAsia="Palatino Linotype" w:hAnsi="Palatino Linotype" w:cs="Palatino Linotype"/>
          <w:i/>
          <w:sz w:val="22"/>
          <w:szCs w:val="22"/>
        </w:rPr>
        <w:t>antenta</w:t>
      </w:r>
      <w:proofErr w:type="spellEnd"/>
      <w:r w:rsidR="00627B82" w:rsidRPr="00627B82">
        <w:rPr>
          <w:rFonts w:ascii="Palatino Linotype" w:eastAsia="Palatino Linotype" w:hAnsi="Palatino Linotype" w:cs="Palatino Linotype"/>
          <w:i/>
          <w:sz w:val="22"/>
          <w:szCs w:val="22"/>
        </w:rPr>
        <w:t xml:space="preserve">, me puedan </w:t>
      </w:r>
      <w:proofErr w:type="spellStart"/>
      <w:r w:rsidR="00627B82" w:rsidRPr="00627B82">
        <w:rPr>
          <w:rFonts w:ascii="Palatino Linotype" w:eastAsia="Palatino Linotype" w:hAnsi="Palatino Linotype" w:cs="Palatino Linotype"/>
          <w:i/>
          <w:sz w:val="22"/>
          <w:szCs w:val="22"/>
        </w:rPr>
        <w:t>proporcional</w:t>
      </w:r>
      <w:proofErr w:type="spellEnd"/>
      <w:r w:rsidR="00627B82" w:rsidRPr="00627B82">
        <w:rPr>
          <w:rFonts w:ascii="Palatino Linotype" w:eastAsia="Palatino Linotype" w:hAnsi="Palatino Linotype" w:cs="Palatino Linotype"/>
          <w:i/>
          <w:sz w:val="22"/>
          <w:szCs w:val="22"/>
        </w:rPr>
        <w:t xml:space="preserve"> la siguiente información: </w:t>
      </w:r>
      <w:r w:rsidR="00627B82" w:rsidRPr="00DF726C">
        <w:rPr>
          <w:rFonts w:ascii="Palatino Linotype" w:eastAsia="Palatino Linotype" w:hAnsi="Palatino Linotype" w:cs="Palatino Linotype"/>
          <w:b/>
          <w:i/>
          <w:sz w:val="22"/>
          <w:szCs w:val="22"/>
        </w:rPr>
        <w:t xml:space="preserve">1. Cuántas denuncias ha recibido la Contraloría del Poder Legislativo de servidores públicos de elección popular de los servidores públicos de la administración 2019-2021 del Municipio de Zumpango, México. 2. Quiénes son los presuntos responsables. 3. Por qué temas fueron denunciados, y 4.el status de cada una de las </w:t>
      </w:r>
      <w:proofErr w:type="gramStart"/>
      <w:r w:rsidR="00627B82" w:rsidRPr="00DF726C">
        <w:rPr>
          <w:rFonts w:ascii="Palatino Linotype" w:eastAsia="Palatino Linotype" w:hAnsi="Palatino Linotype" w:cs="Palatino Linotype"/>
          <w:b/>
          <w:i/>
          <w:sz w:val="22"/>
          <w:szCs w:val="22"/>
        </w:rPr>
        <w:t>denuncias ,</w:t>
      </w:r>
      <w:proofErr w:type="gramEnd"/>
      <w:r w:rsidR="00627B82" w:rsidRPr="00DF726C">
        <w:rPr>
          <w:rFonts w:ascii="Palatino Linotype" w:eastAsia="Palatino Linotype" w:hAnsi="Palatino Linotype" w:cs="Palatino Linotype"/>
          <w:b/>
          <w:i/>
          <w:sz w:val="22"/>
          <w:szCs w:val="22"/>
        </w:rPr>
        <w:t xml:space="preserve"> 5. Copia digital de los expedientes formados con motivo de las denuncias presentadas</w:t>
      </w:r>
      <w:r w:rsidR="00627B82" w:rsidRPr="00627B82">
        <w:rPr>
          <w:rFonts w:ascii="Palatino Linotype" w:eastAsia="Palatino Linotype" w:hAnsi="Palatino Linotype" w:cs="Palatino Linotype"/>
          <w:i/>
          <w:sz w:val="22"/>
          <w:szCs w:val="22"/>
        </w:rPr>
        <w:t>.</w:t>
      </w:r>
      <w:r w:rsidR="00671D15">
        <w:rPr>
          <w:rFonts w:ascii="Palatino Linotype" w:eastAsia="Palatino Linotype" w:hAnsi="Palatino Linotype" w:cs="Palatino Linotype"/>
          <w:i/>
          <w:sz w:val="22"/>
          <w:szCs w:val="22"/>
        </w:rPr>
        <w:t>” (Sic)</w:t>
      </w:r>
    </w:p>
    <w:p w:rsidR="00CD0F3E" w:rsidRDefault="00D470B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Modalidad de entrega de la información</w:t>
      </w:r>
      <w:r w:rsidR="00DF726C">
        <w:rPr>
          <w:rFonts w:ascii="Palatino Linotype" w:eastAsia="Palatino Linotype" w:hAnsi="Palatino Linotype" w:cs="Palatino Linotype"/>
        </w:rPr>
        <w:t>: Consulta directa (sin costo)</w:t>
      </w:r>
    </w:p>
    <w:p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w:t>
      </w:r>
      <w:r w:rsidR="00DF726C">
        <w:rPr>
          <w:rFonts w:ascii="Palatino Linotype" w:eastAsia="Palatino Linotype" w:hAnsi="Palatino Linotype" w:cs="Palatino Linotype"/>
          <w:b/>
        </w:rPr>
        <w:t>uno</w:t>
      </w:r>
      <w:r>
        <w:rPr>
          <w:rFonts w:ascii="Palatino Linotype" w:eastAsia="Palatino Linotype" w:hAnsi="Palatino Linotype" w:cs="Palatino Linotype"/>
          <w:b/>
        </w:rPr>
        <w:t xml:space="preserve"> de marzo del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otorgó, a través del </w:t>
      </w:r>
      <w:r>
        <w:rPr>
          <w:rFonts w:ascii="Palatino Linotype" w:eastAsia="Palatino Linotype" w:hAnsi="Palatino Linotype" w:cs="Palatino Linotype"/>
          <w:b/>
        </w:rPr>
        <w:t>SAIMEX</w:t>
      </w:r>
      <w:r>
        <w:rPr>
          <w:rFonts w:ascii="Palatino Linotype" w:eastAsia="Palatino Linotype" w:hAnsi="Palatino Linotype" w:cs="Palatino Linotype"/>
        </w:rPr>
        <w:t>, la respuesta a la solicitud de acceso a la información en los siguientes términos:</w:t>
      </w:r>
    </w:p>
    <w:p w:rsidR="00DF726C" w:rsidRPr="00DF726C" w:rsidRDefault="00D470B8" w:rsidP="00DF726C">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DF726C" w:rsidRPr="00DF726C">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F726C" w:rsidRPr="00DF726C" w:rsidRDefault="00DF726C" w:rsidP="00DF726C">
      <w:pPr>
        <w:spacing w:before="240" w:after="240" w:line="276" w:lineRule="auto"/>
        <w:ind w:left="567" w:right="902"/>
        <w:jc w:val="both"/>
        <w:rPr>
          <w:rFonts w:ascii="Palatino Linotype" w:eastAsia="Palatino Linotype" w:hAnsi="Palatino Linotype" w:cs="Palatino Linotype"/>
          <w:i/>
          <w:sz w:val="22"/>
          <w:szCs w:val="22"/>
        </w:rPr>
      </w:pPr>
      <w:r w:rsidRPr="00DF726C">
        <w:rPr>
          <w:rFonts w:ascii="Palatino Linotype" w:eastAsia="Palatino Linotype" w:hAnsi="Palatino Linotype" w:cs="Palatino Linotype"/>
          <w:i/>
          <w:sz w:val="22"/>
          <w:szCs w:val="22"/>
        </w:rPr>
        <w:t>Respuesta a la solicitud de información con número 00079/PLEGISLA/IP/2022</w:t>
      </w:r>
    </w:p>
    <w:p w:rsidR="00DF726C" w:rsidRPr="00DF726C" w:rsidRDefault="00DF726C" w:rsidP="00DF726C">
      <w:pPr>
        <w:spacing w:before="240" w:after="240" w:line="276" w:lineRule="auto"/>
        <w:ind w:left="567" w:right="902"/>
        <w:jc w:val="both"/>
        <w:rPr>
          <w:rFonts w:ascii="Palatino Linotype" w:eastAsia="Palatino Linotype" w:hAnsi="Palatino Linotype" w:cs="Palatino Linotype"/>
          <w:i/>
          <w:sz w:val="22"/>
          <w:szCs w:val="22"/>
        </w:rPr>
      </w:pPr>
      <w:r w:rsidRPr="00DF726C">
        <w:rPr>
          <w:rFonts w:ascii="Palatino Linotype" w:eastAsia="Palatino Linotype" w:hAnsi="Palatino Linotype" w:cs="Palatino Linotype"/>
          <w:i/>
          <w:sz w:val="22"/>
          <w:szCs w:val="22"/>
        </w:rPr>
        <w:t>ATENTAMENTE</w:t>
      </w:r>
    </w:p>
    <w:p w:rsidR="00CD0F3E" w:rsidRDefault="00DF726C" w:rsidP="00DF726C">
      <w:pPr>
        <w:spacing w:before="240" w:after="240" w:line="276" w:lineRule="auto"/>
        <w:ind w:left="567" w:right="902"/>
        <w:jc w:val="both"/>
        <w:rPr>
          <w:rFonts w:ascii="Palatino Linotype" w:eastAsia="Palatino Linotype" w:hAnsi="Palatino Linotype" w:cs="Palatino Linotype"/>
          <w:i/>
          <w:sz w:val="22"/>
          <w:szCs w:val="22"/>
        </w:rPr>
      </w:pPr>
      <w:r w:rsidRPr="00DF726C">
        <w:rPr>
          <w:rFonts w:ascii="Palatino Linotype" w:eastAsia="Palatino Linotype" w:hAnsi="Palatino Linotype" w:cs="Palatino Linotype"/>
          <w:i/>
          <w:sz w:val="22"/>
          <w:szCs w:val="22"/>
        </w:rPr>
        <w:t>Jesús Felipe Borja Coronel</w:t>
      </w:r>
      <w:r>
        <w:rPr>
          <w:rFonts w:ascii="Palatino Linotype" w:eastAsia="Palatino Linotype" w:hAnsi="Palatino Linotype" w:cs="Palatino Linotype"/>
          <w:i/>
          <w:sz w:val="22"/>
          <w:szCs w:val="22"/>
        </w:rPr>
        <w:t>”</w:t>
      </w:r>
      <w:r w:rsidR="00D470B8">
        <w:rPr>
          <w:rFonts w:ascii="Palatino Linotype" w:eastAsia="Palatino Linotype" w:hAnsi="Palatino Linotype" w:cs="Palatino Linotype"/>
          <w:i/>
          <w:sz w:val="22"/>
          <w:szCs w:val="22"/>
        </w:rPr>
        <w:t xml:space="preserve"> (Sic)</w:t>
      </w:r>
    </w:p>
    <w:p w:rsidR="00CD0F3E" w:rsidRDefault="00D470B8">
      <w:pPr>
        <w:spacing w:before="240" w:after="240" w:line="360" w:lineRule="auto"/>
        <w:ind w:right="567"/>
        <w:jc w:val="both"/>
        <w:rPr>
          <w:rFonts w:ascii="Palatino Linotype" w:eastAsia="Palatino Linotype" w:hAnsi="Palatino Linotype" w:cs="Palatino Linotype"/>
        </w:rPr>
      </w:pPr>
      <w:r>
        <w:rPr>
          <w:rFonts w:ascii="Palatino Linotype" w:eastAsia="Palatino Linotype" w:hAnsi="Palatino Linotype" w:cs="Palatino Linotype"/>
          <w:b/>
        </w:rPr>
        <w:t>Archivos adjuntos: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los archivos electrónicos que se describen a continuación: </w:t>
      </w:r>
    </w:p>
    <w:p w:rsidR="00DF726C" w:rsidRDefault="00D470B8" w:rsidP="00DF726C">
      <w:pPr>
        <w:spacing w:before="240" w:after="240" w:line="360"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r w:rsidR="00DF726C">
        <w:rPr>
          <w:rFonts w:ascii="Palatino Linotype" w:eastAsia="Palatino Linotype" w:hAnsi="Palatino Linotype" w:cs="Palatino Linotype"/>
          <w:b/>
          <w:i/>
          <w:sz w:val="22"/>
          <w:szCs w:val="22"/>
        </w:rPr>
        <w:t>20220301174126074.pdf</w:t>
      </w:r>
      <w:r>
        <w:rPr>
          <w:rFonts w:ascii="Palatino Linotype" w:eastAsia="Palatino Linotype" w:hAnsi="Palatino Linotype" w:cs="Palatino Linotype"/>
          <w:b/>
          <w:i/>
          <w:sz w:val="22"/>
          <w:szCs w:val="22"/>
        </w:rPr>
        <w:t xml:space="preserve">”: </w:t>
      </w:r>
      <w:r w:rsidR="00DF726C">
        <w:rPr>
          <w:rFonts w:ascii="Palatino Linotype" w:eastAsia="Palatino Linotype" w:hAnsi="Palatino Linotype" w:cs="Palatino Linotype"/>
          <w:sz w:val="22"/>
          <w:szCs w:val="22"/>
        </w:rPr>
        <w:t xml:space="preserve">Documento de diez fojas signado por el Servidor Público Habilitado de la Contraloría, </w:t>
      </w:r>
      <w:r w:rsidR="00F409A9">
        <w:rPr>
          <w:rFonts w:ascii="Palatino Linotype" w:eastAsia="Palatino Linotype" w:hAnsi="Palatino Linotype" w:cs="Palatino Linotype"/>
          <w:sz w:val="22"/>
          <w:szCs w:val="22"/>
        </w:rPr>
        <w:t xml:space="preserve">mediante el cual manifiesta que se sometió al Comité la propuesta de clasificación como confidencial de los datos personales que obran en las determinaciones de seis expedientes, por lo que para efecto de entregar la versión pública de las referidas determinaciones, el solicitante deberá cubrir un importe de $24 por la expedición en medios magnéticos o $35 por la expedición en disco compacto. </w:t>
      </w:r>
    </w:p>
    <w:p w:rsidR="00F409A9" w:rsidRDefault="00F409A9" w:rsidP="00DF726C">
      <w:pPr>
        <w:spacing w:before="240" w:after="240" w:line="360" w:lineRule="auto"/>
        <w:ind w:left="567" w:right="567"/>
        <w:jc w:val="both"/>
        <w:rPr>
          <w:rFonts w:ascii="Palatino Linotype" w:eastAsia="Palatino Linotype" w:hAnsi="Palatino Linotype" w:cs="Palatino Linotype"/>
          <w:sz w:val="22"/>
          <w:szCs w:val="22"/>
        </w:rPr>
      </w:pPr>
      <w:r w:rsidRPr="00F409A9">
        <w:rPr>
          <w:rFonts w:ascii="Palatino Linotype" w:eastAsia="Palatino Linotype" w:hAnsi="Palatino Linotype" w:cs="Palatino Linotype"/>
          <w:sz w:val="22"/>
          <w:szCs w:val="22"/>
        </w:rPr>
        <w:t>A</w:t>
      </w:r>
      <w:r>
        <w:rPr>
          <w:rFonts w:ascii="Palatino Linotype" w:eastAsia="Palatino Linotype" w:hAnsi="Palatino Linotype" w:cs="Palatino Linotype"/>
          <w:sz w:val="22"/>
          <w:szCs w:val="22"/>
        </w:rPr>
        <w:t>simismo, se ponen los 18 expedientes a su disposición para consulta directa</w:t>
      </w:r>
      <w:r w:rsidR="002433C9">
        <w:rPr>
          <w:rFonts w:ascii="Palatino Linotype" w:eastAsia="Palatino Linotype" w:hAnsi="Palatino Linotype" w:cs="Palatino Linotype"/>
          <w:sz w:val="22"/>
          <w:szCs w:val="22"/>
        </w:rPr>
        <w:t xml:space="preserve"> en la </w:t>
      </w:r>
      <w:proofErr w:type="gramStart"/>
      <w:r w:rsidR="002433C9">
        <w:rPr>
          <w:rFonts w:ascii="Palatino Linotype" w:eastAsia="Palatino Linotype" w:hAnsi="Palatino Linotype" w:cs="Palatino Linotype"/>
          <w:sz w:val="22"/>
          <w:szCs w:val="22"/>
        </w:rPr>
        <w:t>oficina</w:t>
      </w:r>
      <w:proofErr w:type="gramEnd"/>
      <w:r w:rsidR="002433C9">
        <w:rPr>
          <w:rFonts w:ascii="Palatino Linotype" w:eastAsia="Palatino Linotype" w:hAnsi="Palatino Linotype" w:cs="Palatino Linotype"/>
          <w:sz w:val="22"/>
          <w:szCs w:val="22"/>
        </w:rPr>
        <w:t xml:space="preserve"> de la Dirección de Responsabilidades Administrativas. </w:t>
      </w:r>
    </w:p>
    <w:p w:rsidR="002433C9" w:rsidRDefault="002433C9" w:rsidP="00DF726C">
      <w:pPr>
        <w:spacing w:before="240" w:after="240" w:line="360"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extent cx="5400675" cy="65151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6515100"/>
                    </a:xfrm>
                    <a:prstGeom prst="rect">
                      <a:avLst/>
                    </a:prstGeom>
                    <a:noFill/>
                    <a:ln>
                      <a:noFill/>
                    </a:ln>
                  </pic:spPr>
                </pic:pic>
              </a:graphicData>
            </a:graphic>
          </wp:inline>
        </w:drawing>
      </w:r>
      <w:r>
        <w:rPr>
          <w:rFonts w:ascii="Palatino Linotype" w:eastAsia="Palatino Linotype" w:hAnsi="Palatino Linotype" w:cs="Palatino Linotype"/>
          <w:noProof/>
          <w:sz w:val="22"/>
          <w:szCs w:val="22"/>
          <w:lang w:val="es-MX"/>
        </w:rPr>
        <w:lastRenderedPageBreak/>
        <w:drawing>
          <wp:inline distT="0" distB="0" distL="0" distR="0">
            <wp:extent cx="5295900" cy="59912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00" cy="5991225"/>
                    </a:xfrm>
                    <a:prstGeom prst="rect">
                      <a:avLst/>
                    </a:prstGeom>
                    <a:noFill/>
                    <a:ln>
                      <a:noFill/>
                    </a:ln>
                  </pic:spPr>
                </pic:pic>
              </a:graphicData>
            </a:graphic>
          </wp:inline>
        </w:drawing>
      </w:r>
      <w:r>
        <w:rPr>
          <w:rFonts w:ascii="Palatino Linotype" w:eastAsia="Palatino Linotype" w:hAnsi="Palatino Linotype" w:cs="Palatino Linotype"/>
          <w:noProof/>
          <w:sz w:val="22"/>
          <w:szCs w:val="22"/>
          <w:lang w:val="es-MX"/>
        </w:rPr>
        <w:lastRenderedPageBreak/>
        <w:drawing>
          <wp:inline distT="0" distB="0" distL="0" distR="0">
            <wp:extent cx="5400675" cy="63436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6343650"/>
                    </a:xfrm>
                    <a:prstGeom prst="rect">
                      <a:avLst/>
                    </a:prstGeom>
                    <a:noFill/>
                    <a:ln>
                      <a:noFill/>
                    </a:ln>
                  </pic:spPr>
                </pic:pic>
              </a:graphicData>
            </a:graphic>
          </wp:inline>
        </w:drawing>
      </w:r>
    </w:p>
    <w:p w:rsidR="002433C9" w:rsidRDefault="002433C9" w:rsidP="00DF726C">
      <w:pPr>
        <w:spacing w:before="240" w:after="240" w:line="360"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extent cx="5400675" cy="57816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5781675"/>
                    </a:xfrm>
                    <a:prstGeom prst="rect">
                      <a:avLst/>
                    </a:prstGeom>
                    <a:noFill/>
                    <a:ln>
                      <a:noFill/>
                    </a:ln>
                  </pic:spPr>
                </pic:pic>
              </a:graphicData>
            </a:graphic>
          </wp:inline>
        </w:drawing>
      </w:r>
    </w:p>
    <w:p w:rsidR="00DF726C" w:rsidRDefault="00DF726C" w:rsidP="00671D15">
      <w:pPr>
        <w:spacing w:before="240" w:after="240" w:line="360" w:lineRule="auto"/>
        <w:ind w:lef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r w:rsidRPr="00DF726C">
        <w:rPr>
          <w:rFonts w:ascii="Palatino Linotype" w:eastAsia="Palatino Linotype" w:hAnsi="Palatino Linotype" w:cs="Palatino Linotype"/>
          <w:b/>
          <w:i/>
          <w:sz w:val="22"/>
          <w:szCs w:val="22"/>
        </w:rPr>
        <w:t>79 RESPUESTA CONTRALORÍA.pdf</w:t>
      </w:r>
      <w:r>
        <w:rPr>
          <w:rFonts w:ascii="Palatino Linotype" w:eastAsia="Palatino Linotype" w:hAnsi="Palatino Linotype" w:cs="Palatino Linotype"/>
          <w:b/>
          <w:i/>
          <w:sz w:val="22"/>
          <w:szCs w:val="22"/>
        </w:rPr>
        <w:t xml:space="preserve">”: </w:t>
      </w:r>
      <w:r w:rsidR="002433C9">
        <w:rPr>
          <w:rFonts w:ascii="Palatino Linotype" w:eastAsia="Palatino Linotype" w:hAnsi="Palatino Linotype" w:cs="Palatino Linotype"/>
          <w:sz w:val="22"/>
          <w:szCs w:val="22"/>
        </w:rPr>
        <w:t xml:space="preserve">Oficio signado por el Titular de la Unidad de Transparencia, dirigido al particular para remitir la respuesta a su solicitud de información. </w:t>
      </w:r>
    </w:p>
    <w:p w:rsidR="002433C9" w:rsidRDefault="002433C9" w:rsidP="00DF726C">
      <w:pPr>
        <w:spacing w:before="240" w:after="240" w:line="360" w:lineRule="auto"/>
        <w:ind w:left="567" w:right="567"/>
        <w:jc w:val="both"/>
        <w:rPr>
          <w:rFonts w:ascii="Palatino Linotype" w:eastAsia="Palatino Linotype" w:hAnsi="Palatino Linotype" w:cs="Palatino Linotype"/>
          <w:sz w:val="22"/>
          <w:szCs w:val="22"/>
        </w:rPr>
      </w:pPr>
    </w:p>
    <w:p w:rsidR="002433C9" w:rsidRPr="002433C9" w:rsidRDefault="002433C9" w:rsidP="002433C9">
      <w:pPr>
        <w:spacing w:before="240" w:after="240" w:line="360" w:lineRule="auto"/>
        <w:ind w:left="567" w:right="567"/>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extent cx="5400675" cy="60293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6029325"/>
                    </a:xfrm>
                    <a:prstGeom prst="rect">
                      <a:avLst/>
                    </a:prstGeom>
                    <a:noFill/>
                    <a:ln>
                      <a:noFill/>
                    </a:ln>
                  </pic:spPr>
                </pic:pic>
              </a:graphicData>
            </a:graphic>
          </wp:inline>
        </w:drawing>
      </w:r>
    </w:p>
    <w:p w:rsidR="00CD0F3E" w:rsidRDefault="00CD0F3E">
      <w:pPr>
        <w:spacing w:before="240" w:after="240" w:line="360" w:lineRule="auto"/>
        <w:ind w:left="567" w:right="567"/>
        <w:jc w:val="center"/>
        <w:rPr>
          <w:rFonts w:ascii="Palatino Linotype" w:eastAsia="Palatino Linotype" w:hAnsi="Palatino Linotype" w:cs="Palatino Linotype"/>
          <w:sz w:val="22"/>
          <w:szCs w:val="22"/>
        </w:rPr>
      </w:pPr>
    </w:p>
    <w:p w:rsidR="00CD0F3E" w:rsidRDefault="00CD0F3E">
      <w:pPr>
        <w:spacing w:before="240" w:after="240" w:line="360" w:lineRule="auto"/>
        <w:ind w:left="567" w:right="567"/>
        <w:jc w:val="center"/>
        <w:rPr>
          <w:rFonts w:ascii="Palatino Linotype" w:eastAsia="Palatino Linotype" w:hAnsi="Palatino Linotype" w:cs="Palatino Linotype"/>
          <w:sz w:val="22"/>
          <w:szCs w:val="22"/>
        </w:rPr>
      </w:pPr>
    </w:p>
    <w:p w:rsidR="00CD0F3E" w:rsidRDefault="00CD0F3E">
      <w:pPr>
        <w:spacing w:before="240" w:after="240" w:line="360" w:lineRule="auto"/>
        <w:ind w:left="567" w:right="567"/>
        <w:jc w:val="center"/>
        <w:rPr>
          <w:rFonts w:ascii="Palatino Linotype" w:eastAsia="Palatino Linotype" w:hAnsi="Palatino Linotype" w:cs="Palatino Linotype"/>
          <w:sz w:val="22"/>
          <w:szCs w:val="22"/>
        </w:rPr>
      </w:pPr>
    </w:p>
    <w:p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3. Recurso 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Inconforme con la respuesta recibida, el Recurrente interpuso en fecha </w:t>
      </w:r>
      <w:r w:rsidR="002433C9">
        <w:rPr>
          <w:rFonts w:ascii="Palatino Linotype" w:eastAsia="Palatino Linotype" w:hAnsi="Palatino Linotype" w:cs="Palatino Linotype"/>
          <w:b/>
        </w:rPr>
        <w:t>veinticuatro</w:t>
      </w:r>
      <w:r>
        <w:rPr>
          <w:rFonts w:ascii="Palatino Linotype" w:eastAsia="Palatino Linotype" w:hAnsi="Palatino Linotype" w:cs="Palatino Linotype"/>
          <w:b/>
        </w:rPr>
        <w:t xml:space="preserve"> de marzo del año dos mil veintidós</w:t>
      </w:r>
      <w:r>
        <w:rPr>
          <w:rFonts w:ascii="Palatino Linotype" w:eastAsia="Palatino Linotype" w:hAnsi="Palatino Linotype" w:cs="Palatino Linotype"/>
        </w:rPr>
        <w:t>, el presente medio de impugnación expresando las siguientes manifestaciones:</w:t>
      </w:r>
    </w:p>
    <w:p w:rsidR="00CD0F3E" w:rsidRDefault="00D470B8">
      <w:pPr>
        <w:spacing w:before="240" w:after="240" w:line="360" w:lineRule="auto"/>
        <w:ind w:left="567" w:right="567"/>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CD0F3E" w:rsidRDefault="00D470B8">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2433C9" w:rsidRPr="002433C9">
        <w:rPr>
          <w:rFonts w:ascii="Palatino Linotype" w:eastAsia="Palatino Linotype" w:hAnsi="Palatino Linotype" w:cs="Palatino Linotype"/>
          <w:i/>
          <w:sz w:val="22"/>
          <w:szCs w:val="22"/>
        </w:rPr>
        <w:t>RESPUESTA A LA SOLICITUD 00079/PLEGISLA/IP/2022 DE FECHA 1 DE MARZO DE 2022, RESPUESTA HECHA CON EL OFICIO CPL/AIP/033/20222</w:t>
      </w:r>
      <w:r>
        <w:rPr>
          <w:rFonts w:ascii="Palatino Linotype" w:eastAsia="Palatino Linotype" w:hAnsi="Palatino Linotype" w:cs="Palatino Linotype"/>
          <w:i/>
          <w:sz w:val="22"/>
          <w:szCs w:val="22"/>
        </w:rPr>
        <w:t>” (Sic)</w:t>
      </w:r>
    </w:p>
    <w:p w:rsidR="00CD0F3E" w:rsidRDefault="00D470B8">
      <w:pPr>
        <w:spacing w:before="240" w:after="240" w:line="360" w:lineRule="auto"/>
        <w:ind w:left="567" w:right="567"/>
        <w:jc w:val="both"/>
        <w:rPr>
          <w:rFonts w:ascii="Palatino Linotype" w:eastAsia="Palatino Linotype" w:hAnsi="Palatino Linotype" w:cs="Palatino Linotype"/>
          <w:b/>
        </w:rPr>
      </w:pPr>
      <w:r>
        <w:rPr>
          <w:rFonts w:ascii="Palatino Linotype" w:eastAsia="Palatino Linotype" w:hAnsi="Palatino Linotype" w:cs="Palatino Linotype"/>
          <w:b/>
        </w:rPr>
        <w:t>b) Razones o motivos de inconformidad.</w:t>
      </w:r>
    </w:p>
    <w:p w:rsidR="00CD0F3E" w:rsidRDefault="00D470B8">
      <w:pPr>
        <w:spacing w:before="240" w:after="240"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i/>
          <w:sz w:val="22"/>
          <w:szCs w:val="22"/>
        </w:rPr>
        <w:t>“</w:t>
      </w:r>
      <w:r w:rsidR="002433C9" w:rsidRPr="002433C9">
        <w:rPr>
          <w:rFonts w:ascii="Palatino Linotype" w:eastAsia="Palatino Linotype" w:hAnsi="Palatino Linotype" w:cs="Palatino Linotype"/>
          <w:i/>
          <w:sz w:val="22"/>
          <w:szCs w:val="22"/>
        </w:rPr>
        <w:t xml:space="preserve">LA DIRECCIÓN DE RESPONSABILIDADES ACUERDA QUE EN TÉRMINOS DEL ARTÍCLO 12, 165 PARRAFO SEGUNDO DE LA LEY DE TRANSPARENCA DE ACCESO A LA INFORMACIÓN PÚBLICA DEL ESTADO DE MÉXICO Y MUNICIPIOS 73 IV O V DEL CÓDIGO FINACIERO DEL ESTADO DE MÉXICO </w:t>
      </w:r>
      <w:r w:rsidR="002433C9" w:rsidRPr="002433C9">
        <w:rPr>
          <w:rFonts w:ascii="Palatino Linotype" w:eastAsia="Palatino Linotype" w:hAnsi="Palatino Linotype" w:cs="Palatino Linotype"/>
          <w:b/>
          <w:i/>
          <w:sz w:val="22"/>
          <w:szCs w:val="22"/>
        </w:rPr>
        <w:t xml:space="preserve">PARA PODER PROPORCIONAR LA INFORMACIÓN EN VERSIÓN PÚBLICA EN FORMA DIGITAL SE REQUIERE QUE SE CUBRA LA CANTIDAD 24 PESOS SI ES MEDIO MAGNÉTICO O 34 PESOS SI ES EN DISCO COMPACTO O QUE EN SU CASO SU SERVIDOR PROPORCIONE EL MEDIO Y SERÁ DE FORMA GRATUITA. SIENDO QUE LA SOLICITUD DE INFORMACIÓN SE REALIZÓ MEDIANTE ESTA PLATAFORMA ES CLARO QUE LA SOLICITUD DE INFORMACIÓN DIGITAL ES PARA QUE FUERA PROPORCIONADA POR ESTE MEDIO O EN SU CASO POR MEDIO DEL CORREO ELECTRÓNICO </w:t>
      </w:r>
      <w:r w:rsidR="002433C9" w:rsidRPr="002433C9">
        <w:rPr>
          <w:rFonts w:ascii="Palatino Linotype" w:eastAsia="Palatino Linotype" w:hAnsi="Palatino Linotype" w:cs="Palatino Linotype"/>
          <w:i/>
          <w:sz w:val="22"/>
          <w:szCs w:val="22"/>
        </w:rPr>
        <w:t xml:space="preserve">QUE ES </w:t>
      </w:r>
      <w:bookmarkStart w:id="0" w:name="_GoBack"/>
      <w:bookmarkEnd w:id="0"/>
      <w:r w:rsidR="00136F51">
        <w:rPr>
          <w:rFonts w:ascii="Palatino Linotype" w:eastAsia="Palatino Linotype" w:hAnsi="Palatino Linotype" w:cs="Palatino Linotype"/>
          <w:i/>
          <w:sz w:val="22"/>
          <w:szCs w:val="22"/>
        </w:rPr>
        <w:t xml:space="preserve">XXXXXXXXXXXXXXXXXXXXXXXXX </w:t>
      </w:r>
      <w:r w:rsidR="002433C9" w:rsidRPr="002433C9">
        <w:rPr>
          <w:rFonts w:ascii="Palatino Linotype" w:eastAsia="Palatino Linotype" w:hAnsi="Palatino Linotype" w:cs="Palatino Linotype"/>
          <w:i/>
          <w:sz w:val="22"/>
          <w:szCs w:val="22"/>
        </w:rPr>
        <w:t xml:space="preserve">O POR LA MISMA PLATAFORMA, ES DECIR </w:t>
      </w:r>
      <w:r w:rsidR="002433C9" w:rsidRPr="002433C9">
        <w:rPr>
          <w:rFonts w:ascii="Palatino Linotype" w:eastAsia="Palatino Linotype" w:hAnsi="Palatino Linotype" w:cs="Palatino Linotype"/>
          <w:b/>
          <w:i/>
          <w:sz w:val="22"/>
          <w:szCs w:val="22"/>
        </w:rPr>
        <w:t>NO FUE SOLICITADA PARA INTEGRARSE EN UN CD U OTRO MEDIO. POR LO QUE LA SOLICITUD ES QUE SE LOS EXPEDIENTES SE ENVIEN DE FORMA DIGITAL POR MEDIO DE LA PLATAFORMA, LO CUAL DEBE SER DE FORMA GRATUITA</w:t>
      </w:r>
      <w:r w:rsidR="002433C9" w:rsidRPr="002433C9">
        <w:rPr>
          <w:rFonts w:ascii="Palatino Linotype" w:eastAsia="Palatino Linotype" w:hAnsi="Palatino Linotype" w:cs="Palatino Linotype"/>
          <w:i/>
          <w:sz w:val="22"/>
          <w:szCs w:val="22"/>
        </w:rPr>
        <w:t>. EN ATENCIÓN A LO ANTERIOR Y CON FUNDAMENTO EN LOS ARTÍCULOS 6 DE LA CONSTITUCIÓN POLITÍCA DE LOS ESTADOS UNIDOS MEXICANOS, 155 FRACCIÓN V., 164 Y 175 DE LA LEY DE TRANSPARENCIA Y ACCESO A LA INFORMACIÓN PÚBLICA DEL ESTADO DE MÉXICO Y MUNICIPIOS.</w:t>
      </w:r>
      <w:r w:rsidR="00671D15">
        <w:rPr>
          <w:rFonts w:ascii="Palatino Linotype" w:eastAsia="Palatino Linotype" w:hAnsi="Palatino Linotype" w:cs="Palatino Linotype"/>
          <w:i/>
          <w:sz w:val="22"/>
          <w:szCs w:val="22"/>
        </w:rPr>
        <w:t xml:space="preserve">" (Sic) </w:t>
      </w:r>
    </w:p>
    <w:p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Pr>
          <w:rFonts w:ascii="Palatino Linotype" w:eastAsia="Palatino Linotype" w:hAnsi="Palatino Linotype" w:cs="Palatino Linotype"/>
          <w:b/>
        </w:rPr>
        <w:t>Comisionada Guadalupe Ramírez Peña</w:t>
      </w:r>
      <w:r>
        <w:rPr>
          <w:rFonts w:ascii="Palatino Linotype" w:eastAsia="Palatino Linotype" w:hAnsi="Palatino Linotype" w:cs="Palatino Linotype"/>
        </w:rPr>
        <w:t xml:space="preserve"> para su análisis, estudio, elaboración del proyecto y presentación ante el Pleno de este Instituto.</w:t>
      </w:r>
    </w:p>
    <w:p w:rsidR="00CD0F3E" w:rsidRDefault="00D470B8" w:rsidP="00A26891">
      <w:pPr>
        <w:tabs>
          <w:tab w:val="left" w:pos="2835"/>
        </w:tabs>
        <w:spacing w:before="240" w:after="240" w:line="360" w:lineRule="auto"/>
        <w:jc w:val="both"/>
      </w:pPr>
      <w:r>
        <w:rPr>
          <w:rFonts w:ascii="Palatino Linotype" w:eastAsia="Palatino Linotype" w:hAnsi="Palatino Linotype" w:cs="Palatino Linotype"/>
          <w:b/>
        </w:rPr>
        <w:t xml:space="preserve">5. Admisión. </w:t>
      </w:r>
      <w:r>
        <w:rPr>
          <w:rFonts w:ascii="Palatino Linotype" w:eastAsia="Palatino Linotype" w:hAnsi="Palatino Linotype" w:cs="Palatino Linotype"/>
        </w:rPr>
        <w:t xml:space="preserve">Mediante auto de fecha </w:t>
      </w:r>
      <w:r w:rsidR="002433C9">
        <w:rPr>
          <w:rFonts w:ascii="Palatino Linotype" w:eastAsia="Palatino Linotype" w:hAnsi="Palatino Linotype" w:cs="Palatino Linotype"/>
          <w:b/>
        </w:rPr>
        <w:t>veintinueve</w:t>
      </w:r>
      <w:r>
        <w:rPr>
          <w:rFonts w:ascii="Palatino Linotype" w:eastAsia="Palatino Linotype" w:hAnsi="Palatino Linotype" w:cs="Palatino Linotype"/>
          <w:b/>
        </w:rPr>
        <w:t xml:space="preserve"> de marzo del dos mil veintidós</w:t>
      </w:r>
      <w:r>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rsidR="002433C9" w:rsidRPr="002433C9" w:rsidRDefault="00D470B8" w:rsidP="002433C9">
      <w:pPr>
        <w:widowControl w:val="0"/>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las constancias que integran el expediente en que se actúan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2433C9">
        <w:rPr>
          <w:rFonts w:ascii="Palatino Linotype" w:eastAsia="Palatino Linotype" w:hAnsi="Palatino Linotype" w:cs="Palatino Linotype"/>
        </w:rPr>
        <w:t xml:space="preserve">rindió </w:t>
      </w:r>
      <w:r>
        <w:rPr>
          <w:rFonts w:ascii="Palatino Linotype" w:eastAsia="Palatino Linotype" w:hAnsi="Palatino Linotype" w:cs="Palatino Linotype"/>
        </w:rPr>
        <w:t xml:space="preserve">su informe justificado, </w:t>
      </w:r>
      <w:r w:rsidR="002433C9">
        <w:rPr>
          <w:rFonts w:ascii="Palatino Linotype" w:eastAsia="Palatino Linotype" w:hAnsi="Palatino Linotype" w:cs="Palatino Linotype"/>
        </w:rPr>
        <w:t xml:space="preserve">el </w:t>
      </w:r>
      <w:r w:rsidR="002433C9" w:rsidRPr="002433C9">
        <w:rPr>
          <w:rFonts w:ascii="Palatino Linotype" w:eastAsia="Palatino Linotype" w:hAnsi="Palatino Linotype" w:cs="Palatino Linotype"/>
          <w:b/>
        </w:rPr>
        <w:t>siete de abril de dos mil veintidós</w:t>
      </w:r>
      <w:r w:rsidR="002433C9">
        <w:rPr>
          <w:rFonts w:ascii="Palatino Linotype" w:eastAsia="Palatino Linotype" w:hAnsi="Palatino Linotype" w:cs="Palatino Linotype"/>
        </w:rPr>
        <w:t xml:space="preserve">, mediante los archivos electrónicos que se describen a continuación: </w:t>
      </w:r>
    </w:p>
    <w:p w:rsidR="002433C9" w:rsidRPr="002433C9" w:rsidRDefault="002433C9" w:rsidP="007E5445">
      <w:pPr>
        <w:widowControl w:val="0"/>
        <w:tabs>
          <w:tab w:val="left" w:pos="709"/>
        </w:tabs>
        <w:spacing w:before="240" w:after="240"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w:t>
      </w:r>
      <w:r w:rsidRPr="002433C9">
        <w:rPr>
          <w:rFonts w:ascii="Palatino Linotype" w:eastAsia="Palatino Linotype" w:hAnsi="Palatino Linotype" w:cs="Palatino Linotype"/>
          <w:b/>
          <w:i/>
        </w:rPr>
        <w:t>INFORME RR-04554 CONTRALORÍA.pdf</w:t>
      </w:r>
      <w:r>
        <w:rPr>
          <w:rFonts w:ascii="Palatino Linotype" w:eastAsia="Palatino Linotype" w:hAnsi="Palatino Linotype" w:cs="Palatino Linotype"/>
          <w:b/>
          <w:i/>
        </w:rPr>
        <w:t xml:space="preserve">”: </w:t>
      </w:r>
      <w:r w:rsidR="007E5445">
        <w:rPr>
          <w:rFonts w:ascii="Palatino Linotype" w:eastAsia="Palatino Linotype" w:hAnsi="Palatino Linotype" w:cs="Palatino Linotype"/>
        </w:rPr>
        <w:t xml:space="preserve">Documento de seis fojas en el que medularmente el servidor público habilitado de la Contraloría ratifica la respuesta inicial. </w:t>
      </w:r>
      <w:r w:rsidRPr="002433C9">
        <w:rPr>
          <w:rFonts w:ascii="Palatino Linotype" w:eastAsia="Palatino Linotype" w:hAnsi="Palatino Linotype" w:cs="Palatino Linotype"/>
          <w:b/>
          <w:i/>
        </w:rPr>
        <w:tab/>
      </w:r>
    </w:p>
    <w:p w:rsidR="002433C9" w:rsidRPr="002433C9" w:rsidRDefault="007E5445" w:rsidP="007E5445">
      <w:pPr>
        <w:widowControl w:val="0"/>
        <w:tabs>
          <w:tab w:val="left" w:pos="709"/>
        </w:tabs>
        <w:spacing w:before="240" w:after="240"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w:t>
      </w:r>
      <w:r w:rsidR="002433C9" w:rsidRPr="002433C9">
        <w:rPr>
          <w:rFonts w:ascii="Palatino Linotype" w:eastAsia="Palatino Linotype" w:hAnsi="Palatino Linotype" w:cs="Palatino Linotype"/>
          <w:b/>
          <w:i/>
        </w:rPr>
        <w:t>INFORME JUSTIFICADO RR-04554.pdf</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Documento de cuatro fojas consistente en el informe justificado, dirigido a la Comisionada Ponente, en el cual, el Titular de la Unidad de Transparencia, ratifica su respuesta inicial. </w:t>
      </w:r>
      <w:r w:rsidR="002433C9" w:rsidRPr="002433C9">
        <w:rPr>
          <w:rFonts w:ascii="Palatino Linotype" w:eastAsia="Palatino Linotype" w:hAnsi="Palatino Linotype" w:cs="Palatino Linotype"/>
          <w:b/>
          <w:i/>
        </w:rPr>
        <w:lastRenderedPageBreak/>
        <w:tab/>
      </w:r>
      <w:r w:rsidR="002433C9" w:rsidRPr="002433C9">
        <w:rPr>
          <w:rFonts w:ascii="Palatino Linotype" w:eastAsia="Palatino Linotype" w:hAnsi="Palatino Linotype" w:cs="Palatino Linotype"/>
          <w:b/>
          <w:i/>
        </w:rPr>
        <w:tab/>
      </w:r>
    </w:p>
    <w:p w:rsidR="002433C9" w:rsidRPr="00C562A5" w:rsidRDefault="007E5445" w:rsidP="007E5445">
      <w:pPr>
        <w:widowControl w:val="0"/>
        <w:tabs>
          <w:tab w:val="left" w:pos="709"/>
        </w:tabs>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b/>
          <w:i/>
        </w:rPr>
        <w:t>“</w:t>
      </w:r>
      <w:r w:rsidR="002433C9" w:rsidRPr="002433C9">
        <w:rPr>
          <w:rFonts w:ascii="Palatino Linotype" w:eastAsia="Palatino Linotype" w:hAnsi="Palatino Linotype" w:cs="Palatino Linotype"/>
          <w:b/>
          <w:i/>
        </w:rPr>
        <w:t>Acta de la 05a. Sesión extraordinaria del CT 2022.pdf</w:t>
      </w:r>
      <w:r>
        <w:rPr>
          <w:rFonts w:ascii="Palatino Linotype" w:eastAsia="Palatino Linotype" w:hAnsi="Palatino Linotype" w:cs="Palatino Linotype"/>
          <w:b/>
          <w:i/>
        </w:rPr>
        <w:t xml:space="preserve">”: </w:t>
      </w:r>
      <w:r w:rsidR="00C562A5">
        <w:rPr>
          <w:rFonts w:ascii="Palatino Linotype" w:eastAsia="Palatino Linotype" w:hAnsi="Palatino Linotype" w:cs="Palatino Linotype"/>
        </w:rPr>
        <w:t>Documento de veinticinco fojas en las que se advierte el Acta de la Quinta Sesión Extraordinaria del Comité de Transparencia del Poder Legislativo del Estado de México, celebrada el 22 de febrero de 2022, mediante la cual clasifican como confidencial, los datos personales que obran en las determinaciones de los expedientes EI/DRA/C/030/2021, EI/II/051/2020, EI/II/095/2019, EI/II/104/2020, EI/II/144/</w:t>
      </w:r>
      <w:r w:rsidR="000836AB">
        <w:rPr>
          <w:rFonts w:ascii="Palatino Linotype" w:eastAsia="Palatino Linotype" w:hAnsi="Palatino Linotype" w:cs="Palatino Linotype"/>
        </w:rPr>
        <w:t xml:space="preserve">2021, </w:t>
      </w:r>
      <w:r w:rsidR="00C562A5">
        <w:rPr>
          <w:rFonts w:ascii="Palatino Linotype" w:eastAsia="Palatino Linotype" w:hAnsi="Palatino Linotype" w:cs="Palatino Linotype"/>
        </w:rPr>
        <w:t>EI/II/311</w:t>
      </w:r>
      <w:r w:rsidR="000836AB">
        <w:rPr>
          <w:rFonts w:ascii="Palatino Linotype" w:eastAsia="Palatino Linotype" w:hAnsi="Palatino Linotype" w:cs="Palatino Linotype"/>
        </w:rPr>
        <w:t>/2019 e IPRA/DSP/EPM/246/2019.</w:t>
      </w:r>
    </w:p>
    <w:p w:rsidR="000836AB" w:rsidRDefault="000836AB" w:rsidP="000836AB">
      <w:pPr>
        <w:widowControl w:val="0"/>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sz w:val="22"/>
          <w:szCs w:val="22"/>
        </w:rPr>
        <w:t xml:space="preserve">Es de precisar que este </w:t>
      </w:r>
      <w:r>
        <w:rPr>
          <w:rFonts w:ascii="Palatino Linotype" w:eastAsia="Palatino Linotype" w:hAnsi="Palatino Linotype" w:cs="Palatino Linotype"/>
          <w:color w:val="000000"/>
        </w:rPr>
        <w:t xml:space="preserve">documento se puso a la vista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mediante acuerdo de fecha </w:t>
      </w:r>
      <w:r>
        <w:rPr>
          <w:rFonts w:ascii="Palatino Linotype" w:eastAsia="Palatino Linotype" w:hAnsi="Palatino Linotype" w:cs="Palatino Linotype"/>
          <w:b/>
          <w:color w:val="000000"/>
        </w:rPr>
        <w:t>seis de julio de dos mil veintidós</w:t>
      </w:r>
      <w:r>
        <w:rPr>
          <w:rFonts w:ascii="Palatino Linotype" w:eastAsia="Palatino Linotype" w:hAnsi="Palatino Linotype" w:cs="Palatino Linotype"/>
          <w:color w:val="000000"/>
        </w:rPr>
        <w:t>, emitido por la Comisionada Ponente</w:t>
      </w:r>
      <w:r>
        <w:rPr>
          <w:rFonts w:ascii="Palatino Linotype" w:eastAsia="Palatino Linotype" w:hAnsi="Palatino Linotype" w:cs="Palatino Linotype"/>
          <w:b/>
          <w:color w:val="000000"/>
        </w:rPr>
        <w:t>.</w:t>
      </w:r>
    </w:p>
    <w:p w:rsidR="000836AB" w:rsidRDefault="000836AB" w:rsidP="000836AB">
      <w:pPr>
        <w:widowControl w:val="0"/>
        <w:pBdr>
          <w:top w:val="nil"/>
          <w:left w:val="nil"/>
          <w:bottom w:val="nil"/>
          <w:right w:val="nil"/>
          <w:between w:val="nil"/>
        </w:pBdr>
        <w:spacing w:line="360" w:lineRule="auto"/>
        <w:jc w:val="both"/>
        <w:rPr>
          <w:rFonts w:ascii="Palatino Linotype" w:eastAsia="Palatino Linotype" w:hAnsi="Palatino Linotype" w:cs="Palatino Linotype"/>
          <w:b/>
        </w:rPr>
      </w:pPr>
    </w:p>
    <w:p w:rsidR="000836AB" w:rsidRDefault="000836AB" w:rsidP="000836AB">
      <w:pPr>
        <w:widowControl w:val="0"/>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no realizó manifestaciones, ni formuló alegatos y tampoco ofreció medios de prueba. </w:t>
      </w:r>
    </w:p>
    <w:p w:rsidR="002433C9" w:rsidRDefault="000836AB" w:rsidP="002433C9">
      <w:pPr>
        <w:widowControl w:val="0"/>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400675" cy="15525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1552575"/>
                    </a:xfrm>
                    <a:prstGeom prst="rect">
                      <a:avLst/>
                    </a:prstGeom>
                    <a:noFill/>
                    <a:ln>
                      <a:noFill/>
                    </a:ln>
                  </pic:spPr>
                </pic:pic>
              </a:graphicData>
            </a:graphic>
          </wp:inline>
        </w:drawing>
      </w:r>
    </w:p>
    <w:p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El </w:t>
      </w:r>
      <w:r w:rsidR="000836AB">
        <w:rPr>
          <w:rFonts w:ascii="Palatino Linotype" w:eastAsia="Palatino Linotype" w:hAnsi="Palatino Linotype" w:cs="Palatino Linotype"/>
          <w:b/>
        </w:rPr>
        <w:t>seis de jul</w:t>
      </w:r>
      <w:r>
        <w:rPr>
          <w:rFonts w:ascii="Palatino Linotype" w:eastAsia="Palatino Linotype" w:hAnsi="Palatino Linotype" w:cs="Palatino Linotype"/>
          <w:b/>
        </w:rPr>
        <w:t>io de dos mil veintidós</w:t>
      </w:r>
      <w:r>
        <w:rPr>
          <w:rFonts w:ascii="Palatino Linotype" w:eastAsia="Palatino Linotype" w:hAnsi="Palatino Linotype" w:cs="Palatino Linotype"/>
        </w:rPr>
        <w:t xml:space="preserve">, se notificó a las partes el Acuerdo de Ampliación de Plazo para resolver el medio de impugnación que nos ocupa, en términos de lo dispuesto por el artículo 181, párrafo </w:t>
      </w:r>
      <w:r>
        <w:rPr>
          <w:rFonts w:ascii="Palatino Linotype" w:eastAsia="Palatino Linotype" w:hAnsi="Palatino Linotype" w:cs="Palatino Linotype"/>
        </w:rPr>
        <w:lastRenderedPageBreak/>
        <w:t>tercero de la Ley de Transparencia y Acceso a la Información Pública del Estado de México y Municipios.</w:t>
      </w:r>
    </w:p>
    <w:p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Este organismo garante no pasa por alto justificar, que el plazo </w:t>
      </w:r>
      <w:r>
        <w:rPr>
          <w:rFonts w:ascii="Palatino Linotype" w:eastAsia="Palatino Linotype" w:hAnsi="Palatino Linotype" w:cs="Palatino Linotype"/>
        </w:rPr>
        <w:t>para</w:t>
      </w:r>
      <w:r>
        <w:rPr>
          <w:rFonts w:ascii="Palatino Linotype" w:eastAsia="Palatino Linotype" w:hAnsi="Palatino Linotype" w:cs="Palatino Linotype"/>
          <w:color w:val="000000"/>
        </w:rPr>
        <w:t xml:space="preserve">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CD0F3E" w:rsidRDefault="00CD0F3E">
      <w:pPr>
        <w:spacing w:line="360" w:lineRule="auto"/>
      </w:pPr>
    </w:p>
    <w:p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CD0F3E" w:rsidRDefault="00CD0F3E">
      <w:pPr>
        <w:spacing w:line="360" w:lineRule="auto"/>
      </w:pPr>
    </w:p>
    <w:p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CD0F3E" w:rsidRDefault="00CD0F3E">
      <w:pPr>
        <w:spacing w:line="360" w:lineRule="auto"/>
      </w:pPr>
    </w:p>
    <w:p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w:t>
      </w:r>
      <w:r>
        <w:rPr>
          <w:rFonts w:ascii="Palatino Linotype" w:eastAsia="Palatino Linotype" w:hAnsi="Palatino Linotype" w:cs="Palatino Linotype"/>
          <w:color w:val="000000"/>
        </w:rPr>
        <w:lastRenderedPageBreak/>
        <w:t>jurisdiccionales o cuasi jurisdiccionales, tanto por la complejidad de los hechos, como por el número de casos que conocen. </w:t>
      </w:r>
    </w:p>
    <w:p w:rsidR="00CD0F3E" w:rsidRDefault="00CD0F3E">
      <w:pPr>
        <w:spacing w:line="360" w:lineRule="auto"/>
      </w:pPr>
    </w:p>
    <w:p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w:t>
      </w:r>
      <w:proofErr w:type="gramStart"/>
      <w:r>
        <w:rPr>
          <w:rFonts w:ascii="Palatino Linotype" w:eastAsia="Palatino Linotype" w:hAnsi="Palatino Linotype" w:cs="Palatino Linotype"/>
          <w:color w:val="000000"/>
        </w:rPr>
        <w:t>su resolución atentos</w:t>
      </w:r>
      <w:proofErr w:type="gramEnd"/>
      <w:r>
        <w:rPr>
          <w:rFonts w:ascii="Palatino Linotype" w:eastAsia="Palatino Linotype" w:hAnsi="Palatino Linotype" w:cs="Palatino Linotype"/>
          <w:color w:val="000000"/>
        </w:rPr>
        <w:t xml:space="preserve"> a los siguientes criterios: </w:t>
      </w:r>
    </w:p>
    <w:p w:rsidR="00CD0F3E" w:rsidRDefault="00CD0F3E">
      <w:pPr>
        <w:spacing w:line="360" w:lineRule="auto"/>
      </w:pPr>
    </w:p>
    <w:p w:rsidR="00CD0F3E" w:rsidRPr="000836AB" w:rsidRDefault="00D470B8" w:rsidP="000836AB">
      <w:pPr>
        <w:pStyle w:val="Prrafodelista"/>
        <w:numPr>
          <w:ilvl w:val="0"/>
          <w:numId w:val="11"/>
        </w:numPr>
        <w:pBdr>
          <w:top w:val="nil"/>
          <w:left w:val="nil"/>
          <w:bottom w:val="nil"/>
          <w:right w:val="nil"/>
          <w:between w:val="nil"/>
        </w:pBdr>
        <w:spacing w:line="360" w:lineRule="auto"/>
        <w:ind w:left="567" w:right="567" w:hanging="283"/>
        <w:jc w:val="both"/>
        <w:rPr>
          <w:rFonts w:ascii="Palatino Linotype" w:eastAsia="Palatino Linotype" w:hAnsi="Palatino Linotype" w:cs="Palatino Linotype"/>
          <w:color w:val="000000"/>
        </w:rPr>
      </w:pPr>
      <w:r w:rsidRPr="000836AB">
        <w:rPr>
          <w:rFonts w:ascii="Palatino Linotype" w:eastAsia="Palatino Linotype" w:hAnsi="Palatino Linotype" w:cs="Palatino Linotype"/>
          <w:color w:val="000000"/>
        </w:rPr>
        <w:t>Complejidad del Asunto: La complejidad de la prueba, la pluralidad de sujetos procesales, el tiempo transcurrido, las caracter</w:t>
      </w:r>
      <w:r w:rsidR="000836AB">
        <w:rPr>
          <w:rFonts w:ascii="Palatino Linotype" w:eastAsia="Palatino Linotype" w:hAnsi="Palatino Linotype" w:cs="Palatino Linotype"/>
          <w:color w:val="000000"/>
        </w:rPr>
        <w:t>ísticas y contexto del recurso.</w:t>
      </w:r>
    </w:p>
    <w:p w:rsidR="00CD0F3E" w:rsidRPr="000836AB" w:rsidRDefault="00D470B8" w:rsidP="000836AB">
      <w:pPr>
        <w:numPr>
          <w:ilvl w:val="0"/>
          <w:numId w:val="11"/>
        </w:numPr>
        <w:pBdr>
          <w:top w:val="nil"/>
          <w:left w:val="nil"/>
          <w:bottom w:val="nil"/>
          <w:right w:val="nil"/>
          <w:between w:val="nil"/>
        </w:pBdr>
        <w:spacing w:line="360" w:lineRule="auto"/>
        <w:ind w:left="567" w:right="567"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Actividad Procesal del interesado. Acciones u omisiones del interesado.</w:t>
      </w:r>
      <w:r>
        <w:br/>
      </w:r>
    </w:p>
    <w:p w:rsidR="00CD0F3E" w:rsidRDefault="00D470B8" w:rsidP="000836AB">
      <w:pPr>
        <w:numPr>
          <w:ilvl w:val="0"/>
          <w:numId w:val="1"/>
        </w:numPr>
        <w:pBdr>
          <w:top w:val="nil"/>
          <w:left w:val="nil"/>
          <w:bottom w:val="nil"/>
          <w:right w:val="nil"/>
          <w:between w:val="nil"/>
        </w:pBdr>
        <w:spacing w:line="360" w:lineRule="auto"/>
        <w:ind w:left="567" w:right="567"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rsidR="00CD0F3E" w:rsidRDefault="00CD0F3E" w:rsidP="000836AB">
      <w:pPr>
        <w:spacing w:line="360" w:lineRule="auto"/>
        <w:ind w:left="567" w:right="567" w:hanging="283"/>
      </w:pPr>
    </w:p>
    <w:p w:rsidR="00CD0F3E" w:rsidRPr="000836AB" w:rsidRDefault="00D470B8" w:rsidP="000836AB">
      <w:pPr>
        <w:pStyle w:val="Prrafodelista"/>
        <w:numPr>
          <w:ilvl w:val="0"/>
          <w:numId w:val="1"/>
        </w:numPr>
        <w:pBdr>
          <w:top w:val="nil"/>
          <w:left w:val="nil"/>
          <w:bottom w:val="nil"/>
          <w:right w:val="nil"/>
          <w:between w:val="nil"/>
        </w:pBdr>
        <w:spacing w:line="360" w:lineRule="auto"/>
        <w:ind w:left="567" w:right="567" w:hanging="283"/>
        <w:jc w:val="both"/>
        <w:rPr>
          <w:color w:val="000000"/>
        </w:rPr>
      </w:pPr>
      <w:r w:rsidRPr="000836AB">
        <w:rPr>
          <w:rFonts w:ascii="Palatino Linotype" w:eastAsia="Palatino Linotype" w:hAnsi="Palatino Linotype" w:cs="Palatino Linotype"/>
          <w:color w:val="000000"/>
        </w:rPr>
        <w:t>La afectación generada en la situación jurídica de la persona involucrada en el proceso: Violación a sus derechos humanos.</w:t>
      </w:r>
    </w:p>
    <w:p w:rsidR="00CD0F3E" w:rsidRDefault="00CD0F3E">
      <w:pPr>
        <w:spacing w:line="360" w:lineRule="auto"/>
      </w:pPr>
    </w:p>
    <w:p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CD0F3E" w:rsidRDefault="00CD0F3E">
      <w:pPr>
        <w:spacing w:line="360" w:lineRule="auto"/>
      </w:pPr>
    </w:p>
    <w:p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Argumento que encuentra sustento en la jurisprudencia P</w:t>
      </w:r>
      <w:proofErr w:type="gramStart"/>
      <w:r>
        <w:rPr>
          <w:rFonts w:ascii="Palatino Linotype" w:eastAsia="Palatino Linotype" w:hAnsi="Palatino Linotype" w:cs="Palatino Linotype"/>
          <w:color w:val="000000"/>
        </w:rPr>
        <w:t>./</w:t>
      </w:r>
      <w:proofErr w:type="gramEnd"/>
      <w:r>
        <w:rPr>
          <w:rFonts w:ascii="Palatino Linotype" w:eastAsia="Palatino Linotype" w:hAnsi="Palatino Linotype" w:cs="Palatino Linotype"/>
          <w:color w:val="000000"/>
        </w:rPr>
        <w:t xml:space="preserve">J. 32/92 emitida por el Pleno de la Suprema Corte de Justicia de la Nación de rubro </w:t>
      </w:r>
      <w:r>
        <w:rPr>
          <w:rFonts w:ascii="Palatino Linotype" w:eastAsia="Palatino Linotype" w:hAnsi="Palatino Linotype" w:cs="Palatino Linotype"/>
          <w:i/>
          <w:color w:val="000000"/>
        </w:rPr>
        <w:t xml:space="preserve">“TÉRMINOS PROCESALES. </w:t>
      </w:r>
      <w:r>
        <w:rPr>
          <w:rFonts w:ascii="Palatino Linotype" w:eastAsia="Palatino Linotype" w:hAnsi="Palatino Linotype" w:cs="Palatino Linotype"/>
          <w:i/>
          <w:color w:val="000000"/>
        </w:rPr>
        <w:lastRenderedPageBreak/>
        <w:t>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color w:val="000000"/>
        </w:rPr>
        <w:t>, visible en la Gaceta del Seminario Judicial de la Federación con el registro digital 205635.</w:t>
      </w:r>
    </w:p>
    <w:p w:rsidR="00CD0F3E" w:rsidRDefault="00CD0F3E">
      <w:pPr>
        <w:spacing w:line="360" w:lineRule="auto"/>
      </w:pPr>
    </w:p>
    <w:p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CD0F3E" w:rsidRDefault="00CD0F3E">
      <w:pPr>
        <w:spacing w:line="360" w:lineRule="auto"/>
      </w:pPr>
    </w:p>
    <w:p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rsidR="00CD0F3E" w:rsidRDefault="00CD0F3E">
      <w:pPr>
        <w:spacing w:line="360" w:lineRule="auto"/>
      </w:pPr>
    </w:p>
    <w:p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w:t>
      </w:r>
      <w:r>
        <w:rPr>
          <w:rFonts w:ascii="Palatino Linotype" w:eastAsia="Palatino Linotype" w:hAnsi="Palatino Linotype" w:cs="Palatino Linotype"/>
          <w:i/>
          <w:color w:val="000000"/>
        </w:rPr>
        <w:t>“PLAZO RAZONABLE PARA RESOLVER. DIMENSIÓN Y EFECTOS DE ESTE CONCEPTO CUANDO SE ADUCE EXCESIVA CARGA DE TRABAJO.”</w:t>
      </w:r>
      <w:r>
        <w:rPr>
          <w:rFonts w:ascii="Palatino Linotype" w:eastAsia="Palatino Linotype" w:hAnsi="Palatino Linotype" w:cs="Palatino Linotype"/>
          <w:color w:val="000000"/>
        </w:rPr>
        <w:t xml:space="preserve"> consultable en el Seminario Judicial de la Federación y su gaceta, con el registro digital 2002351.</w:t>
      </w:r>
    </w:p>
    <w:p w:rsidR="00CD0F3E" w:rsidRDefault="00CD0F3E">
      <w:pPr>
        <w:spacing w:line="360" w:lineRule="auto"/>
      </w:pPr>
    </w:p>
    <w:p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i/>
          <w:color w:val="000000"/>
        </w:rPr>
        <w:lastRenderedPageBreak/>
        <w:t>“PLAZO RAZONABLE PARA RESOLVER. CONCEPTO Y ELEMENTOS QUE LO INTEGRAN A LA LUZ DEL DERECHO INTERNACIONAL DE LOS DERECHOS HUMANOS.”</w:t>
      </w:r>
      <w:r>
        <w:rPr>
          <w:rFonts w:ascii="Palatino Linotype" w:eastAsia="Palatino Linotype" w:hAnsi="Palatino Linotype" w:cs="Palatino Linotype"/>
          <w:color w:val="000000"/>
        </w:rPr>
        <w:t>, visible en el Seminario Judicial de la Federación y su gaceta, con el registro digital 2002350.</w:t>
      </w:r>
    </w:p>
    <w:p w:rsidR="00CD0F3E" w:rsidRDefault="00CD0F3E">
      <w:pPr>
        <w:spacing w:line="360" w:lineRule="auto"/>
      </w:pPr>
    </w:p>
    <w:p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Por ello, este organismo garante comprometido con la tutela de los derechos humanos confiados, señala que este </w:t>
      </w:r>
      <w:r w:rsidR="004C3D30">
        <w:rPr>
          <w:rFonts w:ascii="Palatino Linotype" w:eastAsia="Palatino Linotype" w:hAnsi="Palatino Linotype" w:cs="Palatino Linotype"/>
          <w:color w:val="000000"/>
        </w:rPr>
        <w:t xml:space="preserve">exceso del </w:t>
      </w:r>
      <w:r>
        <w:rPr>
          <w:rFonts w:ascii="Palatino Linotype" w:eastAsia="Palatino Linotype" w:hAnsi="Palatino Linotype" w:cs="Palatino Linotype"/>
          <w:color w:val="000000"/>
        </w:rPr>
        <w:t>plazo legal para resolver el presente asunto, resulta de carácter excepcional.</w:t>
      </w:r>
    </w:p>
    <w:p w:rsidR="00CD0F3E" w:rsidRDefault="00D470B8">
      <w:pPr>
        <w:spacing w:before="240" w:after="240"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En fecha </w:t>
      </w:r>
      <w:r w:rsidR="00C44084">
        <w:rPr>
          <w:rFonts w:ascii="Palatino Linotype" w:eastAsia="Palatino Linotype" w:hAnsi="Palatino Linotype" w:cs="Palatino Linotype"/>
          <w:b/>
        </w:rPr>
        <w:t>dos</w:t>
      </w:r>
      <w:r w:rsidR="00565689">
        <w:rPr>
          <w:rFonts w:ascii="Palatino Linotype" w:eastAsia="Palatino Linotype" w:hAnsi="Palatino Linotype" w:cs="Palatino Linotype"/>
          <w:b/>
        </w:rPr>
        <w:t xml:space="preserve"> de agost</w:t>
      </w:r>
      <w:r>
        <w:rPr>
          <w:rFonts w:ascii="Palatino Linotype" w:eastAsia="Palatino Linotype" w:hAnsi="Palatino Linotype" w:cs="Palatino Linotype"/>
          <w:b/>
        </w:rPr>
        <w:t>o del año dos mil veintidós</w:t>
      </w:r>
      <w:r>
        <w:rPr>
          <w:rFonts w:ascii="Palatino Linotype" w:eastAsia="Palatino Linotype" w:hAnsi="Palatino Linotype" w:cs="Palatino Linotype"/>
        </w:rPr>
        <w:t xml:space="preserve">,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Pr>
          <w:rFonts w:ascii="Palatino Linotype" w:eastAsia="Palatino Linotype" w:hAnsi="Palatino Linotype" w:cs="Palatino Linotype"/>
          <w:b/>
          <w:sz w:val="28"/>
          <w:szCs w:val="28"/>
        </w:rPr>
        <w:t xml:space="preserve"> </w:t>
      </w:r>
    </w:p>
    <w:p w:rsidR="00CD0F3E" w:rsidRDefault="00D470B8">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razón de que fue debidamente sustanciado el expediente electrónico y no existe diligencia pendiente de desahogo, se emite la Resolución que conforme a Derecho proceda, de acuerdo con los siguientes: </w:t>
      </w:r>
    </w:p>
    <w:p w:rsidR="00CD0F3E" w:rsidRDefault="00D470B8">
      <w:pPr>
        <w:pStyle w:val="Ttulo2"/>
        <w:spacing w:before="240" w:after="24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II. C O N S I D E R A N D O S:</w:t>
      </w:r>
    </w:p>
    <w:p w:rsidR="00CD0F3E" w:rsidRDefault="00D470B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Primero. 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w:t>
      </w:r>
      <w:r>
        <w:rPr>
          <w:rFonts w:ascii="Palatino Linotype" w:eastAsia="Palatino Linotype" w:hAnsi="Palatino Linotype" w:cs="Palatino Linotype"/>
          <w:highlight w:val="white"/>
        </w:rPr>
        <w:lastRenderedPageBreak/>
        <w:t xml:space="preserve">trigésimo segundo; fracciones IV y V de la Constitución Política del Estado Libre y Soberano de México; 1, 2, fracción II; 13,  29, 36, fracciones I y II; 176, 178, 179, 181 párrafo 3 y 185 de la Ley Transparencia y Acceso a la Información Pública del Estado de México y Municipios; </w:t>
      </w:r>
      <w:r>
        <w:rPr>
          <w:rFonts w:ascii="Palatino Linotype" w:eastAsia="Palatino Linotype" w:hAnsi="Palatino Linotype" w:cs="Palatino Linotype"/>
        </w:rPr>
        <w:t xml:space="preserve">9 fracciones I,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rPr>
        <w:t xml:space="preserve">. 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CD0F3E" w:rsidRPr="000836AB" w:rsidRDefault="00D470B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su respuesta a la solicitud de información el día </w:t>
      </w:r>
      <w:r w:rsidR="000836AB">
        <w:rPr>
          <w:rFonts w:ascii="Palatino Linotype" w:eastAsia="Palatino Linotype" w:hAnsi="Palatino Linotype" w:cs="Palatino Linotype"/>
          <w:b/>
        </w:rPr>
        <w:t>uno</w:t>
      </w:r>
      <w:r>
        <w:rPr>
          <w:rFonts w:ascii="Palatino Linotype" w:eastAsia="Palatino Linotype" w:hAnsi="Palatino Linotype" w:cs="Palatino Linotype"/>
          <w:b/>
        </w:rPr>
        <w:t xml:space="preserve"> de marzo de dos mil veintidós, </w:t>
      </w:r>
      <w:r>
        <w:rPr>
          <w:rFonts w:ascii="Palatino Linotype" w:eastAsia="Palatino Linotype" w:hAnsi="Palatino Linotype" w:cs="Palatino Linotype"/>
        </w:rPr>
        <w:t xml:space="preserve">mientras que el recurso de revisión interpuesto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se tuvo por presentado el día </w:t>
      </w:r>
      <w:r w:rsidR="000836AB">
        <w:rPr>
          <w:rFonts w:ascii="Palatino Linotype" w:eastAsia="Palatino Linotype" w:hAnsi="Palatino Linotype" w:cs="Palatino Linotype"/>
          <w:b/>
        </w:rPr>
        <w:t>veinticuatro</w:t>
      </w:r>
      <w:r>
        <w:rPr>
          <w:rFonts w:ascii="Palatino Linotype" w:eastAsia="Palatino Linotype" w:hAnsi="Palatino Linotype" w:cs="Palatino Linotype"/>
          <w:b/>
        </w:rPr>
        <w:t xml:space="preserve"> de marzo de dos mil veintidós</w:t>
      </w:r>
      <w:r>
        <w:rPr>
          <w:rFonts w:ascii="Palatino Linotype" w:eastAsia="Palatino Linotype" w:hAnsi="Palatino Linotype" w:cs="Palatino Linotype"/>
        </w:rPr>
        <w:t xml:space="preserve">, esto es, al </w:t>
      </w:r>
      <w:r w:rsidR="000836AB">
        <w:rPr>
          <w:rFonts w:ascii="Palatino Linotype" w:eastAsia="Palatino Linotype" w:hAnsi="Palatino Linotype" w:cs="Palatino Linotype"/>
          <w:b/>
        </w:rPr>
        <w:t>décimo quinto</w:t>
      </w:r>
      <w:r>
        <w:rPr>
          <w:rFonts w:ascii="Palatino Linotype" w:eastAsia="Palatino Linotype" w:hAnsi="Palatino Linotype" w:cs="Palatino Linotype"/>
          <w:b/>
        </w:rPr>
        <w:t xml:space="preserve"> día hábil</w:t>
      </w:r>
      <w:r>
        <w:rPr>
          <w:rFonts w:ascii="Palatino Linotype" w:eastAsia="Palatino Linotype" w:hAnsi="Palatino Linotype" w:cs="Palatino Linotype"/>
        </w:rPr>
        <w:t xml:space="preserve"> en que tuvo conocimiento de la respuesta impugnada</w:t>
      </w:r>
      <w:r>
        <w:rPr>
          <w:rFonts w:ascii="Palatino Linotype" w:eastAsia="Palatino Linotype" w:hAnsi="Palatino Linotype" w:cs="Palatino Linotype"/>
          <w:b/>
        </w:rPr>
        <w:t>.</w:t>
      </w:r>
    </w:p>
    <w:p w:rsidR="004C20D6" w:rsidRDefault="004C20D6" w:rsidP="004C20D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por cuanto hace a la </w:t>
      </w:r>
      <w:proofErr w:type="spellStart"/>
      <w:r>
        <w:rPr>
          <w:rFonts w:ascii="Palatino Linotype" w:eastAsia="Palatino Linotype" w:hAnsi="Palatino Linotype" w:cs="Palatino Linotype"/>
          <w:color w:val="000000"/>
        </w:rPr>
        <w:t>procedibilidad</w:t>
      </w:r>
      <w:proofErr w:type="spellEnd"/>
      <w:r>
        <w:rPr>
          <w:rFonts w:ascii="Palatino Linotype" w:eastAsia="Palatino Linotype" w:hAnsi="Palatino Linotype" w:cs="Palatino Linotype"/>
          <w:color w:val="000000"/>
        </w:rPr>
        <w:t xml:space="preserve"> de</w:t>
      </w:r>
      <w:r>
        <w:rPr>
          <w:rFonts w:ascii="Palatino Linotype" w:eastAsia="Palatino Linotype" w:hAnsi="Palatino Linotype" w:cs="Palatino Linotype"/>
        </w:rPr>
        <w:t xml:space="preserve">l </w:t>
      </w:r>
      <w:r>
        <w:rPr>
          <w:rFonts w:ascii="Palatino Linotype" w:eastAsia="Palatino Linotype" w:hAnsi="Palatino Linotype" w:cs="Palatino Linotype"/>
          <w:color w:val="000000"/>
        </w:rPr>
        <w:t xml:space="preserve"> recurso de </w:t>
      </w:r>
      <w:r>
        <w:rPr>
          <w:rFonts w:ascii="Palatino Linotype" w:eastAsia="Palatino Linotype" w:hAnsi="Palatino Linotype" w:cs="Palatino Linotype"/>
        </w:rPr>
        <w:t>revisión</w:t>
      </w:r>
      <w:r>
        <w:rPr>
          <w:rFonts w:ascii="Palatino Linotype" w:eastAsia="Palatino Linotype" w:hAnsi="Palatino Linotype" w:cs="Palatino Linotype"/>
          <w:color w:val="000000"/>
        </w:rPr>
        <w:t xml:space="preserve">, es de suma importancia señalar que </w:t>
      </w:r>
      <w:r w:rsidR="000836AB">
        <w:rPr>
          <w:rFonts w:ascii="Palatino Linotype" w:eastAsia="Palatino Linotype" w:hAnsi="Palatino Linotype" w:cs="Palatino Linotype"/>
          <w:b/>
          <w:color w:val="000000"/>
        </w:rPr>
        <w:t xml:space="preserve">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no señaló nombre </w:t>
      </w:r>
      <w:r w:rsidR="000836AB">
        <w:rPr>
          <w:rFonts w:ascii="Palatino Linotype" w:eastAsia="Palatino Linotype" w:hAnsi="Palatino Linotype" w:cs="Palatino Linotype"/>
          <w:color w:val="000000"/>
        </w:rPr>
        <w:t xml:space="preserve"> completo </w:t>
      </w:r>
      <w:r>
        <w:rPr>
          <w:rFonts w:ascii="Palatino Linotype" w:eastAsia="Palatino Linotype" w:hAnsi="Palatino Linotype" w:cs="Palatino Linotype"/>
          <w:color w:val="000000"/>
        </w:rPr>
        <w:t xml:space="preserve">con el cual desee ser identificado, como se advierte en el detalle de seguimiento del SAIMEX, no obstante lo anterior, no proporcionar el nombre no es motivo para archivar la solicitud de acceso a la información pública como concluida, conforme a lo previsto en el </w:t>
      </w:r>
      <w:r>
        <w:rPr>
          <w:rFonts w:ascii="Palatino Linotype" w:eastAsia="Palatino Linotype" w:hAnsi="Palatino Linotype" w:cs="Palatino Linotype"/>
          <w:color w:val="000000"/>
        </w:rPr>
        <w:lastRenderedPageBreak/>
        <w:t>artículo 155, penúltimo párrafo de la Ley de Transparencia y Acceso a la Información Pública del Estado de México y Municipios que establece lo siguiente:</w:t>
      </w:r>
    </w:p>
    <w:p w:rsidR="004C20D6" w:rsidRDefault="004C20D6" w:rsidP="004C20D6">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4C20D6" w:rsidRDefault="004C20D6" w:rsidP="004C20D6">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las cosas, por cuanto hace a la </w:t>
      </w:r>
      <w:proofErr w:type="spellStart"/>
      <w:r>
        <w:rPr>
          <w:rFonts w:ascii="Palatino Linotype" w:eastAsia="Palatino Linotype" w:hAnsi="Palatino Linotype" w:cs="Palatino Linotype"/>
          <w:color w:val="000000"/>
        </w:rPr>
        <w:t>procedibilidad</w:t>
      </w:r>
      <w:proofErr w:type="spellEnd"/>
      <w:r>
        <w:rPr>
          <w:rFonts w:ascii="Palatino Linotype" w:eastAsia="Palatino Linotype" w:hAnsi="Palatino Linotype" w:cs="Palatino Linotype"/>
          <w:color w:val="000000"/>
        </w:rPr>
        <w:t xml:space="preserve">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CD0F3E" w:rsidRDefault="00D470B8">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resulta procedente la interposición del recurso, según lo aducido por el recurrente en sus razones o </w:t>
      </w:r>
      <w:r>
        <w:rPr>
          <w:rFonts w:ascii="Palatino Linotype" w:eastAsia="Palatino Linotype" w:hAnsi="Palatino Linotype" w:cs="Palatino Linotype"/>
          <w:color w:val="000000"/>
        </w:rPr>
        <w:t>motivos de inconformidad, de acu</w:t>
      </w:r>
      <w:r w:rsidR="002C4870">
        <w:rPr>
          <w:rFonts w:ascii="Palatino Linotype" w:eastAsia="Palatino Linotype" w:hAnsi="Palatino Linotype" w:cs="Palatino Linotype"/>
          <w:color w:val="000000"/>
        </w:rPr>
        <w:t>erdo al a</w:t>
      </w:r>
      <w:r w:rsidR="00141050">
        <w:rPr>
          <w:rFonts w:ascii="Palatino Linotype" w:eastAsia="Palatino Linotype" w:hAnsi="Palatino Linotype" w:cs="Palatino Linotype"/>
          <w:color w:val="000000"/>
        </w:rPr>
        <w:t xml:space="preserve">rtículo 179, fracciones VIII y </w:t>
      </w:r>
      <w:r w:rsidR="002C4870">
        <w:rPr>
          <w:rFonts w:ascii="Palatino Linotype" w:eastAsia="Palatino Linotype" w:hAnsi="Palatino Linotype" w:cs="Palatino Linotype"/>
          <w:color w:val="000000"/>
        </w:rPr>
        <w:t xml:space="preserve"> X</w:t>
      </w:r>
      <w:r>
        <w:rPr>
          <w:rFonts w:ascii="Palatino Linotype" w:eastAsia="Palatino Linotype" w:hAnsi="Palatino Linotype" w:cs="Palatino Linotype"/>
          <w:color w:val="000000"/>
        </w:rPr>
        <w:t xml:space="preserve"> de la Ley de Transparencia y Acceso a la Información Pública del Estado de México y Municipios; que a la letra dice:</w:t>
      </w:r>
    </w:p>
    <w:p w:rsidR="00CD0F3E" w:rsidRDefault="00D470B8">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CD0F3E" w:rsidRDefault="00D470B8">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141050" w:rsidRDefault="00141050">
      <w:pPr>
        <w:spacing w:before="240" w:after="240" w:line="276" w:lineRule="auto"/>
        <w:ind w:left="567" w:right="902"/>
        <w:jc w:val="both"/>
        <w:rPr>
          <w:rFonts w:ascii="Palatino Linotype" w:eastAsia="Palatino Linotype" w:hAnsi="Palatino Linotype" w:cs="Palatino Linotype"/>
          <w:b/>
          <w:i/>
          <w:sz w:val="22"/>
          <w:szCs w:val="22"/>
        </w:rPr>
      </w:pPr>
      <w:r w:rsidRPr="00141050">
        <w:rPr>
          <w:rFonts w:ascii="Palatino Linotype" w:eastAsia="Palatino Linotype" w:hAnsi="Palatino Linotype" w:cs="Palatino Linotype"/>
          <w:b/>
          <w:i/>
          <w:sz w:val="22"/>
          <w:szCs w:val="22"/>
        </w:rPr>
        <w:t>VIII. La notificación, entrega o puesta a disposición de información en una modalidad o formato distinto al solicitado;</w:t>
      </w:r>
    </w:p>
    <w:p w:rsidR="00141050" w:rsidRDefault="00141050">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CD0F3E" w:rsidRDefault="002C4870">
      <w:pPr>
        <w:spacing w:before="240" w:after="240" w:line="276" w:lineRule="auto"/>
        <w:ind w:left="567" w:right="902"/>
        <w:jc w:val="both"/>
        <w:rPr>
          <w:rFonts w:ascii="Palatino Linotype" w:eastAsia="Palatino Linotype" w:hAnsi="Palatino Linotype" w:cs="Palatino Linotype"/>
          <w:i/>
          <w:sz w:val="22"/>
          <w:szCs w:val="22"/>
        </w:rPr>
      </w:pPr>
      <w:r w:rsidRPr="002C4870">
        <w:rPr>
          <w:rFonts w:ascii="Palatino Linotype" w:eastAsia="Palatino Linotype" w:hAnsi="Palatino Linotype" w:cs="Palatino Linotype"/>
          <w:b/>
          <w:i/>
          <w:sz w:val="22"/>
          <w:szCs w:val="22"/>
        </w:rPr>
        <w:t>X. Los costos o tiemp</w:t>
      </w:r>
      <w:r>
        <w:rPr>
          <w:rFonts w:ascii="Palatino Linotype" w:eastAsia="Palatino Linotype" w:hAnsi="Palatino Linotype" w:cs="Palatino Linotype"/>
          <w:b/>
          <w:i/>
          <w:sz w:val="22"/>
          <w:szCs w:val="22"/>
        </w:rPr>
        <w:t>os de entrega de la información</w:t>
      </w:r>
      <w:r w:rsidR="00D470B8">
        <w:rPr>
          <w:rFonts w:ascii="Palatino Linotype" w:eastAsia="Palatino Linotype" w:hAnsi="Palatino Linotype" w:cs="Palatino Linotype"/>
          <w:b/>
          <w:i/>
          <w:sz w:val="22"/>
          <w:szCs w:val="22"/>
        </w:rPr>
        <w:t>;</w:t>
      </w:r>
      <w:r w:rsidR="00D470B8">
        <w:rPr>
          <w:rFonts w:ascii="Palatino Linotype" w:eastAsia="Palatino Linotype" w:hAnsi="Palatino Linotype" w:cs="Palatino Linotype"/>
          <w:i/>
          <w:sz w:val="22"/>
          <w:szCs w:val="22"/>
        </w:rPr>
        <w:t>”    (Sic)</w:t>
      </w:r>
    </w:p>
    <w:p w:rsidR="00CD0F3E" w:rsidRDefault="00D470B8">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(Énfasis añadido)              </w:t>
      </w:r>
    </w:p>
    <w:p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rsidR="00CD0F3E" w:rsidRDefault="00D470B8">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 xml:space="preserve">Cuarto. Estudio del asunto. </w:t>
      </w:r>
      <w:r>
        <w:rPr>
          <w:rFonts w:ascii="Palatino Linotype" w:eastAsia="Palatino Linotype" w:hAnsi="Palatino Linotype" w:cs="Palatino Linotype"/>
          <w:color w:val="000000"/>
        </w:rPr>
        <w:t xml:space="preserve">Antes de entrar al análisis de los pronunciamientos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CD0F3E" w:rsidRDefault="00D470B8">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rsidR="00CD0F3E" w:rsidRDefault="00D470B8">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rsidR="00CD0F3E" w:rsidRDefault="00D470B8">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rsidR="00CD0F3E" w:rsidRDefault="00D470B8">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i/>
          <w:color w:val="000000"/>
          <w:sz w:val="22"/>
          <w:szCs w:val="22"/>
        </w:rPr>
        <w:lastRenderedPageBreak/>
        <w:t>[…]</w:t>
      </w:r>
    </w:p>
    <w:p w:rsidR="00CD0F3E" w:rsidRDefault="00D470B8">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b/>
          <w:i/>
          <w:color w:val="000000"/>
          <w:sz w:val="22"/>
          <w:szCs w:val="22"/>
        </w:rPr>
        <w:t>“Artículo 6o.</w:t>
      </w:r>
    </w:p>
    <w:p w:rsidR="00CD0F3E" w:rsidRDefault="00D470B8">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i/>
          <w:color w:val="000000"/>
          <w:sz w:val="22"/>
          <w:szCs w:val="22"/>
        </w:rPr>
        <w:t>[...]</w:t>
      </w:r>
    </w:p>
    <w:p w:rsidR="00CD0F3E" w:rsidRDefault="00D470B8">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A. Para el ejercicio del derecho de acceso a la información, la Federación y </w:t>
      </w:r>
      <w:r>
        <w:rPr>
          <w:rFonts w:ascii="Palatino Linotype" w:eastAsia="Palatino Linotype" w:hAnsi="Palatino Linotype" w:cs="Palatino Linotype"/>
          <w:b/>
          <w:i/>
          <w:color w:val="000000"/>
          <w:sz w:val="22"/>
          <w:szCs w:val="22"/>
          <w:u w:val="single"/>
        </w:rPr>
        <w:t>las entidades federativas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rsidR="00CD0F3E" w:rsidRDefault="00D470B8">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 </w:t>
      </w:r>
      <w:r>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Pr>
          <w:rFonts w:ascii="Palatino Linotype" w:eastAsia="Palatino Linotype" w:hAnsi="Palatino Linotype" w:cs="Palatino Linotype"/>
          <w:i/>
          <w:color w:val="000000"/>
          <w:sz w:val="22"/>
          <w:szCs w:val="22"/>
        </w:rPr>
        <w:t xml:space="preserve"> Ejecutivo, Legislativo </w:t>
      </w:r>
      <w:r>
        <w:rPr>
          <w:rFonts w:ascii="Palatino Linotype" w:eastAsia="Palatino Linotype" w:hAnsi="Palatino Linotype" w:cs="Palatino Linotype"/>
          <w:b/>
          <w:i/>
          <w:color w:val="000000"/>
          <w:sz w:val="22"/>
          <w:szCs w:val="22"/>
          <w:u w:val="single"/>
        </w:rPr>
        <w:t>y Judicial</w:t>
      </w:r>
      <w:r>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D0F3E" w:rsidRDefault="00D470B8">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rsidR="00CD0F3E" w:rsidRDefault="00D470B8">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III. </w:t>
      </w:r>
      <w:r>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000000"/>
          <w:sz w:val="22"/>
          <w:szCs w:val="22"/>
        </w:rPr>
        <w:t xml:space="preserve"> a sus datos personales o a la rectificación de éstos.</w:t>
      </w:r>
    </w:p>
    <w:p w:rsidR="00CD0F3E" w:rsidRDefault="00D470B8">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IV. </w:t>
      </w:r>
      <w:r>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rsidR="00CD0F3E" w:rsidRDefault="00D470B8">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V. </w:t>
      </w:r>
      <w:r>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D0F3E" w:rsidRDefault="00D470B8">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 </w:t>
      </w:r>
      <w:r>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rsidR="00CD0F3E" w:rsidRDefault="00D470B8">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lastRenderedPageBreak/>
        <w:t> </w:t>
      </w:r>
      <w:r>
        <w:rPr>
          <w:rFonts w:ascii="Palatino Linotype" w:eastAsia="Palatino Linotype" w:hAnsi="Palatino Linotype" w:cs="Palatino Linotype"/>
          <w:b/>
          <w:i/>
          <w:color w:val="000000"/>
          <w:sz w:val="22"/>
          <w:szCs w:val="22"/>
        </w:rPr>
        <w:t xml:space="preserve">VII. </w:t>
      </w:r>
      <w:r>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rsidR="00CD0F3E" w:rsidRDefault="00D470B8">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CD0F3E" w:rsidRDefault="00D470B8">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4</w:t>
      </w:r>
      <w:r>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CD0F3E" w:rsidRDefault="00D470B8">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CD0F3E" w:rsidRDefault="00D470B8">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rsidR="00CD0F3E" w:rsidRDefault="00D470B8">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lo precedente, se desprende que los Sujetos Obligados tiene la obligación o deber de atender las solicitudes de acceso a la información pública que se les hagan de su </w:t>
      </w:r>
      <w:r>
        <w:rPr>
          <w:rFonts w:ascii="Palatino Linotype" w:eastAsia="Palatino Linotype" w:hAnsi="Palatino Linotype" w:cs="Palatino Linotype"/>
          <w:color w:val="000000"/>
        </w:rPr>
        <w:lastRenderedPageBreak/>
        <w:t>conocimiento y proporcionar la información pública que obren en su poder como así lo establece el artículo 12 de la Ley de Transparencia y Acceso a la Información Pública del Estado de México y Municipios, el cual a la letra dice:</w:t>
      </w:r>
    </w:p>
    <w:p w:rsidR="00CD0F3E" w:rsidRDefault="00D470B8">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12</w:t>
      </w:r>
      <w:r>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rsidR="00CD0F3E" w:rsidRDefault="00D470B8">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CD0F3E" w:rsidRDefault="00D470B8">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CD0F3E" w:rsidRDefault="00D470B8">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03/17</w:t>
      </w:r>
    </w:p>
    <w:p w:rsidR="00CD0F3E" w:rsidRDefault="00D470B8">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rsidR="00CD0F3E" w:rsidRDefault="00D470B8">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w:t>
      </w:r>
      <w:r>
        <w:rPr>
          <w:rFonts w:ascii="Palatino Linotype" w:eastAsia="Palatino Linotype" w:hAnsi="Palatino Linotype" w:cs="Palatino Linotype"/>
          <w:i/>
          <w:color w:val="000000"/>
          <w:sz w:val="22"/>
          <w:szCs w:val="22"/>
        </w:rPr>
        <w:lastRenderedPageBreak/>
        <w:t>información con la que cuentan en el formato en que la misma obre en sus archivos; sin necesidad de elaborar documentos ad hoc para atender las solicitudes de información."(Sic)</w:t>
      </w:r>
    </w:p>
    <w:p w:rsidR="00CD0F3E" w:rsidRDefault="00D470B8">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CD0F3E" w:rsidRDefault="00D470B8">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CD0F3E" w:rsidRDefault="00D470B8">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CD0F3E" w:rsidRDefault="00D470B8">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rsidR="00CD0F3E" w:rsidRDefault="00D470B8">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lastRenderedPageBreak/>
        <w:t>…</w:t>
      </w:r>
    </w:p>
    <w:p w:rsidR="00CD0F3E" w:rsidRDefault="00D470B8">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CD0F3E" w:rsidRDefault="00D470B8">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CD0F3E" w:rsidRDefault="00D470B8">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b/>
          <w:i/>
          <w:color w:val="000000"/>
          <w:sz w:val="22"/>
          <w:szCs w:val="22"/>
        </w:rPr>
        <w:t>CRITERIO 0002-11</w:t>
      </w:r>
    </w:p>
    <w:p w:rsidR="00CD0F3E" w:rsidRDefault="00D470B8">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D0F3E" w:rsidRDefault="00D470B8">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rsidR="00CD0F3E" w:rsidRDefault="00D470B8">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CD0F3E" w:rsidRDefault="00D470B8">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CD0F3E" w:rsidRDefault="00D470B8">
      <w:pPr>
        <w:pBdr>
          <w:top w:val="nil"/>
          <w:left w:val="nil"/>
          <w:bottom w:val="nil"/>
          <w:right w:val="nil"/>
          <w:between w:val="nil"/>
        </w:pBdr>
        <w:spacing w:before="240" w:after="240"/>
        <w:ind w:left="567" w:right="567" w:hanging="284"/>
        <w:jc w:val="both"/>
        <w:rPr>
          <w:color w:val="000000"/>
        </w:rPr>
      </w:pPr>
      <w:r>
        <w:rPr>
          <w:rFonts w:ascii="Palatino Linotype" w:eastAsia="Palatino Linotype" w:hAnsi="Palatino Linotype" w:cs="Palatino Linotype"/>
          <w:i/>
          <w:color w:val="000000"/>
          <w:sz w:val="22"/>
          <w:szCs w:val="22"/>
        </w:rPr>
        <w:t xml:space="preserve">3. </w:t>
      </w:r>
      <w:r>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rsidR="00CD0F3E" w:rsidRDefault="00D470B8">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 xml:space="preserve">De ahí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CD0F3E" w:rsidRDefault="00D470B8">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le proporcionara lo siguiente:</w:t>
      </w:r>
    </w:p>
    <w:p w:rsidR="00141050" w:rsidRDefault="00141050" w:rsidP="00141050">
      <w:pPr>
        <w:pStyle w:val="Prrafodelista"/>
        <w:numPr>
          <w:ilvl w:val="1"/>
          <w:numId w:val="3"/>
        </w:numPr>
        <w:spacing w:before="240" w:after="240" w:line="360" w:lineRule="auto"/>
        <w:ind w:left="567" w:hanging="283"/>
        <w:jc w:val="both"/>
        <w:rPr>
          <w:rFonts w:ascii="Palatino Linotype" w:eastAsia="Palatino Linotype" w:hAnsi="Palatino Linotype" w:cs="Palatino Linotype"/>
          <w:b/>
          <w:color w:val="000000"/>
          <w:sz w:val="22"/>
          <w:szCs w:val="22"/>
        </w:rPr>
      </w:pPr>
      <w:r w:rsidRPr="00141050">
        <w:rPr>
          <w:rFonts w:ascii="Palatino Linotype" w:eastAsia="Palatino Linotype" w:hAnsi="Palatino Linotype" w:cs="Palatino Linotype"/>
          <w:b/>
          <w:color w:val="000000"/>
          <w:sz w:val="22"/>
          <w:szCs w:val="22"/>
        </w:rPr>
        <w:t xml:space="preserve">Cuántas denuncias ha recibido la Contraloría del Poder Legislativo de servidores públicos de elección popular de los servidores públicos de la administración 2019-2021 del Municipio de Zumpango, México. </w:t>
      </w:r>
    </w:p>
    <w:p w:rsidR="00141050" w:rsidRDefault="00141050" w:rsidP="00141050">
      <w:pPr>
        <w:pStyle w:val="Prrafodelista"/>
        <w:numPr>
          <w:ilvl w:val="1"/>
          <w:numId w:val="3"/>
        </w:numPr>
        <w:spacing w:before="240" w:after="240" w:line="360" w:lineRule="auto"/>
        <w:ind w:left="567" w:hanging="283"/>
        <w:jc w:val="both"/>
        <w:rPr>
          <w:rFonts w:ascii="Palatino Linotype" w:eastAsia="Palatino Linotype" w:hAnsi="Palatino Linotype" w:cs="Palatino Linotype"/>
          <w:b/>
          <w:color w:val="000000"/>
          <w:sz w:val="22"/>
          <w:szCs w:val="22"/>
        </w:rPr>
      </w:pPr>
      <w:r w:rsidRPr="00141050">
        <w:rPr>
          <w:rFonts w:ascii="Palatino Linotype" w:eastAsia="Palatino Linotype" w:hAnsi="Palatino Linotype" w:cs="Palatino Linotype"/>
          <w:b/>
          <w:color w:val="000000"/>
          <w:sz w:val="22"/>
          <w:szCs w:val="22"/>
        </w:rPr>
        <w:t xml:space="preserve">Quiénes son los presuntos responsables. </w:t>
      </w:r>
    </w:p>
    <w:p w:rsidR="00141050" w:rsidRDefault="00141050" w:rsidP="00141050">
      <w:pPr>
        <w:pStyle w:val="Prrafodelista"/>
        <w:numPr>
          <w:ilvl w:val="1"/>
          <w:numId w:val="3"/>
        </w:numPr>
        <w:spacing w:before="240" w:after="240" w:line="360" w:lineRule="auto"/>
        <w:ind w:left="567" w:hanging="283"/>
        <w:jc w:val="both"/>
        <w:rPr>
          <w:rFonts w:ascii="Palatino Linotype" w:eastAsia="Palatino Linotype" w:hAnsi="Palatino Linotype" w:cs="Palatino Linotype"/>
          <w:b/>
          <w:color w:val="000000"/>
          <w:sz w:val="22"/>
          <w:szCs w:val="22"/>
        </w:rPr>
      </w:pPr>
      <w:r w:rsidRPr="00141050">
        <w:rPr>
          <w:rFonts w:ascii="Palatino Linotype" w:eastAsia="Palatino Linotype" w:hAnsi="Palatino Linotype" w:cs="Palatino Linotype"/>
          <w:b/>
          <w:color w:val="000000"/>
          <w:sz w:val="22"/>
          <w:szCs w:val="22"/>
        </w:rPr>
        <w:t xml:space="preserve">Por </w:t>
      </w:r>
      <w:r>
        <w:rPr>
          <w:rFonts w:ascii="Palatino Linotype" w:eastAsia="Palatino Linotype" w:hAnsi="Palatino Linotype" w:cs="Palatino Linotype"/>
          <w:b/>
          <w:color w:val="000000"/>
          <w:sz w:val="22"/>
          <w:szCs w:val="22"/>
        </w:rPr>
        <w:t>qué temas fueron denunciados.</w:t>
      </w:r>
    </w:p>
    <w:p w:rsidR="00141050" w:rsidRDefault="00141050" w:rsidP="00141050">
      <w:pPr>
        <w:pStyle w:val="Prrafodelista"/>
        <w:numPr>
          <w:ilvl w:val="1"/>
          <w:numId w:val="3"/>
        </w:numPr>
        <w:spacing w:before="240" w:after="240" w:line="360" w:lineRule="auto"/>
        <w:ind w:left="567" w:hanging="283"/>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E</w:t>
      </w:r>
      <w:r w:rsidRPr="00141050">
        <w:rPr>
          <w:rFonts w:ascii="Palatino Linotype" w:eastAsia="Palatino Linotype" w:hAnsi="Palatino Linotype" w:cs="Palatino Linotype"/>
          <w:b/>
          <w:color w:val="000000"/>
          <w:sz w:val="22"/>
          <w:szCs w:val="22"/>
        </w:rPr>
        <w:t>l statu</w:t>
      </w:r>
      <w:r>
        <w:rPr>
          <w:rFonts w:ascii="Palatino Linotype" w:eastAsia="Palatino Linotype" w:hAnsi="Palatino Linotype" w:cs="Palatino Linotype"/>
          <w:b/>
          <w:color w:val="000000"/>
          <w:sz w:val="22"/>
          <w:szCs w:val="22"/>
        </w:rPr>
        <w:t>s de cada una de las denuncias.</w:t>
      </w:r>
    </w:p>
    <w:p w:rsidR="00141050" w:rsidRDefault="00141050" w:rsidP="00141050">
      <w:pPr>
        <w:pStyle w:val="Prrafodelista"/>
        <w:numPr>
          <w:ilvl w:val="1"/>
          <w:numId w:val="3"/>
        </w:numPr>
        <w:spacing w:before="240" w:after="240" w:line="360" w:lineRule="auto"/>
        <w:ind w:left="567" w:hanging="283"/>
        <w:jc w:val="both"/>
        <w:rPr>
          <w:rFonts w:ascii="Palatino Linotype" w:eastAsia="Palatino Linotype" w:hAnsi="Palatino Linotype" w:cs="Palatino Linotype"/>
          <w:b/>
          <w:color w:val="000000"/>
          <w:sz w:val="22"/>
          <w:szCs w:val="22"/>
        </w:rPr>
      </w:pPr>
      <w:r w:rsidRPr="00141050">
        <w:rPr>
          <w:rFonts w:ascii="Palatino Linotype" w:eastAsia="Palatino Linotype" w:hAnsi="Palatino Linotype" w:cs="Palatino Linotype"/>
          <w:b/>
          <w:color w:val="000000"/>
          <w:sz w:val="22"/>
          <w:szCs w:val="22"/>
        </w:rPr>
        <w:t>Copia digital de los expedientes formados con motivo de las denuncias presentadas.</w:t>
      </w:r>
    </w:p>
    <w:p w:rsidR="00CD0F3E" w:rsidRDefault="00D470B8" w:rsidP="00141050">
      <w:pPr>
        <w:spacing w:before="240" w:after="240" w:line="360" w:lineRule="auto"/>
        <w:ind w:right="49"/>
        <w:jc w:val="both"/>
        <w:rPr>
          <w:rFonts w:ascii="Palatino Linotype" w:eastAsia="Palatino Linotype" w:hAnsi="Palatino Linotype" w:cs="Palatino Linotype"/>
        </w:rPr>
      </w:pPr>
      <w:r w:rsidRPr="00141050">
        <w:rPr>
          <w:rFonts w:ascii="Palatino Linotype" w:eastAsia="Palatino Linotype" w:hAnsi="Palatino Linotype" w:cs="Palatino Linotype"/>
        </w:rPr>
        <w:t xml:space="preserve">En respuesta a la solicitud de información, el </w:t>
      </w:r>
      <w:r w:rsidRPr="00141050">
        <w:rPr>
          <w:rFonts w:ascii="Palatino Linotype" w:eastAsia="Palatino Linotype" w:hAnsi="Palatino Linotype" w:cs="Palatino Linotype"/>
          <w:b/>
        </w:rPr>
        <w:t>Sujeto Obligado</w:t>
      </w:r>
      <w:r w:rsidRPr="00141050">
        <w:rPr>
          <w:rFonts w:ascii="Palatino Linotype" w:eastAsia="Palatino Linotype" w:hAnsi="Palatino Linotype" w:cs="Palatino Linotype"/>
        </w:rPr>
        <w:t xml:space="preserve"> </w:t>
      </w:r>
      <w:r w:rsidR="00141050">
        <w:rPr>
          <w:rFonts w:ascii="Palatino Linotype" w:eastAsia="Palatino Linotype" w:hAnsi="Palatino Linotype" w:cs="Palatino Linotype"/>
        </w:rPr>
        <w:t>por conducto d</w:t>
      </w:r>
      <w:r w:rsidRPr="00141050">
        <w:rPr>
          <w:rFonts w:ascii="Palatino Linotype" w:eastAsia="Palatino Linotype" w:hAnsi="Palatino Linotype" w:cs="Palatino Linotype"/>
        </w:rPr>
        <w:t>el</w:t>
      </w:r>
      <w:r w:rsidR="00141050">
        <w:rPr>
          <w:rFonts w:ascii="Palatino Linotype" w:eastAsia="Palatino Linotype" w:hAnsi="Palatino Linotype" w:cs="Palatino Linotype"/>
        </w:rPr>
        <w:t xml:space="preserve"> servidor público habilitado de la Contraloría, manifestó lo siguiente: </w:t>
      </w:r>
      <w:r w:rsidRPr="00141050">
        <w:rPr>
          <w:rFonts w:ascii="Palatino Linotype" w:eastAsia="Palatino Linotype" w:hAnsi="Palatino Linotype" w:cs="Palatino Linotype"/>
        </w:rPr>
        <w:t xml:space="preserve"> </w:t>
      </w:r>
    </w:p>
    <w:p w:rsidR="002040DE" w:rsidRPr="00591FC8" w:rsidRDefault="00141050" w:rsidP="00141050">
      <w:pPr>
        <w:spacing w:before="240" w:after="240" w:line="360" w:lineRule="auto"/>
        <w:ind w:left="567" w:right="567"/>
        <w:jc w:val="both"/>
        <w:rPr>
          <w:rFonts w:ascii="Palatino Linotype" w:eastAsia="Palatino Linotype" w:hAnsi="Palatino Linotype" w:cs="Palatino Linotype"/>
          <w:b/>
          <w:sz w:val="22"/>
          <w:szCs w:val="22"/>
          <w:u w:val="single"/>
        </w:rPr>
      </w:pPr>
      <w:r>
        <w:rPr>
          <w:rFonts w:ascii="Palatino Linotype" w:eastAsia="Palatino Linotype" w:hAnsi="Palatino Linotype" w:cs="Palatino Linotype"/>
          <w:sz w:val="22"/>
          <w:szCs w:val="22"/>
        </w:rPr>
        <w:t xml:space="preserve">La Dirección de Responsabilidades Administrativas de la Contraloría del Poder Legislativo del Estado de México, informó que </w:t>
      </w:r>
      <w:r w:rsidRPr="00591FC8">
        <w:rPr>
          <w:rFonts w:ascii="Palatino Linotype" w:eastAsia="Palatino Linotype" w:hAnsi="Palatino Linotype" w:cs="Palatino Linotype"/>
          <w:b/>
          <w:sz w:val="22"/>
          <w:szCs w:val="22"/>
          <w:u w:val="single"/>
        </w:rPr>
        <w:t xml:space="preserve">con la finalidad de estar en </w:t>
      </w:r>
      <w:r w:rsidRPr="00591FC8">
        <w:rPr>
          <w:rFonts w:ascii="Palatino Linotype" w:eastAsia="Palatino Linotype" w:hAnsi="Palatino Linotype" w:cs="Palatino Linotype"/>
          <w:b/>
          <w:sz w:val="22"/>
          <w:szCs w:val="22"/>
          <w:u w:val="single"/>
        </w:rPr>
        <w:lastRenderedPageBreak/>
        <w:t>posibilidad de brindar la versión pública de las determinaciones, se sometió al Comité la propuesta de clasificación como confidencial de los datos personales que obran en las deter</w:t>
      </w:r>
      <w:r w:rsidR="002040DE" w:rsidRPr="00591FC8">
        <w:rPr>
          <w:rFonts w:ascii="Palatino Linotype" w:eastAsia="Palatino Linotype" w:hAnsi="Palatino Linotype" w:cs="Palatino Linotype"/>
          <w:b/>
          <w:sz w:val="22"/>
          <w:szCs w:val="22"/>
          <w:u w:val="single"/>
        </w:rPr>
        <w:t>minaciones de seis expedientes. Dicha propuesta se aprobó en la el Acta de la Quinta Sesión Extraordinaria del Comité de Transparencia del Poder Legislativo del Estado de México, celebrada el 22 de febrero de 2022.</w:t>
      </w:r>
    </w:p>
    <w:p w:rsidR="00141050" w:rsidRPr="00591FC8" w:rsidRDefault="002040DE" w:rsidP="00591FC8">
      <w:pPr>
        <w:spacing w:before="240" w:after="240" w:line="360" w:lineRule="auto"/>
        <w:ind w:left="567" w:right="567"/>
        <w:jc w:val="both"/>
        <w:rPr>
          <w:rFonts w:ascii="Palatino Linotype" w:eastAsia="Palatino Linotype" w:hAnsi="Palatino Linotype" w:cs="Palatino Linotype"/>
          <w:b/>
          <w:sz w:val="22"/>
          <w:szCs w:val="22"/>
          <w:u w:val="single"/>
        </w:rPr>
      </w:pPr>
      <w:r>
        <w:rPr>
          <w:rFonts w:ascii="Palatino Linotype" w:eastAsia="Palatino Linotype" w:hAnsi="Palatino Linotype" w:cs="Palatino Linotype"/>
          <w:sz w:val="22"/>
          <w:szCs w:val="22"/>
        </w:rPr>
        <w:t xml:space="preserve">En consecuencia, </w:t>
      </w:r>
      <w:r w:rsidRPr="00591FC8">
        <w:rPr>
          <w:rFonts w:ascii="Palatino Linotype" w:eastAsia="Palatino Linotype" w:hAnsi="Palatino Linotype" w:cs="Palatino Linotype"/>
          <w:b/>
          <w:sz w:val="22"/>
          <w:szCs w:val="22"/>
          <w:u w:val="single"/>
        </w:rPr>
        <w:t xml:space="preserve">con el objeto de </w:t>
      </w:r>
      <w:r w:rsidR="003F4E17" w:rsidRPr="00591FC8">
        <w:rPr>
          <w:rFonts w:ascii="Palatino Linotype" w:eastAsia="Palatino Linotype" w:hAnsi="Palatino Linotype" w:cs="Palatino Linotype"/>
          <w:b/>
          <w:sz w:val="22"/>
          <w:szCs w:val="22"/>
          <w:u w:val="single"/>
        </w:rPr>
        <w:t xml:space="preserve">atender la petición del particular </w:t>
      </w:r>
      <w:r w:rsidR="00591FC8" w:rsidRPr="00591FC8">
        <w:rPr>
          <w:rFonts w:ascii="Palatino Linotype" w:eastAsia="Palatino Linotype" w:hAnsi="Palatino Linotype" w:cs="Palatino Linotype"/>
          <w:b/>
          <w:sz w:val="22"/>
          <w:szCs w:val="22"/>
          <w:u w:val="single"/>
        </w:rPr>
        <w:t xml:space="preserve"> y </w:t>
      </w:r>
      <w:r w:rsidR="00141050" w:rsidRPr="00591FC8">
        <w:rPr>
          <w:rFonts w:ascii="Palatino Linotype" w:eastAsia="Palatino Linotype" w:hAnsi="Palatino Linotype" w:cs="Palatino Linotype"/>
          <w:b/>
          <w:sz w:val="22"/>
          <w:szCs w:val="22"/>
          <w:u w:val="single"/>
        </w:rPr>
        <w:t>para efecto de entregar la versión pública de las referidas determinaciones, el solicitante deberá cubrir un importe de $24 por la expedición en medios magnéticos o $35 por l</w:t>
      </w:r>
      <w:r w:rsidR="00591FC8" w:rsidRPr="00591FC8">
        <w:rPr>
          <w:rFonts w:ascii="Palatino Linotype" w:eastAsia="Palatino Linotype" w:hAnsi="Palatino Linotype" w:cs="Palatino Linotype"/>
          <w:b/>
          <w:sz w:val="22"/>
          <w:szCs w:val="22"/>
          <w:u w:val="single"/>
        </w:rPr>
        <w:t>a expedición en disco compacto o bien, aportar el medio en el que desea le sea proporcionada la información y no habría costo por cubrir.</w:t>
      </w:r>
    </w:p>
    <w:p w:rsidR="00141050" w:rsidRPr="008633C3" w:rsidRDefault="00141050" w:rsidP="00141050">
      <w:pPr>
        <w:spacing w:before="240" w:after="240" w:line="360" w:lineRule="auto"/>
        <w:ind w:left="567" w:right="567"/>
        <w:jc w:val="both"/>
        <w:rPr>
          <w:rFonts w:ascii="Palatino Linotype" w:eastAsia="Palatino Linotype" w:hAnsi="Palatino Linotype" w:cs="Palatino Linotype"/>
          <w:b/>
          <w:sz w:val="22"/>
          <w:szCs w:val="22"/>
          <w:u w:val="single"/>
        </w:rPr>
      </w:pPr>
      <w:r w:rsidRPr="00F409A9">
        <w:rPr>
          <w:rFonts w:ascii="Palatino Linotype" w:eastAsia="Palatino Linotype" w:hAnsi="Palatino Linotype" w:cs="Palatino Linotype"/>
          <w:sz w:val="22"/>
          <w:szCs w:val="22"/>
        </w:rPr>
        <w:t>A</w:t>
      </w:r>
      <w:r>
        <w:rPr>
          <w:rFonts w:ascii="Palatino Linotype" w:eastAsia="Palatino Linotype" w:hAnsi="Palatino Linotype" w:cs="Palatino Linotype"/>
          <w:sz w:val="22"/>
          <w:szCs w:val="22"/>
        </w:rPr>
        <w:t xml:space="preserve">simismo, </w:t>
      </w:r>
      <w:r w:rsidRPr="008633C3">
        <w:rPr>
          <w:rFonts w:ascii="Palatino Linotype" w:eastAsia="Palatino Linotype" w:hAnsi="Palatino Linotype" w:cs="Palatino Linotype"/>
          <w:b/>
          <w:sz w:val="22"/>
          <w:szCs w:val="22"/>
          <w:u w:val="single"/>
        </w:rPr>
        <w:t>se ponen los 18 expedientes a su disposición para consulta directa en la</w:t>
      </w:r>
      <w:r w:rsidR="00591FC8" w:rsidRPr="008633C3">
        <w:rPr>
          <w:rFonts w:ascii="Palatino Linotype" w:eastAsia="Palatino Linotype" w:hAnsi="Palatino Linotype" w:cs="Palatino Linotype"/>
          <w:b/>
          <w:sz w:val="22"/>
          <w:szCs w:val="22"/>
          <w:u w:val="single"/>
        </w:rPr>
        <w:t>s</w:t>
      </w:r>
      <w:r w:rsidRPr="008633C3">
        <w:rPr>
          <w:rFonts w:ascii="Palatino Linotype" w:eastAsia="Palatino Linotype" w:hAnsi="Palatino Linotype" w:cs="Palatino Linotype"/>
          <w:b/>
          <w:sz w:val="22"/>
          <w:szCs w:val="22"/>
          <w:u w:val="single"/>
        </w:rPr>
        <w:t xml:space="preserve"> oficina</w:t>
      </w:r>
      <w:r w:rsidR="00591FC8" w:rsidRPr="008633C3">
        <w:rPr>
          <w:rFonts w:ascii="Palatino Linotype" w:eastAsia="Palatino Linotype" w:hAnsi="Palatino Linotype" w:cs="Palatino Linotype"/>
          <w:b/>
          <w:sz w:val="22"/>
          <w:szCs w:val="22"/>
          <w:u w:val="single"/>
        </w:rPr>
        <w:t>s</w:t>
      </w:r>
      <w:r w:rsidRPr="008633C3">
        <w:rPr>
          <w:rFonts w:ascii="Palatino Linotype" w:eastAsia="Palatino Linotype" w:hAnsi="Palatino Linotype" w:cs="Palatino Linotype"/>
          <w:b/>
          <w:sz w:val="22"/>
          <w:szCs w:val="22"/>
          <w:u w:val="single"/>
        </w:rPr>
        <w:t xml:space="preserve"> de la Dirección de Res</w:t>
      </w:r>
      <w:r w:rsidR="00591FC8" w:rsidRPr="008633C3">
        <w:rPr>
          <w:rFonts w:ascii="Palatino Linotype" w:eastAsia="Palatino Linotype" w:hAnsi="Palatino Linotype" w:cs="Palatino Linotype"/>
          <w:b/>
          <w:sz w:val="22"/>
          <w:szCs w:val="22"/>
          <w:u w:val="single"/>
        </w:rPr>
        <w:t xml:space="preserve">ponsabilidades Administrativas, precisando que se tendrá a salvo la información clasificada que contengan los mismos. </w:t>
      </w:r>
    </w:p>
    <w:p w:rsidR="00CD0F3E" w:rsidRDefault="00D470B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Conocida la respuesta,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que nos ocupa, expresando medularmente en sus razones o motivos de inconformidad lo siguiente: </w:t>
      </w:r>
      <w:r>
        <w:rPr>
          <w:rFonts w:ascii="Palatino Linotype" w:eastAsia="Palatino Linotype" w:hAnsi="Palatino Linotype" w:cs="Palatino Linotype"/>
          <w:i/>
          <w:sz w:val="22"/>
          <w:szCs w:val="22"/>
        </w:rPr>
        <w:t>“</w:t>
      </w:r>
      <w:r w:rsidR="00591FC8" w:rsidRPr="00591FC8">
        <w:rPr>
          <w:rFonts w:ascii="Palatino Linotype" w:eastAsia="Palatino Linotype" w:hAnsi="Palatino Linotype" w:cs="Palatino Linotype"/>
          <w:i/>
          <w:sz w:val="22"/>
          <w:szCs w:val="22"/>
        </w:rPr>
        <w:t xml:space="preserve">LA DIRECCIÓN DE RESPONSABILIDADES ACUERDA QUE EN TÉRMINOS DEL ARTÍCLO 12, 165 PARRAFO SEGUNDO DE LA LEY DE TRANSPARENCA DE ACCESO A LA INFORMACIÓN PÚBLICA DEL ESTADO DE MÉXICO Y MUNICIPIOS 73 IV O V DEL CÓDIGO FINACIERO DEL ESTADO DE MÉXICO </w:t>
      </w:r>
      <w:r w:rsidR="00591FC8" w:rsidRPr="00591FC8">
        <w:rPr>
          <w:rFonts w:ascii="Palatino Linotype" w:eastAsia="Palatino Linotype" w:hAnsi="Palatino Linotype" w:cs="Palatino Linotype"/>
          <w:b/>
          <w:i/>
          <w:sz w:val="22"/>
          <w:szCs w:val="22"/>
        </w:rPr>
        <w:t xml:space="preserve">PARA PODER PROPORCIONAR LA INFORMACIÓN EN VERSIÓN PÚBLICA EN FORMA DIGITAL SE REQUIERE QUE SE CUBRA LA CANTIDAD 24 PESOS SI ES MEDIO MAGNÉTICO O 34 PESOS SI ES EN DISCO COMPACTO O QUE EN SU CASO SU SERVIDOR PROPORCIONE EL MEDIO Y SERÁ DE FORMA GRATUITA. SIENDO QUE LA SOLICITUD DE INFORMACIÓN SE REALIZÓ MEDIANTE ESTA PLATAFORMA ES CLARO QUE LA SOLICITUD DE </w:t>
      </w:r>
      <w:r w:rsidR="00591FC8" w:rsidRPr="00591FC8">
        <w:rPr>
          <w:rFonts w:ascii="Palatino Linotype" w:eastAsia="Palatino Linotype" w:hAnsi="Palatino Linotype" w:cs="Palatino Linotype"/>
          <w:b/>
          <w:i/>
          <w:sz w:val="22"/>
          <w:szCs w:val="22"/>
        </w:rPr>
        <w:lastRenderedPageBreak/>
        <w:t xml:space="preserve">INFORMACIÓN DIGITAL ES PARA QUE FUERA PROPORCIONADA POR ESTE </w:t>
      </w:r>
      <w:r w:rsidR="00591FC8" w:rsidRPr="00591FC8">
        <w:rPr>
          <w:rFonts w:ascii="Palatino Linotype" w:eastAsia="Palatino Linotype" w:hAnsi="Palatino Linotype" w:cs="Palatino Linotype"/>
          <w:i/>
          <w:sz w:val="22"/>
          <w:szCs w:val="22"/>
        </w:rPr>
        <w:t>MEDIO O EN SU CASO POR MEDIO DEL CORREO ELECTRÓNICO QUE ES aguirre.oficial@outlook.es, O POR LA MISMA PLATAFORMA, ES DECIR NO FUE SOLICITADA PARA INTEGRARSE EN UN CD U OTRO MEDIO. POR LO QUE LA SOLICITUD ES QUE SE LOS EXPEDIENTES SE ENVIEN DE FORMA DIGITAL POR MEDIO DE LA PLATAFORMA, LO CUAL DEBE SER DE FORMA GRATUITA. EN ATENCIÓN A LO ANTERIOR Y CON FUNDAMENTO EN LOS ARTÍCULOS 6 DE LA CONSTITUCIÓN POLITÍCA DE LOS ESTADOS UNIDOS MEXICANOS, 155 FRACCIÓN V., 164 Y 175 DE LA LEY DE TRANSPARENCIA Y ACCESO A LA INFORMACIÓN PÚBLICA DEL ESTADO DE MÉXICO Y MUNICIPIOS." (Sic) (Énfasis añadido)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rPr>
        <w:t>por lo cual se ad</w:t>
      </w:r>
      <w:r w:rsidR="00591FC8">
        <w:rPr>
          <w:rFonts w:ascii="Palatino Linotype" w:eastAsia="Palatino Linotype" w:hAnsi="Palatino Linotype" w:cs="Palatino Linotype"/>
        </w:rPr>
        <w:t>vierte que se inconforma por los costos y por l</w:t>
      </w:r>
      <w:r w:rsidR="00591FC8" w:rsidRPr="00591FC8">
        <w:rPr>
          <w:rFonts w:ascii="Palatino Linotype" w:eastAsia="Palatino Linotype" w:hAnsi="Palatino Linotype" w:cs="Palatino Linotype"/>
        </w:rPr>
        <w:t>a notificación, entrega o puesta a disposición de información en una modalidad o formato distinto al solicitado</w:t>
      </w:r>
    </w:p>
    <w:p w:rsidR="00CD0F3E" w:rsidRDefault="00D470B8" w:rsidP="00591FC8">
      <w:pP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xml:space="preserve">Bajo este tenor, la parte de la respuesta concerniente a </w:t>
      </w:r>
      <w:r>
        <w:rPr>
          <w:rFonts w:ascii="Palatino Linotype" w:eastAsia="Palatino Linotype" w:hAnsi="Palatino Linotype" w:cs="Palatino Linotype"/>
          <w:b/>
          <w:i/>
          <w:color w:val="000000"/>
        </w:rPr>
        <w:t>“</w:t>
      </w:r>
      <w:r w:rsidR="00591FC8">
        <w:rPr>
          <w:rFonts w:ascii="Palatino Linotype" w:eastAsia="Palatino Linotype" w:hAnsi="Palatino Linotype" w:cs="Palatino Linotype"/>
          <w:b/>
          <w:i/>
          <w:color w:val="000000"/>
        </w:rPr>
        <w:t>1.</w:t>
      </w:r>
      <w:r w:rsidR="00591FC8" w:rsidRPr="00591FC8">
        <w:rPr>
          <w:rFonts w:ascii="Palatino Linotype" w:eastAsia="Palatino Linotype" w:hAnsi="Palatino Linotype" w:cs="Palatino Linotype"/>
          <w:b/>
          <w:i/>
          <w:color w:val="000000"/>
        </w:rPr>
        <w:t>Cuántas denuncias ha recibido la Contraloría del Poder Legislativo de servidores públicos de elección popular de los servidores públicos de la administración 2019-2021 del</w:t>
      </w:r>
      <w:r w:rsidR="00591FC8">
        <w:rPr>
          <w:rFonts w:ascii="Palatino Linotype" w:eastAsia="Palatino Linotype" w:hAnsi="Palatino Linotype" w:cs="Palatino Linotype"/>
          <w:b/>
          <w:i/>
          <w:color w:val="000000"/>
        </w:rPr>
        <w:t xml:space="preserve"> Municipio de Zumpango, México, </w:t>
      </w:r>
      <w:r w:rsidR="00591FC8" w:rsidRPr="00591FC8">
        <w:rPr>
          <w:rFonts w:ascii="Palatino Linotype" w:eastAsia="Palatino Linotype" w:hAnsi="Palatino Linotype" w:cs="Palatino Linotype"/>
          <w:b/>
          <w:i/>
          <w:color w:val="000000"/>
        </w:rPr>
        <w:t>2.</w:t>
      </w:r>
      <w:r w:rsidR="00591FC8" w:rsidRPr="00591FC8">
        <w:rPr>
          <w:rFonts w:ascii="Palatino Linotype" w:eastAsia="Palatino Linotype" w:hAnsi="Palatino Linotype" w:cs="Palatino Linotype"/>
          <w:b/>
          <w:i/>
          <w:color w:val="000000"/>
        </w:rPr>
        <w:tab/>
        <w:t xml:space="preserve">Quiénes </w:t>
      </w:r>
      <w:r w:rsidR="00591FC8">
        <w:rPr>
          <w:rFonts w:ascii="Palatino Linotype" w:eastAsia="Palatino Linotype" w:hAnsi="Palatino Linotype" w:cs="Palatino Linotype"/>
          <w:b/>
          <w:i/>
          <w:color w:val="000000"/>
        </w:rPr>
        <w:t xml:space="preserve">son los presuntos responsables, </w:t>
      </w:r>
      <w:r w:rsidR="00591FC8" w:rsidRPr="00591FC8">
        <w:rPr>
          <w:rFonts w:ascii="Palatino Linotype" w:eastAsia="Palatino Linotype" w:hAnsi="Palatino Linotype" w:cs="Palatino Linotype"/>
          <w:b/>
          <w:i/>
          <w:color w:val="000000"/>
        </w:rPr>
        <w:t>3.</w:t>
      </w:r>
      <w:r w:rsidR="00591FC8" w:rsidRPr="00591FC8">
        <w:rPr>
          <w:rFonts w:ascii="Palatino Linotype" w:eastAsia="Palatino Linotype" w:hAnsi="Palatino Linotype" w:cs="Palatino Linotype"/>
          <w:b/>
          <w:i/>
          <w:color w:val="000000"/>
        </w:rPr>
        <w:tab/>
        <w:t>P</w:t>
      </w:r>
      <w:r w:rsidR="00591FC8">
        <w:rPr>
          <w:rFonts w:ascii="Palatino Linotype" w:eastAsia="Palatino Linotype" w:hAnsi="Palatino Linotype" w:cs="Palatino Linotype"/>
          <w:b/>
          <w:i/>
          <w:color w:val="000000"/>
        </w:rPr>
        <w:t xml:space="preserve">or qué temas fueron denunciados, </w:t>
      </w:r>
      <w:r w:rsidR="00591FC8" w:rsidRPr="00591FC8">
        <w:rPr>
          <w:rFonts w:ascii="Palatino Linotype" w:eastAsia="Palatino Linotype" w:hAnsi="Palatino Linotype" w:cs="Palatino Linotype"/>
          <w:b/>
          <w:i/>
          <w:color w:val="000000"/>
        </w:rPr>
        <w:t>4.</w:t>
      </w:r>
      <w:r w:rsidR="00591FC8" w:rsidRPr="00591FC8">
        <w:rPr>
          <w:rFonts w:ascii="Palatino Linotype" w:eastAsia="Palatino Linotype" w:hAnsi="Palatino Linotype" w:cs="Palatino Linotype"/>
          <w:b/>
          <w:i/>
          <w:color w:val="000000"/>
        </w:rPr>
        <w:tab/>
        <w:t>El status de cada una de las denuncias.</w:t>
      </w:r>
      <w:r>
        <w:rPr>
          <w:rFonts w:ascii="Palatino Linotype" w:eastAsia="Palatino Linotype" w:hAnsi="Palatino Linotype" w:cs="Palatino Linotype"/>
          <w:b/>
          <w:i/>
          <w:color w:val="000000"/>
        </w:rPr>
        <w:t>”</w:t>
      </w:r>
      <w:r>
        <w:rPr>
          <w:rFonts w:ascii="Palatino Linotype" w:eastAsia="Palatino Linotype" w:hAnsi="Palatino Linotype" w:cs="Palatino Linotype"/>
          <w:color w:val="000000"/>
        </w:rPr>
        <w:t xml:space="preserve">, se tiene que no fue impugnada, por lo que consecuentemente debe declararse consentida, toda vez que, al no haber realizado manifestaciones de inconformidad al respecto, se infiere que la información proporcionada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satisface este punto de la solicitud presentada.</w:t>
      </w:r>
    </w:p>
    <w:p w:rsidR="00CD0F3E" w:rsidRDefault="00D470B8">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anterior es así, debido a que cuando un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impugna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y éste no expresa Razón o Motivo de Inconformidad en contra de todos los rubros solicitados, dichos rubros deben declararse atendidos, pues se entiende que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está conforme con la información entregada al no contravenir la misma. </w:t>
      </w:r>
      <w:r>
        <w:rPr>
          <w:rFonts w:ascii="Palatino Linotype" w:eastAsia="Palatino Linotype" w:hAnsi="Palatino Linotype" w:cs="Palatino Linotype"/>
          <w:color w:val="000000"/>
        </w:rPr>
        <w:lastRenderedPageBreak/>
        <w:t>Sirve de Apoyo a lo anterior, por analogía la Tesis Jurisprudencial Número 3ª./J.7/91, Publicada en el Semanario Judicial de la Federación y su Gaceta bajo el número de registro 174,177, que establece lo siguiente:</w:t>
      </w:r>
    </w:p>
    <w:p w:rsidR="00CD0F3E" w:rsidRDefault="00D470B8">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“REVISIÓN EN AMPARO. LOS RESOLUTIVOS NO COMBATIDOS DEBEN DECLARARSE FIRMES. </w:t>
      </w:r>
      <w:r>
        <w:rPr>
          <w:rFonts w:ascii="Palatino Linotype" w:eastAsia="Palatino Linotype" w:hAnsi="Palatino Linotype" w:cs="Palatino Linotype"/>
          <w:i/>
          <w:color w:val="000000"/>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CD0F3E" w:rsidRDefault="00D470B8">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Consecuentemente, se reitera que la parte de la solicitud que no fue impugnada debe declararse consentida por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rsidR="00CD0F3E" w:rsidRDefault="00D470B8">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rsidR="00CD0F3E" w:rsidRDefault="00D470B8">
      <w:pPr>
        <w:spacing w:before="240" w:after="24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smallCaps/>
          <w:color w:val="000000"/>
          <w:sz w:val="22"/>
          <w:szCs w:val="22"/>
        </w:rPr>
        <w:t xml:space="preserve">“ACTOS CONSENTIDOS. SON LOS QUE NO SE IMPUGNAN MEDIANTE EL RECURSO IDÓNEO. </w:t>
      </w:r>
      <w:r>
        <w:rPr>
          <w:rFonts w:ascii="Palatino Linotype" w:eastAsia="Palatino Linotype" w:hAnsi="Palatino Linotype" w:cs="Palatino Linotype"/>
          <w:i/>
          <w:color w:val="000000"/>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CD0F3E" w:rsidRDefault="00D470B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Ahora bien, a efecto de garantizar el efectivo ejercicio del derecho de acceso a la información pública que asiste al particular, resulta conveniente precisar que el presente análisis versará respecto </w:t>
      </w:r>
      <w:r>
        <w:rPr>
          <w:rFonts w:ascii="Palatino Linotype" w:eastAsia="Palatino Linotype" w:hAnsi="Palatino Linotype" w:cs="Palatino Linotype"/>
          <w:b/>
        </w:rPr>
        <w:t xml:space="preserve">a la </w:t>
      </w:r>
      <w:r w:rsidR="00591FC8">
        <w:rPr>
          <w:rFonts w:ascii="Palatino Linotype" w:eastAsia="Palatino Linotype" w:hAnsi="Palatino Linotype" w:cs="Palatino Linotype"/>
          <w:b/>
        </w:rPr>
        <w:t>c</w:t>
      </w:r>
      <w:r w:rsidR="00591FC8" w:rsidRPr="00591FC8">
        <w:rPr>
          <w:rFonts w:ascii="Palatino Linotype" w:eastAsia="Palatino Linotype" w:hAnsi="Palatino Linotype" w:cs="Palatino Linotype"/>
          <w:b/>
        </w:rPr>
        <w:t>opia digital de los expedientes formados con motivo de las denuncias presentadas.</w:t>
      </w:r>
    </w:p>
    <w:p w:rsidR="008633C3" w:rsidRPr="008633C3" w:rsidRDefault="008633C3" w:rsidP="008633C3">
      <w:pPr>
        <w:spacing w:before="240" w:after="240" w:line="360" w:lineRule="auto"/>
        <w:ind w:right="-93"/>
        <w:jc w:val="both"/>
        <w:rPr>
          <w:rFonts w:ascii="Palatino Linotype" w:eastAsia="Palatino Linotype" w:hAnsi="Palatino Linotype" w:cs="Palatino Linotype"/>
          <w:i/>
          <w:sz w:val="22"/>
          <w:szCs w:val="22"/>
          <w:lang w:eastAsia="es-ES"/>
        </w:rPr>
      </w:pPr>
      <w:r w:rsidRPr="008633C3">
        <w:rPr>
          <w:rFonts w:ascii="Palatino Linotype" w:eastAsia="Palatino Linotype" w:hAnsi="Palatino Linotype" w:cs="Palatino Linotype"/>
          <w:lang w:eastAsia="es-ES"/>
        </w:rPr>
        <w:t xml:space="preserve">Puntualizado lo anterior, es importante señalar que de las constancias que integran el expediente electrónico  relacionado con el recurso de revisión materia de estudio, se colige que el </w:t>
      </w:r>
      <w:r w:rsidRPr="008633C3">
        <w:rPr>
          <w:rFonts w:ascii="Palatino Linotype" w:eastAsia="Palatino Linotype" w:hAnsi="Palatino Linotype" w:cs="Palatino Linotype"/>
          <w:b/>
          <w:lang w:eastAsia="es-ES"/>
        </w:rPr>
        <w:t>Sujeto Obligado</w:t>
      </w:r>
      <w:r w:rsidRPr="008633C3">
        <w:rPr>
          <w:rFonts w:ascii="Palatino Linotype" w:eastAsia="Palatino Linotype" w:hAnsi="Palatino Linotype" w:cs="Palatino Linotype"/>
          <w:lang w:eastAsia="es-ES"/>
        </w:rPr>
        <w:t xml:space="preserve"> no niega la competencia para conocer de la información solicitada, sino por el contrario, con la respuesta pronunciada por el servidor público habilitado asevera que es competente para conocer de la solicitud de información</w:t>
      </w:r>
      <w:r w:rsidRPr="008633C3">
        <w:rPr>
          <w:rFonts w:ascii="Palatino Linotype" w:eastAsia="Palatino Linotype" w:hAnsi="Palatino Linotype" w:cs="Palatino Linotype"/>
          <w:i/>
          <w:lang w:eastAsia="es-ES"/>
        </w:rPr>
        <w:t xml:space="preserve">, </w:t>
      </w:r>
      <w:r w:rsidRPr="008633C3">
        <w:rPr>
          <w:rFonts w:ascii="Palatino Linotype" w:eastAsia="Palatino Linotype" w:hAnsi="Palatino Linotype" w:cs="Palatino Linotype"/>
          <w:lang w:eastAsia="es-ES"/>
        </w:rPr>
        <w:t xml:space="preserve">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actualizándose el supuesto previsto en el artículo 12 de la legislación aplicable en la materia, que es del tenor literal siguiente: </w:t>
      </w:r>
    </w:p>
    <w:p w:rsidR="008633C3" w:rsidRPr="008633C3" w:rsidRDefault="008633C3" w:rsidP="008633C3">
      <w:pPr>
        <w:spacing w:before="240" w:after="240"/>
        <w:ind w:left="851" w:right="902"/>
        <w:jc w:val="both"/>
        <w:rPr>
          <w:rFonts w:ascii="Palatino Linotype" w:eastAsia="Palatino Linotype" w:hAnsi="Palatino Linotype" w:cs="Palatino Linotype"/>
          <w:i/>
          <w:sz w:val="22"/>
          <w:szCs w:val="22"/>
          <w:lang w:eastAsia="es-ES"/>
        </w:rPr>
      </w:pPr>
      <w:r w:rsidRPr="008633C3">
        <w:rPr>
          <w:rFonts w:ascii="Palatino Linotype" w:eastAsia="Palatino Linotype" w:hAnsi="Palatino Linotype" w:cs="Palatino Linotype"/>
          <w:b/>
          <w:i/>
          <w:sz w:val="22"/>
          <w:szCs w:val="22"/>
          <w:lang w:eastAsia="es-ES"/>
        </w:rPr>
        <w:t>“Artículo 12. Quienes generen, recopilen, administren, manejen, procesen, archiven o conserven información pública serán responsables de la misma</w:t>
      </w:r>
      <w:r w:rsidRPr="008633C3">
        <w:rPr>
          <w:rFonts w:ascii="Palatino Linotype" w:eastAsia="Palatino Linotype" w:hAnsi="Palatino Linotype" w:cs="Palatino Linotype"/>
          <w:i/>
          <w:sz w:val="22"/>
          <w:szCs w:val="22"/>
          <w:lang w:eastAsia="es-ES"/>
        </w:rPr>
        <w:t xml:space="preserve"> en los términos de las disposiciones jurídicas aplicables. </w:t>
      </w:r>
    </w:p>
    <w:p w:rsidR="008633C3" w:rsidRPr="008633C3" w:rsidRDefault="008633C3" w:rsidP="008633C3">
      <w:pPr>
        <w:spacing w:before="240" w:after="240"/>
        <w:ind w:left="851" w:right="902"/>
        <w:jc w:val="both"/>
        <w:rPr>
          <w:rFonts w:ascii="Palatino Linotype" w:eastAsia="Palatino Linotype" w:hAnsi="Palatino Linotype" w:cs="Palatino Linotype"/>
          <w:i/>
          <w:sz w:val="22"/>
          <w:szCs w:val="22"/>
          <w:lang w:eastAsia="es-ES"/>
        </w:rPr>
      </w:pPr>
      <w:r w:rsidRPr="008633C3">
        <w:rPr>
          <w:rFonts w:ascii="Palatino Linotype" w:eastAsia="Palatino Linotype" w:hAnsi="Palatino Linotype" w:cs="Palatino Linotype"/>
          <w:b/>
          <w:i/>
          <w:sz w:val="22"/>
          <w:szCs w:val="22"/>
          <w:lang w:eastAsia="es-ES"/>
        </w:rPr>
        <w:t>Los sujetos obligados sólo proporcionarán la información pública que se les requiera y que obre en sus archivos y en el estado en que ésta se encuentre</w:t>
      </w:r>
      <w:r w:rsidRPr="008633C3">
        <w:rPr>
          <w:rFonts w:ascii="Palatino Linotype" w:eastAsia="Palatino Linotype" w:hAnsi="Palatino Linotype" w:cs="Palatino Linotype"/>
          <w:i/>
          <w:sz w:val="22"/>
          <w:szCs w:val="22"/>
          <w:lang w:eastAsia="es-ES"/>
        </w:rPr>
        <w:t>. La obligación de proporcionar información no comprende el procesamiento de la misma, ni el presentarla conforme al interés del solicitante; no estarán obligados a generarla, resumirla, efectuar cálculos o practicar investigaciones.”</w:t>
      </w:r>
    </w:p>
    <w:p w:rsidR="000F0002" w:rsidRDefault="000F0002" w:rsidP="000F0002">
      <w:pPr>
        <w:spacing w:line="360" w:lineRule="auto"/>
        <w:jc w:val="both"/>
        <w:rPr>
          <w:rFonts w:ascii="Palatino Linotype" w:eastAsia="Palatino Linotype" w:hAnsi="Palatino Linotype" w:cs="Palatino Linotype"/>
        </w:rPr>
      </w:pPr>
    </w:p>
    <w:p w:rsidR="000F0002" w:rsidRDefault="000F0002" w:rsidP="000F0002">
      <w:pPr>
        <w:spacing w:before="240" w:after="240" w:line="360" w:lineRule="auto"/>
        <w:ind w:right="49"/>
        <w:jc w:val="both"/>
        <w:rPr>
          <w:rFonts w:ascii="Palatino Linotype" w:eastAsia="Palatino Linotype" w:hAnsi="Palatino Linotype" w:cs="Palatino Linotype"/>
          <w:lang w:eastAsia="es-ES"/>
        </w:rPr>
      </w:pPr>
      <w:r>
        <w:rPr>
          <w:rFonts w:ascii="Palatino Linotype" w:eastAsia="Palatino Linotype" w:hAnsi="Palatino Linotype" w:cs="Palatino Linotype"/>
        </w:rPr>
        <w:lastRenderedPageBreak/>
        <w:t xml:space="preserve">En este orden de ideas, se estima importante referir,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al momento de presentar la solicitud de información que dio origen al recurso de revisión que nos ocupa, eligió como modalidad de entrega</w:t>
      </w:r>
      <w:r>
        <w:rPr>
          <w:rFonts w:ascii="Palatino Linotype" w:eastAsia="Palatino Linotype" w:hAnsi="Palatino Linotype" w:cs="Palatino Linotype"/>
          <w:b/>
        </w:rPr>
        <w:t xml:space="preserve"> Consulta Directa (sin costo)</w:t>
      </w:r>
      <w:r>
        <w:rPr>
          <w:rFonts w:ascii="Palatino Linotype" w:eastAsia="Palatino Linotype" w:hAnsi="Palatino Linotype" w:cs="Palatino Linotype"/>
        </w:rPr>
        <w:t xml:space="preserve">, </w:t>
      </w:r>
      <w:r>
        <w:rPr>
          <w:rFonts w:ascii="Palatino Linotype" w:eastAsia="Palatino Linotype" w:hAnsi="Palatino Linotype" w:cs="Palatino Linotype"/>
          <w:lang w:eastAsia="es-ES"/>
        </w:rPr>
        <w:t xml:space="preserve"> tal como se advierte en la siguiente</w:t>
      </w:r>
      <w:r w:rsidRPr="008633C3">
        <w:rPr>
          <w:rFonts w:ascii="Palatino Linotype" w:eastAsia="Palatino Linotype" w:hAnsi="Palatino Linotype" w:cs="Palatino Linotype"/>
          <w:lang w:eastAsia="es-ES"/>
        </w:rPr>
        <w:t xml:space="preserve"> captura de pantalla: </w:t>
      </w:r>
    </w:p>
    <w:p w:rsidR="000F0002" w:rsidRDefault="000F0002" w:rsidP="000F000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color w:val="000000"/>
          <w:lang w:val="es-MX"/>
        </w:rPr>
        <w:drawing>
          <wp:inline distT="0" distB="0" distL="0" distR="0" wp14:anchorId="5A736360" wp14:editId="17B85270">
            <wp:extent cx="5400675" cy="543928"/>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543928"/>
                    </a:xfrm>
                    <a:prstGeom prst="rect">
                      <a:avLst/>
                    </a:prstGeom>
                    <a:noFill/>
                    <a:ln>
                      <a:noFill/>
                    </a:ln>
                  </pic:spPr>
                </pic:pic>
              </a:graphicData>
            </a:graphic>
          </wp:inline>
        </w:drawing>
      </w:r>
    </w:p>
    <w:p w:rsidR="000F0002" w:rsidRDefault="000F0002" w:rsidP="000F0002">
      <w:pPr>
        <w:spacing w:line="360" w:lineRule="auto"/>
        <w:jc w:val="both"/>
        <w:rPr>
          <w:rFonts w:ascii="Palatino Linotype" w:eastAsia="Palatino Linotype" w:hAnsi="Palatino Linotype" w:cs="Palatino Linotype"/>
        </w:rPr>
      </w:pPr>
    </w:p>
    <w:p w:rsidR="000F0002" w:rsidRDefault="000F0002" w:rsidP="000F000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se debe tener en cuenta que el artículo 155, fracción V, de la Ley de Transparencia y Acceso a la Información Pública del Estado de México y Municipios, se precisa que para presentar una solicitud, el particular podrá señalar la modalidad en la que prefiere que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0F0002" w:rsidRDefault="000F0002" w:rsidP="000F0002">
      <w:pPr>
        <w:spacing w:line="360" w:lineRule="auto"/>
        <w:jc w:val="both"/>
        <w:rPr>
          <w:rFonts w:ascii="Palatino Linotype" w:eastAsia="Palatino Linotype" w:hAnsi="Palatino Linotype" w:cs="Palatino Linotype"/>
        </w:rPr>
      </w:pPr>
    </w:p>
    <w:p w:rsidR="000F0002" w:rsidRDefault="000F0002" w:rsidP="000F000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importante mencionar que el artículo 164 de dicho ordenamiento jurídico, prevé que el acceso se dará en la modalidad de entrega y, en su caso, de envío elegidos por el solicitante. Cuando la información no pueda entregarse o enviarse en la modalidad elegida, el sujeto obligado deberá ofrecer otra u otras modalidades de entrega. En cualquier caso, se deberá fundar y motivar la necesidad de ofrecer otras modalidades.</w:t>
      </w:r>
    </w:p>
    <w:p w:rsidR="008633C3" w:rsidRPr="008633C3" w:rsidRDefault="008633C3" w:rsidP="008633C3">
      <w:pPr>
        <w:spacing w:before="240" w:after="240" w:line="360" w:lineRule="auto"/>
        <w:ind w:right="49"/>
        <w:jc w:val="both"/>
        <w:rPr>
          <w:rFonts w:ascii="Palatino Linotype" w:eastAsia="Palatino Linotype" w:hAnsi="Palatino Linotype" w:cs="Palatino Linotype"/>
          <w:color w:val="000000"/>
          <w:lang w:eastAsia="es-ES"/>
        </w:rPr>
      </w:pPr>
      <w:r w:rsidRPr="008633C3">
        <w:rPr>
          <w:rFonts w:ascii="Palatino Linotype" w:eastAsia="Palatino Linotype" w:hAnsi="Palatino Linotype" w:cs="Palatino Linotype"/>
          <w:lang w:eastAsia="es-ES"/>
        </w:rPr>
        <w:t xml:space="preserve">En primera instancia, conviene señalar que </w:t>
      </w:r>
      <w:r>
        <w:rPr>
          <w:rFonts w:ascii="Palatino Linotype" w:eastAsia="Palatino Linotype" w:hAnsi="Palatino Linotype" w:cs="Palatino Linotype"/>
          <w:color w:val="000000"/>
          <w:lang w:eastAsia="es-ES"/>
        </w:rPr>
        <w:t>d</w:t>
      </w:r>
      <w:r w:rsidRPr="008633C3">
        <w:rPr>
          <w:rFonts w:ascii="Palatino Linotype" w:eastAsia="Palatino Linotype" w:hAnsi="Palatino Linotype" w:cs="Palatino Linotype"/>
          <w:color w:val="000000"/>
          <w:lang w:eastAsia="es-ES"/>
        </w:rPr>
        <w:t xml:space="preserve">entro del análisis a las actuaciones del </w:t>
      </w:r>
      <w:r w:rsidRPr="008633C3">
        <w:rPr>
          <w:rFonts w:ascii="Palatino Linotype" w:eastAsia="Palatino Linotype" w:hAnsi="Palatino Linotype" w:cs="Palatino Linotype"/>
          <w:b/>
          <w:color w:val="000000"/>
          <w:lang w:eastAsia="es-ES"/>
        </w:rPr>
        <w:t>Sujeto Obligado</w:t>
      </w:r>
      <w:r w:rsidRPr="008633C3">
        <w:rPr>
          <w:rFonts w:ascii="Palatino Linotype" w:eastAsia="Palatino Linotype" w:hAnsi="Palatino Linotype" w:cs="Palatino Linotype"/>
          <w:color w:val="000000"/>
          <w:lang w:eastAsia="es-ES"/>
        </w:rPr>
        <w:t xml:space="preserve">, se visualiza que pretende cobrar al particular por la entrega de la información, al respecto conviene resaltar que si bien es cierto, en su solicitud </w:t>
      </w:r>
      <w:r w:rsidRPr="008633C3">
        <w:rPr>
          <w:rFonts w:ascii="Palatino Linotype" w:eastAsia="Palatino Linotype" w:hAnsi="Palatino Linotype" w:cs="Palatino Linotype"/>
          <w:color w:val="000000"/>
          <w:lang w:eastAsia="es-ES"/>
        </w:rPr>
        <w:lastRenderedPageBreak/>
        <w:t>manifestó que requería copias, no hacía referencia a la expedición de copias simples o cer</w:t>
      </w:r>
      <w:r w:rsidRPr="008633C3">
        <w:rPr>
          <w:rFonts w:ascii="Palatino Linotype" w:eastAsia="Palatino Linotype" w:hAnsi="Palatino Linotype" w:cs="Palatino Linotype"/>
          <w:lang w:eastAsia="es-ES"/>
        </w:rPr>
        <w:t xml:space="preserve">tificadas </w:t>
      </w:r>
      <w:r w:rsidRPr="008633C3">
        <w:rPr>
          <w:rFonts w:ascii="Palatino Linotype" w:eastAsia="Palatino Linotype" w:hAnsi="Palatino Linotype" w:cs="Palatino Linotype"/>
          <w:color w:val="000000"/>
          <w:lang w:eastAsia="es-ES"/>
        </w:rPr>
        <w:t>como modalidad de entrega de la información, sino a una digitalización de la información, toda vez que</w:t>
      </w:r>
      <w:r>
        <w:rPr>
          <w:rFonts w:ascii="Palatino Linotype" w:eastAsia="Palatino Linotype" w:hAnsi="Palatino Linotype" w:cs="Palatino Linotype"/>
          <w:color w:val="000000"/>
          <w:lang w:eastAsia="es-ES"/>
        </w:rPr>
        <w:t xml:space="preserve"> en su solicitud expresó que requería </w:t>
      </w:r>
      <w:r w:rsidRPr="008633C3">
        <w:rPr>
          <w:rFonts w:ascii="Palatino Linotype" w:eastAsia="Palatino Linotype" w:hAnsi="Palatino Linotype" w:cs="Palatino Linotype"/>
          <w:b/>
          <w:i/>
          <w:color w:val="000000"/>
          <w:lang w:eastAsia="es-ES"/>
        </w:rPr>
        <w:t>“5.Copia digital de los expedientes formados con motivo de las denuncias presentadas”</w:t>
      </w:r>
      <w:r>
        <w:rPr>
          <w:rFonts w:ascii="Palatino Linotype" w:eastAsia="Palatino Linotype" w:hAnsi="Palatino Linotype" w:cs="Palatino Linotype"/>
          <w:color w:val="000000"/>
          <w:lang w:eastAsia="es-ES"/>
        </w:rPr>
        <w:t xml:space="preserve"> </w:t>
      </w:r>
      <w:r w:rsidR="0022059C">
        <w:rPr>
          <w:rFonts w:ascii="Palatino Linotype" w:eastAsia="Palatino Linotype" w:hAnsi="Palatino Linotype" w:cs="Palatino Linotype"/>
          <w:lang w:eastAsia="es-ES"/>
        </w:rPr>
        <w:t xml:space="preserve"> y dicho señalamiento fue retomado al momento de la interposición del recurso de revisión, tal como se cita a continuación: </w:t>
      </w:r>
      <w:r w:rsidR="0022059C" w:rsidRPr="0022059C">
        <w:rPr>
          <w:rFonts w:ascii="Palatino Linotype" w:eastAsia="Palatino Linotype" w:hAnsi="Palatino Linotype" w:cs="Palatino Linotype"/>
          <w:i/>
          <w:lang w:eastAsia="es-ES"/>
        </w:rPr>
        <w:t>“</w:t>
      </w:r>
      <w:r w:rsidR="0022059C">
        <w:rPr>
          <w:rFonts w:ascii="Palatino Linotype" w:eastAsia="Palatino Linotype" w:hAnsi="Palatino Linotype" w:cs="Palatino Linotype"/>
          <w:lang w:eastAsia="es-ES"/>
        </w:rPr>
        <w:t>…</w:t>
      </w:r>
      <w:r w:rsidR="0022059C" w:rsidRPr="0022059C">
        <w:rPr>
          <w:rFonts w:ascii="Palatino Linotype" w:eastAsia="Palatino Linotype" w:hAnsi="Palatino Linotype" w:cs="Palatino Linotype"/>
          <w:b/>
          <w:i/>
          <w:lang w:eastAsia="es-ES"/>
        </w:rPr>
        <w:t xml:space="preserve">PARA PODER PROPORCIONAR LA INFORMACIÓN EN VERSIÓN PÚBLICA EN FORMA DIGITAL SE REQUIERE QUE SE CUBRA LA CANTIDAD 24 PESOS SI ES MEDIO MAGNÉTICO O 34 PESOS SI ES EN DISCO COMPACTO O QUE EN SU CASO SU SERVIDOR PROPORCIONE EL MEDIO Y SERÁ DE FORMA GRATUITA. SIENDO QUE LA SOLICITUD DE INFORMACIÓN SE REALIZÓ MEDIANTE ESTA PLATAFORMA ES CLARO QUE LA SOLICITUD DE INFORMACIÓN DIGITAL ES PARA QUE FUERA PROPORCIONADA POR ESTE </w:t>
      </w:r>
      <w:r w:rsidR="0022059C" w:rsidRPr="0022059C">
        <w:rPr>
          <w:rFonts w:ascii="Palatino Linotype" w:eastAsia="Palatino Linotype" w:hAnsi="Palatino Linotype" w:cs="Palatino Linotype"/>
          <w:i/>
          <w:lang w:eastAsia="es-ES"/>
        </w:rPr>
        <w:t>MEDIO</w:t>
      </w:r>
      <w:r w:rsidR="0022059C">
        <w:rPr>
          <w:rFonts w:ascii="Palatino Linotype" w:eastAsia="Palatino Linotype" w:hAnsi="Palatino Linotype" w:cs="Palatino Linotype"/>
          <w:i/>
          <w:lang w:eastAsia="es-ES"/>
        </w:rPr>
        <w:t>…”</w:t>
      </w:r>
    </w:p>
    <w:p w:rsidR="00387F8A" w:rsidRPr="00387F8A" w:rsidRDefault="008633C3" w:rsidP="008633C3">
      <w:pPr>
        <w:spacing w:line="360" w:lineRule="auto"/>
        <w:ind w:right="-93"/>
        <w:jc w:val="both"/>
        <w:rPr>
          <w:rFonts w:ascii="Palatino Linotype" w:eastAsia="Palatino Linotype" w:hAnsi="Palatino Linotype" w:cs="Palatino Linotype"/>
          <w:color w:val="000000"/>
          <w:lang w:eastAsia="es-ES"/>
        </w:rPr>
      </w:pPr>
      <w:r w:rsidRPr="008633C3">
        <w:rPr>
          <w:rFonts w:ascii="Palatino Linotype" w:eastAsia="Palatino Linotype" w:hAnsi="Palatino Linotype" w:cs="Palatino Linotype"/>
          <w:color w:val="000000"/>
          <w:lang w:eastAsia="es-ES"/>
        </w:rPr>
        <w:t>De manera que como se advierte de las ilustr</w:t>
      </w:r>
      <w:r w:rsidR="00387F8A">
        <w:rPr>
          <w:rFonts w:ascii="Palatino Linotype" w:eastAsia="Palatino Linotype" w:hAnsi="Palatino Linotype" w:cs="Palatino Linotype"/>
          <w:color w:val="000000"/>
          <w:lang w:eastAsia="es-ES"/>
        </w:rPr>
        <w:t xml:space="preserve">aciones previamente insertadas y en un ejercicio de </w:t>
      </w:r>
      <w:r w:rsidR="00387F8A" w:rsidRPr="00387F8A">
        <w:rPr>
          <w:rFonts w:ascii="Palatino Linotype" w:eastAsia="Palatino Linotype" w:hAnsi="Palatino Linotype" w:cs="Palatino Linotype"/>
          <w:color w:val="000000"/>
          <w:lang w:eastAsia="es-ES"/>
        </w:rPr>
        <w:t xml:space="preserve">interpretación en estricto sentido a la solicitud de información, se advierte que si bien es cierto que </w:t>
      </w:r>
      <w:r w:rsidR="00387F8A">
        <w:rPr>
          <w:rFonts w:ascii="Palatino Linotype" w:eastAsia="Palatino Linotype" w:hAnsi="Palatino Linotype" w:cs="Palatino Linotype"/>
          <w:color w:val="000000"/>
          <w:lang w:eastAsia="es-ES"/>
        </w:rPr>
        <w:t xml:space="preserve">el particular </w:t>
      </w:r>
      <w:r w:rsidR="00387F8A" w:rsidRPr="00387F8A">
        <w:rPr>
          <w:rFonts w:ascii="Palatino Linotype" w:eastAsia="Palatino Linotype" w:hAnsi="Palatino Linotype" w:cs="Palatino Linotype"/>
          <w:color w:val="000000"/>
          <w:lang w:eastAsia="es-ES"/>
        </w:rPr>
        <w:t xml:space="preserve">señaló que deseaba que la información se le entregara mediante consulta directa (sin costo), no menos cierto </w:t>
      </w:r>
      <w:r w:rsidR="00387F8A">
        <w:rPr>
          <w:rFonts w:ascii="Palatino Linotype" w:eastAsia="Palatino Linotype" w:hAnsi="Palatino Linotype" w:cs="Palatino Linotype"/>
          <w:color w:val="000000"/>
          <w:lang w:eastAsia="es-ES"/>
        </w:rPr>
        <w:t>es que también empleó la expresión “copias digitales”</w:t>
      </w:r>
      <w:r w:rsidR="00E27B21">
        <w:rPr>
          <w:rFonts w:ascii="Palatino Linotype" w:eastAsia="Palatino Linotype" w:hAnsi="Palatino Linotype" w:cs="Palatino Linotype"/>
          <w:color w:val="000000"/>
          <w:lang w:eastAsia="es-ES"/>
        </w:rPr>
        <w:t xml:space="preserve"> en el punto número 5 de su solicitud</w:t>
      </w:r>
      <w:r w:rsidR="00387F8A">
        <w:rPr>
          <w:rFonts w:ascii="Palatino Linotype" w:eastAsia="Palatino Linotype" w:hAnsi="Palatino Linotype" w:cs="Palatino Linotype"/>
          <w:color w:val="000000"/>
          <w:lang w:eastAsia="es-ES"/>
        </w:rPr>
        <w:t xml:space="preserve">, </w:t>
      </w:r>
      <w:r w:rsidR="00E27B21">
        <w:rPr>
          <w:rFonts w:ascii="Palatino Linotype" w:eastAsia="Palatino Linotype" w:hAnsi="Palatino Linotype" w:cs="Palatino Linotype"/>
          <w:color w:val="000000"/>
          <w:lang w:eastAsia="es-ES"/>
        </w:rPr>
        <w:t>haciendo referencia a</w:t>
      </w:r>
      <w:r w:rsidRPr="008633C3">
        <w:rPr>
          <w:rFonts w:ascii="Palatino Linotype" w:eastAsia="Palatino Linotype" w:hAnsi="Palatino Linotype" w:cs="Palatino Linotype"/>
          <w:color w:val="000000"/>
          <w:lang w:eastAsia="es-ES"/>
        </w:rPr>
        <w:t xml:space="preserve"> una </w:t>
      </w:r>
      <w:r w:rsidR="00387F8A">
        <w:rPr>
          <w:rFonts w:ascii="Palatino Linotype" w:eastAsia="Palatino Linotype" w:hAnsi="Palatino Linotype" w:cs="Palatino Linotype"/>
          <w:color w:val="000000"/>
          <w:lang w:eastAsia="es-ES"/>
        </w:rPr>
        <w:t xml:space="preserve">manera de </w:t>
      </w:r>
      <w:r w:rsidRPr="008633C3">
        <w:rPr>
          <w:rFonts w:ascii="Palatino Linotype" w:eastAsia="Palatino Linotype" w:hAnsi="Palatino Linotype" w:cs="Palatino Linotype"/>
          <w:color w:val="000000"/>
          <w:lang w:eastAsia="es-ES"/>
        </w:rPr>
        <w:t>digitalización de la información</w:t>
      </w:r>
      <w:r w:rsidR="00387F8A">
        <w:rPr>
          <w:rFonts w:ascii="Palatino Linotype" w:eastAsia="Palatino Linotype" w:hAnsi="Palatino Linotype" w:cs="Palatino Linotype"/>
          <w:color w:val="000000"/>
          <w:lang w:eastAsia="es-ES"/>
        </w:rPr>
        <w:t>, la cual pudiera efectuarse a través de correo electrónico o mediante el SAIMEX</w:t>
      </w:r>
      <w:r w:rsidRPr="008633C3">
        <w:rPr>
          <w:rFonts w:ascii="Palatino Linotype" w:eastAsia="Palatino Linotype" w:hAnsi="Palatino Linotype" w:cs="Palatino Linotype"/>
          <w:color w:val="000000"/>
          <w:lang w:eastAsia="es-ES"/>
        </w:rPr>
        <w:t>, no así</w:t>
      </w:r>
      <w:r w:rsidR="00387F8A">
        <w:rPr>
          <w:rFonts w:ascii="Palatino Linotype" w:eastAsia="Palatino Linotype" w:hAnsi="Palatino Linotype" w:cs="Palatino Linotype"/>
          <w:color w:val="000000"/>
          <w:lang w:eastAsia="es-ES"/>
        </w:rPr>
        <w:t xml:space="preserve"> como una modalidad de entrega en las instalaciones del </w:t>
      </w:r>
      <w:r w:rsidR="00387F8A" w:rsidRPr="00387F8A">
        <w:rPr>
          <w:rFonts w:ascii="Palatino Linotype" w:eastAsia="Palatino Linotype" w:hAnsi="Palatino Linotype" w:cs="Palatino Linotype"/>
          <w:b/>
          <w:color w:val="000000"/>
          <w:lang w:eastAsia="es-ES"/>
        </w:rPr>
        <w:t>Sujeto Obligado</w:t>
      </w:r>
      <w:r w:rsidR="00387F8A">
        <w:rPr>
          <w:rFonts w:ascii="Palatino Linotype" w:eastAsia="Palatino Linotype" w:hAnsi="Palatino Linotype" w:cs="Palatino Linotype"/>
          <w:b/>
          <w:color w:val="000000"/>
          <w:lang w:eastAsia="es-ES"/>
        </w:rPr>
        <w:t xml:space="preserve"> </w:t>
      </w:r>
      <w:r w:rsidR="00387F8A" w:rsidRPr="00387F8A">
        <w:rPr>
          <w:rFonts w:ascii="Palatino Linotype" w:eastAsia="Palatino Linotype" w:hAnsi="Palatino Linotype" w:cs="Palatino Linotype"/>
          <w:color w:val="000000"/>
          <w:lang w:eastAsia="es-ES"/>
        </w:rPr>
        <w:t xml:space="preserve">como pretende efectuarse en el presente asunto. </w:t>
      </w:r>
    </w:p>
    <w:p w:rsidR="008633C3" w:rsidRPr="00E27B21" w:rsidRDefault="008633C3" w:rsidP="008633C3">
      <w:pPr>
        <w:spacing w:before="240" w:after="240" w:line="360" w:lineRule="auto"/>
        <w:ind w:right="51"/>
        <w:jc w:val="both"/>
        <w:rPr>
          <w:rFonts w:ascii="Palatino Linotype" w:eastAsia="Palatino Linotype" w:hAnsi="Palatino Linotype" w:cs="Palatino Linotype"/>
          <w:b/>
          <w:lang w:eastAsia="es-ES"/>
        </w:rPr>
      </w:pPr>
      <w:r w:rsidRPr="008633C3">
        <w:rPr>
          <w:rFonts w:ascii="Palatino Linotype" w:eastAsia="Palatino Linotype" w:hAnsi="Palatino Linotype" w:cs="Palatino Linotype"/>
          <w:lang w:eastAsia="es-ES"/>
        </w:rPr>
        <w:t>Ahora bien</w:t>
      </w:r>
      <w:r w:rsidR="00387F8A">
        <w:rPr>
          <w:rFonts w:ascii="Palatino Linotype" w:eastAsia="Palatino Linotype" w:hAnsi="Palatino Linotype" w:cs="Palatino Linotype"/>
          <w:lang w:eastAsia="es-ES"/>
        </w:rPr>
        <w:t>,</w:t>
      </w:r>
      <w:r w:rsidRPr="008633C3">
        <w:rPr>
          <w:rFonts w:ascii="Palatino Linotype" w:eastAsia="Palatino Linotype" w:hAnsi="Palatino Linotype" w:cs="Palatino Linotype"/>
          <w:lang w:eastAsia="es-ES"/>
        </w:rPr>
        <w:t xml:space="preserve"> </w:t>
      </w:r>
      <w:r w:rsidR="00E27B21">
        <w:rPr>
          <w:rFonts w:ascii="Palatino Linotype" w:eastAsia="Palatino Linotype" w:hAnsi="Palatino Linotype" w:cs="Palatino Linotype"/>
          <w:lang w:eastAsia="es-ES"/>
        </w:rPr>
        <w:t xml:space="preserve">debe precisarse que el Sujeto Obligado pretendió entregar la información requerida en la modalidad consulta directa (sin costo), no obstante, por cuanto hace a </w:t>
      </w:r>
      <w:r w:rsidR="00E27B21">
        <w:rPr>
          <w:rFonts w:ascii="Palatino Linotype" w:eastAsia="Palatino Linotype" w:hAnsi="Palatino Linotype" w:cs="Palatino Linotype"/>
          <w:lang w:eastAsia="es-ES"/>
        </w:rPr>
        <w:lastRenderedPageBreak/>
        <w:t xml:space="preserve">las copias digitales, se tiene que el Sujeto Obligado pretendía entregar la información en medios magnéticos, previo cobro o si el particular aportaba el medio, resultaba gratuito, sin embargo, </w:t>
      </w:r>
      <w:r w:rsidRPr="00E27B21">
        <w:rPr>
          <w:rFonts w:ascii="Palatino Linotype" w:eastAsia="Palatino Linotype" w:hAnsi="Palatino Linotype" w:cs="Palatino Linotype"/>
          <w:color w:val="000000"/>
          <w:lang w:eastAsia="es-ES"/>
        </w:rPr>
        <w:t>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 gratuidad, de certeza, de celeridad, de objetividad,  entre otros.</w:t>
      </w:r>
    </w:p>
    <w:p w:rsidR="008633C3" w:rsidRPr="00E27B21" w:rsidRDefault="008633C3" w:rsidP="008633C3">
      <w:pPr>
        <w:spacing w:before="240" w:after="240" w:line="360" w:lineRule="auto"/>
        <w:ind w:right="51"/>
        <w:jc w:val="both"/>
        <w:rPr>
          <w:rFonts w:ascii="Palatino Linotype" w:eastAsia="Palatino Linotype" w:hAnsi="Palatino Linotype" w:cs="Palatino Linotype"/>
          <w:color w:val="000000"/>
          <w:lang w:eastAsia="es-ES"/>
        </w:rPr>
      </w:pPr>
      <w:r w:rsidRPr="00E27B21">
        <w:rPr>
          <w:rFonts w:ascii="Palatino Linotype" w:eastAsia="Palatino Linotype" w:hAnsi="Palatino Linotype" w:cs="Palatino Linotype"/>
          <w:color w:val="000000"/>
          <w:lang w:eastAsia="es-ES"/>
        </w:rPr>
        <w:t>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w:t>
      </w:r>
    </w:p>
    <w:p w:rsidR="008633C3" w:rsidRPr="008633C3" w:rsidRDefault="008633C3" w:rsidP="008633C3">
      <w:pPr>
        <w:spacing w:before="240" w:after="240" w:line="360" w:lineRule="auto"/>
        <w:ind w:right="51"/>
        <w:jc w:val="both"/>
        <w:rPr>
          <w:rFonts w:ascii="Palatino Linotype" w:eastAsia="Palatino Linotype" w:hAnsi="Palatino Linotype" w:cs="Palatino Linotype"/>
          <w:color w:val="000000"/>
          <w:lang w:eastAsia="es-ES"/>
        </w:rPr>
      </w:pPr>
      <w:r w:rsidRPr="008633C3">
        <w:rPr>
          <w:rFonts w:ascii="Palatino Linotype" w:eastAsia="Palatino Linotype" w:hAnsi="Palatino Linotype" w:cs="Palatino Linotype"/>
          <w:color w:val="000000"/>
          <w:lang w:eastAsia="es-ES"/>
        </w:rPr>
        <w:t>Atento a lo anterior, nuestro texto constitucional federal, así como el local,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rsidR="008633C3" w:rsidRPr="008633C3" w:rsidRDefault="008633C3" w:rsidP="008633C3">
      <w:pPr>
        <w:spacing w:before="240" w:after="240" w:line="360" w:lineRule="auto"/>
        <w:ind w:right="51"/>
        <w:jc w:val="both"/>
        <w:rPr>
          <w:rFonts w:ascii="Palatino Linotype" w:eastAsia="Palatino Linotype" w:hAnsi="Palatino Linotype" w:cs="Palatino Linotype"/>
          <w:color w:val="000000"/>
          <w:lang w:eastAsia="es-ES"/>
        </w:rPr>
      </w:pPr>
      <w:r w:rsidRPr="008633C3">
        <w:rPr>
          <w:rFonts w:ascii="Palatino Linotype" w:eastAsia="Palatino Linotype" w:hAnsi="Palatino Linotype" w:cs="Palatino Linotype"/>
          <w:color w:val="000000"/>
          <w:lang w:eastAsia="es-ES"/>
        </w:rPr>
        <w:lastRenderedPageBreak/>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gratuitos,  refiere en los artículos 17 y 150, que la búsqueda y acceso a la información es gratuita y sólo se cubrirá en su caso, los gastos de reproducción, por la modalidad de entrega solicitada, o por él envió de conformidad con los derechos, productos y aprovechamientos establecidos en la legislación aplicable, en razón de que el procedimiento de acceso a la información es la garantía primaria del derecho en cuestión y se rige por los principios de simplicidad, rapidez, gratuidad, auxilio y orientación a los particulares, en virtud de que constituye el primer paso para integrar activamente a la ciudadanía en la acción gubernamental, toda vez que con la información proporcionada por medio de las políticas de transparencia, los ciudadanos son </w:t>
      </w:r>
      <w:r w:rsidRPr="008633C3">
        <w:rPr>
          <w:rFonts w:ascii="Palatino Linotype" w:eastAsia="Palatino Linotype" w:hAnsi="Palatino Linotype" w:cs="Palatino Linotype"/>
          <w:lang w:eastAsia="es-ES"/>
        </w:rPr>
        <w:t>partícipes</w:t>
      </w:r>
      <w:r w:rsidRPr="008633C3">
        <w:rPr>
          <w:rFonts w:ascii="Palatino Linotype" w:eastAsia="Palatino Linotype" w:hAnsi="Palatino Linotype" w:cs="Palatino Linotype"/>
          <w:color w:val="000000"/>
          <w:lang w:eastAsia="es-ES"/>
        </w:rPr>
        <w:t xml:space="preserve"> de las acciones realizadas por los entes públicos, lo que favorece la rendición de cuentas.</w:t>
      </w:r>
    </w:p>
    <w:p w:rsidR="008633C3" w:rsidRPr="008633C3" w:rsidRDefault="008633C3" w:rsidP="008633C3">
      <w:pPr>
        <w:spacing w:before="240" w:after="240" w:line="360" w:lineRule="auto"/>
        <w:ind w:right="51"/>
        <w:jc w:val="both"/>
        <w:rPr>
          <w:rFonts w:ascii="Palatino Linotype" w:eastAsia="Palatino Linotype" w:hAnsi="Palatino Linotype" w:cs="Palatino Linotype"/>
          <w:color w:val="000000"/>
          <w:lang w:eastAsia="es-ES"/>
        </w:rPr>
      </w:pPr>
      <w:r w:rsidRPr="008633C3">
        <w:rPr>
          <w:rFonts w:ascii="Palatino Linotype" w:eastAsia="Palatino Linotype" w:hAnsi="Palatino Linotype" w:cs="Palatino Linotype"/>
          <w:color w:val="000000"/>
          <w:lang w:eastAsia="es-ES"/>
        </w:rPr>
        <w:t>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en caso de que se tenga que generar un gasto por la reproducción, por el envío, o por la modalidad de entrega solicitada, supuestos que encuadran con lo  establecido en los artículos 9 fracción III, 17, 165, 174, 175 de la Ley de Acceso a la Información Pública del Estado de México y Municipios, así como el artículo 4.22 de su Reglamento, para lo cual es necesario hacer referencia a los mismos en su parte conducente:</w:t>
      </w:r>
    </w:p>
    <w:p w:rsidR="008633C3" w:rsidRPr="008633C3" w:rsidRDefault="008633C3" w:rsidP="008633C3">
      <w:pPr>
        <w:spacing w:before="240" w:after="240" w:line="276" w:lineRule="auto"/>
        <w:ind w:left="567" w:right="900"/>
        <w:jc w:val="both"/>
        <w:rPr>
          <w:rFonts w:ascii="Palatino Linotype" w:eastAsia="Palatino Linotype" w:hAnsi="Palatino Linotype" w:cs="Palatino Linotype"/>
          <w:i/>
          <w:color w:val="000000"/>
          <w:sz w:val="22"/>
          <w:szCs w:val="22"/>
          <w:lang w:eastAsia="es-ES"/>
        </w:rPr>
      </w:pPr>
      <w:r w:rsidRPr="008633C3">
        <w:rPr>
          <w:rFonts w:ascii="Palatino Linotype" w:eastAsia="Palatino Linotype" w:hAnsi="Palatino Linotype" w:cs="Palatino Linotype"/>
          <w:i/>
          <w:color w:val="000000"/>
          <w:sz w:val="22"/>
          <w:szCs w:val="22"/>
          <w:lang w:eastAsia="es-ES"/>
        </w:rPr>
        <w:lastRenderedPageBreak/>
        <w:t>“Artículo 9. El Instituto deberá regir su funcionamiento de acuerdo a los siguientes principios:</w:t>
      </w:r>
    </w:p>
    <w:p w:rsidR="008633C3" w:rsidRPr="008633C3" w:rsidRDefault="008633C3" w:rsidP="008633C3">
      <w:pPr>
        <w:spacing w:before="240" w:after="240" w:line="276" w:lineRule="auto"/>
        <w:ind w:left="567" w:right="900"/>
        <w:jc w:val="both"/>
        <w:rPr>
          <w:rFonts w:ascii="Palatino Linotype" w:eastAsia="Palatino Linotype" w:hAnsi="Palatino Linotype" w:cs="Palatino Linotype"/>
          <w:i/>
          <w:color w:val="000000"/>
          <w:sz w:val="22"/>
          <w:szCs w:val="22"/>
          <w:lang w:eastAsia="es-ES"/>
        </w:rPr>
      </w:pPr>
      <w:r w:rsidRPr="008633C3">
        <w:rPr>
          <w:rFonts w:ascii="Palatino Linotype" w:eastAsia="Palatino Linotype" w:hAnsi="Palatino Linotype" w:cs="Palatino Linotype"/>
          <w:i/>
          <w:color w:val="000000"/>
          <w:sz w:val="22"/>
          <w:szCs w:val="22"/>
          <w:lang w:eastAsia="es-ES"/>
        </w:rPr>
        <w:t>...</w:t>
      </w:r>
    </w:p>
    <w:p w:rsidR="008633C3" w:rsidRPr="008633C3" w:rsidRDefault="008633C3" w:rsidP="008633C3">
      <w:pPr>
        <w:spacing w:before="240" w:after="240" w:line="276" w:lineRule="auto"/>
        <w:ind w:left="567" w:right="900"/>
        <w:jc w:val="both"/>
        <w:rPr>
          <w:rFonts w:ascii="Palatino Linotype" w:eastAsia="Palatino Linotype" w:hAnsi="Palatino Linotype" w:cs="Palatino Linotype"/>
          <w:i/>
          <w:color w:val="000000"/>
          <w:sz w:val="22"/>
          <w:szCs w:val="22"/>
          <w:lang w:eastAsia="es-ES"/>
        </w:rPr>
      </w:pPr>
      <w:r w:rsidRPr="008633C3">
        <w:rPr>
          <w:rFonts w:ascii="Palatino Linotype" w:eastAsia="Palatino Linotype" w:hAnsi="Palatino Linotype" w:cs="Palatino Linotype"/>
          <w:i/>
          <w:color w:val="000000"/>
          <w:sz w:val="22"/>
          <w:szCs w:val="22"/>
          <w:lang w:eastAsia="es-ES"/>
        </w:rPr>
        <w:t>III. Gratuidad: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rsidR="008633C3" w:rsidRPr="008633C3" w:rsidRDefault="008633C3" w:rsidP="008633C3">
      <w:pPr>
        <w:spacing w:before="240" w:after="240" w:line="276" w:lineRule="auto"/>
        <w:ind w:left="567" w:right="900"/>
        <w:jc w:val="both"/>
        <w:rPr>
          <w:rFonts w:ascii="Palatino Linotype" w:eastAsia="Palatino Linotype" w:hAnsi="Palatino Linotype" w:cs="Palatino Linotype"/>
          <w:i/>
          <w:color w:val="000000"/>
          <w:sz w:val="22"/>
          <w:szCs w:val="22"/>
          <w:lang w:eastAsia="es-ES"/>
        </w:rPr>
      </w:pPr>
      <w:r w:rsidRPr="008633C3">
        <w:rPr>
          <w:rFonts w:ascii="Palatino Linotype" w:eastAsia="Palatino Linotype" w:hAnsi="Palatino Linotype" w:cs="Palatino Linotype"/>
          <w:i/>
          <w:color w:val="000000"/>
          <w:sz w:val="22"/>
          <w:szCs w:val="22"/>
          <w:lang w:eastAsia="es-ES"/>
        </w:rPr>
        <w:t>(…)</w:t>
      </w:r>
    </w:p>
    <w:p w:rsidR="008633C3" w:rsidRPr="008633C3" w:rsidRDefault="008633C3" w:rsidP="00E27B21">
      <w:pPr>
        <w:spacing w:before="240" w:after="240" w:line="276" w:lineRule="auto"/>
        <w:ind w:left="567" w:right="900"/>
        <w:jc w:val="both"/>
        <w:rPr>
          <w:rFonts w:ascii="Palatino Linotype" w:eastAsia="Palatino Linotype" w:hAnsi="Palatino Linotype" w:cs="Palatino Linotype"/>
          <w:i/>
          <w:color w:val="000000"/>
          <w:sz w:val="22"/>
          <w:szCs w:val="22"/>
          <w:lang w:eastAsia="es-ES"/>
        </w:rPr>
      </w:pPr>
      <w:r w:rsidRPr="008633C3">
        <w:rPr>
          <w:rFonts w:ascii="Palatino Linotype" w:eastAsia="Palatino Linotype" w:hAnsi="Palatino Linotype" w:cs="Palatino Linotype"/>
          <w:i/>
          <w:color w:val="000000"/>
          <w:sz w:val="22"/>
          <w:szCs w:val="22"/>
          <w:lang w:eastAsia="es-ES"/>
        </w:rPr>
        <w:t>Artículo 17. La búsqueda y acceso a la información es gratuita y solo se cubrirán los gastos de reproducción, o por la modalidad de entrega solicitada, así como por el envío, que en su caso se genere, de conformidad con los derechos, productos y aprovechamientos establecidos en la legislación aplicable, sin que exceda de los límites e</w:t>
      </w:r>
      <w:r w:rsidR="00E27B21">
        <w:rPr>
          <w:rFonts w:ascii="Palatino Linotype" w:eastAsia="Palatino Linotype" w:hAnsi="Palatino Linotype" w:cs="Palatino Linotype"/>
          <w:i/>
          <w:color w:val="000000"/>
          <w:sz w:val="22"/>
          <w:szCs w:val="22"/>
          <w:lang w:eastAsia="es-ES"/>
        </w:rPr>
        <w:t>stablecidos en la presente Ley.</w:t>
      </w:r>
      <w:r w:rsidRPr="008633C3">
        <w:rPr>
          <w:rFonts w:ascii="Palatino Linotype" w:eastAsia="Palatino Linotype" w:hAnsi="Palatino Linotype" w:cs="Palatino Linotype"/>
          <w:i/>
          <w:color w:val="000000"/>
          <w:sz w:val="22"/>
          <w:szCs w:val="22"/>
          <w:lang w:eastAsia="es-ES"/>
        </w:rPr>
        <w:t>”</w:t>
      </w:r>
    </w:p>
    <w:p w:rsidR="008633C3" w:rsidRPr="008633C3" w:rsidRDefault="008633C3" w:rsidP="008633C3">
      <w:pPr>
        <w:spacing w:before="240" w:after="240" w:line="360" w:lineRule="auto"/>
        <w:ind w:right="51"/>
        <w:jc w:val="both"/>
        <w:rPr>
          <w:rFonts w:ascii="Palatino Linotype" w:eastAsia="Palatino Linotype" w:hAnsi="Palatino Linotype" w:cs="Palatino Linotype"/>
          <w:color w:val="000000"/>
          <w:lang w:eastAsia="es-ES"/>
        </w:rPr>
      </w:pPr>
      <w:r w:rsidRPr="008633C3">
        <w:rPr>
          <w:rFonts w:ascii="Palatino Linotype" w:eastAsia="Palatino Linotype" w:hAnsi="Palatino Linotype" w:cs="Palatino Linotype"/>
          <w:color w:val="000000"/>
          <w:lang w:eastAsia="es-ES"/>
        </w:rPr>
        <w:t xml:space="preserve">En efecto, de los preceptos citados se desprende que Ley de la Materia estableció el </w:t>
      </w:r>
      <w:r w:rsidR="00E27B21">
        <w:rPr>
          <w:rFonts w:ascii="Palatino Linotype" w:eastAsia="Palatino Linotype" w:hAnsi="Palatino Linotype" w:cs="Palatino Linotype"/>
          <w:color w:val="000000"/>
          <w:lang w:eastAsia="es-ES"/>
        </w:rPr>
        <w:t xml:space="preserve">principio de gratuidad como rector dentro del derecho de acceso a la información pública, </w:t>
      </w:r>
      <w:r w:rsidRPr="008633C3">
        <w:rPr>
          <w:rFonts w:ascii="Palatino Linotype" w:eastAsia="Palatino Linotype" w:hAnsi="Palatino Linotype" w:cs="Palatino Linotype"/>
          <w:color w:val="000000"/>
          <w:lang w:eastAsia="es-ES"/>
        </w:rPr>
        <w:t>sin embargo, en el caso que nos ocupa, no se estima que se actua</w:t>
      </w:r>
      <w:r w:rsidR="00E27B21">
        <w:rPr>
          <w:rFonts w:ascii="Palatino Linotype" w:eastAsia="Palatino Linotype" w:hAnsi="Palatino Linotype" w:cs="Palatino Linotype"/>
          <w:color w:val="000000"/>
          <w:lang w:eastAsia="es-ES"/>
        </w:rPr>
        <w:t>lice algún supuesto para condicionar la entrega de la información a un pago, toda vez que el</w:t>
      </w:r>
      <w:r w:rsidRPr="008633C3">
        <w:rPr>
          <w:rFonts w:ascii="Palatino Linotype" w:eastAsia="Palatino Linotype" w:hAnsi="Palatino Linotype" w:cs="Palatino Linotype"/>
          <w:color w:val="000000"/>
          <w:lang w:eastAsia="es-ES"/>
        </w:rPr>
        <w:t xml:space="preserve"> </w:t>
      </w:r>
      <w:r w:rsidRPr="00E27B21">
        <w:rPr>
          <w:rFonts w:ascii="Palatino Linotype" w:eastAsia="Palatino Linotype" w:hAnsi="Palatino Linotype" w:cs="Palatino Linotype"/>
          <w:color w:val="000000"/>
          <w:lang w:eastAsia="es-ES"/>
        </w:rPr>
        <w:t xml:space="preserve">solicitante requirió la información </w:t>
      </w:r>
      <w:r w:rsidR="00E27B21" w:rsidRPr="00E27B21">
        <w:rPr>
          <w:rFonts w:ascii="Palatino Linotype" w:eastAsia="Palatino Linotype" w:hAnsi="Palatino Linotype" w:cs="Palatino Linotype"/>
          <w:color w:val="000000"/>
          <w:lang w:eastAsia="es-ES"/>
        </w:rPr>
        <w:t xml:space="preserve">del punto número 5 por medio de copia digital, sin embargo, este punto pudiera colmarse con la entrega de la información </w:t>
      </w:r>
      <w:r w:rsidRPr="00E27B21">
        <w:rPr>
          <w:rFonts w:ascii="Palatino Linotype" w:eastAsia="Palatino Linotype" w:hAnsi="Palatino Linotype" w:cs="Palatino Linotype"/>
          <w:color w:val="000000"/>
          <w:lang w:eastAsia="es-ES"/>
        </w:rPr>
        <w:t>a través del sistema SAIMEX</w:t>
      </w:r>
      <w:r w:rsidR="00E27B21" w:rsidRPr="00E27B21">
        <w:rPr>
          <w:rFonts w:ascii="Palatino Linotype" w:eastAsia="Palatino Linotype" w:hAnsi="Palatino Linotype" w:cs="Palatino Linotype"/>
          <w:color w:val="000000"/>
          <w:lang w:eastAsia="es-ES"/>
        </w:rPr>
        <w:t>,</w:t>
      </w:r>
      <w:r w:rsidR="00E27B21">
        <w:rPr>
          <w:rFonts w:ascii="Palatino Linotype" w:eastAsia="Palatino Linotype" w:hAnsi="Palatino Linotype" w:cs="Palatino Linotype"/>
          <w:color w:val="000000"/>
          <w:lang w:eastAsia="es-ES"/>
        </w:rPr>
        <w:t xml:space="preserve"> </w:t>
      </w:r>
      <w:r w:rsidRPr="008633C3">
        <w:rPr>
          <w:rFonts w:ascii="Palatino Linotype" w:eastAsia="Palatino Linotype" w:hAnsi="Palatino Linotype" w:cs="Palatino Linotype"/>
          <w:color w:val="000000"/>
          <w:lang w:eastAsia="es-ES"/>
        </w:rPr>
        <w:t xml:space="preserve">por lo tanto no se le está requiriendo al Sujeto Obligado que expida copias simples, certificadas o que reproduzca la información que ya asumió poseer, en cualquier otro medio físico, sino que proporcione la información de manera electrónica, en otras palabras, con la finalidad de satisfacer la solicitud, no es necesario que el Sujeto Obligado realice una reproducción física de la información que conserva en sus archivos, más bien implicaría entregar aquellos documentos que por su </w:t>
      </w:r>
      <w:r w:rsidRPr="008633C3">
        <w:rPr>
          <w:rFonts w:ascii="Palatino Linotype" w:eastAsia="Palatino Linotype" w:hAnsi="Palatino Linotype" w:cs="Palatino Linotype"/>
          <w:color w:val="000000"/>
          <w:lang w:eastAsia="es-ES"/>
        </w:rPr>
        <w:lastRenderedPageBreak/>
        <w:t>naturaleza posee en formato electrónico, y en su caso, la digitalización o escaneo de aquella que se encuentre en medio físico..</w:t>
      </w:r>
    </w:p>
    <w:p w:rsidR="008633C3" w:rsidRPr="008633C3" w:rsidRDefault="008633C3" w:rsidP="008633C3">
      <w:pPr>
        <w:spacing w:before="240" w:after="240" w:line="360" w:lineRule="auto"/>
        <w:ind w:right="51"/>
        <w:jc w:val="both"/>
        <w:rPr>
          <w:rFonts w:ascii="Palatino Linotype" w:eastAsia="Palatino Linotype" w:hAnsi="Palatino Linotype" w:cs="Palatino Linotype"/>
          <w:color w:val="000000"/>
          <w:lang w:eastAsia="es-ES"/>
        </w:rPr>
      </w:pPr>
      <w:r w:rsidRPr="008633C3">
        <w:rPr>
          <w:rFonts w:ascii="Palatino Linotype" w:eastAsia="Palatino Linotype" w:hAnsi="Palatino Linotype" w:cs="Palatino Linotype"/>
          <w:color w:val="000000"/>
          <w:lang w:eastAsia="es-ES"/>
        </w:rPr>
        <w:t>Por ende, contrario a lo sostenido por el Sujeto Obligado, la digitalización o escaneo de la información, no conlleva la utilización de materiales que le generen un costo, como podría serlo por ejemplo hojas de papel para la emisión de copias; así tampoco se genera un gasto por el envío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 de igual manera en el caso no se actualiza el cobro por certificación, ya que la parte solicitante no requirió la entrega en dicha modalidad.</w:t>
      </w:r>
    </w:p>
    <w:p w:rsidR="008633C3" w:rsidRPr="008633C3" w:rsidRDefault="008633C3" w:rsidP="008633C3">
      <w:pPr>
        <w:spacing w:before="240" w:after="240" w:line="360" w:lineRule="auto"/>
        <w:ind w:right="51"/>
        <w:jc w:val="both"/>
        <w:rPr>
          <w:rFonts w:ascii="Palatino Linotype" w:eastAsia="Palatino Linotype" w:hAnsi="Palatino Linotype" w:cs="Palatino Linotype"/>
          <w:color w:val="000000"/>
          <w:lang w:eastAsia="es-ES"/>
        </w:rPr>
      </w:pPr>
      <w:r w:rsidRPr="008633C3">
        <w:rPr>
          <w:rFonts w:ascii="Palatino Linotype" w:eastAsia="Palatino Linotype" w:hAnsi="Palatino Linotype" w:cs="Palatino Linotype"/>
          <w:color w:val="000000"/>
          <w:lang w:eastAsia="es-ES"/>
        </w:rPr>
        <w:t xml:space="preserve">Aunado a lo anterior, 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ningún costo, incluyendo aquella que se hubiera digitalizado previamente por </w:t>
      </w:r>
      <w:r w:rsidRPr="008633C3">
        <w:rPr>
          <w:rFonts w:ascii="Palatino Linotype" w:eastAsia="Palatino Linotype" w:hAnsi="Palatino Linotype" w:cs="Palatino Linotype"/>
          <w:color w:val="000000"/>
          <w:lang w:eastAsia="es-ES"/>
        </w:rPr>
        <w:lastRenderedPageBreak/>
        <w:t>cualquier motivo, y aún menos en aquellos casos en que la modalidad de entrega sea por medio de la plataforma o vía electrónica.</w:t>
      </w:r>
    </w:p>
    <w:p w:rsidR="00591FC8" w:rsidRPr="003966C5" w:rsidRDefault="008633C3" w:rsidP="003966C5">
      <w:pPr>
        <w:spacing w:before="240" w:after="240" w:line="360" w:lineRule="auto"/>
        <w:ind w:right="51"/>
        <w:jc w:val="both"/>
        <w:rPr>
          <w:rFonts w:ascii="Palatino Linotype" w:eastAsia="Palatino Linotype" w:hAnsi="Palatino Linotype" w:cs="Palatino Linotype"/>
          <w:color w:val="000000"/>
          <w:lang w:eastAsia="es-ES"/>
        </w:rPr>
      </w:pPr>
      <w:r w:rsidRPr="008633C3">
        <w:rPr>
          <w:rFonts w:ascii="Palatino Linotype" w:eastAsia="Palatino Linotype" w:hAnsi="Palatino Linotype" w:cs="Palatino Linotype"/>
          <w:color w:val="000000"/>
          <w:lang w:eastAsia="es-ES"/>
        </w:rPr>
        <w:t>Bajo esta óptica, el derecho del particular de acceder a los documentos que obran en posesión del Sujeto Obligado se encuentra limitado, en virtud de que no le fue proporcionada la información solicitada, incumpliendo así lo previsto en el artículo 4 de la Ley de la Materia, citado con antelación;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w:t>
      </w:r>
      <w:r w:rsidR="003966C5">
        <w:rPr>
          <w:rFonts w:ascii="Palatino Linotype" w:eastAsia="Palatino Linotype" w:hAnsi="Palatino Linotype" w:cs="Palatino Linotype"/>
          <w:color w:val="000000"/>
          <w:lang w:eastAsia="es-ES"/>
        </w:rPr>
        <w:t>a disponibilidad de los mismos.</w:t>
      </w:r>
    </w:p>
    <w:p w:rsidR="003966C5" w:rsidRDefault="00E150FB" w:rsidP="003966C5">
      <w:pPr>
        <w:tabs>
          <w:tab w:val="left" w:pos="7088"/>
        </w:tabs>
        <w:spacing w:line="360" w:lineRule="auto"/>
        <w:jc w:val="both"/>
        <w:rPr>
          <w:rFonts w:ascii="Palatino Linotype" w:hAnsi="Palatino Linotype" w:cs="Tahoma"/>
          <w:lang w:eastAsia="es-ES"/>
        </w:rPr>
      </w:pPr>
      <w:r>
        <w:rPr>
          <w:rFonts w:ascii="Palatino Linotype" w:hAnsi="Palatino Linotype" w:cs="Tahoma"/>
          <w:lang w:eastAsia="es-ES"/>
        </w:rPr>
        <w:t>Ahora bien, del análisis realiza</w:t>
      </w:r>
      <w:r w:rsidR="003966C5">
        <w:rPr>
          <w:rFonts w:ascii="Palatino Linotype" w:hAnsi="Palatino Linotype" w:cs="Tahoma"/>
          <w:lang w:eastAsia="es-ES"/>
        </w:rPr>
        <w:t xml:space="preserve">do por este Organismo Garante a la respuesta del Sujeto Obligado, se tiene que </w:t>
      </w:r>
      <w:r w:rsidR="003966C5">
        <w:rPr>
          <w:rFonts w:ascii="Palatino Linotype" w:eastAsia="Palatino Linotype" w:hAnsi="Palatino Linotype" w:cs="Palatino Linotype"/>
          <w:sz w:val="22"/>
          <w:szCs w:val="22"/>
        </w:rPr>
        <w:t xml:space="preserve">sometió al Comité la propuesta de clasificación como confidencial de los datos personales que obran en las determinaciones de seis expedientes, </w:t>
      </w:r>
      <w:r w:rsidR="003966C5" w:rsidRPr="00E150FB">
        <w:rPr>
          <w:rFonts w:ascii="Palatino Linotype" w:hAnsi="Palatino Linotype" w:cs="Tahoma"/>
          <w:lang w:eastAsia="es-ES"/>
        </w:rPr>
        <w:t xml:space="preserve">EI/DRA/C/030/2021, EI/II/051/2020, EI/II/095/2019, EI/II/104/2020, EI/II/144/2021, </w:t>
      </w:r>
      <w:r w:rsidR="003966C5">
        <w:rPr>
          <w:rFonts w:ascii="Palatino Linotype" w:hAnsi="Palatino Linotype" w:cs="Tahoma"/>
          <w:lang w:eastAsia="es-ES"/>
        </w:rPr>
        <w:t xml:space="preserve">y </w:t>
      </w:r>
      <w:r w:rsidR="003966C5" w:rsidRPr="00E150FB">
        <w:rPr>
          <w:rFonts w:ascii="Palatino Linotype" w:hAnsi="Palatino Linotype" w:cs="Tahoma"/>
          <w:lang w:eastAsia="es-ES"/>
        </w:rPr>
        <w:t>EI/II/3</w:t>
      </w:r>
      <w:r w:rsidR="003966C5">
        <w:rPr>
          <w:rFonts w:ascii="Palatino Linotype" w:hAnsi="Palatino Linotype" w:cs="Tahoma"/>
          <w:lang w:eastAsia="es-ES"/>
        </w:rPr>
        <w:t xml:space="preserve">11/2019, de los cuales en el </w:t>
      </w:r>
      <w:r w:rsidR="003966C5" w:rsidRPr="003966C5">
        <w:rPr>
          <w:rFonts w:ascii="Palatino Linotype" w:hAnsi="Palatino Linotype" w:cs="Tahoma"/>
          <w:lang w:eastAsia="es-ES"/>
        </w:rPr>
        <w:t xml:space="preserve">Acta de la Quinta Sesión Extraordinaria del Comité de Transparencia del Poder Legislativo del Estado de México, celebrada el 22 de febrero de 2022, </w:t>
      </w:r>
      <w:r w:rsidR="003966C5">
        <w:rPr>
          <w:rFonts w:ascii="Palatino Linotype" w:hAnsi="Palatino Linotype" w:cs="Tahoma"/>
          <w:lang w:eastAsia="es-ES"/>
        </w:rPr>
        <w:t>se advierte que únicamente clasificaron los siguientes datos:</w:t>
      </w:r>
    </w:p>
    <w:p w:rsidR="003966C5" w:rsidRDefault="003966C5" w:rsidP="003966C5">
      <w:pPr>
        <w:tabs>
          <w:tab w:val="left" w:pos="7088"/>
        </w:tabs>
        <w:spacing w:line="360" w:lineRule="auto"/>
        <w:jc w:val="both"/>
        <w:rPr>
          <w:rFonts w:ascii="Palatino Linotype" w:hAnsi="Palatino Linotype" w:cs="Tahoma"/>
          <w:lang w:eastAsia="es-ES"/>
        </w:rPr>
      </w:pPr>
      <w:r>
        <w:rPr>
          <w:rFonts w:ascii="Palatino Linotype" w:hAnsi="Palatino Linotype" w:cs="Tahoma"/>
          <w:noProof/>
          <w:lang w:val="es-MX"/>
        </w:rPr>
        <w:lastRenderedPageBreak/>
        <w:drawing>
          <wp:inline distT="0" distB="0" distL="0" distR="0" wp14:anchorId="3BAA252F" wp14:editId="09613DDD">
            <wp:extent cx="5400675" cy="14001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1400175"/>
                    </a:xfrm>
                    <a:prstGeom prst="rect">
                      <a:avLst/>
                    </a:prstGeom>
                    <a:noFill/>
                    <a:ln>
                      <a:noFill/>
                    </a:ln>
                  </pic:spPr>
                </pic:pic>
              </a:graphicData>
            </a:graphic>
          </wp:inline>
        </w:drawing>
      </w:r>
    </w:p>
    <w:p w:rsidR="003966C5" w:rsidRDefault="003966C5" w:rsidP="003966C5">
      <w:pPr>
        <w:tabs>
          <w:tab w:val="left" w:pos="7088"/>
        </w:tabs>
        <w:spacing w:line="360" w:lineRule="auto"/>
        <w:jc w:val="both"/>
        <w:rPr>
          <w:rFonts w:ascii="Palatino Linotype" w:hAnsi="Palatino Linotype" w:cs="Tahoma"/>
          <w:lang w:eastAsia="es-ES"/>
        </w:rPr>
      </w:pPr>
      <w:r w:rsidRPr="003966C5">
        <w:rPr>
          <w:rFonts w:ascii="Palatino Linotype" w:hAnsi="Palatino Linotype" w:cs="Tahoma"/>
          <w:lang w:eastAsia="es-ES"/>
        </w:rPr>
        <w:t>Asimismo</w:t>
      </w:r>
      <w:r>
        <w:rPr>
          <w:rFonts w:ascii="Palatino Linotype" w:hAnsi="Palatino Linotype" w:cs="Tahoma"/>
          <w:lang w:eastAsia="es-ES"/>
        </w:rPr>
        <w:t xml:space="preserve"> refiere que se ponen  18 expedientes a </w:t>
      </w:r>
      <w:r w:rsidRPr="003966C5">
        <w:rPr>
          <w:rFonts w:ascii="Palatino Linotype" w:hAnsi="Palatino Linotype" w:cs="Tahoma"/>
          <w:lang w:eastAsia="es-ES"/>
        </w:rPr>
        <w:t xml:space="preserve"> disposición </w:t>
      </w:r>
      <w:r>
        <w:rPr>
          <w:rFonts w:ascii="Palatino Linotype" w:hAnsi="Palatino Linotype" w:cs="Tahoma"/>
          <w:lang w:eastAsia="es-ES"/>
        </w:rPr>
        <w:t xml:space="preserve">del particular </w:t>
      </w:r>
      <w:r w:rsidRPr="003966C5">
        <w:rPr>
          <w:rFonts w:ascii="Palatino Linotype" w:hAnsi="Palatino Linotype" w:cs="Tahoma"/>
          <w:lang w:eastAsia="es-ES"/>
        </w:rPr>
        <w:t>para consulta directa en la oficina de la Dirección de Responsabilidades Administrativas.</w:t>
      </w:r>
    </w:p>
    <w:p w:rsidR="003966C5" w:rsidRDefault="003966C5" w:rsidP="003966C5">
      <w:pPr>
        <w:tabs>
          <w:tab w:val="left" w:pos="7088"/>
        </w:tabs>
        <w:spacing w:line="360" w:lineRule="auto"/>
        <w:jc w:val="both"/>
        <w:rPr>
          <w:rFonts w:ascii="Palatino Linotype" w:hAnsi="Palatino Linotype" w:cs="Tahoma"/>
          <w:lang w:eastAsia="es-ES"/>
        </w:rPr>
      </w:pPr>
    </w:p>
    <w:p w:rsidR="003966C5" w:rsidRDefault="003966C5" w:rsidP="003966C5">
      <w:pPr>
        <w:tabs>
          <w:tab w:val="left" w:pos="7088"/>
        </w:tabs>
        <w:spacing w:line="360" w:lineRule="auto"/>
        <w:jc w:val="both"/>
        <w:rPr>
          <w:rFonts w:ascii="Palatino Linotype" w:hAnsi="Palatino Linotype" w:cs="Tahoma"/>
          <w:lang w:eastAsia="es-ES"/>
        </w:rPr>
      </w:pPr>
      <w:r>
        <w:rPr>
          <w:rFonts w:ascii="Palatino Linotype" w:hAnsi="Palatino Linotype" w:cs="Tahoma"/>
          <w:lang w:eastAsia="es-ES"/>
        </w:rPr>
        <w:t xml:space="preserve">También refiere que dentro de los archivos de la Dirección de Responsabilidades Administrativas, obra el expediente </w:t>
      </w:r>
      <w:r w:rsidRPr="003966C5">
        <w:rPr>
          <w:rFonts w:ascii="Palatino Linotype" w:hAnsi="Palatino Linotype" w:cs="Tahoma"/>
          <w:lang w:eastAsia="es-ES"/>
        </w:rPr>
        <w:t>IPRA/DSP/EPM/246/2019</w:t>
      </w:r>
      <w:r>
        <w:rPr>
          <w:rFonts w:ascii="Palatino Linotype" w:hAnsi="Palatino Linotype" w:cs="Tahoma"/>
          <w:lang w:eastAsia="es-ES"/>
        </w:rPr>
        <w:t>.</w:t>
      </w:r>
    </w:p>
    <w:p w:rsidR="003966C5" w:rsidRDefault="003966C5" w:rsidP="009365BF">
      <w:pPr>
        <w:tabs>
          <w:tab w:val="left" w:pos="7088"/>
        </w:tabs>
        <w:spacing w:line="360" w:lineRule="auto"/>
        <w:jc w:val="both"/>
        <w:rPr>
          <w:rFonts w:ascii="Palatino Linotype" w:hAnsi="Palatino Linotype" w:cs="Tahoma"/>
          <w:lang w:eastAsia="es-ES"/>
        </w:rPr>
      </w:pPr>
    </w:p>
    <w:p w:rsidR="009365BF" w:rsidRPr="009365BF" w:rsidRDefault="009365BF" w:rsidP="009365BF">
      <w:pPr>
        <w:tabs>
          <w:tab w:val="left" w:pos="7088"/>
        </w:tabs>
        <w:spacing w:line="360" w:lineRule="auto"/>
        <w:jc w:val="both"/>
        <w:rPr>
          <w:rFonts w:ascii="Palatino Linotype" w:hAnsi="Palatino Linotype" w:cs="Tahoma"/>
          <w:bCs/>
          <w:lang w:eastAsia="es-ES"/>
        </w:rPr>
      </w:pPr>
      <w:r w:rsidRPr="009365BF">
        <w:rPr>
          <w:rFonts w:ascii="Palatino Linotype" w:hAnsi="Palatino Linotype" w:cs="Tahoma"/>
          <w:lang w:eastAsia="es-ES"/>
        </w:rPr>
        <w:t xml:space="preserve">En este orden de ideas, toda vez que </w:t>
      </w:r>
      <w:r w:rsidR="0094160B">
        <w:rPr>
          <w:rFonts w:ascii="Palatino Linotype" w:hAnsi="Palatino Linotype" w:cs="Tahoma"/>
          <w:lang w:eastAsia="es-ES"/>
        </w:rPr>
        <w:t xml:space="preserve">el </w:t>
      </w:r>
      <w:r w:rsidR="0094160B" w:rsidRPr="003966C5">
        <w:rPr>
          <w:rFonts w:ascii="Palatino Linotype" w:hAnsi="Palatino Linotype" w:cs="Tahoma"/>
          <w:b/>
          <w:lang w:eastAsia="es-ES"/>
        </w:rPr>
        <w:t>Sujeto Obligado</w:t>
      </w:r>
      <w:r w:rsidR="0094160B">
        <w:rPr>
          <w:rFonts w:ascii="Palatino Linotype" w:hAnsi="Palatino Linotype" w:cs="Tahoma"/>
          <w:lang w:eastAsia="es-ES"/>
        </w:rPr>
        <w:t xml:space="preserve"> aseveró contar con  </w:t>
      </w:r>
      <w:r w:rsidRPr="009365BF">
        <w:rPr>
          <w:rFonts w:ascii="Palatino Linotype" w:hAnsi="Palatino Linotype" w:cs="Tahoma"/>
          <w:lang w:eastAsia="es-ES"/>
        </w:rPr>
        <w:t>la información</w:t>
      </w:r>
      <w:r w:rsidR="0094160B">
        <w:rPr>
          <w:rFonts w:ascii="Palatino Linotype" w:hAnsi="Palatino Linotype" w:cs="Tahoma"/>
          <w:lang w:eastAsia="es-ES"/>
        </w:rPr>
        <w:t xml:space="preserve"> requerida</w:t>
      </w:r>
      <w:r w:rsidRPr="009365BF">
        <w:rPr>
          <w:rFonts w:ascii="Palatino Linotype" w:hAnsi="Palatino Linotype" w:cs="Tahoma"/>
          <w:lang w:eastAsia="es-ES"/>
        </w:rPr>
        <w:t xml:space="preserve">, </w:t>
      </w:r>
      <w:r w:rsidR="003966C5">
        <w:rPr>
          <w:rFonts w:ascii="Palatino Linotype" w:hAnsi="Palatino Linotype" w:cs="Tahoma"/>
          <w:lang w:eastAsia="es-ES"/>
        </w:rPr>
        <w:t xml:space="preserve">sin embargo, resulta importante señalar que no es claro en su respuesta y no manifiesta si los expedientes referidos se encuentran concluidos o no, por lo que </w:t>
      </w:r>
      <w:r w:rsidRPr="009365BF">
        <w:rPr>
          <w:rFonts w:ascii="Palatino Linotype" w:hAnsi="Palatino Linotype" w:cs="Tahoma"/>
          <w:lang w:eastAsia="es-ES"/>
        </w:rPr>
        <w:t xml:space="preserve">se considera </w:t>
      </w:r>
      <w:r w:rsidR="0094160B">
        <w:rPr>
          <w:rFonts w:ascii="Palatino Linotype" w:eastAsia="Calibri" w:hAnsi="Palatino Linotype" w:cs="Tahoma"/>
          <w:bCs/>
          <w:lang w:eastAsia="en-US"/>
        </w:rPr>
        <w:t>que se debe analizar los supuestos para</w:t>
      </w:r>
      <w:r w:rsidRPr="009365BF">
        <w:rPr>
          <w:rFonts w:ascii="Palatino Linotype" w:eastAsia="Calibri" w:hAnsi="Palatino Linotype" w:cs="Tahoma"/>
          <w:bCs/>
          <w:lang w:eastAsia="en-US"/>
        </w:rPr>
        <w:t xml:space="preserve"> los procedimientos de re</w:t>
      </w:r>
      <w:r w:rsidR="0094160B">
        <w:rPr>
          <w:rFonts w:ascii="Palatino Linotype" w:eastAsia="Calibri" w:hAnsi="Palatino Linotype" w:cs="Tahoma"/>
          <w:bCs/>
          <w:lang w:eastAsia="en-US"/>
        </w:rPr>
        <w:t xml:space="preserve">sponsabilidades administrativas, para efecto de determinar la procedencia de su entrega: </w:t>
      </w:r>
    </w:p>
    <w:p w:rsidR="009365BF" w:rsidRPr="009365BF" w:rsidRDefault="009365BF" w:rsidP="009365BF">
      <w:pPr>
        <w:pBdr>
          <w:top w:val="nil"/>
          <w:left w:val="nil"/>
          <w:bottom w:val="nil"/>
          <w:right w:val="nil"/>
          <w:between w:val="nil"/>
        </w:pBdr>
        <w:spacing w:line="360" w:lineRule="auto"/>
        <w:ind w:right="49"/>
        <w:jc w:val="both"/>
        <w:rPr>
          <w:rFonts w:ascii="Palatino Linotype" w:eastAsia="Palatino Linotype" w:hAnsi="Palatino Linotype" w:cs="Palatino Linotype"/>
          <w:b/>
          <w:lang w:eastAsia="es-ES"/>
        </w:rPr>
      </w:pPr>
    </w:p>
    <w:p w:rsidR="009365BF" w:rsidRPr="009365BF" w:rsidRDefault="009365BF" w:rsidP="009365BF">
      <w:pPr>
        <w:numPr>
          <w:ilvl w:val="0"/>
          <w:numId w:val="18"/>
        </w:numPr>
        <w:pBdr>
          <w:top w:val="nil"/>
          <w:left w:val="nil"/>
          <w:bottom w:val="nil"/>
          <w:right w:val="nil"/>
          <w:between w:val="nil"/>
        </w:pBdr>
        <w:spacing w:line="360" w:lineRule="auto"/>
        <w:ind w:right="49" w:hanging="284"/>
        <w:jc w:val="both"/>
        <w:rPr>
          <w:rFonts w:ascii="Palatino Linotype" w:eastAsia="Palatino Linotype" w:hAnsi="Palatino Linotype" w:cs="Palatino Linotype"/>
          <w:lang w:eastAsia="es-ES"/>
        </w:rPr>
      </w:pPr>
      <w:r w:rsidRPr="009365BF">
        <w:rPr>
          <w:rFonts w:ascii="Palatino Linotype" w:eastAsia="Palatino Linotype" w:hAnsi="Palatino Linotype" w:cs="Palatino Linotype"/>
          <w:b/>
          <w:lang w:eastAsia="es-ES"/>
        </w:rPr>
        <w:t xml:space="preserve">Procedimiento administrativo de responsabilidades por faltas no graves en trámite o concluidos sin importar si fue absolutorio o condenatorio.  </w:t>
      </w:r>
    </w:p>
    <w:p w:rsidR="009365BF" w:rsidRPr="009365BF" w:rsidRDefault="009365BF" w:rsidP="009365BF">
      <w:pPr>
        <w:spacing w:line="360" w:lineRule="auto"/>
        <w:ind w:right="49"/>
        <w:jc w:val="both"/>
        <w:rPr>
          <w:rFonts w:ascii="Palatino Linotype" w:eastAsia="Palatino Linotype" w:hAnsi="Palatino Linotype" w:cs="Palatino Linotype"/>
          <w:lang w:eastAsia="es-ES"/>
        </w:rPr>
      </w:pPr>
    </w:p>
    <w:p w:rsidR="009365BF" w:rsidRPr="009365BF" w:rsidRDefault="009365BF" w:rsidP="009365BF">
      <w:pPr>
        <w:spacing w:line="360" w:lineRule="auto"/>
        <w:ind w:right="49"/>
        <w:jc w:val="both"/>
        <w:rPr>
          <w:rFonts w:ascii="Palatino Linotype" w:eastAsia="Palatino Linotype" w:hAnsi="Palatino Linotype" w:cs="Palatino Linotype"/>
          <w:lang w:eastAsia="es-ES"/>
        </w:rPr>
      </w:pPr>
      <w:r w:rsidRPr="009365BF">
        <w:rPr>
          <w:rFonts w:ascii="Palatino Linotype" w:eastAsia="Palatino Linotype" w:hAnsi="Palatino Linotype" w:cs="Palatino Linotype"/>
          <w:lang w:eastAsia="es-ES"/>
        </w:rPr>
        <w:t>En lo que concierne a las sanciones graves y no graves, es de mencionarse que corresponde a una de las obligaciones de transparencia común, como se desprende del artículo 92 fracción XXII de la Ley de Transparencia y Acceso a la Información Pública del Estado de México y Municipios, como se observa:</w:t>
      </w:r>
    </w:p>
    <w:p w:rsidR="009365BF" w:rsidRPr="009365BF" w:rsidRDefault="009365BF" w:rsidP="009365BF">
      <w:pPr>
        <w:spacing w:line="360" w:lineRule="auto"/>
        <w:ind w:right="49"/>
        <w:jc w:val="both"/>
        <w:rPr>
          <w:rFonts w:ascii="Palatino Linotype" w:eastAsia="Palatino Linotype" w:hAnsi="Palatino Linotype" w:cs="Palatino Linotype"/>
          <w:lang w:eastAsia="es-ES"/>
        </w:rPr>
      </w:pPr>
    </w:p>
    <w:p w:rsidR="009365BF" w:rsidRPr="009365BF" w:rsidRDefault="009365BF" w:rsidP="009365BF">
      <w:pPr>
        <w:ind w:left="851" w:right="822"/>
        <w:jc w:val="both"/>
        <w:rPr>
          <w:rFonts w:ascii="Palatino Linotype" w:eastAsia="Palatino Linotype" w:hAnsi="Palatino Linotype" w:cs="Palatino Linotype"/>
          <w:i/>
          <w:sz w:val="22"/>
          <w:szCs w:val="22"/>
          <w:lang w:eastAsia="es-ES"/>
        </w:rPr>
      </w:pPr>
      <w:r w:rsidRPr="009365BF">
        <w:rPr>
          <w:rFonts w:ascii="Palatino Linotype" w:eastAsia="Palatino Linotype" w:hAnsi="Palatino Linotype" w:cs="Palatino Linotype"/>
          <w:i/>
          <w:sz w:val="22"/>
          <w:szCs w:val="22"/>
          <w:lang w:eastAsia="es-E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365BF" w:rsidRPr="009365BF" w:rsidRDefault="009365BF" w:rsidP="009365BF">
      <w:pPr>
        <w:ind w:left="851" w:right="822"/>
        <w:jc w:val="both"/>
        <w:rPr>
          <w:rFonts w:ascii="Palatino Linotype" w:eastAsia="Palatino Linotype" w:hAnsi="Palatino Linotype" w:cs="Palatino Linotype"/>
          <w:i/>
          <w:sz w:val="22"/>
          <w:szCs w:val="22"/>
          <w:lang w:eastAsia="es-ES"/>
        </w:rPr>
      </w:pPr>
      <w:r w:rsidRPr="009365BF">
        <w:rPr>
          <w:rFonts w:ascii="Palatino Linotype" w:eastAsia="Palatino Linotype" w:hAnsi="Palatino Linotype" w:cs="Palatino Linotype"/>
          <w:i/>
          <w:sz w:val="22"/>
          <w:szCs w:val="22"/>
          <w:lang w:eastAsia="es-ES"/>
        </w:rPr>
        <w:t>...</w:t>
      </w:r>
    </w:p>
    <w:p w:rsidR="009365BF" w:rsidRPr="009365BF" w:rsidRDefault="009365BF" w:rsidP="009365BF">
      <w:pPr>
        <w:ind w:left="851" w:right="822"/>
        <w:jc w:val="both"/>
        <w:rPr>
          <w:rFonts w:ascii="Palatino Linotype" w:eastAsia="Palatino Linotype" w:hAnsi="Palatino Linotype" w:cs="Palatino Linotype"/>
          <w:b/>
          <w:i/>
          <w:sz w:val="22"/>
          <w:szCs w:val="22"/>
          <w:lang w:eastAsia="es-ES"/>
        </w:rPr>
      </w:pPr>
      <w:r w:rsidRPr="009365BF">
        <w:rPr>
          <w:rFonts w:ascii="Palatino Linotype" w:eastAsia="Palatino Linotype" w:hAnsi="Palatino Linotype" w:cs="Palatino Linotype"/>
          <w:i/>
          <w:sz w:val="22"/>
          <w:szCs w:val="22"/>
          <w:lang w:eastAsia="es-ES"/>
        </w:rPr>
        <w:t xml:space="preserve">XXII. </w:t>
      </w:r>
      <w:r w:rsidRPr="009365BF">
        <w:rPr>
          <w:rFonts w:ascii="Palatino Linotype" w:eastAsia="Palatino Linotype" w:hAnsi="Palatino Linotype" w:cs="Palatino Linotype"/>
          <w:b/>
          <w:i/>
          <w:sz w:val="22"/>
          <w:szCs w:val="22"/>
          <w:lang w:eastAsia="es-ES"/>
        </w:rPr>
        <w:t>El listado de Servidores Públicos con sanciones administrativas definitivas, especificando la causa de sanción y la disposición;" (Sic) (Énfasis añadido)</w:t>
      </w:r>
    </w:p>
    <w:p w:rsidR="009365BF" w:rsidRPr="009365BF" w:rsidRDefault="009365BF" w:rsidP="009365BF">
      <w:pPr>
        <w:spacing w:line="360" w:lineRule="auto"/>
        <w:ind w:right="49"/>
        <w:jc w:val="both"/>
        <w:rPr>
          <w:rFonts w:ascii="Palatino Linotype" w:eastAsia="Palatino Linotype" w:hAnsi="Palatino Linotype" w:cs="Palatino Linotype"/>
          <w:lang w:eastAsia="es-ES"/>
        </w:rPr>
      </w:pPr>
    </w:p>
    <w:p w:rsidR="009365BF" w:rsidRPr="009365BF" w:rsidRDefault="009365BF" w:rsidP="009365BF">
      <w:pPr>
        <w:spacing w:line="360" w:lineRule="auto"/>
        <w:ind w:right="49"/>
        <w:jc w:val="both"/>
        <w:rPr>
          <w:rFonts w:ascii="Palatino Linotype" w:eastAsia="Palatino Linotype" w:hAnsi="Palatino Linotype" w:cs="Palatino Linotype"/>
          <w:lang w:eastAsia="es-ES"/>
        </w:rPr>
      </w:pPr>
      <w:r w:rsidRPr="009365BF">
        <w:rPr>
          <w:rFonts w:ascii="Palatino Linotype" w:eastAsia="Palatino Linotype" w:hAnsi="Palatino Linotype" w:cs="Palatino Linotype"/>
          <w:lang w:eastAsia="es-ES"/>
        </w:rPr>
        <w:t xml:space="preserve">No obstante, </w:t>
      </w:r>
      <w:r w:rsidRPr="009365BF">
        <w:rPr>
          <w:rFonts w:ascii="Palatino Linotype" w:eastAsia="Palatino Linotype" w:hAnsi="Palatino Linotype" w:cs="Palatino Linotype"/>
          <w:b/>
          <w:u w:val="single"/>
          <w:lang w:eastAsia="es-ES"/>
        </w:rPr>
        <w:t>sólo pueden ser dadas a conocer las responsabilidades administrativas</w:t>
      </w:r>
      <w:r w:rsidRPr="009365BF">
        <w:rPr>
          <w:rFonts w:ascii="Palatino Linotype" w:eastAsia="Palatino Linotype" w:hAnsi="Palatino Linotype" w:cs="Palatino Linotype"/>
          <w:lang w:eastAsia="es-ES"/>
        </w:rPr>
        <w:t xml:space="preserve"> </w:t>
      </w:r>
      <w:r w:rsidRPr="009365BF">
        <w:rPr>
          <w:rFonts w:ascii="Palatino Linotype" w:eastAsia="Palatino Linotype" w:hAnsi="Palatino Linotype" w:cs="Palatino Linotype"/>
          <w:b/>
          <w:u w:val="single"/>
          <w:lang w:eastAsia="es-ES"/>
        </w:rPr>
        <w:t>por faltas graves</w:t>
      </w:r>
      <w:r w:rsidRPr="009365BF">
        <w:rPr>
          <w:rFonts w:ascii="Palatino Linotype" w:eastAsia="Palatino Linotype" w:hAnsi="Palatino Linotype" w:cs="Palatino Linotype"/>
          <w:lang w:eastAsia="es-ES"/>
        </w:rPr>
        <w:t xml:space="preserve">. Lo anterior, con motivo de la entrada en vigor de la Ley del Sistema Anticorrupción del Estado de México y Municipios publicada en el periódico oficial "Gaceta del Gobierno" el treinta de mayo de 2017, que establece que </w:t>
      </w:r>
      <w:r w:rsidRPr="009365BF">
        <w:rPr>
          <w:rFonts w:ascii="Palatino Linotype" w:eastAsia="Palatino Linotype" w:hAnsi="Palatino Linotype" w:cs="Palatino Linotype"/>
          <w:b/>
          <w:u w:val="single"/>
          <w:lang w:eastAsia="es-ES"/>
        </w:rPr>
        <w:t>las sanciones no graves no serán públicas</w:t>
      </w:r>
      <w:r w:rsidRPr="009365BF">
        <w:rPr>
          <w:rFonts w:ascii="Palatino Linotype" w:eastAsia="Palatino Linotype" w:hAnsi="Palatino Linotype" w:cs="Palatino Linotype"/>
          <w:lang w:eastAsia="es-ES"/>
        </w:rPr>
        <w:t>, toda vez que únicamente es de interés para los Poderes Ejecutivo, Legislativo y Judicial, los Ayuntamientos, Organismos Auxiliares, Fideicomisos Públicos y los Órganos Constitucionalmente Autónomos, en virtud de que exclusivamente se deriva de la relación entre autoridades administrativas y el titular de los datos personales, para acatar las disposiciones contenidas en el artículo 53 de la citada Ley Anticorrupción y que son de la literalidad siguiente:</w:t>
      </w:r>
    </w:p>
    <w:p w:rsidR="009365BF" w:rsidRPr="009365BF" w:rsidRDefault="009365BF" w:rsidP="009365BF">
      <w:pPr>
        <w:spacing w:line="360" w:lineRule="auto"/>
        <w:ind w:right="49"/>
        <w:jc w:val="both"/>
        <w:rPr>
          <w:rFonts w:ascii="Palatino Linotype" w:eastAsia="Palatino Linotype" w:hAnsi="Palatino Linotype" w:cs="Palatino Linotype"/>
          <w:sz w:val="22"/>
          <w:szCs w:val="22"/>
          <w:lang w:eastAsia="es-ES"/>
        </w:rPr>
      </w:pPr>
    </w:p>
    <w:p w:rsidR="009365BF" w:rsidRPr="009365BF" w:rsidRDefault="009365BF" w:rsidP="009365BF">
      <w:pPr>
        <w:ind w:left="851" w:right="822"/>
        <w:jc w:val="both"/>
        <w:rPr>
          <w:rFonts w:ascii="Palatino Linotype" w:eastAsia="Palatino Linotype" w:hAnsi="Palatino Linotype" w:cs="Palatino Linotype"/>
          <w:b/>
          <w:i/>
          <w:sz w:val="22"/>
          <w:szCs w:val="22"/>
          <w:lang w:eastAsia="es-ES"/>
        </w:rPr>
      </w:pPr>
      <w:r w:rsidRPr="009365BF">
        <w:rPr>
          <w:rFonts w:ascii="Palatino Linotype" w:eastAsia="Palatino Linotype" w:hAnsi="Palatino Linotype" w:cs="Palatino Linotype"/>
          <w:b/>
          <w:i/>
          <w:sz w:val="22"/>
          <w:szCs w:val="22"/>
          <w:lang w:eastAsia="es-ES"/>
        </w:rPr>
        <w:t xml:space="preserve">“Artículo 53. Las sanciones impuestas por faltas administrativas graves serán del conocimiento público </w:t>
      </w:r>
      <w:r w:rsidRPr="009365BF">
        <w:rPr>
          <w:rFonts w:ascii="Palatino Linotype" w:eastAsia="Palatino Linotype" w:hAnsi="Palatino Linotype" w:cs="Palatino Linotype"/>
          <w:b/>
          <w:i/>
          <w:sz w:val="22"/>
          <w:szCs w:val="22"/>
          <w:u w:val="single"/>
          <w:lang w:eastAsia="es-ES"/>
        </w:rPr>
        <w:t>cuando éstas contengan impedimentos o inhabilitaciones</w:t>
      </w:r>
      <w:r w:rsidRPr="009365BF">
        <w:rPr>
          <w:rFonts w:ascii="Palatino Linotype" w:eastAsia="Palatino Linotype" w:hAnsi="Palatino Linotype" w:cs="Palatino Linotype"/>
          <w:b/>
          <w:i/>
          <w:sz w:val="22"/>
          <w:szCs w:val="22"/>
          <w:lang w:eastAsia="es-ES"/>
        </w:rPr>
        <w:t xml:space="preserve"> para ser contratados como servidores públicos o como prestadores de servicios o contratistas del sector público, en términos de la Ley de Responsabilidades Administrativas del Estado de México y Municipios.</w:t>
      </w:r>
    </w:p>
    <w:p w:rsidR="009365BF" w:rsidRPr="009365BF" w:rsidRDefault="009365BF" w:rsidP="009365BF">
      <w:pPr>
        <w:ind w:left="851" w:right="822"/>
        <w:jc w:val="both"/>
        <w:rPr>
          <w:rFonts w:ascii="Palatino Linotype" w:eastAsia="Palatino Linotype" w:hAnsi="Palatino Linotype" w:cs="Palatino Linotype"/>
          <w:i/>
          <w:sz w:val="22"/>
          <w:szCs w:val="22"/>
          <w:lang w:eastAsia="es-ES"/>
        </w:rPr>
      </w:pPr>
    </w:p>
    <w:p w:rsidR="009365BF" w:rsidRPr="009365BF" w:rsidRDefault="009365BF" w:rsidP="009365BF">
      <w:pPr>
        <w:ind w:left="851" w:right="822"/>
        <w:jc w:val="both"/>
        <w:rPr>
          <w:rFonts w:ascii="Palatino Linotype" w:eastAsia="Palatino Linotype" w:hAnsi="Palatino Linotype" w:cs="Palatino Linotype"/>
          <w:i/>
          <w:sz w:val="22"/>
          <w:szCs w:val="22"/>
          <w:lang w:eastAsia="es-ES"/>
        </w:rPr>
      </w:pPr>
      <w:r w:rsidRPr="009365BF">
        <w:rPr>
          <w:rFonts w:ascii="Palatino Linotype" w:eastAsia="Palatino Linotype" w:hAnsi="Palatino Linotype" w:cs="Palatino Linotype"/>
          <w:i/>
          <w:sz w:val="22"/>
          <w:szCs w:val="22"/>
          <w:lang w:eastAsia="es-ES"/>
        </w:rPr>
        <w:t xml:space="preserve">Los registros de </w:t>
      </w:r>
      <w:r w:rsidRPr="009365BF">
        <w:rPr>
          <w:rFonts w:ascii="Palatino Linotype" w:eastAsia="Palatino Linotype" w:hAnsi="Palatino Linotype" w:cs="Palatino Linotype"/>
          <w:b/>
          <w:i/>
          <w:sz w:val="22"/>
          <w:szCs w:val="22"/>
          <w:u w:val="single"/>
          <w:lang w:eastAsia="es-ES"/>
        </w:rPr>
        <w:t>las sanciones relativas a responsabilidades administrativas no graves, quedarán registradas para efectos de eventual reincidencia, pero no serán públicas.</w:t>
      </w:r>
      <w:r w:rsidRPr="009365BF">
        <w:rPr>
          <w:rFonts w:ascii="Palatino Linotype" w:eastAsia="Palatino Linotype" w:hAnsi="Palatino Linotype" w:cs="Palatino Linotype"/>
          <w:i/>
          <w:sz w:val="22"/>
          <w:szCs w:val="22"/>
          <w:lang w:eastAsia="es-ES"/>
        </w:rPr>
        <w:t>” (Sic) (Énfasis añadido)</w:t>
      </w:r>
    </w:p>
    <w:p w:rsidR="009365BF" w:rsidRPr="009365BF" w:rsidRDefault="009365BF" w:rsidP="009365BF">
      <w:pPr>
        <w:spacing w:line="360" w:lineRule="auto"/>
        <w:ind w:right="49"/>
        <w:jc w:val="both"/>
        <w:rPr>
          <w:rFonts w:ascii="Palatino Linotype" w:eastAsia="Palatino Linotype" w:hAnsi="Palatino Linotype" w:cs="Palatino Linotype"/>
          <w:lang w:eastAsia="es-ES"/>
        </w:rPr>
      </w:pPr>
    </w:p>
    <w:p w:rsidR="009365BF" w:rsidRPr="009365BF" w:rsidRDefault="009365BF" w:rsidP="009365BF">
      <w:pPr>
        <w:spacing w:line="360" w:lineRule="auto"/>
        <w:ind w:right="49"/>
        <w:jc w:val="both"/>
        <w:rPr>
          <w:rFonts w:ascii="Palatino Linotype" w:eastAsia="Palatino Linotype" w:hAnsi="Palatino Linotype" w:cs="Palatino Linotype"/>
          <w:i/>
          <w:sz w:val="22"/>
          <w:szCs w:val="22"/>
          <w:lang w:eastAsia="es-ES"/>
        </w:rPr>
      </w:pPr>
      <w:r w:rsidRPr="009365BF">
        <w:rPr>
          <w:rFonts w:ascii="Palatino Linotype" w:eastAsia="Palatino Linotype" w:hAnsi="Palatino Linotype" w:cs="Palatino Linotype"/>
          <w:lang w:eastAsia="es-ES"/>
        </w:rPr>
        <w:t xml:space="preserve">En ese sentido es importante, referir que la Ley de Responsabilidades Administrativas del Estado de México y Municipios, señala </w:t>
      </w:r>
      <w:r w:rsidRPr="009365BF">
        <w:rPr>
          <w:rFonts w:ascii="Palatino Linotype" w:eastAsia="Batang" w:hAnsi="Palatino Linotype" w:cs="Arial"/>
          <w:lang w:eastAsia="es-ES"/>
        </w:rPr>
        <w:t>que incurrirá en una falta administrativa no grave, aquellos servidores públicos cuyos actos y omisiones incumplan o transgredan el cumplimiento de sus funciones, atribuciones o comisiones, la atención de instrucciones, presentar en tiempo y forma las declaraciones de situación patrimonial y de intereses, el cuidado de documentación, la rendición de cuentas sobre el ejercicio de sus funciones, entre otras.</w:t>
      </w:r>
    </w:p>
    <w:p w:rsidR="009365BF" w:rsidRPr="009365BF" w:rsidRDefault="009365BF" w:rsidP="009365BF">
      <w:pPr>
        <w:autoSpaceDE w:val="0"/>
        <w:autoSpaceDN w:val="0"/>
        <w:adjustRightInd w:val="0"/>
        <w:spacing w:before="240" w:after="240" w:line="360" w:lineRule="auto"/>
        <w:jc w:val="both"/>
        <w:rPr>
          <w:rFonts w:ascii="Palatino Linotype" w:eastAsia="Batang" w:hAnsi="Palatino Linotype" w:cs="Arial"/>
          <w:lang w:eastAsia="es-ES"/>
        </w:rPr>
      </w:pPr>
      <w:r w:rsidRPr="009365BF">
        <w:rPr>
          <w:rFonts w:ascii="Palatino Linotype" w:eastAsia="Batang" w:hAnsi="Palatino Linotype" w:cs="Arial"/>
          <w:lang w:eastAsia="es-ES"/>
        </w:rPr>
        <w:t>Como se logra observar, las faltas no graves, son aquellas que cometen los servidores públicos por incumplimiento a sus funciones, o bien, a sus obligaciones y, por lo tanto, las consecuencias recaen directamente en contra, de este, al no haber una afectación a terceros (</w:t>
      </w:r>
      <w:r w:rsidRPr="009365BF">
        <w:rPr>
          <w:rFonts w:ascii="Palatino Linotype" w:eastAsia="Batang" w:hAnsi="Palatino Linotype" w:cs="Arial"/>
          <w:i/>
          <w:lang w:eastAsia="es-ES"/>
        </w:rPr>
        <w:t>personas físicas, morales, instituciones públicas u otros trabajadores</w:t>
      </w:r>
      <w:r w:rsidRPr="009365BF">
        <w:rPr>
          <w:rFonts w:ascii="Palatino Linotype" w:eastAsia="Batang" w:hAnsi="Palatino Linotype" w:cs="Arial"/>
          <w:lang w:eastAsia="es-ES"/>
        </w:rPr>
        <w:t>), ni haber un detrimento en el erario.</w:t>
      </w:r>
    </w:p>
    <w:p w:rsidR="009365BF" w:rsidRPr="009365BF" w:rsidRDefault="009365BF" w:rsidP="009365BF">
      <w:pPr>
        <w:autoSpaceDE w:val="0"/>
        <w:autoSpaceDN w:val="0"/>
        <w:adjustRightInd w:val="0"/>
        <w:spacing w:before="240" w:after="240" w:line="360" w:lineRule="auto"/>
        <w:jc w:val="both"/>
        <w:rPr>
          <w:rFonts w:ascii="Palatino Linotype" w:eastAsia="Batang" w:hAnsi="Palatino Linotype" w:cs="Arial"/>
          <w:lang w:eastAsia="es-ES"/>
        </w:rPr>
      </w:pPr>
      <w:r w:rsidRPr="009365BF">
        <w:rPr>
          <w:rFonts w:ascii="Palatino Linotype" w:eastAsia="Batang" w:hAnsi="Palatino Linotype" w:cs="Arial"/>
          <w:b/>
          <w:lang w:eastAsia="es-ES"/>
        </w:rPr>
        <w:t xml:space="preserve">Así, se puede advertir que dichas faltas, no tienen una trascendencia social, </w:t>
      </w:r>
      <w:r w:rsidRPr="009365BF">
        <w:rPr>
          <w:rFonts w:ascii="Palatino Linotype" w:eastAsia="Batang" w:hAnsi="Palatino Linotype" w:cs="Arial"/>
          <w:lang w:eastAsia="es-ES"/>
        </w:rPr>
        <w:t>pues no existe un daño externo, sino que únicamente le atañe al servidor público en cuestión.</w:t>
      </w:r>
    </w:p>
    <w:p w:rsidR="009365BF" w:rsidRPr="009365BF" w:rsidRDefault="009365BF" w:rsidP="009365BF">
      <w:pPr>
        <w:autoSpaceDE w:val="0"/>
        <w:autoSpaceDN w:val="0"/>
        <w:adjustRightInd w:val="0"/>
        <w:spacing w:before="240" w:after="240" w:line="360" w:lineRule="auto"/>
        <w:jc w:val="both"/>
        <w:rPr>
          <w:rFonts w:ascii="Palatino Linotype" w:hAnsi="Palatino Linotype" w:cs="Arial"/>
          <w:lang w:eastAsia="es-ES"/>
        </w:rPr>
      </w:pPr>
      <w:r w:rsidRPr="009365BF">
        <w:rPr>
          <w:rFonts w:ascii="Palatino Linotype" w:hAnsi="Palatino Linotype" w:cs="Arial"/>
          <w:lang w:eastAsia="es-ES"/>
        </w:rPr>
        <w:t xml:space="preserve">Por lo expuesto, se desprende que dar a conocer el nombre del servidor público de un procedimiento de responsabilidad administrativa no grave, constituye información confidencial que afecta su esfera privada, puesto que podría generar una percepción negativa de este, ocasionando un perjuicio en su </w:t>
      </w:r>
      <w:r w:rsidRPr="009365BF">
        <w:rPr>
          <w:rFonts w:ascii="Palatino Linotype" w:hAnsi="Palatino Linotype" w:cs="Arial"/>
          <w:b/>
          <w:lang w:eastAsia="es-ES"/>
        </w:rPr>
        <w:t>honor, intimidad y buena imagen</w:t>
      </w:r>
      <w:r w:rsidRPr="009365BF">
        <w:rPr>
          <w:rFonts w:ascii="Palatino Linotype" w:hAnsi="Palatino Linotype" w:cs="Arial"/>
          <w:lang w:eastAsia="es-ES"/>
        </w:rPr>
        <w:t>, pues como se precisó la afectación es para el propio servidor público, situación que no afecta a terceros.</w:t>
      </w:r>
    </w:p>
    <w:p w:rsidR="009365BF" w:rsidRPr="009365BF" w:rsidRDefault="009365BF" w:rsidP="009365BF">
      <w:pPr>
        <w:autoSpaceDE w:val="0"/>
        <w:autoSpaceDN w:val="0"/>
        <w:adjustRightInd w:val="0"/>
        <w:spacing w:before="240" w:after="240" w:line="360" w:lineRule="auto"/>
        <w:jc w:val="both"/>
        <w:rPr>
          <w:rFonts w:ascii="Palatino Linotype" w:hAnsi="Palatino Linotype" w:cs="Arial"/>
          <w:lang w:eastAsia="es-ES"/>
        </w:rPr>
      </w:pPr>
      <w:r w:rsidRPr="009365BF">
        <w:rPr>
          <w:rFonts w:ascii="Palatino Linotype" w:hAnsi="Palatino Linotype" w:cs="Arial"/>
          <w:lang w:eastAsia="es-ES"/>
        </w:rPr>
        <w:t xml:space="preserve">Por lo cual, dar a conocer el nombre y cargo del servidor público, así como la sanción  que haya recibido por una falta administrativa no grave, la cual no causa una </w:t>
      </w:r>
      <w:r w:rsidRPr="009365BF">
        <w:rPr>
          <w:rFonts w:ascii="Palatino Linotype" w:hAnsi="Palatino Linotype" w:cs="Arial"/>
          <w:lang w:eastAsia="es-ES"/>
        </w:rPr>
        <w:lastRenderedPageBreak/>
        <w:t xml:space="preserve">afectación a otros, pues como se precisó en párrafos anteriores, se trata de incumplimientos a sus funciones u obligaciones, podría generar un juicio </w:t>
      </w:r>
      <w:r w:rsidRPr="009365BF">
        <w:rPr>
          <w:rFonts w:ascii="Palatino Linotype" w:hAnsi="Palatino Linotype" w:cs="Arial"/>
          <w:i/>
          <w:lang w:eastAsia="es-ES"/>
        </w:rPr>
        <w:t>a priori</w:t>
      </w:r>
      <w:r w:rsidRPr="009365BF">
        <w:rPr>
          <w:rFonts w:ascii="Palatino Linotype" w:hAnsi="Palatino Linotype" w:cs="Arial"/>
          <w:lang w:eastAsia="es-ES"/>
        </w:rPr>
        <w:t xml:space="preserve"> por parte de la sociedad, afectando su prestigio y su buen nombre, pues esto podría causar una mala percepción del servidor público frente a la sociedad, </w:t>
      </w:r>
      <w:r w:rsidRPr="009365BF">
        <w:rPr>
          <w:rFonts w:ascii="Palatino Linotype" w:hAnsi="Palatino Linotype" w:cs="Arial"/>
          <w:b/>
          <w:lang w:eastAsia="es-ES"/>
        </w:rPr>
        <w:t>lo cual daña su vida privada y profesional,</w:t>
      </w:r>
      <w:r w:rsidRPr="009365BF">
        <w:rPr>
          <w:rFonts w:ascii="Palatino Linotype" w:hAnsi="Palatino Linotype" w:cs="Arial"/>
          <w:lang w:eastAsia="es-ES"/>
        </w:rPr>
        <w:t xml:space="preserve"> mismas que forman parte de su intimidad; por lo que se concluye que dicha información, en caso de que existiera, tiene el carácter de confidencial.</w:t>
      </w:r>
    </w:p>
    <w:p w:rsidR="009365BF" w:rsidRPr="009365BF" w:rsidRDefault="009365BF" w:rsidP="009365BF">
      <w:pPr>
        <w:autoSpaceDE w:val="0"/>
        <w:autoSpaceDN w:val="0"/>
        <w:adjustRightInd w:val="0"/>
        <w:spacing w:before="240" w:after="240" w:line="360" w:lineRule="auto"/>
        <w:jc w:val="both"/>
        <w:rPr>
          <w:rFonts w:ascii="Palatino Linotype" w:hAnsi="Palatino Linotype" w:cs="Arial"/>
          <w:lang w:eastAsia="es-ES"/>
        </w:rPr>
      </w:pPr>
      <w:r w:rsidRPr="009365BF">
        <w:rPr>
          <w:rFonts w:ascii="Palatino Linotype" w:hAnsi="Palatino Linotype" w:cs="Arial"/>
          <w:lang w:eastAsia="es-ES"/>
        </w:rPr>
        <w:t xml:space="preserve">Por lo cual, se considera procedente la clasificación, en términos del artículo 143, fracción I, de la Ley de Transparencia y Acceso a la Información Pública del Estado de México y Municipios, </w:t>
      </w:r>
      <w:r w:rsidRPr="009365BF">
        <w:rPr>
          <w:rFonts w:ascii="Palatino Linotype" w:hAnsi="Palatino Linotype" w:cs="Arial"/>
          <w:b/>
          <w:lang w:eastAsia="es-ES"/>
        </w:rPr>
        <w:t>del nombre de los servidores públicos que hayan recibido alguna sanción por falta administrativa no grave</w:t>
      </w:r>
      <w:r w:rsidRPr="009365BF">
        <w:rPr>
          <w:rFonts w:ascii="Palatino Linotype" w:hAnsi="Palatino Linotype" w:cs="Arial"/>
          <w:lang w:eastAsia="es-ES"/>
        </w:rPr>
        <w:t>.</w:t>
      </w:r>
    </w:p>
    <w:p w:rsidR="009365BF" w:rsidRPr="009365BF" w:rsidRDefault="009365BF" w:rsidP="009365BF">
      <w:pPr>
        <w:autoSpaceDE w:val="0"/>
        <w:autoSpaceDN w:val="0"/>
        <w:adjustRightInd w:val="0"/>
        <w:spacing w:before="240" w:after="240" w:line="360" w:lineRule="auto"/>
        <w:jc w:val="both"/>
        <w:rPr>
          <w:rFonts w:ascii="Palatino Linotype" w:eastAsia="Palatino Linotype" w:hAnsi="Palatino Linotype" w:cs="Palatino Linotype"/>
          <w:lang w:eastAsia="es-ES"/>
        </w:rPr>
      </w:pPr>
      <w:r w:rsidRPr="009365BF">
        <w:rPr>
          <w:rFonts w:ascii="Palatino Linotype" w:eastAsia="Palatino Linotype" w:hAnsi="Palatino Linotype" w:cs="Palatino Linotype"/>
          <w:lang w:eastAsia="es-ES"/>
        </w:rPr>
        <w:t>Luego entonces, conforme a los preceptos legales antes citados los procedimientos que derivaron en sanciones administrativas no graves concluidos de manera absolutoria o condenatoria, no serán de acceso público, por lo que procede su entrega en versión pública, clasificando como información confidencial el nombre, cargo, y en su caso la sanción que se hubiese impuesto, para lo cual deberá ser emitido por el Comité de Transparencia del Sujeto Obligado, conforme a lo establecido en el considerando quinto.</w:t>
      </w:r>
    </w:p>
    <w:p w:rsidR="009365BF" w:rsidRPr="009365BF" w:rsidRDefault="009365BF" w:rsidP="009365BF">
      <w:pPr>
        <w:autoSpaceDE w:val="0"/>
        <w:autoSpaceDN w:val="0"/>
        <w:adjustRightInd w:val="0"/>
        <w:spacing w:before="240" w:after="240" w:line="360" w:lineRule="auto"/>
        <w:jc w:val="both"/>
        <w:rPr>
          <w:rFonts w:ascii="Palatino Linotype" w:hAnsi="Palatino Linotype" w:cs="Arial"/>
          <w:lang w:eastAsia="es-ES"/>
        </w:rPr>
      </w:pPr>
      <w:r w:rsidRPr="009365BF">
        <w:rPr>
          <w:rFonts w:ascii="Palatino Linotype" w:eastAsia="Palatino Linotype" w:hAnsi="Palatino Linotype" w:cs="Palatino Linotype"/>
          <w:lang w:eastAsia="es-ES"/>
        </w:rPr>
        <w:t>Para el caso de que durante los años 2019, 2020 y 2021, se hayan emitido acuerdos en procedimientos administrativos por faltas no graves que se encuentren en tramité, los mismos deberán clasificarse como reservados, para lo cual el Sujeto Obligado deberá emitir el Acuerdo de Comité de Transparencia debidamente fundado y motivado, observando las formalidades establecidas en la normatividad aplicable.</w:t>
      </w:r>
    </w:p>
    <w:p w:rsidR="009365BF" w:rsidRPr="009365BF" w:rsidRDefault="009365BF" w:rsidP="009365BF">
      <w:pPr>
        <w:numPr>
          <w:ilvl w:val="0"/>
          <w:numId w:val="15"/>
        </w:numPr>
        <w:spacing w:line="360" w:lineRule="auto"/>
        <w:ind w:left="0" w:right="49" w:hanging="142"/>
        <w:contextualSpacing/>
        <w:jc w:val="both"/>
        <w:rPr>
          <w:rFonts w:ascii="Palatino Linotype" w:eastAsia="Palatino Linotype" w:hAnsi="Palatino Linotype" w:cs="Palatino Linotype"/>
          <w:b/>
          <w:lang w:eastAsia="es-ES"/>
        </w:rPr>
      </w:pPr>
      <w:r w:rsidRPr="009365BF">
        <w:rPr>
          <w:rFonts w:ascii="Palatino Linotype" w:eastAsia="Palatino Linotype" w:hAnsi="Palatino Linotype" w:cs="Palatino Linotype"/>
          <w:b/>
          <w:lang w:eastAsia="es-ES"/>
        </w:rPr>
        <w:lastRenderedPageBreak/>
        <w:t>De los procedimientos sobre faltas administrativas graves que se encuentren en trámite.</w:t>
      </w:r>
    </w:p>
    <w:p w:rsidR="009365BF" w:rsidRPr="009365BF" w:rsidRDefault="009365BF" w:rsidP="009365BF">
      <w:pPr>
        <w:spacing w:line="360" w:lineRule="auto"/>
        <w:ind w:right="49"/>
        <w:jc w:val="both"/>
        <w:rPr>
          <w:rFonts w:ascii="Palatino Linotype" w:eastAsia="Palatino Linotype" w:hAnsi="Palatino Linotype" w:cs="Palatino Linotype"/>
          <w:lang w:eastAsia="es-ES"/>
        </w:rPr>
      </w:pPr>
      <w:r w:rsidRPr="009365BF">
        <w:rPr>
          <w:rFonts w:ascii="Palatino Linotype" w:eastAsia="Palatino Linotype" w:hAnsi="Palatino Linotype" w:cs="Palatino Linotype"/>
          <w:lang w:eastAsia="es-ES"/>
        </w:rPr>
        <w:t>Respecto a los procedimientos sobre faltas administrativas graves que se encuentren en trámite, esto es que no hayan causado estado, se estima que se trata de información que debe ser clasificada como reservada, porque de revelarse la información se atenta contra el principio de presunción de inocencia que debe seguirse en la administración de la justicia, conforme a lo que enseguida se razona.</w:t>
      </w:r>
    </w:p>
    <w:p w:rsidR="009365BF" w:rsidRPr="009365BF" w:rsidRDefault="009365BF" w:rsidP="009365BF">
      <w:pPr>
        <w:spacing w:line="360" w:lineRule="auto"/>
        <w:ind w:right="49"/>
        <w:jc w:val="both"/>
        <w:rPr>
          <w:rFonts w:ascii="Palatino Linotype" w:eastAsia="Palatino Linotype" w:hAnsi="Palatino Linotype" w:cs="Palatino Linotype"/>
          <w:lang w:eastAsia="es-ES"/>
        </w:rPr>
      </w:pPr>
    </w:p>
    <w:p w:rsidR="009365BF" w:rsidRPr="009365BF" w:rsidRDefault="009365BF" w:rsidP="009365BF">
      <w:pPr>
        <w:spacing w:line="360" w:lineRule="auto"/>
        <w:ind w:right="49"/>
        <w:jc w:val="both"/>
        <w:rPr>
          <w:rFonts w:ascii="Palatino Linotype" w:eastAsia="Palatino Linotype" w:hAnsi="Palatino Linotype" w:cs="Palatino Linotype"/>
          <w:lang w:eastAsia="es-ES"/>
        </w:rPr>
      </w:pPr>
      <w:r w:rsidRPr="009365BF">
        <w:rPr>
          <w:rFonts w:ascii="Palatino Linotype" w:eastAsia="Palatino Linotype" w:hAnsi="Palatino Linotype" w:cs="Palatino Linotype"/>
          <w:lang w:eastAsia="es-ES"/>
        </w:rPr>
        <w:t>La Suprema Corte de Justicia de la Nación resolvió en la contradicción de tesis 200/2013 que en los procedimientos de responsabilidad administrativa es aplicable el principio de presunción de inocencia con sus respectivos matices. En la resolución son de interés los siguientes argumentos</w:t>
      </w:r>
      <w:r w:rsidRPr="009365BF">
        <w:rPr>
          <w:rFonts w:ascii="Palatino Linotype" w:eastAsia="Palatino Linotype" w:hAnsi="Palatino Linotype" w:cs="Palatino Linotype"/>
          <w:vertAlign w:val="superscript"/>
          <w:lang w:eastAsia="es-ES"/>
        </w:rPr>
        <w:footnoteReference w:id="1"/>
      </w:r>
      <w:r w:rsidRPr="009365BF">
        <w:rPr>
          <w:rFonts w:ascii="Palatino Linotype" w:eastAsia="Palatino Linotype" w:hAnsi="Palatino Linotype" w:cs="Palatino Linotype"/>
          <w:lang w:eastAsia="es-ES"/>
        </w:rPr>
        <w:t>.</w:t>
      </w:r>
    </w:p>
    <w:p w:rsidR="009365BF" w:rsidRPr="009365BF" w:rsidRDefault="009365BF" w:rsidP="009365BF">
      <w:pPr>
        <w:spacing w:line="360" w:lineRule="auto"/>
        <w:ind w:right="49"/>
        <w:jc w:val="both"/>
        <w:rPr>
          <w:rFonts w:ascii="Palatino Linotype" w:eastAsia="Palatino Linotype" w:hAnsi="Palatino Linotype" w:cs="Palatino Linotype"/>
          <w:lang w:eastAsia="es-ES"/>
        </w:rPr>
      </w:pPr>
    </w:p>
    <w:p w:rsidR="009365BF" w:rsidRPr="009365BF" w:rsidRDefault="009365BF" w:rsidP="009365BF">
      <w:pPr>
        <w:ind w:left="851" w:right="851"/>
        <w:jc w:val="both"/>
        <w:rPr>
          <w:rFonts w:ascii="Palatino Linotype" w:eastAsia="Palatino Linotype" w:hAnsi="Palatino Linotype" w:cs="Palatino Linotype"/>
          <w:i/>
          <w:sz w:val="22"/>
          <w:szCs w:val="22"/>
          <w:lang w:eastAsia="es-ES"/>
        </w:rPr>
      </w:pPr>
      <w:r w:rsidRPr="009365BF">
        <w:rPr>
          <w:rFonts w:ascii="Palatino Linotype" w:eastAsia="Palatino Linotype" w:hAnsi="Palatino Linotype" w:cs="Palatino Linotype"/>
          <w:i/>
          <w:sz w:val="22"/>
          <w:szCs w:val="22"/>
          <w:lang w:eastAsia="es-ES"/>
        </w:rPr>
        <w:t>i. La Constitución Federal reconoce el estado o condición de inocencia de los gobernados, razón por la cual lo protege a través del derecho de toda persona a que se presuma su inocencia, lo que significa que todo hombre debe ser tratado con tal calidad -inocente- hasta en tanto no se demuestre lo contrario.</w:t>
      </w:r>
    </w:p>
    <w:p w:rsidR="009365BF" w:rsidRPr="009365BF" w:rsidRDefault="009365BF" w:rsidP="009365BF">
      <w:pPr>
        <w:ind w:left="851" w:right="851"/>
        <w:jc w:val="both"/>
        <w:rPr>
          <w:rFonts w:ascii="Palatino Linotype" w:eastAsia="Palatino Linotype" w:hAnsi="Palatino Linotype" w:cs="Palatino Linotype"/>
          <w:i/>
          <w:sz w:val="22"/>
          <w:szCs w:val="22"/>
          <w:lang w:eastAsia="es-ES"/>
        </w:rPr>
      </w:pPr>
    </w:p>
    <w:p w:rsidR="009365BF" w:rsidRPr="009365BF" w:rsidRDefault="009365BF" w:rsidP="009365BF">
      <w:pPr>
        <w:ind w:left="851" w:right="851"/>
        <w:jc w:val="both"/>
        <w:rPr>
          <w:rFonts w:ascii="Palatino Linotype" w:eastAsia="Palatino Linotype" w:hAnsi="Palatino Linotype" w:cs="Palatino Linotype"/>
          <w:i/>
          <w:sz w:val="22"/>
          <w:szCs w:val="22"/>
          <w:lang w:eastAsia="es-ES"/>
        </w:rPr>
      </w:pPr>
      <w:r w:rsidRPr="009365BF">
        <w:rPr>
          <w:rFonts w:ascii="Palatino Linotype" w:eastAsia="Palatino Linotype" w:hAnsi="Palatino Linotype" w:cs="Palatino Linotype"/>
          <w:i/>
          <w:sz w:val="22"/>
          <w:szCs w:val="22"/>
          <w:lang w:eastAsia="es-ES"/>
        </w:rPr>
        <w:t>ii. La presunción de inocencia se resguarda en el texto constitucional como derecho fundamental a favor de toda persona, con base en el cual se exige que para toda autoridad y ante el procedimiento al que se le sujete, no se estimen verosímiles los cargos atribuidos al gobernado respecto a la comisión de delitos, salvo decisión contraria emitida por un tribunal, dentro de la observancia del debido proceso.</w:t>
      </w:r>
    </w:p>
    <w:p w:rsidR="009365BF" w:rsidRPr="009365BF" w:rsidRDefault="009365BF" w:rsidP="009365BF">
      <w:pPr>
        <w:ind w:left="851" w:right="851"/>
        <w:jc w:val="both"/>
        <w:rPr>
          <w:rFonts w:ascii="Palatino Linotype" w:eastAsia="Palatino Linotype" w:hAnsi="Palatino Linotype" w:cs="Palatino Linotype"/>
          <w:i/>
          <w:sz w:val="22"/>
          <w:szCs w:val="22"/>
          <w:lang w:eastAsia="es-ES"/>
        </w:rPr>
      </w:pPr>
    </w:p>
    <w:p w:rsidR="009365BF" w:rsidRPr="009365BF" w:rsidRDefault="009365BF" w:rsidP="009365BF">
      <w:pPr>
        <w:ind w:left="851" w:right="851"/>
        <w:jc w:val="both"/>
        <w:rPr>
          <w:rFonts w:ascii="Palatino Linotype" w:eastAsia="Palatino Linotype" w:hAnsi="Palatino Linotype" w:cs="Palatino Linotype"/>
          <w:i/>
          <w:sz w:val="22"/>
          <w:szCs w:val="22"/>
          <w:lang w:eastAsia="es-ES"/>
        </w:rPr>
      </w:pPr>
      <w:r w:rsidRPr="009365BF">
        <w:rPr>
          <w:rFonts w:ascii="Palatino Linotype" w:eastAsia="Palatino Linotype" w:hAnsi="Palatino Linotype" w:cs="Palatino Linotype"/>
          <w:i/>
          <w:sz w:val="22"/>
          <w:szCs w:val="22"/>
          <w:lang w:eastAsia="es-ES"/>
        </w:rPr>
        <w:t>iii. Este principio tendrá eficaz aplicación, sólo cuando el gobernado se enfrente a una acusación, cuyo propósito ha de ser el límite a la potestad represiva del Estado en ejercicio de su derecho punitivo, así se concebirá también a nuestro objeto de estudio como una garantía procesal a favor del imputado, dentro de todo enjuiciamiento o procedimiento del orden administrativo.</w:t>
      </w:r>
    </w:p>
    <w:p w:rsidR="009365BF" w:rsidRPr="009365BF" w:rsidRDefault="009365BF" w:rsidP="009365BF">
      <w:pPr>
        <w:spacing w:line="360" w:lineRule="auto"/>
        <w:ind w:right="49"/>
        <w:jc w:val="both"/>
        <w:rPr>
          <w:rFonts w:ascii="Palatino Linotype" w:eastAsia="Palatino Linotype" w:hAnsi="Palatino Linotype" w:cs="Palatino Linotype"/>
          <w:lang w:eastAsia="es-ES"/>
        </w:rPr>
      </w:pPr>
    </w:p>
    <w:p w:rsidR="009365BF" w:rsidRPr="009365BF" w:rsidRDefault="009365BF" w:rsidP="009365BF">
      <w:pPr>
        <w:spacing w:before="240" w:after="240" w:line="360" w:lineRule="auto"/>
        <w:jc w:val="both"/>
        <w:rPr>
          <w:rFonts w:ascii="Palatino Linotype" w:eastAsia="Palatino Linotype" w:hAnsi="Palatino Linotype" w:cs="Palatino Linotype"/>
          <w:lang w:eastAsia="es-ES"/>
        </w:rPr>
      </w:pPr>
      <w:r w:rsidRPr="009365BF">
        <w:rPr>
          <w:rFonts w:ascii="Palatino Linotype" w:eastAsia="Palatino Linotype" w:hAnsi="Palatino Linotype" w:cs="Palatino Linotype"/>
          <w:lang w:eastAsia="es-ES"/>
        </w:rPr>
        <w:lastRenderedPageBreak/>
        <w:t>Se sigue que, el principio de presunción de inocencia tiene tres significados garantistas que en forma breve pueden enunciarse de la siguiente forma:</w:t>
      </w:r>
    </w:p>
    <w:p w:rsidR="009365BF" w:rsidRPr="009365BF" w:rsidRDefault="009365BF" w:rsidP="009365BF">
      <w:pPr>
        <w:spacing w:before="240" w:after="240" w:line="360" w:lineRule="auto"/>
        <w:jc w:val="both"/>
        <w:rPr>
          <w:rFonts w:ascii="Palatino Linotype" w:eastAsia="Palatino Linotype" w:hAnsi="Palatino Linotype" w:cs="Palatino Linotype"/>
          <w:lang w:eastAsia="es-ES"/>
        </w:rPr>
      </w:pPr>
      <w:r w:rsidRPr="009365BF">
        <w:rPr>
          <w:rFonts w:ascii="Palatino Linotype" w:eastAsia="Palatino Linotype" w:hAnsi="Palatino Linotype" w:cs="Palatino Linotype"/>
          <w:lang w:eastAsia="es-ES"/>
        </w:rPr>
        <w:t>Primero. Como una regla probatoria, que impone la carga de la prueba para quien acusa y, por ende, la absolución en caso de duda.</w:t>
      </w:r>
    </w:p>
    <w:p w:rsidR="009365BF" w:rsidRPr="009365BF" w:rsidRDefault="009365BF" w:rsidP="009365BF">
      <w:pPr>
        <w:spacing w:before="240" w:after="240" w:line="360" w:lineRule="auto"/>
        <w:jc w:val="both"/>
        <w:rPr>
          <w:rFonts w:ascii="Palatino Linotype" w:eastAsia="Palatino Linotype" w:hAnsi="Palatino Linotype" w:cs="Palatino Linotype"/>
          <w:lang w:eastAsia="es-ES"/>
        </w:rPr>
      </w:pPr>
      <w:r w:rsidRPr="009365BF">
        <w:rPr>
          <w:rFonts w:ascii="Palatino Linotype" w:eastAsia="Palatino Linotype" w:hAnsi="Palatino Linotype" w:cs="Palatino Linotype"/>
          <w:lang w:eastAsia="es-ES"/>
        </w:rPr>
        <w:t>Segundo. Como una regla de tratamiento del acusado, que excluye o restringe al máximo la limitación de sus derechos fundamentales, sobre todo los que inciden en su libertad personal, con motivo del proceso que se instaura en su contra.</w:t>
      </w:r>
    </w:p>
    <w:p w:rsidR="009365BF" w:rsidRPr="009365BF" w:rsidRDefault="009365BF" w:rsidP="009365BF">
      <w:pPr>
        <w:spacing w:before="240" w:after="240" w:line="360" w:lineRule="auto"/>
        <w:jc w:val="both"/>
        <w:rPr>
          <w:rFonts w:ascii="Palatino Linotype" w:eastAsia="Palatino Linotype" w:hAnsi="Palatino Linotype" w:cs="Palatino Linotype"/>
          <w:lang w:eastAsia="es-ES"/>
        </w:rPr>
      </w:pPr>
      <w:r w:rsidRPr="009365BF">
        <w:rPr>
          <w:rFonts w:ascii="Palatino Linotype" w:eastAsia="Palatino Linotype" w:hAnsi="Palatino Linotype" w:cs="Palatino Linotype"/>
          <w:lang w:eastAsia="es-ES"/>
        </w:rPr>
        <w:t>Tercero. Como una regla de juicio, que ordena a los jueces la absolución de los inculpados cuando durante el proceso no se aportaron pruebas de cargo suficientes.</w:t>
      </w:r>
    </w:p>
    <w:p w:rsidR="009365BF" w:rsidRPr="009365BF" w:rsidRDefault="009365BF" w:rsidP="009365BF">
      <w:pPr>
        <w:spacing w:before="240" w:after="240" w:line="360" w:lineRule="auto"/>
        <w:jc w:val="both"/>
        <w:rPr>
          <w:rFonts w:ascii="Palatino Linotype" w:eastAsia="Palatino Linotype" w:hAnsi="Palatino Linotype" w:cs="Palatino Linotype"/>
          <w:lang w:eastAsia="es-ES"/>
        </w:rPr>
      </w:pPr>
      <w:r w:rsidRPr="009365BF">
        <w:rPr>
          <w:rFonts w:ascii="Palatino Linotype" w:eastAsia="Palatino Linotype" w:hAnsi="Palatino Linotype" w:cs="Palatino Linotype"/>
          <w:lang w:eastAsia="es-ES"/>
        </w:rPr>
        <w:t>En vista de lo anterior, este Instituto estima que en el derecho disciplinario que se sigue ante el órgano contralor del Municipio a los servidores públicos en los casos que se presenta una denuncia, es aplicable la regla garantista de presunción de inocencia.</w:t>
      </w:r>
    </w:p>
    <w:p w:rsidR="009365BF" w:rsidRPr="009365BF" w:rsidRDefault="009365BF" w:rsidP="009365BF">
      <w:pPr>
        <w:spacing w:before="240" w:after="240" w:line="360" w:lineRule="auto"/>
        <w:jc w:val="both"/>
        <w:rPr>
          <w:rFonts w:ascii="Palatino Linotype" w:eastAsia="Palatino Linotype" w:hAnsi="Palatino Linotype" w:cs="Palatino Linotype"/>
          <w:lang w:eastAsia="es-ES"/>
        </w:rPr>
      </w:pPr>
      <w:r w:rsidRPr="009365BF">
        <w:rPr>
          <w:rFonts w:ascii="Palatino Linotype" w:eastAsia="Palatino Linotype" w:hAnsi="Palatino Linotype" w:cs="Palatino Linotype"/>
          <w:lang w:eastAsia="es-ES"/>
        </w:rPr>
        <w:t>Así, todo servidor público en su carácter de -presunto infractor- tiene el derecho, como regla de tratamiento en el proceso, a que se le trate en carácter de inocente hasta que no se emita una resolución firme.</w:t>
      </w:r>
    </w:p>
    <w:p w:rsidR="009365BF" w:rsidRPr="009365BF" w:rsidRDefault="009365BF" w:rsidP="009365BF">
      <w:pPr>
        <w:spacing w:before="240" w:after="240" w:line="360" w:lineRule="auto"/>
        <w:jc w:val="both"/>
        <w:rPr>
          <w:rFonts w:ascii="Palatino Linotype" w:eastAsia="Palatino Linotype" w:hAnsi="Palatino Linotype" w:cs="Palatino Linotype"/>
          <w:lang w:eastAsia="es-ES"/>
        </w:rPr>
      </w:pPr>
      <w:r w:rsidRPr="009365BF">
        <w:rPr>
          <w:rFonts w:ascii="Palatino Linotype" w:eastAsia="Palatino Linotype" w:hAnsi="Palatino Linotype" w:cs="Palatino Linotype"/>
          <w:lang w:eastAsia="es-ES"/>
        </w:rPr>
        <w:t>La relación que guarda el principio de presunción de inocencia con el derecho de acceso a la información se da en dos variantes: (i) la conservación de información que no vicie las reglas y principios de administración de justicia y (ii) conservar la reputación de las personas que aún no se les ha comprobado con plenitud haber realizado alguna infracción.</w:t>
      </w:r>
    </w:p>
    <w:p w:rsidR="009365BF" w:rsidRPr="009365BF" w:rsidRDefault="009365BF" w:rsidP="009365BF">
      <w:pPr>
        <w:spacing w:before="240" w:after="240" w:line="360" w:lineRule="auto"/>
        <w:jc w:val="both"/>
        <w:rPr>
          <w:rFonts w:ascii="Palatino Linotype" w:eastAsia="Palatino Linotype" w:hAnsi="Palatino Linotype" w:cs="Palatino Linotype"/>
          <w:lang w:eastAsia="es-ES"/>
        </w:rPr>
      </w:pPr>
      <w:r w:rsidRPr="009365BF">
        <w:rPr>
          <w:rFonts w:ascii="Palatino Linotype" w:eastAsia="Palatino Linotype" w:hAnsi="Palatino Linotype" w:cs="Palatino Linotype"/>
          <w:lang w:eastAsia="es-ES"/>
        </w:rPr>
        <w:lastRenderedPageBreak/>
        <w:t>Con más detenimiento, la primera premisa es que de revelarse la información de las personas a quienes se les ha iniciado un procedimiento administrativo y el nombre de aquellos que tienen un procedimiento instaurado y se encuentra pendiente de resolución rompería la regla de tratamiento y de juicio que debe seguirse en la administración de justicia</w:t>
      </w:r>
      <w:r w:rsidRPr="009365BF">
        <w:rPr>
          <w:rFonts w:ascii="Palatino Linotype" w:eastAsia="Palatino Linotype" w:hAnsi="Palatino Linotype" w:cs="Palatino Linotype"/>
          <w:i/>
          <w:vertAlign w:val="superscript"/>
          <w:lang w:eastAsia="es-ES"/>
        </w:rPr>
        <w:footnoteReference w:id="2"/>
      </w:r>
      <w:r w:rsidRPr="009365BF">
        <w:rPr>
          <w:rFonts w:ascii="Palatino Linotype" w:eastAsia="Palatino Linotype" w:hAnsi="Palatino Linotype" w:cs="Palatino Linotype"/>
          <w:lang w:eastAsia="es-ES"/>
        </w:rPr>
        <w:t xml:space="preserve">, es decir, su incidencia tiene implicaciones que pudieran afectar la forma en cómo debe tratarse al servidor público acusado, pues no se ha comprobado en su totalidad que éste incurrió en una infracción, razón por la cual en dichos supuestos se deberá clasificar la información conforme a la causal establecida en el artículo 140, fracción VI de la Ley en la materia, debiendo llevar a cabo el procedimiento establecido en el Considerando siguiente, a fin poner a disposición de la parte recurrente el Acta del Comité de Transparencia que se elabore para tal efecto, debiendo elaborar la prueba de daño correspondiente. </w:t>
      </w:r>
    </w:p>
    <w:p w:rsidR="009365BF" w:rsidRPr="009365BF" w:rsidRDefault="009365BF" w:rsidP="009365BF">
      <w:pPr>
        <w:spacing w:before="240" w:after="240" w:line="360" w:lineRule="auto"/>
        <w:jc w:val="both"/>
        <w:rPr>
          <w:rFonts w:ascii="Palatino Linotype" w:eastAsia="Palatino Linotype" w:hAnsi="Palatino Linotype" w:cs="Palatino Linotype"/>
          <w:lang w:eastAsia="es-ES"/>
        </w:rPr>
      </w:pPr>
    </w:p>
    <w:p w:rsidR="009365BF" w:rsidRPr="009365BF" w:rsidRDefault="009365BF" w:rsidP="009365BF">
      <w:pPr>
        <w:spacing w:before="240" w:after="240"/>
        <w:ind w:left="567" w:right="900"/>
        <w:jc w:val="both"/>
        <w:rPr>
          <w:rFonts w:ascii="Palatino Linotype" w:eastAsia="Palatino Linotype" w:hAnsi="Palatino Linotype" w:cs="Palatino Linotype"/>
          <w:i/>
          <w:sz w:val="22"/>
          <w:lang w:eastAsia="es-ES"/>
        </w:rPr>
      </w:pPr>
      <w:r w:rsidRPr="009365BF">
        <w:rPr>
          <w:rFonts w:ascii="Palatino Linotype" w:eastAsia="Palatino Linotype" w:hAnsi="Palatino Linotype" w:cs="Palatino Linotype"/>
          <w:i/>
          <w:sz w:val="22"/>
          <w:lang w:eastAsia="es-ES"/>
        </w:rPr>
        <w:t>“Artículo 140. El acceso a la información pública será restringido excepcionalmente, cuando por razones de interés público, ésta sea clasificada como reservada, conforme a los criterios siguientes:</w:t>
      </w:r>
    </w:p>
    <w:p w:rsidR="009365BF" w:rsidRPr="009365BF" w:rsidRDefault="009365BF" w:rsidP="009365BF">
      <w:pPr>
        <w:spacing w:before="240" w:after="240"/>
        <w:ind w:left="567" w:right="900"/>
        <w:jc w:val="both"/>
        <w:rPr>
          <w:rFonts w:ascii="Palatino Linotype" w:eastAsia="Palatino Linotype" w:hAnsi="Palatino Linotype" w:cs="Palatino Linotype"/>
          <w:i/>
          <w:sz w:val="22"/>
          <w:lang w:eastAsia="es-ES"/>
        </w:rPr>
      </w:pPr>
      <w:r w:rsidRPr="009365BF">
        <w:rPr>
          <w:rFonts w:ascii="Palatino Linotype" w:eastAsia="Palatino Linotype" w:hAnsi="Palatino Linotype" w:cs="Palatino Linotype"/>
          <w:i/>
          <w:sz w:val="22"/>
          <w:lang w:eastAsia="es-ES"/>
        </w:rPr>
        <w:t>…</w:t>
      </w:r>
    </w:p>
    <w:p w:rsidR="009365BF" w:rsidRPr="009365BF" w:rsidRDefault="009365BF" w:rsidP="009365BF">
      <w:pPr>
        <w:spacing w:before="240" w:after="240"/>
        <w:ind w:left="567" w:right="900"/>
        <w:jc w:val="both"/>
        <w:rPr>
          <w:rFonts w:ascii="Palatino Linotype" w:eastAsia="Palatino Linotype" w:hAnsi="Palatino Linotype" w:cs="Palatino Linotype"/>
          <w:i/>
          <w:sz w:val="22"/>
          <w:lang w:val="es-MX" w:eastAsia="es-ES"/>
        </w:rPr>
      </w:pPr>
      <w:r w:rsidRPr="009365BF">
        <w:rPr>
          <w:rFonts w:ascii="Palatino Linotype" w:eastAsia="Palatino Linotype" w:hAnsi="Palatino Linotype" w:cs="Palatino Linotype"/>
          <w:b/>
          <w:bCs/>
          <w:i/>
          <w:sz w:val="22"/>
          <w:lang w:val="es-MX" w:eastAsia="es-ES"/>
        </w:rPr>
        <w:t xml:space="preserve">VI. </w:t>
      </w:r>
      <w:r w:rsidRPr="009365BF">
        <w:rPr>
          <w:rFonts w:ascii="Palatino Linotype" w:eastAsia="Palatino Linotype" w:hAnsi="Palatino Linotype" w:cs="Palatino Linotype"/>
          <w:i/>
          <w:sz w:val="22"/>
          <w:lang w:val="es-MX" w:eastAsia="es-ES"/>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(Sic) </w:t>
      </w:r>
    </w:p>
    <w:p w:rsidR="009365BF" w:rsidRPr="009365BF" w:rsidRDefault="009365BF" w:rsidP="009365BF">
      <w:pPr>
        <w:spacing w:before="240" w:after="240" w:line="360" w:lineRule="auto"/>
        <w:ind w:right="49"/>
        <w:jc w:val="both"/>
        <w:rPr>
          <w:rFonts w:ascii="Palatino Linotype" w:eastAsia="Palatino Linotype" w:hAnsi="Palatino Linotype" w:cs="Palatino Linotype"/>
          <w:i/>
          <w:sz w:val="22"/>
          <w:lang w:val="es-MX" w:eastAsia="es-ES"/>
        </w:rPr>
      </w:pPr>
      <w:r w:rsidRPr="009365BF">
        <w:rPr>
          <w:rFonts w:ascii="Palatino Linotype" w:eastAsia="Palatino Linotype" w:hAnsi="Palatino Linotype" w:cs="Palatino Linotype"/>
          <w:lang w:eastAsia="es-ES"/>
        </w:rPr>
        <w:lastRenderedPageBreak/>
        <w:t>Del diverso anterior, tenemos que la reserva procede cuando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9365BF" w:rsidRPr="009365BF" w:rsidRDefault="009365BF" w:rsidP="009365BF">
      <w:pPr>
        <w:spacing w:before="240" w:after="240" w:line="360" w:lineRule="auto"/>
        <w:jc w:val="both"/>
        <w:rPr>
          <w:rFonts w:ascii="Palatino Linotype" w:eastAsia="Palatino Linotype" w:hAnsi="Palatino Linotype" w:cs="Palatino Linotype"/>
          <w:lang w:eastAsia="es-ES"/>
        </w:rPr>
      </w:pPr>
      <w:r w:rsidRPr="009365BF">
        <w:rPr>
          <w:rFonts w:ascii="Palatino Linotype" w:eastAsia="Palatino Linotype" w:hAnsi="Palatino Linotype" w:cs="Palatino Linotype"/>
          <w:lang w:eastAsia="es-ES"/>
        </w:rPr>
        <w:t>Por lo que, en estos casos, el nombre y cargo del servidor público denunciado debe ser protegido en un estricto sentido, toda vez que al no existir una determinación que resuelva el procedimiento administrativo, esto es, que siga en trámite, divulgar esta información a terceros puede causar un perjuicio irreparable al servidor público.</w:t>
      </w:r>
    </w:p>
    <w:p w:rsidR="009365BF" w:rsidRPr="009365BF" w:rsidRDefault="009365BF" w:rsidP="009365BF">
      <w:pPr>
        <w:spacing w:before="240" w:after="240" w:line="360" w:lineRule="auto"/>
        <w:jc w:val="both"/>
        <w:rPr>
          <w:rFonts w:ascii="Palatino Linotype" w:eastAsia="Palatino Linotype" w:hAnsi="Palatino Linotype" w:cs="Palatino Linotype"/>
          <w:lang w:eastAsia="es-ES"/>
        </w:rPr>
      </w:pPr>
      <w:r w:rsidRPr="009365BF">
        <w:rPr>
          <w:rFonts w:ascii="Palatino Linotype" w:eastAsia="Palatino Linotype" w:hAnsi="Palatino Linotype" w:cs="Palatino Linotype"/>
          <w:lang w:eastAsia="es-ES"/>
        </w:rPr>
        <w:t>Dichos argumentos, que se formulan por este Órgano Garante se construyen a partir de la correlación que otros derechos tienen con el acceso a la información en tratándose de información sobre procesos y procedimientos que siguen en forma de juicio, los cuales de la óptica de interdependencia de los derechos humanos no pueden ser desconocidos, en el ámbito de la competencia de este Instituto.</w:t>
      </w:r>
    </w:p>
    <w:p w:rsidR="009365BF" w:rsidRPr="009365BF" w:rsidRDefault="009365BF" w:rsidP="009365BF">
      <w:pPr>
        <w:spacing w:before="240" w:after="240" w:line="360" w:lineRule="auto"/>
        <w:jc w:val="both"/>
        <w:rPr>
          <w:rFonts w:ascii="Palatino Linotype" w:eastAsia="Palatino Linotype" w:hAnsi="Palatino Linotype" w:cs="Palatino Linotype"/>
          <w:lang w:eastAsia="es-ES"/>
        </w:rPr>
      </w:pPr>
      <w:r w:rsidRPr="009365BF">
        <w:rPr>
          <w:rFonts w:ascii="Palatino Linotype" w:eastAsia="Palatino Linotype" w:hAnsi="Palatino Linotype" w:cs="Palatino Linotype"/>
          <w:lang w:eastAsia="es-ES"/>
        </w:rPr>
        <w:t>Resulta necesario tomar en cuenta el derecho al buen nombre y a la intimidad porque se considera que, hasta en tanto no exista una resolución firme, la publicación de la información solicitada afectaría la reputación de una persona.</w:t>
      </w:r>
    </w:p>
    <w:p w:rsidR="009365BF" w:rsidRPr="009365BF" w:rsidRDefault="009365BF" w:rsidP="009365BF">
      <w:pPr>
        <w:spacing w:before="240" w:after="240" w:line="360" w:lineRule="auto"/>
        <w:jc w:val="both"/>
        <w:rPr>
          <w:rFonts w:ascii="Palatino Linotype" w:eastAsia="Palatino Linotype" w:hAnsi="Palatino Linotype" w:cs="Palatino Linotype"/>
          <w:lang w:eastAsia="es-ES"/>
        </w:rPr>
      </w:pPr>
      <w:r w:rsidRPr="009365BF">
        <w:rPr>
          <w:rFonts w:ascii="Palatino Linotype" w:eastAsia="Palatino Linotype" w:hAnsi="Palatino Linotype" w:cs="Palatino Linotype"/>
          <w:lang w:eastAsia="es-ES"/>
        </w:rPr>
        <w:t>En el fondo, se considera que se puede atentar contra la honra y el buen nombre de una persona mediante la divulgación de información sobre aquellos servidores públicos a quienes se les ha iniciado un procedimiento administrativo, o bien, se encuentran pendientes de resolución porque podrían orientar el juicio que se tiene de una persona por parte de la sociedad, lo que en efecto constituye una lesión injustificada a la posición del hombre en sociedad.</w:t>
      </w:r>
    </w:p>
    <w:p w:rsidR="009365BF" w:rsidRPr="009365BF" w:rsidRDefault="009365BF" w:rsidP="009365BF">
      <w:pPr>
        <w:spacing w:before="240" w:after="240" w:line="360" w:lineRule="auto"/>
        <w:contextualSpacing/>
        <w:jc w:val="both"/>
        <w:rPr>
          <w:rFonts w:ascii="Palatino Linotype" w:hAnsi="Palatino Linotype"/>
          <w:lang w:eastAsia="es-ES"/>
        </w:rPr>
      </w:pPr>
      <w:r w:rsidRPr="009365BF">
        <w:rPr>
          <w:rFonts w:ascii="Palatino Linotype" w:hAnsi="Palatino Linotype"/>
          <w:lang w:eastAsia="es-ES"/>
        </w:rPr>
        <w:lastRenderedPageBreak/>
        <w:t xml:space="preserve">Así las cosas, es de importante relevancia hacer del conocimiento del Sujeto Obligado que la información con la que cuente respecto de expedientes de procedimientos administrativos que no han causado estado; es decir, que el principio de </w:t>
      </w:r>
      <w:proofErr w:type="spellStart"/>
      <w:r w:rsidRPr="009365BF">
        <w:rPr>
          <w:rFonts w:ascii="Palatino Linotype" w:hAnsi="Palatino Linotype"/>
          <w:lang w:eastAsia="es-ES"/>
        </w:rPr>
        <w:t>definitividad</w:t>
      </w:r>
      <w:proofErr w:type="spellEnd"/>
      <w:r w:rsidRPr="009365BF">
        <w:rPr>
          <w:rFonts w:ascii="Palatino Linotype" w:hAnsi="Palatino Linotype"/>
          <w:lang w:eastAsia="es-ES"/>
        </w:rPr>
        <w:t xml:space="preserve"> no se haya actualizado, por aún existir instancias para su revisión o impugnación o en su caso que no haya causado estado, dicha información reviste el carácter de información reservada y en este caso, se deberá emitir un acuerdo que clasifique como reservado el procedimiento sobre responsabilidad administrativa.</w:t>
      </w:r>
    </w:p>
    <w:p w:rsidR="009365BF" w:rsidRPr="009365BF" w:rsidRDefault="009365BF" w:rsidP="009365BF">
      <w:pPr>
        <w:spacing w:before="240" w:after="240" w:line="360" w:lineRule="auto"/>
        <w:contextualSpacing/>
        <w:jc w:val="both"/>
        <w:rPr>
          <w:rFonts w:ascii="Palatino Linotype" w:hAnsi="Palatino Linotype"/>
          <w:lang w:eastAsia="es-ES"/>
        </w:rPr>
      </w:pPr>
    </w:p>
    <w:p w:rsidR="009365BF" w:rsidRPr="009365BF" w:rsidRDefault="009365BF" w:rsidP="009365BF">
      <w:pPr>
        <w:spacing w:before="240" w:after="240" w:line="360" w:lineRule="auto"/>
        <w:contextualSpacing/>
        <w:jc w:val="both"/>
        <w:rPr>
          <w:rFonts w:ascii="Palatino Linotype" w:hAnsi="Palatino Linotype"/>
          <w:lang w:eastAsia="es-ES"/>
        </w:rPr>
      </w:pPr>
      <w:r w:rsidRPr="009365BF">
        <w:rPr>
          <w:rFonts w:ascii="Palatino Linotype" w:hAnsi="Palatino Linotype"/>
          <w:lang w:eastAsia="es-ES"/>
        </w:rPr>
        <w:t xml:space="preserve">Lo anterior es así, para dar seguridad jurídica al solicitante que por alguna excepción establecida en ley no es posible acceder temporalmente a la información referida anteriormente, para así no dejar en estado de indefensión y exista certeza jurídica de lo expuesto por el Sujeto Obligado. </w:t>
      </w:r>
    </w:p>
    <w:p w:rsidR="009365BF" w:rsidRPr="009365BF" w:rsidRDefault="009365BF" w:rsidP="009365BF">
      <w:pPr>
        <w:spacing w:line="360" w:lineRule="auto"/>
        <w:ind w:right="49"/>
        <w:contextualSpacing/>
        <w:jc w:val="both"/>
        <w:rPr>
          <w:rFonts w:ascii="Palatino Linotype" w:hAnsi="Palatino Linotype"/>
          <w:lang w:eastAsia="es-ES"/>
        </w:rPr>
      </w:pPr>
    </w:p>
    <w:p w:rsidR="009365BF" w:rsidRPr="009365BF" w:rsidRDefault="009365BF" w:rsidP="009365BF">
      <w:pPr>
        <w:ind w:left="851" w:right="822"/>
        <w:contextualSpacing/>
        <w:jc w:val="both"/>
        <w:rPr>
          <w:rFonts w:ascii="Palatino Linotype" w:hAnsi="Palatino Linotype"/>
          <w:i/>
          <w:sz w:val="22"/>
          <w:lang w:eastAsia="es-ES"/>
        </w:rPr>
      </w:pPr>
      <w:r w:rsidRPr="009365BF">
        <w:rPr>
          <w:rFonts w:ascii="Palatino Linotype" w:hAnsi="Palatino Linotype"/>
          <w:i/>
          <w:sz w:val="22"/>
          <w:lang w:eastAsia="es-ES"/>
        </w:rPr>
        <w:t>“Artículo 3. Para los efectos de la presente Ley se entenderá por:</w:t>
      </w:r>
    </w:p>
    <w:p w:rsidR="009365BF" w:rsidRPr="009365BF" w:rsidRDefault="009365BF" w:rsidP="009365BF">
      <w:pPr>
        <w:ind w:left="851" w:right="822"/>
        <w:contextualSpacing/>
        <w:jc w:val="both"/>
        <w:rPr>
          <w:rFonts w:ascii="Palatino Linotype" w:hAnsi="Palatino Linotype"/>
          <w:i/>
          <w:sz w:val="22"/>
          <w:lang w:eastAsia="es-ES"/>
        </w:rPr>
      </w:pPr>
      <w:r w:rsidRPr="009365BF">
        <w:rPr>
          <w:rFonts w:ascii="Palatino Linotype" w:hAnsi="Palatino Linotype"/>
          <w:i/>
          <w:sz w:val="22"/>
          <w:lang w:eastAsia="es-ES"/>
        </w:rPr>
        <w:t>[…]</w:t>
      </w:r>
    </w:p>
    <w:p w:rsidR="009365BF" w:rsidRPr="009365BF" w:rsidRDefault="009365BF" w:rsidP="009365BF">
      <w:pPr>
        <w:ind w:left="851" w:right="822"/>
        <w:contextualSpacing/>
        <w:jc w:val="both"/>
        <w:rPr>
          <w:rFonts w:ascii="Palatino Linotype" w:hAnsi="Palatino Linotype"/>
          <w:i/>
          <w:sz w:val="22"/>
          <w:lang w:eastAsia="es-ES"/>
        </w:rPr>
      </w:pPr>
      <w:r w:rsidRPr="009365BF">
        <w:rPr>
          <w:rFonts w:ascii="Palatino Linotype" w:hAnsi="Palatino Linotype"/>
          <w:b/>
          <w:i/>
          <w:sz w:val="22"/>
          <w:lang w:eastAsia="es-ES"/>
        </w:rPr>
        <w:t xml:space="preserve">XXIV. Información reservada: </w:t>
      </w:r>
      <w:r w:rsidRPr="009365BF">
        <w:rPr>
          <w:rFonts w:ascii="Palatino Linotype" w:hAnsi="Palatino Linotype"/>
          <w:i/>
          <w:sz w:val="22"/>
          <w:lang w:eastAsia="es-ES"/>
        </w:rPr>
        <w:t>La clasificada con este carácter de manera temporal por las disposiciones de esta Ley, cuya divulgación puede causar daño en términos de lo establecido por esta Ley;</w:t>
      </w:r>
    </w:p>
    <w:p w:rsidR="009365BF" w:rsidRPr="009365BF" w:rsidRDefault="009365BF" w:rsidP="009365BF">
      <w:pPr>
        <w:ind w:left="851" w:right="822"/>
        <w:contextualSpacing/>
        <w:jc w:val="both"/>
        <w:rPr>
          <w:rFonts w:ascii="Palatino Linotype" w:hAnsi="Palatino Linotype"/>
          <w:i/>
          <w:sz w:val="22"/>
          <w:lang w:eastAsia="es-ES"/>
        </w:rPr>
      </w:pPr>
      <w:r w:rsidRPr="009365BF">
        <w:rPr>
          <w:rFonts w:ascii="Palatino Linotype" w:hAnsi="Palatino Linotype"/>
          <w:i/>
          <w:sz w:val="22"/>
          <w:lang w:eastAsia="es-ES"/>
        </w:rPr>
        <w:t xml:space="preserve">Artículo 122. </w:t>
      </w:r>
      <w:r w:rsidRPr="009365BF">
        <w:rPr>
          <w:rFonts w:ascii="Palatino Linotype" w:hAnsi="Palatino Linotype"/>
          <w:b/>
          <w:i/>
          <w:sz w:val="22"/>
          <w:lang w:eastAsia="es-ES"/>
        </w:rPr>
        <w:t xml:space="preserve">La clasificación es el proceso mediante el cual el Sujeto Obligado determina que la información en su poder </w:t>
      </w:r>
      <w:proofErr w:type="spellStart"/>
      <w:r w:rsidRPr="009365BF">
        <w:rPr>
          <w:rFonts w:ascii="Palatino Linotype" w:hAnsi="Palatino Linotype"/>
          <w:b/>
          <w:i/>
          <w:sz w:val="22"/>
          <w:lang w:eastAsia="es-ES"/>
        </w:rPr>
        <w:t>actualiza</w:t>
      </w:r>
      <w:proofErr w:type="spellEnd"/>
      <w:r w:rsidRPr="009365BF">
        <w:rPr>
          <w:rFonts w:ascii="Palatino Linotype" w:hAnsi="Palatino Linotype"/>
          <w:b/>
          <w:i/>
          <w:sz w:val="22"/>
          <w:lang w:eastAsia="es-ES"/>
        </w:rPr>
        <w:t xml:space="preserve"> alguno de los supuestos de reserva</w:t>
      </w:r>
      <w:r w:rsidRPr="009365BF">
        <w:rPr>
          <w:rFonts w:ascii="Palatino Linotype" w:hAnsi="Palatino Linotype"/>
          <w:i/>
          <w:sz w:val="22"/>
          <w:lang w:eastAsia="es-ES"/>
        </w:rPr>
        <w:t xml:space="preserve"> o confidencialidad, de conformidad con lo dispuesto en el presente título.</w:t>
      </w:r>
    </w:p>
    <w:p w:rsidR="009365BF" w:rsidRPr="009365BF" w:rsidRDefault="009365BF" w:rsidP="009365BF">
      <w:pPr>
        <w:ind w:left="851" w:right="822"/>
        <w:contextualSpacing/>
        <w:jc w:val="both"/>
        <w:rPr>
          <w:rFonts w:ascii="Palatino Linotype" w:hAnsi="Palatino Linotype"/>
          <w:i/>
          <w:sz w:val="22"/>
          <w:lang w:eastAsia="es-ES"/>
        </w:rPr>
      </w:pPr>
    </w:p>
    <w:p w:rsidR="009365BF" w:rsidRPr="009365BF" w:rsidRDefault="009365BF" w:rsidP="009365BF">
      <w:pPr>
        <w:ind w:left="851" w:right="822"/>
        <w:contextualSpacing/>
        <w:jc w:val="both"/>
        <w:rPr>
          <w:rFonts w:ascii="Palatino Linotype" w:hAnsi="Palatino Linotype"/>
          <w:i/>
          <w:sz w:val="22"/>
          <w:lang w:eastAsia="es-ES"/>
        </w:rPr>
      </w:pPr>
      <w:r w:rsidRPr="009365BF">
        <w:rPr>
          <w:rFonts w:ascii="Palatino Linotype" w:hAnsi="Palatino Linotype"/>
          <w:i/>
          <w:sz w:val="22"/>
          <w:lang w:eastAsia="es-ES"/>
        </w:rPr>
        <w:t>Los supuestos de reserva o confidencialidad previstos en las leyes deberán ser acordes con las bases, principios y disposiciones establecidos en la Ley General y, en ningún caso, podrán contravenirla.</w:t>
      </w:r>
    </w:p>
    <w:p w:rsidR="009365BF" w:rsidRPr="009365BF" w:rsidRDefault="009365BF" w:rsidP="009365BF">
      <w:pPr>
        <w:ind w:left="851" w:right="822"/>
        <w:contextualSpacing/>
        <w:jc w:val="both"/>
        <w:rPr>
          <w:rFonts w:ascii="Palatino Linotype" w:hAnsi="Palatino Linotype"/>
          <w:i/>
          <w:sz w:val="22"/>
          <w:lang w:eastAsia="es-ES"/>
        </w:rPr>
      </w:pPr>
    </w:p>
    <w:p w:rsidR="009365BF" w:rsidRPr="009365BF" w:rsidRDefault="009365BF" w:rsidP="009365BF">
      <w:pPr>
        <w:ind w:left="851" w:right="822"/>
        <w:contextualSpacing/>
        <w:jc w:val="both"/>
        <w:rPr>
          <w:rFonts w:ascii="Palatino Linotype" w:hAnsi="Palatino Linotype"/>
          <w:i/>
          <w:sz w:val="22"/>
          <w:lang w:eastAsia="es-ES"/>
        </w:rPr>
      </w:pPr>
      <w:r w:rsidRPr="009365BF">
        <w:rPr>
          <w:rFonts w:ascii="Palatino Linotype" w:hAnsi="Palatino Linotype"/>
          <w:i/>
          <w:sz w:val="22"/>
          <w:lang w:eastAsia="es-ES"/>
        </w:rPr>
        <w:t>Los titulares de las áreas de los sujetos obligados serán los responsables de clasificar la información, de conformidad con lo dispuesto en la presente Ley y demás disposiciones jurídicas aplicables.</w:t>
      </w:r>
    </w:p>
    <w:p w:rsidR="009365BF" w:rsidRPr="009365BF" w:rsidRDefault="009365BF" w:rsidP="009365BF">
      <w:pPr>
        <w:ind w:left="851" w:right="822"/>
        <w:contextualSpacing/>
        <w:jc w:val="both"/>
        <w:rPr>
          <w:rFonts w:ascii="Palatino Linotype" w:hAnsi="Palatino Linotype"/>
          <w:b/>
          <w:i/>
          <w:sz w:val="22"/>
          <w:lang w:eastAsia="es-ES"/>
        </w:rPr>
      </w:pPr>
    </w:p>
    <w:p w:rsidR="009365BF" w:rsidRPr="009365BF" w:rsidRDefault="009365BF" w:rsidP="009365BF">
      <w:pPr>
        <w:ind w:left="851" w:right="822"/>
        <w:contextualSpacing/>
        <w:jc w:val="both"/>
        <w:rPr>
          <w:rFonts w:ascii="Palatino Linotype" w:hAnsi="Palatino Linotype"/>
          <w:i/>
          <w:sz w:val="22"/>
          <w:lang w:eastAsia="es-ES"/>
        </w:rPr>
      </w:pPr>
      <w:r w:rsidRPr="009365BF">
        <w:rPr>
          <w:rFonts w:ascii="Palatino Linotype" w:hAnsi="Palatino Linotype"/>
          <w:b/>
          <w:i/>
          <w:sz w:val="22"/>
          <w:lang w:eastAsia="es-ES"/>
        </w:rPr>
        <w:lastRenderedPageBreak/>
        <w:t xml:space="preserve">Artículo 125. La información clasificada como reservada, de acuerdo a lo establecido en esta Ley podrá permanecer con tal carácter hasta por un periodo de cinco años, </w:t>
      </w:r>
      <w:r w:rsidRPr="009365BF">
        <w:rPr>
          <w:rFonts w:ascii="Palatino Linotype" w:hAnsi="Palatino Linotype"/>
          <w:i/>
          <w:sz w:val="22"/>
          <w:lang w:eastAsia="es-ES"/>
        </w:rPr>
        <w:t>contados a partir de su clasificación, salvo que antes del cumplimiento del periodo de restricción, dejaran de existir los motivos de su reserva.</w:t>
      </w:r>
    </w:p>
    <w:p w:rsidR="009365BF" w:rsidRPr="009365BF" w:rsidRDefault="009365BF" w:rsidP="009365BF">
      <w:pPr>
        <w:ind w:left="851" w:right="822"/>
        <w:contextualSpacing/>
        <w:jc w:val="both"/>
        <w:rPr>
          <w:rFonts w:ascii="Palatino Linotype" w:hAnsi="Palatino Linotype"/>
          <w:i/>
          <w:sz w:val="22"/>
          <w:lang w:eastAsia="es-ES"/>
        </w:rPr>
      </w:pPr>
    </w:p>
    <w:p w:rsidR="009365BF" w:rsidRPr="009365BF" w:rsidRDefault="009365BF" w:rsidP="009365BF">
      <w:pPr>
        <w:ind w:left="851" w:right="822"/>
        <w:contextualSpacing/>
        <w:jc w:val="both"/>
        <w:rPr>
          <w:rFonts w:ascii="Palatino Linotype" w:hAnsi="Palatino Linotype"/>
          <w:i/>
          <w:sz w:val="22"/>
          <w:lang w:eastAsia="es-ES"/>
        </w:rPr>
      </w:pPr>
      <w:r w:rsidRPr="009365BF">
        <w:rPr>
          <w:rFonts w:ascii="Palatino Linotype" w:hAnsi="Palatino Linotype"/>
          <w:i/>
          <w:sz w:val="22"/>
          <w:lang w:eastAsia="es-ES"/>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9365BF" w:rsidRPr="009365BF" w:rsidRDefault="009365BF" w:rsidP="009365BF">
      <w:pPr>
        <w:ind w:left="851" w:right="822"/>
        <w:contextualSpacing/>
        <w:jc w:val="both"/>
        <w:rPr>
          <w:rFonts w:ascii="Palatino Linotype" w:hAnsi="Palatino Linotype"/>
          <w:i/>
          <w:sz w:val="22"/>
          <w:lang w:eastAsia="es-ES"/>
        </w:rPr>
      </w:pPr>
    </w:p>
    <w:p w:rsidR="009365BF" w:rsidRPr="009365BF" w:rsidRDefault="009365BF" w:rsidP="009365BF">
      <w:pPr>
        <w:ind w:left="851" w:right="822"/>
        <w:contextualSpacing/>
        <w:jc w:val="both"/>
        <w:rPr>
          <w:rFonts w:ascii="Palatino Linotype" w:hAnsi="Palatino Linotype"/>
          <w:i/>
          <w:sz w:val="22"/>
          <w:lang w:eastAsia="es-ES"/>
        </w:rPr>
      </w:pPr>
      <w:r w:rsidRPr="009365BF">
        <w:rPr>
          <w:rFonts w:ascii="Palatino Linotype" w:hAnsi="Palatino Linotype"/>
          <w:i/>
          <w:sz w:val="22"/>
          <w:lang w:eastAsia="es-ES"/>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rsidR="009365BF" w:rsidRPr="009365BF" w:rsidRDefault="009365BF" w:rsidP="009365BF">
      <w:pPr>
        <w:ind w:left="851" w:right="822"/>
        <w:contextualSpacing/>
        <w:jc w:val="both"/>
        <w:rPr>
          <w:rFonts w:ascii="Palatino Linotype" w:hAnsi="Palatino Linotype"/>
          <w:i/>
          <w:sz w:val="22"/>
          <w:lang w:eastAsia="es-ES"/>
        </w:rPr>
      </w:pPr>
    </w:p>
    <w:p w:rsidR="009365BF" w:rsidRPr="009365BF" w:rsidRDefault="009365BF" w:rsidP="009365BF">
      <w:pPr>
        <w:ind w:left="851" w:right="822"/>
        <w:contextualSpacing/>
        <w:jc w:val="both"/>
        <w:rPr>
          <w:rFonts w:ascii="Palatino Linotype" w:hAnsi="Palatino Linotype"/>
          <w:i/>
          <w:sz w:val="22"/>
          <w:lang w:eastAsia="es-ES"/>
        </w:rPr>
      </w:pPr>
      <w:r w:rsidRPr="009365BF">
        <w:rPr>
          <w:rFonts w:ascii="Palatino Linotype" w:hAnsi="Palatino Linotype"/>
          <w:i/>
          <w:sz w:val="22"/>
          <w:lang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w:t>
      </w:r>
    </w:p>
    <w:p w:rsidR="009365BF" w:rsidRPr="009365BF" w:rsidRDefault="009365BF" w:rsidP="009365BF">
      <w:pPr>
        <w:ind w:left="851" w:right="822"/>
        <w:contextualSpacing/>
        <w:jc w:val="both"/>
        <w:rPr>
          <w:rFonts w:ascii="Palatino Linotype" w:hAnsi="Palatino Linotype"/>
          <w:b/>
          <w:i/>
          <w:sz w:val="22"/>
          <w:lang w:eastAsia="es-ES"/>
        </w:rPr>
      </w:pPr>
      <w:r w:rsidRPr="009365BF">
        <w:rPr>
          <w:rFonts w:ascii="Palatino Linotype" w:hAnsi="Palatino Linotype"/>
          <w:b/>
          <w:i/>
          <w:sz w:val="22"/>
          <w:lang w:eastAsia="es-ES"/>
        </w:rPr>
        <w:t>…</w:t>
      </w:r>
    </w:p>
    <w:p w:rsidR="009365BF" w:rsidRPr="009365BF" w:rsidRDefault="009365BF" w:rsidP="009365BF">
      <w:pPr>
        <w:ind w:left="851" w:right="822"/>
        <w:contextualSpacing/>
        <w:jc w:val="both"/>
        <w:rPr>
          <w:rFonts w:ascii="Palatino Linotype" w:hAnsi="Palatino Linotype"/>
          <w:b/>
          <w:i/>
          <w:sz w:val="22"/>
          <w:lang w:eastAsia="es-ES"/>
        </w:rPr>
      </w:pPr>
      <w:r w:rsidRPr="009365BF">
        <w:rPr>
          <w:rFonts w:ascii="Palatino Linotype" w:hAnsi="Palatino Linotype"/>
          <w:b/>
          <w:i/>
          <w:sz w:val="22"/>
          <w:lang w:eastAsia="es-ES"/>
        </w:rPr>
        <w:t xml:space="preserve">Artículo 128. En los casos en que se niegue el acceso a la información, por actualizarse alguno de los supuestos de clasificación, el Comité de Transparencia deberá confirmar, modificar o revocar la decisión. </w:t>
      </w:r>
    </w:p>
    <w:p w:rsidR="009365BF" w:rsidRPr="009365BF" w:rsidRDefault="009365BF" w:rsidP="009365BF">
      <w:pPr>
        <w:ind w:left="851" w:right="822"/>
        <w:contextualSpacing/>
        <w:jc w:val="both"/>
        <w:rPr>
          <w:rFonts w:ascii="Palatino Linotype" w:hAnsi="Palatino Linotype"/>
          <w:b/>
          <w:i/>
          <w:sz w:val="22"/>
          <w:lang w:eastAsia="es-ES"/>
        </w:rPr>
      </w:pPr>
      <w:r w:rsidRPr="009365BF">
        <w:rPr>
          <w:rFonts w:ascii="Palatino Linotype" w:hAnsi="Palatino Linotype"/>
          <w:i/>
          <w:sz w:val="22"/>
          <w:lang w:eastAsia="es-ES"/>
        </w:rPr>
        <w:t xml:space="preserve">Para motivar la clasificación de la información y la ampliación del plazo de reserva, </w:t>
      </w:r>
      <w:r w:rsidRPr="009365BF">
        <w:rPr>
          <w:rFonts w:ascii="Palatino Linotype" w:hAnsi="Palatino Linotype"/>
          <w:b/>
          <w:i/>
          <w:sz w:val="22"/>
          <w:lang w:eastAsia="es-ES"/>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rsidR="009365BF" w:rsidRPr="009365BF" w:rsidRDefault="009365BF" w:rsidP="009365BF">
      <w:pPr>
        <w:ind w:left="851" w:right="822"/>
        <w:contextualSpacing/>
        <w:jc w:val="both"/>
        <w:rPr>
          <w:rFonts w:ascii="Palatino Linotype" w:hAnsi="Palatino Linotype"/>
          <w:i/>
          <w:sz w:val="22"/>
          <w:lang w:eastAsia="es-ES"/>
        </w:rPr>
      </w:pPr>
      <w:r w:rsidRPr="009365BF">
        <w:rPr>
          <w:rFonts w:ascii="Palatino Linotype" w:hAnsi="Palatino Linotype"/>
          <w:i/>
          <w:sz w:val="22"/>
          <w:lang w:eastAsia="es-ES"/>
        </w:rPr>
        <w:t>Tratándose de aquélla información que actualice los supuestos de clasificación, deberá señalarse el plazo al que estará sujeto la reserva.</w:t>
      </w:r>
    </w:p>
    <w:p w:rsidR="009365BF" w:rsidRPr="009365BF" w:rsidRDefault="009365BF" w:rsidP="009365BF">
      <w:pPr>
        <w:ind w:left="851" w:right="822"/>
        <w:contextualSpacing/>
        <w:jc w:val="both"/>
        <w:rPr>
          <w:rFonts w:ascii="Palatino Linotype" w:hAnsi="Palatino Linotype"/>
          <w:i/>
          <w:sz w:val="22"/>
          <w:lang w:eastAsia="es-ES"/>
        </w:rPr>
      </w:pPr>
    </w:p>
    <w:p w:rsidR="009365BF" w:rsidRPr="009365BF" w:rsidRDefault="009365BF" w:rsidP="009365BF">
      <w:pPr>
        <w:ind w:left="851" w:right="822"/>
        <w:contextualSpacing/>
        <w:jc w:val="both"/>
        <w:rPr>
          <w:rFonts w:ascii="Palatino Linotype" w:hAnsi="Palatino Linotype"/>
          <w:b/>
          <w:i/>
          <w:sz w:val="22"/>
          <w:u w:val="single"/>
          <w:lang w:eastAsia="es-ES"/>
        </w:rPr>
      </w:pPr>
      <w:r w:rsidRPr="009365BF">
        <w:rPr>
          <w:rFonts w:ascii="Palatino Linotype" w:hAnsi="Palatino Linotype"/>
          <w:i/>
          <w:sz w:val="22"/>
          <w:lang w:eastAsia="es-ES"/>
        </w:rPr>
        <w:t xml:space="preserve">Artículo 129. </w:t>
      </w:r>
      <w:r w:rsidRPr="009365BF">
        <w:rPr>
          <w:rFonts w:ascii="Palatino Linotype" w:hAnsi="Palatino Linotype"/>
          <w:b/>
          <w:i/>
          <w:sz w:val="22"/>
          <w:lang w:eastAsia="es-ES"/>
        </w:rPr>
        <w:t>En la aplicación de la prueba de daño, el Sujeto Obligado deberá precisar las razones objetivas por las que la apertura de la información generaría una afectación, justificando que:</w:t>
      </w:r>
    </w:p>
    <w:p w:rsidR="009365BF" w:rsidRPr="009365BF" w:rsidRDefault="009365BF" w:rsidP="009365BF">
      <w:pPr>
        <w:ind w:left="851" w:right="822"/>
        <w:contextualSpacing/>
        <w:jc w:val="both"/>
        <w:rPr>
          <w:rFonts w:ascii="Palatino Linotype" w:hAnsi="Palatino Linotype"/>
          <w:b/>
          <w:i/>
          <w:sz w:val="22"/>
          <w:lang w:eastAsia="es-ES"/>
        </w:rPr>
      </w:pPr>
      <w:r w:rsidRPr="009365BF">
        <w:rPr>
          <w:rFonts w:ascii="Palatino Linotype" w:hAnsi="Palatino Linotype"/>
          <w:b/>
          <w:i/>
          <w:sz w:val="22"/>
          <w:lang w:eastAsia="es-ES"/>
        </w:rPr>
        <w:t>I. La divulgación de la información representa un riesgo real, demostrable e identificable del perjuicio significativo al interés público o a la seguridad pública;</w:t>
      </w:r>
    </w:p>
    <w:p w:rsidR="009365BF" w:rsidRPr="009365BF" w:rsidRDefault="009365BF" w:rsidP="009365BF">
      <w:pPr>
        <w:ind w:left="851" w:right="822"/>
        <w:contextualSpacing/>
        <w:jc w:val="both"/>
        <w:rPr>
          <w:rFonts w:ascii="Palatino Linotype" w:hAnsi="Palatino Linotype"/>
          <w:b/>
          <w:i/>
          <w:sz w:val="22"/>
          <w:lang w:eastAsia="es-ES"/>
        </w:rPr>
      </w:pPr>
      <w:r w:rsidRPr="009365BF">
        <w:rPr>
          <w:rFonts w:ascii="Palatino Linotype" w:hAnsi="Palatino Linotype"/>
          <w:b/>
          <w:i/>
          <w:sz w:val="22"/>
          <w:lang w:eastAsia="es-ES"/>
        </w:rPr>
        <w:lastRenderedPageBreak/>
        <w:t>II. El riesgo de perjuicio que supondría la divulgación supera el interés público general de que se difunda; y</w:t>
      </w:r>
    </w:p>
    <w:p w:rsidR="009365BF" w:rsidRPr="009365BF" w:rsidRDefault="009365BF" w:rsidP="009365BF">
      <w:pPr>
        <w:ind w:left="851" w:right="822"/>
        <w:contextualSpacing/>
        <w:jc w:val="both"/>
        <w:rPr>
          <w:rFonts w:ascii="Palatino Linotype" w:hAnsi="Palatino Linotype"/>
          <w:b/>
          <w:i/>
          <w:sz w:val="22"/>
          <w:lang w:eastAsia="es-ES"/>
        </w:rPr>
      </w:pPr>
      <w:r w:rsidRPr="009365BF">
        <w:rPr>
          <w:rFonts w:ascii="Palatino Linotype" w:hAnsi="Palatino Linotype"/>
          <w:b/>
          <w:i/>
          <w:sz w:val="22"/>
          <w:lang w:eastAsia="es-ES"/>
        </w:rPr>
        <w:t>III. La limitación se adecua al principio de proporcionalidad y representa el medio menos restrictivo disponible representa el medio menos restrictivo disponible para evitar el perjuicio.</w:t>
      </w:r>
    </w:p>
    <w:p w:rsidR="009365BF" w:rsidRPr="009365BF" w:rsidRDefault="009365BF" w:rsidP="009365BF">
      <w:pPr>
        <w:ind w:left="851" w:right="822"/>
        <w:contextualSpacing/>
        <w:jc w:val="both"/>
        <w:rPr>
          <w:rFonts w:ascii="Palatino Linotype" w:hAnsi="Palatino Linotype"/>
          <w:b/>
          <w:i/>
          <w:sz w:val="22"/>
          <w:u w:val="single"/>
          <w:lang w:eastAsia="es-ES"/>
        </w:rPr>
      </w:pPr>
    </w:p>
    <w:p w:rsidR="009365BF" w:rsidRPr="009365BF" w:rsidRDefault="009365BF" w:rsidP="009365BF">
      <w:pPr>
        <w:ind w:left="851" w:right="822"/>
        <w:contextualSpacing/>
        <w:jc w:val="both"/>
        <w:rPr>
          <w:rFonts w:ascii="Palatino Linotype" w:hAnsi="Palatino Linotype"/>
          <w:i/>
          <w:sz w:val="22"/>
          <w:lang w:eastAsia="es-ES"/>
        </w:rPr>
      </w:pPr>
      <w:r w:rsidRPr="009365BF">
        <w:rPr>
          <w:rFonts w:ascii="Palatino Linotype" w:hAnsi="Palatino Linotype"/>
          <w:b/>
          <w:i/>
          <w:sz w:val="22"/>
          <w:u w:val="single"/>
          <w:lang w:eastAsia="es-ES"/>
        </w:rPr>
        <w:t>Artículo 130. Los sujetos obligados deberán aplicar, de manera restrictiva y limitada, las excepciones al derecho de acceso a la información y sólo podrán invocarlas cuando acrediten su procedencia</w:t>
      </w:r>
      <w:r w:rsidRPr="009365BF">
        <w:rPr>
          <w:rFonts w:ascii="Palatino Linotype" w:hAnsi="Palatino Linotype"/>
          <w:i/>
          <w:sz w:val="22"/>
          <w:lang w:eastAsia="es-ES"/>
        </w:rPr>
        <w:t>, sin ampliar las excepciones o supuestos de reserva o confidencialidad previstos en la Ley General y la presente Ley, aduciendo analogía o mayoría de razón.</w:t>
      </w:r>
    </w:p>
    <w:p w:rsidR="009365BF" w:rsidRPr="009365BF" w:rsidRDefault="009365BF" w:rsidP="009365BF">
      <w:pPr>
        <w:ind w:left="851" w:right="822"/>
        <w:contextualSpacing/>
        <w:jc w:val="both"/>
        <w:rPr>
          <w:rFonts w:ascii="Palatino Linotype" w:hAnsi="Palatino Linotype"/>
          <w:b/>
          <w:i/>
          <w:sz w:val="22"/>
          <w:lang w:eastAsia="es-ES"/>
        </w:rPr>
      </w:pPr>
    </w:p>
    <w:p w:rsidR="009365BF" w:rsidRPr="009365BF" w:rsidRDefault="009365BF" w:rsidP="009365BF">
      <w:pPr>
        <w:ind w:left="851" w:right="822"/>
        <w:contextualSpacing/>
        <w:jc w:val="both"/>
        <w:rPr>
          <w:rFonts w:ascii="Palatino Linotype" w:hAnsi="Palatino Linotype"/>
          <w:b/>
          <w:i/>
          <w:sz w:val="22"/>
          <w:lang w:eastAsia="es-ES"/>
        </w:rPr>
      </w:pPr>
      <w:r w:rsidRPr="009365BF">
        <w:rPr>
          <w:rFonts w:ascii="Palatino Linotype" w:hAnsi="Palatino Linotype"/>
          <w:b/>
          <w:i/>
          <w:sz w:val="22"/>
          <w:lang w:eastAsia="es-ES"/>
        </w:rPr>
        <w:t>Artículo 140. El acceso a la información pública será restringido excepcionalmente, cuando por razones de interés público, ésta sea clasificada como reservada, conforme a los criterios siguientes:</w:t>
      </w:r>
    </w:p>
    <w:p w:rsidR="009365BF" w:rsidRPr="009365BF" w:rsidRDefault="009365BF" w:rsidP="009365BF">
      <w:pPr>
        <w:ind w:left="851" w:right="822"/>
        <w:contextualSpacing/>
        <w:jc w:val="both"/>
        <w:rPr>
          <w:rFonts w:ascii="Palatino Linotype" w:hAnsi="Palatino Linotype"/>
          <w:i/>
          <w:sz w:val="22"/>
          <w:lang w:eastAsia="es-ES"/>
        </w:rPr>
      </w:pPr>
      <w:r w:rsidRPr="009365BF">
        <w:rPr>
          <w:rFonts w:ascii="Palatino Linotype" w:hAnsi="Palatino Linotype"/>
          <w:i/>
          <w:sz w:val="22"/>
          <w:lang w:eastAsia="es-ES"/>
        </w:rPr>
        <w:t>[…]</w:t>
      </w:r>
    </w:p>
    <w:p w:rsidR="009365BF" w:rsidRPr="009365BF" w:rsidRDefault="009365BF" w:rsidP="009365BF">
      <w:pPr>
        <w:ind w:left="851" w:right="822"/>
        <w:contextualSpacing/>
        <w:jc w:val="both"/>
        <w:rPr>
          <w:rFonts w:ascii="Palatino Linotype" w:hAnsi="Palatino Linotype"/>
          <w:i/>
          <w:sz w:val="22"/>
          <w:lang w:eastAsia="es-ES"/>
        </w:rPr>
      </w:pPr>
      <w:r w:rsidRPr="009365BF">
        <w:rPr>
          <w:rFonts w:ascii="Palatino Linotype" w:hAnsi="Palatino Linotype"/>
          <w:b/>
          <w:i/>
          <w:sz w:val="22"/>
          <w:lang w:eastAsia="es-ES"/>
        </w:rPr>
        <w:t>VI.</w:t>
      </w:r>
      <w:r w:rsidRPr="009365BF">
        <w:rPr>
          <w:rFonts w:ascii="Palatino Linotype" w:hAnsi="Palatino Linotype"/>
          <w:i/>
          <w:sz w:val="22"/>
          <w:lang w:eastAsia="es-ES"/>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(Sic)</w:t>
      </w:r>
    </w:p>
    <w:p w:rsidR="009365BF" w:rsidRPr="009365BF" w:rsidRDefault="009365BF" w:rsidP="009365BF">
      <w:pPr>
        <w:spacing w:line="360" w:lineRule="auto"/>
        <w:ind w:right="49"/>
        <w:contextualSpacing/>
        <w:jc w:val="both"/>
        <w:rPr>
          <w:rFonts w:ascii="Palatino Linotype" w:hAnsi="Palatino Linotype"/>
          <w:i/>
          <w:lang w:eastAsia="es-ES"/>
        </w:rPr>
      </w:pPr>
    </w:p>
    <w:p w:rsidR="009365BF" w:rsidRPr="009365BF" w:rsidRDefault="009365BF" w:rsidP="009365BF">
      <w:pPr>
        <w:spacing w:line="360" w:lineRule="auto"/>
        <w:ind w:right="49"/>
        <w:contextualSpacing/>
        <w:jc w:val="both"/>
        <w:rPr>
          <w:rFonts w:ascii="Palatino Linotype" w:hAnsi="Palatino Linotype"/>
          <w:lang w:eastAsia="es-ES"/>
        </w:rPr>
      </w:pPr>
      <w:r w:rsidRPr="009365BF">
        <w:rPr>
          <w:rFonts w:ascii="Palatino Linotype" w:hAnsi="Palatino Linotype"/>
          <w:lang w:eastAsia="es-ES"/>
        </w:rPr>
        <w:t xml:space="preserve">De la interpretación sistemática de los artículos citados, se advierte que el Sujeto Obligado debe realizar la debida reserva de la información por seguir en trámite el procedimiento aludido y de aquellas que no son graves, siguiendo los requisitos expuestos: </w:t>
      </w:r>
    </w:p>
    <w:p w:rsidR="009365BF" w:rsidRPr="009365BF" w:rsidRDefault="009365BF" w:rsidP="009365BF">
      <w:pPr>
        <w:spacing w:line="360" w:lineRule="auto"/>
        <w:ind w:right="49"/>
        <w:contextualSpacing/>
        <w:jc w:val="both"/>
        <w:rPr>
          <w:rFonts w:ascii="Palatino Linotype" w:hAnsi="Palatino Linotype"/>
          <w:lang w:eastAsia="es-ES"/>
        </w:rPr>
      </w:pPr>
    </w:p>
    <w:p w:rsidR="009365BF" w:rsidRPr="009365BF" w:rsidRDefault="009365BF" w:rsidP="009365BF">
      <w:pPr>
        <w:ind w:left="851" w:right="822"/>
        <w:contextualSpacing/>
        <w:jc w:val="both"/>
        <w:rPr>
          <w:rFonts w:ascii="Palatino Linotype" w:hAnsi="Palatino Linotype"/>
          <w:i/>
          <w:sz w:val="22"/>
          <w:lang w:eastAsia="es-ES"/>
        </w:rPr>
      </w:pPr>
      <w:r w:rsidRPr="009365BF">
        <w:rPr>
          <w:rFonts w:ascii="Palatino Linotype" w:hAnsi="Palatino Linotype"/>
          <w:i/>
          <w:sz w:val="22"/>
          <w:lang w:eastAsia="es-ES"/>
        </w:rPr>
        <w:t>“La divulgación de la información representa un riesgo real, demostrable e identificable del perjuicio significativo al interés público o a la seguridad pública;</w:t>
      </w:r>
    </w:p>
    <w:p w:rsidR="009365BF" w:rsidRPr="009365BF" w:rsidRDefault="009365BF" w:rsidP="009365BF">
      <w:pPr>
        <w:ind w:left="851" w:right="822"/>
        <w:contextualSpacing/>
        <w:jc w:val="both"/>
        <w:rPr>
          <w:rFonts w:ascii="Palatino Linotype" w:hAnsi="Palatino Linotype"/>
          <w:i/>
          <w:sz w:val="22"/>
          <w:lang w:eastAsia="es-ES"/>
        </w:rPr>
      </w:pPr>
      <w:r w:rsidRPr="009365BF">
        <w:rPr>
          <w:rFonts w:ascii="Palatino Linotype" w:hAnsi="Palatino Linotype"/>
          <w:i/>
          <w:sz w:val="22"/>
          <w:lang w:eastAsia="es-ES"/>
        </w:rPr>
        <w:t>El riesgo de perjuicio que supondría la divulgación supera el interés público general de que se difunda; y</w:t>
      </w:r>
    </w:p>
    <w:p w:rsidR="009365BF" w:rsidRPr="009365BF" w:rsidRDefault="009365BF" w:rsidP="009365BF">
      <w:pPr>
        <w:ind w:left="851" w:right="822"/>
        <w:contextualSpacing/>
        <w:jc w:val="both"/>
        <w:rPr>
          <w:rFonts w:ascii="Palatino Linotype" w:hAnsi="Palatino Linotype"/>
          <w:i/>
          <w:sz w:val="22"/>
          <w:lang w:eastAsia="es-ES"/>
        </w:rPr>
      </w:pPr>
      <w:r w:rsidRPr="009365BF">
        <w:rPr>
          <w:rFonts w:ascii="Palatino Linotype" w:hAnsi="Palatino Linotype"/>
          <w:i/>
          <w:sz w:val="22"/>
          <w:lang w:eastAsia="es-ES"/>
        </w:rPr>
        <w:t>La limitación se adecua al principio de proporcionalidad y representa el medio menos restrictivo disponible representa el medio menos restrictivo disponible para evitar el perjuicio.”(Sic)</w:t>
      </w:r>
    </w:p>
    <w:p w:rsidR="009365BF" w:rsidRPr="009365BF" w:rsidRDefault="009365BF" w:rsidP="009365BF">
      <w:pPr>
        <w:spacing w:line="360" w:lineRule="auto"/>
        <w:ind w:left="851" w:right="822"/>
        <w:contextualSpacing/>
        <w:jc w:val="both"/>
        <w:rPr>
          <w:rFonts w:ascii="Palatino Linotype" w:hAnsi="Palatino Linotype"/>
          <w:b/>
          <w:i/>
          <w:sz w:val="22"/>
          <w:lang w:eastAsia="es-ES"/>
        </w:rPr>
      </w:pPr>
    </w:p>
    <w:p w:rsidR="009365BF" w:rsidRPr="009365BF" w:rsidRDefault="009365BF" w:rsidP="009365BF">
      <w:pPr>
        <w:spacing w:line="360" w:lineRule="auto"/>
        <w:ind w:right="49"/>
        <w:contextualSpacing/>
        <w:jc w:val="both"/>
        <w:rPr>
          <w:rFonts w:ascii="Palatino Linotype" w:hAnsi="Palatino Linotype"/>
          <w:lang w:eastAsia="es-ES"/>
        </w:rPr>
      </w:pPr>
      <w:r w:rsidRPr="009365BF">
        <w:rPr>
          <w:rFonts w:ascii="Palatino Linotype" w:hAnsi="Palatino Linotype"/>
          <w:lang w:eastAsia="es-ES"/>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9365BF" w:rsidRPr="009365BF" w:rsidRDefault="009365BF" w:rsidP="009365BF">
      <w:pPr>
        <w:spacing w:line="360" w:lineRule="auto"/>
        <w:ind w:right="49"/>
        <w:contextualSpacing/>
        <w:jc w:val="both"/>
        <w:rPr>
          <w:rFonts w:ascii="Palatino Linotype" w:hAnsi="Palatino Linotype"/>
          <w:lang w:eastAsia="es-ES"/>
        </w:rPr>
      </w:pPr>
    </w:p>
    <w:p w:rsidR="009365BF" w:rsidRPr="009365BF" w:rsidRDefault="009365BF" w:rsidP="009365BF">
      <w:pPr>
        <w:ind w:left="851" w:right="822"/>
        <w:contextualSpacing/>
        <w:jc w:val="both"/>
        <w:rPr>
          <w:rFonts w:ascii="Palatino Linotype" w:hAnsi="Palatino Linotype"/>
          <w:b/>
          <w:bCs/>
          <w:i/>
          <w:sz w:val="22"/>
          <w:szCs w:val="22"/>
          <w:lang w:eastAsia="es-ES"/>
        </w:rPr>
      </w:pPr>
      <w:r w:rsidRPr="009365BF">
        <w:rPr>
          <w:rFonts w:ascii="Palatino Linotype" w:hAnsi="Palatino Linotype"/>
          <w:b/>
          <w:bCs/>
          <w:i/>
          <w:sz w:val="22"/>
          <w:szCs w:val="22"/>
          <w:lang w:eastAsia="es-ES"/>
        </w:rPr>
        <w:t>“FUNDAMENTACIÓN Y MOTIVACIÓN. EL ASPECTO FORMAL DE LA GARANTÍA Y SU FINALIDAD SE TRADUCEN EN EXPLICAR, JUSTIFICAR, POSIBILITAR LA DEFENSA Y COMUNICAR LA DECISIÓN.</w:t>
      </w:r>
    </w:p>
    <w:p w:rsidR="009365BF" w:rsidRPr="009365BF" w:rsidRDefault="009365BF" w:rsidP="009365BF">
      <w:pPr>
        <w:ind w:left="851" w:right="822"/>
        <w:contextualSpacing/>
        <w:jc w:val="both"/>
        <w:rPr>
          <w:rFonts w:ascii="Palatino Linotype" w:hAnsi="Palatino Linotype"/>
          <w:i/>
          <w:sz w:val="22"/>
          <w:szCs w:val="22"/>
          <w:lang w:eastAsia="es-ES"/>
        </w:rPr>
      </w:pPr>
      <w:r w:rsidRPr="009365BF">
        <w:rPr>
          <w:rFonts w:ascii="Palatino Linotype" w:hAnsi="Palatino Linotype"/>
          <w:i/>
          <w:sz w:val="22"/>
          <w:szCs w:val="22"/>
          <w:lang w:eastAsia="es-ES"/>
        </w:rPr>
        <w:t>El contenido formal de la garantía de legalidad prevista en el artículo </w:t>
      </w:r>
      <w:hyperlink r:id="rId17" w:history="1">
        <w:r w:rsidRPr="009365BF">
          <w:rPr>
            <w:rFonts w:ascii="Palatino Linotype" w:hAnsi="Palatino Linotype"/>
            <w:i/>
            <w:sz w:val="22"/>
            <w:szCs w:val="22"/>
            <w:u w:val="single"/>
            <w:lang w:eastAsia="es-ES"/>
          </w:rPr>
          <w:t>16 constitucional</w:t>
        </w:r>
      </w:hyperlink>
      <w:r w:rsidRPr="009365BF">
        <w:rPr>
          <w:rFonts w:ascii="Palatino Linotype" w:hAnsi="Palatino Linotype"/>
          <w:i/>
          <w:sz w:val="22"/>
          <w:szCs w:val="22"/>
          <w:lang w:eastAsia="es-ES"/>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9365BF" w:rsidRPr="009365BF" w:rsidRDefault="009365BF" w:rsidP="009365BF">
      <w:pPr>
        <w:spacing w:line="360" w:lineRule="auto"/>
        <w:ind w:right="49"/>
        <w:contextualSpacing/>
        <w:jc w:val="both"/>
        <w:rPr>
          <w:rFonts w:ascii="Palatino Linotype" w:hAnsi="Palatino Linotype"/>
          <w:i/>
          <w:lang w:eastAsia="es-ES"/>
        </w:rPr>
      </w:pPr>
    </w:p>
    <w:p w:rsidR="009365BF" w:rsidRPr="009365BF" w:rsidRDefault="009365BF" w:rsidP="009365BF">
      <w:pPr>
        <w:spacing w:line="360" w:lineRule="auto"/>
        <w:ind w:right="49"/>
        <w:contextualSpacing/>
        <w:jc w:val="both"/>
        <w:rPr>
          <w:rFonts w:ascii="Palatino Linotype" w:hAnsi="Palatino Linotype"/>
          <w:bCs/>
          <w:iCs/>
          <w:lang w:eastAsia="es-ES"/>
        </w:rPr>
      </w:pPr>
      <w:r w:rsidRPr="009365BF">
        <w:rPr>
          <w:rFonts w:ascii="Palatino Linotype" w:hAnsi="Palatino Linotype"/>
          <w:lang w:eastAsia="es-ES"/>
        </w:rPr>
        <w:t xml:space="preserve">Debiendo argumentar el Sujeto Obligado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w:t>
      </w:r>
      <w:r w:rsidRPr="009365BF">
        <w:rPr>
          <w:rFonts w:ascii="Palatino Linotype" w:hAnsi="Palatino Linotype"/>
          <w:lang w:eastAsia="es-ES"/>
        </w:rPr>
        <w:lastRenderedPageBreak/>
        <w:t xml:space="preserve">fundamento, por la hipótesis análoga siendo aplicables los numerales </w:t>
      </w:r>
      <w:r w:rsidRPr="009365BF">
        <w:rPr>
          <w:rFonts w:ascii="Palatino Linotype" w:hAnsi="Palatino Linotype"/>
          <w:bCs/>
          <w:iCs/>
          <w:lang w:eastAsia="es-ES"/>
        </w:rPr>
        <w:t>140, fracción VI de la Ley de Transparencia y Acceso a la Información Pública del Estado de México y Municipios (homólogo al artículo 113, fracción IX de la Ley General de Transparencia y Acceso a la Información Pública), establece que aquella información que afecte o vulnere la conducción de procedimientos de responsabilidades administrativas, en tanto no hayan quedado firmes.</w:t>
      </w:r>
    </w:p>
    <w:p w:rsidR="009365BF" w:rsidRPr="009365BF" w:rsidRDefault="009365BF" w:rsidP="009365BF">
      <w:pPr>
        <w:spacing w:line="360" w:lineRule="auto"/>
        <w:ind w:right="49"/>
        <w:contextualSpacing/>
        <w:jc w:val="both"/>
        <w:rPr>
          <w:rFonts w:ascii="Palatino Linotype" w:hAnsi="Palatino Linotype"/>
          <w:bCs/>
          <w:iCs/>
          <w:lang w:eastAsia="es-ES"/>
        </w:rPr>
      </w:pPr>
    </w:p>
    <w:p w:rsidR="009365BF" w:rsidRPr="009365BF" w:rsidRDefault="009365BF" w:rsidP="009365BF">
      <w:pPr>
        <w:spacing w:line="360" w:lineRule="auto"/>
        <w:ind w:right="49"/>
        <w:contextualSpacing/>
        <w:jc w:val="both"/>
        <w:rPr>
          <w:rFonts w:ascii="Palatino Linotype" w:hAnsi="Palatino Linotype"/>
          <w:bCs/>
          <w:iCs/>
          <w:lang w:eastAsia="es-ES"/>
        </w:rPr>
      </w:pPr>
      <w:r w:rsidRPr="009365BF">
        <w:rPr>
          <w:rFonts w:ascii="Palatino Linotype" w:hAnsi="Palatino Linotype"/>
          <w:bCs/>
          <w:iCs/>
          <w:lang w:eastAsia="es-ES"/>
        </w:rPr>
        <w:t>Por lo cual, la causal de reserva prevé que la información podrá clasificarse como reservada en el caso de que obstruya los procedimientos para fincar responsabilidad a los servidores públicos, pretende proteger la información vinculada a dichos procedimientos.</w:t>
      </w:r>
    </w:p>
    <w:p w:rsidR="009365BF" w:rsidRPr="009365BF" w:rsidRDefault="009365BF" w:rsidP="009365BF">
      <w:pPr>
        <w:spacing w:line="360" w:lineRule="auto"/>
        <w:ind w:right="49"/>
        <w:contextualSpacing/>
        <w:jc w:val="both"/>
        <w:rPr>
          <w:rFonts w:ascii="Palatino Linotype" w:hAnsi="Palatino Linotype"/>
          <w:bCs/>
          <w:iCs/>
          <w:lang w:eastAsia="es-ES"/>
        </w:rPr>
      </w:pPr>
    </w:p>
    <w:p w:rsidR="009365BF" w:rsidRPr="009365BF" w:rsidRDefault="009365BF" w:rsidP="009365BF">
      <w:pPr>
        <w:spacing w:line="360" w:lineRule="auto"/>
        <w:ind w:right="49"/>
        <w:contextualSpacing/>
        <w:jc w:val="both"/>
        <w:rPr>
          <w:rFonts w:ascii="Palatino Linotype" w:hAnsi="Palatino Linotype"/>
          <w:iCs/>
          <w:lang w:eastAsia="es-ES"/>
        </w:rPr>
      </w:pPr>
      <w:r w:rsidRPr="009365BF">
        <w:rPr>
          <w:rFonts w:ascii="Palatino Linotype" w:hAnsi="Palatino Linotype"/>
          <w:iCs/>
          <w:lang w:eastAsia="es-ES"/>
        </w:rPr>
        <w:t xml:space="preserve">Por su parte, en los Lineamientos Generales en Materia de Clasificación y Desclasificación de la </w:t>
      </w:r>
      <w:r w:rsidRPr="009365BF">
        <w:rPr>
          <w:rFonts w:ascii="Palatino Linotype" w:hAnsi="Palatino Linotype"/>
          <w:bCs/>
          <w:iCs/>
          <w:lang w:eastAsia="es-ES"/>
        </w:rPr>
        <w:t>Información</w:t>
      </w:r>
      <w:r w:rsidRPr="009365BF">
        <w:rPr>
          <w:rFonts w:ascii="Palatino Linotype" w:hAnsi="Palatino Linotype"/>
          <w:iCs/>
          <w:lang w:eastAsia="es-ES"/>
        </w:rPr>
        <w:t>, así como para la elaboración de versiones públicas, se establece lo siguiente:</w:t>
      </w:r>
    </w:p>
    <w:p w:rsidR="009365BF" w:rsidRPr="009365BF" w:rsidRDefault="009365BF" w:rsidP="009365BF">
      <w:pPr>
        <w:ind w:left="851" w:right="822"/>
        <w:contextualSpacing/>
        <w:jc w:val="both"/>
        <w:rPr>
          <w:rFonts w:ascii="Palatino Linotype" w:hAnsi="Palatino Linotype"/>
          <w:i/>
          <w:iCs/>
          <w:sz w:val="22"/>
          <w:lang w:eastAsia="es-ES"/>
        </w:rPr>
      </w:pPr>
      <w:r w:rsidRPr="009365BF">
        <w:rPr>
          <w:rFonts w:ascii="Palatino Linotype" w:hAnsi="Palatino Linotype"/>
          <w:i/>
          <w:iCs/>
          <w:sz w:val="22"/>
          <w:lang w:eastAsia="es-ES"/>
        </w:rPr>
        <w:t>“…</w:t>
      </w:r>
    </w:p>
    <w:p w:rsidR="009365BF" w:rsidRPr="009365BF" w:rsidRDefault="009365BF" w:rsidP="009365BF">
      <w:pPr>
        <w:ind w:left="851" w:right="822"/>
        <w:contextualSpacing/>
        <w:jc w:val="both"/>
        <w:rPr>
          <w:rFonts w:ascii="Palatino Linotype" w:hAnsi="Palatino Linotype"/>
          <w:i/>
          <w:iCs/>
          <w:sz w:val="22"/>
          <w:lang w:eastAsia="es-ES"/>
        </w:rPr>
      </w:pPr>
      <w:r w:rsidRPr="009365BF">
        <w:rPr>
          <w:rFonts w:ascii="Palatino Linotype" w:hAnsi="Palatino Linotype"/>
          <w:b/>
          <w:i/>
          <w:iCs/>
          <w:sz w:val="22"/>
          <w:lang w:eastAsia="es-ES"/>
        </w:rPr>
        <w:t>Vigésimo octavo.</w:t>
      </w:r>
      <w:r w:rsidRPr="009365BF">
        <w:rPr>
          <w:rFonts w:ascii="Palatino Linotype" w:hAnsi="Palatino Linotype"/>
          <w:i/>
          <w:iCs/>
          <w:sz w:val="22"/>
          <w:lang w:eastAsia="es-ES"/>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rsidR="009365BF" w:rsidRPr="009365BF" w:rsidRDefault="009365BF" w:rsidP="009365BF">
      <w:pPr>
        <w:ind w:left="851" w:right="822"/>
        <w:contextualSpacing/>
        <w:jc w:val="both"/>
        <w:rPr>
          <w:rFonts w:ascii="Palatino Linotype" w:hAnsi="Palatino Linotype"/>
          <w:i/>
          <w:iCs/>
          <w:sz w:val="22"/>
          <w:lang w:eastAsia="es-ES"/>
        </w:rPr>
      </w:pPr>
    </w:p>
    <w:p w:rsidR="009365BF" w:rsidRPr="009365BF" w:rsidRDefault="009365BF" w:rsidP="009365BF">
      <w:pPr>
        <w:ind w:left="851" w:right="822"/>
        <w:contextualSpacing/>
        <w:jc w:val="both"/>
        <w:rPr>
          <w:rFonts w:ascii="Palatino Linotype" w:hAnsi="Palatino Linotype"/>
          <w:i/>
          <w:iCs/>
          <w:sz w:val="22"/>
          <w:lang w:eastAsia="es-ES"/>
        </w:rPr>
      </w:pPr>
      <w:r w:rsidRPr="009365BF">
        <w:rPr>
          <w:rFonts w:ascii="Palatino Linotype" w:hAnsi="Palatino Linotype"/>
          <w:i/>
          <w:iCs/>
          <w:sz w:val="22"/>
          <w:lang w:eastAsia="es-ES"/>
        </w:rPr>
        <w:t>I. La existencia de un procedimiento de responsabilidad administrativa en trámite, y</w:t>
      </w:r>
    </w:p>
    <w:p w:rsidR="009365BF" w:rsidRPr="009365BF" w:rsidRDefault="009365BF" w:rsidP="009365BF">
      <w:pPr>
        <w:ind w:left="851" w:right="822"/>
        <w:contextualSpacing/>
        <w:jc w:val="both"/>
        <w:rPr>
          <w:rFonts w:ascii="Palatino Linotype" w:hAnsi="Palatino Linotype"/>
          <w:i/>
          <w:iCs/>
          <w:sz w:val="22"/>
          <w:lang w:eastAsia="es-ES"/>
        </w:rPr>
      </w:pPr>
      <w:r w:rsidRPr="009365BF">
        <w:rPr>
          <w:rFonts w:ascii="Palatino Linotype" w:hAnsi="Palatino Linotype"/>
          <w:i/>
          <w:iCs/>
          <w:sz w:val="22"/>
          <w:lang w:eastAsia="es-ES"/>
        </w:rPr>
        <w:t>II. Que la información se refiera a actuaciones, diligencias y constancias propias del procedimiento de responsabilidad…” (Sic)</w:t>
      </w:r>
    </w:p>
    <w:p w:rsidR="009365BF" w:rsidRPr="009365BF" w:rsidRDefault="009365BF" w:rsidP="009365BF">
      <w:pPr>
        <w:spacing w:line="360" w:lineRule="auto"/>
        <w:ind w:right="49"/>
        <w:contextualSpacing/>
        <w:jc w:val="both"/>
        <w:rPr>
          <w:rFonts w:ascii="Palatino Linotype" w:hAnsi="Palatino Linotype"/>
          <w:i/>
          <w:iCs/>
          <w:lang w:eastAsia="es-ES"/>
        </w:rPr>
      </w:pPr>
    </w:p>
    <w:p w:rsidR="009365BF" w:rsidRPr="009365BF" w:rsidRDefault="009365BF" w:rsidP="009365BF">
      <w:pPr>
        <w:spacing w:before="240" w:after="240" w:line="360" w:lineRule="auto"/>
        <w:contextualSpacing/>
        <w:jc w:val="both"/>
        <w:rPr>
          <w:rFonts w:ascii="Palatino Linotype" w:hAnsi="Palatino Linotype"/>
          <w:lang w:eastAsia="es-ES"/>
        </w:rPr>
      </w:pPr>
      <w:r w:rsidRPr="009365BF">
        <w:rPr>
          <w:rFonts w:ascii="Palatino Linotype" w:hAnsi="Palatino Linotype"/>
          <w:iCs/>
          <w:lang w:eastAsia="es-ES"/>
        </w:rPr>
        <w:t xml:space="preserve">De lo anterior, se advierte que para que se actualice la causal de reserva que se analiza se debe acreditar i) la existencia de un procedimiento de responsabilidad </w:t>
      </w:r>
      <w:r w:rsidRPr="009365BF">
        <w:rPr>
          <w:rFonts w:ascii="Palatino Linotype" w:hAnsi="Palatino Linotype"/>
          <w:iCs/>
          <w:lang w:eastAsia="es-ES"/>
        </w:rPr>
        <w:lastRenderedPageBreak/>
        <w:t>administrativa en trámite, y ii) que la información se refiera a actuaciones, diligencias y constancias propias del procedimiento de responsabilidad.</w:t>
      </w:r>
    </w:p>
    <w:p w:rsidR="009365BF" w:rsidRPr="009365BF" w:rsidRDefault="009365BF" w:rsidP="009365BF">
      <w:pPr>
        <w:spacing w:before="240" w:after="240" w:line="360" w:lineRule="auto"/>
        <w:contextualSpacing/>
        <w:jc w:val="both"/>
        <w:rPr>
          <w:rFonts w:ascii="Palatino Linotype" w:hAnsi="Palatino Linotype"/>
          <w:lang w:eastAsia="es-ES"/>
        </w:rPr>
      </w:pPr>
      <w:r w:rsidRPr="009365BF">
        <w:rPr>
          <w:rFonts w:ascii="Palatino Linotype" w:hAnsi="Palatino Linotype"/>
          <w:lang w:eastAsia="es-ES"/>
        </w:rPr>
        <w:t>De ahí que, resulta procedente la reserva, en términos del artículo 140, fracción VI, de la Ley de Transparencia y Acceso a la Información Pública del Estado de México y Municipios, de los procedimientos por responsabilidades administrativas en trámite por faltas graves.</w:t>
      </w:r>
    </w:p>
    <w:p w:rsidR="009365BF" w:rsidRPr="009365BF" w:rsidRDefault="009365BF" w:rsidP="009365BF">
      <w:pPr>
        <w:spacing w:before="240" w:after="240" w:line="360" w:lineRule="auto"/>
        <w:contextualSpacing/>
        <w:jc w:val="both"/>
        <w:rPr>
          <w:rFonts w:ascii="Palatino Linotype" w:hAnsi="Palatino Linotype"/>
          <w:bCs/>
          <w:lang w:eastAsia="es-ES"/>
        </w:rPr>
      </w:pPr>
      <w:r w:rsidRPr="009365BF">
        <w:rPr>
          <w:rFonts w:ascii="Palatino Linotype" w:hAnsi="Palatino Linotype"/>
          <w:iCs/>
          <w:lang w:eastAsia="es-ES"/>
        </w:rPr>
        <w:t>R</w:t>
      </w:r>
      <w:r w:rsidRPr="009365BF">
        <w:rPr>
          <w:rFonts w:ascii="Palatino Linotype" w:hAnsi="Palatino Linotype"/>
          <w:bCs/>
          <w:lang w:eastAsia="es-ES"/>
        </w:rPr>
        <w:t>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por lo que deberá determinar el periodo de reserva, de manera fundada y motivada.</w:t>
      </w:r>
    </w:p>
    <w:p w:rsidR="009365BF" w:rsidRPr="009365BF" w:rsidRDefault="009365BF" w:rsidP="009365BF">
      <w:pPr>
        <w:spacing w:before="240" w:after="240" w:line="360" w:lineRule="auto"/>
        <w:contextualSpacing/>
        <w:jc w:val="both"/>
        <w:rPr>
          <w:rFonts w:ascii="Palatino Linotype" w:eastAsia="Palatino Linotype" w:hAnsi="Palatino Linotype" w:cs="Palatino Linotype"/>
          <w:lang w:eastAsia="es-ES"/>
        </w:rPr>
      </w:pPr>
      <w:r w:rsidRPr="009365BF">
        <w:rPr>
          <w:rFonts w:ascii="Palatino Linotype" w:hAnsi="Palatino Linotype"/>
          <w:bCs/>
          <w:lang w:eastAsia="es-ES"/>
        </w:rPr>
        <w:t xml:space="preserve">Por otra parte, se considera de suma importancia mencionar que </w:t>
      </w:r>
      <w:r w:rsidRPr="009365BF">
        <w:rPr>
          <w:rFonts w:ascii="Palatino Linotype" w:eastAsia="Palatino Linotype" w:hAnsi="Palatino Linotype" w:cs="Palatino Linotype"/>
          <w:lang w:eastAsia="es-ES"/>
        </w:rPr>
        <w:t>la Ley de Transparencia vigente en el Estado de México establece:</w:t>
      </w:r>
    </w:p>
    <w:p w:rsidR="009365BF" w:rsidRPr="009365BF" w:rsidRDefault="009365BF" w:rsidP="009365BF">
      <w:pPr>
        <w:spacing w:before="240" w:after="240" w:line="360" w:lineRule="auto"/>
        <w:contextualSpacing/>
        <w:jc w:val="both"/>
        <w:rPr>
          <w:rFonts w:ascii="Palatino Linotype" w:hAnsi="Palatino Linotype"/>
          <w:bCs/>
          <w:lang w:eastAsia="es-ES"/>
        </w:rPr>
      </w:pPr>
    </w:p>
    <w:p w:rsidR="009365BF" w:rsidRPr="009365BF" w:rsidRDefault="009365BF" w:rsidP="009365BF">
      <w:pPr>
        <w:ind w:left="851" w:right="851"/>
        <w:jc w:val="both"/>
        <w:rPr>
          <w:rFonts w:ascii="Palatino Linotype" w:eastAsia="Palatino Linotype" w:hAnsi="Palatino Linotype" w:cs="Palatino Linotype"/>
          <w:i/>
          <w:sz w:val="22"/>
          <w:szCs w:val="22"/>
          <w:lang w:eastAsia="es-ES"/>
        </w:rPr>
      </w:pPr>
      <w:r w:rsidRPr="009365BF">
        <w:rPr>
          <w:rFonts w:ascii="Palatino Linotype" w:eastAsia="Palatino Linotype" w:hAnsi="Palatino Linotype" w:cs="Palatino Linotype"/>
          <w:b/>
          <w:i/>
          <w:sz w:val="22"/>
          <w:szCs w:val="22"/>
          <w:lang w:eastAsia="es-ES"/>
        </w:rPr>
        <w:t>Artículo 142.</w:t>
      </w:r>
      <w:r w:rsidRPr="009365BF">
        <w:rPr>
          <w:rFonts w:ascii="Palatino Linotype" w:eastAsia="Palatino Linotype" w:hAnsi="Palatino Linotype" w:cs="Palatino Linotype"/>
          <w:i/>
          <w:sz w:val="22"/>
          <w:szCs w:val="22"/>
          <w:lang w:eastAsia="es-ES"/>
        </w:rPr>
        <w:t xml:space="preserve"> </w:t>
      </w:r>
      <w:r w:rsidRPr="009365BF">
        <w:rPr>
          <w:rFonts w:ascii="Palatino Linotype" w:eastAsia="Palatino Linotype" w:hAnsi="Palatino Linotype" w:cs="Palatino Linotype"/>
          <w:b/>
          <w:i/>
          <w:sz w:val="22"/>
          <w:szCs w:val="22"/>
          <w:u w:val="single"/>
          <w:lang w:eastAsia="es-ES"/>
        </w:rPr>
        <w:t>Bajo ninguna circunstancia podrá invocarse el carácter de reservado cuando</w:t>
      </w:r>
      <w:r w:rsidRPr="009365BF">
        <w:rPr>
          <w:rFonts w:ascii="Palatino Linotype" w:eastAsia="Palatino Linotype" w:hAnsi="Palatino Linotype" w:cs="Palatino Linotype"/>
          <w:i/>
          <w:sz w:val="22"/>
          <w:szCs w:val="22"/>
          <w:lang w:eastAsia="es-ES"/>
        </w:rPr>
        <w:t>:</w:t>
      </w:r>
    </w:p>
    <w:p w:rsidR="009365BF" w:rsidRPr="009365BF" w:rsidRDefault="009365BF" w:rsidP="009365BF">
      <w:pPr>
        <w:ind w:left="851" w:right="851"/>
        <w:jc w:val="both"/>
        <w:rPr>
          <w:rFonts w:ascii="Palatino Linotype" w:eastAsia="Palatino Linotype" w:hAnsi="Palatino Linotype" w:cs="Palatino Linotype"/>
          <w:i/>
          <w:sz w:val="22"/>
          <w:szCs w:val="22"/>
          <w:lang w:eastAsia="es-ES"/>
        </w:rPr>
      </w:pPr>
      <w:r w:rsidRPr="009365BF">
        <w:rPr>
          <w:rFonts w:ascii="Palatino Linotype" w:eastAsia="Palatino Linotype" w:hAnsi="Palatino Linotype" w:cs="Palatino Linotype"/>
          <w:b/>
          <w:i/>
          <w:sz w:val="22"/>
          <w:szCs w:val="22"/>
          <w:lang w:eastAsia="es-ES"/>
        </w:rPr>
        <w:t>I.</w:t>
      </w:r>
      <w:r w:rsidRPr="009365BF">
        <w:rPr>
          <w:rFonts w:ascii="Palatino Linotype" w:eastAsia="Palatino Linotype" w:hAnsi="Palatino Linotype" w:cs="Palatino Linotype"/>
          <w:i/>
          <w:sz w:val="22"/>
          <w:szCs w:val="22"/>
          <w:lang w:eastAsia="es-ES"/>
        </w:rPr>
        <w:t xml:space="preserve"> </w:t>
      </w:r>
      <w:r w:rsidRPr="009365BF">
        <w:rPr>
          <w:rFonts w:ascii="Palatino Linotype" w:eastAsia="Palatino Linotype" w:hAnsi="Palatino Linotype" w:cs="Palatino Linotype"/>
          <w:b/>
          <w:i/>
          <w:sz w:val="22"/>
          <w:szCs w:val="22"/>
          <w:u w:val="single"/>
          <w:lang w:eastAsia="es-ES"/>
        </w:rPr>
        <w:t>Se trate de violaciones graves de derechos humanos</w:t>
      </w:r>
      <w:r w:rsidRPr="009365BF">
        <w:rPr>
          <w:rFonts w:ascii="Palatino Linotype" w:eastAsia="Palatino Linotype" w:hAnsi="Palatino Linotype" w:cs="Palatino Linotype"/>
          <w:i/>
          <w:sz w:val="22"/>
          <w:szCs w:val="22"/>
          <w:lang w:eastAsia="es-ES"/>
        </w:rPr>
        <w:t>, calificada así por autoridad competente;</w:t>
      </w:r>
    </w:p>
    <w:p w:rsidR="009365BF" w:rsidRPr="009365BF" w:rsidRDefault="009365BF" w:rsidP="009365BF">
      <w:pPr>
        <w:ind w:left="851" w:right="851"/>
        <w:jc w:val="both"/>
        <w:rPr>
          <w:rFonts w:ascii="Palatino Linotype" w:eastAsia="Palatino Linotype" w:hAnsi="Palatino Linotype" w:cs="Palatino Linotype"/>
          <w:i/>
          <w:sz w:val="22"/>
          <w:szCs w:val="22"/>
          <w:lang w:eastAsia="es-ES"/>
        </w:rPr>
      </w:pPr>
      <w:r w:rsidRPr="009365BF">
        <w:rPr>
          <w:rFonts w:ascii="Palatino Linotype" w:eastAsia="Palatino Linotype" w:hAnsi="Palatino Linotype" w:cs="Palatino Linotype"/>
          <w:b/>
          <w:i/>
          <w:sz w:val="22"/>
          <w:szCs w:val="22"/>
          <w:lang w:eastAsia="es-ES"/>
        </w:rPr>
        <w:t>II.</w:t>
      </w:r>
      <w:r w:rsidRPr="009365BF">
        <w:rPr>
          <w:rFonts w:ascii="Palatino Linotype" w:eastAsia="Palatino Linotype" w:hAnsi="Palatino Linotype" w:cs="Palatino Linotype"/>
          <w:i/>
          <w:sz w:val="22"/>
          <w:szCs w:val="22"/>
          <w:lang w:eastAsia="es-ES"/>
        </w:rPr>
        <w:t xml:space="preserve"> </w:t>
      </w:r>
      <w:r w:rsidRPr="009365BF">
        <w:rPr>
          <w:rFonts w:ascii="Palatino Linotype" w:eastAsia="Palatino Linotype" w:hAnsi="Palatino Linotype" w:cs="Palatino Linotype"/>
          <w:b/>
          <w:i/>
          <w:sz w:val="22"/>
          <w:szCs w:val="22"/>
          <w:u w:val="single"/>
          <w:lang w:eastAsia="es-ES"/>
        </w:rPr>
        <w:t>Se trate de la investigación de posibles violaciones graves de derechos humanos</w:t>
      </w:r>
      <w:r w:rsidRPr="009365BF">
        <w:rPr>
          <w:rFonts w:ascii="Palatino Linotype" w:eastAsia="Palatino Linotype" w:hAnsi="Palatino Linotype" w:cs="Palatino Linotype"/>
          <w:i/>
          <w:sz w:val="22"/>
          <w:szCs w:val="22"/>
          <w:lang w:eastAsia="es-ES"/>
        </w:rPr>
        <w:t xml:space="preserve"> aun cuando no exista pronunciamiento previo de autoridad competente, cuando se determine, a partir de criterios cuantitativos y cualitativos la trascendencia social de las violaciones;</w:t>
      </w:r>
    </w:p>
    <w:p w:rsidR="009365BF" w:rsidRPr="009365BF" w:rsidRDefault="009365BF" w:rsidP="009365BF">
      <w:pPr>
        <w:ind w:left="851" w:right="851"/>
        <w:jc w:val="both"/>
        <w:rPr>
          <w:rFonts w:ascii="Palatino Linotype" w:eastAsia="Palatino Linotype" w:hAnsi="Palatino Linotype" w:cs="Palatino Linotype"/>
          <w:i/>
          <w:sz w:val="22"/>
          <w:szCs w:val="22"/>
          <w:lang w:eastAsia="es-ES"/>
        </w:rPr>
      </w:pPr>
      <w:r w:rsidRPr="009365BF">
        <w:rPr>
          <w:rFonts w:ascii="Palatino Linotype" w:eastAsia="Palatino Linotype" w:hAnsi="Palatino Linotype" w:cs="Palatino Linotype"/>
          <w:b/>
          <w:i/>
          <w:sz w:val="22"/>
          <w:szCs w:val="22"/>
          <w:lang w:eastAsia="es-ES"/>
        </w:rPr>
        <w:t>III.</w:t>
      </w:r>
      <w:r w:rsidRPr="009365BF">
        <w:rPr>
          <w:rFonts w:ascii="Palatino Linotype" w:eastAsia="Palatino Linotype" w:hAnsi="Palatino Linotype" w:cs="Palatino Linotype"/>
          <w:i/>
          <w:sz w:val="22"/>
          <w:szCs w:val="22"/>
          <w:lang w:eastAsia="es-ES"/>
        </w:rPr>
        <w:t xml:space="preserve"> </w:t>
      </w:r>
      <w:r w:rsidRPr="009365BF">
        <w:rPr>
          <w:rFonts w:ascii="Palatino Linotype" w:eastAsia="Palatino Linotype" w:hAnsi="Palatino Linotype" w:cs="Palatino Linotype"/>
          <w:b/>
          <w:i/>
          <w:sz w:val="22"/>
          <w:szCs w:val="22"/>
          <w:u w:val="single"/>
          <w:lang w:eastAsia="es-ES"/>
        </w:rPr>
        <w:t>Se trate de delitos de lesa humanidad</w:t>
      </w:r>
      <w:r w:rsidRPr="009365BF">
        <w:rPr>
          <w:rFonts w:ascii="Palatino Linotype" w:eastAsia="Palatino Linotype" w:hAnsi="Palatino Linotype" w:cs="Palatino Linotype"/>
          <w:i/>
          <w:sz w:val="22"/>
          <w:szCs w:val="22"/>
          <w:lang w:eastAsia="es-ES"/>
        </w:rPr>
        <w:t xml:space="preserve"> conforme a los tratados ratificados por el Senado de la República, las resoluciones emitidas por organismos internacionales cuya competencia sea reconocida por el Estado Mexicano, así como en las disposiciones jurídicas aplicables; y</w:t>
      </w:r>
    </w:p>
    <w:p w:rsidR="009365BF" w:rsidRPr="009365BF" w:rsidRDefault="009365BF" w:rsidP="009365BF">
      <w:pPr>
        <w:ind w:left="851" w:right="851"/>
        <w:jc w:val="both"/>
        <w:rPr>
          <w:rFonts w:ascii="Palatino Linotype" w:eastAsia="Palatino Linotype" w:hAnsi="Palatino Linotype" w:cs="Palatino Linotype"/>
          <w:i/>
          <w:sz w:val="22"/>
          <w:szCs w:val="22"/>
          <w:lang w:eastAsia="es-ES"/>
        </w:rPr>
      </w:pPr>
      <w:r w:rsidRPr="009365BF">
        <w:rPr>
          <w:rFonts w:ascii="Palatino Linotype" w:eastAsia="Palatino Linotype" w:hAnsi="Palatino Linotype" w:cs="Palatino Linotype"/>
          <w:b/>
          <w:i/>
          <w:sz w:val="22"/>
          <w:szCs w:val="22"/>
          <w:lang w:eastAsia="es-ES"/>
        </w:rPr>
        <w:t>IV</w:t>
      </w:r>
      <w:r w:rsidRPr="009365BF">
        <w:rPr>
          <w:rFonts w:ascii="Palatino Linotype" w:eastAsia="Palatino Linotype" w:hAnsi="Palatino Linotype" w:cs="Palatino Linotype"/>
          <w:b/>
          <w:i/>
          <w:sz w:val="22"/>
          <w:szCs w:val="22"/>
          <w:u w:val="single"/>
          <w:lang w:eastAsia="es-ES"/>
        </w:rPr>
        <w:t>. Se trate de información relacionada con actos de corrupción</w:t>
      </w:r>
      <w:r w:rsidRPr="009365BF">
        <w:rPr>
          <w:rFonts w:ascii="Palatino Linotype" w:eastAsia="Palatino Linotype" w:hAnsi="Palatino Linotype" w:cs="Palatino Linotype"/>
          <w:i/>
          <w:sz w:val="22"/>
          <w:szCs w:val="22"/>
          <w:lang w:eastAsia="es-ES"/>
        </w:rPr>
        <w:t xml:space="preserve"> de conformidad con las disposiciones jurídicas aplicables.</w:t>
      </w:r>
    </w:p>
    <w:p w:rsidR="009365BF" w:rsidRPr="009365BF" w:rsidRDefault="009365BF" w:rsidP="009365BF">
      <w:pPr>
        <w:ind w:left="851" w:right="851"/>
        <w:jc w:val="both"/>
        <w:rPr>
          <w:rFonts w:ascii="Palatino Linotype" w:eastAsia="Palatino Linotype" w:hAnsi="Palatino Linotype" w:cs="Palatino Linotype"/>
          <w:i/>
          <w:sz w:val="22"/>
          <w:szCs w:val="22"/>
          <w:lang w:eastAsia="es-ES"/>
        </w:rPr>
      </w:pPr>
    </w:p>
    <w:p w:rsidR="009365BF" w:rsidRPr="009365BF" w:rsidRDefault="009365BF" w:rsidP="009365BF">
      <w:pPr>
        <w:ind w:left="851" w:right="851"/>
        <w:jc w:val="both"/>
        <w:rPr>
          <w:rFonts w:ascii="Palatino Linotype" w:eastAsia="Palatino Linotype" w:hAnsi="Palatino Linotype" w:cs="Palatino Linotype"/>
          <w:i/>
          <w:sz w:val="22"/>
          <w:szCs w:val="22"/>
          <w:lang w:eastAsia="es-ES"/>
        </w:rPr>
      </w:pPr>
      <w:r w:rsidRPr="009365BF">
        <w:rPr>
          <w:rFonts w:ascii="Palatino Linotype" w:eastAsia="Palatino Linotype" w:hAnsi="Palatino Linotype" w:cs="Palatino Linotype"/>
          <w:i/>
          <w:sz w:val="22"/>
          <w:szCs w:val="22"/>
          <w:lang w:eastAsia="es-ES"/>
        </w:rPr>
        <w:t>Énfasis añadido.</w:t>
      </w:r>
    </w:p>
    <w:p w:rsidR="009365BF" w:rsidRPr="009365BF" w:rsidRDefault="009365BF" w:rsidP="009365BF">
      <w:pPr>
        <w:ind w:left="851" w:right="851"/>
        <w:jc w:val="both"/>
        <w:rPr>
          <w:rFonts w:ascii="Palatino Linotype" w:eastAsia="Palatino Linotype" w:hAnsi="Palatino Linotype" w:cs="Palatino Linotype"/>
          <w:i/>
          <w:sz w:val="22"/>
          <w:szCs w:val="22"/>
          <w:lang w:eastAsia="es-ES"/>
        </w:rPr>
      </w:pPr>
    </w:p>
    <w:p w:rsidR="009365BF" w:rsidRPr="009365BF" w:rsidRDefault="009365BF" w:rsidP="009365BF">
      <w:pPr>
        <w:spacing w:before="240" w:after="240" w:line="360" w:lineRule="auto"/>
        <w:jc w:val="both"/>
        <w:rPr>
          <w:rFonts w:ascii="Palatino Linotype" w:eastAsia="Palatino Linotype" w:hAnsi="Palatino Linotype" w:cs="Palatino Linotype"/>
          <w:lang w:eastAsia="es-ES"/>
        </w:rPr>
      </w:pPr>
      <w:r w:rsidRPr="009365BF">
        <w:rPr>
          <w:rFonts w:ascii="Palatino Linotype" w:eastAsia="Palatino Linotype" w:hAnsi="Palatino Linotype" w:cs="Palatino Linotype"/>
          <w:lang w:eastAsia="es-ES"/>
        </w:rPr>
        <w:lastRenderedPageBreak/>
        <w:t>Del artículo en estudio, se aprecia claramente en qué supuestos no se puede invocar el carácter de reservada, sin embargo en el presente asunto no se tiene la certeza de que el Sujeto Obligado esté tramitando algún asunto relacionado con los supuestos establecidos en el dispositivo legal en análisis, en virtud de que este órgano Garante no puede calificar al no poseer la información, empero el Sujeto Obligado si estaría en posibilidades de determinarlo, y de ser el caso poner a disposición del recurrente la información en versión pública.</w:t>
      </w:r>
    </w:p>
    <w:p w:rsidR="009365BF" w:rsidRPr="009365BF" w:rsidRDefault="009365BF" w:rsidP="009365BF">
      <w:pPr>
        <w:spacing w:before="240" w:after="240" w:line="360" w:lineRule="auto"/>
        <w:jc w:val="both"/>
        <w:rPr>
          <w:rFonts w:ascii="Palatino Linotype" w:eastAsia="Palatino Linotype" w:hAnsi="Palatino Linotype" w:cs="Palatino Linotype"/>
          <w:lang w:eastAsia="es-ES"/>
        </w:rPr>
      </w:pPr>
      <w:bookmarkStart w:id="1" w:name="_1fob9te" w:colFirst="0" w:colLast="0"/>
      <w:bookmarkEnd w:id="1"/>
      <w:r w:rsidRPr="009365BF">
        <w:rPr>
          <w:rFonts w:ascii="Palatino Linotype" w:eastAsia="Palatino Linotype" w:hAnsi="Palatino Linotype" w:cs="Palatino Linotype"/>
          <w:lang w:eastAsia="es-ES"/>
        </w:rPr>
        <w:t>Por lo que el Sujeto Obligado deberá realizar una búsqueda exhaustiva y razonable de la información requerida por la parte recurrente y, de ser el caso de que se actualice alguno de los supuestos contemplados en el artículo 142 de la Ley de Transparencia y Acceso a la Información del Estado de México y Municipios, deberá entregar a la parte recurrente</w:t>
      </w:r>
      <w:r w:rsidRPr="009365BF">
        <w:rPr>
          <w:rFonts w:ascii="Palatino Linotype" w:eastAsia="Palatino Linotype" w:hAnsi="Palatino Linotype" w:cs="Palatino Linotype"/>
          <w:b/>
          <w:lang w:eastAsia="es-ES"/>
        </w:rPr>
        <w:t xml:space="preserve"> </w:t>
      </w:r>
      <w:r w:rsidRPr="009365BF">
        <w:rPr>
          <w:rFonts w:ascii="Palatino Linotype" w:eastAsia="Palatino Linotype" w:hAnsi="Palatino Linotype" w:cs="Palatino Linotype"/>
          <w:lang w:eastAsia="es-ES"/>
        </w:rPr>
        <w:t xml:space="preserve">la información en versión pública a efecto de proteger cualquier dato personal sensible de ser clasificado de terceros, si no se pudiera encuadrar tal circunstancia el </w:t>
      </w:r>
      <w:r w:rsidRPr="009365BF">
        <w:rPr>
          <w:rFonts w:ascii="Palatino Linotype" w:eastAsia="Palatino Linotype" w:hAnsi="Palatino Linotype" w:cs="Palatino Linotype"/>
          <w:b/>
          <w:lang w:eastAsia="es-ES"/>
        </w:rPr>
        <w:t xml:space="preserve">Sujeto Obligado </w:t>
      </w:r>
      <w:r w:rsidRPr="009365BF">
        <w:rPr>
          <w:rFonts w:ascii="Palatino Linotype" w:eastAsia="Palatino Linotype" w:hAnsi="Palatino Linotype" w:cs="Palatino Linotype"/>
          <w:lang w:eastAsia="es-ES"/>
        </w:rPr>
        <w:t>deberá fundar y motivar debidamente las razones por las cuales no se le puede entregar la información, esto es emitir el acuerdo de reserva correspondiente.</w:t>
      </w:r>
    </w:p>
    <w:p w:rsidR="009365BF" w:rsidRPr="009365BF" w:rsidRDefault="009365BF" w:rsidP="009365BF">
      <w:pPr>
        <w:spacing w:line="360" w:lineRule="auto"/>
        <w:ind w:right="49"/>
        <w:jc w:val="both"/>
        <w:rPr>
          <w:rFonts w:ascii="Palatino Linotype" w:eastAsia="Palatino Linotype" w:hAnsi="Palatino Linotype" w:cs="Palatino Linotype"/>
          <w:lang w:eastAsia="es-ES"/>
        </w:rPr>
      </w:pPr>
    </w:p>
    <w:p w:rsidR="009365BF" w:rsidRPr="009365BF" w:rsidRDefault="009365BF" w:rsidP="009365BF">
      <w:pPr>
        <w:numPr>
          <w:ilvl w:val="0"/>
          <w:numId w:val="16"/>
        </w:numPr>
        <w:pBdr>
          <w:top w:val="nil"/>
          <w:left w:val="nil"/>
          <w:bottom w:val="nil"/>
          <w:right w:val="nil"/>
          <w:between w:val="nil"/>
        </w:pBdr>
        <w:spacing w:line="360" w:lineRule="auto"/>
        <w:ind w:left="0" w:right="49" w:hanging="284"/>
        <w:jc w:val="both"/>
        <w:rPr>
          <w:rFonts w:ascii="Palatino Linotype" w:eastAsia="Palatino Linotype" w:hAnsi="Palatino Linotype" w:cs="Palatino Linotype"/>
          <w:b/>
          <w:lang w:eastAsia="es-ES"/>
        </w:rPr>
      </w:pPr>
      <w:r w:rsidRPr="009365BF">
        <w:rPr>
          <w:rFonts w:ascii="Palatino Linotype" w:eastAsia="Palatino Linotype" w:hAnsi="Palatino Linotype" w:cs="Palatino Linotype"/>
          <w:b/>
          <w:lang w:eastAsia="es-ES"/>
        </w:rPr>
        <w:t xml:space="preserve">De los procedimientos sobre faltas administrativas graves concluidos con sanción condenatoria. </w:t>
      </w:r>
    </w:p>
    <w:p w:rsidR="009365BF" w:rsidRPr="009365BF" w:rsidRDefault="009365BF" w:rsidP="009365BF">
      <w:pPr>
        <w:pBdr>
          <w:top w:val="nil"/>
          <w:left w:val="nil"/>
          <w:bottom w:val="nil"/>
          <w:right w:val="nil"/>
          <w:between w:val="nil"/>
        </w:pBdr>
        <w:spacing w:line="360" w:lineRule="auto"/>
        <w:ind w:right="49"/>
        <w:jc w:val="both"/>
        <w:rPr>
          <w:rFonts w:ascii="Palatino Linotype" w:eastAsia="Palatino Linotype" w:hAnsi="Palatino Linotype" w:cs="Palatino Linotype"/>
          <w:b/>
          <w:lang w:eastAsia="es-ES"/>
        </w:rPr>
      </w:pPr>
    </w:p>
    <w:p w:rsidR="009365BF" w:rsidRPr="009365BF" w:rsidRDefault="009365BF" w:rsidP="009365BF">
      <w:pPr>
        <w:pBdr>
          <w:top w:val="nil"/>
          <w:left w:val="nil"/>
          <w:bottom w:val="nil"/>
          <w:right w:val="nil"/>
          <w:between w:val="nil"/>
        </w:pBdr>
        <w:spacing w:line="360" w:lineRule="auto"/>
        <w:ind w:right="49"/>
        <w:jc w:val="both"/>
        <w:rPr>
          <w:rFonts w:ascii="Palatino Linotype" w:eastAsia="Palatino Linotype" w:hAnsi="Palatino Linotype" w:cs="Palatino Linotype"/>
          <w:b/>
          <w:lang w:eastAsia="es-ES"/>
        </w:rPr>
      </w:pPr>
      <w:r w:rsidRPr="009365BF">
        <w:rPr>
          <w:rFonts w:ascii="Palatino Linotype" w:hAnsi="Palatino Linotype"/>
          <w:lang w:eastAsia="es-ES"/>
        </w:rPr>
        <w:t xml:space="preserve">Si el o los expedientes requeridos por el particular, ya han causado estado, es decir, que ya no acepta recurso o medio de defensa alguno, es procedente entregar la información al recurrente pero en versión pública, dejando visible el nombre, cargo y sanción impuesta al Servidor Público condenado, no así todos los datos personales </w:t>
      </w:r>
      <w:r w:rsidRPr="009365BF">
        <w:rPr>
          <w:rFonts w:ascii="Palatino Linotype" w:hAnsi="Palatino Linotype"/>
          <w:lang w:eastAsia="es-ES"/>
        </w:rPr>
        <w:lastRenderedPageBreak/>
        <w:t>que en éste se encuentren los que se deberán proteger, para lo cual el Sujeto Obligado deberá realizar y notificar el acuerdo de clasificación de la información relativa a los datos personales a efecto de que pueda emitir la versión pública de lo que se le solicitó, deberá clasificarla por la hipótesis análoga siendo aplicables los numerales de la Ley de la materia, que a la letra esgrimen:</w:t>
      </w:r>
    </w:p>
    <w:p w:rsidR="009365BF" w:rsidRPr="009365BF" w:rsidRDefault="009365BF" w:rsidP="009365BF">
      <w:pPr>
        <w:spacing w:line="360" w:lineRule="auto"/>
        <w:ind w:right="49"/>
        <w:contextualSpacing/>
        <w:jc w:val="both"/>
        <w:rPr>
          <w:rFonts w:ascii="Palatino Linotype" w:hAnsi="Palatino Linotype"/>
          <w:sz w:val="22"/>
          <w:lang w:eastAsia="es-ES"/>
        </w:rPr>
      </w:pPr>
    </w:p>
    <w:p w:rsidR="009365BF" w:rsidRPr="009365BF" w:rsidRDefault="009365BF" w:rsidP="009365BF">
      <w:pPr>
        <w:ind w:left="851" w:right="822"/>
        <w:contextualSpacing/>
        <w:jc w:val="both"/>
        <w:rPr>
          <w:rFonts w:ascii="Palatino Linotype" w:hAnsi="Palatino Linotype"/>
          <w:b/>
          <w:i/>
          <w:sz w:val="22"/>
          <w:lang w:eastAsia="es-ES"/>
        </w:rPr>
      </w:pPr>
      <w:r w:rsidRPr="009365BF">
        <w:rPr>
          <w:rFonts w:ascii="Palatino Linotype" w:hAnsi="Palatino Linotype"/>
          <w:b/>
          <w:i/>
          <w:sz w:val="22"/>
          <w:lang w:eastAsia="es-ES"/>
        </w:rPr>
        <w:t>“Artículo 3. Para los efectos de la presente Ley se entenderá por:</w:t>
      </w:r>
    </w:p>
    <w:p w:rsidR="009365BF" w:rsidRPr="009365BF" w:rsidRDefault="009365BF" w:rsidP="009365BF">
      <w:pPr>
        <w:ind w:left="851" w:right="822"/>
        <w:contextualSpacing/>
        <w:jc w:val="both"/>
        <w:rPr>
          <w:rFonts w:ascii="Palatino Linotype" w:hAnsi="Palatino Linotype"/>
          <w:b/>
          <w:i/>
          <w:sz w:val="22"/>
          <w:lang w:eastAsia="es-ES"/>
        </w:rPr>
      </w:pPr>
      <w:r w:rsidRPr="009365BF">
        <w:rPr>
          <w:rFonts w:ascii="Palatino Linotype" w:hAnsi="Palatino Linotype"/>
          <w:b/>
          <w:i/>
          <w:sz w:val="22"/>
          <w:lang w:eastAsia="es-ES"/>
        </w:rPr>
        <w:t>[…]</w:t>
      </w:r>
    </w:p>
    <w:p w:rsidR="009365BF" w:rsidRPr="009365BF" w:rsidRDefault="009365BF" w:rsidP="009365BF">
      <w:pPr>
        <w:ind w:left="851" w:right="822"/>
        <w:contextualSpacing/>
        <w:jc w:val="both"/>
        <w:rPr>
          <w:rFonts w:ascii="Palatino Linotype" w:hAnsi="Palatino Linotype"/>
          <w:b/>
          <w:i/>
          <w:sz w:val="22"/>
          <w:lang w:eastAsia="es-ES"/>
        </w:rPr>
      </w:pPr>
      <w:r w:rsidRPr="009365BF">
        <w:rPr>
          <w:rFonts w:ascii="Palatino Linotype" w:hAnsi="Palatino Linotype"/>
          <w:b/>
          <w:i/>
          <w:sz w:val="22"/>
          <w:lang w:eastAsia="es-ES"/>
        </w:rPr>
        <w:t>IX. Datos personales: La información concerniente a una persona, identificada o identificable según lo dispuesto por la Ley de Protección de Datos Personales del Estado de México;</w:t>
      </w:r>
    </w:p>
    <w:p w:rsidR="009365BF" w:rsidRPr="009365BF" w:rsidRDefault="009365BF" w:rsidP="009365BF">
      <w:pPr>
        <w:ind w:left="851" w:right="822"/>
        <w:contextualSpacing/>
        <w:jc w:val="both"/>
        <w:rPr>
          <w:rFonts w:ascii="Palatino Linotype" w:hAnsi="Palatino Linotype"/>
          <w:b/>
          <w:i/>
          <w:sz w:val="22"/>
          <w:lang w:eastAsia="es-ES"/>
        </w:rPr>
      </w:pPr>
      <w:r w:rsidRPr="009365BF">
        <w:rPr>
          <w:rFonts w:ascii="Palatino Linotype" w:hAnsi="Palatino Linotype"/>
          <w:b/>
          <w:i/>
          <w:sz w:val="22"/>
          <w:lang w:eastAsia="es-ES"/>
        </w:rPr>
        <w:t>[…]</w:t>
      </w:r>
    </w:p>
    <w:p w:rsidR="009365BF" w:rsidRPr="009365BF" w:rsidRDefault="009365BF" w:rsidP="009365BF">
      <w:pPr>
        <w:ind w:left="851" w:right="822"/>
        <w:contextualSpacing/>
        <w:jc w:val="both"/>
        <w:rPr>
          <w:rFonts w:ascii="Palatino Linotype" w:hAnsi="Palatino Linotype"/>
          <w:b/>
          <w:i/>
          <w:sz w:val="22"/>
          <w:lang w:eastAsia="es-ES"/>
        </w:rPr>
      </w:pPr>
      <w:r w:rsidRPr="009365BF">
        <w:rPr>
          <w:rFonts w:ascii="Palatino Linotype" w:hAnsi="Palatino Linotype"/>
          <w:b/>
          <w:i/>
          <w:sz w:val="22"/>
          <w:lang w:eastAsia="es-ES"/>
        </w:rPr>
        <w:t>XLV. Versión pública: Documento en el que se elimine, suprime o borra la información clasificada como reservada o confidencial para permitir su acceso.</w:t>
      </w:r>
    </w:p>
    <w:p w:rsidR="009365BF" w:rsidRPr="009365BF" w:rsidRDefault="009365BF" w:rsidP="009365BF">
      <w:pPr>
        <w:ind w:left="851" w:right="822"/>
        <w:contextualSpacing/>
        <w:jc w:val="both"/>
        <w:rPr>
          <w:rFonts w:ascii="Palatino Linotype" w:hAnsi="Palatino Linotype"/>
          <w:i/>
          <w:sz w:val="22"/>
          <w:lang w:eastAsia="es-ES"/>
        </w:rPr>
      </w:pPr>
      <w:r w:rsidRPr="009365BF">
        <w:rPr>
          <w:rFonts w:ascii="Palatino Linotype" w:hAnsi="Palatino Linotype"/>
          <w:i/>
          <w:sz w:val="22"/>
          <w:lang w:eastAsia="es-ES"/>
        </w:rPr>
        <w:t xml:space="preserve">Artículo 122. La clasificación es el proceso mediante el cual el Sujeto Obligado determina que la información en su poder </w:t>
      </w:r>
      <w:proofErr w:type="spellStart"/>
      <w:r w:rsidRPr="009365BF">
        <w:rPr>
          <w:rFonts w:ascii="Palatino Linotype" w:hAnsi="Palatino Linotype"/>
          <w:i/>
          <w:sz w:val="22"/>
          <w:lang w:eastAsia="es-ES"/>
        </w:rPr>
        <w:t>actualiza</w:t>
      </w:r>
      <w:proofErr w:type="spellEnd"/>
      <w:r w:rsidRPr="009365BF">
        <w:rPr>
          <w:rFonts w:ascii="Palatino Linotype" w:hAnsi="Palatino Linotype"/>
          <w:i/>
          <w:sz w:val="22"/>
          <w:lang w:eastAsia="es-ES"/>
        </w:rPr>
        <w:t xml:space="preserve"> alguno de los supuestos de reserva o confidencialidad, de conformidad con lo dispuesto en el presente título.</w:t>
      </w:r>
    </w:p>
    <w:p w:rsidR="009365BF" w:rsidRPr="009365BF" w:rsidRDefault="009365BF" w:rsidP="009365BF">
      <w:pPr>
        <w:ind w:left="851" w:right="822"/>
        <w:contextualSpacing/>
        <w:jc w:val="both"/>
        <w:rPr>
          <w:rFonts w:ascii="Palatino Linotype" w:hAnsi="Palatino Linotype"/>
          <w:i/>
          <w:sz w:val="22"/>
          <w:lang w:eastAsia="es-ES"/>
        </w:rPr>
      </w:pPr>
      <w:r w:rsidRPr="009365BF">
        <w:rPr>
          <w:rFonts w:ascii="Palatino Linotype" w:hAnsi="Palatino Linotype"/>
          <w:i/>
          <w:sz w:val="22"/>
          <w:lang w:eastAsia="es-ES"/>
        </w:rPr>
        <w:t>[…]</w:t>
      </w:r>
    </w:p>
    <w:p w:rsidR="009365BF" w:rsidRPr="009365BF" w:rsidRDefault="009365BF" w:rsidP="009365BF">
      <w:pPr>
        <w:ind w:left="851" w:right="822"/>
        <w:contextualSpacing/>
        <w:jc w:val="both"/>
        <w:rPr>
          <w:rFonts w:ascii="Palatino Linotype" w:hAnsi="Palatino Linotype"/>
          <w:i/>
          <w:sz w:val="22"/>
          <w:lang w:eastAsia="es-ES"/>
        </w:rPr>
      </w:pPr>
      <w:r w:rsidRPr="009365BF">
        <w:rPr>
          <w:rFonts w:ascii="Palatino Linotype" w:hAnsi="Palatino Linotype"/>
          <w:i/>
          <w:sz w:val="22"/>
          <w:lang w:eastAsia="es-ES"/>
        </w:rPr>
        <w:t>Artículo 132. La clasificación de la información se llevará a cabo en el momento en que:</w:t>
      </w:r>
    </w:p>
    <w:p w:rsidR="009365BF" w:rsidRPr="009365BF" w:rsidRDefault="009365BF" w:rsidP="009365BF">
      <w:pPr>
        <w:ind w:left="851" w:right="822"/>
        <w:contextualSpacing/>
        <w:jc w:val="both"/>
        <w:rPr>
          <w:rFonts w:ascii="Palatino Linotype" w:hAnsi="Palatino Linotype"/>
          <w:i/>
          <w:sz w:val="22"/>
          <w:lang w:eastAsia="es-ES"/>
        </w:rPr>
      </w:pPr>
      <w:r w:rsidRPr="009365BF">
        <w:rPr>
          <w:rFonts w:ascii="Palatino Linotype" w:hAnsi="Palatino Linotype"/>
          <w:i/>
          <w:sz w:val="22"/>
          <w:lang w:eastAsia="es-ES"/>
        </w:rPr>
        <w:t>[…]</w:t>
      </w:r>
    </w:p>
    <w:p w:rsidR="009365BF" w:rsidRPr="009365BF" w:rsidRDefault="009365BF" w:rsidP="009365BF">
      <w:pPr>
        <w:ind w:left="851" w:right="822"/>
        <w:contextualSpacing/>
        <w:jc w:val="both"/>
        <w:rPr>
          <w:rFonts w:ascii="Palatino Linotype" w:hAnsi="Palatino Linotype"/>
          <w:b/>
          <w:i/>
          <w:sz w:val="22"/>
          <w:lang w:eastAsia="es-ES"/>
        </w:rPr>
      </w:pPr>
      <w:r w:rsidRPr="009365BF">
        <w:rPr>
          <w:rFonts w:ascii="Palatino Linotype" w:hAnsi="Palatino Linotype"/>
          <w:b/>
          <w:i/>
          <w:sz w:val="22"/>
          <w:lang w:eastAsia="es-ES"/>
        </w:rPr>
        <w:t>III. Se generen versiones públicas para dar cumplimiento a las obligaciones de transparencia previstas en esta Ley.</w:t>
      </w:r>
    </w:p>
    <w:p w:rsidR="009365BF" w:rsidRPr="009365BF" w:rsidRDefault="009365BF" w:rsidP="009365BF">
      <w:pPr>
        <w:ind w:left="851" w:right="822"/>
        <w:contextualSpacing/>
        <w:jc w:val="both"/>
        <w:rPr>
          <w:rFonts w:ascii="Palatino Linotype" w:hAnsi="Palatino Linotype"/>
          <w:b/>
          <w:i/>
          <w:sz w:val="22"/>
          <w:u w:val="single"/>
          <w:lang w:eastAsia="es-ES"/>
        </w:rPr>
      </w:pPr>
      <w:r w:rsidRPr="009365BF">
        <w:rPr>
          <w:rFonts w:ascii="Palatino Linotype" w:hAnsi="Palatino Linotype"/>
          <w:b/>
          <w:i/>
          <w:sz w:val="22"/>
          <w:lang w:eastAsia="es-ES"/>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9365BF">
        <w:rPr>
          <w:rFonts w:ascii="Palatino Linotype" w:hAnsi="Palatino Linotype"/>
          <w:b/>
          <w:i/>
          <w:sz w:val="22"/>
          <w:u w:val="single"/>
          <w:lang w:eastAsia="es-ES"/>
        </w:rPr>
        <w:t>de manera genérica y fundando y motivando su clasificación.” (Sic)</w:t>
      </w:r>
    </w:p>
    <w:p w:rsidR="009365BF" w:rsidRPr="009365BF" w:rsidRDefault="009365BF" w:rsidP="009365BF">
      <w:pPr>
        <w:spacing w:line="360" w:lineRule="auto"/>
        <w:ind w:right="49"/>
        <w:contextualSpacing/>
        <w:jc w:val="both"/>
        <w:rPr>
          <w:rFonts w:ascii="Palatino Linotype" w:hAnsi="Palatino Linotype"/>
          <w:b/>
          <w:i/>
          <w:u w:val="single"/>
          <w:lang w:eastAsia="es-ES"/>
        </w:rPr>
      </w:pPr>
    </w:p>
    <w:p w:rsidR="009365BF" w:rsidRPr="009365BF" w:rsidRDefault="009365BF" w:rsidP="009365BF">
      <w:pPr>
        <w:spacing w:before="240" w:after="240" w:line="360" w:lineRule="auto"/>
        <w:contextualSpacing/>
        <w:jc w:val="both"/>
        <w:rPr>
          <w:rFonts w:ascii="Palatino Linotype" w:hAnsi="Palatino Linotype"/>
          <w:lang w:eastAsia="es-ES"/>
        </w:rPr>
      </w:pPr>
      <w:r w:rsidRPr="009365BF">
        <w:rPr>
          <w:rFonts w:ascii="Palatino Linotype" w:hAnsi="Palatino Linotype"/>
          <w:lang w:eastAsia="es-ES"/>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w:t>
      </w:r>
      <w:r w:rsidRPr="009365BF">
        <w:rPr>
          <w:rFonts w:ascii="Palatino Linotype" w:hAnsi="Palatino Linotype"/>
          <w:lang w:eastAsia="es-ES"/>
        </w:rPr>
        <w:lastRenderedPageBreak/>
        <w:t xml:space="preserve">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9365BF" w:rsidRPr="009365BF" w:rsidRDefault="009365BF" w:rsidP="009365BF">
      <w:pPr>
        <w:spacing w:before="240" w:after="240" w:line="360" w:lineRule="auto"/>
        <w:contextualSpacing/>
        <w:jc w:val="both"/>
        <w:rPr>
          <w:rFonts w:ascii="Palatino Linotype" w:hAnsi="Palatino Linotype"/>
          <w:lang w:eastAsia="es-ES"/>
        </w:rPr>
      </w:pPr>
      <w:r w:rsidRPr="009365BF">
        <w:rPr>
          <w:rFonts w:ascii="Palatino Linotype" w:hAnsi="Palatino Linotype"/>
          <w:lang w:eastAsia="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9365BF" w:rsidRPr="009365BF" w:rsidRDefault="009365BF" w:rsidP="009365BF">
      <w:pPr>
        <w:spacing w:before="240" w:after="240" w:line="360" w:lineRule="auto"/>
        <w:contextualSpacing/>
        <w:jc w:val="both"/>
        <w:rPr>
          <w:rFonts w:ascii="Palatino Linotype" w:hAnsi="Palatino Linotype"/>
          <w:lang w:eastAsia="es-ES"/>
        </w:rPr>
      </w:pPr>
      <w:r w:rsidRPr="009365BF">
        <w:rPr>
          <w:rFonts w:ascii="Palatino Linotype" w:hAnsi="Palatino Linotype"/>
          <w:lang w:eastAsia="es-ES"/>
        </w:rPr>
        <w:t xml:space="preserve">Así, los LINEAMIENTOS GENERALES EN MATERIA DE CLASIFICACIÓN Y DESCLASIFICACIÓN DE LA INFORMACIÓN, ASÍ COMO PARA LA ELABORACIÓN DE VERSIONES PÚBLICAS, emitidos por Consejo Nacional del Sistema Nacional de Transparencia, señalan con claridad cuáles son aquellos datos personales que deben ser clasificados al momento de la elaboración de las versiones públicas. </w:t>
      </w:r>
    </w:p>
    <w:p w:rsidR="009365BF" w:rsidRPr="009365BF" w:rsidRDefault="009365BF" w:rsidP="009365BF">
      <w:pPr>
        <w:spacing w:before="240" w:after="240" w:line="360" w:lineRule="auto"/>
        <w:contextualSpacing/>
        <w:jc w:val="both"/>
        <w:rPr>
          <w:rFonts w:ascii="Palatino Linotype" w:hAnsi="Palatino Linotype"/>
          <w:lang w:eastAsia="es-ES"/>
        </w:rPr>
      </w:pPr>
      <w:r w:rsidRPr="009365BF">
        <w:rPr>
          <w:rFonts w:ascii="Palatino Linotype" w:hAnsi="Palatino Linotype"/>
          <w:lang w:eastAsia="es-ES"/>
        </w:rPr>
        <w:t xml:space="preserve">Efectivamente, cuando se clasifica información como confidencial o reservada </w:t>
      </w:r>
      <w:r w:rsidRPr="009365BF">
        <w:rPr>
          <w:rFonts w:ascii="Palatino Linotype" w:hAnsi="Palatino Linotype"/>
          <w:b/>
          <w:lang w:eastAsia="es-ES"/>
        </w:rPr>
        <w:t>es deber someterlo al Comité de Transparencia</w:t>
      </w:r>
      <w:r w:rsidRPr="009365BF">
        <w:rPr>
          <w:rFonts w:ascii="Palatino Linotype" w:hAnsi="Palatino Linotype"/>
          <w:lang w:eastAsia="es-ES"/>
        </w:rPr>
        <w:t xml:space="preserve">,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w:t>
      </w:r>
      <w:r w:rsidRPr="009365BF">
        <w:rPr>
          <w:rFonts w:ascii="Palatino Linotype" w:hAnsi="Palatino Linotype"/>
          <w:lang w:eastAsia="es-ES"/>
        </w:rPr>
        <w:lastRenderedPageBreak/>
        <w:t>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9365BF" w:rsidRPr="009365BF" w:rsidRDefault="009365BF" w:rsidP="009365BF">
      <w:pPr>
        <w:spacing w:before="240" w:after="240" w:line="360" w:lineRule="auto"/>
        <w:jc w:val="both"/>
        <w:rPr>
          <w:rFonts w:ascii="Palatino Linotype" w:eastAsia="Calibri" w:hAnsi="Palatino Linotype" w:cs="Tahoma"/>
          <w:iCs/>
          <w:lang w:eastAsia="es-ES_tradnl"/>
        </w:rPr>
      </w:pPr>
      <w:r w:rsidRPr="009365BF">
        <w:rPr>
          <w:rFonts w:ascii="Palatino Linotype" w:eastAsia="Calibri" w:hAnsi="Palatino Linotype" w:cs="Tahoma"/>
          <w:iCs/>
          <w:lang w:eastAsia="es-ES_tradnl"/>
        </w:rPr>
        <w:t>Por otro lado, si bien es cierto, que entregar el nombre de los servidores públicos que obtuvieron alguna sanción, podría generar una percepción negativa de estos, ocasionando un perjuicio en su honor, intimidad, buena imagen y nombre, así como a su vida privada, también lo es, que en el presente caso se trata de responsabilidades graves.</w:t>
      </w:r>
    </w:p>
    <w:p w:rsidR="009365BF" w:rsidRPr="009365BF" w:rsidRDefault="009365BF" w:rsidP="009365BF">
      <w:pPr>
        <w:spacing w:before="240" w:after="240" w:line="360" w:lineRule="auto"/>
        <w:jc w:val="both"/>
        <w:rPr>
          <w:rFonts w:ascii="Palatino Linotype" w:eastAsia="Calibri" w:hAnsi="Palatino Linotype" w:cs="Tahoma"/>
          <w:iCs/>
          <w:lang w:eastAsia="es-ES_tradnl"/>
        </w:rPr>
      </w:pPr>
      <w:r w:rsidRPr="009365BF">
        <w:rPr>
          <w:rFonts w:ascii="Palatino Linotype" w:eastAsia="Calibri" w:hAnsi="Palatino Linotype" w:cs="Tahoma"/>
          <w:iCs/>
          <w:lang w:eastAsia="es-ES_tradnl"/>
        </w:rPr>
        <w:t>Al respecto, se puede establecer responsabilidades graves, cuando un servidor público cometa actos de corrupción, desvío de recursos públicos, abuso de funciones, realizar hostigamiento y acoso sexual, enriquecimiento oculto, tráfico de influencias, entre otros, los cuales recaer en diversas sanciones, entre las que se encuentran la recisión, o en su caso, la sanción económica.</w:t>
      </w:r>
    </w:p>
    <w:p w:rsidR="009365BF" w:rsidRPr="009365BF" w:rsidRDefault="009365BF" w:rsidP="009365BF">
      <w:pPr>
        <w:spacing w:before="240" w:after="240" w:line="360" w:lineRule="auto"/>
        <w:jc w:val="both"/>
        <w:rPr>
          <w:rFonts w:ascii="Palatino Linotype" w:eastAsia="Calibri" w:hAnsi="Palatino Linotype" w:cs="Tahoma"/>
          <w:iCs/>
          <w:lang w:eastAsia="es-ES_tradnl"/>
        </w:rPr>
      </w:pPr>
      <w:r w:rsidRPr="009365BF">
        <w:rPr>
          <w:rFonts w:ascii="Palatino Linotype" w:eastAsia="Calibri" w:hAnsi="Palatino Linotype" w:cs="Tahoma"/>
          <w:iCs/>
          <w:lang w:eastAsia="es-ES_tradnl"/>
        </w:rPr>
        <w:t>Además, cabe señalar que la mayoría de dichas conductas, se encuentran reguladas en el Título Sexto Delitos por Hechos de Corrupción, del Código Penal del Estado de México, en donde se prevé como delitos el abuso de autoridad, uso ilícito de atribuciones, ejercicio abusivo de funciones y enriquecimiento ilícito.</w:t>
      </w:r>
    </w:p>
    <w:p w:rsidR="009365BF" w:rsidRPr="009365BF" w:rsidRDefault="009365BF" w:rsidP="009365BF">
      <w:pPr>
        <w:spacing w:before="240" w:after="240" w:line="360" w:lineRule="auto"/>
        <w:jc w:val="both"/>
        <w:rPr>
          <w:rFonts w:ascii="Palatino Linotype" w:eastAsia="Calibri" w:hAnsi="Palatino Linotype" w:cs="Tahoma"/>
          <w:iCs/>
          <w:lang w:eastAsia="es-ES_tradnl"/>
        </w:rPr>
      </w:pPr>
      <w:r w:rsidRPr="009365BF">
        <w:rPr>
          <w:rFonts w:ascii="Palatino Linotype" w:eastAsia="Calibri" w:hAnsi="Palatino Linotype" w:cs="Tahoma"/>
          <w:iCs/>
          <w:lang w:eastAsia="es-ES_tradnl"/>
        </w:rPr>
        <w:t>Conforme a lo anterior, se logra vislumbrar que las responsabilidades graves, causan un perjuicio de manera externa, esto es, a terceras personas o bien, a la hacienda o erario público; por lo que, se podría considerar que existe una trascendencia social, para dar a conocer dicha información, además que se relacionan dichas conductas con actos de corrupción, conforme a la normatividad citada en el párrafo previo.</w:t>
      </w:r>
    </w:p>
    <w:p w:rsidR="009365BF" w:rsidRPr="009365BF" w:rsidRDefault="009365BF" w:rsidP="009365BF">
      <w:pPr>
        <w:spacing w:before="240" w:after="240" w:line="360" w:lineRule="auto"/>
        <w:jc w:val="both"/>
        <w:rPr>
          <w:rFonts w:ascii="Palatino Linotype" w:eastAsia="Calibri" w:hAnsi="Palatino Linotype" w:cs="Tahoma"/>
          <w:iCs/>
          <w:lang w:eastAsia="es-ES_tradnl"/>
        </w:rPr>
      </w:pPr>
      <w:r w:rsidRPr="009365BF">
        <w:rPr>
          <w:rFonts w:ascii="Palatino Linotype" w:eastAsia="Calibri" w:hAnsi="Palatino Linotype" w:cs="Tahoma"/>
          <w:iCs/>
          <w:lang w:eastAsia="es-ES_tradnl"/>
        </w:rPr>
        <w:lastRenderedPageBreak/>
        <w:t>En ese orden de ideas, si bien los procedimientos solicitados, podrían generar una percepción negativa de los servidores públicos que les acreditó una responsabilidad grave, ocasionaría un perjuicio en su honor, intimidad y buena imagen, también lo es que existe un interés público en darlas a conocer, pues establecen que el actuar de los Servidores Públicos, en ejercicio de sus atribuciones, fueron en contra de las disposiciones normativas aplicables y que causaron un perjuicio a otras personas o al erario público.</w:t>
      </w:r>
    </w:p>
    <w:p w:rsidR="009365BF" w:rsidRPr="009365BF" w:rsidRDefault="009365BF" w:rsidP="009365BF">
      <w:pPr>
        <w:spacing w:before="240" w:after="240" w:line="360" w:lineRule="auto"/>
        <w:jc w:val="both"/>
        <w:rPr>
          <w:rFonts w:ascii="Palatino Linotype" w:eastAsia="Calibri" w:hAnsi="Palatino Linotype" w:cs="Tahoma"/>
          <w:bCs/>
          <w:lang w:eastAsia="en-US"/>
        </w:rPr>
      </w:pPr>
      <w:r w:rsidRPr="009365BF">
        <w:rPr>
          <w:rFonts w:ascii="Palatino Linotype" w:eastAsia="Calibri" w:hAnsi="Palatino Linotype" w:cs="Tahoma"/>
          <w:bCs/>
          <w:lang w:eastAsia="en-US"/>
        </w:rPr>
        <w:t xml:space="preserve">Ante tales circunstancias, se desprende que, en el caso concreto, sobreviene una colisión de derechos fundamentales, esto es, por una parte, se tiene el derecho de acceso a la información de la Particular para conocer la información en análisis, y por la otra, el derecho a la protección de la vida privada de diversos servidores públicos, lo cual implica dar a conocer información confidencial, consistente en los procedimientos en donde se les acredito una responsabilidad grave, de tal manera, en que los puedan reconocer. </w:t>
      </w:r>
    </w:p>
    <w:p w:rsidR="009365BF" w:rsidRPr="009365BF" w:rsidRDefault="009365BF" w:rsidP="009365BF">
      <w:pPr>
        <w:spacing w:before="240" w:after="240" w:line="360" w:lineRule="auto"/>
        <w:jc w:val="both"/>
        <w:rPr>
          <w:rFonts w:ascii="Palatino Linotype" w:eastAsia="Calibri" w:hAnsi="Palatino Linotype" w:cs="Tahoma"/>
          <w:bCs/>
          <w:lang w:eastAsia="en-US"/>
        </w:rPr>
      </w:pPr>
      <w:r w:rsidRPr="009365BF">
        <w:rPr>
          <w:rFonts w:ascii="Palatino Linotype" w:eastAsia="Calibri" w:hAnsi="Palatino Linotype" w:cs="Tahoma"/>
          <w:bCs/>
          <w:lang w:eastAsia="en-US"/>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rsidR="009365BF" w:rsidRPr="009365BF" w:rsidRDefault="009365BF" w:rsidP="009365BF">
      <w:pPr>
        <w:spacing w:before="240" w:after="240" w:line="360" w:lineRule="auto"/>
        <w:jc w:val="both"/>
        <w:rPr>
          <w:rFonts w:ascii="Palatino Linotype" w:eastAsia="Calibri" w:hAnsi="Palatino Linotype" w:cs="Tahoma"/>
          <w:bCs/>
          <w:lang w:eastAsia="en-US"/>
        </w:rPr>
      </w:pPr>
      <w:r w:rsidRPr="009365BF">
        <w:rPr>
          <w:rFonts w:ascii="Palatino Linotype" w:eastAsia="Calibri" w:hAnsi="Palatino Linotype" w:cs="Tahoma"/>
          <w:bCs/>
          <w:lang w:eastAsia="en-US"/>
        </w:rPr>
        <w:t xml:space="preserve">Por cuanto hace a la colisión entre el derecho a la información y el derecho a la intimidad o a la vida privada, el Poder Judicial de la Federación ha sostenido la necesidad de resolver el conflicto apuntado mediante el ejercicio de ponderación; además, que el interés público que tenga cierta información, será concepto legitimador </w:t>
      </w:r>
      <w:r w:rsidRPr="009365BF">
        <w:rPr>
          <w:rFonts w:ascii="Palatino Linotype" w:eastAsia="Calibri" w:hAnsi="Palatino Linotype" w:cs="Tahoma"/>
          <w:bCs/>
          <w:lang w:eastAsia="en-US"/>
        </w:rPr>
        <w:lastRenderedPageBreak/>
        <w:t>de las intromisiones en la intimidad o la vida privada, en donde este derecho debe ceder a favor del derecho a comunicar y recibir información, atendiendo a las circunstancias de cada caso en concreto, tal y como se desprende de la tesis 1a. XLIII/2010, emitida por la Primera Sala de la Suprema Corte de Justicia de la Nación, publicada en el Semanario Judicial de la Federación y su Gaceta, Tomo XXXI, página 928, de marzo de 2010, Novena Época, materia constitucional.</w:t>
      </w:r>
    </w:p>
    <w:p w:rsidR="009365BF" w:rsidRPr="009365BF" w:rsidRDefault="009365BF" w:rsidP="009365BF">
      <w:pPr>
        <w:spacing w:before="240" w:after="240" w:line="360" w:lineRule="auto"/>
        <w:jc w:val="both"/>
        <w:rPr>
          <w:rFonts w:ascii="Palatino Linotype" w:hAnsi="Palatino Linotype" w:cs="Tahoma"/>
          <w:bCs/>
          <w:iCs/>
          <w:lang w:eastAsia="es-ES"/>
        </w:rPr>
      </w:pPr>
      <w:r w:rsidRPr="009365BF">
        <w:rPr>
          <w:rFonts w:ascii="Palatino Linotype" w:eastAsia="Calibri" w:hAnsi="Palatino Linotype" w:cs="Tahoma"/>
          <w:bCs/>
          <w:lang w:eastAsia="en-US"/>
        </w:rPr>
        <w:t>En ese mismo sentido y atendiendo a la naturaleza del derecho a la protección de datos personales, por analogía, este debe ceder cuando exista un interés público mayor de acuerdo a las circunstancias del caso.</w:t>
      </w:r>
      <w:r w:rsidRPr="009365BF">
        <w:rPr>
          <w:rFonts w:ascii="Palatino Linotype" w:hAnsi="Palatino Linotype" w:cs="Tahoma"/>
          <w:bCs/>
          <w:iCs/>
          <w:lang w:eastAsia="es-ES"/>
        </w:rPr>
        <w:t xml:space="preserve"> Señalado lo anterior, resulta necesario realizar una ponderación de los dos intereses jurídicos tutelados que convergen en la controversia que se dirime; para lo cual, el artículo </w:t>
      </w:r>
      <w:r w:rsidRPr="009365BF">
        <w:rPr>
          <w:rFonts w:ascii="Palatino Linotype" w:eastAsia="Calibri" w:hAnsi="Palatino Linotype" w:cs="Tahoma"/>
          <w:bCs/>
          <w:lang w:eastAsia="en-US"/>
        </w:rPr>
        <w:t>184 de la Ley de Transparencia y Acceso a la Información Pública del Estado de México y Municipios</w:t>
      </w:r>
      <w:r w:rsidRPr="009365BF">
        <w:rPr>
          <w:rFonts w:ascii="Palatino Linotype" w:hAnsi="Palatino Linotype" w:cs="Tahoma"/>
          <w:bCs/>
          <w:iCs/>
          <w:lang w:eastAsia="es-ES"/>
        </w:rPr>
        <w:t xml:space="preserve"> prevé que cuando exista una colisión de derechos, este Instituto, al resolver el recurso de revisión, debe aplicar una prueba de interés público con base en elementos de idoneidad, necesidad y proporcionalidad. Para estos efectos, se entenderá por: </w:t>
      </w:r>
    </w:p>
    <w:p w:rsidR="009365BF" w:rsidRPr="009365BF" w:rsidRDefault="009365BF" w:rsidP="009365BF">
      <w:pPr>
        <w:numPr>
          <w:ilvl w:val="0"/>
          <w:numId w:val="17"/>
        </w:numPr>
        <w:spacing w:line="360" w:lineRule="auto"/>
        <w:ind w:left="851" w:hanging="426"/>
        <w:contextualSpacing/>
        <w:jc w:val="both"/>
        <w:rPr>
          <w:rFonts w:ascii="Palatino Linotype" w:hAnsi="Palatino Linotype" w:cs="Tahoma"/>
          <w:bCs/>
          <w:iCs/>
          <w:sz w:val="22"/>
          <w:szCs w:val="22"/>
          <w:lang w:eastAsia="es-ES"/>
        </w:rPr>
      </w:pPr>
      <w:r w:rsidRPr="009365BF">
        <w:rPr>
          <w:rFonts w:ascii="Palatino Linotype" w:hAnsi="Palatino Linotype" w:cs="Tahoma"/>
          <w:b/>
          <w:bCs/>
          <w:iCs/>
          <w:sz w:val="22"/>
          <w:szCs w:val="22"/>
          <w:lang w:eastAsia="es-ES"/>
        </w:rPr>
        <w:t>Idoneidad:</w:t>
      </w:r>
      <w:r w:rsidRPr="009365BF">
        <w:rPr>
          <w:rFonts w:ascii="Palatino Linotype" w:hAnsi="Palatino Linotype" w:cs="Tahoma"/>
          <w:bCs/>
          <w:iCs/>
          <w:sz w:val="22"/>
          <w:szCs w:val="22"/>
          <w:lang w:eastAsia="es-ES"/>
        </w:rPr>
        <w:t xml:space="preserve"> La legitimidad del derecho adoptado como preferente, que sea el adecuado para el logro de un fin constitucionalmente válido o apto para conseguir el fin pretendido;</w:t>
      </w:r>
    </w:p>
    <w:p w:rsidR="009365BF" w:rsidRPr="009365BF" w:rsidRDefault="009365BF" w:rsidP="009365BF">
      <w:pPr>
        <w:numPr>
          <w:ilvl w:val="0"/>
          <w:numId w:val="17"/>
        </w:numPr>
        <w:spacing w:line="360" w:lineRule="auto"/>
        <w:ind w:left="851" w:hanging="426"/>
        <w:contextualSpacing/>
        <w:jc w:val="both"/>
        <w:rPr>
          <w:rFonts w:ascii="Palatino Linotype" w:hAnsi="Palatino Linotype" w:cs="Tahoma"/>
          <w:bCs/>
          <w:iCs/>
          <w:sz w:val="22"/>
          <w:szCs w:val="22"/>
          <w:lang w:eastAsia="es-ES"/>
        </w:rPr>
      </w:pPr>
      <w:r w:rsidRPr="009365BF">
        <w:rPr>
          <w:rFonts w:ascii="Palatino Linotype" w:hAnsi="Palatino Linotype" w:cs="Tahoma"/>
          <w:b/>
          <w:bCs/>
          <w:iCs/>
          <w:sz w:val="22"/>
          <w:szCs w:val="22"/>
          <w:lang w:eastAsia="es-ES"/>
        </w:rPr>
        <w:t>Necesidad:</w:t>
      </w:r>
      <w:r w:rsidRPr="009365BF">
        <w:rPr>
          <w:rFonts w:ascii="Palatino Linotype" w:hAnsi="Palatino Linotype" w:cs="Tahoma"/>
          <w:bCs/>
          <w:iCs/>
          <w:sz w:val="22"/>
          <w:szCs w:val="22"/>
          <w:lang w:eastAsia="es-ES"/>
        </w:rPr>
        <w:t xml:space="preserve"> La falta de un medio alternativo menos lesivo a la apertura de la información, para satisfacer el interés público, y</w:t>
      </w:r>
    </w:p>
    <w:p w:rsidR="009365BF" w:rsidRPr="009365BF" w:rsidRDefault="009365BF" w:rsidP="009365BF">
      <w:pPr>
        <w:numPr>
          <w:ilvl w:val="0"/>
          <w:numId w:val="17"/>
        </w:numPr>
        <w:spacing w:line="360" w:lineRule="auto"/>
        <w:ind w:left="851" w:hanging="426"/>
        <w:contextualSpacing/>
        <w:jc w:val="both"/>
        <w:rPr>
          <w:rFonts w:ascii="Palatino Linotype" w:hAnsi="Palatino Linotype" w:cs="Tahoma"/>
          <w:bCs/>
          <w:iCs/>
          <w:sz w:val="22"/>
          <w:szCs w:val="22"/>
          <w:lang w:eastAsia="es-ES"/>
        </w:rPr>
      </w:pPr>
      <w:r w:rsidRPr="009365BF">
        <w:rPr>
          <w:rFonts w:ascii="Palatino Linotype" w:hAnsi="Palatino Linotype" w:cs="Tahoma"/>
          <w:b/>
          <w:bCs/>
          <w:iCs/>
          <w:sz w:val="22"/>
          <w:szCs w:val="22"/>
          <w:lang w:eastAsia="es-ES"/>
        </w:rPr>
        <w:t>Proporcionalidad:</w:t>
      </w:r>
      <w:r w:rsidRPr="009365BF">
        <w:rPr>
          <w:rFonts w:ascii="Palatino Linotype" w:hAnsi="Palatino Linotype" w:cs="Tahoma"/>
          <w:bCs/>
          <w:iCs/>
          <w:sz w:val="22"/>
          <w:szCs w:val="22"/>
          <w:lang w:eastAsia="es-ES"/>
        </w:rPr>
        <w:t xml:space="preserve"> El equilibrio entre perjuicio y beneficio a favor del interés público, a fin de que la decisión tomada represente un beneficio mayor al perjuicio que podría causar a la población.</w:t>
      </w:r>
    </w:p>
    <w:p w:rsidR="009365BF" w:rsidRPr="009365BF" w:rsidRDefault="009365BF" w:rsidP="009365BF">
      <w:pPr>
        <w:spacing w:line="360" w:lineRule="auto"/>
        <w:jc w:val="both"/>
        <w:rPr>
          <w:rFonts w:ascii="Palatino Linotype" w:eastAsia="Calibri" w:hAnsi="Palatino Linotype" w:cs="Tahoma"/>
          <w:lang w:eastAsia="es-ES"/>
        </w:rPr>
      </w:pPr>
      <w:r w:rsidRPr="009365BF">
        <w:rPr>
          <w:rFonts w:ascii="Palatino Linotype" w:eastAsia="Calibri" w:hAnsi="Palatino Linotype" w:cs="Tahoma"/>
          <w:lang w:eastAsia="es-ES"/>
        </w:rPr>
        <w:lastRenderedPageBreak/>
        <w:t>En ese orden de ideas, resulta procedente analizar cada uno de los elementos referidos, partiendo de que, en el caso concreto, se estima como preferente el derecho de acceso a la información, bajo las consideraciones que se verterán a continuación.</w:t>
      </w:r>
    </w:p>
    <w:p w:rsidR="009365BF" w:rsidRPr="009365BF" w:rsidRDefault="009365BF" w:rsidP="009365BF">
      <w:pPr>
        <w:spacing w:line="360" w:lineRule="auto"/>
        <w:jc w:val="both"/>
        <w:rPr>
          <w:rFonts w:ascii="Palatino Linotype" w:eastAsia="Calibri" w:hAnsi="Palatino Linotype" w:cs="Tahoma"/>
          <w:lang w:eastAsia="es-ES"/>
        </w:rPr>
      </w:pPr>
    </w:p>
    <w:p w:rsidR="009365BF" w:rsidRPr="009365BF" w:rsidRDefault="009365BF" w:rsidP="009365BF">
      <w:pPr>
        <w:spacing w:line="360" w:lineRule="auto"/>
        <w:jc w:val="both"/>
        <w:rPr>
          <w:rFonts w:ascii="Palatino Linotype" w:eastAsia="Calibri" w:hAnsi="Palatino Linotype" w:cs="Tahoma"/>
          <w:b/>
          <w:iCs/>
          <w:lang w:eastAsia="es-ES_tradnl"/>
        </w:rPr>
      </w:pPr>
      <w:r w:rsidRPr="009365BF">
        <w:rPr>
          <w:rFonts w:ascii="Palatino Linotype" w:eastAsia="Calibri" w:hAnsi="Palatino Linotype" w:cs="Tahoma"/>
          <w:b/>
          <w:bCs/>
          <w:iCs/>
          <w:lang w:eastAsia="es-ES"/>
        </w:rPr>
        <w:t>a) Idoneidad</w:t>
      </w:r>
      <w:r w:rsidRPr="009365BF">
        <w:rPr>
          <w:rFonts w:ascii="Palatino Linotype" w:eastAsia="Calibri" w:hAnsi="Palatino Linotype" w:cs="Tahoma"/>
          <w:bCs/>
          <w:lang w:eastAsia="en-US"/>
        </w:rPr>
        <w:t>. El presente asunto representa un caso en el que el ejercicio del derecho de acceso a la información se contrapone al derecho a la vida privada, los cuales se encuentran reconocidos en el plano constitucional, en igualdad de características para los gobernados.</w:t>
      </w:r>
    </w:p>
    <w:p w:rsidR="009365BF" w:rsidRPr="009365BF" w:rsidRDefault="009365BF" w:rsidP="009365BF">
      <w:pPr>
        <w:spacing w:before="240" w:after="240" w:line="360" w:lineRule="auto"/>
        <w:jc w:val="both"/>
        <w:rPr>
          <w:rFonts w:ascii="Palatino Linotype" w:eastAsia="Calibri" w:hAnsi="Palatino Linotype" w:cs="Tahoma"/>
          <w:iCs/>
          <w:lang w:eastAsia="es-ES_tradnl"/>
        </w:rPr>
      </w:pPr>
      <w:r w:rsidRPr="009365BF">
        <w:rPr>
          <w:rFonts w:ascii="Palatino Linotype" w:eastAsia="Calibri" w:hAnsi="Palatino Linotype" w:cs="Tahoma"/>
          <w:iCs/>
          <w:lang w:eastAsia="es-ES_tradnl"/>
        </w:rPr>
        <w:t xml:space="preserve">Sin embargo, </w:t>
      </w:r>
      <w:r w:rsidRPr="009365BF">
        <w:rPr>
          <w:rFonts w:ascii="Palatino Linotype" w:eastAsia="Calibri" w:hAnsi="Palatino Linotype" w:cs="Tahoma"/>
          <w:bCs/>
          <w:iCs/>
          <w:lang w:eastAsia="es-ES_tradnl"/>
        </w:rPr>
        <w:t xml:space="preserve">existen dos fines válidos para otorgar </w:t>
      </w:r>
      <w:r w:rsidRPr="009365BF">
        <w:rPr>
          <w:rFonts w:ascii="Palatino Linotype" w:eastAsia="Calibri" w:hAnsi="Palatino Linotype" w:cs="Tahoma"/>
          <w:iCs/>
          <w:lang w:eastAsia="es-ES_tradnl"/>
        </w:rPr>
        <w:t>los acuerdos emitidos en los expedientes de procedimientos de responsabilidades graves</w:t>
      </w:r>
      <w:r w:rsidRPr="009365BF">
        <w:rPr>
          <w:rFonts w:ascii="Palatino Linotype" w:eastAsia="Calibri" w:hAnsi="Palatino Linotype" w:cs="Tahoma"/>
          <w:bCs/>
          <w:iCs/>
          <w:lang w:eastAsia="es-ES_tradnl"/>
        </w:rPr>
        <w:t xml:space="preserve">; los cuales, </w:t>
      </w:r>
      <w:r w:rsidRPr="009365BF">
        <w:rPr>
          <w:rFonts w:ascii="Palatino Linotype" w:eastAsia="Calibri" w:hAnsi="Palatino Linotype" w:cs="Tahoma"/>
          <w:iCs/>
          <w:lang w:eastAsia="es-ES_tradnl"/>
        </w:rPr>
        <w:t>consisten en transparentar, por un lado, el desempeño de dichos trabajadores en cuestión en el ejercicio de sus funciones, sobre todo, dado que se tratan de servidores públicos, con la finalidad de calificar su actuar, ello con independencia de que tal funcionario también revista el carácter de persona física identificada e identificable, y, por otro lado, la actividad desplegada por el Sujeto Obligado, en la investigación y determinación de los asuntos. Aunado, a que se relacionan con responsabilidades calificadas como graves.</w:t>
      </w:r>
    </w:p>
    <w:p w:rsidR="009365BF" w:rsidRPr="009365BF" w:rsidRDefault="009365BF" w:rsidP="009365BF">
      <w:pPr>
        <w:spacing w:before="240" w:after="240" w:line="360" w:lineRule="auto"/>
        <w:jc w:val="both"/>
        <w:rPr>
          <w:rFonts w:ascii="Palatino Linotype" w:eastAsia="Calibri" w:hAnsi="Palatino Linotype" w:cs="Tahoma"/>
          <w:iCs/>
          <w:lang w:eastAsia="es-ES_tradnl"/>
        </w:rPr>
      </w:pPr>
      <w:r w:rsidRPr="009365BF">
        <w:rPr>
          <w:rFonts w:ascii="Palatino Linotype" w:eastAsia="Calibri" w:hAnsi="Palatino Linotype" w:cs="Tahoma"/>
          <w:iCs/>
          <w:lang w:eastAsia="es-ES_tradnl"/>
        </w:rPr>
        <w:t xml:space="preserve">Ahora bien, respecto al derecho al honor y a la privacidad, es establecido que cuando se hace referencia a servidores públicos, el umbral de protección del derecho a su honor debe permitir el más amplio control ciudadano sobre el ejercicio de sus funciones, porque el funcionario público se expone voluntariamente al escrutinio de la sociedad al asumir ciertas responsabilidades profesionales -lo que conlleva naturalmente mayores riesgos de sufrir afectaciones en su honor- y, porque su </w:t>
      </w:r>
      <w:r w:rsidRPr="009365BF">
        <w:rPr>
          <w:rFonts w:ascii="Palatino Linotype" w:eastAsia="Calibri" w:hAnsi="Palatino Linotype" w:cs="Tahoma"/>
          <w:iCs/>
          <w:lang w:eastAsia="es-ES_tradnl"/>
        </w:rPr>
        <w:lastRenderedPageBreak/>
        <w:t>condición le permite tener mayor influencia social y acceder con facilidad a los medios de comunicación para dar explicaciones o reaccionar ante hechos que lo involucren.</w:t>
      </w:r>
    </w:p>
    <w:p w:rsidR="009365BF" w:rsidRPr="009365BF" w:rsidRDefault="009365BF" w:rsidP="009365BF">
      <w:pPr>
        <w:spacing w:before="240" w:after="240" w:line="360" w:lineRule="auto"/>
        <w:jc w:val="both"/>
        <w:rPr>
          <w:rFonts w:ascii="Palatino Linotype" w:eastAsia="Calibri" w:hAnsi="Palatino Linotype" w:cs="Tahoma"/>
          <w:iCs/>
          <w:lang w:eastAsia="es-ES_tradnl"/>
        </w:rPr>
      </w:pPr>
      <w:r w:rsidRPr="009365BF">
        <w:rPr>
          <w:rFonts w:ascii="Palatino Linotype" w:eastAsia="Calibri" w:hAnsi="Palatino Linotype" w:cs="Tahoma"/>
          <w:iCs/>
          <w:lang w:eastAsia="es-ES_tradnl"/>
        </w:rPr>
        <w:t>Así, se advierte que aquellas personas con responsabilidades públicas mantienen la protección derivada del derecho al honor incluso cuando no estén actuando en carácter de particulares, pero las implicaciones de esta protección deben ser ponderadas con las que derivan del interés en un debate abierto sobre los asuntos públicos.</w:t>
      </w:r>
    </w:p>
    <w:p w:rsidR="009365BF" w:rsidRPr="009365BF" w:rsidRDefault="009365BF" w:rsidP="009365BF">
      <w:pPr>
        <w:spacing w:before="240" w:after="240" w:line="360" w:lineRule="auto"/>
        <w:jc w:val="both"/>
        <w:rPr>
          <w:rFonts w:ascii="Palatino Linotype" w:eastAsia="Calibri" w:hAnsi="Palatino Linotype" w:cs="Tahoma"/>
          <w:iCs/>
          <w:lang w:eastAsia="es-ES_tradnl"/>
        </w:rPr>
      </w:pPr>
      <w:r w:rsidRPr="009365BF">
        <w:rPr>
          <w:rFonts w:ascii="Palatino Linotype" w:eastAsia="Calibri" w:hAnsi="Palatino Linotype" w:cs="Tahoma"/>
          <w:iCs/>
          <w:lang w:eastAsia="es-ES_tradnl"/>
        </w:rPr>
        <w:t>En ese sentido, el hecho de que los servidores públicos concluyan sus funciones, no implica que termine el mayor nivel de tolerancia frente a la crítica de su desempeño, es decir, no significa que una vez que el servidor público termine su encargo, debe estar vedado publicar información respecto de su desempeño o que se termine el mayor nivel de tolerancia que debe tener frente a la crítica, sino que ese mayor nivel, sólo se tiene frente a la información de interés público.</w:t>
      </w:r>
    </w:p>
    <w:p w:rsidR="009365BF" w:rsidRPr="009365BF" w:rsidRDefault="009365BF" w:rsidP="009365BF">
      <w:pPr>
        <w:spacing w:before="240" w:after="240" w:line="360" w:lineRule="auto"/>
        <w:jc w:val="both"/>
        <w:rPr>
          <w:rFonts w:ascii="Palatino Linotype" w:eastAsia="Calibri" w:hAnsi="Palatino Linotype" w:cs="Tahoma"/>
          <w:bCs/>
          <w:iCs/>
          <w:lang w:eastAsia="es-ES_tradnl"/>
        </w:rPr>
      </w:pPr>
      <w:r w:rsidRPr="009365BF">
        <w:rPr>
          <w:rFonts w:ascii="Palatino Linotype" w:eastAsia="Calibri" w:hAnsi="Palatino Linotype" w:cs="Tahoma"/>
          <w:iCs/>
          <w:lang w:eastAsia="es-ES_tradnl"/>
        </w:rPr>
        <w:t>En ese contexto</w:t>
      </w:r>
      <w:r w:rsidRPr="009365BF">
        <w:rPr>
          <w:rFonts w:ascii="Palatino Linotype" w:eastAsia="Calibri" w:hAnsi="Palatino Linotype" w:cs="Tahoma"/>
          <w:bCs/>
          <w:iCs/>
          <w:lang w:eastAsia="es-ES_tradnl"/>
        </w:rPr>
        <w:t xml:space="preserve">, dado que la información se relaciona con el actuar de los </w:t>
      </w:r>
      <w:r w:rsidR="006A327F">
        <w:rPr>
          <w:rFonts w:ascii="Palatino Linotype" w:eastAsia="Calibri" w:hAnsi="Palatino Linotype" w:cs="Tahoma"/>
          <w:bCs/>
          <w:iCs/>
          <w:lang w:eastAsia="es-ES_tradnl"/>
        </w:rPr>
        <w:t>servidores públicos</w:t>
      </w:r>
      <w:r w:rsidRPr="009365BF">
        <w:rPr>
          <w:rFonts w:ascii="Palatino Linotype" w:eastAsia="Calibri" w:hAnsi="Palatino Linotype" w:cs="Tahoma"/>
          <w:bCs/>
          <w:iCs/>
          <w:lang w:eastAsia="es-ES_tradnl"/>
        </w:rPr>
        <w:t xml:space="preserve">, existe un interés público por conocer </w:t>
      </w:r>
      <w:r w:rsidRPr="009365BF">
        <w:rPr>
          <w:rFonts w:ascii="Palatino Linotype" w:eastAsia="Calibri" w:hAnsi="Palatino Linotype" w:cs="Tahoma"/>
          <w:iCs/>
          <w:lang w:eastAsia="es-ES_tradnl"/>
        </w:rPr>
        <w:t>los procedimientos generados en análisis vinculados con el nombre del servidor público sancionado,</w:t>
      </w:r>
      <w:r w:rsidRPr="009365BF">
        <w:rPr>
          <w:rFonts w:ascii="Palatino Linotype" w:eastAsia="Calibri" w:hAnsi="Palatino Linotype" w:cs="Tahoma"/>
          <w:bCs/>
          <w:iCs/>
          <w:lang w:eastAsia="es-ES_tradnl"/>
        </w:rPr>
        <w:t xml:space="preserve"> y, por lo tanto, la información del interés del particular no es susceptible de protección en tanto que su vinculación con una persona determinada reviste un interés público mayor de ser dado a conocer. </w:t>
      </w:r>
    </w:p>
    <w:p w:rsidR="009365BF" w:rsidRPr="009365BF" w:rsidRDefault="009365BF" w:rsidP="009365BF">
      <w:pPr>
        <w:spacing w:before="240" w:after="240" w:line="360" w:lineRule="auto"/>
        <w:jc w:val="both"/>
        <w:rPr>
          <w:rFonts w:ascii="Palatino Linotype" w:eastAsia="Calibri" w:hAnsi="Palatino Linotype" w:cs="Tahoma"/>
          <w:bCs/>
          <w:iCs/>
          <w:lang w:eastAsia="es-ES_tradnl"/>
        </w:rPr>
      </w:pPr>
      <w:r w:rsidRPr="009365BF">
        <w:rPr>
          <w:rFonts w:ascii="Palatino Linotype" w:eastAsia="Calibri" w:hAnsi="Palatino Linotype" w:cs="Tahoma"/>
          <w:bCs/>
          <w:iCs/>
          <w:lang w:eastAsia="es-ES_tradnl"/>
        </w:rPr>
        <w:t xml:space="preserve">Lo anterior, ya que como se precisó en párrafos anteriores, </w:t>
      </w:r>
      <w:r w:rsidRPr="009365BF">
        <w:rPr>
          <w:rFonts w:ascii="Palatino Linotype" w:eastAsia="Calibri" w:hAnsi="Palatino Linotype" w:cs="Tahoma"/>
          <w:iCs/>
          <w:lang w:eastAsia="es-ES_tradnl"/>
        </w:rPr>
        <w:t xml:space="preserve">proporcionar la información de referencia, garantizaría la rendición de cuentas por parte de la Contraloría Municipal del Sujeto Obligado, relativo a su actuación, teniendo como consecuencia que los ciudadanos tengan confianza en sus autoridades, al poder conocer todos los documentos derivados de los procedimientos administrativos </w:t>
      </w:r>
      <w:r w:rsidRPr="009365BF">
        <w:rPr>
          <w:rFonts w:ascii="Palatino Linotype" w:eastAsia="Calibri" w:hAnsi="Palatino Linotype" w:cs="Tahoma"/>
          <w:iCs/>
          <w:lang w:eastAsia="es-ES_tradnl"/>
        </w:rPr>
        <w:lastRenderedPageBreak/>
        <w:t>disciplinarios y que hayan concluido con resolución en donde se determine que un servidor público tuvo responsabilidades graves, relacionadas al ejercicio de las funciones.</w:t>
      </w:r>
    </w:p>
    <w:p w:rsidR="009365BF" w:rsidRPr="009365BF" w:rsidRDefault="009365BF" w:rsidP="009365BF">
      <w:pPr>
        <w:spacing w:before="240" w:after="240" w:line="360" w:lineRule="auto"/>
        <w:jc w:val="both"/>
        <w:rPr>
          <w:rFonts w:ascii="Palatino Linotype" w:eastAsia="Calibri" w:hAnsi="Palatino Linotype" w:cs="Tahoma"/>
          <w:bCs/>
          <w:iCs/>
          <w:lang w:eastAsia="es-ES_tradnl"/>
        </w:rPr>
      </w:pPr>
      <w:r w:rsidRPr="009365BF">
        <w:rPr>
          <w:rFonts w:ascii="Palatino Linotype" w:eastAsia="Calibri" w:hAnsi="Palatino Linotype" w:cs="Tahoma"/>
          <w:iCs/>
          <w:lang w:eastAsia="es-ES_tradnl"/>
        </w:rPr>
        <w:t>Además, que, con dicha información, se estaría revelando que el desempeño de los servidores públicos sancionados, no fue conforme a derecho, asimismo, de dar a conocer que los referidos acreditaron que había cometido alguna responsabilidad grave.</w:t>
      </w:r>
    </w:p>
    <w:p w:rsidR="009365BF" w:rsidRPr="009365BF" w:rsidRDefault="009365BF" w:rsidP="009365BF">
      <w:pPr>
        <w:spacing w:before="240" w:after="240" w:line="360" w:lineRule="auto"/>
        <w:jc w:val="both"/>
        <w:rPr>
          <w:rFonts w:ascii="Palatino Linotype" w:eastAsia="Calibri" w:hAnsi="Palatino Linotype" w:cs="Tahoma"/>
          <w:iCs/>
          <w:lang w:eastAsia="es-ES_tradnl"/>
        </w:rPr>
      </w:pPr>
      <w:r w:rsidRPr="009365BF">
        <w:rPr>
          <w:rFonts w:ascii="Palatino Linotype" w:eastAsia="Calibri" w:hAnsi="Palatino Linotype" w:cs="Tahoma"/>
          <w:iCs/>
          <w:lang w:eastAsia="es-ES_tradnl"/>
        </w:rPr>
        <w:t>Con base en lo anterior, se considera que el principio que se debe adoptar en el presente asunto es el que subyace en el derecho fundamental de acceso a la información, puesto que a través de éste se busca no sólo satisfacer un interés individual, sino la necesidad de la colectividad de estar en posibilidad de evaluar el desempeño de los servidores públicos y autoridades.</w:t>
      </w:r>
    </w:p>
    <w:p w:rsidR="009365BF" w:rsidRPr="009365BF" w:rsidRDefault="009365BF" w:rsidP="009365BF">
      <w:pPr>
        <w:spacing w:before="240" w:after="240" w:line="360" w:lineRule="auto"/>
        <w:jc w:val="both"/>
        <w:rPr>
          <w:rFonts w:ascii="Palatino Linotype" w:eastAsia="Calibri" w:hAnsi="Palatino Linotype" w:cs="Tahoma"/>
          <w:iCs/>
          <w:lang w:eastAsia="es-ES_tradnl"/>
        </w:rPr>
      </w:pPr>
      <w:r w:rsidRPr="009365BF">
        <w:rPr>
          <w:rFonts w:ascii="Palatino Linotype" w:eastAsia="Calibri" w:hAnsi="Palatino Linotype" w:cs="Tahoma"/>
          <w:b/>
          <w:iCs/>
          <w:lang w:eastAsia="es-ES_tradnl"/>
        </w:rPr>
        <w:t xml:space="preserve">b) </w:t>
      </w:r>
      <w:bookmarkStart w:id="2" w:name="_Hlk87401894"/>
      <w:r w:rsidRPr="009365BF">
        <w:rPr>
          <w:rFonts w:ascii="Palatino Linotype" w:eastAsia="Calibri" w:hAnsi="Palatino Linotype" w:cs="Tahoma"/>
          <w:b/>
          <w:iCs/>
          <w:lang w:eastAsia="es-ES_tradnl"/>
        </w:rPr>
        <w:t>Necesidad</w:t>
      </w:r>
      <w:bookmarkEnd w:id="2"/>
      <w:r w:rsidRPr="009365BF">
        <w:rPr>
          <w:rFonts w:ascii="Palatino Linotype" w:eastAsia="Calibri" w:hAnsi="Palatino Linotype" w:cs="Tahoma"/>
          <w:b/>
          <w:iCs/>
          <w:lang w:eastAsia="es-ES_tradnl"/>
        </w:rPr>
        <w:t xml:space="preserve">: </w:t>
      </w:r>
      <w:r w:rsidRPr="009365BF">
        <w:rPr>
          <w:rFonts w:ascii="Palatino Linotype" w:eastAsia="Calibri" w:hAnsi="Palatino Linotype" w:cs="Tahoma"/>
          <w:iCs/>
          <w:lang w:eastAsia="es-ES_tradnl"/>
        </w:rPr>
        <w:t>Por otra parte, este Instituto observa que también se actualiza el principio de necesidad, ya que no existe un medio menos oneroso para lograr el fin válido, pues se estima necesaria la difusión de la información requerida, es decir, de los procedimientos en análisis</w:t>
      </w:r>
      <w:r w:rsidRPr="009365BF">
        <w:rPr>
          <w:rFonts w:ascii="Palatino Linotype" w:eastAsia="Calibri" w:hAnsi="Palatino Linotype" w:cs="Tahoma"/>
          <w:bCs/>
          <w:iCs/>
          <w:lang w:eastAsia="es-ES_tradnl"/>
        </w:rPr>
        <w:t xml:space="preserve"> vinculándolos al servidor público sancionado, pues se relacionan con el ejercicio de sus funciones de los cargos ocupados</w:t>
      </w:r>
      <w:r w:rsidRPr="009365BF">
        <w:rPr>
          <w:rFonts w:ascii="Palatino Linotype" w:eastAsia="Calibri" w:hAnsi="Palatino Linotype" w:cs="Tahoma"/>
          <w:iCs/>
          <w:lang w:eastAsia="es-ES_tradnl"/>
        </w:rPr>
        <w:t xml:space="preserve">, a fin de que los ciudadanos identifiquen el tipo de desempeño efectuado por el trabajador, en el ejercicio de sus atribuciones y así, calificar su actuar, ello con independencia de que el funcionario también revista el carácter de persona física identificada e identificable, pues, tal como se hizo alusión en el análisis que precede, la protección de sus datos personales queda supeditada al interés mayor de conocer los motivos y circunstancias </w:t>
      </w:r>
      <w:r w:rsidRPr="009365BF">
        <w:rPr>
          <w:rFonts w:ascii="Palatino Linotype" w:eastAsia="Calibri" w:hAnsi="Palatino Linotype" w:cs="Tahoma"/>
          <w:iCs/>
          <w:lang w:eastAsia="es-ES_tradnl"/>
        </w:rPr>
        <w:lastRenderedPageBreak/>
        <w:t>que dieron origen a las posibles responsabilidades instauradas en su contra, que en su caso obren en los archivos.</w:t>
      </w:r>
    </w:p>
    <w:p w:rsidR="009365BF" w:rsidRPr="009365BF" w:rsidRDefault="009365BF" w:rsidP="009365BF">
      <w:pPr>
        <w:spacing w:before="240" w:after="240" w:line="360" w:lineRule="auto"/>
        <w:jc w:val="both"/>
        <w:rPr>
          <w:rFonts w:ascii="Palatino Linotype" w:eastAsia="Calibri" w:hAnsi="Palatino Linotype" w:cs="Tahoma"/>
          <w:iCs/>
          <w:lang w:eastAsia="es-ES_tradnl"/>
        </w:rPr>
      </w:pPr>
      <w:r w:rsidRPr="009365BF">
        <w:rPr>
          <w:rFonts w:ascii="Palatino Linotype" w:eastAsia="Calibri" w:hAnsi="Palatino Linotype" w:cs="Tahoma"/>
          <w:iCs/>
          <w:lang w:eastAsia="es-ES_tradnl"/>
        </w:rPr>
        <w:t xml:space="preserve">Además, ello permite evaluar la actuación </w:t>
      </w:r>
      <w:r w:rsidRPr="00C44084">
        <w:rPr>
          <w:rFonts w:ascii="Palatino Linotype" w:eastAsia="Calibri" w:hAnsi="Palatino Linotype" w:cs="Tahoma"/>
          <w:iCs/>
          <w:lang w:eastAsia="es-ES_tradnl"/>
        </w:rPr>
        <w:t>de la Contraloría del</w:t>
      </w:r>
      <w:r w:rsidR="006A327F" w:rsidRPr="00C44084">
        <w:rPr>
          <w:rFonts w:ascii="Palatino Linotype" w:eastAsia="Calibri" w:hAnsi="Palatino Linotype" w:cs="Tahoma"/>
          <w:iCs/>
          <w:lang w:eastAsia="es-ES_tradnl"/>
        </w:rPr>
        <w:t xml:space="preserve"> Poder Legislativo</w:t>
      </w:r>
      <w:r w:rsidRPr="00C44084">
        <w:rPr>
          <w:rFonts w:ascii="Palatino Linotype" w:eastAsia="Calibri" w:hAnsi="Palatino Linotype" w:cs="Tahoma"/>
          <w:iCs/>
          <w:lang w:eastAsia="es-ES_tradnl"/>
        </w:rPr>
        <w:t>,</w:t>
      </w:r>
      <w:r w:rsidRPr="009365BF">
        <w:rPr>
          <w:rFonts w:ascii="Palatino Linotype" w:eastAsia="Calibri" w:hAnsi="Palatino Linotype" w:cs="Tahoma"/>
          <w:iCs/>
          <w:lang w:eastAsia="es-ES_tradnl"/>
        </w:rPr>
        <w:t xml:space="preserve"> pues se podrá advertir la forma en la que ejercieron las funciones que legalmente tienen conferidas.</w:t>
      </w:r>
    </w:p>
    <w:p w:rsidR="009365BF" w:rsidRPr="009365BF" w:rsidRDefault="009365BF" w:rsidP="009365BF">
      <w:pPr>
        <w:spacing w:before="240" w:after="240" w:line="360" w:lineRule="auto"/>
        <w:jc w:val="both"/>
        <w:rPr>
          <w:rFonts w:ascii="Palatino Linotype" w:eastAsia="Calibri" w:hAnsi="Palatino Linotype" w:cs="Tahoma"/>
          <w:iCs/>
          <w:lang w:eastAsia="es-ES_tradnl"/>
        </w:rPr>
      </w:pPr>
      <w:r w:rsidRPr="009365BF">
        <w:rPr>
          <w:rFonts w:ascii="Palatino Linotype" w:eastAsia="Calibri" w:hAnsi="Palatino Linotype" w:cs="Tahoma"/>
          <w:iCs/>
          <w:lang w:eastAsia="es-ES_tradnl"/>
        </w:rPr>
        <w:t xml:space="preserve">Lo anterior, considerando que sólo por esta vía se podría lograr el acceso a la información correspondiente </w:t>
      </w:r>
      <w:r w:rsidRPr="009365BF">
        <w:rPr>
          <w:rFonts w:ascii="Palatino Linotype" w:eastAsia="Calibri" w:hAnsi="Palatino Linotype" w:cs="Tahoma"/>
          <w:bCs/>
          <w:iCs/>
          <w:lang w:eastAsia="es-ES_tradnl"/>
        </w:rPr>
        <w:t xml:space="preserve">a los documentos </w:t>
      </w:r>
      <w:r w:rsidRPr="009365BF">
        <w:rPr>
          <w:rFonts w:ascii="Palatino Linotype" w:eastAsia="Calibri" w:hAnsi="Palatino Linotype" w:cs="Tahoma"/>
          <w:iCs/>
          <w:lang w:eastAsia="es-ES_tradnl"/>
        </w:rPr>
        <w:t>del interés de la Particular, para garantizar la rendición de cuentas sobre su actuación, así como, la de los servidores públicos sancionados.</w:t>
      </w:r>
    </w:p>
    <w:p w:rsidR="009365BF" w:rsidRPr="009365BF" w:rsidRDefault="009365BF" w:rsidP="009365BF">
      <w:pPr>
        <w:spacing w:before="240" w:after="240" w:line="360" w:lineRule="auto"/>
        <w:jc w:val="both"/>
        <w:rPr>
          <w:rFonts w:ascii="Palatino Linotype" w:eastAsia="Calibri" w:hAnsi="Palatino Linotype" w:cs="Tahoma"/>
          <w:iCs/>
          <w:lang w:eastAsia="es-ES_tradnl"/>
        </w:rPr>
      </w:pPr>
      <w:r w:rsidRPr="009365BF">
        <w:rPr>
          <w:rFonts w:ascii="Palatino Linotype" w:eastAsia="Calibri" w:hAnsi="Palatino Linotype" w:cs="Tahoma"/>
          <w:iCs/>
          <w:lang w:eastAsia="es-ES_tradnl"/>
        </w:rPr>
        <w:t>En tal virtud, por la trascendencia social de la materia del requerimiento, el derecho de acceso a la información deberá prevalecer sobre el derecho a la privacidad.</w:t>
      </w:r>
    </w:p>
    <w:p w:rsidR="009365BF" w:rsidRPr="009365BF" w:rsidRDefault="009365BF" w:rsidP="009365BF">
      <w:pPr>
        <w:spacing w:before="240" w:after="240" w:line="360" w:lineRule="auto"/>
        <w:jc w:val="both"/>
        <w:rPr>
          <w:rFonts w:ascii="Palatino Linotype" w:eastAsia="Calibri" w:hAnsi="Palatino Linotype" w:cs="Tahoma"/>
          <w:iCs/>
          <w:lang w:eastAsia="es-ES_tradnl"/>
        </w:rPr>
      </w:pPr>
      <w:r w:rsidRPr="009365BF">
        <w:rPr>
          <w:rFonts w:ascii="Palatino Linotype" w:eastAsia="Calibri" w:hAnsi="Palatino Linotype" w:cs="Tahoma"/>
          <w:b/>
          <w:iCs/>
          <w:lang w:eastAsia="es-ES_tradnl"/>
        </w:rPr>
        <w:t>c) Proporcionalidad en sentido estricto:</w:t>
      </w:r>
      <w:r w:rsidRPr="009365BF">
        <w:rPr>
          <w:rFonts w:ascii="Palatino Linotype" w:eastAsia="Calibri" w:hAnsi="Palatino Linotype" w:cs="Tahoma"/>
          <w:iCs/>
          <w:lang w:eastAsia="es-ES_tradnl"/>
        </w:rPr>
        <w:t xml:space="preserve"> El sacrificio de la protección del nombre de los servidores públicos, </w:t>
      </w:r>
      <w:r w:rsidRPr="009365BF">
        <w:rPr>
          <w:rFonts w:ascii="Palatino Linotype" w:eastAsia="Calibri" w:hAnsi="Palatino Linotype" w:cs="Tahoma"/>
          <w:bCs/>
          <w:iCs/>
          <w:lang w:eastAsia="es-ES_tradnl"/>
        </w:rPr>
        <w:t xml:space="preserve">en caso de que </w:t>
      </w:r>
      <w:r w:rsidRPr="009365BF">
        <w:rPr>
          <w:rFonts w:ascii="Palatino Linotype" w:eastAsia="Calibri" w:hAnsi="Palatino Linotype" w:cs="Tahoma"/>
          <w:iCs/>
          <w:lang w:eastAsia="es-ES_tradnl"/>
        </w:rPr>
        <w:t>hayan sido sujetos a proceso y cuente con una resolución sancionatoria por haber cometido responsabilidades graves, relacionadas con el desempeño de sus funciones, como medio para lograr el fin válido señalado, se justifica en razón de que se satisface el interés público en conocer el desempeño de sus funciones como trabajador gubernamental y elemento de la institución policial, esto es, que no operó conforme a derecho, así como, la actividad desplegada por las autoridades correspondientes, en el trámite de dichos asuntos. Además, que como se precisó en párrafos previos, dichas faltas recaen en una afectación, para terceras personas, o bien, al erario público.</w:t>
      </w:r>
    </w:p>
    <w:p w:rsidR="009365BF" w:rsidRPr="009365BF" w:rsidRDefault="009365BF" w:rsidP="009365BF">
      <w:pPr>
        <w:spacing w:before="240" w:after="240" w:line="360" w:lineRule="auto"/>
        <w:jc w:val="both"/>
        <w:rPr>
          <w:rFonts w:ascii="Palatino Linotype" w:eastAsia="Calibri" w:hAnsi="Palatino Linotype" w:cs="Tahoma"/>
          <w:iCs/>
          <w:lang w:eastAsia="es-ES_tradnl"/>
        </w:rPr>
      </w:pPr>
      <w:r w:rsidRPr="009365BF">
        <w:rPr>
          <w:rFonts w:ascii="Palatino Linotype" w:eastAsia="Calibri" w:hAnsi="Palatino Linotype" w:cs="Tahoma"/>
          <w:iCs/>
          <w:lang w:eastAsia="es-ES_tradnl"/>
        </w:rPr>
        <w:lastRenderedPageBreak/>
        <w:t>De esta manera, se logra un mayor beneficio en proporción del otro derecho que se verá restringido, logrando publicitar información que es de interés público, por lo que, se advierte que el daño que se causaría con su difusión es menor a aquél que se causaría con su resguardo.</w:t>
      </w:r>
    </w:p>
    <w:p w:rsidR="009365BF" w:rsidRPr="009365BF" w:rsidRDefault="009365BF" w:rsidP="009365BF">
      <w:pPr>
        <w:spacing w:before="240" w:after="240" w:line="360" w:lineRule="auto"/>
        <w:jc w:val="both"/>
        <w:rPr>
          <w:rFonts w:ascii="Palatino Linotype" w:eastAsia="Calibri" w:hAnsi="Palatino Linotype" w:cs="Tahoma"/>
          <w:bCs/>
          <w:iCs/>
          <w:lang w:eastAsia="es-ES_tradnl"/>
        </w:rPr>
      </w:pPr>
      <w:r w:rsidRPr="009365BF">
        <w:rPr>
          <w:rFonts w:ascii="Palatino Linotype" w:eastAsia="Calibri" w:hAnsi="Palatino Linotype" w:cs="Tahoma"/>
          <w:bCs/>
          <w:iCs/>
          <w:lang w:eastAsia="es-ES_tradnl"/>
        </w:rPr>
        <w:t>En ese orden de ideas, es posible advertir un margen de beneficio mayor al favorecer el derecho de acceso a la información, respecto del derecho a la vida privada; por lo que, la intervención que subsume este ejercicio de ponderación apunta a la obtención de mayores efectos positivos y una afectación menor en la esfera de privacidad de los servidores públicos.</w:t>
      </w:r>
    </w:p>
    <w:p w:rsidR="009365BF" w:rsidRPr="009365BF" w:rsidRDefault="009365BF" w:rsidP="009365BF">
      <w:pPr>
        <w:spacing w:before="240" w:after="240" w:line="360" w:lineRule="auto"/>
        <w:jc w:val="both"/>
        <w:rPr>
          <w:rFonts w:ascii="Palatino Linotype" w:eastAsia="Calibri" w:hAnsi="Palatino Linotype" w:cs="Tahoma"/>
          <w:iCs/>
          <w:lang w:eastAsia="es-ES_tradnl"/>
        </w:rPr>
      </w:pPr>
      <w:r w:rsidRPr="009365BF">
        <w:rPr>
          <w:rFonts w:ascii="Palatino Linotype" w:eastAsia="Calibri" w:hAnsi="Palatino Linotype" w:cs="Tahoma"/>
          <w:iCs/>
          <w:lang w:eastAsia="es-ES_tradnl"/>
        </w:rPr>
        <w:t>Lo anterior se robustece con el hecho de que la difusión de la información solicitada contribuiría a garantizar el ejercicio de acceso a la información, a favorecer la rendición de cuentas a los ciudadanos, de manera que puedan valorar el desempeño de los sujetos obligados y servidores públicos, además de fortalecer el escrutinio ciudadano sobre las actividades sustantivas de los sujetos obligados, en cumplimiento a los objetivos previstos en el artículo 2° de la Ley Federal de Transparencia y Acceso a la Información Pública.</w:t>
      </w:r>
    </w:p>
    <w:p w:rsidR="009365BF" w:rsidRPr="009365BF" w:rsidRDefault="009365BF" w:rsidP="009365BF">
      <w:pPr>
        <w:spacing w:before="240" w:after="240" w:line="360" w:lineRule="auto"/>
        <w:jc w:val="both"/>
        <w:rPr>
          <w:rFonts w:ascii="Palatino Linotype" w:eastAsia="Calibri" w:hAnsi="Palatino Linotype" w:cs="Tahoma"/>
          <w:iCs/>
          <w:lang w:eastAsia="es-ES_tradnl"/>
        </w:rPr>
      </w:pPr>
      <w:r w:rsidRPr="009365BF">
        <w:rPr>
          <w:rFonts w:ascii="Palatino Linotype" w:eastAsia="Calibri" w:hAnsi="Palatino Linotype" w:cs="Tahoma"/>
          <w:iCs/>
          <w:lang w:eastAsia="es-ES_tradnl"/>
        </w:rPr>
        <w:t>Por tanto, se concluye que, al tenor de la ponderación realizada, se cumple con los tres elementos para darle preminencia, en el caso concreto, al derecho de acceso a la información.</w:t>
      </w:r>
    </w:p>
    <w:p w:rsidR="009365BF" w:rsidRPr="009365BF" w:rsidRDefault="009365BF" w:rsidP="009365BF">
      <w:pPr>
        <w:spacing w:before="240" w:after="240" w:line="360" w:lineRule="auto"/>
        <w:jc w:val="both"/>
        <w:rPr>
          <w:rFonts w:ascii="Palatino Linotype" w:eastAsia="Calibri" w:hAnsi="Palatino Linotype" w:cs="Tahoma"/>
          <w:iCs/>
          <w:lang w:val="es-ES_tradnl" w:eastAsia="es-ES_tradnl"/>
        </w:rPr>
      </w:pPr>
      <w:r w:rsidRPr="009365BF">
        <w:rPr>
          <w:rFonts w:ascii="Palatino Linotype" w:eastAsia="Calibri" w:hAnsi="Palatino Linotype" w:cs="Tahoma"/>
          <w:iCs/>
          <w:lang w:eastAsia="es-ES_tradnl"/>
        </w:rPr>
        <w:t xml:space="preserve">Por lo expuesto, se determina que los procedimientos de responsabilidades graves vinculados con el nombre de los servidores públicos o ex trabajadores, guardan la naturaleza pública, en razón de que, si bien </w:t>
      </w:r>
      <w:r w:rsidRPr="009365BF">
        <w:rPr>
          <w:rFonts w:ascii="Palatino Linotype" w:eastAsia="Calibri" w:hAnsi="Palatino Linotype" w:cs="Tahoma"/>
          <w:iCs/>
          <w:lang w:val="es-ES_tradnl" w:eastAsia="es-ES_tradnl"/>
        </w:rPr>
        <w:t xml:space="preserve">la difusión de los mismos afectaría los derechos a la confidencialidad, a la privacidad, al honor y a la propia imagen, también </w:t>
      </w:r>
      <w:r w:rsidRPr="009365BF">
        <w:rPr>
          <w:rFonts w:ascii="Palatino Linotype" w:eastAsia="Calibri" w:hAnsi="Palatino Linotype" w:cs="Tahoma"/>
          <w:iCs/>
          <w:lang w:val="es-ES_tradnl" w:eastAsia="es-ES_tradnl"/>
        </w:rPr>
        <w:lastRenderedPageBreak/>
        <w:t>lo es que tratándose de asuntos relacionados con actos de responsabilidad graves, tales prerrogativas quedan supeditadas al interés mayor de conocer tales eventualidades y por lo tanto no precede su clasificación en términos del artículo 143, fracción I de la Ley de la materia.</w:t>
      </w:r>
    </w:p>
    <w:p w:rsidR="009365BF" w:rsidRPr="009365BF" w:rsidRDefault="009365BF" w:rsidP="009365BF">
      <w:pPr>
        <w:spacing w:before="240" w:after="240" w:line="360" w:lineRule="auto"/>
        <w:jc w:val="both"/>
        <w:rPr>
          <w:rFonts w:ascii="Palatino Linotype" w:eastAsia="Calibri" w:hAnsi="Palatino Linotype" w:cs="Tahoma"/>
          <w:iCs/>
          <w:lang w:eastAsia="es-ES_tradnl"/>
        </w:rPr>
      </w:pPr>
      <w:r w:rsidRPr="009365BF">
        <w:rPr>
          <w:rFonts w:ascii="Palatino Linotype" w:eastAsia="Calibri" w:hAnsi="Palatino Linotype" w:cs="Tahoma"/>
          <w:iCs/>
          <w:lang w:eastAsia="es-ES_tradnl"/>
        </w:rPr>
        <w:t>Conforme a lo anterior, se concluye que el sujeto obligado únicamente se encuentra constreñido, a proporcionar los procedimientos que ya hayan causado estado, sin testar el nombre de servidores públicos que fueron sancionados por responsabilidades graves.</w:t>
      </w:r>
    </w:p>
    <w:p w:rsidR="009365BF" w:rsidRPr="009365BF" w:rsidRDefault="009365BF" w:rsidP="009365BF">
      <w:pPr>
        <w:numPr>
          <w:ilvl w:val="0"/>
          <w:numId w:val="15"/>
        </w:numPr>
        <w:pBdr>
          <w:top w:val="nil"/>
          <w:left w:val="nil"/>
          <w:bottom w:val="nil"/>
          <w:right w:val="nil"/>
          <w:between w:val="nil"/>
        </w:pBdr>
        <w:spacing w:before="240" w:after="240" w:line="360" w:lineRule="auto"/>
        <w:ind w:left="0" w:right="49" w:hanging="142"/>
        <w:contextualSpacing/>
        <w:jc w:val="both"/>
        <w:rPr>
          <w:rFonts w:ascii="Palatino Linotype" w:eastAsia="Palatino Linotype" w:hAnsi="Palatino Linotype" w:cs="Palatino Linotype"/>
          <w:b/>
          <w:lang w:eastAsia="es-ES"/>
        </w:rPr>
      </w:pPr>
      <w:r w:rsidRPr="009365BF">
        <w:rPr>
          <w:rFonts w:ascii="Palatino Linotype" w:eastAsia="Palatino Linotype" w:hAnsi="Palatino Linotype" w:cs="Palatino Linotype"/>
          <w:b/>
          <w:lang w:eastAsia="es-ES"/>
        </w:rPr>
        <w:t>Procedimientos de sanciones graves absolutorias, concluidos.</w:t>
      </w:r>
    </w:p>
    <w:p w:rsidR="009365BF" w:rsidRPr="009365BF" w:rsidRDefault="009365BF" w:rsidP="009365BF">
      <w:pPr>
        <w:spacing w:before="240" w:after="240" w:line="360" w:lineRule="auto"/>
        <w:contextualSpacing/>
        <w:jc w:val="both"/>
        <w:rPr>
          <w:rFonts w:ascii="Palatino Linotype" w:hAnsi="Palatino Linotype"/>
          <w:bCs/>
          <w:lang w:eastAsia="es-ES"/>
        </w:rPr>
      </w:pPr>
      <w:r w:rsidRPr="009365BF">
        <w:rPr>
          <w:rFonts w:ascii="Palatino Linotype" w:hAnsi="Palatino Linotype"/>
          <w:lang w:eastAsia="es-ES"/>
        </w:rPr>
        <w:t xml:space="preserve">Si los procedimientos administrativos requeridos por el particular, están contenidos en expedientes que encuadran en el presente caso se procederá a su acceso en versión pública, protegiendo el nombre, cargo y área de adscripción del Servidor Público absuelto y aquellos datos personales que hagan identificable a una persona, </w:t>
      </w:r>
      <w:r w:rsidRPr="009365BF">
        <w:rPr>
          <w:rFonts w:ascii="Palatino Linotype" w:hAnsi="Palatino Linotype"/>
          <w:bCs/>
          <w:lang w:eastAsia="es-ES"/>
        </w:rPr>
        <w:t>toda vez que la información solicitada, se relaciona con servidores públicos en específico, los cuales al no haber recibido alguna sanción por posibles responsabilidades, se procede a clasificar como confidencial el nombre y cargo del servidor público, al poder causar un perjuicio a la vida privada de estos.</w:t>
      </w:r>
    </w:p>
    <w:p w:rsidR="009365BF" w:rsidRPr="009365BF" w:rsidRDefault="009365BF" w:rsidP="009365BF">
      <w:pPr>
        <w:spacing w:before="240" w:after="240" w:line="360" w:lineRule="auto"/>
        <w:contextualSpacing/>
        <w:jc w:val="both"/>
        <w:rPr>
          <w:rFonts w:ascii="Palatino Linotype" w:hAnsi="Palatino Linotype"/>
          <w:lang w:eastAsia="es-ES"/>
        </w:rPr>
      </w:pPr>
    </w:p>
    <w:p w:rsidR="009365BF" w:rsidRPr="009365BF" w:rsidRDefault="009365BF" w:rsidP="009365BF">
      <w:pPr>
        <w:spacing w:before="240" w:after="240" w:line="360" w:lineRule="auto"/>
        <w:contextualSpacing/>
        <w:jc w:val="both"/>
        <w:rPr>
          <w:rFonts w:ascii="Palatino Linotype" w:hAnsi="Palatino Linotype"/>
          <w:lang w:eastAsia="es-ES"/>
        </w:rPr>
      </w:pPr>
      <w:r w:rsidRPr="009365BF">
        <w:rPr>
          <w:rFonts w:ascii="Palatino Linotype" w:hAnsi="Palatino Linotype"/>
          <w:lang w:eastAsia="es-ES"/>
        </w:rPr>
        <w:t xml:space="preserve">Cabe mencionar que el artículo 6°, Apartado A), fracción II, de la Constitución Política de los Estados Unidos Mexicanos, prevé que la información que se refiere a la vida privada y los datos personales, será protegida en los términos y con las excepciones que fijen las leyes. </w:t>
      </w:r>
      <w:r w:rsidRPr="009365BF">
        <w:rPr>
          <w:rFonts w:ascii="Palatino Linotype" w:hAnsi="Palatino Linotype"/>
          <w:bCs/>
          <w:lang w:eastAsia="es-ES"/>
        </w:rPr>
        <w:t xml:space="preserve">Igualmente, el segundo párrafo del artículo 16 de la </w:t>
      </w:r>
      <w:r w:rsidRPr="009365BF">
        <w:rPr>
          <w:rFonts w:ascii="Palatino Linotype" w:hAnsi="Palatino Linotype"/>
          <w:lang w:eastAsia="es-ES"/>
        </w:rPr>
        <w:t xml:space="preserve">Carta Magna </w:t>
      </w:r>
      <w:r w:rsidRPr="009365BF">
        <w:rPr>
          <w:rFonts w:ascii="Palatino Linotype" w:hAnsi="Palatino Linotype"/>
          <w:bCs/>
          <w:lang w:eastAsia="es-ES"/>
        </w:rPr>
        <w:t>dispone que t</w:t>
      </w:r>
      <w:r w:rsidRPr="009365BF">
        <w:rPr>
          <w:rFonts w:ascii="Palatino Linotype" w:hAnsi="Palatino Linotype"/>
          <w:lang w:eastAsia="es-ES"/>
        </w:rPr>
        <w:t xml:space="preserve">oda persona tiene derecho a la protección de sus datos personales, al acceso, rectificación y cancelación de los mismos; así como, a manifestar su oposición, </w:t>
      </w:r>
      <w:r w:rsidRPr="009365BF">
        <w:rPr>
          <w:rFonts w:ascii="Palatino Linotype" w:hAnsi="Palatino Linotype"/>
          <w:lang w:eastAsia="es-ES"/>
        </w:rPr>
        <w:lastRenderedPageBreak/>
        <w:t>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9365BF" w:rsidRPr="009365BF" w:rsidRDefault="009365BF" w:rsidP="009365BF">
      <w:pPr>
        <w:spacing w:before="240" w:after="240" w:line="360" w:lineRule="auto"/>
        <w:contextualSpacing/>
        <w:jc w:val="both"/>
        <w:rPr>
          <w:rFonts w:ascii="Palatino Linotype" w:hAnsi="Palatino Linotype"/>
          <w:lang w:eastAsia="es-ES"/>
        </w:rPr>
      </w:pPr>
    </w:p>
    <w:p w:rsidR="009365BF" w:rsidRPr="009365BF" w:rsidRDefault="009365BF" w:rsidP="009365BF">
      <w:pPr>
        <w:spacing w:before="240" w:after="240" w:line="360" w:lineRule="auto"/>
        <w:contextualSpacing/>
        <w:jc w:val="both"/>
        <w:rPr>
          <w:rFonts w:ascii="Palatino Linotype" w:hAnsi="Palatino Linotype"/>
          <w:lang w:eastAsia="es-ES"/>
        </w:rPr>
      </w:pPr>
      <w:r w:rsidRPr="009365BF">
        <w:rPr>
          <w:rFonts w:ascii="Palatino Linotype" w:hAnsi="Palatino Linotype"/>
          <w:lang w:eastAsia="es-ES"/>
        </w:rPr>
        <w:t>Acorde</w:t>
      </w:r>
      <w:r w:rsidRPr="009365BF">
        <w:rPr>
          <w:rFonts w:ascii="Palatino Linotype" w:hAnsi="Palatino Linotype"/>
          <w:bCs/>
          <w:lang w:eastAsia="es-ES"/>
        </w:rPr>
        <w:t xml:space="preserve"> con lo anterior, la Ley General de Transparencia y Acceso a la Información Pública, en su artículo 116, dispone que se considera información confidencial la que contenga datos personales concernientes a una persona física identificada o identificable. </w:t>
      </w:r>
      <w:r w:rsidRPr="009365BF">
        <w:rPr>
          <w:rFonts w:ascii="Palatino Linotype" w:hAnsi="Palatino Linotype"/>
          <w:lang w:eastAsia="es-E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9365BF" w:rsidRPr="009365BF" w:rsidRDefault="009365BF" w:rsidP="009365BF">
      <w:pPr>
        <w:spacing w:before="240" w:after="240" w:line="360" w:lineRule="auto"/>
        <w:contextualSpacing/>
        <w:jc w:val="both"/>
        <w:rPr>
          <w:rFonts w:ascii="Palatino Linotype" w:hAnsi="Palatino Linotype"/>
          <w:lang w:eastAsia="es-ES"/>
        </w:rPr>
      </w:pPr>
    </w:p>
    <w:p w:rsidR="009365BF" w:rsidRPr="009365BF" w:rsidRDefault="009365BF" w:rsidP="009365BF">
      <w:pPr>
        <w:spacing w:before="240" w:after="240" w:line="360" w:lineRule="auto"/>
        <w:contextualSpacing/>
        <w:jc w:val="both"/>
        <w:rPr>
          <w:rFonts w:ascii="Palatino Linotype" w:hAnsi="Palatino Linotype"/>
          <w:bCs/>
          <w:lang w:eastAsia="es-ES"/>
        </w:rPr>
      </w:pPr>
      <w:r w:rsidRPr="009365BF">
        <w:rPr>
          <w:rFonts w:ascii="Palatino Linotype" w:hAnsi="Palatino Linotype"/>
          <w:bCs/>
          <w:lang w:eastAsia="es-E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9365BF" w:rsidRPr="009365BF" w:rsidRDefault="009365BF" w:rsidP="009365BF">
      <w:pPr>
        <w:spacing w:before="240" w:after="240" w:line="360" w:lineRule="auto"/>
        <w:contextualSpacing/>
        <w:jc w:val="both"/>
        <w:rPr>
          <w:rFonts w:ascii="Palatino Linotype" w:hAnsi="Palatino Linotype"/>
          <w:bCs/>
          <w:lang w:eastAsia="es-ES"/>
        </w:rPr>
      </w:pPr>
      <w:r w:rsidRPr="009365BF">
        <w:rPr>
          <w:rFonts w:ascii="Palatino Linotype" w:hAnsi="Palatino Linotype"/>
          <w:bCs/>
          <w:lang w:eastAsia="es-ES"/>
        </w:rPr>
        <w:t xml:space="preserve">En concordancia con lo previo, el artículo 143, fracción I, de la Ley previamente citada, establece que </w:t>
      </w:r>
      <w:r w:rsidRPr="009365BF">
        <w:rPr>
          <w:rFonts w:ascii="Palatino Linotype" w:hAnsi="Palatino Linotype"/>
          <w:lang w:eastAsia="es-ES"/>
        </w:rPr>
        <w:t>la información privada</w:t>
      </w:r>
      <w:r w:rsidRPr="009365BF">
        <w:rPr>
          <w:rFonts w:ascii="Palatino Linotype" w:hAnsi="Palatino Linotype"/>
          <w:bCs/>
          <w:lang w:eastAsia="es-ES"/>
        </w:rPr>
        <w:t xml:space="preserve"> y los datos personales, concernientes a una persona física identificada o identificable son confidenciales.</w:t>
      </w:r>
    </w:p>
    <w:p w:rsidR="009365BF" w:rsidRPr="009365BF" w:rsidRDefault="009365BF" w:rsidP="009365BF">
      <w:pPr>
        <w:spacing w:before="240" w:after="240" w:line="360" w:lineRule="auto"/>
        <w:contextualSpacing/>
        <w:jc w:val="both"/>
        <w:rPr>
          <w:rFonts w:ascii="Palatino Linotype" w:hAnsi="Palatino Linotype"/>
          <w:bCs/>
          <w:lang w:eastAsia="es-ES"/>
        </w:rPr>
      </w:pPr>
    </w:p>
    <w:p w:rsidR="009365BF" w:rsidRPr="009365BF" w:rsidRDefault="009365BF" w:rsidP="009365BF">
      <w:pPr>
        <w:spacing w:before="240" w:after="240" w:line="360" w:lineRule="auto"/>
        <w:contextualSpacing/>
        <w:jc w:val="both"/>
        <w:rPr>
          <w:rFonts w:ascii="Palatino Linotype" w:hAnsi="Palatino Linotype"/>
          <w:bCs/>
          <w:lang w:eastAsia="es-ES"/>
        </w:rPr>
      </w:pPr>
      <w:r w:rsidRPr="009365BF">
        <w:rPr>
          <w:rFonts w:ascii="Palatino Linotype" w:hAnsi="Palatino Linotype"/>
          <w:bCs/>
          <w:lang w:eastAsia="es-ES"/>
        </w:rPr>
        <w:t xml:space="preserve">Asimismo, en el artículo 145 de la Ley de Transparencia y Acceso a la Información Pública del Estado de México y Municipios, prevé que para que los Sujetos Obligados puedan permitir el acceso a la información confidencial, requieren obtener el </w:t>
      </w:r>
      <w:r w:rsidRPr="009365BF">
        <w:rPr>
          <w:rFonts w:ascii="Palatino Linotype" w:hAnsi="Palatino Linotype"/>
          <w:bCs/>
          <w:lang w:eastAsia="es-ES"/>
        </w:rPr>
        <w:lastRenderedPageBreak/>
        <w:t xml:space="preserve">consentimiento de los particulares titulares de la información, excepto cuando </w:t>
      </w:r>
      <w:r w:rsidRPr="009365BF">
        <w:rPr>
          <w:rFonts w:ascii="Palatino Linotype" w:hAnsi="Palatino Linotype"/>
          <w:b/>
          <w:bCs/>
          <w:lang w:eastAsia="es-ES"/>
        </w:rPr>
        <w:t xml:space="preserve">i) </w:t>
      </w:r>
      <w:r w:rsidRPr="009365BF">
        <w:rPr>
          <w:rFonts w:ascii="Palatino Linotype" w:hAnsi="Palatino Linotype"/>
          <w:bCs/>
          <w:lang w:eastAsia="es-ES"/>
        </w:rPr>
        <w:t xml:space="preserve">la información se encuentre en registros públicos o fuentes de acceso público, </w:t>
      </w:r>
      <w:r w:rsidRPr="009365BF">
        <w:rPr>
          <w:rFonts w:ascii="Palatino Linotype" w:hAnsi="Palatino Linotype"/>
          <w:b/>
          <w:bCs/>
          <w:lang w:eastAsia="es-ES"/>
        </w:rPr>
        <w:t>ii)</w:t>
      </w:r>
      <w:r w:rsidRPr="009365BF">
        <w:rPr>
          <w:rFonts w:ascii="Palatino Linotype" w:hAnsi="Palatino Linotype"/>
          <w:bCs/>
          <w:lang w:eastAsia="es-ES"/>
        </w:rPr>
        <w:t xml:space="preserve"> por ley tenga el carácter de pública, </w:t>
      </w:r>
      <w:r w:rsidRPr="009365BF">
        <w:rPr>
          <w:rFonts w:ascii="Palatino Linotype" w:hAnsi="Palatino Linotype"/>
          <w:b/>
          <w:bCs/>
          <w:lang w:eastAsia="es-ES"/>
        </w:rPr>
        <w:t>iii)</w:t>
      </w:r>
      <w:r w:rsidRPr="009365BF">
        <w:rPr>
          <w:rFonts w:ascii="Palatino Linotype" w:hAnsi="Palatino Linotype"/>
          <w:bCs/>
          <w:lang w:eastAsia="es-ES"/>
        </w:rPr>
        <w:t xml:space="preserve"> exista una orden judicial, </w:t>
      </w:r>
      <w:r w:rsidRPr="009365BF">
        <w:rPr>
          <w:rFonts w:ascii="Palatino Linotype" w:hAnsi="Palatino Linotype"/>
          <w:b/>
          <w:bCs/>
          <w:lang w:eastAsia="es-ES"/>
        </w:rPr>
        <w:t>iv)</w:t>
      </w:r>
      <w:r w:rsidRPr="009365BF">
        <w:rPr>
          <w:rFonts w:ascii="Palatino Linotype" w:hAnsi="Palatino Linotype"/>
          <w:bCs/>
          <w:lang w:eastAsia="es-ES"/>
        </w:rPr>
        <w:t xml:space="preserve"> por razones de seguridad nacional y salubridad general o </w:t>
      </w:r>
      <w:r w:rsidRPr="009365BF">
        <w:rPr>
          <w:rFonts w:ascii="Palatino Linotype" w:hAnsi="Palatino Linotype"/>
          <w:b/>
          <w:bCs/>
          <w:lang w:eastAsia="es-ES"/>
        </w:rPr>
        <w:t>v)</w:t>
      </w:r>
      <w:r w:rsidRPr="009365BF">
        <w:rPr>
          <w:rFonts w:ascii="Palatino Linotype" w:hAnsi="Palatino Linotype"/>
          <w:bCs/>
          <w:lang w:eastAsia="es-ES"/>
        </w:rPr>
        <w:t xml:space="preserve"> para proteger los derechos de terceros o cuando se transmita entre sujetos obligados en términos de los tratados y los acuerdos interinstitucionales.</w:t>
      </w:r>
    </w:p>
    <w:p w:rsidR="009365BF" w:rsidRPr="009365BF" w:rsidRDefault="009365BF" w:rsidP="009365BF">
      <w:pPr>
        <w:spacing w:before="240" w:after="240" w:line="360" w:lineRule="auto"/>
        <w:contextualSpacing/>
        <w:jc w:val="both"/>
        <w:rPr>
          <w:rFonts w:ascii="Palatino Linotype" w:hAnsi="Palatino Linotype"/>
          <w:bCs/>
          <w:lang w:eastAsia="es-ES"/>
        </w:rPr>
      </w:pPr>
    </w:p>
    <w:p w:rsidR="009365BF" w:rsidRPr="009365BF" w:rsidRDefault="009365BF" w:rsidP="009365BF">
      <w:pPr>
        <w:spacing w:before="240" w:after="240" w:line="360" w:lineRule="auto"/>
        <w:contextualSpacing/>
        <w:jc w:val="both"/>
        <w:rPr>
          <w:rFonts w:ascii="Palatino Linotype" w:hAnsi="Palatino Linotype"/>
          <w:bCs/>
          <w:lang w:eastAsia="es-ES"/>
        </w:rPr>
      </w:pPr>
      <w:r w:rsidRPr="009365BF">
        <w:rPr>
          <w:rFonts w:ascii="Palatino Linotype" w:hAnsi="Palatino Linotype"/>
          <w:bCs/>
          <w:lang w:eastAsia="es-ES"/>
        </w:rPr>
        <w:t>En términos de lo expuesto, la documentación y aquellos datos que se consideren confidenciales, serán una limitante del derecho de acceso a la información, siempre y cuando:</w:t>
      </w:r>
    </w:p>
    <w:p w:rsidR="009365BF" w:rsidRPr="009365BF" w:rsidRDefault="009365BF" w:rsidP="009365BF">
      <w:pPr>
        <w:spacing w:line="360" w:lineRule="auto"/>
        <w:ind w:right="49"/>
        <w:contextualSpacing/>
        <w:jc w:val="both"/>
        <w:rPr>
          <w:rFonts w:ascii="Palatino Linotype" w:hAnsi="Palatino Linotype"/>
          <w:bCs/>
          <w:lang w:eastAsia="es-ES"/>
        </w:rPr>
      </w:pPr>
    </w:p>
    <w:p w:rsidR="009365BF" w:rsidRPr="009365BF" w:rsidRDefault="009365BF" w:rsidP="009365BF">
      <w:pPr>
        <w:spacing w:line="360" w:lineRule="auto"/>
        <w:ind w:left="851" w:right="51"/>
        <w:contextualSpacing/>
        <w:jc w:val="both"/>
        <w:rPr>
          <w:rFonts w:ascii="Palatino Linotype" w:hAnsi="Palatino Linotype"/>
          <w:bCs/>
          <w:sz w:val="22"/>
          <w:lang w:eastAsia="es-ES"/>
        </w:rPr>
      </w:pPr>
      <w:r w:rsidRPr="009365BF">
        <w:rPr>
          <w:rFonts w:ascii="Palatino Linotype" w:hAnsi="Palatino Linotype"/>
          <w:b/>
          <w:sz w:val="22"/>
          <w:lang w:eastAsia="es-ES"/>
        </w:rPr>
        <w:t>a).</w:t>
      </w:r>
      <w:r w:rsidRPr="009365BF">
        <w:rPr>
          <w:rFonts w:ascii="Palatino Linotype" w:hAnsi="Palatino Linotype"/>
          <w:bCs/>
          <w:sz w:val="22"/>
          <w:lang w:eastAsia="es-ES"/>
        </w:rPr>
        <w:t xml:space="preserve"> Se trate de datos personales; esto es, información concerniente a una persona física y que ésta sea identificada o identificable. </w:t>
      </w:r>
    </w:p>
    <w:p w:rsidR="009365BF" w:rsidRPr="009365BF" w:rsidRDefault="009365BF" w:rsidP="009365BF">
      <w:pPr>
        <w:spacing w:line="360" w:lineRule="auto"/>
        <w:ind w:left="142" w:right="51"/>
        <w:contextualSpacing/>
        <w:jc w:val="both"/>
        <w:rPr>
          <w:rFonts w:ascii="Palatino Linotype" w:hAnsi="Palatino Linotype"/>
          <w:bCs/>
          <w:sz w:val="22"/>
          <w:lang w:eastAsia="es-ES"/>
        </w:rPr>
      </w:pPr>
    </w:p>
    <w:p w:rsidR="009365BF" w:rsidRPr="009365BF" w:rsidRDefault="009365BF" w:rsidP="009365BF">
      <w:pPr>
        <w:spacing w:line="360" w:lineRule="auto"/>
        <w:ind w:left="851" w:right="51"/>
        <w:contextualSpacing/>
        <w:jc w:val="both"/>
        <w:rPr>
          <w:rFonts w:ascii="Palatino Linotype" w:hAnsi="Palatino Linotype"/>
          <w:bCs/>
          <w:sz w:val="22"/>
          <w:lang w:eastAsia="es-ES"/>
        </w:rPr>
      </w:pPr>
      <w:r w:rsidRPr="009365BF">
        <w:rPr>
          <w:rFonts w:ascii="Palatino Linotype" w:hAnsi="Palatino Linotype"/>
          <w:b/>
          <w:sz w:val="22"/>
          <w:lang w:eastAsia="es-ES"/>
        </w:rPr>
        <w:t>b).</w:t>
      </w:r>
      <w:r w:rsidRPr="009365BF">
        <w:rPr>
          <w:rFonts w:ascii="Palatino Linotype" w:hAnsi="Palatino Linotype"/>
          <w:bCs/>
          <w:sz w:val="22"/>
          <w:lang w:eastAsia="es-ES"/>
        </w:rPr>
        <w:t xml:space="preserve"> Para la difusión de los datos, se requiera el consentimiento del titular. </w:t>
      </w:r>
    </w:p>
    <w:p w:rsidR="009365BF" w:rsidRPr="009365BF" w:rsidRDefault="009365BF" w:rsidP="009365BF">
      <w:pPr>
        <w:spacing w:line="360" w:lineRule="auto"/>
        <w:ind w:right="49"/>
        <w:contextualSpacing/>
        <w:jc w:val="both"/>
        <w:rPr>
          <w:rFonts w:ascii="Palatino Linotype" w:hAnsi="Palatino Linotype"/>
          <w:bCs/>
          <w:lang w:eastAsia="es-ES"/>
        </w:rPr>
      </w:pPr>
    </w:p>
    <w:p w:rsidR="009365BF" w:rsidRPr="009365BF" w:rsidRDefault="009365BF" w:rsidP="009365BF">
      <w:pPr>
        <w:spacing w:before="240" w:after="240" w:line="360" w:lineRule="auto"/>
        <w:contextualSpacing/>
        <w:jc w:val="both"/>
        <w:rPr>
          <w:rFonts w:ascii="Palatino Linotype" w:hAnsi="Palatino Linotype"/>
          <w:bCs/>
          <w:lang w:eastAsia="es-ES"/>
        </w:rPr>
      </w:pPr>
      <w:r w:rsidRPr="009365BF">
        <w:rPr>
          <w:rFonts w:ascii="Palatino Linotype" w:hAnsi="Palatino Linotype"/>
          <w:bCs/>
          <w:lang w:eastAsia="es-ES"/>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w:t>
      </w:r>
      <w:r w:rsidRPr="009365BF">
        <w:rPr>
          <w:rFonts w:ascii="Palatino Linotype" w:hAnsi="Palatino Linotype"/>
          <w:bCs/>
          <w:i/>
          <w:iCs/>
          <w:lang w:eastAsia="es-ES"/>
        </w:rPr>
        <w:t>cuando su identidad pueda determinarse directa o indirectamente a través de cualquier documento informativo físico o electrónico</w:t>
      </w:r>
      <w:r w:rsidRPr="009365BF">
        <w:rPr>
          <w:rFonts w:ascii="Palatino Linotype" w:hAnsi="Palatino Linotype"/>
          <w:bCs/>
          <w:lang w:eastAsia="es-ES"/>
        </w:rPr>
        <w:t xml:space="preserve">), establecida en cualquier formato o modalidad. </w:t>
      </w:r>
    </w:p>
    <w:p w:rsidR="009365BF" w:rsidRPr="009365BF" w:rsidRDefault="009365BF" w:rsidP="009365BF">
      <w:pPr>
        <w:spacing w:before="240" w:after="240" w:line="360" w:lineRule="auto"/>
        <w:contextualSpacing/>
        <w:jc w:val="both"/>
        <w:rPr>
          <w:rFonts w:ascii="Palatino Linotype" w:hAnsi="Palatino Linotype"/>
          <w:bCs/>
          <w:lang w:eastAsia="es-ES"/>
        </w:rPr>
      </w:pPr>
    </w:p>
    <w:p w:rsidR="009365BF" w:rsidRPr="009365BF" w:rsidRDefault="009365BF" w:rsidP="009365BF">
      <w:pPr>
        <w:spacing w:before="240" w:after="240" w:line="360" w:lineRule="auto"/>
        <w:contextualSpacing/>
        <w:jc w:val="both"/>
        <w:rPr>
          <w:rFonts w:ascii="Palatino Linotype" w:hAnsi="Palatino Linotype"/>
          <w:bCs/>
          <w:lang w:eastAsia="es-ES"/>
        </w:rPr>
      </w:pPr>
      <w:r w:rsidRPr="009365BF">
        <w:rPr>
          <w:rFonts w:ascii="Palatino Linotype" w:hAnsi="Palatino Linotype"/>
          <w:bCs/>
          <w:lang w:eastAsia="es-ES"/>
        </w:rPr>
        <w:lastRenderedPageBreak/>
        <w:t xml:space="preserve">Además, en el artículo 5° de dicho ordenamiento jurídico, establece que es la Ley aplicable para todo tratamiento de datos personales. </w:t>
      </w:r>
    </w:p>
    <w:p w:rsidR="009365BF" w:rsidRPr="009365BF" w:rsidRDefault="009365BF" w:rsidP="009365BF">
      <w:pPr>
        <w:spacing w:before="240" w:after="240" w:line="360" w:lineRule="auto"/>
        <w:contextualSpacing/>
        <w:jc w:val="both"/>
        <w:rPr>
          <w:rFonts w:ascii="Palatino Linotype" w:hAnsi="Palatino Linotype"/>
          <w:lang w:eastAsia="es-ES"/>
        </w:rPr>
      </w:pPr>
    </w:p>
    <w:p w:rsidR="009365BF" w:rsidRPr="009365BF" w:rsidRDefault="009365BF" w:rsidP="009365BF">
      <w:pPr>
        <w:spacing w:before="240" w:after="240" w:line="360" w:lineRule="auto"/>
        <w:contextualSpacing/>
        <w:jc w:val="both"/>
        <w:rPr>
          <w:rFonts w:ascii="Palatino Linotype" w:hAnsi="Palatino Linotype"/>
          <w:lang w:eastAsia="es-ES"/>
        </w:rPr>
      </w:pPr>
      <w:r w:rsidRPr="009365BF">
        <w:rPr>
          <w:rFonts w:ascii="Palatino Linotype" w:hAnsi="Palatino Linotype"/>
          <w:lang w:eastAsia="es-ES"/>
        </w:rPr>
        <w:t xml:space="preserve">En </w:t>
      </w:r>
      <w:r w:rsidRPr="009365BF">
        <w:rPr>
          <w:rFonts w:ascii="Palatino Linotype" w:hAnsi="Palatino Linotype"/>
          <w:bCs/>
          <w:lang w:eastAsia="es-ES"/>
        </w:rPr>
        <w:t>ese</w:t>
      </w:r>
      <w:r w:rsidRPr="009365BF">
        <w:rPr>
          <w:rFonts w:ascii="Palatino Linotype" w:hAnsi="Palatino Linotype"/>
          <w:lang w:eastAsia="es-ES"/>
        </w:rPr>
        <w:t xml:space="preserve"> contexto, los artículos 6°, 7°, 8° y 14 de la </w:t>
      </w:r>
      <w:r w:rsidRPr="009365BF">
        <w:rPr>
          <w:rFonts w:ascii="Palatino Linotype" w:hAnsi="Palatino Linotype"/>
          <w:bCs/>
          <w:lang w:eastAsia="es-ES"/>
        </w:rPr>
        <w:t>Ley de Protección de Datos Personales en Posesión de Sujetos Obligados del Estado de México y Municipios</w:t>
      </w:r>
      <w:r w:rsidRPr="009365BF">
        <w:rPr>
          <w:rFonts w:ascii="Palatino Linotype" w:hAnsi="Palatino Linotype"/>
          <w:lang w:eastAsia="es-ES"/>
        </w:rPr>
        <w:t xml:space="preserve">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w:t>
      </w:r>
      <w:r w:rsidRPr="009365BF">
        <w:rPr>
          <w:rFonts w:ascii="Palatino Linotype" w:hAnsi="Palatino Linotype"/>
          <w:i/>
          <w:iCs/>
          <w:lang w:eastAsia="es-ES"/>
        </w:rPr>
        <w:t>principio de finalidad</w:t>
      </w:r>
      <w:r w:rsidRPr="009365BF">
        <w:rPr>
          <w:rFonts w:ascii="Palatino Linotype" w:hAnsi="Palatino Linotype"/>
          <w:lang w:eastAsia="es-ES"/>
        </w:rPr>
        <w:t>).</w:t>
      </w:r>
    </w:p>
    <w:p w:rsidR="009365BF" w:rsidRPr="009365BF" w:rsidRDefault="009365BF" w:rsidP="009365BF">
      <w:pPr>
        <w:spacing w:before="240" w:after="240" w:line="360" w:lineRule="auto"/>
        <w:contextualSpacing/>
        <w:jc w:val="both"/>
        <w:rPr>
          <w:rFonts w:ascii="Palatino Linotype" w:hAnsi="Palatino Linotype"/>
          <w:lang w:eastAsia="es-ES"/>
        </w:rPr>
      </w:pPr>
    </w:p>
    <w:p w:rsidR="009365BF" w:rsidRPr="009365BF" w:rsidRDefault="009365BF" w:rsidP="009365BF">
      <w:pPr>
        <w:spacing w:before="240" w:after="240" w:line="360" w:lineRule="auto"/>
        <w:contextualSpacing/>
        <w:jc w:val="both"/>
        <w:rPr>
          <w:rFonts w:ascii="Palatino Linotype" w:hAnsi="Palatino Linotype"/>
          <w:lang w:eastAsia="es-ES"/>
        </w:rPr>
      </w:pPr>
      <w:r w:rsidRPr="009365BF">
        <w:rPr>
          <w:rFonts w:ascii="Palatino Linotype" w:hAnsi="Palatino Linotype"/>
          <w:lang w:eastAsia="es-ES"/>
        </w:rPr>
        <w:t>Así,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9365BF" w:rsidRPr="009365BF" w:rsidRDefault="009365BF" w:rsidP="009365BF">
      <w:pPr>
        <w:spacing w:before="240" w:after="240" w:line="360" w:lineRule="auto"/>
        <w:contextualSpacing/>
        <w:jc w:val="both"/>
        <w:rPr>
          <w:rFonts w:ascii="Palatino Linotype" w:hAnsi="Palatino Linotype"/>
          <w:lang w:eastAsia="es-ES"/>
        </w:rPr>
      </w:pPr>
    </w:p>
    <w:p w:rsidR="009365BF" w:rsidRPr="009365BF" w:rsidRDefault="009365BF" w:rsidP="009365BF">
      <w:pPr>
        <w:spacing w:before="240" w:after="240" w:line="360" w:lineRule="auto"/>
        <w:contextualSpacing/>
        <w:jc w:val="both"/>
        <w:rPr>
          <w:rFonts w:ascii="Palatino Linotype" w:hAnsi="Palatino Linotype"/>
          <w:lang w:eastAsia="es-ES"/>
        </w:rPr>
      </w:pPr>
      <w:r w:rsidRPr="009365BF">
        <w:rPr>
          <w:rFonts w:ascii="Palatino Linotype" w:hAnsi="Palatino Linotype"/>
          <w:lang w:eastAsia="es-ES"/>
        </w:rPr>
        <w:t xml:space="preserve">En este contexto, la confidencialidad de los datos personales, tiene por objetivo establecer el límite del derecho de acceso a la información a partir del derecho a la intimidad y la vida privada de los individuos. </w:t>
      </w:r>
    </w:p>
    <w:p w:rsidR="009365BF" w:rsidRPr="009365BF" w:rsidRDefault="009365BF" w:rsidP="009365BF">
      <w:pPr>
        <w:spacing w:before="240" w:after="240" w:line="360" w:lineRule="auto"/>
        <w:contextualSpacing/>
        <w:jc w:val="both"/>
        <w:rPr>
          <w:rFonts w:ascii="Palatino Linotype" w:hAnsi="Palatino Linotype"/>
          <w:lang w:eastAsia="es-ES"/>
        </w:rPr>
      </w:pPr>
    </w:p>
    <w:p w:rsidR="009365BF" w:rsidRPr="009365BF" w:rsidRDefault="009365BF" w:rsidP="009365BF">
      <w:pPr>
        <w:spacing w:before="240" w:after="240" w:line="360" w:lineRule="auto"/>
        <w:contextualSpacing/>
        <w:jc w:val="both"/>
        <w:rPr>
          <w:rFonts w:ascii="Palatino Linotype" w:hAnsi="Palatino Linotype"/>
          <w:lang w:eastAsia="es-ES"/>
        </w:rPr>
      </w:pPr>
      <w:r w:rsidRPr="009365BF">
        <w:rPr>
          <w:rFonts w:ascii="Palatino Linotype" w:hAnsi="Palatino Linotype"/>
          <w:lang w:eastAsia="es-ES"/>
        </w:rPr>
        <w:lastRenderedPageBreak/>
        <w:t>De tal suerte, las instituciones públicas tienen la doble responsabilidad, por un lado, de proteger los datos personales y por otro, darle publicidad aquella información de relevancia que sea de interés público.</w:t>
      </w:r>
    </w:p>
    <w:p w:rsidR="009365BF" w:rsidRPr="009365BF" w:rsidRDefault="009365BF" w:rsidP="009365BF">
      <w:pPr>
        <w:spacing w:before="240" w:after="240" w:line="360" w:lineRule="auto"/>
        <w:contextualSpacing/>
        <w:jc w:val="both"/>
        <w:rPr>
          <w:rFonts w:ascii="Palatino Linotype" w:hAnsi="Palatino Linotype"/>
          <w:lang w:eastAsia="es-ES"/>
        </w:rPr>
      </w:pPr>
    </w:p>
    <w:p w:rsidR="009365BF" w:rsidRPr="009365BF" w:rsidRDefault="009365BF" w:rsidP="009365BF">
      <w:pPr>
        <w:spacing w:before="240" w:after="240" w:line="360" w:lineRule="auto"/>
        <w:contextualSpacing/>
        <w:jc w:val="both"/>
        <w:rPr>
          <w:rFonts w:ascii="Palatino Linotype" w:hAnsi="Palatino Linotype"/>
          <w:lang w:eastAsia="es-ES"/>
        </w:rPr>
      </w:pPr>
      <w:r w:rsidRPr="009365BF">
        <w:rPr>
          <w:rFonts w:ascii="Palatino Linotype" w:hAnsi="Palatino Linotype"/>
          <w:lang w:eastAsia="es-ES"/>
        </w:rPr>
        <w:t>En este orden de ideas, toda la información que transparente la gestión pública, favorezca la rendición de cuentas y contribuya a la democratización del Estado Mexicano es, sin excepción, de naturaleza pública; sin embargo, la información esta necesariamente vinculada con datos personales, los cuales deben ser protegidos.</w:t>
      </w:r>
    </w:p>
    <w:p w:rsidR="009365BF" w:rsidRPr="009365BF" w:rsidRDefault="009365BF" w:rsidP="009365BF">
      <w:pPr>
        <w:spacing w:before="240" w:after="240" w:line="360" w:lineRule="auto"/>
        <w:contextualSpacing/>
        <w:jc w:val="both"/>
        <w:rPr>
          <w:rFonts w:ascii="Palatino Linotype" w:hAnsi="Palatino Linotype"/>
          <w:lang w:eastAsia="es-ES"/>
        </w:rPr>
      </w:pPr>
    </w:p>
    <w:p w:rsidR="009365BF" w:rsidRPr="009365BF" w:rsidRDefault="009365BF" w:rsidP="009365BF">
      <w:pPr>
        <w:spacing w:before="240" w:after="240" w:line="360" w:lineRule="auto"/>
        <w:contextualSpacing/>
        <w:jc w:val="both"/>
        <w:rPr>
          <w:rFonts w:ascii="Palatino Linotype" w:hAnsi="Palatino Linotype"/>
          <w:lang w:eastAsia="es-ES"/>
        </w:rPr>
      </w:pPr>
      <w:r w:rsidRPr="009365BF">
        <w:rPr>
          <w:rFonts w:ascii="Palatino Linotype" w:hAnsi="Palatino Linotype"/>
          <w:lang w:eastAsia="es-ES"/>
        </w:rPr>
        <w:t>Por otro lado,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9365BF" w:rsidRPr="009365BF" w:rsidRDefault="009365BF" w:rsidP="009365BF">
      <w:pPr>
        <w:spacing w:before="240" w:after="240" w:line="360" w:lineRule="auto"/>
        <w:jc w:val="both"/>
        <w:rPr>
          <w:rFonts w:ascii="Palatino Linotype" w:eastAsia="Calibri" w:hAnsi="Palatino Linotype" w:cs="Tahoma"/>
          <w:iCs/>
          <w:sz w:val="22"/>
          <w:szCs w:val="22"/>
          <w:lang w:eastAsia="es-ES_tradnl"/>
        </w:rPr>
      </w:pPr>
    </w:p>
    <w:p w:rsidR="009365BF" w:rsidRPr="009365BF" w:rsidRDefault="009365BF" w:rsidP="009365BF">
      <w:pPr>
        <w:spacing w:before="240" w:after="240" w:line="360" w:lineRule="auto"/>
        <w:jc w:val="both"/>
        <w:rPr>
          <w:rFonts w:ascii="Palatino Linotype" w:eastAsia="Calibri" w:hAnsi="Palatino Linotype" w:cs="Tahoma"/>
          <w:iCs/>
          <w:lang w:eastAsia="es-ES_tradnl"/>
        </w:rPr>
      </w:pPr>
      <w:r w:rsidRPr="009365BF">
        <w:rPr>
          <w:rFonts w:ascii="Palatino Linotype" w:eastAsia="Calibri" w:hAnsi="Palatino Linotype" w:cs="Tahoma"/>
          <w:iCs/>
          <w:lang w:eastAsia="es-ES_tradnl"/>
        </w:rPr>
        <w:t>En tales circunstancias, se considera que en la especie proporcionar el nombre, cargo y área de adscripción de los Servidores Públicos absueltos</w:t>
      </w:r>
      <w:r w:rsidRPr="009365BF">
        <w:rPr>
          <w:rFonts w:ascii="Palatino Linotype" w:eastAsia="Calibri" w:hAnsi="Palatino Linotype" w:cs="Tahoma"/>
          <w:bCs/>
          <w:iCs/>
          <w:lang w:eastAsia="es-ES_tradnl"/>
        </w:rPr>
        <w:t>,</w:t>
      </w:r>
      <w:r w:rsidRPr="009365BF">
        <w:rPr>
          <w:rFonts w:ascii="Palatino Linotype" w:eastAsia="Calibri" w:hAnsi="Palatino Linotype" w:cs="Tahoma"/>
          <w:b/>
          <w:iCs/>
          <w:lang w:eastAsia="es-ES_tradnl"/>
        </w:rPr>
        <w:t xml:space="preserve"> </w:t>
      </w:r>
      <w:r w:rsidRPr="009365BF">
        <w:rPr>
          <w:rFonts w:ascii="Palatino Linotype" w:eastAsia="Calibri" w:hAnsi="Palatino Linotype" w:cs="Tahoma"/>
          <w:iCs/>
          <w:lang w:eastAsia="es-ES_tradnl"/>
        </w:rPr>
        <w:t>en caso de que existieran, podría afectar su honor, buen nombre y su imagen.</w:t>
      </w:r>
    </w:p>
    <w:p w:rsidR="009365BF" w:rsidRPr="009365BF" w:rsidRDefault="009365BF" w:rsidP="009365BF">
      <w:pPr>
        <w:spacing w:before="240" w:after="240" w:line="360" w:lineRule="auto"/>
        <w:jc w:val="both"/>
        <w:rPr>
          <w:rFonts w:ascii="Palatino Linotype" w:hAnsi="Palatino Linotype"/>
          <w:lang w:eastAsia="es-ES"/>
        </w:rPr>
      </w:pPr>
      <w:r w:rsidRPr="009365BF">
        <w:rPr>
          <w:rFonts w:ascii="Palatino Linotype" w:hAnsi="Palatino Linotype"/>
          <w:lang w:eastAsia="es-ES"/>
        </w:rPr>
        <w:t>Al respecto, la Suprema Corte de Justicia de la Nación ha reconocido como derechos fundamentales de las personas, el derecho a la intimidad y a la propia imagen, en el siguiente criterio:</w:t>
      </w:r>
    </w:p>
    <w:p w:rsidR="009365BF" w:rsidRPr="009365BF" w:rsidRDefault="009365BF" w:rsidP="009365BF">
      <w:pPr>
        <w:ind w:left="851" w:right="851"/>
        <w:contextualSpacing/>
        <w:jc w:val="both"/>
        <w:rPr>
          <w:rFonts w:ascii="Palatino Linotype" w:eastAsia="Calibri" w:hAnsi="Palatino Linotype" w:cs="Arial"/>
          <w:b/>
          <w:i/>
          <w:sz w:val="22"/>
          <w:szCs w:val="22"/>
        </w:rPr>
      </w:pPr>
      <w:r w:rsidRPr="009365BF">
        <w:rPr>
          <w:rFonts w:ascii="Palatino Linotype" w:eastAsia="Calibri" w:hAnsi="Palatino Linotype" w:cs="Arial"/>
          <w:bCs/>
          <w:i/>
          <w:sz w:val="22"/>
          <w:szCs w:val="22"/>
        </w:rPr>
        <w:lastRenderedPageBreak/>
        <w:t>“</w:t>
      </w:r>
      <w:r w:rsidRPr="009365BF">
        <w:rPr>
          <w:rFonts w:ascii="Palatino Linotype" w:eastAsia="Calibri" w:hAnsi="Palatino Linotype" w:cs="Arial"/>
          <w:b/>
          <w:bCs/>
          <w:i/>
          <w:sz w:val="22"/>
          <w:szCs w:val="22"/>
        </w:rPr>
        <w:t xml:space="preserve">DERECHOS A LA INTIMIDAD, PROPIA IMAGEN, IDENTIDAD PERSONAL Y SEXUAL. CONSTITUYEN DERECHOS DE DEFENSA Y GARANTÍA ESENCIAL PARA LA CONDICIÓN HUMANA.  </w:t>
      </w:r>
      <w:r w:rsidRPr="009365BF">
        <w:rPr>
          <w:rFonts w:ascii="Palatino Linotype" w:eastAsia="Calibri" w:hAnsi="Palatino Linotype" w:cs="Arial"/>
          <w:i/>
          <w:sz w:val="22"/>
          <w:szCs w:val="22"/>
        </w:rPr>
        <w:t xml:space="preserve">Dentro de los derechos personalísimos se encuentran necesariamente comprendidos el </w:t>
      </w:r>
      <w:r w:rsidRPr="009365BF">
        <w:rPr>
          <w:rFonts w:ascii="Palatino Linotype" w:eastAsia="Calibri" w:hAnsi="Palatino Linotype" w:cs="Arial"/>
          <w:b/>
          <w:i/>
          <w:sz w:val="22"/>
          <w:szCs w:val="22"/>
        </w:rPr>
        <w:t>derecho a la intimidad y a la propia imagen</w:t>
      </w:r>
      <w:r w:rsidRPr="009365BF">
        <w:rPr>
          <w:rFonts w:ascii="Palatino Linotype" w:eastAsia="Calibri" w:hAnsi="Palatino Linotype" w:cs="Arial"/>
          <w:i/>
          <w:sz w:val="22"/>
          <w:szCs w:val="22"/>
        </w:rPr>
        <w:t xml:space="preserve">, así como a la </w:t>
      </w:r>
      <w:r w:rsidRPr="009365BF">
        <w:rPr>
          <w:rFonts w:ascii="Palatino Linotype" w:eastAsia="Calibri" w:hAnsi="Palatino Linotype" w:cs="Arial"/>
          <w:b/>
          <w:i/>
          <w:sz w:val="22"/>
          <w:szCs w:val="22"/>
        </w:rPr>
        <w:t>identidad personal</w:t>
      </w:r>
      <w:r w:rsidRPr="009365BF">
        <w:rPr>
          <w:rFonts w:ascii="Palatino Linotype" w:eastAsia="Calibri" w:hAnsi="Palatino Linotype" w:cs="Arial"/>
          <w:i/>
          <w:sz w:val="22"/>
          <w:szCs w:val="22"/>
        </w:rPr>
        <w:t xml:space="preserve"> y sexual; entendiéndose por el primero, </w:t>
      </w:r>
      <w:r w:rsidRPr="009365BF">
        <w:rPr>
          <w:rFonts w:ascii="Palatino Linotype" w:eastAsia="Calibri" w:hAnsi="Palatino Linotype" w:cs="Arial"/>
          <w:b/>
          <w:i/>
          <w:sz w:val="22"/>
          <w:szCs w:val="22"/>
        </w:rPr>
        <w:t>el derecho del individuo a no ser conocido por otros en ciertos aspectos de su vida</w:t>
      </w:r>
      <w:r w:rsidRPr="009365BF">
        <w:rPr>
          <w:rFonts w:ascii="Palatino Linotype" w:eastAsia="Calibri" w:hAnsi="Palatino Linotype" w:cs="Arial"/>
          <w:i/>
          <w:sz w:val="22"/>
          <w:szCs w:val="22"/>
        </w:rPr>
        <w:t xml:space="preserve"> y, </w:t>
      </w:r>
      <w:r w:rsidRPr="009365BF">
        <w:rPr>
          <w:rFonts w:ascii="Palatino Linotype" w:eastAsia="Calibri" w:hAnsi="Palatino Linotype" w:cs="Arial"/>
          <w:b/>
          <w:i/>
          <w:sz w:val="22"/>
          <w:szCs w:val="22"/>
        </w:rPr>
        <w:t>por ende, el poder de decisión sobre la publicidad o información de datos relativos a su persona</w:t>
      </w:r>
      <w:r w:rsidRPr="009365BF">
        <w:rPr>
          <w:rFonts w:ascii="Palatino Linotype" w:eastAsia="Calibri" w:hAnsi="Palatino Linotype" w:cs="Arial"/>
          <w:i/>
          <w:sz w:val="22"/>
          <w:szCs w:val="22"/>
        </w:rPr>
        <w:t>, familia, pensamientos o sentimientos;</w:t>
      </w:r>
      <w:r w:rsidRPr="009365BF">
        <w:rPr>
          <w:rFonts w:ascii="Palatino Linotype" w:eastAsia="Calibri" w:hAnsi="Palatino Linotype" w:cs="Arial"/>
          <w:b/>
          <w:i/>
          <w:sz w:val="22"/>
          <w:szCs w:val="22"/>
        </w:rPr>
        <w:t xml:space="preserve"> </w:t>
      </w:r>
      <w:r w:rsidRPr="009365BF">
        <w:rPr>
          <w:rFonts w:ascii="Palatino Linotype" w:eastAsia="Calibri" w:hAnsi="Palatino Linotype" w:cs="Arial"/>
          <w:i/>
          <w:sz w:val="22"/>
          <w:szCs w:val="22"/>
        </w:rPr>
        <w:t xml:space="preserve">a la </w:t>
      </w:r>
      <w:r w:rsidRPr="009365BF">
        <w:rPr>
          <w:rFonts w:ascii="Palatino Linotype" w:eastAsia="Calibri" w:hAnsi="Palatino Linotype" w:cs="Arial"/>
          <w:b/>
          <w:i/>
          <w:sz w:val="22"/>
          <w:szCs w:val="22"/>
        </w:rPr>
        <w:t>propia imagen, como aquel derecho de decidir, en forma libre, sobre la manera en que elige mostrarse frente a los demás</w:t>
      </w:r>
      <w:r w:rsidRPr="009365BF">
        <w:rPr>
          <w:rFonts w:ascii="Palatino Linotype" w:eastAsia="Calibri" w:hAnsi="Palatino Linotype" w:cs="Arial"/>
          <w:i/>
          <w:sz w:val="22"/>
          <w:szCs w:val="22"/>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RPr="009365BF">
        <w:rPr>
          <w:rFonts w:ascii="Palatino Linotype" w:eastAsia="Calibri" w:hAnsi="Palatino Linotype" w:cs="Arial"/>
          <w:b/>
          <w:i/>
          <w:sz w:val="22"/>
          <w:szCs w:val="22"/>
        </w:rPr>
        <w:t>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sidRPr="009365BF">
        <w:rPr>
          <w:rFonts w:ascii="Palatino Linotype" w:eastAsia="Calibri" w:hAnsi="Palatino Linotype" w:cs="Arial"/>
          <w:i/>
          <w:sz w:val="22"/>
          <w:szCs w:val="22"/>
        </w:rPr>
        <w:t>”</w:t>
      </w:r>
    </w:p>
    <w:p w:rsidR="009365BF" w:rsidRPr="009365BF" w:rsidRDefault="009365BF" w:rsidP="009365BF">
      <w:pPr>
        <w:spacing w:line="360" w:lineRule="auto"/>
        <w:jc w:val="both"/>
        <w:rPr>
          <w:rFonts w:ascii="Palatino Linotype" w:hAnsi="Palatino Linotype"/>
          <w:sz w:val="22"/>
          <w:szCs w:val="22"/>
          <w:lang w:eastAsia="es-ES"/>
        </w:rPr>
      </w:pPr>
      <w:r w:rsidRPr="009365BF">
        <w:rPr>
          <w:rFonts w:ascii="Palatino Linotype" w:hAnsi="Palatino Linotype"/>
          <w:sz w:val="22"/>
          <w:szCs w:val="22"/>
          <w:lang w:eastAsia="es-ES"/>
        </w:rPr>
        <w:t xml:space="preserve"> </w:t>
      </w:r>
    </w:p>
    <w:p w:rsidR="009365BF" w:rsidRPr="009365BF" w:rsidRDefault="009365BF" w:rsidP="009365BF">
      <w:pPr>
        <w:spacing w:before="240" w:after="240" w:line="360" w:lineRule="auto"/>
        <w:jc w:val="both"/>
        <w:rPr>
          <w:rFonts w:ascii="Palatino Linotype" w:hAnsi="Palatino Linotype"/>
          <w:lang w:eastAsia="es-ES"/>
        </w:rPr>
      </w:pPr>
      <w:r w:rsidRPr="009365BF">
        <w:rPr>
          <w:rFonts w:ascii="Palatino Linotype" w:hAnsi="Palatino Linotype"/>
          <w:lang w:eastAsia="es-ES"/>
        </w:rPr>
        <w:t>En ese sentido, es derecho de todo individuo a no ser conocido por otros en ciertos aspectos de su vida y, por ende, el poder de decisión sobre la publicidad o información de datos relativos a su persona (</w:t>
      </w:r>
      <w:r w:rsidRPr="009365BF">
        <w:rPr>
          <w:rFonts w:ascii="Palatino Linotype" w:hAnsi="Palatino Linotype"/>
          <w:i/>
          <w:iCs/>
          <w:lang w:eastAsia="es-ES"/>
        </w:rPr>
        <w:t>derecho a la intimidad</w:t>
      </w:r>
      <w:r w:rsidRPr="009365BF">
        <w:rPr>
          <w:rFonts w:ascii="Palatino Linotype" w:hAnsi="Palatino Linotype"/>
          <w:lang w:eastAsia="es-ES"/>
        </w:rPr>
        <w:t>).</w:t>
      </w:r>
    </w:p>
    <w:p w:rsidR="009365BF" w:rsidRPr="009365BF" w:rsidRDefault="009365BF" w:rsidP="009365BF">
      <w:pPr>
        <w:spacing w:before="240" w:after="240" w:line="360" w:lineRule="auto"/>
        <w:jc w:val="both"/>
        <w:rPr>
          <w:rFonts w:ascii="Palatino Linotype" w:hAnsi="Palatino Linotype"/>
          <w:lang w:eastAsia="es-ES"/>
        </w:rPr>
      </w:pPr>
      <w:r w:rsidRPr="009365BF">
        <w:rPr>
          <w:rFonts w:ascii="Palatino Linotype" w:hAnsi="Palatino Linotype"/>
          <w:lang w:eastAsia="es-ES"/>
        </w:rPr>
        <w:lastRenderedPageBreak/>
        <w:t>Asimismo, el derecho a la propia imagen es el derecho de decidir, de forma libre, sobre la manera en que elige mostrarse frente a los demás.</w:t>
      </w:r>
    </w:p>
    <w:p w:rsidR="009365BF" w:rsidRPr="009365BF" w:rsidRDefault="009365BF" w:rsidP="009365BF">
      <w:pPr>
        <w:spacing w:before="240" w:after="240" w:line="360" w:lineRule="auto"/>
        <w:jc w:val="both"/>
        <w:rPr>
          <w:rFonts w:ascii="Palatino Linotype" w:hAnsi="Palatino Linotype"/>
          <w:lang w:eastAsia="es-ES"/>
        </w:rPr>
      </w:pPr>
      <w:r w:rsidRPr="009365BF">
        <w:rPr>
          <w:rFonts w:ascii="Palatino Linotype" w:hAnsi="Palatino Linotype" w:cs="Arial"/>
          <w:bCs/>
          <w:iCs/>
          <w:lang w:eastAsia="es-ES"/>
        </w:rPr>
        <w:t xml:space="preserve">Por otro lado, en cuanto al derecho al honor, </w:t>
      </w:r>
      <w:r w:rsidRPr="009365BF">
        <w:rPr>
          <w:rFonts w:ascii="Palatino Linotype" w:hAnsi="Palatino Linotype"/>
          <w:lang w:eastAsia="es-ES"/>
        </w:rPr>
        <w:t xml:space="preserve">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rsidR="009365BF" w:rsidRPr="009365BF" w:rsidRDefault="009365BF" w:rsidP="009365BF">
      <w:pPr>
        <w:autoSpaceDE w:val="0"/>
        <w:autoSpaceDN w:val="0"/>
        <w:adjustRightInd w:val="0"/>
        <w:ind w:left="851" w:right="851"/>
        <w:contextualSpacing/>
        <w:jc w:val="both"/>
        <w:rPr>
          <w:rFonts w:ascii="Palatino Linotype" w:eastAsia="Batang" w:hAnsi="Palatino Linotype" w:cs="Arial"/>
          <w:b/>
          <w:i/>
          <w:sz w:val="22"/>
          <w:szCs w:val="22"/>
          <w:lang w:eastAsia="es-ES"/>
        </w:rPr>
      </w:pPr>
      <w:r w:rsidRPr="009365BF">
        <w:rPr>
          <w:rFonts w:ascii="Palatino Linotype" w:eastAsia="Batang" w:hAnsi="Palatino Linotype" w:cs="Arial"/>
          <w:i/>
          <w:sz w:val="22"/>
          <w:szCs w:val="22"/>
          <w:lang w:eastAsia="es-ES"/>
        </w:rPr>
        <w:t>“</w:t>
      </w:r>
      <w:r w:rsidRPr="009365BF">
        <w:rPr>
          <w:rFonts w:ascii="Palatino Linotype" w:eastAsia="Batang" w:hAnsi="Palatino Linotype" w:cs="Arial"/>
          <w:b/>
          <w:i/>
          <w:sz w:val="22"/>
          <w:szCs w:val="22"/>
          <w:lang w:eastAsia="es-ES"/>
        </w:rPr>
        <w:t xml:space="preserve">DERECHO FUNDAMENTAL AL HONOR. SU DIMENSIÓN SUBJETIVA Y OBJETIVA. </w:t>
      </w:r>
      <w:r w:rsidRPr="009365BF">
        <w:rPr>
          <w:rFonts w:ascii="Palatino Linotype" w:eastAsia="Batang" w:hAnsi="Palatino Linotype" w:cs="Arial"/>
          <w:i/>
          <w:sz w:val="22"/>
          <w:szCs w:val="22"/>
          <w:lang w:eastAsia="es-ES"/>
        </w:rPr>
        <w:t xml:space="preserve">A juicio de esta Primera Sala de la Suprema Corte de Justicia de la Nación, es posible definir al honor como el </w:t>
      </w:r>
      <w:r w:rsidRPr="009365BF">
        <w:rPr>
          <w:rFonts w:ascii="Palatino Linotype" w:eastAsia="Batang" w:hAnsi="Palatino Linotype" w:cs="Arial"/>
          <w:b/>
          <w:i/>
          <w:sz w:val="22"/>
          <w:szCs w:val="22"/>
          <w:lang w:eastAsia="es-ES"/>
        </w:rPr>
        <w:t>concepto que la persona tiene de sí misma o que los demás se han formado de ella, en virtud de su proceder o de la expresión de su calidad ética y social.</w:t>
      </w:r>
      <w:r w:rsidRPr="009365BF">
        <w:rPr>
          <w:rFonts w:ascii="Palatino Linotype" w:eastAsia="Batang" w:hAnsi="Palatino Linotype" w:cs="Arial"/>
          <w:i/>
          <w:sz w:val="22"/>
          <w:szCs w:val="22"/>
          <w:lang w:eastAsia="es-ES"/>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rsidR="009365BF" w:rsidRPr="009365BF" w:rsidRDefault="009365BF" w:rsidP="009365BF">
      <w:pPr>
        <w:autoSpaceDE w:val="0"/>
        <w:autoSpaceDN w:val="0"/>
        <w:adjustRightInd w:val="0"/>
        <w:contextualSpacing/>
        <w:jc w:val="both"/>
        <w:rPr>
          <w:rFonts w:ascii="Palatino Linotype" w:eastAsia="Batang" w:hAnsi="Palatino Linotype" w:cs="Arial"/>
          <w:bCs/>
          <w:iCs/>
          <w:sz w:val="22"/>
          <w:szCs w:val="22"/>
          <w:lang w:eastAsia="es-ES"/>
        </w:rPr>
      </w:pPr>
    </w:p>
    <w:p w:rsidR="009365BF" w:rsidRPr="009365BF" w:rsidRDefault="009365BF" w:rsidP="009365BF">
      <w:pPr>
        <w:autoSpaceDE w:val="0"/>
        <w:autoSpaceDN w:val="0"/>
        <w:adjustRightInd w:val="0"/>
        <w:spacing w:line="360" w:lineRule="auto"/>
        <w:jc w:val="both"/>
        <w:rPr>
          <w:rFonts w:ascii="Palatino Linotype" w:eastAsia="Batang" w:hAnsi="Palatino Linotype" w:cs="Arial"/>
          <w:lang w:eastAsia="es-ES"/>
        </w:rPr>
      </w:pPr>
      <w:r w:rsidRPr="009365BF">
        <w:rPr>
          <w:rFonts w:ascii="Palatino Linotype" w:eastAsia="Batang" w:hAnsi="Palatino Linotype" w:cs="Arial"/>
          <w:bCs/>
          <w:iCs/>
          <w:lang w:eastAsia="es-ES"/>
        </w:rPr>
        <w:t xml:space="preserve">De la tesis transcrita se desprende que </w:t>
      </w:r>
      <w:r w:rsidRPr="009365BF">
        <w:rPr>
          <w:rFonts w:ascii="Palatino Linotype" w:eastAsia="Batang" w:hAnsi="Palatino Linotype" w:cs="Arial"/>
          <w:lang w:eastAsia="es-ES"/>
        </w:rPr>
        <w:t xml:space="preserve">el honor es el concepto que la persona tiene de sí misma o que los demás se han formado de ella, en virtud de su proceder o de la expresión de su calidad ética y social. </w:t>
      </w:r>
    </w:p>
    <w:p w:rsidR="009365BF" w:rsidRPr="009365BF" w:rsidRDefault="009365BF" w:rsidP="009365BF">
      <w:pPr>
        <w:autoSpaceDE w:val="0"/>
        <w:autoSpaceDN w:val="0"/>
        <w:adjustRightInd w:val="0"/>
        <w:spacing w:line="360" w:lineRule="auto"/>
        <w:jc w:val="both"/>
        <w:rPr>
          <w:rFonts w:ascii="Palatino Linotype" w:eastAsia="Batang" w:hAnsi="Palatino Linotype" w:cs="Arial"/>
          <w:lang w:eastAsia="es-ES"/>
        </w:rPr>
      </w:pPr>
    </w:p>
    <w:p w:rsidR="009365BF" w:rsidRPr="009365BF" w:rsidRDefault="009365BF" w:rsidP="009365BF">
      <w:pPr>
        <w:autoSpaceDE w:val="0"/>
        <w:autoSpaceDN w:val="0"/>
        <w:adjustRightInd w:val="0"/>
        <w:spacing w:line="360" w:lineRule="auto"/>
        <w:jc w:val="both"/>
        <w:rPr>
          <w:rFonts w:ascii="Palatino Linotype" w:eastAsia="Batang" w:hAnsi="Palatino Linotype" w:cs="Arial"/>
          <w:lang w:eastAsia="es-ES"/>
        </w:rPr>
      </w:pPr>
      <w:r w:rsidRPr="009365BF">
        <w:rPr>
          <w:rFonts w:ascii="Palatino Linotype" w:eastAsia="Batang" w:hAnsi="Palatino Linotype" w:cs="Arial"/>
          <w:lang w:eastAsia="es-ES"/>
        </w:rPr>
        <w:t xml:space="preserve">En el campo jurídico, es un derecho humano que involucra la facultad de cada individuo de ser tratado de forma decorosa. Este derecho tiene dos elementos, el </w:t>
      </w:r>
      <w:r w:rsidRPr="009365BF">
        <w:rPr>
          <w:rFonts w:ascii="Palatino Linotype" w:eastAsia="Batang" w:hAnsi="Palatino Linotype" w:cs="Arial"/>
          <w:lang w:eastAsia="es-ES"/>
        </w:rPr>
        <w:lastRenderedPageBreak/>
        <w:t>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rsidR="009365BF" w:rsidRPr="009365BF" w:rsidRDefault="009365BF" w:rsidP="009365BF">
      <w:pPr>
        <w:autoSpaceDE w:val="0"/>
        <w:autoSpaceDN w:val="0"/>
        <w:adjustRightInd w:val="0"/>
        <w:spacing w:line="360" w:lineRule="auto"/>
        <w:jc w:val="both"/>
        <w:rPr>
          <w:rFonts w:ascii="Palatino Linotype" w:eastAsia="Batang" w:hAnsi="Palatino Linotype" w:cs="Arial"/>
          <w:lang w:eastAsia="es-ES"/>
        </w:rPr>
      </w:pPr>
    </w:p>
    <w:p w:rsidR="009365BF" w:rsidRPr="009365BF" w:rsidRDefault="009365BF" w:rsidP="009365BF">
      <w:pPr>
        <w:spacing w:line="360" w:lineRule="auto"/>
        <w:jc w:val="both"/>
        <w:rPr>
          <w:rFonts w:ascii="Palatino Linotype" w:hAnsi="Palatino Linotype"/>
          <w:lang w:eastAsia="es-ES"/>
        </w:rPr>
      </w:pPr>
      <w:r w:rsidRPr="009365BF">
        <w:rPr>
          <w:rFonts w:ascii="Palatino Linotype" w:hAnsi="Palatino Linotype"/>
          <w:lang w:eastAsia="es-ES"/>
        </w:rPr>
        <w:t>Adicionalmente, en relación a este derecho [</w:t>
      </w:r>
      <w:r w:rsidRPr="009365BF">
        <w:rPr>
          <w:rFonts w:ascii="Palatino Linotype" w:hAnsi="Palatino Linotype"/>
          <w:i/>
          <w:iCs/>
          <w:lang w:eastAsia="es-ES"/>
        </w:rPr>
        <w:t>al honor</w:t>
      </w:r>
      <w:r w:rsidRPr="009365BF">
        <w:rPr>
          <w:rFonts w:ascii="Palatino Linotype" w:hAnsi="Palatino Linotype"/>
          <w:lang w:eastAsia="es-ES"/>
        </w:rPr>
        <w:t>], el máximo tribual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rsidR="009365BF" w:rsidRPr="009365BF" w:rsidRDefault="009365BF" w:rsidP="009365BF">
      <w:pPr>
        <w:spacing w:line="360" w:lineRule="auto"/>
        <w:jc w:val="both"/>
        <w:rPr>
          <w:rFonts w:ascii="Palatino Linotype" w:hAnsi="Palatino Linotype"/>
          <w:sz w:val="22"/>
          <w:szCs w:val="22"/>
          <w:lang w:eastAsia="es-ES"/>
        </w:rPr>
      </w:pPr>
    </w:p>
    <w:p w:rsidR="009365BF" w:rsidRPr="009365BF" w:rsidRDefault="009365BF" w:rsidP="009365BF">
      <w:pPr>
        <w:tabs>
          <w:tab w:val="left" w:pos="8363"/>
        </w:tabs>
        <w:ind w:left="851" w:right="851"/>
        <w:contextualSpacing/>
        <w:jc w:val="both"/>
        <w:rPr>
          <w:rFonts w:ascii="Palatino Linotype" w:hAnsi="Palatino Linotype"/>
          <w:b/>
          <w:i/>
          <w:sz w:val="22"/>
          <w:szCs w:val="22"/>
          <w:lang w:eastAsia="es-ES"/>
        </w:rPr>
      </w:pPr>
      <w:r w:rsidRPr="009365BF">
        <w:rPr>
          <w:rFonts w:ascii="Palatino Linotype" w:hAnsi="Palatino Linotype"/>
          <w:i/>
          <w:sz w:val="22"/>
          <w:szCs w:val="22"/>
          <w:lang w:eastAsia="es-ES"/>
        </w:rPr>
        <w:t>“</w:t>
      </w:r>
      <w:r w:rsidRPr="009365BF">
        <w:rPr>
          <w:rFonts w:ascii="Palatino Linotype" w:hAnsi="Palatino Linotype"/>
          <w:b/>
          <w:i/>
          <w:sz w:val="22"/>
          <w:szCs w:val="22"/>
          <w:lang w:eastAsia="es-ES"/>
        </w:rPr>
        <w:t xml:space="preserve">DERECHOS AL HONOR, A LA INTIMIDAD Y A LA PROPIA IMAGEN. CONSTITUYEN DERECHOS HUMANOS QUE SE PROTEGEN A TRAVÉS DEL ACTUAL MARCO CONSTITUCIONAL. </w:t>
      </w:r>
      <w:r w:rsidRPr="009365BF">
        <w:rPr>
          <w:rFonts w:ascii="Palatino Linotype" w:hAnsi="Palatino Linotype"/>
          <w:i/>
          <w:sz w:val="22"/>
          <w:szCs w:val="22"/>
          <w:lang w:eastAsia="es-ES"/>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w:t>
      </w:r>
      <w:r w:rsidRPr="009365BF">
        <w:rPr>
          <w:rFonts w:ascii="Palatino Linotype" w:hAnsi="Palatino Linotype"/>
          <w:i/>
          <w:sz w:val="22"/>
          <w:szCs w:val="22"/>
          <w:lang w:eastAsia="es-ES"/>
        </w:rPr>
        <w:lastRenderedPageBreak/>
        <w:t xml:space="preserve">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w:t>
      </w:r>
      <w:proofErr w:type="spellStart"/>
      <w:r w:rsidRPr="009365BF">
        <w:rPr>
          <w:rFonts w:ascii="Palatino Linotype" w:hAnsi="Palatino Linotype"/>
          <w:i/>
          <w:sz w:val="22"/>
          <w:szCs w:val="22"/>
          <w:lang w:eastAsia="es-ES"/>
        </w:rPr>
        <w:t>personae</w:t>
      </w:r>
      <w:proofErr w:type="spellEnd"/>
      <w:r w:rsidRPr="009365BF">
        <w:rPr>
          <w:rFonts w:ascii="Palatino Linotype" w:hAnsi="Palatino Linotype"/>
          <w:i/>
          <w:sz w:val="22"/>
          <w:szCs w:val="22"/>
          <w:lang w:eastAsia="es-ES"/>
        </w:rPr>
        <w:t>,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Mexicano.”(Sic)</w:t>
      </w:r>
    </w:p>
    <w:p w:rsidR="009365BF" w:rsidRPr="009365BF" w:rsidRDefault="009365BF" w:rsidP="009365BF">
      <w:pPr>
        <w:autoSpaceDE w:val="0"/>
        <w:autoSpaceDN w:val="0"/>
        <w:adjustRightInd w:val="0"/>
        <w:spacing w:line="360" w:lineRule="auto"/>
        <w:jc w:val="both"/>
        <w:rPr>
          <w:rFonts w:ascii="Palatino Linotype" w:eastAsia="Batang" w:hAnsi="Palatino Linotype" w:cs="Arial"/>
          <w:sz w:val="22"/>
          <w:szCs w:val="22"/>
          <w:lang w:eastAsia="es-ES"/>
        </w:rPr>
      </w:pPr>
    </w:p>
    <w:p w:rsidR="009365BF" w:rsidRPr="009365BF" w:rsidRDefault="009365BF" w:rsidP="009365BF">
      <w:pPr>
        <w:autoSpaceDE w:val="0"/>
        <w:autoSpaceDN w:val="0"/>
        <w:adjustRightInd w:val="0"/>
        <w:spacing w:line="360" w:lineRule="auto"/>
        <w:jc w:val="both"/>
        <w:rPr>
          <w:rFonts w:ascii="Palatino Linotype" w:eastAsia="Batang" w:hAnsi="Palatino Linotype" w:cs="Arial"/>
          <w:lang w:eastAsia="es-ES"/>
        </w:rPr>
      </w:pPr>
      <w:r w:rsidRPr="009365BF">
        <w:rPr>
          <w:rFonts w:ascii="Palatino Linotype" w:eastAsia="Batang" w:hAnsi="Palatino Linotype" w:cs="Arial"/>
          <w:lang w:eastAsia="es-ES"/>
        </w:rPr>
        <w:t>Asimismo, el artículo 12 de la Declaración Universal de los Derechos Humanos</w:t>
      </w:r>
      <w:r w:rsidRPr="009365BF">
        <w:rPr>
          <w:rFonts w:ascii="Palatino Linotype" w:eastAsia="Batang" w:hAnsi="Palatino Linotype" w:cs="Arial"/>
          <w:i/>
          <w:lang w:eastAsia="es-ES"/>
        </w:rPr>
        <w:t xml:space="preserve"> </w:t>
      </w:r>
      <w:r w:rsidRPr="009365BF">
        <w:rPr>
          <w:rFonts w:ascii="Palatino Linotype" w:eastAsia="Batang" w:hAnsi="Palatino Linotype" w:cs="Arial"/>
          <w:lang w:eastAsia="es-ES"/>
        </w:rPr>
        <w:t>prevé que nadie será objeto de injerencias arbitrarias en su vida privada, su familia, su domicilio o su correspondencia, ni de ataques a su honra o a su reputación. Toda persona tiene derecho a la protección de la ley contra tales injerencias o ataques.</w:t>
      </w:r>
    </w:p>
    <w:p w:rsidR="009365BF" w:rsidRPr="009365BF" w:rsidRDefault="009365BF" w:rsidP="009365BF">
      <w:pPr>
        <w:autoSpaceDE w:val="0"/>
        <w:autoSpaceDN w:val="0"/>
        <w:adjustRightInd w:val="0"/>
        <w:spacing w:line="360" w:lineRule="auto"/>
        <w:jc w:val="both"/>
        <w:rPr>
          <w:rFonts w:ascii="Palatino Linotype" w:eastAsia="Batang" w:hAnsi="Palatino Linotype" w:cs="Arial"/>
          <w:lang w:eastAsia="es-ES"/>
        </w:rPr>
      </w:pPr>
    </w:p>
    <w:p w:rsidR="009365BF" w:rsidRPr="009365BF" w:rsidRDefault="009365BF" w:rsidP="009365BF">
      <w:pPr>
        <w:autoSpaceDE w:val="0"/>
        <w:autoSpaceDN w:val="0"/>
        <w:adjustRightInd w:val="0"/>
        <w:spacing w:line="360" w:lineRule="auto"/>
        <w:jc w:val="both"/>
        <w:rPr>
          <w:rFonts w:ascii="Palatino Linotype" w:eastAsia="Batang" w:hAnsi="Palatino Linotype" w:cs="Arial"/>
          <w:lang w:eastAsia="es-ES"/>
        </w:rPr>
      </w:pPr>
      <w:r w:rsidRPr="009365BF">
        <w:rPr>
          <w:rFonts w:ascii="Palatino Linotype" w:eastAsia="Batang" w:hAnsi="Palatino Linotype" w:cs="Arial"/>
          <w:lang w:eastAsia="es-ES"/>
        </w:rPr>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rsidR="009365BF" w:rsidRPr="009365BF" w:rsidRDefault="009365BF" w:rsidP="009365BF">
      <w:pPr>
        <w:autoSpaceDE w:val="0"/>
        <w:autoSpaceDN w:val="0"/>
        <w:adjustRightInd w:val="0"/>
        <w:spacing w:line="360" w:lineRule="auto"/>
        <w:jc w:val="both"/>
        <w:rPr>
          <w:rFonts w:ascii="Palatino Linotype" w:eastAsia="Batang" w:hAnsi="Palatino Linotype" w:cs="Arial"/>
          <w:lang w:eastAsia="es-ES"/>
        </w:rPr>
      </w:pPr>
    </w:p>
    <w:p w:rsidR="009365BF" w:rsidRPr="009365BF" w:rsidRDefault="009365BF" w:rsidP="009365BF">
      <w:pPr>
        <w:autoSpaceDE w:val="0"/>
        <w:autoSpaceDN w:val="0"/>
        <w:adjustRightInd w:val="0"/>
        <w:spacing w:line="360" w:lineRule="auto"/>
        <w:jc w:val="both"/>
        <w:rPr>
          <w:rFonts w:ascii="Palatino Linotype" w:eastAsia="Batang" w:hAnsi="Palatino Linotype" w:cs="Arial"/>
          <w:lang w:eastAsia="es-ES"/>
        </w:rPr>
      </w:pPr>
      <w:r w:rsidRPr="009365BF">
        <w:rPr>
          <w:rFonts w:ascii="Palatino Linotype" w:eastAsia="Batang" w:hAnsi="Palatino Linotype" w:cs="Arial"/>
          <w:lang w:eastAsia="es-ES"/>
        </w:rPr>
        <w:lastRenderedPageBreak/>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rsidR="009365BF" w:rsidRPr="009365BF" w:rsidRDefault="009365BF" w:rsidP="009365BF">
      <w:pPr>
        <w:autoSpaceDE w:val="0"/>
        <w:autoSpaceDN w:val="0"/>
        <w:adjustRightInd w:val="0"/>
        <w:spacing w:line="360" w:lineRule="auto"/>
        <w:jc w:val="both"/>
        <w:rPr>
          <w:rFonts w:ascii="Palatino Linotype" w:eastAsia="Batang" w:hAnsi="Palatino Linotype" w:cs="Arial"/>
          <w:lang w:eastAsia="es-ES"/>
        </w:rPr>
      </w:pPr>
    </w:p>
    <w:p w:rsidR="009365BF" w:rsidRPr="009365BF" w:rsidRDefault="009365BF" w:rsidP="009365BF">
      <w:pPr>
        <w:autoSpaceDE w:val="0"/>
        <w:autoSpaceDN w:val="0"/>
        <w:adjustRightInd w:val="0"/>
        <w:spacing w:line="360" w:lineRule="auto"/>
        <w:jc w:val="both"/>
        <w:rPr>
          <w:rFonts w:ascii="Palatino Linotype" w:hAnsi="Palatino Linotype" w:cs="Arial"/>
          <w:lang w:eastAsia="es-ES"/>
        </w:rPr>
      </w:pPr>
      <w:r w:rsidRPr="009365BF">
        <w:rPr>
          <w:rFonts w:ascii="Palatino Linotype" w:hAnsi="Palatino Linotype" w:cs="Arial"/>
          <w:lang w:eastAsia="es-ES"/>
        </w:rPr>
        <w:t>Por lo expuesto, se desprende que dar a conocer los nombres, cargos y áreas de adscripción de los servidores públicos, absueltos, en su caso que existan, constituyen información confidencial que afecta su esfera privada, puesto que podría generar una percepción negativa de éste, ocasionando un perjuicio en su honor, intimidad y buena imagen, pues como se precisó la afectación es para el propio servidor público, situación que no afecta a terceros.</w:t>
      </w:r>
    </w:p>
    <w:p w:rsidR="009365BF" w:rsidRPr="009365BF" w:rsidRDefault="009365BF" w:rsidP="009365BF">
      <w:pPr>
        <w:autoSpaceDE w:val="0"/>
        <w:autoSpaceDN w:val="0"/>
        <w:adjustRightInd w:val="0"/>
        <w:spacing w:line="360" w:lineRule="auto"/>
        <w:jc w:val="both"/>
        <w:rPr>
          <w:rFonts w:ascii="Palatino Linotype" w:hAnsi="Palatino Linotype" w:cs="Arial"/>
          <w:sz w:val="22"/>
          <w:szCs w:val="22"/>
          <w:lang w:eastAsia="es-ES"/>
        </w:rPr>
      </w:pPr>
    </w:p>
    <w:p w:rsidR="009365BF" w:rsidRPr="009365BF" w:rsidRDefault="009365BF" w:rsidP="009365BF">
      <w:pPr>
        <w:autoSpaceDE w:val="0"/>
        <w:autoSpaceDN w:val="0"/>
        <w:adjustRightInd w:val="0"/>
        <w:spacing w:line="360" w:lineRule="auto"/>
        <w:jc w:val="both"/>
        <w:rPr>
          <w:rFonts w:ascii="Palatino Linotype" w:hAnsi="Palatino Linotype" w:cs="Arial"/>
          <w:lang w:eastAsia="es-ES"/>
        </w:rPr>
      </w:pPr>
      <w:r w:rsidRPr="009365BF">
        <w:rPr>
          <w:rFonts w:ascii="Palatino Linotype" w:hAnsi="Palatino Linotype" w:cs="Arial"/>
          <w:lang w:eastAsia="es-ES"/>
        </w:rPr>
        <w:t xml:space="preserve">Asimismo, dar a conocer el nombre y cargo del servidor público que no haya recibido una sanción por una supuesta responsabilidad que no se comprobó, la cual no causa una afectación a otros, como se precisó en párrafos anteriores, podría generar un juicio </w:t>
      </w:r>
      <w:r w:rsidRPr="009365BF">
        <w:rPr>
          <w:rFonts w:ascii="Palatino Linotype" w:hAnsi="Palatino Linotype" w:cs="Arial"/>
          <w:i/>
          <w:lang w:eastAsia="es-ES"/>
        </w:rPr>
        <w:t>a priori</w:t>
      </w:r>
      <w:r w:rsidRPr="009365BF">
        <w:rPr>
          <w:rFonts w:ascii="Palatino Linotype" w:hAnsi="Palatino Linotype" w:cs="Arial"/>
          <w:lang w:eastAsia="es-ES"/>
        </w:rPr>
        <w:t xml:space="preserve"> por parte de la sociedad, afectando su prestigio y su buen nombre, pues la sociedad podría calificar de manera negativa a dicho servidor público, o hacerlo sujeto a ofensas, lo cual daña su vida privada y profesional, mismas que forman parte de su intimidad; por lo que se concluye que dicha información, en caso que existiera, tiene el carácter de confidencial.</w:t>
      </w:r>
    </w:p>
    <w:p w:rsidR="009365BF" w:rsidRPr="009365BF" w:rsidRDefault="009365BF" w:rsidP="009365BF">
      <w:pPr>
        <w:autoSpaceDE w:val="0"/>
        <w:autoSpaceDN w:val="0"/>
        <w:adjustRightInd w:val="0"/>
        <w:spacing w:line="360" w:lineRule="auto"/>
        <w:jc w:val="both"/>
        <w:rPr>
          <w:rFonts w:ascii="Palatino Linotype" w:hAnsi="Palatino Linotype" w:cs="Arial"/>
          <w:lang w:eastAsia="es-ES"/>
        </w:rPr>
      </w:pPr>
    </w:p>
    <w:p w:rsidR="009365BF" w:rsidRPr="009365BF" w:rsidRDefault="009365BF" w:rsidP="009365BF">
      <w:pPr>
        <w:autoSpaceDE w:val="0"/>
        <w:autoSpaceDN w:val="0"/>
        <w:adjustRightInd w:val="0"/>
        <w:spacing w:line="360" w:lineRule="auto"/>
        <w:jc w:val="both"/>
        <w:rPr>
          <w:rFonts w:ascii="Palatino Linotype" w:hAnsi="Palatino Linotype"/>
          <w:szCs w:val="22"/>
          <w:lang w:eastAsia="es-ES"/>
        </w:rPr>
      </w:pPr>
      <w:r w:rsidRPr="009365BF">
        <w:rPr>
          <w:rFonts w:ascii="Palatino Linotype" w:hAnsi="Palatino Linotype" w:cs="Arial"/>
          <w:lang w:eastAsia="es-ES"/>
        </w:rPr>
        <w:t xml:space="preserve">Ahora bien, por cuanto hace al punto mediante el cual, el Recurrente solicita </w:t>
      </w:r>
      <w:r w:rsidRPr="009365BF">
        <w:rPr>
          <w:rFonts w:ascii="Palatino Linotype" w:hAnsi="Palatino Linotype"/>
          <w:i/>
          <w:sz w:val="22"/>
          <w:szCs w:val="22"/>
          <w:lang w:eastAsia="es-ES"/>
        </w:rPr>
        <w:t xml:space="preserve">Los Procedimientos de </w:t>
      </w:r>
      <w:proofErr w:type="spellStart"/>
      <w:r w:rsidRPr="009365BF">
        <w:rPr>
          <w:rFonts w:ascii="Palatino Linotype" w:hAnsi="Palatino Linotype"/>
          <w:i/>
          <w:sz w:val="22"/>
          <w:szCs w:val="22"/>
          <w:lang w:eastAsia="es-ES"/>
        </w:rPr>
        <w:t>Responabilidad</w:t>
      </w:r>
      <w:proofErr w:type="spellEnd"/>
      <w:r w:rsidRPr="009365BF">
        <w:rPr>
          <w:rFonts w:ascii="Palatino Linotype" w:hAnsi="Palatino Linotype"/>
          <w:i/>
          <w:sz w:val="22"/>
          <w:szCs w:val="22"/>
          <w:lang w:eastAsia="es-ES"/>
        </w:rPr>
        <w:t xml:space="preserve"> Administrativa que tienen de Alfonso </w:t>
      </w:r>
      <w:proofErr w:type="spellStart"/>
      <w:r w:rsidRPr="009365BF">
        <w:rPr>
          <w:rFonts w:ascii="Palatino Linotype" w:hAnsi="Palatino Linotype"/>
          <w:i/>
          <w:sz w:val="22"/>
          <w:szCs w:val="22"/>
          <w:lang w:eastAsia="es-ES"/>
        </w:rPr>
        <w:t>Lopez</w:t>
      </w:r>
      <w:proofErr w:type="spellEnd"/>
      <w:r w:rsidRPr="009365BF">
        <w:rPr>
          <w:rFonts w:ascii="Palatino Linotype" w:hAnsi="Palatino Linotype"/>
          <w:i/>
          <w:sz w:val="22"/>
          <w:szCs w:val="22"/>
          <w:lang w:eastAsia="es-ES"/>
        </w:rPr>
        <w:t xml:space="preserve"> </w:t>
      </w:r>
      <w:proofErr w:type="spellStart"/>
      <w:r w:rsidRPr="009365BF">
        <w:rPr>
          <w:rFonts w:ascii="Palatino Linotype" w:hAnsi="Palatino Linotype"/>
          <w:i/>
          <w:sz w:val="22"/>
          <w:szCs w:val="22"/>
          <w:lang w:eastAsia="es-ES"/>
        </w:rPr>
        <w:t>Abundis</w:t>
      </w:r>
      <w:proofErr w:type="spellEnd"/>
      <w:r w:rsidRPr="009365BF">
        <w:rPr>
          <w:rFonts w:ascii="Palatino Linotype" w:hAnsi="Palatino Linotype"/>
          <w:i/>
          <w:sz w:val="22"/>
          <w:szCs w:val="22"/>
          <w:lang w:eastAsia="es-ES"/>
        </w:rPr>
        <w:t xml:space="preserve">” </w:t>
      </w:r>
      <w:r w:rsidRPr="009365BF">
        <w:rPr>
          <w:rFonts w:ascii="Palatino Linotype" w:hAnsi="Palatino Linotype"/>
          <w:szCs w:val="22"/>
          <w:lang w:eastAsia="es-ES"/>
        </w:rPr>
        <w:t xml:space="preserve">debe apuntarse que al no tener certeza este Órgano Garante de la naturaleza de los </w:t>
      </w:r>
      <w:r w:rsidRPr="009365BF">
        <w:rPr>
          <w:rFonts w:ascii="Palatino Linotype" w:hAnsi="Palatino Linotype"/>
          <w:szCs w:val="22"/>
          <w:lang w:eastAsia="es-ES"/>
        </w:rPr>
        <w:lastRenderedPageBreak/>
        <w:t>procedimientos administrativos del servidor público en referencia, el Sujeto Obligado deberá entregar esta información únicamente si se tratan de procedimientos de responsabilidad administrativa por faltas graves concluidas condenatorias, así como las graves que se encuentren en trámite observando las excepciones previstas por la normatividad para su entrega, esto en versión pública, no obstante, si lo requerido encuadra en cualquier otro supuesto de los abordados con anterioridad, el Sujeto Obligado deberá estarse a lo señalado en líneas argumentativas anteriores, esto sin emitir pronunciamiento respecto a la existencia de algún procedimiento administrativo que actualice los supuestos previamente abordados.</w:t>
      </w:r>
    </w:p>
    <w:p w:rsidR="009365BF" w:rsidRPr="009365BF" w:rsidRDefault="009365BF" w:rsidP="009365BF">
      <w:pPr>
        <w:autoSpaceDE w:val="0"/>
        <w:autoSpaceDN w:val="0"/>
        <w:adjustRightInd w:val="0"/>
        <w:spacing w:line="360" w:lineRule="auto"/>
        <w:jc w:val="both"/>
        <w:rPr>
          <w:rFonts w:ascii="Palatino Linotype" w:hAnsi="Palatino Linotype" w:cs="Arial"/>
          <w:lang w:eastAsia="es-ES"/>
        </w:rPr>
      </w:pPr>
    </w:p>
    <w:p w:rsidR="009365BF" w:rsidRPr="009365BF" w:rsidRDefault="009365BF" w:rsidP="009365BF">
      <w:pPr>
        <w:spacing w:line="360" w:lineRule="auto"/>
        <w:jc w:val="both"/>
        <w:rPr>
          <w:rFonts w:ascii="Palatino Linotype" w:hAnsi="Palatino Linotype" w:cs="Arial"/>
          <w:b/>
          <w:lang w:val="es-MX" w:eastAsia="es-ES"/>
        </w:rPr>
      </w:pPr>
      <w:r w:rsidRPr="009365BF">
        <w:rPr>
          <w:rFonts w:ascii="Palatino Linotype" w:hAnsi="Palatino Linotype"/>
          <w:color w:val="000000"/>
          <w:lang w:eastAsia="es-ES"/>
        </w:rPr>
        <w:t xml:space="preserve">Así, por todo lo anteriormente expuesto, esta Ponencia </w:t>
      </w:r>
      <w:proofErr w:type="spellStart"/>
      <w:r w:rsidRPr="009365BF">
        <w:rPr>
          <w:rFonts w:ascii="Palatino Linotype" w:hAnsi="Palatino Linotype"/>
          <w:color w:val="000000"/>
          <w:lang w:eastAsia="es-ES"/>
        </w:rPr>
        <w:t>Resolutora</w:t>
      </w:r>
      <w:proofErr w:type="spellEnd"/>
      <w:r w:rsidRPr="009365BF">
        <w:rPr>
          <w:rFonts w:ascii="Palatino Linotype" w:hAnsi="Palatino Linotype"/>
          <w:color w:val="000000"/>
          <w:lang w:eastAsia="es-ES"/>
        </w:rPr>
        <w:t xml:space="preserve"> considera que el derecho de acceso a la información solamente puede tenerse por satisfecho en el momento en que el particular tenga en su poder los soportes documentales con la información solicitada, por ello se </w:t>
      </w:r>
      <w:r w:rsidRPr="009365BF">
        <w:rPr>
          <w:rFonts w:ascii="Palatino Linotype" w:hAnsi="Palatino Linotype" w:cs="Arial"/>
          <w:color w:val="000000"/>
          <w:lang w:val="es-MX" w:eastAsia="es-ES"/>
        </w:rPr>
        <w:t xml:space="preserve">determina ordenar al </w:t>
      </w:r>
      <w:r w:rsidRPr="009365BF">
        <w:rPr>
          <w:rFonts w:ascii="Palatino Linotype" w:hAnsi="Palatino Linotype" w:cs="Arial"/>
          <w:b/>
          <w:color w:val="000000"/>
          <w:lang w:val="es-MX" w:eastAsia="es-ES"/>
        </w:rPr>
        <w:t xml:space="preserve">Sujeto Obligado, </w:t>
      </w:r>
      <w:r w:rsidRPr="009365BF">
        <w:rPr>
          <w:rFonts w:ascii="Palatino Linotype" w:hAnsi="Palatino Linotype" w:cs="Arial"/>
          <w:bCs/>
          <w:color w:val="000000"/>
          <w:lang w:val="es-MX" w:eastAsia="es-ES"/>
        </w:rPr>
        <w:t xml:space="preserve">la </w:t>
      </w:r>
      <w:r w:rsidRPr="009365BF">
        <w:rPr>
          <w:rFonts w:ascii="Palatino Linotype" w:hAnsi="Palatino Linotype" w:cs="Arial"/>
          <w:color w:val="000000"/>
          <w:lang w:val="es-MX" w:eastAsia="es-ES"/>
        </w:rPr>
        <w:t xml:space="preserve">entrega de la información al </w:t>
      </w:r>
      <w:r w:rsidRPr="009365BF">
        <w:rPr>
          <w:rFonts w:ascii="Palatino Linotype" w:hAnsi="Palatino Linotype" w:cs="Arial"/>
          <w:b/>
          <w:color w:val="000000"/>
          <w:lang w:val="es-MX" w:eastAsia="es-ES"/>
        </w:rPr>
        <w:t xml:space="preserve">Recurrente, </w:t>
      </w:r>
      <w:r w:rsidRPr="009365BF">
        <w:rPr>
          <w:rFonts w:ascii="Palatino Linotype" w:hAnsi="Palatino Linotype" w:cs="Arial"/>
          <w:color w:val="000000"/>
          <w:lang w:val="es-MX" w:eastAsia="es-ES"/>
        </w:rPr>
        <w:t>de</w:t>
      </w:r>
      <w:r w:rsidRPr="009365BF">
        <w:rPr>
          <w:rFonts w:ascii="Palatino Linotype" w:hAnsi="Palatino Linotype" w:cs="Arial"/>
          <w:lang w:val="es-MX" w:eastAsia="es-ES"/>
        </w:rPr>
        <w:t xml:space="preserve"> ser procedente en </w:t>
      </w:r>
      <w:r w:rsidRPr="009365BF">
        <w:rPr>
          <w:rFonts w:ascii="Palatino Linotype" w:hAnsi="Palatino Linotype" w:cs="Arial"/>
          <w:b/>
          <w:lang w:val="es-MX" w:eastAsia="es-ES"/>
        </w:rPr>
        <w:t xml:space="preserve">versión pública, </w:t>
      </w:r>
      <w:r w:rsidRPr="009365BF">
        <w:rPr>
          <w:rFonts w:ascii="Palatino Linotype" w:hAnsi="Palatino Linotype" w:cs="Arial"/>
          <w:lang w:val="es-MX" w:eastAsia="es-ES"/>
        </w:rPr>
        <w:t>tal como se detallará en el considerando siguiente</w:t>
      </w:r>
      <w:r w:rsidRPr="009365BF">
        <w:rPr>
          <w:rFonts w:ascii="Palatino Linotype" w:hAnsi="Palatino Linotype" w:cs="Arial"/>
          <w:b/>
          <w:lang w:val="es-MX" w:eastAsia="es-ES"/>
        </w:rPr>
        <w:t>.</w:t>
      </w:r>
    </w:p>
    <w:p w:rsidR="00CD0F3E" w:rsidRDefault="00D470B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w:t>
      </w:r>
      <w:r>
        <w:rPr>
          <w:rFonts w:ascii="Palatino Linotype" w:eastAsia="Palatino Linotype" w:hAnsi="Palatino Linotype" w:cs="Palatino Linotype"/>
        </w:rPr>
        <w:lastRenderedPageBreak/>
        <w:t>recurrente sin menoscabar el derecho a la protección de los datos personales de terceros.</w:t>
      </w:r>
    </w:p>
    <w:p w:rsidR="00CD0F3E" w:rsidRDefault="00D470B8">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Pr>
          <w:rFonts w:ascii="Palatino Linotype" w:eastAsia="Palatino Linotype" w:hAnsi="Palatino Linotype" w:cs="Palatino Linotype"/>
        </w:rPr>
        <w:t>fracción</w:t>
      </w:r>
      <w:proofErr w:type="gramEnd"/>
      <w:r>
        <w:rPr>
          <w:rFonts w:ascii="Palatino Linotype" w:eastAsia="Palatino Linotype" w:hAnsi="Palatino Linotype" w:cs="Palatino Linotype"/>
        </w:rPr>
        <w:t xml:space="preserve"> I de la Ley de Transparencia y Acceso a la Información Pública del Estado de México y Municipios que establecen:</w:t>
      </w:r>
    </w:p>
    <w:p w:rsidR="00CD0F3E" w:rsidRDefault="00D470B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D0F3E" w:rsidRDefault="00D470B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CD0F3E" w:rsidRDefault="00D470B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rsidR="00CD0F3E" w:rsidRDefault="00D470B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D0F3E" w:rsidRDefault="00D470B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w:t>
      </w:r>
      <w:r>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Pr>
          <w:rFonts w:ascii="Palatino Linotype" w:eastAsia="Palatino Linotype" w:hAnsi="Palatino Linotype" w:cs="Palatino Linotype"/>
          <w:i/>
          <w:sz w:val="22"/>
          <w:szCs w:val="22"/>
        </w:rPr>
        <w:t>jurídico</w:t>
      </w:r>
      <w:proofErr w:type="gramEnd"/>
      <w:r>
        <w:rPr>
          <w:rFonts w:ascii="Palatino Linotype" w:eastAsia="Palatino Linotype" w:hAnsi="Palatino Linotype" w:cs="Palatino Linotype"/>
          <w:i/>
          <w:sz w:val="22"/>
          <w:szCs w:val="22"/>
        </w:rPr>
        <w:t xml:space="preserve"> colectiva identificada o identificable;</w:t>
      </w:r>
    </w:p>
    <w:p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CD0F3E" w:rsidRDefault="00D470B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CD0F3E" w:rsidRDefault="00D470B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CD0F3E" w:rsidRDefault="00D470B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CD0F3E" w:rsidRDefault="00D470B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CD0F3E" w:rsidRDefault="00D470B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CD0F3E" w:rsidRDefault="00D470B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CD0F3E">
        <w:tc>
          <w:tcPr>
            <w:tcW w:w="4253" w:type="dxa"/>
            <w:gridSpan w:val="2"/>
            <w:tcBorders>
              <w:top w:val="nil"/>
              <w:left w:val="nil"/>
              <w:right w:val="nil"/>
            </w:tcBorders>
          </w:tcPr>
          <w:p w:rsidR="00CD0F3E" w:rsidRDefault="00D470B8">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rsidR="00CD0F3E" w:rsidRDefault="00D470B8">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CD0F3E">
        <w:tc>
          <w:tcPr>
            <w:tcW w:w="1134" w:type="dxa"/>
          </w:tcPr>
          <w:p w:rsidR="00CD0F3E" w:rsidRDefault="00D470B8">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rsidR="00CD0F3E" w:rsidRDefault="00D470B8">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rsidR="00CD0F3E" w:rsidRDefault="00D470B8">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CD0F3E" w:rsidRDefault="00D470B8">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CD0F3E">
        <w:tc>
          <w:tcPr>
            <w:tcW w:w="8828" w:type="dxa"/>
            <w:gridSpan w:val="4"/>
          </w:tcPr>
          <w:p w:rsidR="00CD0F3E" w:rsidRDefault="00D470B8">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Sello oficial o logotipo del sujeto obligado</w:t>
            </w:r>
          </w:p>
        </w:tc>
      </w:tr>
      <w:tr w:rsidR="00CD0F3E">
        <w:tc>
          <w:tcPr>
            <w:tcW w:w="1134" w:type="dxa"/>
          </w:tcPr>
          <w:p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lastRenderedPageBreak/>
              <w:t>Fecha de clasificación</w:t>
            </w:r>
          </w:p>
        </w:tc>
        <w:tc>
          <w:tcPr>
            <w:tcW w:w="3119" w:type="dxa"/>
          </w:tcPr>
          <w:p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CD0F3E">
        <w:tc>
          <w:tcPr>
            <w:tcW w:w="1134" w:type="dxa"/>
          </w:tcPr>
          <w:p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CD0F3E">
        <w:tc>
          <w:tcPr>
            <w:tcW w:w="1134" w:type="dxa"/>
          </w:tcPr>
          <w:p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Pr>
                <w:rFonts w:ascii="Palatino Linotype" w:eastAsia="Palatino Linotype" w:hAnsi="Palatino Linotype" w:cs="Palatino Linotype"/>
                <w:sz w:val="12"/>
                <w:szCs w:val="12"/>
              </w:rPr>
              <w:t>anotarán</w:t>
            </w:r>
            <w:proofErr w:type="gramEnd"/>
            <w:r>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1129" w:type="dxa"/>
          </w:tcPr>
          <w:p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CD0F3E">
        <w:tc>
          <w:tcPr>
            <w:tcW w:w="1134" w:type="dxa"/>
          </w:tcPr>
          <w:p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CD0F3E">
        <w:tc>
          <w:tcPr>
            <w:tcW w:w="1134" w:type="dxa"/>
          </w:tcPr>
          <w:p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CD0F3E">
        <w:tc>
          <w:tcPr>
            <w:tcW w:w="1134" w:type="dxa"/>
          </w:tcPr>
          <w:p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CD0F3E">
        <w:tc>
          <w:tcPr>
            <w:tcW w:w="1134" w:type="dxa"/>
          </w:tcPr>
          <w:p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CD0F3E">
        <w:tc>
          <w:tcPr>
            <w:tcW w:w="1134" w:type="dxa"/>
          </w:tcPr>
          <w:p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119" w:type="dxa"/>
          </w:tcPr>
          <w:p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CD0F3E">
        <w:tc>
          <w:tcPr>
            <w:tcW w:w="1134" w:type="dxa"/>
          </w:tcPr>
          <w:p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119" w:type="dxa"/>
          </w:tcPr>
          <w:p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CD0F3E">
        <w:tc>
          <w:tcPr>
            <w:tcW w:w="1134" w:type="dxa"/>
          </w:tcPr>
          <w:p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CD0F3E">
        <w:tc>
          <w:tcPr>
            <w:tcW w:w="1134" w:type="dxa"/>
          </w:tcPr>
          <w:p w:rsidR="00CD0F3E" w:rsidRDefault="00CD0F3E">
            <w:pPr>
              <w:jc w:val="both"/>
              <w:rPr>
                <w:rFonts w:ascii="Palatino Linotype" w:eastAsia="Palatino Linotype" w:hAnsi="Palatino Linotype" w:cs="Palatino Linotype"/>
                <w:b/>
                <w:sz w:val="12"/>
                <w:szCs w:val="12"/>
              </w:rPr>
            </w:pPr>
          </w:p>
        </w:tc>
        <w:tc>
          <w:tcPr>
            <w:tcW w:w="3119" w:type="dxa"/>
          </w:tcPr>
          <w:p w:rsidR="00CD0F3E" w:rsidRDefault="00CD0F3E">
            <w:pPr>
              <w:jc w:val="both"/>
              <w:rPr>
                <w:rFonts w:ascii="Palatino Linotype" w:eastAsia="Palatino Linotype" w:hAnsi="Palatino Linotype" w:cs="Palatino Linotype"/>
                <w:sz w:val="12"/>
                <w:szCs w:val="12"/>
              </w:rPr>
            </w:pPr>
          </w:p>
        </w:tc>
        <w:tc>
          <w:tcPr>
            <w:tcW w:w="1129" w:type="dxa"/>
          </w:tcPr>
          <w:p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En caso que una vez desclasificado el expediente, </w:t>
            </w:r>
            <w:proofErr w:type="spellStart"/>
            <w:r>
              <w:rPr>
                <w:rFonts w:ascii="Palatino Linotype" w:eastAsia="Palatino Linotype" w:hAnsi="Palatino Linotype" w:cs="Palatino Linotype"/>
                <w:sz w:val="12"/>
                <w:szCs w:val="12"/>
              </w:rPr>
              <w:t>subsistanpartes</w:t>
            </w:r>
            <w:proofErr w:type="spellEnd"/>
            <w:r>
              <w:rPr>
                <w:rFonts w:ascii="Palatino Linotype" w:eastAsia="Palatino Linotype" w:hAnsi="Palatino Linotype" w:cs="Palatino Linotype"/>
                <w:sz w:val="12"/>
                <w:szCs w:val="12"/>
              </w:rPr>
              <w:t xml:space="preserve"> o secciones del mismo reservadas o confidenciales, se señalará este hecho.</w:t>
            </w:r>
          </w:p>
        </w:tc>
      </w:tr>
      <w:tr w:rsidR="00CD0F3E">
        <w:tc>
          <w:tcPr>
            <w:tcW w:w="1134" w:type="dxa"/>
          </w:tcPr>
          <w:p w:rsidR="00CD0F3E" w:rsidRDefault="00CD0F3E">
            <w:pPr>
              <w:jc w:val="both"/>
              <w:rPr>
                <w:rFonts w:ascii="Palatino Linotype" w:eastAsia="Palatino Linotype" w:hAnsi="Palatino Linotype" w:cs="Palatino Linotype"/>
                <w:b/>
                <w:sz w:val="12"/>
                <w:szCs w:val="12"/>
              </w:rPr>
            </w:pPr>
          </w:p>
        </w:tc>
        <w:tc>
          <w:tcPr>
            <w:tcW w:w="3119" w:type="dxa"/>
          </w:tcPr>
          <w:p w:rsidR="00CD0F3E" w:rsidRDefault="00CD0F3E">
            <w:pPr>
              <w:jc w:val="both"/>
              <w:rPr>
                <w:rFonts w:ascii="Palatino Linotype" w:eastAsia="Palatino Linotype" w:hAnsi="Palatino Linotype" w:cs="Palatino Linotype"/>
                <w:sz w:val="12"/>
                <w:szCs w:val="12"/>
              </w:rPr>
            </w:pPr>
          </w:p>
        </w:tc>
        <w:tc>
          <w:tcPr>
            <w:tcW w:w="1129" w:type="dxa"/>
          </w:tcPr>
          <w:p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entregue la información requerida.</w:t>
      </w:r>
    </w:p>
    <w:p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rsidR="00CD0F3E" w:rsidRDefault="00D470B8">
      <w:pPr>
        <w:numPr>
          <w:ilvl w:val="0"/>
          <w:numId w:val="9"/>
        </w:numPr>
        <w:pBdr>
          <w:top w:val="nil"/>
          <w:left w:val="nil"/>
          <w:bottom w:val="nil"/>
          <w:right w:val="nil"/>
          <w:between w:val="nil"/>
        </w:pBdr>
        <w:spacing w:before="240" w:after="240" w:line="360" w:lineRule="auto"/>
        <w:ind w:left="426" w:hanging="426"/>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R E S U E L V E</w:t>
      </w:r>
    </w:p>
    <w:p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 </w:t>
      </w:r>
      <w:r>
        <w:rPr>
          <w:rFonts w:ascii="Palatino Linotype" w:eastAsia="Palatino Linotype" w:hAnsi="Palatino Linotype" w:cs="Palatino Linotype"/>
          <w:b/>
        </w:rPr>
        <w:t>fundado</w:t>
      </w:r>
      <w:r>
        <w:rPr>
          <w:rFonts w:ascii="Palatino Linotype" w:eastAsia="Palatino Linotype" w:hAnsi="Palatino Linotype" w:cs="Palatino Linotype"/>
        </w:rPr>
        <w:t xml:space="preserve"> el motivo de inconformidad planteado por el 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en el recurso de revisión </w:t>
      </w:r>
      <w:r w:rsidR="00E213D7">
        <w:rPr>
          <w:rFonts w:ascii="Palatino Linotype" w:eastAsia="Palatino Linotype" w:hAnsi="Palatino Linotype" w:cs="Palatino Linotype"/>
          <w:b/>
        </w:rPr>
        <w:t>0455</w:t>
      </w:r>
      <w:r>
        <w:rPr>
          <w:rFonts w:ascii="Palatino Linotype" w:eastAsia="Palatino Linotype" w:hAnsi="Palatino Linotype" w:cs="Palatino Linotype"/>
          <w:b/>
        </w:rPr>
        <w:t>4/INFOEM/IP/RR/2022</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de la presente resolución,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CD0F3E" w:rsidRDefault="00D470B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Segundo.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en términos de los </w:t>
      </w:r>
      <w:r>
        <w:rPr>
          <w:rFonts w:ascii="Palatino Linotype" w:eastAsia="Palatino Linotype" w:hAnsi="Palatino Linotype" w:cs="Palatino Linotype"/>
          <w:b/>
        </w:rPr>
        <w:t xml:space="preserve">Considerandos Cuarto y Quinto </w:t>
      </w:r>
      <w:r>
        <w:rPr>
          <w:rFonts w:ascii="Palatino Linotype" w:eastAsia="Palatino Linotype" w:hAnsi="Palatino Linotype" w:cs="Palatino Linotype"/>
        </w:rPr>
        <w:t>de esta resolución haga entrega en versi</w:t>
      </w:r>
      <w:r w:rsidR="00E213D7">
        <w:rPr>
          <w:rFonts w:ascii="Palatino Linotype" w:eastAsia="Palatino Linotype" w:hAnsi="Palatino Linotype" w:cs="Palatino Linotype"/>
        </w:rPr>
        <w:t>ón pública de ser procedente, a</w:t>
      </w:r>
      <w:r w:rsidR="00E213D7">
        <w:rPr>
          <w:rFonts w:ascii="Palatino Linotype" w:eastAsia="Palatino Linotype" w:hAnsi="Palatino Linotype" w:cs="Palatino Linotype"/>
          <w:b/>
        </w:rPr>
        <w:t>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 xml:space="preserve">SAIMEX, los documentos </w:t>
      </w:r>
      <w:r w:rsidR="00E213D7">
        <w:rPr>
          <w:rFonts w:ascii="Palatino Linotype" w:eastAsia="Palatino Linotype" w:hAnsi="Palatino Linotype" w:cs="Palatino Linotype"/>
          <w:b/>
        </w:rPr>
        <w:t xml:space="preserve">donde conste </w:t>
      </w:r>
      <w:r>
        <w:rPr>
          <w:rFonts w:ascii="Palatino Linotype" w:eastAsia="Palatino Linotype" w:hAnsi="Palatino Linotype" w:cs="Palatino Linotype"/>
          <w:b/>
        </w:rPr>
        <w:t>lo siguiente</w:t>
      </w:r>
      <w:r>
        <w:rPr>
          <w:rFonts w:ascii="Palatino Linotype" w:eastAsia="Palatino Linotype" w:hAnsi="Palatino Linotype" w:cs="Palatino Linotype"/>
        </w:rPr>
        <w:t>:</w:t>
      </w:r>
    </w:p>
    <w:p w:rsidR="00E213D7" w:rsidRPr="002D4B38" w:rsidRDefault="003966C5" w:rsidP="00E213D7">
      <w:pPr>
        <w:pStyle w:val="Prrafodelista"/>
        <w:numPr>
          <w:ilvl w:val="0"/>
          <w:numId w:val="15"/>
        </w:numPr>
        <w:ind w:left="567" w:right="709" w:hanging="1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color w:val="000000"/>
          <w:sz w:val="22"/>
          <w:szCs w:val="22"/>
        </w:rPr>
        <w:t>E</w:t>
      </w:r>
      <w:r w:rsidR="00E213D7" w:rsidRPr="00E213D7">
        <w:rPr>
          <w:rFonts w:ascii="Palatino Linotype" w:eastAsia="Palatino Linotype" w:hAnsi="Palatino Linotype" w:cs="Palatino Linotype"/>
          <w:b/>
          <w:i/>
          <w:color w:val="000000"/>
          <w:sz w:val="22"/>
          <w:szCs w:val="22"/>
        </w:rPr>
        <w:t xml:space="preserve">xpedientes </w:t>
      </w:r>
      <w:r w:rsidR="0062660B">
        <w:rPr>
          <w:rFonts w:ascii="Palatino Linotype" w:eastAsia="Palatino Linotype" w:hAnsi="Palatino Linotype" w:cs="Palatino Linotype"/>
          <w:b/>
          <w:i/>
          <w:color w:val="000000"/>
          <w:sz w:val="22"/>
          <w:szCs w:val="22"/>
        </w:rPr>
        <w:t xml:space="preserve">que hayan causado estado, </w:t>
      </w:r>
      <w:r w:rsidR="00E213D7" w:rsidRPr="00E213D7">
        <w:rPr>
          <w:rFonts w:ascii="Palatino Linotype" w:eastAsia="Palatino Linotype" w:hAnsi="Palatino Linotype" w:cs="Palatino Linotype"/>
          <w:b/>
          <w:i/>
          <w:color w:val="000000"/>
          <w:sz w:val="22"/>
          <w:szCs w:val="22"/>
        </w:rPr>
        <w:t>formados con motivo de las denuncias presentadas en contra de servidores públicos de elección popular de los servidores públicos de la administración 2019-2021 de</w:t>
      </w:r>
      <w:r w:rsidR="00E213D7">
        <w:rPr>
          <w:rFonts w:ascii="Palatino Linotype" w:eastAsia="Palatino Linotype" w:hAnsi="Palatino Linotype" w:cs="Palatino Linotype"/>
          <w:b/>
          <w:i/>
          <w:color w:val="000000"/>
          <w:sz w:val="22"/>
          <w:szCs w:val="22"/>
        </w:rPr>
        <w:t>l Municipio de Zumpango, México:</w:t>
      </w:r>
    </w:p>
    <w:p w:rsidR="002D4B38" w:rsidRDefault="002D4B38" w:rsidP="002D4B38">
      <w:pPr>
        <w:pStyle w:val="Prrafodelista"/>
        <w:ind w:left="567" w:right="709"/>
        <w:jc w:val="both"/>
        <w:rPr>
          <w:rFonts w:ascii="Palatino Linotype" w:eastAsia="Palatino Linotype" w:hAnsi="Palatino Linotype" w:cs="Palatino Linotype"/>
          <w:b/>
          <w:i/>
          <w:color w:val="FF0000"/>
          <w:sz w:val="22"/>
          <w:szCs w:val="22"/>
        </w:rPr>
      </w:pPr>
    </w:p>
    <w:p w:rsidR="003966C5" w:rsidRPr="00935C2C" w:rsidRDefault="003966C5" w:rsidP="003966C5">
      <w:pPr>
        <w:pBdr>
          <w:top w:val="nil"/>
          <w:left w:val="nil"/>
          <w:bottom w:val="nil"/>
          <w:right w:val="nil"/>
          <w:between w:val="nil"/>
        </w:pBdr>
        <w:spacing w:line="360" w:lineRule="auto"/>
        <w:ind w:left="567" w:right="49"/>
        <w:jc w:val="both"/>
        <w:rPr>
          <w:rFonts w:ascii="Palatino Linotype" w:eastAsia="Palatino Linotype" w:hAnsi="Palatino Linotype" w:cs="Palatino Linotype"/>
        </w:rPr>
      </w:pPr>
      <w:r w:rsidRPr="00935C2C">
        <w:rPr>
          <w:rFonts w:ascii="Palatino Linotype" w:eastAsia="Palatino Linotype" w:hAnsi="Palatino Linotype" w:cs="Palatino Linotype"/>
          <w:b/>
        </w:rPr>
        <w:t>a)</w:t>
      </w:r>
      <w:r w:rsidRPr="00935C2C">
        <w:rPr>
          <w:rFonts w:ascii="Palatino Linotype" w:eastAsia="Palatino Linotype" w:hAnsi="Palatino Linotype" w:cs="Palatino Linotype"/>
        </w:rPr>
        <w:t xml:space="preserve"> Por faltas graves condenatorias.</w:t>
      </w:r>
    </w:p>
    <w:p w:rsidR="003966C5" w:rsidRPr="00935C2C" w:rsidRDefault="003966C5" w:rsidP="0062660B">
      <w:pPr>
        <w:pBdr>
          <w:top w:val="nil"/>
          <w:left w:val="nil"/>
          <w:bottom w:val="nil"/>
          <w:right w:val="nil"/>
          <w:between w:val="nil"/>
        </w:pBdr>
        <w:spacing w:line="360" w:lineRule="auto"/>
        <w:ind w:left="567" w:right="1134"/>
        <w:jc w:val="both"/>
        <w:rPr>
          <w:rFonts w:ascii="Palatino Linotype" w:eastAsia="Palatino Linotype" w:hAnsi="Palatino Linotype" w:cs="Palatino Linotype"/>
        </w:rPr>
      </w:pPr>
      <w:r w:rsidRPr="00935C2C">
        <w:rPr>
          <w:rFonts w:ascii="Palatino Linotype" w:eastAsia="Palatino Linotype" w:hAnsi="Palatino Linotype" w:cs="Palatino Linotype"/>
          <w:b/>
        </w:rPr>
        <w:t>b)</w:t>
      </w:r>
      <w:r w:rsidRPr="00935C2C">
        <w:rPr>
          <w:rFonts w:ascii="Palatino Linotype" w:eastAsia="Palatino Linotype" w:hAnsi="Palatino Linotype" w:cs="Palatino Linotype"/>
        </w:rPr>
        <w:t xml:space="preserve"> Por faltas graves absolutorias (</w:t>
      </w:r>
      <w:r w:rsidRPr="00935C2C">
        <w:rPr>
          <w:rFonts w:ascii="Palatino Linotype" w:eastAsia="Palatino Linotype" w:hAnsi="Palatino Linotype" w:cs="Palatino Linotype"/>
          <w:i/>
        </w:rPr>
        <w:t>clasificando como confidencial el nombre, cargo y cualquier dato que haga identificable al servidor público</w:t>
      </w:r>
      <w:r w:rsidRPr="00935C2C">
        <w:rPr>
          <w:rFonts w:ascii="Palatino Linotype" w:eastAsia="Palatino Linotype" w:hAnsi="Palatino Linotype" w:cs="Palatino Linotype"/>
        </w:rPr>
        <w:t>).</w:t>
      </w:r>
    </w:p>
    <w:p w:rsidR="003966C5" w:rsidRDefault="003966C5" w:rsidP="0062660B">
      <w:pPr>
        <w:pBdr>
          <w:top w:val="nil"/>
          <w:left w:val="nil"/>
          <w:bottom w:val="nil"/>
          <w:right w:val="nil"/>
          <w:between w:val="nil"/>
        </w:pBdr>
        <w:spacing w:after="240" w:line="360" w:lineRule="auto"/>
        <w:ind w:left="567" w:right="1134"/>
        <w:jc w:val="both"/>
        <w:rPr>
          <w:rFonts w:ascii="Palatino Linotype" w:eastAsia="Palatino Linotype" w:hAnsi="Palatino Linotype" w:cs="Palatino Linotype"/>
        </w:rPr>
      </w:pPr>
      <w:r w:rsidRPr="00935C2C">
        <w:rPr>
          <w:rFonts w:ascii="Palatino Linotype" w:eastAsia="Palatino Linotype" w:hAnsi="Palatino Linotype" w:cs="Palatino Linotype"/>
          <w:b/>
        </w:rPr>
        <w:t>c)</w:t>
      </w:r>
      <w:r w:rsidRPr="00935C2C">
        <w:rPr>
          <w:rFonts w:ascii="Palatino Linotype" w:eastAsia="Palatino Linotype" w:hAnsi="Palatino Linotype" w:cs="Palatino Linotype"/>
        </w:rPr>
        <w:t xml:space="preserve"> Por faltas no graves absolutorias y condenatorias (</w:t>
      </w:r>
      <w:r w:rsidRPr="00935C2C">
        <w:rPr>
          <w:rFonts w:ascii="Palatino Linotype" w:eastAsia="Palatino Linotype" w:hAnsi="Palatino Linotype" w:cs="Palatino Linotype"/>
          <w:i/>
        </w:rPr>
        <w:t>clasificando como confidencial el nombre, cargo y cualquier dato que haga identificable al servidor público, así como la sanción en las condenatorias</w:t>
      </w:r>
      <w:r w:rsidRPr="00935C2C">
        <w:rPr>
          <w:rFonts w:ascii="Palatino Linotype" w:eastAsia="Palatino Linotype" w:hAnsi="Palatino Linotype" w:cs="Palatino Linotype"/>
        </w:rPr>
        <w:t>).</w:t>
      </w:r>
    </w:p>
    <w:p w:rsidR="00E213D7" w:rsidRPr="003966C5" w:rsidRDefault="003966C5" w:rsidP="0062660B">
      <w:pPr>
        <w:pBdr>
          <w:top w:val="nil"/>
          <w:left w:val="nil"/>
          <w:bottom w:val="nil"/>
          <w:right w:val="nil"/>
          <w:between w:val="nil"/>
        </w:pBdr>
        <w:spacing w:after="240" w:line="360" w:lineRule="auto"/>
        <w:ind w:left="567" w:right="1134"/>
        <w:jc w:val="both"/>
        <w:rPr>
          <w:rFonts w:ascii="Palatino Linotype" w:eastAsia="Palatino Linotype" w:hAnsi="Palatino Linotype" w:cs="Palatino Linotype"/>
        </w:rPr>
      </w:pPr>
      <w:r>
        <w:rPr>
          <w:rFonts w:ascii="Palatino Linotype" w:eastAsia="Palatino Linotype" w:hAnsi="Palatino Linotype" w:cs="Palatino Linotype"/>
          <w:b/>
        </w:rPr>
        <w:t xml:space="preserve">d) </w:t>
      </w:r>
      <w:r w:rsidR="00E213D7" w:rsidRPr="00E213D7">
        <w:rPr>
          <w:rFonts w:ascii="Palatino Linotype" w:hAnsi="Palatino Linotype"/>
          <w:lang w:eastAsia="es-ES"/>
        </w:rPr>
        <w:t>Los procedimientos concluidos por faltas no graves (</w:t>
      </w:r>
      <w:r w:rsidR="00E213D7" w:rsidRPr="00E213D7">
        <w:rPr>
          <w:rFonts w:ascii="Palatino Linotype" w:hAnsi="Palatino Linotype"/>
          <w:i/>
          <w:lang w:eastAsia="es-ES"/>
        </w:rPr>
        <w:t>clasificando como confidencial el nombre y cargo y sanción</w:t>
      </w:r>
      <w:r w:rsidR="00E213D7" w:rsidRPr="00E213D7">
        <w:rPr>
          <w:rFonts w:ascii="Palatino Linotype" w:hAnsi="Palatino Linotype"/>
          <w:lang w:eastAsia="es-ES"/>
        </w:rPr>
        <w:t>).</w:t>
      </w:r>
    </w:p>
    <w:p w:rsidR="00E213D7" w:rsidRPr="00E213D7" w:rsidRDefault="00E213D7" w:rsidP="00E213D7">
      <w:pPr>
        <w:spacing w:before="240" w:after="240"/>
        <w:ind w:left="567" w:right="900"/>
        <w:contextualSpacing/>
        <w:jc w:val="both"/>
        <w:rPr>
          <w:rFonts w:ascii="Palatino Linotype" w:hAnsi="Palatino Linotype"/>
          <w:i/>
          <w:iCs/>
          <w:sz w:val="22"/>
          <w:szCs w:val="22"/>
          <w:lang w:eastAsia="es-ES"/>
        </w:rPr>
      </w:pPr>
      <w:r w:rsidRPr="00E213D7">
        <w:rPr>
          <w:rFonts w:ascii="Palatino Linotype" w:hAnsi="Palatino Linotype"/>
          <w:i/>
          <w:iCs/>
          <w:sz w:val="22"/>
          <w:szCs w:val="22"/>
          <w:lang w:eastAsia="es-ES"/>
        </w:rPr>
        <w:t>Debiendo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E213D7" w:rsidRPr="00E213D7" w:rsidRDefault="00E213D7" w:rsidP="00E213D7">
      <w:pPr>
        <w:spacing w:before="240" w:after="240" w:line="360" w:lineRule="auto"/>
        <w:ind w:left="720" w:right="51"/>
        <w:contextualSpacing/>
        <w:jc w:val="both"/>
        <w:rPr>
          <w:rFonts w:ascii="Palatino Linotype" w:hAnsi="Palatino Linotype" w:cs="Arial"/>
          <w:sz w:val="22"/>
          <w:szCs w:val="22"/>
          <w:lang w:eastAsia="es-ES"/>
        </w:rPr>
      </w:pPr>
    </w:p>
    <w:p w:rsidR="00E213D7" w:rsidRPr="00E213D7" w:rsidRDefault="00E213D7" w:rsidP="00E213D7">
      <w:pPr>
        <w:numPr>
          <w:ilvl w:val="0"/>
          <w:numId w:val="19"/>
        </w:numPr>
        <w:spacing w:before="240" w:after="240" w:line="360" w:lineRule="auto"/>
        <w:ind w:right="900"/>
        <w:contextualSpacing/>
        <w:jc w:val="both"/>
        <w:rPr>
          <w:rFonts w:ascii="Palatino Linotype" w:hAnsi="Palatino Linotype" w:cs="Arial"/>
          <w:sz w:val="22"/>
          <w:szCs w:val="22"/>
          <w:lang w:eastAsia="es-ES"/>
        </w:rPr>
      </w:pPr>
      <w:r w:rsidRPr="00E213D7">
        <w:rPr>
          <w:rFonts w:ascii="Palatino Linotype" w:hAnsi="Palatino Linotype" w:cs="Arial"/>
          <w:sz w:val="22"/>
          <w:szCs w:val="22"/>
          <w:lang w:eastAsia="es-ES"/>
        </w:rPr>
        <w:t>Acuerdo mediante el cual se clasifiquen como reservados, los procedimientos por faltas no graves en trámite.</w:t>
      </w:r>
    </w:p>
    <w:p w:rsidR="00E213D7" w:rsidRPr="00E213D7" w:rsidRDefault="00E213D7" w:rsidP="00E213D7">
      <w:pPr>
        <w:numPr>
          <w:ilvl w:val="0"/>
          <w:numId w:val="19"/>
        </w:numPr>
        <w:spacing w:before="240" w:after="240" w:line="360" w:lineRule="auto"/>
        <w:ind w:right="900"/>
        <w:contextualSpacing/>
        <w:jc w:val="both"/>
        <w:rPr>
          <w:rFonts w:ascii="Palatino Linotype" w:eastAsia="MS Mincho" w:hAnsi="Palatino Linotype"/>
          <w:shd w:val="clear" w:color="auto" w:fill="FFFFFF"/>
          <w:lang w:val="es-ES_tradnl" w:eastAsia="es-ES"/>
        </w:rPr>
      </w:pPr>
      <w:r w:rsidRPr="00E213D7">
        <w:rPr>
          <w:rFonts w:ascii="Palatino Linotype" w:hAnsi="Palatino Linotype" w:cs="Arial"/>
          <w:sz w:val="22"/>
          <w:szCs w:val="22"/>
          <w:lang w:eastAsia="es-ES"/>
        </w:rPr>
        <w:t xml:space="preserve">Acuerdo mediante el cual se clasifique(n) como reservado(s), el </w:t>
      </w:r>
      <w:r w:rsidRPr="0062660B">
        <w:rPr>
          <w:rFonts w:ascii="Palatino Linotype" w:hAnsi="Palatino Linotype" w:cs="Arial"/>
          <w:sz w:val="22"/>
          <w:szCs w:val="22"/>
          <w:lang w:eastAsia="es-ES"/>
        </w:rPr>
        <w:t>o los procedimientos</w:t>
      </w:r>
      <w:r w:rsidRPr="00E213D7">
        <w:rPr>
          <w:rFonts w:ascii="Palatino Linotype" w:hAnsi="Palatino Linotype" w:cs="Arial"/>
          <w:sz w:val="22"/>
          <w:szCs w:val="22"/>
          <w:lang w:eastAsia="es-ES"/>
        </w:rPr>
        <w:t xml:space="preserve"> por faltas graves que no hayan causado estado, </w:t>
      </w:r>
      <w:r w:rsidRPr="00E213D7">
        <w:rPr>
          <w:rFonts w:ascii="Palatino Linotype" w:hAnsi="Palatino Linotype" w:cs="Arial"/>
          <w:b/>
          <w:i/>
          <w:sz w:val="22"/>
          <w:szCs w:val="22"/>
          <w:lang w:eastAsia="es-ES"/>
        </w:rPr>
        <w:t xml:space="preserve">siempre y cuando </w:t>
      </w:r>
      <w:r w:rsidRPr="00E213D7">
        <w:rPr>
          <w:rFonts w:ascii="Palatino Linotype" w:hAnsi="Palatino Linotype" w:cs="Arial"/>
          <w:b/>
          <w:i/>
          <w:sz w:val="22"/>
          <w:szCs w:val="22"/>
          <w:lang w:val="es-MX" w:eastAsia="es-ES"/>
        </w:rPr>
        <w:t xml:space="preserve">no se configure alguno de los supuestos contemplados en el artículo 142 de la Ley de la materia, </w:t>
      </w:r>
      <w:r w:rsidRPr="00E213D7">
        <w:rPr>
          <w:rFonts w:ascii="Palatino Linotype" w:hAnsi="Palatino Linotype" w:cs="Arial"/>
          <w:sz w:val="22"/>
          <w:szCs w:val="22"/>
          <w:lang w:val="es-MX" w:eastAsia="es-ES"/>
        </w:rPr>
        <w:t>en caso contrario</w:t>
      </w:r>
      <w:r w:rsidRPr="00E213D7">
        <w:rPr>
          <w:rFonts w:ascii="Palatino Linotype" w:hAnsi="Palatino Linotype" w:cs="Arial"/>
          <w:b/>
          <w:sz w:val="22"/>
          <w:szCs w:val="22"/>
          <w:lang w:val="es-MX" w:eastAsia="es-ES"/>
        </w:rPr>
        <w:t xml:space="preserve"> </w:t>
      </w:r>
      <w:r w:rsidRPr="00E213D7">
        <w:rPr>
          <w:rFonts w:ascii="Palatino Linotype" w:eastAsia="Palatino Linotype" w:hAnsi="Palatino Linotype" w:cs="Palatino Linotype"/>
          <w:lang w:eastAsia="es-ES"/>
        </w:rPr>
        <w:t>deberá hacer entrega de los mismos en versión pública, conforme a lo establecido en considerando quinto de la presente resolución.</w:t>
      </w:r>
      <w:r w:rsidRPr="00E213D7">
        <w:rPr>
          <w:rFonts w:ascii="Palatino Linotype" w:eastAsia="Palatino Linotype" w:hAnsi="Palatino Linotype" w:cs="Palatino Linotype"/>
          <w:i/>
          <w:lang w:eastAsia="es-ES"/>
        </w:rPr>
        <w:t xml:space="preserve"> </w:t>
      </w:r>
    </w:p>
    <w:p w:rsidR="00CD0F3E" w:rsidRDefault="00CD0F3E">
      <w:pPr>
        <w:ind w:right="709"/>
        <w:jc w:val="both"/>
        <w:rPr>
          <w:rFonts w:ascii="Palatino Linotype" w:eastAsia="Palatino Linotype" w:hAnsi="Palatino Linotype" w:cs="Palatino Linotype"/>
          <w:b/>
          <w:i/>
          <w:sz w:val="22"/>
          <w:szCs w:val="22"/>
        </w:rPr>
      </w:pPr>
    </w:p>
    <w:p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 xml:space="preserve">al recurrente </w:t>
      </w:r>
      <w:r>
        <w:rPr>
          <w:rFonts w:ascii="Palatino Linotype" w:eastAsia="Palatino Linotype" w:hAnsi="Palatino Linotype" w:cs="Palatino Linotype"/>
          <w:b/>
        </w:rPr>
        <w:t xml:space="preserve">vía SAIMEX </w:t>
      </w:r>
      <w:r>
        <w:rPr>
          <w:rFonts w:ascii="Palatino Linotype" w:eastAsia="Palatino Linotype" w:hAnsi="Palatino Linotype" w:cs="Palatino Linotype"/>
        </w:rPr>
        <w:t xml:space="preserve">la presente resolución, así como que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w:t>
      </w:r>
    </w:p>
    <w:bookmarkStart w:id="3" w:name="_heading=h.gjdgxs" w:colFirst="0" w:colLast="0"/>
    <w:bookmarkEnd w:id="3"/>
    <w:p w:rsidR="00CD0F3E" w:rsidRDefault="00C4408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59264" behindDoc="0" locked="0" layoutInCell="1" allowOverlap="1">
                <wp:simplePos x="0" y="0"/>
                <wp:positionH relativeFrom="column">
                  <wp:posOffset>34289</wp:posOffset>
                </wp:positionH>
                <wp:positionV relativeFrom="paragraph">
                  <wp:posOffset>3020060</wp:posOffset>
                </wp:positionV>
                <wp:extent cx="5438775" cy="4610100"/>
                <wp:effectExtent l="0" t="0" r="28575" b="19050"/>
                <wp:wrapNone/>
                <wp:docPr id="7" name="Conector recto 7"/>
                <wp:cNvGraphicFramePr/>
                <a:graphic xmlns:a="http://schemas.openxmlformats.org/drawingml/2006/main">
                  <a:graphicData uri="http://schemas.microsoft.com/office/word/2010/wordprocessingShape">
                    <wps:wsp>
                      <wps:cNvCnPr/>
                      <wps:spPr>
                        <a:xfrm>
                          <a:off x="0" y="0"/>
                          <a:ext cx="5438775" cy="461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BFE87C"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237.8pt" to="430.95pt,6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" strokecolor="black [3040]"/>
            </w:pict>
          </mc:Fallback>
        </mc:AlternateContent>
      </w:r>
      <w:r w:rsidR="00D470B8">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C25194">
        <w:rPr>
          <w:rFonts w:ascii="Palatino Linotype" w:eastAsia="Palatino Linotype" w:hAnsi="Palatino Linotype" w:cs="Palatino Linotype"/>
        </w:rPr>
        <w:t xml:space="preserve"> </w:t>
      </w:r>
      <w:r>
        <w:rPr>
          <w:rFonts w:ascii="Palatino Linotype" w:eastAsia="Palatino Linotype" w:hAnsi="Palatino Linotype" w:cs="Palatino Linotype"/>
        </w:rPr>
        <w:t xml:space="preserve">EMITIENDO VOTO PARTICULAR; </w:t>
      </w:r>
      <w:r w:rsidR="00D470B8">
        <w:rPr>
          <w:rFonts w:ascii="Palatino Linotype" w:eastAsia="Palatino Linotype" w:hAnsi="Palatino Linotype" w:cs="Palatino Linotype"/>
        </w:rPr>
        <w:t xml:space="preserve">SHARON CRISTINA MORALES MARTÍNEZ, LUIS GUSTAVO PARRA NORIEGA </w:t>
      </w:r>
      <w:r w:rsidR="00C25194">
        <w:rPr>
          <w:rFonts w:ascii="Palatino Linotype" w:eastAsia="Palatino Linotype" w:hAnsi="Palatino Linotype" w:cs="Palatino Linotype"/>
        </w:rPr>
        <w:t>EMITIENDO VOTO PARTICULAR</w:t>
      </w:r>
      <w:r>
        <w:rPr>
          <w:rFonts w:ascii="Palatino Linotype" w:eastAsia="Palatino Linotype" w:hAnsi="Palatino Linotype" w:cs="Palatino Linotype"/>
        </w:rPr>
        <w:t xml:space="preserve"> </w:t>
      </w:r>
      <w:r w:rsidR="00D470B8">
        <w:rPr>
          <w:rFonts w:ascii="Palatino Linotype" w:eastAsia="Palatino Linotype" w:hAnsi="Palatino Linotype" w:cs="Palatino Linotype"/>
        </w:rPr>
        <w:t>Y GUADALUPE RAMÍRE</w:t>
      </w:r>
      <w:r w:rsidR="00E213D7">
        <w:rPr>
          <w:rFonts w:ascii="Palatino Linotype" w:eastAsia="Palatino Linotype" w:hAnsi="Palatino Linotype" w:cs="Palatino Linotype"/>
        </w:rPr>
        <w:t>Z PEÑA; EN LA VIGÉSIMO SÉPTIM</w:t>
      </w:r>
      <w:r w:rsidR="00D470B8">
        <w:rPr>
          <w:rFonts w:ascii="Palatino Linotype" w:eastAsia="Palatino Linotype" w:hAnsi="Palatino Linotype" w:cs="Palatino Linotype"/>
        </w:rPr>
        <w:t>A SES</w:t>
      </w:r>
      <w:r w:rsidR="00E213D7">
        <w:rPr>
          <w:rFonts w:ascii="Palatino Linotype" w:eastAsia="Palatino Linotype" w:hAnsi="Palatino Linotype" w:cs="Palatino Linotype"/>
        </w:rPr>
        <w:t>IÓN ORDINARIA CELEBRADA EL TRES DE AGOS</w:t>
      </w:r>
      <w:r w:rsidR="006A327F">
        <w:rPr>
          <w:rFonts w:ascii="Palatino Linotype" w:eastAsia="Palatino Linotype" w:hAnsi="Palatino Linotype" w:cs="Palatino Linotype"/>
        </w:rPr>
        <w:t>T</w:t>
      </w:r>
      <w:r w:rsidR="00D470B8">
        <w:rPr>
          <w:rFonts w:ascii="Palatino Linotype" w:eastAsia="Palatino Linotype" w:hAnsi="Palatino Linotype" w:cs="Palatino Linotype"/>
        </w:rPr>
        <w:t>O DEL DOS MIL VEINTIDÓS, ANTE EL SECRETARIO TÉCNICO DEL PLENO, ALEXIS TAPIA RAMÍREZ.</w:t>
      </w:r>
    </w:p>
    <w:p w:rsidR="00CD0F3E" w:rsidRDefault="00CD0F3E">
      <w:pPr>
        <w:spacing w:before="240" w:after="240" w:line="360" w:lineRule="auto"/>
        <w:jc w:val="both"/>
        <w:rPr>
          <w:rFonts w:ascii="Palatino Linotype" w:eastAsia="Palatino Linotype" w:hAnsi="Palatino Linotype" w:cs="Palatino Linotype"/>
        </w:rPr>
        <w:sectPr w:rsidR="00CD0F3E" w:rsidSect="00671D15">
          <w:headerReference w:type="default" r:id="rId18"/>
          <w:footerReference w:type="default" r:id="rId19"/>
          <w:headerReference w:type="first" r:id="rId20"/>
          <w:footerReference w:type="first" r:id="rId21"/>
          <w:pgSz w:w="12240" w:h="15840"/>
          <w:pgMar w:top="1417" w:right="1467" w:bottom="1417" w:left="1701" w:header="709" w:footer="709" w:gutter="0"/>
          <w:pgNumType w:start="1"/>
          <w:cols w:space="720"/>
          <w:titlePg/>
        </w:sectPr>
      </w:pPr>
    </w:p>
    <w:p w:rsidR="00CD0F3E" w:rsidRDefault="00CD0F3E">
      <w:pPr>
        <w:spacing w:before="240" w:after="240" w:line="360" w:lineRule="auto"/>
        <w:jc w:val="both"/>
        <w:rPr>
          <w:rFonts w:ascii="Palatino Linotype" w:eastAsia="Palatino Linotype" w:hAnsi="Palatino Linotype" w:cs="Palatino Linotype"/>
        </w:rPr>
      </w:pPr>
    </w:p>
    <w:sectPr w:rsidR="00CD0F3E">
      <w:headerReference w:type="first" r:id="rId22"/>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031" w:rsidRDefault="00E53031">
      <w:r>
        <w:separator/>
      </w:r>
    </w:p>
  </w:endnote>
  <w:endnote w:type="continuationSeparator" w:id="0">
    <w:p w:rsidR="00E53031" w:rsidRDefault="00E53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689" w:rsidRDefault="0056568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36F51">
      <w:rPr>
        <w:rFonts w:ascii="Arial" w:eastAsia="Arial" w:hAnsi="Arial" w:cs="Arial"/>
        <w:b/>
        <w:noProof/>
        <w:color w:val="000000"/>
        <w:sz w:val="20"/>
        <w:szCs w:val="20"/>
      </w:rPr>
      <w:t>77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36F51">
      <w:rPr>
        <w:rFonts w:ascii="Arial" w:eastAsia="Arial" w:hAnsi="Arial" w:cs="Arial"/>
        <w:b/>
        <w:noProof/>
        <w:color w:val="000000"/>
        <w:sz w:val="20"/>
        <w:szCs w:val="20"/>
      </w:rPr>
      <w:t>78</w:t>
    </w:r>
    <w:r>
      <w:rPr>
        <w:rFonts w:ascii="Arial" w:eastAsia="Arial" w:hAnsi="Arial" w:cs="Arial"/>
        <w:b/>
        <w:color w:val="000000"/>
        <w:sz w:val="20"/>
        <w:szCs w:val="20"/>
      </w:rPr>
      <w:fldChar w:fldCharType="end"/>
    </w:r>
  </w:p>
  <w:p w:rsidR="00565689" w:rsidRDefault="00565689">
    <w:pPr>
      <w:pBdr>
        <w:top w:val="nil"/>
        <w:left w:val="nil"/>
        <w:bottom w:val="nil"/>
        <w:right w:val="nil"/>
        <w:between w:val="nil"/>
      </w:pBdr>
      <w:tabs>
        <w:tab w:val="center" w:pos="4252"/>
        <w:tab w:val="right" w:pos="8504"/>
      </w:tabs>
      <w:rPr>
        <w:color w:val="000000"/>
      </w:rPr>
    </w:pPr>
  </w:p>
  <w:p w:rsidR="00565689" w:rsidRDefault="0056568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689" w:rsidRDefault="0056568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36F51">
      <w:rPr>
        <w:rFonts w:ascii="Arial" w:eastAsia="Arial" w:hAnsi="Arial" w:cs="Arial"/>
        <w:b/>
        <w:noProof/>
        <w:color w:val="000000"/>
        <w:sz w:val="20"/>
        <w:szCs w:val="20"/>
      </w:rPr>
      <w:t>78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36F51">
      <w:rPr>
        <w:rFonts w:ascii="Arial" w:eastAsia="Arial" w:hAnsi="Arial" w:cs="Arial"/>
        <w:b/>
        <w:noProof/>
        <w:color w:val="000000"/>
        <w:sz w:val="20"/>
        <w:szCs w:val="20"/>
      </w:rPr>
      <w:t>78</w:t>
    </w:r>
    <w:r>
      <w:rPr>
        <w:rFonts w:ascii="Arial" w:eastAsia="Arial" w:hAnsi="Arial" w:cs="Arial"/>
        <w:b/>
        <w:color w:val="000000"/>
        <w:sz w:val="20"/>
        <w:szCs w:val="20"/>
      </w:rPr>
      <w:fldChar w:fldCharType="end"/>
    </w:r>
  </w:p>
  <w:p w:rsidR="00565689" w:rsidRDefault="0056568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031" w:rsidRDefault="00E53031">
      <w:r>
        <w:separator/>
      </w:r>
    </w:p>
  </w:footnote>
  <w:footnote w:type="continuationSeparator" w:id="0">
    <w:p w:rsidR="00E53031" w:rsidRDefault="00E53031">
      <w:r>
        <w:continuationSeparator/>
      </w:r>
    </w:p>
  </w:footnote>
  <w:footnote w:id="1">
    <w:p w:rsidR="00565689" w:rsidRDefault="00565689" w:rsidP="009365BF">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Ver páginas 71 y 72 de la contradicción de tesis 200/2013, específicamente los epígrafes 84, 85 y 87. </w:t>
      </w:r>
    </w:p>
  </w:footnote>
  <w:footnote w:id="2">
    <w:p w:rsidR="00565689" w:rsidRDefault="00565689" w:rsidP="009365BF">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Ver supra. Página 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689" w:rsidRDefault="00565689">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-1010285</wp:posOffset>
          </wp:positionH>
          <wp:positionV relativeFrom="paragraph">
            <wp:posOffset>-300355</wp:posOffset>
          </wp:positionV>
          <wp:extent cx="7635600" cy="9943200"/>
          <wp:effectExtent l="0" t="0" r="0" b="0"/>
          <wp:wrapNone/>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6240" w:type="dxa"/>
      <w:tblInd w:w="3746" w:type="dxa"/>
      <w:tblLayout w:type="fixed"/>
      <w:tblLook w:val="0400" w:firstRow="0" w:lastRow="0" w:firstColumn="0" w:lastColumn="0" w:noHBand="0" w:noVBand="1"/>
    </w:tblPr>
    <w:tblGrid>
      <w:gridCol w:w="2553"/>
      <w:gridCol w:w="3687"/>
    </w:tblGrid>
    <w:tr w:rsidR="00565689">
      <w:tc>
        <w:tcPr>
          <w:tcW w:w="2553" w:type="dxa"/>
          <w:vAlign w:val="center"/>
        </w:tcPr>
        <w:p w:rsidR="00565689" w:rsidRDefault="005656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565689" w:rsidRDefault="00565689">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04554/INFOEM/IP/RR/2022</w:t>
          </w:r>
        </w:p>
      </w:tc>
    </w:tr>
    <w:tr w:rsidR="00565689">
      <w:trPr>
        <w:trHeight w:val="228"/>
      </w:trPr>
      <w:tc>
        <w:tcPr>
          <w:tcW w:w="2553" w:type="dxa"/>
          <w:vAlign w:val="center"/>
        </w:tcPr>
        <w:p w:rsidR="00565689" w:rsidRDefault="005656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565689" w:rsidRDefault="00565689">
          <w:pPr>
            <w:tabs>
              <w:tab w:val="left" w:pos="1531"/>
            </w:tabs>
            <w:ind w:right="80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Poder Legislativo</w:t>
          </w:r>
        </w:p>
      </w:tc>
    </w:tr>
    <w:tr w:rsidR="00565689">
      <w:tc>
        <w:tcPr>
          <w:tcW w:w="2553" w:type="dxa"/>
          <w:vAlign w:val="center"/>
        </w:tcPr>
        <w:p w:rsidR="00565689" w:rsidRDefault="005656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565689" w:rsidRDefault="00565689">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65689" w:rsidRDefault="0056568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689" w:rsidRDefault="00565689">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-973454</wp:posOffset>
          </wp:positionH>
          <wp:positionV relativeFrom="paragraph">
            <wp:posOffset>-354964</wp:posOffset>
          </wp:positionV>
          <wp:extent cx="7635600" cy="9943200"/>
          <wp:effectExtent l="0" t="0" r="0" b="0"/>
          <wp:wrapNone/>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6240" w:type="dxa"/>
      <w:tblInd w:w="3685" w:type="dxa"/>
      <w:tblLayout w:type="fixed"/>
      <w:tblLook w:val="0400" w:firstRow="0" w:lastRow="0" w:firstColumn="0" w:lastColumn="0" w:noHBand="0" w:noVBand="1"/>
    </w:tblPr>
    <w:tblGrid>
      <w:gridCol w:w="2553"/>
      <w:gridCol w:w="3687"/>
    </w:tblGrid>
    <w:tr w:rsidR="00565689">
      <w:tc>
        <w:tcPr>
          <w:tcW w:w="2553" w:type="dxa"/>
          <w:vAlign w:val="center"/>
        </w:tcPr>
        <w:p w:rsidR="00565689" w:rsidRDefault="005656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565689" w:rsidRDefault="005656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04554/INFOEM/IP/RR/2022</w:t>
          </w:r>
        </w:p>
      </w:tc>
    </w:tr>
    <w:tr w:rsidR="00565689">
      <w:tc>
        <w:tcPr>
          <w:tcW w:w="2553" w:type="dxa"/>
          <w:vAlign w:val="center"/>
        </w:tcPr>
        <w:p w:rsidR="00565689" w:rsidRDefault="005656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565689" w:rsidRDefault="00136F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 X</w:t>
          </w:r>
        </w:p>
      </w:tc>
    </w:tr>
    <w:tr w:rsidR="00565689">
      <w:trPr>
        <w:trHeight w:val="228"/>
      </w:trPr>
      <w:tc>
        <w:tcPr>
          <w:tcW w:w="2553" w:type="dxa"/>
          <w:vAlign w:val="center"/>
        </w:tcPr>
        <w:p w:rsidR="00565689" w:rsidRDefault="005656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565689" w:rsidRDefault="0056568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Poder Legislativo</w:t>
          </w:r>
        </w:p>
      </w:tc>
    </w:tr>
    <w:tr w:rsidR="00565689">
      <w:tc>
        <w:tcPr>
          <w:tcW w:w="2553" w:type="dxa"/>
          <w:vAlign w:val="center"/>
        </w:tcPr>
        <w:p w:rsidR="00565689" w:rsidRDefault="005656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565689" w:rsidRDefault="00565689">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65689" w:rsidRDefault="00565689">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689" w:rsidRDefault="00565689">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565689" w:rsidRDefault="0056568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718E8"/>
    <w:multiLevelType w:val="multilevel"/>
    <w:tmpl w:val="46DCC284"/>
    <w:lvl w:ilvl="0">
      <w:start w:val="1"/>
      <w:numFmt w:val="lowerLetter"/>
      <w:lvlText w:val="%1)"/>
      <w:lvlJc w:val="left"/>
      <w:pPr>
        <w:ind w:left="927" w:hanging="360"/>
      </w:pPr>
      <w:rPr>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0B600726"/>
    <w:multiLevelType w:val="multilevel"/>
    <w:tmpl w:val="3620B618"/>
    <w:lvl w:ilvl="0">
      <w:start w:val="3"/>
      <w:numFmt w:val="lowerLetter"/>
      <w:lvlText w:val="%1."/>
      <w:lvlJc w:val="left"/>
      <w:pPr>
        <w:ind w:left="720" w:hanging="360"/>
      </w:pPr>
      <w:rPr>
        <w:rFonts w:ascii="Palatino Linotype" w:hAnsi="Palatino Linotype"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0DC444D9"/>
    <w:multiLevelType w:val="hybridMultilevel"/>
    <w:tmpl w:val="F2D20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5812737"/>
    <w:multiLevelType w:val="multilevel"/>
    <w:tmpl w:val="55B8E6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014695B"/>
    <w:multiLevelType w:val="multilevel"/>
    <w:tmpl w:val="4ECE8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73F4E7E"/>
    <w:multiLevelType w:val="hybridMultilevel"/>
    <w:tmpl w:val="CB60BC7E"/>
    <w:lvl w:ilvl="0" w:tplc="892E22A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28F74690"/>
    <w:multiLevelType w:val="hybridMultilevel"/>
    <w:tmpl w:val="83D2900A"/>
    <w:lvl w:ilvl="0" w:tplc="DBB656B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CA02019"/>
    <w:multiLevelType w:val="multilevel"/>
    <w:tmpl w:val="25126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2935BFD"/>
    <w:multiLevelType w:val="multilevel"/>
    <w:tmpl w:val="A7248BF2"/>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33C3772F"/>
    <w:multiLevelType w:val="multilevel"/>
    <w:tmpl w:val="2618E83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34E861BE"/>
    <w:multiLevelType w:val="multilevel"/>
    <w:tmpl w:val="FFA03D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39CF7366"/>
    <w:multiLevelType w:val="multilevel"/>
    <w:tmpl w:val="AB80C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DAC22F3"/>
    <w:multiLevelType w:val="hybridMultilevel"/>
    <w:tmpl w:val="21AAFEBC"/>
    <w:lvl w:ilvl="0" w:tplc="DDC8D3A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57395BAD"/>
    <w:multiLevelType w:val="multilevel"/>
    <w:tmpl w:val="6780F480"/>
    <w:lvl w:ilvl="0">
      <w:numFmt w:val="lowerLetter"/>
      <w:lvlText w:val="%1."/>
      <w:lvlJc w:val="left"/>
      <w:pPr>
        <w:ind w:left="0" w:firstLine="0"/>
      </w:pPr>
    </w:lvl>
    <w:lvl w:ilvl="1">
      <w:start w:val="1"/>
      <w:numFmt w:val="upperRoman"/>
      <w:lvlText w:val="%2."/>
      <w:lvlJc w:val="left"/>
      <w:pPr>
        <w:ind w:left="1800" w:hanging="72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58C24D40"/>
    <w:multiLevelType w:val="multilevel"/>
    <w:tmpl w:val="86DE92A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1043378"/>
    <w:multiLevelType w:val="multilevel"/>
    <w:tmpl w:val="670A804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74058CA"/>
    <w:multiLevelType w:val="hybridMultilevel"/>
    <w:tmpl w:val="9DC2AF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nsid w:val="7E87573E"/>
    <w:multiLevelType w:val="hybridMultilevel"/>
    <w:tmpl w:val="20EC510A"/>
    <w:lvl w:ilvl="0" w:tplc="20D4D962">
      <w:start w:val="7"/>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num w:numId="1">
    <w:abstractNumId w:val="1"/>
  </w:num>
  <w:num w:numId="2">
    <w:abstractNumId w:val="12"/>
  </w:num>
  <w:num w:numId="3">
    <w:abstractNumId w:val="11"/>
  </w:num>
  <w:num w:numId="4">
    <w:abstractNumId w:val="3"/>
  </w:num>
  <w:num w:numId="5">
    <w:abstractNumId w:val="7"/>
  </w:num>
  <w:num w:numId="6">
    <w:abstractNumId w:val="15"/>
  </w:num>
  <w:num w:numId="7">
    <w:abstractNumId w:val="0"/>
  </w:num>
  <w:num w:numId="8">
    <w:abstractNumId w:val="16"/>
  </w:num>
  <w:num w:numId="9">
    <w:abstractNumId w:val="9"/>
  </w:num>
  <w:num w:numId="10">
    <w:abstractNumId w:val="14"/>
  </w:num>
  <w:num w:numId="11">
    <w:abstractNumId w:val="8"/>
  </w:num>
  <w:num w:numId="12">
    <w:abstractNumId w:val="13"/>
  </w:num>
  <w:num w:numId="13">
    <w:abstractNumId w:val="5"/>
  </w:num>
  <w:num w:numId="14">
    <w:abstractNumId w:val="18"/>
  </w:num>
  <w:num w:numId="15">
    <w:abstractNumId w:val="17"/>
  </w:num>
  <w:num w:numId="16">
    <w:abstractNumId w:val="4"/>
  </w:num>
  <w:num w:numId="17">
    <w:abstractNumId w:val="10"/>
  </w:num>
  <w:num w:numId="18">
    <w:abstractNumId w:val="2"/>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F3E"/>
    <w:rsid w:val="00035B71"/>
    <w:rsid w:val="0006449C"/>
    <w:rsid w:val="000836AB"/>
    <w:rsid w:val="000A5063"/>
    <w:rsid w:val="000F0002"/>
    <w:rsid w:val="00136F51"/>
    <w:rsid w:val="00141050"/>
    <w:rsid w:val="002040DE"/>
    <w:rsid w:val="0022059C"/>
    <w:rsid w:val="002433C9"/>
    <w:rsid w:val="002C4870"/>
    <w:rsid w:val="002D4B38"/>
    <w:rsid w:val="003321F3"/>
    <w:rsid w:val="00387F8A"/>
    <w:rsid w:val="003966C5"/>
    <w:rsid w:val="003F4E17"/>
    <w:rsid w:val="0040783D"/>
    <w:rsid w:val="004364AC"/>
    <w:rsid w:val="00466C36"/>
    <w:rsid w:val="004B4C02"/>
    <w:rsid w:val="004C20D6"/>
    <w:rsid w:val="004C3D30"/>
    <w:rsid w:val="00565689"/>
    <w:rsid w:val="00567DAD"/>
    <w:rsid w:val="00591FC8"/>
    <w:rsid w:val="005A2A97"/>
    <w:rsid w:val="0062660B"/>
    <w:rsid w:val="00627B82"/>
    <w:rsid w:val="00653CB8"/>
    <w:rsid w:val="00671D15"/>
    <w:rsid w:val="006A327F"/>
    <w:rsid w:val="007A475A"/>
    <w:rsid w:val="007E5445"/>
    <w:rsid w:val="008125AC"/>
    <w:rsid w:val="008633C3"/>
    <w:rsid w:val="00870722"/>
    <w:rsid w:val="008C4C45"/>
    <w:rsid w:val="008D01DC"/>
    <w:rsid w:val="00925262"/>
    <w:rsid w:val="0092781F"/>
    <w:rsid w:val="009365BF"/>
    <w:rsid w:val="0094160B"/>
    <w:rsid w:val="0096626E"/>
    <w:rsid w:val="00A014B5"/>
    <w:rsid w:val="00A26891"/>
    <w:rsid w:val="00BA3CF6"/>
    <w:rsid w:val="00C12C49"/>
    <w:rsid w:val="00C25194"/>
    <w:rsid w:val="00C44084"/>
    <w:rsid w:val="00C562A5"/>
    <w:rsid w:val="00C85706"/>
    <w:rsid w:val="00CD0767"/>
    <w:rsid w:val="00CD0F3E"/>
    <w:rsid w:val="00CF700A"/>
    <w:rsid w:val="00D07ADC"/>
    <w:rsid w:val="00D470B8"/>
    <w:rsid w:val="00DA4A65"/>
    <w:rsid w:val="00DF726C"/>
    <w:rsid w:val="00E150FB"/>
    <w:rsid w:val="00E213D7"/>
    <w:rsid w:val="00E27B21"/>
    <w:rsid w:val="00E53031"/>
    <w:rsid w:val="00EE56AD"/>
    <w:rsid w:val="00F33032"/>
    <w:rsid w:val="00F409A9"/>
    <w:rsid w:val="00F416DD"/>
    <w:rsid w:val="00F84C84"/>
    <w:rsid w:val="00F92C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DAC219-1D88-4CA8-9B79-DD6B4DFD3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1B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javascript:AbrirModal(1)"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dMxHlEOM5H9e0QItHLjh3ay5vA==">AMUW2mXyzc3nUBOtDmcA2kIvNRbKkVxHbPpa2BKKs6Eb7v9dK7wGpzgM9yZOfxVbtsjjFgJ+j8GCrDYD4++MsaUAF0M2S2T8BZo7iSo9Ag76rPFprLtH5UZCt8Md6kGV2NEVZBC3Cdld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1708263-E546-4716-A31A-A9E2DC07C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78</Pages>
  <Words>19930</Words>
  <Characters>109617</Characters>
  <Application>Microsoft Office Word</Application>
  <DocSecurity>0</DocSecurity>
  <Lines>913</Lines>
  <Paragraphs>258</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129289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6</cp:revision>
  <cp:lastPrinted>2022-08-05T14:36:00Z</cp:lastPrinted>
  <dcterms:created xsi:type="dcterms:W3CDTF">2022-08-04T02:40:00Z</dcterms:created>
  <dcterms:modified xsi:type="dcterms:W3CDTF">2022-09-06T15:18:00Z</dcterms:modified>
</cp:coreProperties>
</file>