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57960" w14:textId="77777777" w:rsidR="005C7D67" w:rsidRDefault="005C7D67" w:rsidP="00A970D5">
      <w:pPr>
        <w:pBdr>
          <w:top w:val="nil"/>
          <w:left w:val="nil"/>
          <w:bottom w:val="nil"/>
          <w:right w:val="nil"/>
          <w:between w:val="nil"/>
        </w:pBdr>
        <w:contextualSpacing/>
        <w:rPr>
          <w:rFonts w:eastAsia="Palatino Linotype" w:cs="Palatino Linotype"/>
          <w:color w:val="000000"/>
          <w:szCs w:val="24"/>
        </w:rPr>
      </w:pPr>
    </w:p>
    <w:p w14:paraId="49AF2C0C" w14:textId="46111BFA"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5325BA">
        <w:rPr>
          <w:rFonts w:eastAsia="Palatino Linotype" w:cs="Palatino Linotype"/>
          <w:color w:val="000000"/>
          <w:szCs w:val="24"/>
        </w:rPr>
        <w:t>veinticuatro</w:t>
      </w:r>
      <w:r w:rsidR="00EF0DE0">
        <w:rPr>
          <w:rFonts w:eastAsia="Palatino Linotype" w:cs="Palatino Linotype"/>
          <w:color w:val="000000"/>
          <w:szCs w:val="24"/>
        </w:rPr>
        <w:t xml:space="preserve"> de agosto</w:t>
      </w:r>
      <w:r w:rsidR="000D5244"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15DA9DD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8B2951" w:rsidRPr="007657CF">
        <w:rPr>
          <w:rFonts w:eastAsia="Palatino Linotype" w:cs="Palatino Linotype"/>
          <w:b/>
          <w:color w:val="000000"/>
          <w:szCs w:val="24"/>
        </w:rPr>
        <w:t>0</w:t>
      </w:r>
      <w:r w:rsidR="00546FF2">
        <w:rPr>
          <w:rFonts w:eastAsia="Palatino Linotype" w:cs="Palatino Linotype"/>
          <w:b/>
          <w:color w:val="000000"/>
          <w:szCs w:val="24"/>
        </w:rPr>
        <w:t>6910</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w:t>
      </w:r>
      <w:r w:rsidR="00546FF2">
        <w:rPr>
          <w:rFonts w:eastAsia="Palatino Linotype" w:cs="Palatino Linotype"/>
          <w:color w:val="000000"/>
          <w:szCs w:val="24"/>
        </w:rPr>
        <w:t>r una persona de manera anónima</w:t>
      </w:r>
      <w:r w:rsidR="00B54BC7" w:rsidRPr="007657CF">
        <w:rPr>
          <w:rFonts w:eastAsia="Palatino Linotype" w:cs="Palatino Linotype"/>
          <w:color w:val="000000"/>
          <w:szCs w:val="24"/>
        </w:rPr>
        <w:t xml:space="preserve">, en lo sucesivo el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871A91" w:rsidRPr="007657CF">
        <w:rPr>
          <w:rFonts w:eastAsia="Palatino Linotype" w:cs="Palatino Linotype"/>
          <w:b/>
          <w:color w:val="000000"/>
          <w:szCs w:val="24"/>
        </w:rPr>
        <w:t>Ay</w:t>
      </w:r>
      <w:r w:rsidR="00B36B86" w:rsidRPr="007657CF">
        <w:rPr>
          <w:rFonts w:eastAsia="Palatino Linotype" w:cs="Palatino Linotype"/>
          <w:b/>
          <w:color w:val="000000"/>
          <w:szCs w:val="24"/>
        </w:rPr>
        <w:t xml:space="preserve">untamiento de </w:t>
      </w:r>
      <w:r w:rsidR="005C7D67">
        <w:rPr>
          <w:rFonts w:eastAsia="Palatino Linotype" w:cs="Palatino Linotype"/>
          <w:b/>
          <w:color w:val="000000"/>
          <w:szCs w:val="24"/>
        </w:rPr>
        <w:t>Atenco</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 xml:space="preserve">en lo </w:t>
      </w:r>
      <w:bookmarkStart w:id="0" w:name="_GoBack"/>
      <w:bookmarkEnd w:id="0"/>
      <w:r w:rsidRPr="007657CF">
        <w:rPr>
          <w:rFonts w:eastAsia="Palatino Linotype" w:cs="Palatino Linotype"/>
          <w:color w:val="000000"/>
          <w:szCs w:val="24"/>
        </w:rPr>
        <w:t>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009701CC"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1904DC">
        <w:rPr>
          <w:rFonts w:eastAsia="Palatino Linotype" w:cs="Palatino Linotype"/>
          <w:color w:val="000000"/>
          <w:szCs w:val="24"/>
        </w:rPr>
        <w:t>cinco de abril</w:t>
      </w:r>
      <w:r w:rsidR="0051074E" w:rsidRPr="007657CF">
        <w:rPr>
          <w:rFonts w:eastAsia="Palatino Linotype" w:cs="Palatino Linotype"/>
          <w:color w:val="000000"/>
          <w:szCs w:val="24"/>
        </w:rPr>
        <w:t xml:space="preserve"> de dos mil veintidós</w:t>
      </w:r>
      <w:r w:rsidR="00B54BC7" w:rsidRPr="007657CF">
        <w:rPr>
          <w:rFonts w:eastAsia="Palatino Linotype" w:cs="Palatino Linotype"/>
          <w:color w:val="000000"/>
          <w:szCs w:val="24"/>
        </w:rPr>
        <w:t>, el</w:t>
      </w:r>
      <w:r w:rsidR="00A970D5" w:rsidRPr="007657CF">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7657CF">
        <w:rPr>
          <w:rFonts w:eastAsia="Palatino Linotype" w:cs="Palatino Linotype"/>
          <w:b/>
          <w:color w:val="000000"/>
          <w:szCs w:val="24"/>
        </w:rPr>
        <w:t xml:space="preserve"> </w:t>
      </w:r>
      <w:r w:rsidR="005C7D67" w:rsidRPr="005C7D67">
        <w:rPr>
          <w:rFonts w:eastAsia="Palatino Linotype" w:cs="Palatino Linotype"/>
          <w:b/>
          <w:bCs/>
          <w:color w:val="000000"/>
          <w:szCs w:val="24"/>
        </w:rPr>
        <w:t>00178/ATENCO/IP/2022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5A6CF8BE" w:rsidR="00A970D5" w:rsidRPr="007657CF" w:rsidRDefault="00A970D5" w:rsidP="005C7D67">
      <w:pPr>
        <w:pStyle w:val="Fundamentos"/>
      </w:pPr>
      <w:r w:rsidRPr="007657CF">
        <w:t>“</w:t>
      </w:r>
      <w:r w:rsidR="005C7D67">
        <w:t xml:space="preserve">solicito las facturas de gastos por concepto de alimentos, lonas, mesas, sillas e insumos </w:t>
      </w:r>
      <w:proofErr w:type="gramStart"/>
      <w:r w:rsidR="005C7D67">
        <w:t>utilizados</w:t>
      </w:r>
      <w:proofErr w:type="gramEnd"/>
      <w:r w:rsidR="005C7D67">
        <w:t xml:space="preserve"> en las jornadas de </w:t>
      </w:r>
      <w:proofErr w:type="spellStart"/>
      <w:r w:rsidR="005C7D67">
        <w:t>vacunanción</w:t>
      </w:r>
      <w:proofErr w:type="spellEnd"/>
      <w:r w:rsidR="005C7D67">
        <w:t xml:space="preserve"> de </w:t>
      </w:r>
      <w:proofErr w:type="spellStart"/>
      <w:r w:rsidR="005C7D67">
        <w:t>covid</w:t>
      </w:r>
      <w:proofErr w:type="spellEnd"/>
      <w:r w:rsidR="005C7D67">
        <w:t>. La ultima</w:t>
      </w:r>
      <w:r w:rsidR="00A34D4B">
        <w:t xml:space="preserve"> </w:t>
      </w:r>
      <w:r w:rsidR="005C7D67">
        <w:t xml:space="preserve">llevada a cabo en </w:t>
      </w:r>
      <w:proofErr w:type="spellStart"/>
      <w:r w:rsidR="005C7D67">
        <w:t>en</w:t>
      </w:r>
      <w:proofErr w:type="spellEnd"/>
      <w:r w:rsidR="005C7D67">
        <w:t xml:space="preserve"> 2021 y las que se realizaron a la </w:t>
      </w:r>
      <w:proofErr w:type="gramStart"/>
      <w:r w:rsidR="005C7D67">
        <w:t>fecha .</w:t>
      </w:r>
      <w:r w:rsidRPr="007657CF">
        <w:t>”</w:t>
      </w:r>
      <w:proofErr w:type="gramEnd"/>
      <w:r w:rsidRPr="007657CF">
        <w:t xml:space="preserve"> </w:t>
      </w:r>
      <w:r w:rsidR="00D7260C" w:rsidRPr="007657CF">
        <w:t>(</w:t>
      </w:r>
      <w:r w:rsidRPr="007657CF">
        <w:t>Sic</w:t>
      </w:r>
      <w:r w:rsidR="00D7260C" w:rsidRPr="007657CF">
        <w:t>)</w:t>
      </w:r>
    </w:p>
    <w:p w14:paraId="40BBECC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Pr="007657CF">
        <w:rPr>
          <w:rFonts w:eastAsia="Palatino Linotype" w:cs="Palatino Linotype"/>
          <w:color w:val="000000"/>
          <w:szCs w:val="24"/>
        </w:rPr>
        <w:t>.</w:t>
      </w:r>
    </w:p>
    <w:p w14:paraId="035FB8D4" w14:textId="77777777" w:rsidR="003938ED" w:rsidRPr="007657CF"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lastRenderedPageBreak/>
        <w:t>SEGUNDO</w:t>
      </w:r>
      <w:r w:rsidR="00A970D5" w:rsidRPr="007657CF">
        <w:rPr>
          <w:rFonts w:eastAsia="Palatino Linotype"/>
        </w:rPr>
        <w:t>. De la respuesta del Sujeto Obligado.</w:t>
      </w:r>
    </w:p>
    <w:p w14:paraId="2EE6F294" w14:textId="4A493DF5"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290730">
        <w:rPr>
          <w:rFonts w:eastAsia="Palatino Linotype" w:cs="Palatino Linotype"/>
          <w:color w:val="000000"/>
          <w:szCs w:val="24"/>
        </w:rPr>
        <w:t>veintinueve</w:t>
      </w:r>
      <w:r w:rsidR="001D3687" w:rsidRPr="007657CF">
        <w:rPr>
          <w:rFonts w:eastAsia="Palatino Linotype" w:cs="Palatino Linotype"/>
          <w:color w:val="000000"/>
          <w:szCs w:val="24"/>
        </w:rPr>
        <w:t xml:space="preserve"> de abril</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6E3670A" w14:textId="1AD466C5" w:rsidR="00290730" w:rsidRDefault="00A970D5" w:rsidP="00290730">
      <w:pPr>
        <w:pStyle w:val="Fundamentos"/>
      </w:pPr>
      <w:r w:rsidRPr="007657CF">
        <w:t>“</w:t>
      </w:r>
      <w:r w:rsidR="00290730">
        <w:t>En respuesta a la solicitud recibida, nos permitimos hacer de su conocimiento que con fundamento en el artículo 53, Fracciones: II, V y VI de la Ley de Transparencia y Acceso a la Información Pública del Estado de México y Municipios, le contestamos que:</w:t>
      </w:r>
    </w:p>
    <w:p w14:paraId="61775474" w14:textId="77777777" w:rsidR="00290730" w:rsidRPr="00290730" w:rsidRDefault="00290730" w:rsidP="00290730">
      <w:pPr>
        <w:pStyle w:val="Fundamentos"/>
      </w:pPr>
    </w:p>
    <w:p w14:paraId="0CF4DD34" w14:textId="4D6F4B1C" w:rsidR="00290730" w:rsidRDefault="00290730" w:rsidP="00290730">
      <w:pPr>
        <w:pStyle w:val="Fundamentos"/>
      </w:pPr>
      <w:r>
        <w:t xml:space="preserve">“2022. Año del </w:t>
      </w:r>
      <w:proofErr w:type="spellStart"/>
      <w:r>
        <w:t>Quincentenario</w:t>
      </w:r>
      <w:proofErr w:type="spellEnd"/>
      <w:r>
        <w:t xml:space="preserve"> de Toluca, Capital del Estado de México” UNIDAD DE TRANSPARENCIA Oficio No.: PMA/UT/INT/2022/00196 Solicitud de Información: 00168/ATENCO/IP/2022 Atenco, Estado de México, 25 de abril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00168/ATENCO/IP/2022,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w:t>
      </w:r>
    </w:p>
    <w:p w14:paraId="41A152BB" w14:textId="77777777" w:rsidR="00290730" w:rsidRPr="00290730" w:rsidRDefault="00290730" w:rsidP="00290730">
      <w:pPr>
        <w:pStyle w:val="Fundamentos"/>
      </w:pPr>
    </w:p>
    <w:p w14:paraId="28D6BD07" w14:textId="77777777" w:rsidR="00290730" w:rsidRDefault="00290730" w:rsidP="00290730">
      <w:pPr>
        <w:pStyle w:val="Fundamentos"/>
      </w:pPr>
      <w:r>
        <w:t>ATENTAMENTE</w:t>
      </w:r>
    </w:p>
    <w:p w14:paraId="3FE4A9EF" w14:textId="511E84AB" w:rsidR="00A970D5" w:rsidRPr="007657CF" w:rsidRDefault="00290730" w:rsidP="00290730">
      <w:pPr>
        <w:pStyle w:val="Fundamentos"/>
      </w:pPr>
      <w:r>
        <w:t xml:space="preserve">Mtro. </w:t>
      </w:r>
      <w:proofErr w:type="gramStart"/>
      <w:r>
        <w:t>en</w:t>
      </w:r>
      <w:proofErr w:type="gramEnd"/>
      <w:r>
        <w:t xml:space="preserve"> D. Juan Manuel Mancera García</w:t>
      </w:r>
      <w:r w:rsidR="00A970D5" w:rsidRPr="007657CF">
        <w:t>” (Sic)</w:t>
      </w:r>
    </w:p>
    <w:p w14:paraId="4E8ED7CF" w14:textId="765A59EC" w:rsidR="00A970D5" w:rsidRDefault="00A970D5" w:rsidP="00A970D5">
      <w:pPr>
        <w:pBdr>
          <w:top w:val="nil"/>
          <w:left w:val="nil"/>
          <w:bottom w:val="nil"/>
          <w:right w:val="nil"/>
          <w:between w:val="nil"/>
        </w:pBdr>
        <w:contextualSpacing/>
        <w:rPr>
          <w:rFonts w:eastAsia="Palatino Linotype" w:cs="Palatino Linotype"/>
          <w:color w:val="000000"/>
          <w:szCs w:val="24"/>
        </w:rPr>
      </w:pPr>
    </w:p>
    <w:p w14:paraId="5504FD01" w14:textId="08A03609" w:rsidR="00290730" w:rsidRDefault="00290730" w:rsidP="0029073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Sujeto Obligado anexó a su respuesta los documentos denominados </w:t>
      </w:r>
      <w:r w:rsidRPr="00E94535">
        <w:rPr>
          <w:rFonts w:eastAsia="Palatino Linotype" w:cs="Palatino Linotype"/>
          <w:b/>
          <w:bCs/>
          <w:color w:val="000000"/>
          <w:szCs w:val="24"/>
        </w:rPr>
        <w:t xml:space="preserve">“Sol. </w:t>
      </w:r>
      <w:proofErr w:type="spellStart"/>
      <w:r w:rsidRPr="00E94535">
        <w:rPr>
          <w:rFonts w:eastAsia="Palatino Linotype" w:cs="Palatino Linotype"/>
          <w:b/>
          <w:bCs/>
          <w:color w:val="000000"/>
          <w:szCs w:val="24"/>
        </w:rPr>
        <w:t>Info</w:t>
      </w:r>
      <w:proofErr w:type="spellEnd"/>
      <w:r w:rsidRPr="00E94535">
        <w:rPr>
          <w:rFonts w:eastAsia="Palatino Linotype" w:cs="Palatino Linotype"/>
          <w:b/>
          <w:bCs/>
          <w:color w:val="000000"/>
          <w:szCs w:val="24"/>
        </w:rPr>
        <w:t>. 168 .</w:t>
      </w:r>
      <w:proofErr w:type="spellStart"/>
      <w:r w:rsidRPr="00E94535">
        <w:rPr>
          <w:rFonts w:eastAsia="Palatino Linotype" w:cs="Palatino Linotype"/>
          <w:b/>
          <w:bCs/>
          <w:color w:val="000000"/>
          <w:szCs w:val="24"/>
        </w:rPr>
        <w:t>pdf</w:t>
      </w:r>
      <w:proofErr w:type="spellEnd"/>
      <w:r w:rsidRPr="00E94535">
        <w:rPr>
          <w:rFonts w:eastAsia="Palatino Linotype" w:cs="Palatino Linotype"/>
          <w:b/>
          <w:bCs/>
          <w:color w:val="000000"/>
          <w:szCs w:val="24"/>
        </w:rPr>
        <w:t>”</w:t>
      </w:r>
      <w:r>
        <w:rPr>
          <w:rFonts w:eastAsia="Palatino Linotype" w:cs="Palatino Linotype"/>
          <w:color w:val="000000"/>
          <w:szCs w:val="24"/>
        </w:rPr>
        <w:t xml:space="preserve">, </w:t>
      </w:r>
      <w:r w:rsidRPr="00E94535">
        <w:rPr>
          <w:rFonts w:eastAsia="Palatino Linotype" w:cs="Palatino Linotype"/>
          <w:b/>
          <w:bCs/>
          <w:color w:val="000000"/>
          <w:szCs w:val="24"/>
        </w:rPr>
        <w:t>“</w:t>
      </w:r>
      <w:proofErr w:type="spellStart"/>
      <w:r w:rsidRPr="00E94535">
        <w:rPr>
          <w:rFonts w:eastAsia="Palatino Linotype" w:cs="Palatino Linotype"/>
          <w:b/>
          <w:bCs/>
          <w:color w:val="000000"/>
          <w:szCs w:val="24"/>
        </w:rPr>
        <w:t>Resp</w:t>
      </w:r>
      <w:proofErr w:type="spellEnd"/>
      <w:r w:rsidRPr="00E94535">
        <w:rPr>
          <w:rFonts w:eastAsia="Palatino Linotype" w:cs="Palatino Linotype"/>
          <w:b/>
          <w:bCs/>
          <w:color w:val="000000"/>
          <w:szCs w:val="24"/>
        </w:rPr>
        <w:t xml:space="preserve">. </w:t>
      </w:r>
      <w:proofErr w:type="spellStart"/>
      <w:r w:rsidRPr="00E94535">
        <w:rPr>
          <w:rFonts w:eastAsia="Palatino Linotype" w:cs="Palatino Linotype"/>
          <w:b/>
          <w:bCs/>
          <w:color w:val="000000"/>
          <w:szCs w:val="24"/>
        </w:rPr>
        <w:t>Info</w:t>
      </w:r>
      <w:proofErr w:type="spellEnd"/>
      <w:r w:rsidRPr="00E94535">
        <w:rPr>
          <w:rFonts w:eastAsia="Palatino Linotype" w:cs="Palatino Linotype"/>
          <w:b/>
          <w:bCs/>
          <w:color w:val="000000"/>
          <w:szCs w:val="24"/>
        </w:rPr>
        <w:t>. 168</w:t>
      </w:r>
      <w:proofErr w:type="gramStart"/>
      <w:r w:rsidRPr="00E94535">
        <w:rPr>
          <w:rFonts w:eastAsia="Palatino Linotype" w:cs="Palatino Linotype"/>
          <w:b/>
          <w:bCs/>
          <w:color w:val="000000"/>
          <w:szCs w:val="24"/>
        </w:rPr>
        <w:t>.pdf</w:t>
      </w:r>
      <w:proofErr w:type="gramEnd"/>
      <w:r w:rsidRPr="00E94535">
        <w:rPr>
          <w:rFonts w:eastAsia="Palatino Linotype" w:cs="Palatino Linotype"/>
          <w:b/>
          <w:bCs/>
          <w:color w:val="000000"/>
          <w:szCs w:val="24"/>
        </w:rPr>
        <w:t>”</w:t>
      </w:r>
      <w:r>
        <w:rPr>
          <w:rFonts w:eastAsia="Palatino Linotype" w:cs="Palatino Linotype"/>
          <w:color w:val="000000"/>
          <w:szCs w:val="24"/>
        </w:rPr>
        <w:t xml:space="preserve">, </w:t>
      </w:r>
      <w:r w:rsidRPr="00E94535">
        <w:rPr>
          <w:rFonts w:eastAsia="Palatino Linotype" w:cs="Palatino Linotype"/>
          <w:b/>
          <w:bCs/>
          <w:color w:val="000000"/>
          <w:szCs w:val="24"/>
        </w:rPr>
        <w:t>“</w:t>
      </w:r>
      <w:proofErr w:type="spellStart"/>
      <w:r w:rsidRPr="00E94535">
        <w:rPr>
          <w:rFonts w:eastAsia="Palatino Linotype" w:cs="Palatino Linotype"/>
          <w:b/>
          <w:bCs/>
          <w:color w:val="000000"/>
          <w:szCs w:val="24"/>
        </w:rPr>
        <w:t>Resp</w:t>
      </w:r>
      <w:proofErr w:type="spellEnd"/>
      <w:r w:rsidRPr="00E94535">
        <w:rPr>
          <w:rFonts w:eastAsia="Palatino Linotype" w:cs="Palatino Linotype"/>
          <w:b/>
          <w:bCs/>
          <w:color w:val="000000"/>
          <w:szCs w:val="24"/>
        </w:rPr>
        <w:t xml:space="preserve">. </w:t>
      </w:r>
      <w:proofErr w:type="spellStart"/>
      <w:r w:rsidRPr="00E94535">
        <w:rPr>
          <w:rFonts w:eastAsia="Palatino Linotype" w:cs="Palatino Linotype"/>
          <w:b/>
          <w:bCs/>
          <w:color w:val="000000"/>
          <w:szCs w:val="24"/>
        </w:rPr>
        <w:t>Info</w:t>
      </w:r>
      <w:proofErr w:type="spellEnd"/>
      <w:r w:rsidRPr="00E94535">
        <w:rPr>
          <w:rFonts w:eastAsia="Palatino Linotype" w:cs="Palatino Linotype"/>
          <w:b/>
          <w:bCs/>
          <w:color w:val="000000"/>
          <w:szCs w:val="24"/>
        </w:rPr>
        <w:t xml:space="preserve"> 168.pdf”</w:t>
      </w:r>
      <w:r>
        <w:rPr>
          <w:rFonts w:eastAsia="Palatino Linotype" w:cs="Palatino Linotype"/>
          <w:color w:val="000000"/>
          <w:szCs w:val="24"/>
        </w:rPr>
        <w:t xml:space="preserve">, </w:t>
      </w:r>
      <w:r w:rsidRPr="00E94535">
        <w:rPr>
          <w:rFonts w:eastAsia="Palatino Linotype" w:cs="Palatino Linotype"/>
          <w:b/>
          <w:bCs/>
          <w:color w:val="000000"/>
          <w:szCs w:val="24"/>
        </w:rPr>
        <w:t>“Acta 19.pdf</w:t>
      </w:r>
      <w:r w:rsidR="00E94535" w:rsidRPr="00E94535">
        <w:rPr>
          <w:rFonts w:eastAsia="Palatino Linotype" w:cs="Palatino Linotype"/>
          <w:b/>
          <w:bCs/>
          <w:color w:val="000000"/>
          <w:szCs w:val="24"/>
        </w:rPr>
        <w:t>”, “</w:t>
      </w:r>
      <w:r w:rsidRPr="00E94535">
        <w:rPr>
          <w:rFonts w:eastAsia="Palatino Linotype" w:cs="Palatino Linotype"/>
          <w:b/>
          <w:bCs/>
          <w:color w:val="000000"/>
          <w:szCs w:val="24"/>
        </w:rPr>
        <w:t xml:space="preserve">Informe </w:t>
      </w:r>
      <w:proofErr w:type="spellStart"/>
      <w:r w:rsidRPr="00E94535">
        <w:rPr>
          <w:rFonts w:eastAsia="Palatino Linotype" w:cs="Palatino Linotype"/>
          <w:b/>
          <w:bCs/>
          <w:color w:val="000000"/>
          <w:szCs w:val="24"/>
        </w:rPr>
        <w:t>Jus</w:t>
      </w:r>
      <w:proofErr w:type="spellEnd"/>
      <w:r w:rsidRPr="00E94535">
        <w:rPr>
          <w:rFonts w:eastAsia="Palatino Linotype" w:cs="Palatino Linotype"/>
          <w:b/>
          <w:bCs/>
          <w:color w:val="000000"/>
          <w:szCs w:val="24"/>
        </w:rPr>
        <w:t>. 168</w:t>
      </w:r>
      <w:proofErr w:type="gramStart"/>
      <w:r w:rsidRPr="00E94535">
        <w:rPr>
          <w:rFonts w:eastAsia="Palatino Linotype" w:cs="Palatino Linotype"/>
          <w:b/>
          <w:bCs/>
          <w:color w:val="000000"/>
          <w:szCs w:val="24"/>
        </w:rPr>
        <w:t>.pdf</w:t>
      </w:r>
      <w:proofErr w:type="gramEnd"/>
      <w:r w:rsidR="00E94535" w:rsidRPr="00E94535">
        <w:rPr>
          <w:rFonts w:eastAsia="Palatino Linotype" w:cs="Palatino Linotype"/>
          <w:b/>
          <w:bCs/>
          <w:color w:val="000000"/>
          <w:szCs w:val="24"/>
        </w:rPr>
        <w:t>”</w:t>
      </w:r>
      <w:r w:rsidR="00E94535">
        <w:rPr>
          <w:rFonts w:eastAsia="Palatino Linotype" w:cs="Palatino Linotype"/>
          <w:color w:val="000000"/>
          <w:szCs w:val="24"/>
        </w:rPr>
        <w:t>, “</w:t>
      </w:r>
      <w:r w:rsidRPr="00E94535">
        <w:rPr>
          <w:rFonts w:eastAsia="Palatino Linotype" w:cs="Palatino Linotype"/>
          <w:b/>
          <w:bCs/>
          <w:color w:val="000000"/>
          <w:szCs w:val="24"/>
        </w:rPr>
        <w:t xml:space="preserve">Sol </w:t>
      </w:r>
      <w:proofErr w:type="spellStart"/>
      <w:r w:rsidRPr="00E94535">
        <w:rPr>
          <w:rFonts w:eastAsia="Palatino Linotype" w:cs="Palatino Linotype"/>
          <w:b/>
          <w:bCs/>
          <w:color w:val="000000"/>
          <w:szCs w:val="24"/>
        </w:rPr>
        <w:t>Info</w:t>
      </w:r>
      <w:proofErr w:type="spellEnd"/>
      <w:r w:rsidRPr="00E94535">
        <w:rPr>
          <w:rFonts w:eastAsia="Palatino Linotype" w:cs="Palatino Linotype"/>
          <w:b/>
          <w:bCs/>
          <w:color w:val="000000"/>
          <w:szCs w:val="24"/>
        </w:rPr>
        <w:t xml:space="preserve"> 178.pdf</w:t>
      </w:r>
      <w:r w:rsidR="00E94535" w:rsidRPr="00E94535">
        <w:rPr>
          <w:rFonts w:eastAsia="Palatino Linotype" w:cs="Palatino Linotype"/>
          <w:b/>
          <w:bCs/>
          <w:color w:val="000000"/>
          <w:szCs w:val="24"/>
        </w:rPr>
        <w:t>”</w:t>
      </w:r>
      <w:r w:rsidR="00E94535">
        <w:rPr>
          <w:rFonts w:eastAsia="Palatino Linotype" w:cs="Palatino Linotype"/>
          <w:color w:val="000000"/>
          <w:szCs w:val="24"/>
        </w:rPr>
        <w:t>,</w:t>
      </w:r>
      <w:r w:rsidRPr="00290730">
        <w:rPr>
          <w:rFonts w:eastAsia="Palatino Linotype" w:cs="Palatino Linotype"/>
          <w:color w:val="000000"/>
          <w:szCs w:val="24"/>
        </w:rPr>
        <w:t xml:space="preserve"> </w:t>
      </w:r>
      <w:r w:rsidR="00E94535" w:rsidRPr="00E94535">
        <w:rPr>
          <w:rFonts w:eastAsia="Palatino Linotype" w:cs="Palatino Linotype"/>
          <w:b/>
          <w:bCs/>
          <w:color w:val="000000"/>
          <w:szCs w:val="24"/>
        </w:rPr>
        <w:t>“</w:t>
      </w:r>
      <w:proofErr w:type="spellStart"/>
      <w:r w:rsidR="00E94535" w:rsidRPr="00E94535">
        <w:rPr>
          <w:rFonts w:eastAsia="Palatino Linotype" w:cs="Palatino Linotype"/>
          <w:b/>
          <w:bCs/>
          <w:color w:val="000000"/>
          <w:szCs w:val="24"/>
        </w:rPr>
        <w:t>Resp</w:t>
      </w:r>
      <w:proofErr w:type="spellEnd"/>
      <w:r w:rsidR="00E94535" w:rsidRPr="00E94535">
        <w:rPr>
          <w:rFonts w:eastAsia="Palatino Linotype" w:cs="Palatino Linotype"/>
          <w:b/>
          <w:bCs/>
          <w:color w:val="000000"/>
          <w:szCs w:val="24"/>
        </w:rPr>
        <w:t xml:space="preserve"> Sol </w:t>
      </w:r>
      <w:proofErr w:type="spellStart"/>
      <w:r w:rsidR="00E94535" w:rsidRPr="00E94535">
        <w:rPr>
          <w:rFonts w:eastAsia="Palatino Linotype" w:cs="Palatino Linotype"/>
          <w:b/>
          <w:bCs/>
          <w:color w:val="000000"/>
          <w:szCs w:val="24"/>
        </w:rPr>
        <w:t>Info</w:t>
      </w:r>
      <w:proofErr w:type="spellEnd"/>
      <w:r w:rsidR="00E94535" w:rsidRPr="00E94535">
        <w:rPr>
          <w:rFonts w:eastAsia="Palatino Linotype" w:cs="Palatino Linotype"/>
          <w:b/>
          <w:bCs/>
          <w:color w:val="000000"/>
          <w:szCs w:val="24"/>
        </w:rPr>
        <w:t xml:space="preserve"> 178.pdf”</w:t>
      </w:r>
      <w:r w:rsidR="00E94535">
        <w:rPr>
          <w:rFonts w:eastAsia="Palatino Linotype" w:cs="Palatino Linotype"/>
          <w:color w:val="000000"/>
          <w:szCs w:val="24"/>
        </w:rPr>
        <w:t xml:space="preserve"> y </w:t>
      </w:r>
      <w:r w:rsidR="00E94535" w:rsidRPr="00E94535">
        <w:rPr>
          <w:rFonts w:eastAsia="Palatino Linotype" w:cs="Palatino Linotype"/>
          <w:b/>
          <w:bCs/>
          <w:color w:val="000000"/>
          <w:szCs w:val="24"/>
        </w:rPr>
        <w:t>“</w:t>
      </w:r>
      <w:r w:rsidRPr="00E94535">
        <w:rPr>
          <w:rFonts w:eastAsia="Palatino Linotype" w:cs="Palatino Linotype"/>
          <w:b/>
          <w:bCs/>
          <w:color w:val="000000"/>
          <w:szCs w:val="24"/>
        </w:rPr>
        <w:t>Acta Vigésimo Primera.pdf</w:t>
      </w:r>
      <w:r w:rsidR="00E94535" w:rsidRPr="00E94535">
        <w:rPr>
          <w:rFonts w:eastAsia="Palatino Linotype" w:cs="Palatino Linotype"/>
          <w:b/>
          <w:bCs/>
          <w:color w:val="000000"/>
          <w:szCs w:val="24"/>
        </w:rPr>
        <w:t>”</w:t>
      </w:r>
      <w:r w:rsidR="00E94535">
        <w:rPr>
          <w:rFonts w:eastAsia="Palatino Linotype" w:cs="Palatino Linotype"/>
          <w:color w:val="000000"/>
          <w:szCs w:val="24"/>
        </w:rPr>
        <w:t>, los cuales no se reproducen por ser del conocimiento de las partes; no obstante, se hará mérito de su contenido en el estudio correspondiente.</w:t>
      </w:r>
    </w:p>
    <w:p w14:paraId="423FFB5F" w14:textId="77777777" w:rsidR="00290730" w:rsidRPr="00C87D3E"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C87D3E" w:rsidRDefault="005C5AEA" w:rsidP="0078246A">
      <w:pPr>
        <w:pStyle w:val="Ttulo2"/>
        <w:rPr>
          <w:rFonts w:eastAsia="Palatino Linotype"/>
          <w:sz w:val="24"/>
          <w:szCs w:val="24"/>
        </w:rPr>
      </w:pPr>
      <w:r w:rsidRPr="00C87D3E">
        <w:rPr>
          <w:rFonts w:eastAsia="Palatino Linotype"/>
          <w:sz w:val="24"/>
          <w:szCs w:val="24"/>
        </w:rPr>
        <w:t>TERCERO</w:t>
      </w:r>
      <w:r w:rsidR="00A970D5" w:rsidRPr="00C87D3E">
        <w:rPr>
          <w:rFonts w:eastAsia="Palatino Linotype"/>
          <w:sz w:val="24"/>
          <w:szCs w:val="24"/>
        </w:rPr>
        <w:t>. Del recurso de revisión.</w:t>
      </w:r>
    </w:p>
    <w:p w14:paraId="0C8C3A2F" w14:textId="0B22F847" w:rsidR="00A970D5" w:rsidRPr="00C87D3E" w:rsidRDefault="00A970D5" w:rsidP="00A970D5">
      <w:pPr>
        <w:pBdr>
          <w:top w:val="nil"/>
          <w:left w:val="nil"/>
          <w:bottom w:val="nil"/>
          <w:right w:val="nil"/>
          <w:between w:val="nil"/>
        </w:pBdr>
        <w:contextualSpacing/>
        <w:rPr>
          <w:rFonts w:eastAsia="Palatino Linotype" w:cs="Palatino Linotype"/>
          <w:color w:val="000000"/>
          <w:szCs w:val="24"/>
        </w:rPr>
      </w:pPr>
      <w:r w:rsidRPr="00C87D3E">
        <w:rPr>
          <w:rFonts w:eastAsia="Palatino Linotype" w:cs="Palatino Linotype"/>
          <w:color w:val="000000"/>
          <w:szCs w:val="24"/>
        </w:rPr>
        <w:t>Inconforme con la respuesta em</w:t>
      </w:r>
      <w:r w:rsidR="00A06896" w:rsidRPr="00C87D3E">
        <w:rPr>
          <w:rFonts w:eastAsia="Palatino Linotype" w:cs="Palatino Linotype"/>
          <w:color w:val="000000"/>
          <w:szCs w:val="24"/>
        </w:rPr>
        <w:t>itida por el Sujeto Obligado, el</w:t>
      </w:r>
      <w:r w:rsidRPr="00C87D3E">
        <w:rPr>
          <w:rFonts w:eastAsia="Palatino Linotype" w:cs="Palatino Linotype"/>
          <w:color w:val="000000"/>
          <w:szCs w:val="24"/>
        </w:rPr>
        <w:t xml:space="preserve"> Recurrente interpuso el presente recurso de revisión e</w:t>
      </w:r>
      <w:r w:rsidR="008B2951" w:rsidRPr="00C87D3E">
        <w:rPr>
          <w:rFonts w:eastAsia="Palatino Linotype" w:cs="Palatino Linotype"/>
          <w:color w:val="000000"/>
          <w:szCs w:val="24"/>
        </w:rPr>
        <w:t xml:space="preserve">l día </w:t>
      </w:r>
      <w:r w:rsidR="00E94535" w:rsidRPr="00C87D3E">
        <w:rPr>
          <w:rFonts w:eastAsia="Palatino Linotype" w:cs="Palatino Linotype"/>
          <w:color w:val="000000"/>
          <w:szCs w:val="24"/>
        </w:rPr>
        <w:t>tres de mayo</w:t>
      </w:r>
      <w:r w:rsidR="005C5AEA" w:rsidRPr="00C87D3E">
        <w:rPr>
          <w:rFonts w:eastAsia="Palatino Linotype" w:cs="Palatino Linotype"/>
          <w:color w:val="000000"/>
          <w:szCs w:val="24"/>
        </w:rPr>
        <w:t xml:space="preserve"> </w:t>
      </w:r>
      <w:r w:rsidR="00285A94" w:rsidRPr="00C87D3E">
        <w:rPr>
          <w:rFonts w:eastAsia="Palatino Linotype" w:cs="Palatino Linotype"/>
          <w:color w:val="000000"/>
          <w:szCs w:val="24"/>
        </w:rPr>
        <w:t>de dos mil veintidós</w:t>
      </w:r>
      <w:r w:rsidRPr="00C87D3E">
        <w:rPr>
          <w:rFonts w:eastAsia="Palatino Linotype" w:cs="Palatino Linotype"/>
          <w:color w:val="000000"/>
          <w:szCs w:val="24"/>
        </w:rPr>
        <w:t xml:space="preserve">, el cual se registró con el expediente </w:t>
      </w:r>
      <w:r w:rsidR="008B2951" w:rsidRPr="00C87D3E">
        <w:rPr>
          <w:rFonts w:eastAsia="Palatino Linotype" w:cs="Palatino Linotype"/>
          <w:b/>
          <w:color w:val="000000"/>
          <w:szCs w:val="24"/>
        </w:rPr>
        <w:t>0</w:t>
      </w:r>
      <w:r w:rsidR="00E94535" w:rsidRPr="00C87D3E">
        <w:rPr>
          <w:rFonts w:eastAsia="Palatino Linotype" w:cs="Palatino Linotype"/>
          <w:b/>
          <w:color w:val="000000"/>
          <w:szCs w:val="24"/>
        </w:rPr>
        <w:t>6910</w:t>
      </w:r>
      <w:r w:rsidRPr="00C87D3E">
        <w:rPr>
          <w:rFonts w:eastAsia="Palatino Linotype" w:cs="Palatino Linotype"/>
          <w:b/>
          <w:color w:val="000000"/>
          <w:szCs w:val="24"/>
        </w:rPr>
        <w:t>/INFOEM/IP/RR/202</w:t>
      </w:r>
      <w:r w:rsidR="00285A94" w:rsidRPr="00C87D3E">
        <w:rPr>
          <w:rFonts w:eastAsia="Palatino Linotype" w:cs="Palatino Linotype"/>
          <w:b/>
          <w:color w:val="000000"/>
          <w:szCs w:val="24"/>
        </w:rPr>
        <w:t>2</w:t>
      </w:r>
      <w:r w:rsidR="00A06896" w:rsidRPr="00C87D3E">
        <w:rPr>
          <w:rFonts w:eastAsia="Palatino Linotype" w:cs="Palatino Linotype"/>
          <w:color w:val="000000"/>
          <w:szCs w:val="24"/>
        </w:rPr>
        <w:t>, en el cual</w:t>
      </w:r>
      <w:r w:rsidRPr="00C87D3E">
        <w:rPr>
          <w:rFonts w:eastAsia="Palatino Linotype" w:cs="Palatino Linotype"/>
          <w:color w:val="000000"/>
          <w:szCs w:val="24"/>
        </w:rPr>
        <w:t xml:space="preserve"> manifestó lo siguient</w:t>
      </w:r>
      <w:r w:rsidR="00290730" w:rsidRPr="00C87D3E">
        <w:rPr>
          <w:rFonts w:eastAsia="Palatino Linotype" w:cs="Palatino Linotype"/>
          <w:color w:val="000000"/>
          <w:szCs w:val="24"/>
        </w:rPr>
        <w:t>e</w:t>
      </w:r>
      <w:r w:rsidRPr="00C87D3E">
        <w:rPr>
          <w:rFonts w:eastAsia="Palatino Linotype" w:cs="Palatino Linotype"/>
          <w:color w:val="000000"/>
          <w:szCs w:val="24"/>
        </w:rPr>
        <w:t>:</w:t>
      </w:r>
    </w:p>
    <w:p w14:paraId="7AA0C9F4" w14:textId="046134A0" w:rsidR="00A970D5" w:rsidRPr="00C87D3E"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87D3E" w:rsidRDefault="00A970D5" w:rsidP="00004014">
      <w:pPr>
        <w:contextualSpacing/>
        <w:rPr>
          <w:rFonts w:eastAsia="Palatino Linotype" w:cs="Palatino Linotype"/>
          <w:b/>
          <w:szCs w:val="24"/>
        </w:rPr>
      </w:pPr>
      <w:r w:rsidRPr="00C87D3E">
        <w:rPr>
          <w:rFonts w:eastAsia="Palatino Linotype" w:cs="Palatino Linotype"/>
          <w:b/>
          <w:szCs w:val="24"/>
        </w:rPr>
        <w:t>Acto Impugnado:</w:t>
      </w:r>
      <w:r w:rsidR="00655007" w:rsidRPr="00C87D3E">
        <w:rPr>
          <w:rFonts w:eastAsia="Palatino Linotype" w:cs="Palatino Linotype"/>
          <w:b/>
          <w:szCs w:val="24"/>
        </w:rPr>
        <w:t xml:space="preserve"> </w:t>
      </w:r>
    </w:p>
    <w:p w14:paraId="4A0EFE5A" w14:textId="19FA383C" w:rsidR="00A970D5" w:rsidRPr="007657CF" w:rsidRDefault="00A970D5" w:rsidP="00E94535">
      <w:pPr>
        <w:pStyle w:val="Fundamentos"/>
        <w:rPr>
          <w:b/>
        </w:rPr>
      </w:pPr>
      <w:r w:rsidRPr="007657CF">
        <w:t>“</w:t>
      </w:r>
      <w:r w:rsidR="00E94535">
        <w:t xml:space="preserve">no hacen entrega de la información solicitada relativa al 2022, argumentando que no se ha autorizado el </w:t>
      </w:r>
      <w:proofErr w:type="gramStart"/>
      <w:r w:rsidR="00E94535">
        <w:t>presupuesto ,</w:t>
      </w:r>
      <w:proofErr w:type="gramEnd"/>
      <w:r w:rsidR="00E94535">
        <w:t xml:space="preserve"> ¿ </w:t>
      </w:r>
      <w:proofErr w:type="spellStart"/>
      <w:r w:rsidR="00E94535">
        <w:t>que</w:t>
      </w:r>
      <w:proofErr w:type="spellEnd"/>
      <w:r w:rsidR="00E94535">
        <w:t xml:space="preserve"> hay del ´presupuesto d</w:t>
      </w:r>
      <w:r w:rsidR="00A34D4B">
        <w:t xml:space="preserve">e </w:t>
      </w:r>
      <w:r w:rsidR="00E94535">
        <w:t>egresos 2022? publicado el 5 de febrero del año en curso</w:t>
      </w:r>
      <w:r w:rsidRPr="007657CF">
        <w:t>"(Sic)</w:t>
      </w:r>
    </w:p>
    <w:p w14:paraId="3C40A441" w14:textId="77777777" w:rsidR="00A970D5" w:rsidRPr="00C87D3E"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6D9AAF0D" w:rsidR="00A970D5" w:rsidRPr="007657CF" w:rsidRDefault="00E94535" w:rsidP="00E94535">
      <w:pPr>
        <w:pStyle w:val="Fundamentos"/>
      </w:pPr>
      <w:r>
        <w:t xml:space="preserve">“no hacen entrega de la información solicitada relativa al 2022, argumentando que no se ha autorizado el </w:t>
      </w:r>
      <w:proofErr w:type="gramStart"/>
      <w:r>
        <w:t>presupuesto ,</w:t>
      </w:r>
      <w:proofErr w:type="gramEnd"/>
      <w:r>
        <w:t xml:space="preserve"> ¿ </w:t>
      </w:r>
      <w:proofErr w:type="spellStart"/>
      <w:r>
        <w:t>que</w:t>
      </w:r>
      <w:proofErr w:type="spellEnd"/>
      <w:r>
        <w:t xml:space="preserve"> hay del ´presupuesto de</w:t>
      </w:r>
      <w:r w:rsidR="00A34D4B">
        <w:t xml:space="preserve"> </w:t>
      </w:r>
      <w:r>
        <w:t>egresos 2022? publicado el 5 de febrero del año en curso</w:t>
      </w:r>
      <w:r w:rsidR="00A970D5" w:rsidRPr="007657CF">
        <w:t>” (Sic)</w:t>
      </w:r>
    </w:p>
    <w:p w14:paraId="15C97920" w14:textId="77777777" w:rsidR="00655007" w:rsidRPr="007657CF"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10565CD9"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FC0F87">
        <w:rPr>
          <w:rFonts w:eastAsia="Palatino Linotype" w:cs="Palatino Linotype"/>
          <w:color w:val="000000"/>
          <w:szCs w:val="24"/>
        </w:rPr>
        <w:t xml:space="preserve">nueve de mayo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lastRenderedPageBreak/>
        <w:t>QUIN</w:t>
      </w:r>
      <w:r w:rsidR="00A970D5" w:rsidRPr="007657CF">
        <w:rPr>
          <w:rFonts w:eastAsia="Palatino Linotype"/>
        </w:rPr>
        <w:t>TO. De la etapa de instrucción.</w:t>
      </w:r>
    </w:p>
    <w:p w14:paraId="54E0C269" w14:textId="7351E912" w:rsidR="006A53BF" w:rsidRPr="007657CF" w:rsidRDefault="006A53BF" w:rsidP="006A53BF">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r w:rsidR="00C87D3E">
        <w:rPr>
          <w:rFonts w:eastAsia="Palatino Linotype" w:cs="Palatino Linotype"/>
          <w:color w:val="000000"/>
          <w:szCs w:val="24"/>
        </w:rPr>
        <w:t xml:space="preserve"> </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58817F49"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una vez 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FC0F87">
        <w:rPr>
          <w:rFonts w:eastAsia="Palatino Linotype" w:cs="Palatino Linotype"/>
          <w:color w:val="000000"/>
          <w:szCs w:val="24"/>
        </w:rPr>
        <w:t>diecinueve</w:t>
      </w:r>
      <w:r w:rsidR="00E27953" w:rsidRPr="007657CF">
        <w:rPr>
          <w:rFonts w:eastAsia="Palatino Linotype" w:cs="Palatino Linotype"/>
          <w:color w:val="000000"/>
          <w:szCs w:val="24"/>
        </w:rPr>
        <w:t xml:space="preserve"> de mayo</w:t>
      </w:r>
      <w:r w:rsidR="004579DC"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5A6318C0"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112829">
        <w:rPr>
          <w:rFonts w:eastAsiaTheme="minorHAnsi" w:cstheme="minorBidi"/>
          <w:szCs w:val="24"/>
          <w:lang w:eastAsia="en-US"/>
        </w:rPr>
        <w:t>veinte</w:t>
      </w:r>
      <w:r w:rsidR="009F1E25" w:rsidRPr="007657CF">
        <w:rPr>
          <w:rFonts w:eastAsiaTheme="minorHAnsi" w:cstheme="minorBidi"/>
          <w:szCs w:val="24"/>
          <w:lang w:eastAsia="en-US"/>
        </w:rPr>
        <w:t xml:space="preserve"> de </w:t>
      </w:r>
      <w:r w:rsidR="006F22DE" w:rsidRPr="007657CF">
        <w:rPr>
          <w:rFonts w:eastAsiaTheme="minorHAnsi" w:cstheme="minorBidi"/>
          <w:szCs w:val="24"/>
          <w:lang w:eastAsia="en-US"/>
        </w:rPr>
        <w:t>junio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w:t>
      </w:r>
      <w:proofErr w:type="gramStart"/>
      <w:r w:rsidRPr="007657CF">
        <w:rPr>
          <w:rFonts w:eastAsiaTheme="minorHAnsi" w:cstheme="minorBidi"/>
          <w:szCs w:val="24"/>
          <w:lang w:eastAsia="en-US"/>
        </w:rPr>
        <w:t>./</w:t>
      </w:r>
      <w:proofErr w:type="gramEnd"/>
      <w:r w:rsidRPr="007657CF">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657CF">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112829">
        <w:rPr>
          <w:rFonts w:eastAsiaTheme="minorHAnsi" w:cstheme="minorBidi"/>
          <w:szCs w:val="24"/>
          <w:lang w:eastAsia="en-US"/>
        </w:rPr>
        <w:t xml:space="preserve">. </w:t>
      </w: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7657CF">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1C89F0DA" w14:textId="77777777" w:rsidR="00757B6A" w:rsidRPr="004709D0" w:rsidRDefault="00757B6A" w:rsidP="00757B6A">
      <w:pPr>
        <w:pStyle w:val="Ttulo2"/>
        <w:rPr>
          <w:rFonts w:eastAsia="Palatino Linotype"/>
        </w:rPr>
      </w:pPr>
      <w:r w:rsidRPr="004709D0">
        <w:rPr>
          <w:rFonts w:eastAsia="Palatino Linotype"/>
        </w:rPr>
        <w:t>TERCERO. Cuestiones de previo y especial pronunciamiento.</w:t>
      </w:r>
    </w:p>
    <w:p w14:paraId="72E98993" w14:textId="77777777" w:rsidR="00757B6A" w:rsidRPr="004709D0" w:rsidRDefault="00757B6A" w:rsidP="00757B6A">
      <w:pPr>
        <w:contextualSpacing/>
        <w:rPr>
          <w:rFonts w:eastAsia="Palatino Linotype" w:cs="Palatino Linotype"/>
          <w:szCs w:val="24"/>
        </w:rPr>
      </w:pPr>
      <w:r w:rsidRPr="004709D0">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044FB6F4" w14:textId="77777777" w:rsidR="00757B6A" w:rsidRPr="004709D0" w:rsidRDefault="00757B6A" w:rsidP="00757B6A">
      <w:pPr>
        <w:contextualSpacing/>
        <w:rPr>
          <w:rFonts w:eastAsia="Palatino Linotype" w:cs="Palatino Linotype"/>
          <w:szCs w:val="24"/>
        </w:rPr>
      </w:pPr>
    </w:p>
    <w:p w14:paraId="012A6D82"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lastRenderedPageBreak/>
        <w:t xml:space="preserve">Artículo 180. </w:t>
      </w:r>
      <w:r w:rsidRPr="004709D0">
        <w:rPr>
          <w:rFonts w:eastAsia="Palatino Linotype" w:cs="Palatino Linotype"/>
          <w:i/>
          <w:sz w:val="22"/>
        </w:rPr>
        <w:t>El recurso de revisión contendrá:</w:t>
      </w:r>
    </w:p>
    <w:p w14:paraId="53B7D6E9"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I. El sujeto obligado ante la cual se presentó la solicitud;</w:t>
      </w:r>
    </w:p>
    <w:p w14:paraId="4EBC9BCF"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II. El nombre del solicitante que recurre</w:t>
      </w:r>
      <w:r w:rsidRPr="004709D0">
        <w:rPr>
          <w:rFonts w:eastAsia="Palatino Linotype" w:cs="Palatino Linotype"/>
          <w:i/>
          <w:sz w:val="22"/>
        </w:rPr>
        <w:t xml:space="preserve"> o de su representante y, en su caso, del tercero interesado, así como la dirección o medio que señale para recibir notificaciones;</w:t>
      </w:r>
    </w:p>
    <w:p w14:paraId="34B24079"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III. El número de folio de respuesta de la solicitud de acceso;</w:t>
      </w:r>
    </w:p>
    <w:p w14:paraId="3560277E"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IV. La fecha en que fue notificada la respuesta al solicitante o tuvo conocimiento del acto reclamado, o de presentación de la solicitud, en caso de falta de respuesta;</w:t>
      </w:r>
    </w:p>
    <w:p w14:paraId="44D7D5D4"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V. El acto que se recurre;</w:t>
      </w:r>
    </w:p>
    <w:p w14:paraId="273303AE"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VI. Las razones o motivos de inconformidad;</w:t>
      </w:r>
    </w:p>
    <w:p w14:paraId="6B20DFA2"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VII. La copia de la respuesta que se impugna y, en su caso, de la notificación correspondiente, en el caso de respuesta de la solicitud; y</w:t>
      </w:r>
    </w:p>
    <w:p w14:paraId="6730373F"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VIII. Firma del recurrente, en su caso, cuando se presente por escrito, requisito sin el cual se dará trámite al recurso.</w:t>
      </w:r>
    </w:p>
    <w:p w14:paraId="3FC44D38" w14:textId="77777777" w:rsidR="00757B6A" w:rsidRPr="004709D0" w:rsidRDefault="00757B6A" w:rsidP="00757B6A">
      <w:pPr>
        <w:spacing w:line="240" w:lineRule="auto"/>
        <w:ind w:left="567" w:right="567"/>
        <w:contextualSpacing/>
        <w:rPr>
          <w:rFonts w:eastAsia="Palatino Linotype" w:cs="Palatino Linotype"/>
          <w:i/>
          <w:sz w:val="22"/>
        </w:rPr>
      </w:pPr>
    </w:p>
    <w:p w14:paraId="68D3354F"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Adicionalmente, se podrán anexar las pruebas y demás elementos que considere procedentes someter a juicio del Instituto.</w:t>
      </w:r>
    </w:p>
    <w:p w14:paraId="09B0FAFC" w14:textId="77777777" w:rsidR="00757B6A" w:rsidRPr="004709D0" w:rsidRDefault="00757B6A" w:rsidP="00757B6A">
      <w:pPr>
        <w:spacing w:line="240" w:lineRule="auto"/>
        <w:ind w:left="567" w:right="567"/>
        <w:contextualSpacing/>
        <w:rPr>
          <w:rFonts w:eastAsia="Palatino Linotype" w:cs="Palatino Linotype"/>
          <w:i/>
          <w:sz w:val="22"/>
        </w:rPr>
      </w:pPr>
    </w:p>
    <w:p w14:paraId="65993C82"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En ningún caso será necesario que el particular ratifique el recurso de revisión interpuesto.</w:t>
      </w:r>
    </w:p>
    <w:p w14:paraId="42B33273" w14:textId="77777777" w:rsidR="00757B6A" w:rsidRPr="004709D0" w:rsidRDefault="00757B6A" w:rsidP="00757B6A">
      <w:pPr>
        <w:spacing w:line="240" w:lineRule="auto"/>
        <w:ind w:left="567" w:right="567"/>
        <w:contextualSpacing/>
        <w:rPr>
          <w:rFonts w:eastAsia="Palatino Linotype" w:cs="Palatino Linotype"/>
          <w:i/>
          <w:sz w:val="22"/>
        </w:rPr>
      </w:pPr>
    </w:p>
    <w:p w14:paraId="6FA33CD7"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En caso de que el recurso se interponga de manera electrónica no será indispensable que contengan los requisitos establecidos en las fracciones II</w:t>
      </w:r>
      <w:r w:rsidRPr="004709D0">
        <w:rPr>
          <w:rFonts w:eastAsia="Palatino Linotype" w:cs="Palatino Linotype"/>
          <w:i/>
          <w:sz w:val="22"/>
        </w:rPr>
        <w:t>, IV, VII y VIII.</w:t>
      </w:r>
    </w:p>
    <w:p w14:paraId="646206DA" w14:textId="77777777" w:rsidR="00757B6A" w:rsidRPr="004709D0" w:rsidRDefault="00757B6A" w:rsidP="00757B6A">
      <w:pPr>
        <w:contextualSpacing/>
        <w:rPr>
          <w:rFonts w:eastAsia="Palatino Linotype" w:cs="Palatino Linotype"/>
          <w:b/>
          <w:i/>
          <w:szCs w:val="24"/>
        </w:rPr>
      </w:pPr>
    </w:p>
    <w:p w14:paraId="1FADD80D" w14:textId="77777777" w:rsidR="00757B6A" w:rsidRPr="004709D0" w:rsidRDefault="00757B6A" w:rsidP="00757B6A">
      <w:pPr>
        <w:contextualSpacing/>
        <w:rPr>
          <w:rFonts w:eastAsia="Palatino Linotype" w:cs="Palatino Linotype"/>
          <w:szCs w:val="24"/>
        </w:rPr>
      </w:pPr>
      <w:r w:rsidRPr="004709D0">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B46320D" w14:textId="77777777" w:rsidR="00757B6A" w:rsidRPr="004709D0" w:rsidRDefault="00757B6A" w:rsidP="00757B6A">
      <w:pPr>
        <w:contextualSpacing/>
        <w:rPr>
          <w:rFonts w:eastAsia="Palatino Linotype" w:cs="Palatino Linotype"/>
          <w:szCs w:val="24"/>
        </w:rPr>
      </w:pPr>
    </w:p>
    <w:p w14:paraId="7EFB19ED"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155.</w:t>
      </w:r>
      <w:r w:rsidRPr="004709D0">
        <w:rPr>
          <w:rFonts w:eastAsia="Palatino Linotype" w:cs="Palatino Linotype"/>
          <w:i/>
          <w:sz w:val="22"/>
        </w:rPr>
        <w:t xml:space="preserve"> (…)</w:t>
      </w:r>
    </w:p>
    <w:p w14:paraId="021E8706" w14:textId="77777777" w:rsidR="00757B6A" w:rsidRPr="004709D0" w:rsidRDefault="00757B6A" w:rsidP="00757B6A">
      <w:pPr>
        <w:spacing w:line="240" w:lineRule="auto"/>
        <w:ind w:left="567" w:right="567"/>
        <w:contextualSpacing/>
        <w:rPr>
          <w:rFonts w:eastAsia="Palatino Linotype" w:cs="Palatino Linotype"/>
          <w:i/>
          <w:sz w:val="22"/>
        </w:rPr>
      </w:pPr>
    </w:p>
    <w:p w14:paraId="682E9046"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Las solicitudes anónimas</w:t>
      </w:r>
      <w:r w:rsidRPr="004709D0">
        <w:rPr>
          <w:rFonts w:eastAsia="Palatino Linotype" w:cs="Palatino Linotype"/>
          <w:i/>
          <w:sz w:val="22"/>
        </w:rPr>
        <w:t xml:space="preserve">, con nombre incompleto o seudónimo </w:t>
      </w:r>
      <w:r w:rsidRPr="004709D0">
        <w:rPr>
          <w:rFonts w:eastAsia="Palatino Linotype" w:cs="Palatino Linotype"/>
          <w:b/>
          <w:i/>
          <w:sz w:val="22"/>
        </w:rPr>
        <w:t>serán procedentes para su trámite</w:t>
      </w:r>
      <w:r w:rsidRPr="004709D0">
        <w:rPr>
          <w:rFonts w:eastAsia="Palatino Linotype" w:cs="Palatino Linotype"/>
          <w:i/>
          <w:sz w:val="22"/>
        </w:rPr>
        <w:t xml:space="preserve"> por parte del sujeto obligado ante quien se presente. No podrá requerirse información adicional con motivo del nombre proporcionado por el solicitante.</w:t>
      </w:r>
    </w:p>
    <w:p w14:paraId="5D61B5E1" w14:textId="77777777" w:rsidR="00757B6A" w:rsidRPr="004709D0" w:rsidRDefault="00757B6A" w:rsidP="00757B6A">
      <w:pPr>
        <w:contextualSpacing/>
        <w:rPr>
          <w:rFonts w:eastAsia="Palatino Linotype" w:cs="Palatino Linotype"/>
          <w:szCs w:val="24"/>
        </w:rPr>
      </w:pPr>
    </w:p>
    <w:p w14:paraId="088B7187" w14:textId="77777777" w:rsidR="00757B6A" w:rsidRPr="004709D0" w:rsidRDefault="00757B6A" w:rsidP="00757B6A">
      <w:pPr>
        <w:contextualSpacing/>
        <w:rPr>
          <w:rFonts w:eastAsia="Palatino Linotype" w:cs="Palatino Linotype"/>
          <w:szCs w:val="24"/>
        </w:rPr>
      </w:pPr>
      <w:r w:rsidRPr="004709D0">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88EF406" w14:textId="77777777" w:rsidR="00757B6A" w:rsidRPr="004709D0" w:rsidRDefault="00757B6A" w:rsidP="00757B6A">
      <w:pPr>
        <w:contextualSpacing/>
        <w:rPr>
          <w:rFonts w:eastAsia="Palatino Linotype" w:cs="Palatino Linotype"/>
          <w:szCs w:val="24"/>
        </w:rPr>
      </w:pPr>
    </w:p>
    <w:p w14:paraId="4F347BEC" w14:textId="77777777" w:rsidR="00757B6A" w:rsidRPr="004709D0" w:rsidRDefault="00757B6A" w:rsidP="00757B6A">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 los Estados Unidos Mexicanos</w:t>
      </w:r>
    </w:p>
    <w:p w14:paraId="2B82DC3C"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6</w:t>
      </w:r>
      <w:r w:rsidRPr="004709D0">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47B8EC"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188E0862"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efectos de lo dispuesto en el presente artículo se observará lo siguiente: </w:t>
      </w:r>
    </w:p>
    <w:p w14:paraId="1BE4587E"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398CA"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4AA94E01"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5C226749"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2EE13D14" w14:textId="77777777" w:rsidR="00757B6A" w:rsidRPr="004709D0" w:rsidRDefault="00757B6A" w:rsidP="00757B6A">
      <w:pPr>
        <w:spacing w:line="240" w:lineRule="auto"/>
        <w:ind w:left="567" w:right="567"/>
        <w:contextualSpacing/>
        <w:rPr>
          <w:rFonts w:eastAsia="Palatino Linotype" w:cs="Palatino Linotype"/>
          <w:i/>
          <w:sz w:val="22"/>
        </w:rPr>
      </w:pPr>
    </w:p>
    <w:p w14:paraId="11F0EEC7" w14:textId="77777777" w:rsidR="00757B6A" w:rsidRPr="004709D0" w:rsidRDefault="00757B6A" w:rsidP="00757B6A">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del Estado Libre y Soberano de México</w:t>
      </w:r>
    </w:p>
    <w:p w14:paraId="6304F8D8"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5</w:t>
      </w:r>
      <w:r w:rsidRPr="004709D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0CB6B48"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26DF89D1"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68B6D68A"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lastRenderedPageBreak/>
        <w:t>(…)</w:t>
      </w:r>
    </w:p>
    <w:p w14:paraId="49514E24"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F2F8508" w14:textId="77777777" w:rsidR="00757B6A" w:rsidRPr="004709D0" w:rsidRDefault="00757B6A" w:rsidP="00757B6A">
      <w:pPr>
        <w:spacing w:line="240" w:lineRule="auto"/>
        <w:ind w:left="567" w:right="567"/>
        <w:contextualSpacing/>
        <w:rPr>
          <w:rFonts w:eastAsia="Palatino Linotype" w:cs="Palatino Linotype"/>
          <w:i/>
          <w:sz w:val="22"/>
        </w:rPr>
      </w:pPr>
    </w:p>
    <w:p w14:paraId="6D0F6875"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274792" w14:textId="77777777" w:rsidR="00757B6A" w:rsidRPr="004709D0" w:rsidRDefault="00757B6A" w:rsidP="00757B6A">
      <w:pPr>
        <w:spacing w:line="240" w:lineRule="auto"/>
        <w:ind w:left="567" w:right="567"/>
        <w:contextualSpacing/>
        <w:rPr>
          <w:rFonts w:eastAsia="Palatino Linotype" w:cs="Palatino Linotype"/>
          <w:i/>
          <w:sz w:val="22"/>
        </w:rPr>
      </w:pPr>
    </w:p>
    <w:p w14:paraId="14F15148"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Este derecho se regirá por los principios y bases siguientes:</w:t>
      </w:r>
    </w:p>
    <w:p w14:paraId="08C7F534"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7A167F4A"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III.</w:t>
      </w:r>
      <w:r w:rsidRPr="004709D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C1E2AF3"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IV.</w:t>
      </w:r>
      <w:r w:rsidRPr="004709D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C6289DD"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2B4FB81B"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VIII.</w:t>
      </w:r>
      <w:r w:rsidRPr="004709D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C56AEF7"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1482F454" w14:textId="77777777" w:rsidR="00757B6A" w:rsidRPr="004709D0" w:rsidRDefault="00757B6A" w:rsidP="00757B6A">
      <w:pPr>
        <w:ind w:left="567" w:right="567"/>
        <w:contextualSpacing/>
        <w:rPr>
          <w:rFonts w:eastAsia="Palatino Linotype" w:cs="Palatino Linotype"/>
          <w:szCs w:val="24"/>
        </w:rPr>
      </w:pPr>
    </w:p>
    <w:p w14:paraId="7EE3EFA3" w14:textId="77777777" w:rsidR="00757B6A" w:rsidRPr="004709D0" w:rsidRDefault="00757B6A" w:rsidP="00757B6A">
      <w:pPr>
        <w:ind w:right="49"/>
        <w:contextualSpacing/>
        <w:rPr>
          <w:rFonts w:eastAsia="Palatino Linotype" w:cs="Palatino Linotype"/>
          <w:szCs w:val="24"/>
        </w:rPr>
      </w:pPr>
      <w:r w:rsidRPr="004709D0">
        <w:rPr>
          <w:rFonts w:eastAsia="Palatino Linotype" w:cs="Palatino Linotype"/>
          <w:szCs w:val="24"/>
        </w:rPr>
        <w:t>Por otra parte, del contenido del artículo 1 de la Constitución Política de los Estados Unidos Mexicanos, se destaca lo siguiente:</w:t>
      </w:r>
    </w:p>
    <w:p w14:paraId="096D381B" w14:textId="77777777" w:rsidR="00757B6A" w:rsidRPr="004709D0" w:rsidRDefault="00757B6A" w:rsidP="00757B6A">
      <w:pPr>
        <w:spacing w:line="240" w:lineRule="auto"/>
        <w:ind w:left="567" w:right="567"/>
        <w:contextualSpacing/>
        <w:rPr>
          <w:rFonts w:eastAsia="Palatino Linotype" w:cs="Palatino Linotype"/>
          <w:szCs w:val="24"/>
        </w:rPr>
      </w:pPr>
    </w:p>
    <w:p w14:paraId="3E0E08E6"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1o</w:t>
      </w:r>
      <w:r w:rsidRPr="004709D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783606" w14:textId="77777777" w:rsidR="00757B6A" w:rsidRPr="004709D0" w:rsidRDefault="00757B6A" w:rsidP="00757B6A">
      <w:pPr>
        <w:spacing w:line="240" w:lineRule="auto"/>
        <w:ind w:left="567" w:right="567"/>
        <w:contextualSpacing/>
        <w:rPr>
          <w:rFonts w:eastAsia="Palatino Linotype" w:cs="Palatino Linotype"/>
          <w:i/>
          <w:sz w:val="22"/>
        </w:rPr>
      </w:pPr>
    </w:p>
    <w:p w14:paraId="0DBD4F30"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2939119" w14:textId="77777777" w:rsidR="00757B6A" w:rsidRPr="004709D0" w:rsidRDefault="00757B6A" w:rsidP="00757B6A">
      <w:pPr>
        <w:spacing w:line="240" w:lineRule="auto"/>
        <w:ind w:left="567" w:right="567"/>
        <w:contextualSpacing/>
        <w:rPr>
          <w:rFonts w:eastAsia="Palatino Linotype" w:cs="Palatino Linotype"/>
          <w:i/>
          <w:sz w:val="22"/>
        </w:rPr>
      </w:pPr>
    </w:p>
    <w:p w14:paraId="62322972" w14:textId="77777777" w:rsidR="00757B6A" w:rsidRPr="004709D0" w:rsidRDefault="00757B6A" w:rsidP="00757B6A">
      <w:pPr>
        <w:spacing w:line="240" w:lineRule="auto"/>
        <w:ind w:left="567" w:right="567"/>
        <w:contextualSpacing/>
        <w:rPr>
          <w:rFonts w:eastAsia="Palatino Linotype" w:cs="Palatino Linotype"/>
          <w:i/>
          <w:sz w:val="22"/>
        </w:rPr>
      </w:pPr>
      <w:r w:rsidRPr="004709D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6CF18D" w14:textId="77777777" w:rsidR="00757B6A" w:rsidRPr="004709D0" w:rsidRDefault="00757B6A" w:rsidP="00757B6A">
      <w:pPr>
        <w:ind w:left="567" w:right="567"/>
        <w:contextualSpacing/>
        <w:rPr>
          <w:rFonts w:eastAsia="Palatino Linotype" w:cs="Palatino Linotype"/>
          <w:szCs w:val="24"/>
        </w:rPr>
      </w:pPr>
    </w:p>
    <w:p w14:paraId="237B80B9" w14:textId="77777777" w:rsidR="00757B6A" w:rsidRPr="004709D0" w:rsidRDefault="00757B6A" w:rsidP="00757B6A">
      <w:pPr>
        <w:contextualSpacing/>
        <w:rPr>
          <w:rFonts w:eastAsia="Palatino Linotype" w:cs="Palatino Linotype"/>
          <w:szCs w:val="24"/>
        </w:rPr>
      </w:pPr>
      <w:r w:rsidRPr="004709D0">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405EC28" w14:textId="77777777" w:rsidR="00757B6A" w:rsidRPr="004709D0" w:rsidRDefault="00757B6A" w:rsidP="00757B6A">
      <w:pPr>
        <w:contextualSpacing/>
        <w:rPr>
          <w:rFonts w:eastAsia="Palatino Linotype" w:cs="Palatino Linotype"/>
          <w:szCs w:val="24"/>
        </w:rPr>
      </w:pPr>
    </w:p>
    <w:p w14:paraId="039FC994" w14:textId="0241A828" w:rsidR="00757B6A" w:rsidRDefault="00757B6A" w:rsidP="00757B6A">
      <w:pPr>
        <w:pBdr>
          <w:top w:val="nil"/>
          <w:left w:val="nil"/>
          <w:bottom w:val="nil"/>
          <w:right w:val="nil"/>
          <w:between w:val="nil"/>
        </w:pBdr>
        <w:contextualSpacing/>
        <w:rPr>
          <w:rFonts w:eastAsia="Palatino Linotype" w:cs="Palatino Linotype"/>
          <w:color w:val="000000"/>
          <w:szCs w:val="24"/>
        </w:rPr>
      </w:pPr>
      <w:r w:rsidRPr="004709D0">
        <w:rPr>
          <w:rFonts w:eastAsia="Palatino Linotype" w:cs="Palatino Linotype"/>
          <w:color w:val="000000"/>
          <w:szCs w:val="24"/>
        </w:rPr>
        <w:t xml:space="preserve">En conclusión, se cubrieron los requisitos de procedencia y </w:t>
      </w:r>
      <w:proofErr w:type="spellStart"/>
      <w:r w:rsidRPr="004709D0">
        <w:rPr>
          <w:rFonts w:eastAsia="Palatino Linotype" w:cs="Palatino Linotype"/>
          <w:color w:val="000000"/>
          <w:szCs w:val="24"/>
        </w:rPr>
        <w:t>procedibilidad</w:t>
      </w:r>
      <w:proofErr w:type="spellEnd"/>
      <w:r w:rsidRPr="004709D0">
        <w:rPr>
          <w:rFonts w:eastAsia="Palatino Linotype" w:cs="Palatino Linotype"/>
          <w:color w:val="000000"/>
          <w:szCs w:val="24"/>
        </w:rPr>
        <w:t xml:space="preserve"> y conforme a las constancias que obran en el expediente.</w:t>
      </w:r>
    </w:p>
    <w:p w14:paraId="6A0D5530" w14:textId="77777777" w:rsidR="00757B6A" w:rsidRPr="007657CF" w:rsidRDefault="00757B6A" w:rsidP="00A970D5">
      <w:pPr>
        <w:pBdr>
          <w:top w:val="nil"/>
          <w:left w:val="nil"/>
          <w:bottom w:val="nil"/>
          <w:right w:val="nil"/>
          <w:between w:val="nil"/>
        </w:pBdr>
        <w:contextualSpacing/>
        <w:rPr>
          <w:rFonts w:eastAsia="Palatino Linotype" w:cs="Palatino Linotype"/>
          <w:color w:val="000000"/>
          <w:szCs w:val="24"/>
        </w:rPr>
      </w:pPr>
    </w:p>
    <w:p w14:paraId="6D04F852" w14:textId="4F89E71C" w:rsidR="00A970D5" w:rsidRPr="007657CF" w:rsidRDefault="00757B6A" w:rsidP="00275BE9">
      <w:pPr>
        <w:pStyle w:val="Ttulo2"/>
        <w:rPr>
          <w:rFonts w:eastAsia="Palatino Linotype"/>
        </w:rPr>
      </w:pPr>
      <w:r>
        <w:rPr>
          <w:rFonts w:eastAsia="Palatino Linotype"/>
        </w:rPr>
        <w:t>CUART</w:t>
      </w:r>
      <w:r w:rsidR="00232F2F" w:rsidRPr="007657CF">
        <w:rPr>
          <w:rFonts w:eastAsia="Palatino Linotype"/>
        </w:rPr>
        <w:t>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7657CF">
        <w:rPr>
          <w:rFonts w:eastAsia="Palatino Linotype" w:cs="Palatino Linotype"/>
          <w:color w:val="000000"/>
          <w:szCs w:val="24"/>
        </w:rPr>
        <w:t>procedibilidad</w:t>
      </w:r>
      <w:proofErr w:type="spellEnd"/>
      <w:r w:rsidRPr="007657CF">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18C63C07" w:rsidR="00A970D5" w:rsidRPr="007657CF" w:rsidRDefault="00757B6A" w:rsidP="00275BE9">
      <w:pPr>
        <w:pStyle w:val="Ttulo2"/>
        <w:rPr>
          <w:rFonts w:eastAsia="Palatino Linotype"/>
        </w:rPr>
      </w:pPr>
      <w:r>
        <w:rPr>
          <w:rFonts w:eastAsia="Palatino Linotype"/>
        </w:rPr>
        <w:t>QUIN</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1E892A8" w14:textId="6A74524C"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es conveniente recordar que 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523C4A">
        <w:rPr>
          <w:rFonts w:eastAsia="Palatino Linotype" w:cs="Palatino Linotype"/>
          <w:color w:val="000000"/>
          <w:szCs w:val="24"/>
        </w:rPr>
        <w:t xml:space="preserve"> que se le hiciera entrega de las facturas</w:t>
      </w:r>
      <w:r w:rsidR="00EB6916">
        <w:rPr>
          <w:rFonts w:eastAsia="Palatino Linotype" w:cs="Palatino Linotype"/>
          <w:color w:val="000000"/>
          <w:szCs w:val="24"/>
        </w:rPr>
        <w:t xml:space="preserve"> de gastos por concepto de alimentos, lonas, mesas, sillas e insumos utilizadas en las jornadas de vacunación de COVID correspondientes a la última realizada en el años dos mil veintiuno y las realizadas a la fecha de la solicitud.</w:t>
      </w:r>
    </w:p>
    <w:p w14:paraId="6E35799A" w14:textId="77777777" w:rsidR="00877767" w:rsidRPr="007657CF" w:rsidRDefault="00877767" w:rsidP="00A970D5">
      <w:pPr>
        <w:pBdr>
          <w:top w:val="nil"/>
          <w:left w:val="nil"/>
          <w:bottom w:val="nil"/>
          <w:right w:val="nil"/>
          <w:between w:val="nil"/>
        </w:pBdr>
        <w:contextualSpacing/>
        <w:rPr>
          <w:rFonts w:eastAsia="Palatino Linotype" w:cs="Palatino Linotype"/>
          <w:color w:val="000000"/>
          <w:szCs w:val="24"/>
        </w:rPr>
      </w:pPr>
    </w:p>
    <w:p w14:paraId="4D5C4EBA" w14:textId="54958A00" w:rsidR="00EB6916" w:rsidRDefault="00A970D5" w:rsidP="00EB6916">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EB6916">
        <w:rPr>
          <w:rFonts w:eastAsia="Palatino Linotype" w:cs="Palatino Linotype"/>
          <w:color w:val="000000"/>
          <w:szCs w:val="24"/>
        </w:rPr>
        <w:t xml:space="preserve">respondió mediante la entrega de </w:t>
      </w:r>
      <w:r w:rsidR="00EA0688">
        <w:rPr>
          <w:rFonts w:eastAsia="Palatino Linotype" w:cs="Palatino Linotype"/>
          <w:color w:val="000000"/>
          <w:szCs w:val="24"/>
        </w:rPr>
        <w:t>los siguientes documentos</w:t>
      </w:r>
      <w:r w:rsidR="002562CE">
        <w:rPr>
          <w:rFonts w:eastAsia="Palatino Linotype" w:cs="Palatino Linotype"/>
          <w:color w:val="000000"/>
          <w:szCs w:val="24"/>
        </w:rPr>
        <w:t>:</w:t>
      </w:r>
    </w:p>
    <w:p w14:paraId="46A58DB1" w14:textId="6B70D21A" w:rsidR="009308DA" w:rsidRDefault="009308DA" w:rsidP="00050FF1">
      <w:pPr>
        <w:pBdr>
          <w:top w:val="nil"/>
          <w:left w:val="nil"/>
          <w:bottom w:val="nil"/>
          <w:right w:val="nil"/>
          <w:between w:val="nil"/>
        </w:pBdr>
        <w:contextualSpacing/>
        <w:rPr>
          <w:rFonts w:eastAsia="Palatino Linotype" w:cs="Palatino Linotype"/>
          <w:color w:val="000000"/>
          <w:szCs w:val="24"/>
        </w:rPr>
      </w:pPr>
    </w:p>
    <w:p w14:paraId="45D1E735" w14:textId="6306CA8C" w:rsidR="002562CE" w:rsidRPr="002562CE" w:rsidRDefault="002562CE" w:rsidP="002562CE">
      <w:pPr>
        <w:pStyle w:val="Prrafodelista"/>
        <w:numPr>
          <w:ilvl w:val="0"/>
          <w:numId w:val="22"/>
        </w:numPr>
        <w:rPr>
          <w:rFonts w:eastAsia="Palatino Linotype"/>
          <w:b/>
          <w:bCs/>
        </w:rPr>
      </w:pPr>
      <w:r w:rsidRPr="002562CE">
        <w:rPr>
          <w:b/>
          <w:bCs/>
        </w:rPr>
        <w:lastRenderedPageBreak/>
        <w:t xml:space="preserve">Sol </w:t>
      </w:r>
      <w:proofErr w:type="spellStart"/>
      <w:r w:rsidRPr="002562CE">
        <w:rPr>
          <w:b/>
          <w:bCs/>
        </w:rPr>
        <w:t>Info</w:t>
      </w:r>
      <w:proofErr w:type="spellEnd"/>
      <w:r w:rsidRPr="002562CE">
        <w:rPr>
          <w:b/>
          <w:bCs/>
        </w:rPr>
        <w:t xml:space="preserve"> 178.pdf</w:t>
      </w:r>
      <w:r>
        <w:t xml:space="preserve">. </w:t>
      </w:r>
      <w:r w:rsidR="004A6B6D">
        <w:t>Oficio número PMA/UT/INT/2022/00207, emitido por el Titular de la Unidad de Transparencia, mediante el cual hizo del conocimiento del Recurrente que se adjuntaba la respuesta enviada por el servidor público habilitado.</w:t>
      </w:r>
    </w:p>
    <w:p w14:paraId="375EA863" w14:textId="2DD24A6C" w:rsidR="002562CE" w:rsidRPr="002562CE" w:rsidRDefault="002562CE" w:rsidP="002562CE">
      <w:pPr>
        <w:pStyle w:val="Prrafodelista"/>
        <w:numPr>
          <w:ilvl w:val="0"/>
          <w:numId w:val="22"/>
        </w:numPr>
        <w:rPr>
          <w:rFonts w:eastAsia="Palatino Linotype"/>
          <w:b/>
          <w:bCs/>
        </w:rPr>
      </w:pPr>
      <w:proofErr w:type="spellStart"/>
      <w:r w:rsidRPr="002562CE">
        <w:rPr>
          <w:b/>
          <w:bCs/>
        </w:rPr>
        <w:t>Resp</w:t>
      </w:r>
      <w:proofErr w:type="spellEnd"/>
      <w:r w:rsidRPr="002562CE">
        <w:rPr>
          <w:b/>
          <w:bCs/>
        </w:rPr>
        <w:t xml:space="preserve"> Sol </w:t>
      </w:r>
      <w:proofErr w:type="spellStart"/>
      <w:r w:rsidRPr="002562CE">
        <w:rPr>
          <w:b/>
          <w:bCs/>
        </w:rPr>
        <w:t>Info</w:t>
      </w:r>
      <w:proofErr w:type="spellEnd"/>
      <w:r w:rsidRPr="002562CE">
        <w:rPr>
          <w:b/>
          <w:bCs/>
        </w:rPr>
        <w:t xml:space="preserve"> 178.pdf</w:t>
      </w:r>
      <w:r w:rsidR="004A6B6D">
        <w:t>. Oficio número PMA/DA/2022/0203, suscrito por la Directora de Administración, por medio del cual entregó</w:t>
      </w:r>
      <w:r w:rsidR="0002654F">
        <w:t xml:space="preserve"> la versión pública de dos facturas </w:t>
      </w:r>
      <w:r w:rsidR="00982697">
        <w:t>por gastos de la última jornada de vacunación del ejercicio 2021</w:t>
      </w:r>
      <w:r w:rsidR="0002654F">
        <w:t xml:space="preserve">relativas al servicio de lonas, carpas, mesas y sillas para la jornada de vacunación contra COVID-19 de refuerzo en adultos mayores de 60 años del día dieciséis de diciembre de dos mil veintiuno y por servicio de alimentos. Asimismo, </w:t>
      </w:r>
      <w:r w:rsidR="00982697">
        <w:t>manifestó que, respecto de las facturas de las jornadas de vacunación del año en curso, de mutuo acue</w:t>
      </w:r>
      <w:r w:rsidR="002B53E1">
        <w:t>r</w:t>
      </w:r>
      <w:r w:rsidR="00982697">
        <w:t>do con los proveedores de materiales y servicios, se acordó pagar cua</w:t>
      </w:r>
      <w:r w:rsidR="00B571C8">
        <w:t>ndo</w:t>
      </w:r>
      <w:r w:rsidR="00982697">
        <w:t xml:space="preserve"> se tenga el presupuesto autorizado; por lo </w:t>
      </w:r>
      <w:r w:rsidR="00982697" w:rsidRPr="00982697">
        <w:t>que</w:t>
      </w:r>
      <w:r w:rsidR="002B53E1">
        <w:t>,</w:t>
      </w:r>
      <w:r w:rsidR="00982697" w:rsidRPr="00982697">
        <w:t xml:space="preserve"> al día de la respuesta,</w:t>
      </w:r>
      <w:r w:rsidR="00982697">
        <w:rPr>
          <w:b/>
          <w:bCs/>
        </w:rPr>
        <w:t xml:space="preserve"> se está en proceso de pago de las facturas de gastos de alimentos, lonas, mesas, sillas e insumos de las jornadas de vacunación COVID</w:t>
      </w:r>
      <w:r w:rsidR="00982697" w:rsidRPr="00982697">
        <w:t>.</w:t>
      </w:r>
    </w:p>
    <w:p w14:paraId="0B96C2D3" w14:textId="462B9649" w:rsidR="002562CE" w:rsidRPr="002562CE" w:rsidRDefault="002562CE" w:rsidP="002562CE">
      <w:pPr>
        <w:pStyle w:val="Prrafodelista"/>
        <w:numPr>
          <w:ilvl w:val="0"/>
          <w:numId w:val="22"/>
        </w:numPr>
        <w:rPr>
          <w:rFonts w:eastAsia="Palatino Linotype"/>
          <w:b/>
          <w:bCs/>
        </w:rPr>
      </w:pPr>
      <w:r w:rsidRPr="002562CE">
        <w:rPr>
          <w:b/>
          <w:bCs/>
        </w:rPr>
        <w:t>Acta Vigésimo Primera.pdf</w:t>
      </w:r>
      <w:r w:rsidR="004D79E9">
        <w:t xml:space="preserve">. Acta de la Vigésimo Primera Sesión Extraordinaria del Comité de Transparencia, en la que se emitió el Acuerdo 2022/021/002, por el cual se aprobó la versión pública de la documentación utilizada para dar respuesta a la solicitud de información </w:t>
      </w:r>
      <w:r w:rsidR="008758DF">
        <w:rPr>
          <w:b/>
          <w:bCs/>
        </w:rPr>
        <w:t>00178/ATENCO/IP/2022</w:t>
      </w:r>
      <w:r w:rsidR="008758DF">
        <w:t>.</w:t>
      </w:r>
    </w:p>
    <w:p w14:paraId="42208EF9" w14:textId="7C27B3CB" w:rsidR="002562CE" w:rsidRPr="002562CE" w:rsidRDefault="002562CE" w:rsidP="002562CE">
      <w:pPr>
        <w:pStyle w:val="Prrafodelista"/>
        <w:numPr>
          <w:ilvl w:val="0"/>
          <w:numId w:val="22"/>
        </w:numPr>
        <w:rPr>
          <w:rFonts w:eastAsia="Palatino Linotype"/>
          <w:b/>
          <w:bCs/>
        </w:rPr>
      </w:pPr>
      <w:r w:rsidRPr="002562CE">
        <w:rPr>
          <w:b/>
          <w:bCs/>
        </w:rPr>
        <w:t xml:space="preserve">Sol. </w:t>
      </w:r>
      <w:proofErr w:type="spellStart"/>
      <w:r w:rsidRPr="002562CE">
        <w:rPr>
          <w:b/>
          <w:bCs/>
        </w:rPr>
        <w:t>Info</w:t>
      </w:r>
      <w:proofErr w:type="spellEnd"/>
      <w:r w:rsidRPr="002562CE">
        <w:rPr>
          <w:b/>
          <w:bCs/>
        </w:rPr>
        <w:t>. 168 .</w:t>
      </w:r>
      <w:proofErr w:type="spellStart"/>
      <w:r w:rsidRPr="002562CE">
        <w:rPr>
          <w:b/>
          <w:bCs/>
        </w:rPr>
        <w:t>pdf</w:t>
      </w:r>
      <w:proofErr w:type="spellEnd"/>
      <w:r w:rsidR="008758DF">
        <w:t>. Información relativa a una solicitud de información distinta.</w:t>
      </w:r>
    </w:p>
    <w:p w14:paraId="7315F64E" w14:textId="1EE114E7" w:rsidR="002562CE" w:rsidRPr="002562CE" w:rsidRDefault="002562CE" w:rsidP="002562CE">
      <w:pPr>
        <w:pStyle w:val="Prrafodelista"/>
        <w:numPr>
          <w:ilvl w:val="0"/>
          <w:numId w:val="22"/>
        </w:numPr>
        <w:rPr>
          <w:rFonts w:eastAsia="Palatino Linotype"/>
          <w:b/>
          <w:bCs/>
        </w:rPr>
      </w:pPr>
      <w:proofErr w:type="spellStart"/>
      <w:r w:rsidRPr="002562CE">
        <w:rPr>
          <w:b/>
          <w:bCs/>
        </w:rPr>
        <w:t>Resp</w:t>
      </w:r>
      <w:proofErr w:type="spellEnd"/>
      <w:r w:rsidRPr="002562CE">
        <w:rPr>
          <w:b/>
          <w:bCs/>
        </w:rPr>
        <w:t xml:space="preserve">. </w:t>
      </w:r>
      <w:proofErr w:type="spellStart"/>
      <w:r w:rsidRPr="002562CE">
        <w:rPr>
          <w:b/>
          <w:bCs/>
        </w:rPr>
        <w:t>Info</w:t>
      </w:r>
      <w:proofErr w:type="spellEnd"/>
      <w:r w:rsidRPr="002562CE">
        <w:rPr>
          <w:b/>
          <w:bCs/>
        </w:rPr>
        <w:t>. 168</w:t>
      </w:r>
      <w:proofErr w:type="gramStart"/>
      <w:r w:rsidRPr="002562CE">
        <w:rPr>
          <w:b/>
          <w:bCs/>
        </w:rPr>
        <w:t>.pdf</w:t>
      </w:r>
      <w:proofErr w:type="gramEnd"/>
      <w:r w:rsidR="008758DF">
        <w:t>. Información relativa a una solicitud de información distinta.</w:t>
      </w:r>
    </w:p>
    <w:p w14:paraId="7B2A603C" w14:textId="5A67177D" w:rsidR="002562CE" w:rsidRPr="002562CE" w:rsidRDefault="002562CE" w:rsidP="002562CE">
      <w:pPr>
        <w:pStyle w:val="Prrafodelista"/>
        <w:numPr>
          <w:ilvl w:val="0"/>
          <w:numId w:val="22"/>
        </w:numPr>
        <w:rPr>
          <w:rFonts w:eastAsia="Palatino Linotype"/>
          <w:b/>
          <w:bCs/>
        </w:rPr>
      </w:pPr>
      <w:proofErr w:type="spellStart"/>
      <w:r w:rsidRPr="002562CE">
        <w:rPr>
          <w:b/>
          <w:bCs/>
        </w:rPr>
        <w:t>Resp</w:t>
      </w:r>
      <w:proofErr w:type="spellEnd"/>
      <w:r w:rsidRPr="002562CE">
        <w:rPr>
          <w:b/>
          <w:bCs/>
        </w:rPr>
        <w:t xml:space="preserve">. </w:t>
      </w:r>
      <w:proofErr w:type="spellStart"/>
      <w:r w:rsidRPr="002562CE">
        <w:rPr>
          <w:b/>
          <w:bCs/>
        </w:rPr>
        <w:t>Info</w:t>
      </w:r>
      <w:proofErr w:type="spellEnd"/>
      <w:r w:rsidRPr="002562CE">
        <w:rPr>
          <w:b/>
          <w:bCs/>
        </w:rPr>
        <w:t xml:space="preserve"> 168.pdf</w:t>
      </w:r>
      <w:r w:rsidR="008758DF">
        <w:t>. Información relativa a una solicitud de información distinta.</w:t>
      </w:r>
    </w:p>
    <w:p w14:paraId="4A4AEF45" w14:textId="66996D69" w:rsidR="002562CE" w:rsidRPr="002562CE" w:rsidRDefault="002562CE" w:rsidP="002562CE">
      <w:pPr>
        <w:pStyle w:val="Prrafodelista"/>
        <w:numPr>
          <w:ilvl w:val="0"/>
          <w:numId w:val="22"/>
        </w:numPr>
        <w:rPr>
          <w:rFonts w:eastAsia="Palatino Linotype"/>
          <w:b/>
          <w:bCs/>
        </w:rPr>
      </w:pPr>
      <w:r w:rsidRPr="002562CE">
        <w:rPr>
          <w:b/>
          <w:bCs/>
        </w:rPr>
        <w:t>Acta 19.pdf</w:t>
      </w:r>
      <w:r w:rsidR="008758DF">
        <w:t>. Información relativa a una solicitud de información distinta.</w:t>
      </w:r>
    </w:p>
    <w:p w14:paraId="76D61E7A" w14:textId="5C17CEE5" w:rsidR="00FB3F61" w:rsidRPr="002562CE" w:rsidRDefault="002562CE" w:rsidP="002562CE">
      <w:pPr>
        <w:pStyle w:val="Prrafodelista"/>
        <w:numPr>
          <w:ilvl w:val="0"/>
          <w:numId w:val="22"/>
        </w:numPr>
        <w:rPr>
          <w:rFonts w:eastAsia="Palatino Linotype"/>
          <w:b/>
          <w:bCs/>
        </w:rPr>
      </w:pPr>
      <w:r w:rsidRPr="002562CE">
        <w:rPr>
          <w:b/>
          <w:bCs/>
        </w:rPr>
        <w:t xml:space="preserve">Informe </w:t>
      </w:r>
      <w:proofErr w:type="spellStart"/>
      <w:r w:rsidRPr="002562CE">
        <w:rPr>
          <w:b/>
          <w:bCs/>
        </w:rPr>
        <w:t>Jus</w:t>
      </w:r>
      <w:proofErr w:type="spellEnd"/>
      <w:r w:rsidRPr="002562CE">
        <w:rPr>
          <w:b/>
          <w:bCs/>
        </w:rPr>
        <w:t>. 168</w:t>
      </w:r>
      <w:proofErr w:type="gramStart"/>
      <w:r w:rsidRPr="002562CE">
        <w:rPr>
          <w:b/>
          <w:bCs/>
        </w:rPr>
        <w:t>.pdf</w:t>
      </w:r>
      <w:proofErr w:type="gramEnd"/>
      <w:r w:rsidR="008758DF">
        <w:rPr>
          <w:rFonts w:eastAsia="Palatino Linotype"/>
        </w:rPr>
        <w:t xml:space="preserve">. </w:t>
      </w:r>
      <w:r w:rsidR="008758DF">
        <w:t>Información relativa a una solicitud de información distinta.</w:t>
      </w:r>
    </w:p>
    <w:p w14:paraId="4F48C156" w14:textId="186912CB" w:rsidR="002562CE" w:rsidRDefault="002562CE" w:rsidP="00A970D5">
      <w:pPr>
        <w:pBdr>
          <w:top w:val="nil"/>
          <w:left w:val="nil"/>
          <w:bottom w:val="nil"/>
          <w:right w:val="nil"/>
          <w:between w:val="nil"/>
        </w:pBdr>
        <w:contextualSpacing/>
        <w:rPr>
          <w:rFonts w:eastAsia="Palatino Linotype" w:cs="Palatino Linotype"/>
          <w:color w:val="000000"/>
          <w:szCs w:val="24"/>
        </w:rPr>
      </w:pPr>
    </w:p>
    <w:p w14:paraId="1202A2EE" w14:textId="437D3F5B" w:rsidR="008758DF" w:rsidRDefault="008758DF"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Como se advierte, los documentos identificados en los puntos del 4 al 8 hacen referencia a una solicitud de información distinta a la que es materia de esta resolución, por lo que no se hará mención de su contenido.</w:t>
      </w:r>
    </w:p>
    <w:p w14:paraId="556FBA3D" w14:textId="77777777" w:rsidR="008758DF" w:rsidRDefault="008758DF" w:rsidP="00A970D5">
      <w:pPr>
        <w:pBdr>
          <w:top w:val="nil"/>
          <w:left w:val="nil"/>
          <w:bottom w:val="nil"/>
          <w:right w:val="nil"/>
          <w:between w:val="nil"/>
        </w:pBdr>
        <w:contextualSpacing/>
        <w:rPr>
          <w:rFonts w:eastAsia="Palatino Linotype" w:cs="Palatino Linotype"/>
          <w:color w:val="000000"/>
          <w:szCs w:val="24"/>
        </w:rPr>
      </w:pPr>
    </w:p>
    <w:p w14:paraId="6128DFF4" w14:textId="07D4271D"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Pr>
          <w:rFonts w:eastAsia="Palatino Linotype" w:cs="Palatino Linotype"/>
          <w:color w:val="000000"/>
          <w:szCs w:val="24"/>
        </w:rPr>
        <w:t xml:space="preserve"> </w:t>
      </w:r>
      <w:r w:rsidR="00B941CE">
        <w:rPr>
          <w:rFonts w:eastAsia="Palatino Linotype" w:cs="Palatino Linotype"/>
          <w:color w:val="000000"/>
          <w:szCs w:val="24"/>
        </w:rPr>
        <w:t>y razones o motivos de inconformidad que no se entregó la información relativa al ejercicio 2022 argumentando que no ha autorizado el presupuesto, y se hizo la pregunta de qué hay del presupuesto de egresos 2022 publicado el cinco de febrero del año en curso.</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7657CF" w:rsidRDefault="00EF5FF8" w:rsidP="00A970D5">
      <w:pPr>
        <w:pBdr>
          <w:top w:val="nil"/>
          <w:left w:val="nil"/>
          <w:bottom w:val="nil"/>
          <w:right w:val="nil"/>
          <w:between w:val="nil"/>
        </w:pBdr>
        <w:contextualSpacing/>
      </w:pPr>
      <w:r w:rsidRPr="007657CF">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lastRenderedPageBreak/>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7657CF">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1530E5" w:rsidRPr="007657CF">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1103EACD" w:rsidR="00C82268" w:rsidRPr="007657CF" w:rsidRDefault="00C82268" w:rsidP="00800777">
      <w:pPr>
        <w:pStyle w:val="Fundamentos"/>
      </w:pPr>
      <w:r w:rsidRPr="007657CF">
        <w:rPr>
          <w:b/>
          <w:bCs/>
        </w:rPr>
        <w:lastRenderedPageBreak/>
        <w:t>I</w:t>
      </w:r>
      <w:r w:rsidR="001530E5" w:rsidRPr="007657CF">
        <w:rPr>
          <w:b/>
          <w:bCs/>
        </w:rPr>
        <w:t>V</w:t>
      </w:r>
      <w:r w:rsidRPr="007657CF">
        <w:rPr>
          <w:b/>
          <w:bCs/>
        </w:rPr>
        <w:t>.</w:t>
      </w:r>
      <w:r w:rsidRPr="007657CF">
        <w:t xml:space="preserve"> </w:t>
      </w:r>
      <w:r w:rsidR="001530E5" w:rsidRPr="007657CF">
        <w:t>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B2FF531" w14:textId="38FB4520" w:rsidR="004477B3" w:rsidRDefault="00A970D5" w:rsidP="004477B3">
      <w:pPr>
        <w:rPr>
          <w:rFonts w:eastAsia="Palatino Linotype" w:cs="Palatino Linotype"/>
          <w:szCs w:val="24"/>
        </w:rPr>
      </w:pPr>
      <w:r w:rsidRPr="007657CF">
        <w:rPr>
          <w:rFonts w:eastAsia="Palatino Linotype" w:cs="Palatino Linotype"/>
          <w:szCs w:val="24"/>
        </w:rPr>
        <w:t xml:space="preserve">En segundo término, </w:t>
      </w:r>
      <w:r w:rsidR="00F50576">
        <w:rPr>
          <w:rFonts w:eastAsia="Palatino Linotype" w:cs="Palatino Linotype"/>
          <w:szCs w:val="24"/>
        </w:rPr>
        <w:t>se debe resaltar que el Sujeto Obligado no negó la existencia de la información, sino que hizo entrega de los documentos que obran en sus archivos con los cuales pretendió colmar la pretensión del particular</w:t>
      </w:r>
      <w:r w:rsidR="004477B3">
        <w:rPr>
          <w:rFonts w:eastAsia="Palatino Linotype" w:cs="Palatino Linotype"/>
          <w:szCs w:val="24"/>
        </w:rPr>
        <w:t xml:space="preserve">. No obstante, </w:t>
      </w:r>
      <w:r w:rsidR="008D28FE">
        <w:rPr>
          <w:rFonts w:eastAsia="Palatino Linotype" w:cs="Palatino Linotype"/>
          <w:szCs w:val="24"/>
        </w:rPr>
        <w:t>se advierte que únicamente se atendió parcialmente la solicitud del Recurrente, pues sólo fueron entregadas las facturas correspondientes a la última jornada de vacunación del ejercicio 2021, y se informó al particular que, a la fecha de la respuesta, aún no se habían generado las correspondientes al ejercicio 2022.</w:t>
      </w:r>
    </w:p>
    <w:p w14:paraId="4FB59A2B" w14:textId="77777777" w:rsidR="00F50576" w:rsidRDefault="00F50576" w:rsidP="009676E3">
      <w:pPr>
        <w:contextualSpacing/>
        <w:rPr>
          <w:rFonts w:eastAsia="Palatino Linotype" w:cs="Palatino Linotype"/>
          <w:szCs w:val="24"/>
        </w:rPr>
      </w:pPr>
    </w:p>
    <w:p w14:paraId="010D1CF9" w14:textId="54DC7D5A" w:rsidR="00AC09F1" w:rsidRDefault="000D3AA7" w:rsidP="009676E3">
      <w:pPr>
        <w:contextualSpacing/>
        <w:rPr>
          <w:rFonts w:eastAsia="Palatino Linotype" w:cs="Palatino Linotype"/>
          <w:szCs w:val="24"/>
        </w:rPr>
      </w:pPr>
      <w:r>
        <w:rPr>
          <w:rFonts w:eastAsia="Palatino Linotype" w:cs="Palatino Linotype"/>
          <w:szCs w:val="24"/>
        </w:rPr>
        <w:t xml:space="preserve">Por otra parte, </w:t>
      </w:r>
      <w:r w:rsidR="00F50576">
        <w:rPr>
          <w:rFonts w:eastAsia="Palatino Linotype" w:cs="Palatino Linotype"/>
          <w:szCs w:val="24"/>
        </w:rPr>
        <w:t xml:space="preserve">debe quedar establecido que el Recurrente se inconformó </w:t>
      </w:r>
      <w:r>
        <w:rPr>
          <w:rFonts w:eastAsia="Palatino Linotype" w:cs="Palatino Linotype"/>
          <w:szCs w:val="24"/>
        </w:rPr>
        <w:t xml:space="preserve">debido a </w:t>
      </w:r>
      <w:r w:rsidR="00F50576">
        <w:rPr>
          <w:rFonts w:eastAsia="Palatino Linotype" w:cs="Palatino Linotype"/>
          <w:szCs w:val="24"/>
        </w:rPr>
        <w:t xml:space="preserve">que no se le entregó la información relativa al </w:t>
      </w:r>
      <w:r>
        <w:rPr>
          <w:rFonts w:eastAsia="Palatino Linotype" w:cs="Palatino Linotype"/>
          <w:szCs w:val="24"/>
        </w:rPr>
        <w:t xml:space="preserve">ejercicio 2022; </w:t>
      </w:r>
      <w:r w:rsidRPr="00847575">
        <w:rPr>
          <w:rFonts w:eastAsia="Palatino Linotype" w:cs="Palatino Linotype"/>
          <w:b/>
          <w:bCs/>
          <w:szCs w:val="24"/>
        </w:rPr>
        <w:t xml:space="preserve">sin </w:t>
      </w:r>
      <w:r w:rsidR="001744AB" w:rsidRPr="00847575">
        <w:rPr>
          <w:rFonts w:eastAsia="Palatino Linotype" w:cs="Palatino Linotype"/>
          <w:b/>
          <w:bCs/>
          <w:szCs w:val="24"/>
        </w:rPr>
        <w:t>expresar inconformidad relativa a las facturas que fueron presentadas por el Sujeto Obligado en su respuesta ni a la clasificación de la versión pública</w:t>
      </w:r>
      <w:r w:rsidR="00606B69">
        <w:rPr>
          <w:rFonts w:eastAsia="Palatino Linotype" w:cs="Palatino Linotype"/>
          <w:szCs w:val="24"/>
        </w:rPr>
        <w:t>, pues al momento de interponer el presente medio de impugnación expresó lo siguiente:</w:t>
      </w:r>
    </w:p>
    <w:p w14:paraId="29C1BAF7" w14:textId="082E6455" w:rsidR="00606B69" w:rsidRDefault="00606B69" w:rsidP="009676E3">
      <w:pPr>
        <w:contextualSpacing/>
        <w:rPr>
          <w:rFonts w:eastAsia="Palatino Linotype" w:cs="Palatino Linotype"/>
          <w:szCs w:val="24"/>
        </w:rPr>
      </w:pPr>
    </w:p>
    <w:p w14:paraId="76CBD91B" w14:textId="42D7091B" w:rsidR="00606B69" w:rsidRPr="00606B69" w:rsidRDefault="00056CA2" w:rsidP="009676E3">
      <w:pPr>
        <w:contextualSpacing/>
        <w:rPr>
          <w:rFonts w:eastAsia="Palatino Linotype" w:cs="Palatino Linotype"/>
          <w:szCs w:val="24"/>
        </w:rPr>
      </w:pPr>
      <w:r>
        <w:rPr>
          <w:rFonts w:eastAsia="Palatino Linotype" w:cs="Palatino Linotype"/>
          <w:noProof/>
          <w:szCs w:val="24"/>
          <w:lang w:val="es-MX"/>
        </w:rPr>
        <w:lastRenderedPageBreak/>
        <w:drawing>
          <wp:inline distT="0" distB="0" distL="0" distR="0" wp14:anchorId="4E852913" wp14:editId="7BC33F78">
            <wp:extent cx="5939790" cy="3681730"/>
            <wp:effectExtent l="0" t="0" r="381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3681730"/>
                    </a:xfrm>
                    <a:prstGeom prst="rect">
                      <a:avLst/>
                    </a:prstGeom>
                  </pic:spPr>
                </pic:pic>
              </a:graphicData>
            </a:graphic>
          </wp:inline>
        </w:drawing>
      </w:r>
    </w:p>
    <w:p w14:paraId="1C5659F2" w14:textId="0C66DBA7" w:rsidR="00BA636A" w:rsidRDefault="00BA636A" w:rsidP="006950D6"/>
    <w:p w14:paraId="29EC7A12" w14:textId="24284CE5" w:rsidR="00056CA2" w:rsidRDefault="00056CA2" w:rsidP="006950D6">
      <w:r>
        <w:t>Por lo que se advierte que su inconformidad consiste exclusivamente en que no le fue entregada correspondiente al ejercicio 2022, sin que se hiciera mención de la versión pública de las facturas que se entregaron y en las que se advierte un testado excesivo por parte del Sujeto Obligado.</w:t>
      </w:r>
    </w:p>
    <w:p w14:paraId="400B7D2D" w14:textId="77777777" w:rsidR="00056CA2" w:rsidRDefault="00056CA2" w:rsidP="006950D6"/>
    <w:p w14:paraId="5B9096A0" w14:textId="506CB0F2" w:rsidR="00847575" w:rsidRDefault="00847575" w:rsidP="006950D6">
      <w:r>
        <w:t xml:space="preserve">En ese sentido, si bien es cierto que el Sujeto Obligado testó información que se considera pública en las facturas que entregó, también lo es que el Recurrente no manifestó agravio ni inconformidad ante dicho testado que fue aprobado por el Comité de Transparencia como se observa en el acta remitida en respuesta; en consecuencia, este Instituto no estima conveniente </w:t>
      </w:r>
      <w:r w:rsidR="00606B69">
        <w:t xml:space="preserve">pronunciarse sobre el consentimiento del particular ante la respuesta </w:t>
      </w:r>
      <w:r w:rsidR="00606B69">
        <w:lastRenderedPageBreak/>
        <w:t>proporciona</w:t>
      </w:r>
      <w:r w:rsidR="00056CA2">
        <w:t>da</w:t>
      </w:r>
      <w:r w:rsidR="00606B69">
        <w:t>, por lo que se tiene por colmada la parte de la solicitud de información correspondiente a las facturas entregadas en respuesta.</w:t>
      </w:r>
    </w:p>
    <w:p w14:paraId="7B8749A4" w14:textId="77777777" w:rsidR="00847575" w:rsidRDefault="00847575" w:rsidP="006950D6"/>
    <w:p w14:paraId="35D2D67E" w14:textId="77777777" w:rsidR="00F861B1" w:rsidRPr="00F861B1" w:rsidRDefault="00F861B1" w:rsidP="00F861B1">
      <w:pPr>
        <w:rPr>
          <w:rFonts w:eastAsia="Times New Roman" w:cs="Times New Roman"/>
          <w:szCs w:val="24"/>
        </w:rPr>
      </w:pPr>
      <w:r w:rsidRPr="00F861B1">
        <w:rPr>
          <w:rFonts w:eastAsia="Palatino Linotype" w:cs="Palatino Linotype"/>
          <w:color w:val="000000"/>
          <w:szCs w:val="24"/>
        </w:rPr>
        <w:t xml:space="preserve">Por este motivo, </w:t>
      </w:r>
      <w:r w:rsidRPr="00F861B1">
        <w:rPr>
          <w:rFonts w:eastAsia="Times New Roman" w:cs="Times New Roman"/>
          <w:color w:val="000000"/>
          <w:szCs w:val="24"/>
        </w:rPr>
        <w:t>se debe entender que el Recurrente consintió parcialmente la respuesta.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47B74D0" w14:textId="77777777" w:rsidR="00F861B1" w:rsidRPr="00F861B1" w:rsidRDefault="00F861B1" w:rsidP="00F861B1">
      <w:pPr>
        <w:jc w:val="left"/>
        <w:rPr>
          <w:rFonts w:eastAsia="Times New Roman" w:cs="Times New Roman"/>
          <w:szCs w:val="24"/>
        </w:rPr>
      </w:pPr>
    </w:p>
    <w:p w14:paraId="3F3D55FC" w14:textId="77777777" w:rsidR="00F861B1" w:rsidRPr="00F861B1" w:rsidRDefault="00F861B1" w:rsidP="00F861B1">
      <w:pPr>
        <w:spacing w:line="240" w:lineRule="auto"/>
        <w:ind w:left="567" w:right="567"/>
        <w:rPr>
          <w:rFonts w:eastAsia="Times New Roman" w:cs="Times New Roman"/>
          <w:sz w:val="22"/>
        </w:rPr>
      </w:pPr>
      <w:r w:rsidRPr="00F861B1">
        <w:rPr>
          <w:rFonts w:eastAsia="Times New Roman" w:cs="Times New Roman"/>
          <w:b/>
          <w:bCs/>
          <w:i/>
          <w:iCs/>
          <w:color w:val="000000"/>
          <w:sz w:val="22"/>
        </w:rPr>
        <w:t>REVISIÓN EN AMPARO. LOS RESOLUTIVOS NO COMBATIDOS DEBEN DECLARARSE FIRMES</w:t>
      </w:r>
      <w:r w:rsidRPr="00F861B1">
        <w:rPr>
          <w:rFonts w:eastAsia="Times New Roman" w:cs="Times New Roman"/>
          <w:i/>
          <w:iCs/>
          <w:color w:val="000000"/>
          <w:sz w:val="22"/>
        </w:rPr>
        <w:t>. </w:t>
      </w:r>
    </w:p>
    <w:p w14:paraId="2F18794B" w14:textId="77777777" w:rsidR="00F861B1" w:rsidRPr="00F861B1" w:rsidRDefault="00F861B1" w:rsidP="00F861B1">
      <w:pPr>
        <w:spacing w:line="240" w:lineRule="auto"/>
        <w:ind w:left="567" w:right="567"/>
        <w:rPr>
          <w:rFonts w:eastAsia="Times New Roman" w:cs="Times New Roman"/>
          <w:sz w:val="22"/>
        </w:rPr>
      </w:pPr>
      <w:r w:rsidRPr="00F861B1">
        <w:rPr>
          <w:rFonts w:eastAsia="Times New Roman" w:cs="Times New Roman"/>
          <w:i/>
          <w:iCs/>
          <w:color w:val="000000"/>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8F1F66E" w14:textId="77777777" w:rsidR="00F861B1" w:rsidRPr="00F861B1" w:rsidRDefault="00F861B1" w:rsidP="00F861B1">
      <w:pPr>
        <w:jc w:val="left"/>
        <w:rPr>
          <w:rFonts w:eastAsia="Times New Roman" w:cs="Times New Roman"/>
          <w:szCs w:val="24"/>
        </w:rPr>
      </w:pPr>
    </w:p>
    <w:p w14:paraId="5587BF0A" w14:textId="77777777" w:rsidR="00F861B1" w:rsidRPr="00F861B1" w:rsidRDefault="00F861B1" w:rsidP="00F861B1">
      <w:pPr>
        <w:rPr>
          <w:rFonts w:eastAsia="Times New Roman" w:cs="Times New Roman"/>
          <w:szCs w:val="24"/>
        </w:rPr>
      </w:pPr>
      <w:r w:rsidRPr="00F861B1">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3B8BDBF" w14:textId="77777777" w:rsidR="00F861B1" w:rsidRPr="00F861B1" w:rsidRDefault="00F861B1" w:rsidP="00F861B1">
      <w:pPr>
        <w:jc w:val="left"/>
        <w:rPr>
          <w:rFonts w:eastAsia="Times New Roman" w:cs="Times New Roman"/>
          <w:szCs w:val="24"/>
        </w:rPr>
      </w:pPr>
    </w:p>
    <w:p w14:paraId="71541D6D" w14:textId="77777777" w:rsidR="00F861B1" w:rsidRPr="00F861B1" w:rsidRDefault="00F861B1" w:rsidP="00F861B1">
      <w:pPr>
        <w:spacing w:line="240" w:lineRule="auto"/>
        <w:ind w:left="567" w:right="567"/>
        <w:rPr>
          <w:rFonts w:eastAsia="Times New Roman" w:cs="Times New Roman"/>
          <w:sz w:val="22"/>
        </w:rPr>
      </w:pPr>
      <w:r w:rsidRPr="00F861B1">
        <w:rPr>
          <w:rFonts w:eastAsia="Times New Roman" w:cs="Times New Roman"/>
          <w:b/>
          <w:bCs/>
          <w:i/>
          <w:iCs/>
          <w:color w:val="000000"/>
          <w:sz w:val="22"/>
        </w:rPr>
        <w:t>ACTOS CONSENTIDOS. SON LOS QUE NO SE IMPUGNAN MEDIANTE EL RECURSO IDÓNEO.</w:t>
      </w:r>
      <w:r w:rsidRPr="00F861B1">
        <w:rPr>
          <w:rFonts w:eastAsia="Times New Roman" w:cs="Times New Roman"/>
          <w:i/>
          <w:iCs/>
          <w:color w:val="000000"/>
          <w:sz w:val="22"/>
        </w:rPr>
        <w:t> </w:t>
      </w:r>
    </w:p>
    <w:p w14:paraId="42F9E505" w14:textId="77777777" w:rsidR="00F861B1" w:rsidRPr="00F861B1" w:rsidRDefault="00F861B1" w:rsidP="00F861B1">
      <w:pPr>
        <w:spacing w:line="240" w:lineRule="auto"/>
        <w:ind w:left="567" w:right="567"/>
        <w:rPr>
          <w:rFonts w:eastAsia="Times New Roman" w:cs="Times New Roman"/>
          <w:sz w:val="22"/>
        </w:rPr>
      </w:pPr>
      <w:r w:rsidRPr="00F861B1">
        <w:rPr>
          <w:rFonts w:eastAsia="Times New Roman" w:cs="Times New Roman"/>
          <w:i/>
          <w:iCs/>
          <w:color w:val="000000"/>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D3C590" w14:textId="77777777" w:rsidR="00F861B1" w:rsidRPr="00F861B1" w:rsidRDefault="00F861B1" w:rsidP="00F861B1">
      <w:pPr>
        <w:jc w:val="left"/>
        <w:rPr>
          <w:rFonts w:eastAsia="Times New Roman" w:cs="Times New Roman"/>
          <w:szCs w:val="24"/>
        </w:rPr>
      </w:pPr>
    </w:p>
    <w:p w14:paraId="624EE97F" w14:textId="77777777" w:rsidR="00F861B1" w:rsidRPr="00F861B1" w:rsidRDefault="00F861B1" w:rsidP="00F861B1">
      <w:pPr>
        <w:rPr>
          <w:rFonts w:eastAsia="Times New Roman" w:cs="Times New Roman"/>
          <w:szCs w:val="24"/>
        </w:rPr>
      </w:pPr>
      <w:r w:rsidRPr="00F861B1">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08609238" w14:textId="77777777" w:rsidR="00F861B1" w:rsidRPr="00F861B1" w:rsidRDefault="00F861B1" w:rsidP="00F861B1">
      <w:pPr>
        <w:jc w:val="left"/>
        <w:rPr>
          <w:rFonts w:eastAsia="Times New Roman" w:cs="Times New Roman"/>
          <w:szCs w:val="24"/>
        </w:rPr>
      </w:pPr>
    </w:p>
    <w:p w14:paraId="7BD62317" w14:textId="77777777" w:rsidR="00F861B1" w:rsidRPr="00F861B1" w:rsidRDefault="00F861B1" w:rsidP="00F861B1">
      <w:pPr>
        <w:spacing w:line="240" w:lineRule="auto"/>
        <w:ind w:left="567" w:right="567"/>
        <w:rPr>
          <w:rFonts w:eastAsia="Times New Roman" w:cs="Times New Roman"/>
          <w:sz w:val="22"/>
        </w:rPr>
      </w:pPr>
      <w:r w:rsidRPr="00F861B1">
        <w:rPr>
          <w:rFonts w:eastAsia="Times New Roman" w:cs="Times New Roman"/>
          <w:b/>
          <w:bCs/>
          <w:i/>
          <w:iCs/>
          <w:color w:val="000000"/>
          <w:sz w:val="22"/>
        </w:rPr>
        <w:t xml:space="preserve">Actos consentidos tácitamente. Improcedencia de su análisis. </w:t>
      </w:r>
      <w:r w:rsidRPr="00F861B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10D24C3" w14:textId="77777777" w:rsidR="00F861B1" w:rsidRPr="00F861B1" w:rsidRDefault="00F861B1" w:rsidP="00F861B1">
      <w:pPr>
        <w:jc w:val="left"/>
        <w:rPr>
          <w:rFonts w:eastAsia="Times New Roman" w:cs="Times New Roman"/>
          <w:szCs w:val="24"/>
        </w:rPr>
      </w:pPr>
    </w:p>
    <w:p w14:paraId="50482CF9" w14:textId="77C03170" w:rsidR="00F861B1" w:rsidRDefault="00F861B1" w:rsidP="00F861B1">
      <w:pPr>
        <w:ind w:right="-7"/>
        <w:contextualSpacing/>
        <w:rPr>
          <w:rFonts w:eastAsia="Times New Roman" w:cs="Times New Roman"/>
          <w:color w:val="000000"/>
          <w:szCs w:val="24"/>
        </w:rPr>
      </w:pPr>
      <w:r>
        <w:rPr>
          <w:rFonts w:eastAsia="Times New Roman" w:cs="Times New Roman"/>
          <w:color w:val="000000"/>
          <w:szCs w:val="24"/>
        </w:rPr>
        <w:t>Consecuentemente</w:t>
      </w:r>
      <w:r w:rsidRPr="00F861B1">
        <w:rPr>
          <w:rFonts w:eastAsia="Times New Roman" w:cs="Times New Roman"/>
          <w:color w:val="000000"/>
          <w:szCs w:val="24"/>
        </w:rPr>
        <w:t>, se considera que el Recurrente está conforme con la entrega de la información respecto de l</w:t>
      </w:r>
      <w:r w:rsidR="00550934">
        <w:rPr>
          <w:rFonts w:eastAsia="Times New Roman" w:cs="Times New Roman"/>
          <w:color w:val="000000"/>
          <w:szCs w:val="24"/>
        </w:rPr>
        <w:t>as facturas correspondientes al ejercicio 2021.</w:t>
      </w:r>
    </w:p>
    <w:p w14:paraId="233597FD" w14:textId="5A1499F4" w:rsidR="00550934" w:rsidRDefault="00550934" w:rsidP="00F861B1">
      <w:pPr>
        <w:ind w:right="-7"/>
        <w:contextualSpacing/>
        <w:rPr>
          <w:rFonts w:eastAsia="Times New Roman" w:cs="Times New Roman"/>
          <w:color w:val="000000"/>
          <w:szCs w:val="24"/>
        </w:rPr>
      </w:pPr>
    </w:p>
    <w:p w14:paraId="636305B2" w14:textId="77BC2241" w:rsidR="00550934" w:rsidRPr="00F861B1" w:rsidRDefault="00550934" w:rsidP="00F861B1">
      <w:pPr>
        <w:ind w:right="-7"/>
        <w:contextualSpacing/>
        <w:rPr>
          <w:rFonts w:eastAsia="Palatino Linotype" w:cs="Palatino Linotype"/>
          <w:szCs w:val="24"/>
        </w:rPr>
      </w:pPr>
      <w:r>
        <w:rPr>
          <w:rFonts w:eastAsia="Times New Roman" w:cs="Times New Roman"/>
          <w:color w:val="000000"/>
          <w:szCs w:val="24"/>
        </w:rPr>
        <w:t xml:space="preserve">Ahora bien, por lo que toca a las facturas correspondientes al año dos mil veintidós, no se omite mencionar que el Sujeto Obligado manifestó que las mismas no se habían generado a la fecha de emisión de la respuesta debido a que se encontraban en proceso el pago de dichas facturas, lo </w:t>
      </w:r>
      <w:r w:rsidR="007353CE">
        <w:rPr>
          <w:rFonts w:eastAsia="Times New Roman" w:cs="Times New Roman"/>
          <w:color w:val="000000"/>
          <w:szCs w:val="24"/>
        </w:rPr>
        <w:t xml:space="preserve">anterior debido a </w:t>
      </w:r>
      <w:r>
        <w:rPr>
          <w:rFonts w:eastAsia="Times New Roman" w:cs="Times New Roman"/>
          <w:color w:val="000000"/>
          <w:szCs w:val="24"/>
        </w:rPr>
        <w:t xml:space="preserve">que se llegó por acuerdo </w:t>
      </w:r>
      <w:r w:rsidR="007353CE">
        <w:rPr>
          <w:rFonts w:eastAsia="Times New Roman" w:cs="Times New Roman"/>
          <w:color w:val="000000"/>
          <w:szCs w:val="24"/>
        </w:rPr>
        <w:t>verbal con los proveedores.</w:t>
      </w:r>
    </w:p>
    <w:p w14:paraId="7BF22804" w14:textId="77777777" w:rsidR="00F861B1" w:rsidRPr="00F861B1" w:rsidRDefault="00F861B1" w:rsidP="00F861B1">
      <w:pPr>
        <w:ind w:right="-7"/>
        <w:contextualSpacing/>
        <w:rPr>
          <w:rFonts w:eastAsia="Palatino Linotype" w:cs="Palatino Linotype"/>
          <w:szCs w:val="24"/>
        </w:rPr>
      </w:pPr>
    </w:p>
    <w:p w14:paraId="0F276DAB" w14:textId="77777777" w:rsidR="002C31FB" w:rsidRDefault="0043072C" w:rsidP="006950D6">
      <w:r>
        <w:lastRenderedPageBreak/>
        <w:t>A lo anterior, se debe recordar que la respuesta fue proporcionada por la Dirección de Administración, la cual, conforme al Reglamento Orgánico de la Administración Pública Municipal de Atenco tiene</w:t>
      </w:r>
      <w:r w:rsidR="002C31FB">
        <w:t>, entre otras, las siguientes facultades:</w:t>
      </w:r>
    </w:p>
    <w:p w14:paraId="7C28C2C0" w14:textId="77777777" w:rsidR="002C31FB" w:rsidRDefault="002C31FB" w:rsidP="006950D6"/>
    <w:p w14:paraId="19024F1B" w14:textId="6263EA64" w:rsidR="00DF5F8C" w:rsidRDefault="002C31FB" w:rsidP="004C7F0C">
      <w:pPr>
        <w:pStyle w:val="Fundamentos"/>
        <w:rPr>
          <w:lang w:val="es-MX"/>
        </w:rPr>
      </w:pPr>
      <w:r w:rsidRPr="004C7F0C">
        <w:rPr>
          <w:b/>
          <w:bCs/>
          <w:lang w:val="es-MX"/>
        </w:rPr>
        <w:t xml:space="preserve">Artículo 116. </w:t>
      </w:r>
      <w:r>
        <w:rPr>
          <w:lang w:val="es-MX"/>
        </w:rPr>
        <w:t>Son facultades y obligaciones de la Dirección de Administración, las siguientes:</w:t>
      </w:r>
    </w:p>
    <w:p w14:paraId="2E23E50E" w14:textId="3C8F92AE" w:rsidR="002C31FB" w:rsidRDefault="002C31FB" w:rsidP="004C7F0C">
      <w:pPr>
        <w:pStyle w:val="Fundamentos"/>
        <w:rPr>
          <w:lang w:val="es-MX"/>
        </w:rPr>
      </w:pPr>
      <w:r>
        <w:rPr>
          <w:lang w:val="es-MX"/>
        </w:rPr>
        <w:t>(…)</w:t>
      </w:r>
    </w:p>
    <w:p w14:paraId="6AFAF4E0" w14:textId="37CF3264" w:rsidR="002C31FB" w:rsidRDefault="002C31FB" w:rsidP="004C7F0C">
      <w:pPr>
        <w:pStyle w:val="Fundamentos"/>
        <w:rPr>
          <w:lang w:val="es-MX"/>
        </w:rPr>
      </w:pPr>
      <w:r>
        <w:rPr>
          <w:lang w:val="es-MX"/>
        </w:rPr>
        <w:t xml:space="preserve">V. Garantizar que las adquisiciones, arrendamientos y servicios de las diversas dependencias de la Administración Pública Municipal se determinen con base a </w:t>
      </w:r>
      <w:proofErr w:type="spellStart"/>
      <w:r>
        <w:rPr>
          <w:lang w:val="es-MX"/>
        </w:rPr>
        <w:t>ua</w:t>
      </w:r>
      <w:proofErr w:type="spellEnd"/>
      <w:r>
        <w:rPr>
          <w:lang w:val="es-MX"/>
        </w:rPr>
        <w:t xml:space="preserve"> planeación racional de sus necesidades y recursos, observando en todo tiempo las políticas de austeridad que señale el presupuesto de egresos;</w:t>
      </w:r>
    </w:p>
    <w:p w14:paraId="22CCEFD6" w14:textId="5165C1D5" w:rsidR="004C7F0C" w:rsidRDefault="004C7F0C" w:rsidP="004C7F0C">
      <w:pPr>
        <w:pStyle w:val="Fundamentos"/>
        <w:rPr>
          <w:lang w:val="es-MX"/>
        </w:rPr>
      </w:pPr>
      <w:r>
        <w:rPr>
          <w:lang w:val="es-MX"/>
        </w:rPr>
        <w:t>(…)</w:t>
      </w:r>
    </w:p>
    <w:p w14:paraId="47C9DDDF" w14:textId="14502F80" w:rsidR="004C7F0C" w:rsidRDefault="004C7F0C" w:rsidP="004C7F0C">
      <w:pPr>
        <w:pStyle w:val="Fundamentos"/>
        <w:rPr>
          <w:lang w:val="es-MX"/>
        </w:rPr>
      </w:pPr>
      <w:r>
        <w:rPr>
          <w:lang w:val="es-MX"/>
        </w:rPr>
        <w:t xml:space="preserve">X. Vigilar la adecuada planeación, </w:t>
      </w:r>
      <w:proofErr w:type="spellStart"/>
      <w:r>
        <w:rPr>
          <w:lang w:val="es-MX"/>
        </w:rPr>
        <w:t>progrmación</w:t>
      </w:r>
      <w:proofErr w:type="spellEnd"/>
      <w:r>
        <w:rPr>
          <w:lang w:val="es-MX"/>
        </w:rPr>
        <w:t xml:space="preserve">, </w:t>
      </w:r>
      <w:proofErr w:type="spellStart"/>
      <w:r>
        <w:rPr>
          <w:lang w:val="es-MX"/>
        </w:rPr>
        <w:t>presupuestacion</w:t>
      </w:r>
      <w:proofErr w:type="spellEnd"/>
      <w:r>
        <w:rPr>
          <w:lang w:val="es-MX"/>
        </w:rPr>
        <w:t xml:space="preserve">, ejecución y control de la adquisición, enajenación y arrendamiento de bienes, y la contratación de servicios de cualquier naturaleza que se requieran para el funcionamiento de la Administración Pública Municipal en estricto apego a la Ley de Contratación Pública del Estado de México y </w:t>
      </w:r>
      <w:proofErr w:type="spellStart"/>
      <w:r>
        <w:rPr>
          <w:lang w:val="es-MX"/>
        </w:rPr>
        <w:t>Muncipios</w:t>
      </w:r>
      <w:proofErr w:type="spellEnd"/>
      <w:r>
        <w:rPr>
          <w:lang w:val="es-MX"/>
        </w:rPr>
        <w:t>, y su reglamento respectivo;</w:t>
      </w:r>
    </w:p>
    <w:p w14:paraId="633AEBC3" w14:textId="77777777" w:rsidR="004C7F0C" w:rsidRDefault="004C7F0C" w:rsidP="006950D6">
      <w:pPr>
        <w:rPr>
          <w:lang w:val="es-MX"/>
        </w:rPr>
      </w:pPr>
    </w:p>
    <w:p w14:paraId="3CF52AD5" w14:textId="07DDFBCE" w:rsidR="002C31FB" w:rsidRDefault="004C7F0C" w:rsidP="006950D6">
      <w:pPr>
        <w:rPr>
          <w:lang w:val="es-MX"/>
        </w:rPr>
      </w:pPr>
      <w:r>
        <w:rPr>
          <w:lang w:val="es-MX"/>
        </w:rPr>
        <w:t>Así, se puede observar que dicha Dirección participa activamente en la contratación de servicios; no obstante, para generar la debida certeza jurídica a los solicitantes de información, la unidades de transparencia de los sujetos obligados están constreñidas a turnar la solicitud a todas las áreas</w:t>
      </w:r>
      <w:r w:rsidR="00812134">
        <w:rPr>
          <w:lang w:val="es-MX"/>
        </w:rPr>
        <w:t xml:space="preserve"> que pudiesen contar con la información, tal como está establecido en el artículo 162 de la Ley de Transparencia estatal, que a la letra dispone lo siguiente:</w:t>
      </w:r>
    </w:p>
    <w:p w14:paraId="6A11D457" w14:textId="490C0AE3" w:rsidR="00812134" w:rsidRDefault="00812134" w:rsidP="006950D6">
      <w:pPr>
        <w:rPr>
          <w:lang w:val="es-MX"/>
        </w:rPr>
      </w:pPr>
    </w:p>
    <w:p w14:paraId="6E0A74EA" w14:textId="433000E3" w:rsidR="00812134" w:rsidRPr="002C31FB" w:rsidRDefault="00812134" w:rsidP="00812134">
      <w:pPr>
        <w:pStyle w:val="Fundamentos"/>
        <w:rPr>
          <w:lang w:val="es-MX"/>
        </w:rPr>
      </w:pPr>
      <w:r w:rsidRPr="00812134">
        <w:rPr>
          <w:b/>
          <w:lang w:val="es-MX"/>
        </w:rPr>
        <w:t xml:space="preserve">Artículo 162. </w:t>
      </w:r>
      <w:r w:rsidRPr="00812134">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BE9C1D" w14:textId="5A77FA2C" w:rsidR="002C31FB" w:rsidRDefault="002C31FB" w:rsidP="006950D6"/>
    <w:p w14:paraId="47C54AB7" w14:textId="2E072A58" w:rsidR="002C31FB" w:rsidRDefault="00812134" w:rsidP="006950D6">
      <w:r>
        <w:lastRenderedPageBreak/>
        <w:t>En ese tenor, si bien es cierto que la Dirección de Administración hizo entrega de las facturas correspondientes al ejercicio 2021; también lo es que las tesorerías municipales tienen atribuciones para generar la información relativa a las erogaciones de los ayuntamientos, como está establecido en los artículos 93 y 95 fracción XXII de la Ley Orgánica Municipal del Estado de México, como se observa a continuación:</w:t>
      </w:r>
    </w:p>
    <w:p w14:paraId="204C2F84" w14:textId="25C7A582" w:rsidR="00812134" w:rsidRDefault="00812134" w:rsidP="006950D6"/>
    <w:p w14:paraId="77253BCC" w14:textId="63F02D3C" w:rsidR="00812134" w:rsidRDefault="00812134" w:rsidP="00040BB6">
      <w:pPr>
        <w:pStyle w:val="Fundamentos"/>
        <w:rPr>
          <w:lang w:val="es-ES"/>
        </w:rPr>
      </w:pPr>
      <w:r w:rsidRPr="00812134">
        <w:rPr>
          <w:b/>
          <w:lang w:val="es-ES"/>
        </w:rPr>
        <w:t>Artículo 93.-</w:t>
      </w:r>
      <w:r w:rsidRPr="00812134">
        <w:rPr>
          <w:lang w:val="es-ES"/>
        </w:rPr>
        <w:t xml:space="preserve"> </w:t>
      </w:r>
      <w:r w:rsidRPr="00040BB6">
        <w:rPr>
          <w:b/>
          <w:bCs/>
          <w:u w:val="single"/>
          <w:lang w:val="es-ES"/>
        </w:rPr>
        <w:t>La tesorería municipal es</w:t>
      </w:r>
      <w:r w:rsidRPr="00812134">
        <w:rPr>
          <w:lang w:val="es-ES"/>
        </w:rPr>
        <w:t xml:space="preserve"> el órgano encargado de la recaudación de los ingresos municipales y </w:t>
      </w:r>
      <w:r w:rsidRPr="00040BB6">
        <w:rPr>
          <w:b/>
          <w:bCs/>
          <w:u w:val="single"/>
          <w:lang w:val="es-ES"/>
        </w:rPr>
        <w:t>responsable de realizar las erogaciones que haga el ayuntamiento</w:t>
      </w:r>
      <w:r w:rsidRPr="00812134">
        <w:rPr>
          <w:lang w:val="es-ES"/>
        </w:rPr>
        <w:t>.</w:t>
      </w:r>
    </w:p>
    <w:p w14:paraId="10044AA4" w14:textId="0FB02204" w:rsidR="00812134" w:rsidRDefault="00812134" w:rsidP="00040BB6">
      <w:pPr>
        <w:pStyle w:val="Fundamentos"/>
        <w:rPr>
          <w:lang w:val="es-ES"/>
        </w:rPr>
      </w:pPr>
    </w:p>
    <w:p w14:paraId="73159BE9" w14:textId="595E4050" w:rsidR="00812134" w:rsidRDefault="00812134" w:rsidP="00040BB6">
      <w:pPr>
        <w:pStyle w:val="Fundamentos"/>
      </w:pPr>
      <w:r w:rsidRPr="00812134">
        <w:rPr>
          <w:b/>
          <w:lang w:val="es-ES"/>
        </w:rPr>
        <w:t>Artículo 95.-</w:t>
      </w:r>
      <w:r w:rsidRPr="00812134">
        <w:rPr>
          <w:lang w:val="es-ES"/>
        </w:rPr>
        <w:t xml:space="preserve"> Son atribuciones del tesorero municipal:</w:t>
      </w:r>
    </w:p>
    <w:p w14:paraId="37C6685E" w14:textId="1CFD3CB7" w:rsidR="00DF5F8C" w:rsidRDefault="00812134" w:rsidP="00040BB6">
      <w:pPr>
        <w:pStyle w:val="Fundamentos"/>
      </w:pPr>
      <w:r>
        <w:t>(…)</w:t>
      </w:r>
    </w:p>
    <w:p w14:paraId="525B4731" w14:textId="71E697DA" w:rsidR="00DF5F8C" w:rsidRDefault="00040BB6" w:rsidP="00040BB6">
      <w:pPr>
        <w:pStyle w:val="Fundamentos"/>
      </w:pPr>
      <w:r>
        <w:t xml:space="preserve">XXII. </w:t>
      </w:r>
      <w:r w:rsidRPr="00040BB6">
        <w:t>Las que les señalen las demás disposiciones legales y el ayuntamiento.</w:t>
      </w:r>
    </w:p>
    <w:p w14:paraId="7804C3AB" w14:textId="69D36C28" w:rsidR="00DF5F8C" w:rsidRDefault="00DF5F8C" w:rsidP="006950D6"/>
    <w:p w14:paraId="6EE9303E" w14:textId="7F0F452F" w:rsidR="00DF5F8C" w:rsidRDefault="00040BB6" w:rsidP="006950D6">
      <w:r>
        <w:t>En concordancia, el Reglamento Orgánico referido con anterioridad también establece lo siguiente respecto de la Tesorería Municipal:</w:t>
      </w:r>
    </w:p>
    <w:p w14:paraId="07DE2067" w14:textId="6F8DBA80" w:rsidR="00040BB6" w:rsidRDefault="00040BB6" w:rsidP="006950D6"/>
    <w:p w14:paraId="7CC58564" w14:textId="5582EB5B" w:rsidR="00040BB6" w:rsidRPr="00040BB6" w:rsidRDefault="00040BB6" w:rsidP="00040BB6">
      <w:pPr>
        <w:pStyle w:val="Fundamentos"/>
        <w:rPr>
          <w:lang w:val="es-MX" w:eastAsia="en-US"/>
        </w:rPr>
      </w:pPr>
      <w:r w:rsidRPr="00040BB6">
        <w:rPr>
          <w:b/>
          <w:bCs/>
          <w:lang w:val="es-MX" w:eastAsia="en-US"/>
        </w:rPr>
        <w:t>Art</w:t>
      </w:r>
      <w:r>
        <w:rPr>
          <w:b/>
          <w:bCs/>
          <w:lang w:val="es-MX" w:eastAsia="en-US"/>
        </w:rPr>
        <w:t>í</w:t>
      </w:r>
      <w:r w:rsidRPr="00040BB6">
        <w:rPr>
          <w:b/>
          <w:bCs/>
          <w:lang w:val="es-MX" w:eastAsia="en-US"/>
        </w:rPr>
        <w:t>culo</w:t>
      </w:r>
      <w:r>
        <w:rPr>
          <w:b/>
          <w:bCs/>
          <w:lang w:val="es-MX" w:eastAsia="en-US"/>
        </w:rPr>
        <w:t xml:space="preserve"> </w:t>
      </w:r>
      <w:r w:rsidRPr="00040BB6">
        <w:rPr>
          <w:b/>
          <w:bCs/>
          <w:lang w:val="es-MX" w:eastAsia="en-US"/>
        </w:rPr>
        <w:t>106.</w:t>
      </w:r>
      <w:r>
        <w:rPr>
          <w:b/>
          <w:bCs/>
          <w:lang w:val="es-MX" w:eastAsia="en-US"/>
        </w:rPr>
        <w:t xml:space="preserve"> </w:t>
      </w:r>
      <w:r w:rsidRPr="00040BB6">
        <w:rPr>
          <w:b/>
          <w:bCs/>
          <w:u w:val="single"/>
          <w:lang w:val="es-MX" w:eastAsia="en-US"/>
        </w:rPr>
        <w:t>La Tesorería</w:t>
      </w:r>
      <w:r w:rsidRPr="00040BB6">
        <w:rPr>
          <w:lang w:val="es-MX" w:eastAsia="en-US"/>
        </w:rPr>
        <w:t xml:space="preserve"> es el único órgano de la Administración Pública Municipal autorizado para la recaudación de los impuestos y derechos Municipales, y demás contribuciones de los particulares, de conformidad a lo establecido en la Ley Orgánica Municipal del Estado de México, así mismo, </w:t>
      </w:r>
      <w:r w:rsidRPr="00040BB6">
        <w:rPr>
          <w:b/>
          <w:bCs/>
          <w:u w:val="single"/>
          <w:lang w:val="es-MX" w:eastAsia="en-US"/>
        </w:rPr>
        <w:t>es responsable de efectuar las erogaciones que realice con cargo al presupuesto aprobado por el Ayuntamiento</w:t>
      </w:r>
      <w:r w:rsidRPr="00040BB6">
        <w:rPr>
          <w:lang w:val="es-MX" w:eastAsia="en-US"/>
        </w:rPr>
        <w:t xml:space="preserve">. </w:t>
      </w:r>
    </w:p>
    <w:p w14:paraId="2B38AB59" w14:textId="77777777" w:rsidR="00040BB6" w:rsidRPr="00040BB6" w:rsidRDefault="00040BB6" w:rsidP="006950D6">
      <w:pPr>
        <w:rPr>
          <w:lang w:val="es-MX"/>
        </w:rPr>
      </w:pPr>
    </w:p>
    <w:p w14:paraId="4B128DF1" w14:textId="497ABAA3" w:rsidR="00DF5F8C" w:rsidRDefault="00040BB6" w:rsidP="006950D6">
      <w:r>
        <w:t xml:space="preserve">En ese sentido, </w:t>
      </w:r>
      <w:r w:rsidR="00270521">
        <w:t xml:space="preserve">se estima que el Sujeto Obligado no colmó a plenitud los requerimientos del particular debido a que no se agotó la búsqueda exhaustiva y razonable de la información </w:t>
      </w:r>
      <w:r w:rsidR="00F62544">
        <w:t>relativa al ejercicio 2022.</w:t>
      </w:r>
    </w:p>
    <w:p w14:paraId="0456DB9B" w14:textId="13337B5D" w:rsidR="00F62544" w:rsidRDefault="00F62544" w:rsidP="006950D6"/>
    <w:p w14:paraId="39105F26" w14:textId="01BED492" w:rsidR="00F62544" w:rsidRDefault="00F62544" w:rsidP="006950D6">
      <w:r>
        <w:lastRenderedPageBreak/>
        <w:t>En consecuencia, este Instituto considera que las razones o motivos de inconformidad del Recurrente son fundados, por lo que es procedente modificar la respuesta del Sujeto Obligado y ordenar que se realice una búsqueda exhaustiva y razonable en los archivos de todas las áreas que se consideren competentes con el propósito de hacer entrega al Recurrente de las facturas de gastos por conceptos de alimentos, lonas, mesas, sillas e insumos utilizados en las jornadas de vacunación contra la COVID-19 generadas del primero de enero al cinco de abril de dos mil veintidós, en versión pública de ser procedente.</w:t>
      </w:r>
    </w:p>
    <w:p w14:paraId="10ED8796" w14:textId="03772EDC" w:rsidR="00F62544" w:rsidRPr="00AC7507" w:rsidRDefault="00F62544" w:rsidP="006950D6">
      <w:pPr>
        <w:rPr>
          <w:sz w:val="22"/>
          <w:szCs w:val="21"/>
        </w:rPr>
      </w:pPr>
    </w:p>
    <w:p w14:paraId="0E4D5C3B" w14:textId="03825E8F" w:rsidR="00F62544" w:rsidRDefault="00F62544" w:rsidP="006950D6">
      <w:r>
        <w:t xml:space="preserve">No obstante, si una vez realizada la búsqueda exhaustiva y razonable de la información en los archivos de las áreas competentes, ésta no fuera localizada, </w:t>
      </w:r>
      <w:r w:rsidR="00720A77">
        <w:t>se deberá hacer del conocimiento del Recurrente conforme a lo dispuesto en el segundo párrafo del artículo 19 de la Ley de la materia, que establece lo siguiente:</w:t>
      </w:r>
    </w:p>
    <w:p w14:paraId="3B725849" w14:textId="2CB1B52C" w:rsidR="00720A77" w:rsidRPr="00AC7507" w:rsidRDefault="00720A77" w:rsidP="006950D6">
      <w:pPr>
        <w:rPr>
          <w:sz w:val="20"/>
          <w:szCs w:val="18"/>
        </w:rPr>
      </w:pPr>
    </w:p>
    <w:p w14:paraId="2EB8A090" w14:textId="77777777" w:rsidR="00720A77" w:rsidRPr="00720A77" w:rsidRDefault="00720A77" w:rsidP="00720A77">
      <w:pPr>
        <w:pStyle w:val="Fundamentos"/>
        <w:rPr>
          <w:lang w:val="es-MX"/>
        </w:rPr>
      </w:pPr>
      <w:r w:rsidRPr="00720A77">
        <w:rPr>
          <w:b/>
          <w:lang w:val="es-MX"/>
        </w:rPr>
        <w:t xml:space="preserve">Artículo 19. </w:t>
      </w:r>
      <w:r w:rsidRPr="00720A77">
        <w:rPr>
          <w:lang w:val="es-MX"/>
        </w:rPr>
        <w:t>Se presume que la información debe existir si se refiere a las facultades, competencias y funciones que los ordenamientos jurídicos aplicables otorgan a los sujetos obligados.</w:t>
      </w:r>
    </w:p>
    <w:p w14:paraId="7BF483BC" w14:textId="77777777" w:rsidR="00720A77" w:rsidRPr="00AC7507" w:rsidRDefault="00720A77" w:rsidP="00720A77">
      <w:pPr>
        <w:pStyle w:val="Fundamentos"/>
        <w:rPr>
          <w:sz w:val="20"/>
          <w:szCs w:val="21"/>
          <w:lang w:val="es-MX"/>
        </w:rPr>
      </w:pPr>
    </w:p>
    <w:p w14:paraId="6E6EB1D0" w14:textId="77777777" w:rsidR="00720A77" w:rsidRPr="00720A77" w:rsidRDefault="00720A77" w:rsidP="00720A77">
      <w:pPr>
        <w:pStyle w:val="Fundamentos"/>
        <w:rPr>
          <w:lang w:val="es-MX"/>
        </w:rPr>
      </w:pPr>
      <w:r w:rsidRPr="00720A77">
        <w:rPr>
          <w:b/>
          <w:bCs/>
          <w:u w:val="single"/>
          <w:lang w:val="es-MX"/>
        </w:rPr>
        <w:t>En los casos en que ciertas facultades, competencias o funciones no se hayan ejercido, se debe motivar la respuesta en función de las causas que motiven tal circunstancia</w:t>
      </w:r>
      <w:r w:rsidRPr="00720A77">
        <w:rPr>
          <w:lang w:val="es-MX"/>
        </w:rPr>
        <w:t>.</w:t>
      </w:r>
    </w:p>
    <w:p w14:paraId="27A875C5" w14:textId="77777777" w:rsidR="00720A77" w:rsidRPr="00AC7507" w:rsidRDefault="00720A77" w:rsidP="00720A77">
      <w:pPr>
        <w:pStyle w:val="Fundamentos"/>
        <w:rPr>
          <w:sz w:val="20"/>
          <w:szCs w:val="21"/>
          <w:lang w:val="es-MX"/>
        </w:rPr>
      </w:pPr>
    </w:p>
    <w:p w14:paraId="38802BDB" w14:textId="04BACE20" w:rsidR="00720A77" w:rsidRDefault="00720A77" w:rsidP="00720A77">
      <w:pPr>
        <w:pStyle w:val="Fundamentos"/>
      </w:pPr>
      <w:r w:rsidRPr="00720A77">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1264BA" w14:textId="7A8BE5F3" w:rsidR="00CE12F6" w:rsidRPr="00AC7507" w:rsidRDefault="00CE12F6" w:rsidP="007F15FE">
      <w:pPr>
        <w:contextualSpacing/>
        <w:rPr>
          <w:rFonts w:eastAsia="Palatino Linotype" w:cs="Palatino Linotype"/>
          <w:color w:val="000000"/>
          <w:sz w:val="20"/>
          <w:szCs w:val="20"/>
        </w:rPr>
      </w:pPr>
    </w:p>
    <w:p w14:paraId="124ED7BA" w14:textId="77777777" w:rsidR="00151764" w:rsidRPr="007657CF" w:rsidRDefault="00151764" w:rsidP="00275BE9">
      <w:pPr>
        <w:pStyle w:val="Ttulo3"/>
      </w:pPr>
      <w:r w:rsidRPr="007657CF">
        <w:t>DE LA VERSIÓN PÚBLICA.</w:t>
      </w:r>
    </w:p>
    <w:p w14:paraId="1B8B6C9C" w14:textId="77777777" w:rsidR="005D1F9B" w:rsidRPr="007657CF" w:rsidRDefault="005D1F9B" w:rsidP="005D1F9B">
      <w:pPr>
        <w:rPr>
          <w:rFonts w:eastAsia="Palatino Linotype" w:cs="Palatino Linotype"/>
          <w:szCs w:val="24"/>
        </w:rPr>
      </w:pPr>
      <w:r w:rsidRPr="007657CF">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7657CF">
        <w:rPr>
          <w:rFonts w:eastAsia="Palatino Linotype" w:cs="Palatino Linotype"/>
          <w:szCs w:val="24"/>
        </w:rPr>
        <w:lastRenderedPageBreak/>
        <w:t>Acceso a la Información Pública del Estado de México y Municipios que establecen lo siguiente:</w:t>
      </w:r>
    </w:p>
    <w:p w14:paraId="4ED25C6F" w14:textId="77777777" w:rsidR="005D1F9B" w:rsidRPr="007657CF" w:rsidRDefault="005D1F9B" w:rsidP="005D1F9B">
      <w:pPr>
        <w:rPr>
          <w:rFonts w:eastAsia="Palatino Linotype" w:cs="Palatino Linotype"/>
          <w:szCs w:val="24"/>
        </w:rPr>
      </w:pPr>
    </w:p>
    <w:p w14:paraId="7730FE44" w14:textId="77777777" w:rsidR="005D1F9B" w:rsidRPr="007657CF" w:rsidRDefault="005D1F9B" w:rsidP="005D1F9B">
      <w:pPr>
        <w:pStyle w:val="Fundamentos"/>
      </w:pPr>
      <w:r w:rsidRPr="007657CF">
        <w:rPr>
          <w:b/>
        </w:rPr>
        <w:t>Artículo 3.</w:t>
      </w:r>
      <w:r w:rsidRPr="007657CF">
        <w:t xml:space="preserve"> Para los efectos de la presente Ley se entenderá por:</w:t>
      </w:r>
    </w:p>
    <w:p w14:paraId="2D975EC8" w14:textId="77777777" w:rsidR="005D1F9B" w:rsidRPr="007657CF" w:rsidRDefault="005D1F9B" w:rsidP="005D1F9B">
      <w:pPr>
        <w:pStyle w:val="Fundamentos"/>
      </w:pPr>
      <w:r w:rsidRPr="007657CF">
        <w:t>(…)</w:t>
      </w:r>
    </w:p>
    <w:p w14:paraId="231BDDAC" w14:textId="77777777" w:rsidR="005D1F9B" w:rsidRPr="007657CF" w:rsidRDefault="005D1F9B" w:rsidP="005D1F9B">
      <w:pPr>
        <w:pStyle w:val="Fundamentos"/>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7F13E01B" w14:textId="77777777" w:rsidR="005D1F9B" w:rsidRPr="007657CF" w:rsidRDefault="005D1F9B" w:rsidP="005D1F9B">
      <w:pPr>
        <w:pStyle w:val="Fundamentos"/>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388956BB" w14:textId="77777777" w:rsidR="005D1F9B" w:rsidRPr="007657CF" w:rsidRDefault="005D1F9B" w:rsidP="005D1F9B">
      <w:pPr>
        <w:pStyle w:val="Fundamentos"/>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D12592" w14:textId="77777777" w:rsidR="005D1F9B" w:rsidRPr="007657CF" w:rsidRDefault="005D1F9B" w:rsidP="005D1F9B">
      <w:pPr>
        <w:pStyle w:val="Fundamentos"/>
      </w:pPr>
      <w:r w:rsidRPr="007657CF">
        <w:rPr>
          <w:b/>
        </w:rPr>
        <w:t>…</w:t>
      </w:r>
    </w:p>
    <w:p w14:paraId="7D9AF926" w14:textId="77777777" w:rsidR="005D1F9B" w:rsidRPr="007657CF" w:rsidRDefault="005D1F9B" w:rsidP="005D1F9B">
      <w:pPr>
        <w:pStyle w:val="Fundamentos"/>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3D551FF7" w14:textId="77777777" w:rsidR="005D1F9B" w:rsidRPr="007657CF" w:rsidRDefault="005D1F9B" w:rsidP="005D1F9B">
      <w:pPr>
        <w:pStyle w:val="Fundamentos"/>
      </w:pPr>
      <w:r w:rsidRPr="007657CF">
        <w:t>(…)</w:t>
      </w:r>
    </w:p>
    <w:p w14:paraId="05B815A2" w14:textId="77777777" w:rsidR="005D1F9B" w:rsidRPr="007657CF" w:rsidRDefault="005D1F9B" w:rsidP="005D1F9B">
      <w:pPr>
        <w:pStyle w:val="Fundamentos"/>
      </w:pPr>
    </w:p>
    <w:p w14:paraId="0222A599" w14:textId="77777777" w:rsidR="005D1F9B" w:rsidRPr="007657CF" w:rsidRDefault="005D1F9B" w:rsidP="005D1F9B">
      <w:pPr>
        <w:pStyle w:val="Fundamentos"/>
      </w:pPr>
      <w:r w:rsidRPr="007657CF">
        <w:rPr>
          <w:b/>
        </w:rPr>
        <w:t xml:space="preserve">Artículo 91. </w:t>
      </w:r>
      <w:r w:rsidRPr="007657CF">
        <w:t>El acceso a la información pública será restringido excepcionalmente, cuando ésta sea clasificada como reservada o confidencial.</w:t>
      </w:r>
    </w:p>
    <w:p w14:paraId="06378579" w14:textId="77777777" w:rsidR="005D1F9B" w:rsidRPr="007657CF" w:rsidRDefault="005D1F9B" w:rsidP="005D1F9B">
      <w:pPr>
        <w:pStyle w:val="Fundamentos"/>
      </w:pPr>
    </w:p>
    <w:p w14:paraId="1B0830DA" w14:textId="77777777" w:rsidR="005D1F9B" w:rsidRPr="007657CF" w:rsidRDefault="005D1F9B" w:rsidP="005D1F9B">
      <w:pPr>
        <w:pStyle w:val="Fundamentos"/>
      </w:pPr>
      <w:r w:rsidRPr="007657CF">
        <w:rPr>
          <w:b/>
        </w:rPr>
        <w:t>Artículo 132.</w:t>
      </w:r>
      <w:r w:rsidRPr="007657CF">
        <w:t xml:space="preserve"> </w:t>
      </w:r>
      <w:r w:rsidRPr="007657CF">
        <w:rPr>
          <w:u w:val="single"/>
        </w:rPr>
        <w:t>La clasificación de la información se llevará a cabo en el momento en que</w:t>
      </w:r>
      <w:r w:rsidRPr="007657CF">
        <w:t>:</w:t>
      </w:r>
    </w:p>
    <w:p w14:paraId="2446E704" w14:textId="77777777" w:rsidR="005D1F9B" w:rsidRPr="007657CF" w:rsidRDefault="005D1F9B" w:rsidP="005D1F9B">
      <w:pPr>
        <w:pStyle w:val="Fundamentos"/>
      </w:pPr>
      <w:r w:rsidRPr="007657CF">
        <w:rPr>
          <w:b/>
        </w:rPr>
        <w:t>I.</w:t>
      </w:r>
      <w:r w:rsidRPr="007657CF">
        <w:t xml:space="preserve"> Se reciba una solicitud de acceso a la información;</w:t>
      </w:r>
    </w:p>
    <w:p w14:paraId="4F194826" w14:textId="77777777" w:rsidR="005D1F9B" w:rsidRPr="007657CF" w:rsidRDefault="005D1F9B" w:rsidP="005D1F9B">
      <w:pPr>
        <w:pStyle w:val="Fundamentos"/>
      </w:pPr>
      <w:r w:rsidRPr="007657CF">
        <w:rPr>
          <w:b/>
        </w:rPr>
        <w:t>II.</w:t>
      </w:r>
      <w:r w:rsidRPr="007657CF">
        <w:t xml:space="preserve"> </w:t>
      </w:r>
      <w:r w:rsidRPr="007657CF">
        <w:rPr>
          <w:u w:val="single"/>
        </w:rPr>
        <w:t>Se determine mediante resolución de autoridad competente; o</w:t>
      </w:r>
    </w:p>
    <w:p w14:paraId="17F1CB23" w14:textId="77777777" w:rsidR="005D1F9B" w:rsidRPr="007657CF" w:rsidRDefault="005D1F9B" w:rsidP="005D1F9B">
      <w:pPr>
        <w:pStyle w:val="Fundamentos"/>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320ABA1C" w14:textId="77777777" w:rsidR="005D1F9B" w:rsidRPr="007657CF" w:rsidRDefault="005D1F9B" w:rsidP="005D1F9B">
      <w:pPr>
        <w:pStyle w:val="Fundamentos"/>
      </w:pPr>
      <w:r w:rsidRPr="007657CF">
        <w:t>(…)</w:t>
      </w:r>
    </w:p>
    <w:p w14:paraId="60928715" w14:textId="77777777" w:rsidR="005D1F9B" w:rsidRPr="007657CF" w:rsidRDefault="005D1F9B" w:rsidP="005D1F9B">
      <w:pPr>
        <w:rPr>
          <w:rFonts w:eastAsia="Palatino Linotype" w:cs="Palatino Linotype"/>
          <w:i/>
          <w:szCs w:val="24"/>
        </w:rPr>
      </w:pPr>
    </w:p>
    <w:p w14:paraId="70551255" w14:textId="77777777" w:rsidR="005D1F9B" w:rsidRPr="007657CF" w:rsidRDefault="005D1F9B" w:rsidP="005D1F9B">
      <w:pPr>
        <w:rPr>
          <w:rFonts w:eastAsia="Palatino Linotype" w:cs="Palatino Linotype"/>
          <w:szCs w:val="24"/>
        </w:rPr>
      </w:pPr>
      <w:r w:rsidRPr="007657C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7657CF" w:rsidRDefault="005D1F9B" w:rsidP="005D1F9B">
      <w:pPr>
        <w:rPr>
          <w:rFonts w:eastAsia="Palatino Linotype" w:cs="Palatino Linotype"/>
          <w:szCs w:val="24"/>
        </w:rPr>
      </w:pPr>
    </w:p>
    <w:p w14:paraId="33BDCBB0" w14:textId="77777777" w:rsidR="005D1F9B" w:rsidRPr="007657CF" w:rsidRDefault="005D1F9B" w:rsidP="005D1F9B">
      <w:pPr>
        <w:rPr>
          <w:rFonts w:eastAsia="Palatino Linotype" w:cs="Palatino Linotype"/>
          <w:szCs w:val="24"/>
        </w:rPr>
      </w:pPr>
      <w:r w:rsidRPr="007657CF">
        <w:rPr>
          <w:rFonts w:eastAsia="Palatino Linotype" w:cs="Palatino Linotype"/>
          <w:szCs w:val="24"/>
        </w:rPr>
        <w:t xml:space="preserve">Por otro lado, los </w:t>
      </w:r>
      <w:r w:rsidRPr="007657CF">
        <w:rPr>
          <w:rFonts w:eastAsia="Palatino Linotype" w:cs="Palatino Linotype"/>
          <w:i/>
          <w:szCs w:val="24"/>
        </w:rPr>
        <w:t>Lineamientos Generales en Materia de Clasificación y Desclasificación de la Información, así como para la elaboración de Versiones Públicas</w:t>
      </w:r>
      <w:r w:rsidRPr="007657C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7657CF" w:rsidRDefault="005D1F9B" w:rsidP="005D1F9B">
      <w:pPr>
        <w:rPr>
          <w:rFonts w:eastAsia="Palatino Linotype" w:cs="Palatino Linotype"/>
          <w:szCs w:val="24"/>
        </w:rPr>
      </w:pPr>
    </w:p>
    <w:p w14:paraId="7E36E24C" w14:textId="77777777" w:rsidR="005D1F9B" w:rsidRPr="007657CF" w:rsidRDefault="005D1F9B" w:rsidP="005D1F9B">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1A94877B" w14:textId="77777777" w:rsidR="005D1F9B" w:rsidRPr="007657CF" w:rsidRDefault="005D1F9B" w:rsidP="005D1F9B">
      <w:pPr>
        <w:rPr>
          <w:rFonts w:eastAsia="Palatino Linotype" w:cs="Palatino Linotype"/>
        </w:rPr>
      </w:pPr>
    </w:p>
    <w:p w14:paraId="4F1E358D" w14:textId="77777777" w:rsidR="005D1F9B" w:rsidRPr="007657CF" w:rsidRDefault="005D1F9B" w:rsidP="005D1F9B">
      <w:pPr>
        <w:pStyle w:val="Fundamentos"/>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4F94115" w14:textId="77777777" w:rsidR="005D1F9B" w:rsidRPr="007657CF" w:rsidRDefault="005D1F9B" w:rsidP="005D1F9B">
      <w:pPr>
        <w:pStyle w:val="Fundamentos"/>
      </w:pPr>
    </w:p>
    <w:p w14:paraId="79429AD1" w14:textId="77777777" w:rsidR="005D1F9B" w:rsidRPr="007657CF" w:rsidRDefault="005D1F9B" w:rsidP="005D1F9B">
      <w:pPr>
        <w:pStyle w:val="Fundamentos"/>
      </w:pPr>
      <w:r w:rsidRPr="007657CF">
        <w:rPr>
          <w:b/>
        </w:rPr>
        <w:t>Quincuagésimo séptimo.</w:t>
      </w:r>
      <w:r w:rsidRPr="007657CF">
        <w:t xml:space="preserve"> Se considera, en principio, como información pública y no podrá omitirse de las versiones públicas la siguiente:</w:t>
      </w:r>
    </w:p>
    <w:p w14:paraId="0B3A3C1D" w14:textId="77777777" w:rsidR="005D1F9B" w:rsidRPr="007657CF" w:rsidRDefault="005D1F9B" w:rsidP="005D1F9B">
      <w:pPr>
        <w:pStyle w:val="Fundamentos"/>
      </w:pPr>
      <w:r w:rsidRPr="007657CF">
        <w:t xml:space="preserve"> </w:t>
      </w:r>
    </w:p>
    <w:p w14:paraId="5420E57F" w14:textId="77777777" w:rsidR="005D1F9B" w:rsidRPr="007657CF" w:rsidRDefault="005D1F9B" w:rsidP="005D1F9B">
      <w:pPr>
        <w:pStyle w:val="Fundamentos"/>
      </w:pPr>
      <w:r w:rsidRPr="007657CF">
        <w:t xml:space="preserve">I. La relativa a las Obligaciones de Transparencia que contempla el Título V de la Ley General y las demás disposiciones legales aplicables; </w:t>
      </w:r>
    </w:p>
    <w:p w14:paraId="0D11257D" w14:textId="77777777" w:rsidR="005D1F9B" w:rsidRPr="007657CF" w:rsidRDefault="005D1F9B" w:rsidP="005D1F9B">
      <w:pPr>
        <w:pStyle w:val="Fundamentos"/>
      </w:pPr>
      <w:r w:rsidRPr="007657CF">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7657CF" w:rsidRDefault="005D1F9B" w:rsidP="005D1F9B">
      <w:pPr>
        <w:pStyle w:val="Fundamentos"/>
      </w:pPr>
      <w:r w:rsidRPr="007657C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7657CF" w:rsidRDefault="005D1F9B" w:rsidP="005D1F9B">
      <w:pPr>
        <w:pStyle w:val="Fundamentos"/>
      </w:pPr>
    </w:p>
    <w:p w14:paraId="79054C90" w14:textId="77777777" w:rsidR="005D1F9B" w:rsidRPr="007657CF" w:rsidRDefault="005D1F9B" w:rsidP="005D1F9B">
      <w:pPr>
        <w:pStyle w:val="Fundamentos"/>
      </w:pPr>
      <w:r w:rsidRPr="007657CF">
        <w:lastRenderedPageBreak/>
        <w:t xml:space="preserve">Lo anterior, siempre y cuando no se acredite alguna causal de clasificación, prevista en las leyes o en los tratados internacionales suscritos por el Estado mexicano. </w:t>
      </w:r>
    </w:p>
    <w:p w14:paraId="5B572EF1" w14:textId="77777777" w:rsidR="005D1F9B" w:rsidRPr="007657CF" w:rsidRDefault="005D1F9B" w:rsidP="005D1F9B">
      <w:pPr>
        <w:pStyle w:val="Fundamentos"/>
      </w:pPr>
    </w:p>
    <w:p w14:paraId="3AB0AC7E" w14:textId="77777777" w:rsidR="005D1F9B" w:rsidRPr="007657CF" w:rsidRDefault="005D1F9B" w:rsidP="005D1F9B">
      <w:pPr>
        <w:pStyle w:val="Fundamentos"/>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7657CF" w:rsidRDefault="005D1F9B" w:rsidP="005D1F9B">
      <w:pPr>
        <w:rPr>
          <w:rFonts w:eastAsia="Palatino Linotype" w:cs="Palatino Linotype"/>
          <w:i/>
          <w:szCs w:val="24"/>
        </w:rPr>
      </w:pPr>
    </w:p>
    <w:p w14:paraId="00DE8DB5" w14:textId="77777777" w:rsidR="005D1F9B" w:rsidRPr="007657CF" w:rsidRDefault="005D1F9B" w:rsidP="005D1F9B">
      <w:pPr>
        <w:rPr>
          <w:rFonts w:eastAsia="Palatino Linotype" w:cs="Palatino Linotype"/>
          <w:szCs w:val="24"/>
        </w:rPr>
      </w:pPr>
      <w:r w:rsidRPr="007657C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4EEFC1E" w14:textId="77777777" w:rsidR="005D1F9B" w:rsidRPr="007657CF" w:rsidRDefault="005D1F9B" w:rsidP="005D1F9B">
      <w:pPr>
        <w:rPr>
          <w:rFonts w:eastAsia="Palatino Linotype" w:cs="Palatino Linotype"/>
          <w:szCs w:val="24"/>
        </w:rPr>
      </w:pPr>
    </w:p>
    <w:p w14:paraId="0F4B00EA" w14:textId="373940A1" w:rsidR="005D1F9B" w:rsidRDefault="005D1F9B" w:rsidP="005D1F9B">
      <w:pPr>
        <w:rPr>
          <w:rFonts w:eastAsia="Palatino Linotype" w:cs="Palatino Linotype"/>
          <w:szCs w:val="24"/>
        </w:rPr>
      </w:pPr>
      <w:r w:rsidRPr="007657CF">
        <w:rPr>
          <w:rFonts w:eastAsia="Palatino Linotype" w:cs="Palatino Linotype"/>
          <w:szCs w:val="24"/>
        </w:rPr>
        <w:t>Por lo que respecta al Acuerdo del Comité de Transparencia que sustente la versión pública de la documentación a entregar, deberá ser notificado mediante el SAIMEX.</w:t>
      </w:r>
      <w:r w:rsidR="00176072">
        <w:rPr>
          <w:rFonts w:eastAsia="Palatino Linotype" w:cs="Palatino Linotype"/>
          <w:szCs w:val="24"/>
        </w:rPr>
        <w:t xml:space="preserve"> </w:t>
      </w:r>
    </w:p>
    <w:p w14:paraId="2A712619" w14:textId="51CF5D1B" w:rsidR="00176072" w:rsidRDefault="00176072" w:rsidP="005D1F9B">
      <w:pPr>
        <w:rPr>
          <w:rFonts w:eastAsia="Palatino Linotype" w:cs="Palatino Linotype"/>
          <w:szCs w:val="24"/>
        </w:rPr>
      </w:pPr>
    </w:p>
    <w:p w14:paraId="1B33AE5A" w14:textId="1FC5E43E" w:rsidR="00176072" w:rsidRDefault="00176072" w:rsidP="005D1F9B">
      <w:pPr>
        <w:rPr>
          <w:rFonts w:eastAsia="Palatino Linotype" w:cs="Palatino Linotype"/>
          <w:szCs w:val="24"/>
        </w:rPr>
      </w:pPr>
      <w:r>
        <w:rPr>
          <w:rFonts w:eastAsia="Palatino Linotype" w:cs="Palatino Linotype"/>
          <w:szCs w:val="24"/>
        </w:rPr>
        <w:t xml:space="preserve">No se omite mencionar que las facturas cubiertas por las autoridades pueden contener datos que son de interés públicos, entre las que se encuentran de manera enunciativa </w:t>
      </w:r>
      <w:r w:rsidRPr="00176072">
        <w:rPr>
          <w:rFonts w:eastAsia="Palatino Linotype" w:cs="Palatino Linotype"/>
          <w:szCs w:val="24"/>
        </w:rPr>
        <w:t>el importe pagado, el RFC del emisor, nombre del emisor, número o folio fiscal de la factura</w:t>
      </w:r>
      <w:r>
        <w:rPr>
          <w:rFonts w:eastAsia="Palatino Linotype" w:cs="Palatino Linotype"/>
          <w:szCs w:val="24"/>
        </w:rPr>
        <w:t xml:space="preserve">, cadenas y series fiscales. </w:t>
      </w:r>
    </w:p>
    <w:p w14:paraId="05D1E5C9" w14:textId="6068F987" w:rsidR="00176072" w:rsidRDefault="00176072" w:rsidP="005D1F9B">
      <w:pPr>
        <w:rPr>
          <w:rFonts w:eastAsia="Palatino Linotype" w:cs="Palatino Linotype"/>
          <w:szCs w:val="24"/>
        </w:rPr>
      </w:pPr>
    </w:p>
    <w:p w14:paraId="72F42B18" w14:textId="77777777" w:rsidR="00B4470D" w:rsidRPr="00B4470D" w:rsidRDefault="00176072" w:rsidP="00B4470D">
      <w:pPr>
        <w:contextualSpacing/>
        <w:rPr>
          <w:rFonts w:eastAsia="Palatino Linotype" w:cs="Palatino Linotype"/>
          <w:szCs w:val="24"/>
        </w:rPr>
      </w:pPr>
      <w:r>
        <w:rPr>
          <w:rFonts w:eastAsia="Palatino Linotype" w:cs="Palatino Linotype"/>
          <w:szCs w:val="24"/>
        </w:rPr>
        <w:lastRenderedPageBreak/>
        <w:t xml:space="preserve">Al respecto, se debe hacer mención que </w:t>
      </w:r>
      <w:r w:rsidR="00B4470D" w:rsidRPr="00B4470D">
        <w:rPr>
          <w:rFonts w:eastAsia="Palatino Linotype" w:cs="Palatino Linotype"/>
          <w:szCs w:val="24"/>
        </w:rPr>
        <w:t>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1C2633A7" w14:textId="77777777" w:rsidR="00B4470D" w:rsidRPr="00B4470D" w:rsidRDefault="00B4470D" w:rsidP="00B4470D">
      <w:pPr>
        <w:contextualSpacing/>
        <w:rPr>
          <w:rFonts w:eastAsia="Palatino Linotype" w:cs="Palatino Linotype"/>
          <w:szCs w:val="24"/>
        </w:rPr>
      </w:pPr>
    </w:p>
    <w:p w14:paraId="009851EF" w14:textId="77777777" w:rsidR="00B4470D" w:rsidRPr="00B4470D" w:rsidRDefault="00B4470D" w:rsidP="00B4470D">
      <w:pPr>
        <w:spacing w:line="240" w:lineRule="auto"/>
        <w:ind w:left="567" w:right="616"/>
        <w:contextualSpacing/>
        <w:rPr>
          <w:rFonts w:eastAsia="Palatino Linotype" w:cs="Palatino Linotype"/>
          <w:b/>
          <w:bCs/>
          <w:i/>
          <w:iCs/>
          <w:sz w:val="22"/>
        </w:rPr>
      </w:pPr>
      <w:r w:rsidRPr="00B4470D">
        <w:rPr>
          <w:rFonts w:eastAsia="Palatino Linotype" w:cs="Palatino Linotype"/>
          <w:b/>
          <w:bCs/>
          <w:i/>
          <w:iCs/>
          <w:sz w:val="22"/>
        </w:rPr>
        <w:t>Criterio 08/19</w:t>
      </w:r>
    </w:p>
    <w:p w14:paraId="6E8BDD24" w14:textId="77777777" w:rsidR="00B4470D" w:rsidRPr="00B4470D" w:rsidRDefault="00B4470D" w:rsidP="00B4470D">
      <w:pPr>
        <w:spacing w:line="240" w:lineRule="auto"/>
        <w:ind w:left="567" w:right="616"/>
        <w:contextualSpacing/>
        <w:rPr>
          <w:rFonts w:eastAsia="Palatino Linotype" w:cs="Palatino Linotype"/>
          <w:i/>
          <w:iCs/>
          <w:sz w:val="22"/>
        </w:rPr>
      </w:pPr>
      <w:r w:rsidRPr="00B4470D">
        <w:rPr>
          <w:rFonts w:eastAsia="Palatino Linotype" w:cs="Palatino Linotype"/>
          <w:b/>
          <w:bCs/>
          <w:i/>
          <w:iCs/>
          <w:sz w:val="22"/>
        </w:rPr>
        <w:t xml:space="preserve">Razón social y RFC de personas morales. </w:t>
      </w:r>
      <w:r w:rsidRPr="00B4470D">
        <w:rPr>
          <w:rFonts w:eastAsia="Palatino Linotype" w:cs="Palatino Linotype"/>
          <w:i/>
          <w:iCs/>
          <w:sz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6AFAB70" w14:textId="77777777" w:rsidR="00B4470D" w:rsidRPr="00B4470D" w:rsidRDefault="00B4470D" w:rsidP="00B4470D">
      <w:pPr>
        <w:spacing w:line="240" w:lineRule="auto"/>
        <w:ind w:right="616"/>
        <w:contextualSpacing/>
        <w:rPr>
          <w:rFonts w:eastAsia="Palatino Linotype" w:cs="Palatino Linotype"/>
          <w:b/>
          <w:bCs/>
          <w:i/>
          <w:iCs/>
          <w:sz w:val="22"/>
        </w:rPr>
      </w:pPr>
    </w:p>
    <w:p w14:paraId="1C50A25C" w14:textId="77777777" w:rsidR="00B4470D" w:rsidRPr="00B4470D" w:rsidRDefault="00B4470D" w:rsidP="00B4470D">
      <w:pPr>
        <w:spacing w:line="240" w:lineRule="auto"/>
        <w:ind w:left="567" w:right="616"/>
        <w:contextualSpacing/>
        <w:rPr>
          <w:rFonts w:eastAsia="Palatino Linotype" w:cs="Palatino Linotype"/>
          <w:b/>
          <w:bCs/>
          <w:i/>
          <w:iCs/>
          <w:sz w:val="22"/>
        </w:rPr>
      </w:pPr>
      <w:r w:rsidRPr="00B4470D">
        <w:rPr>
          <w:rFonts w:eastAsia="Palatino Linotype" w:cs="Palatino Linotype"/>
          <w:b/>
          <w:bCs/>
          <w:i/>
          <w:iCs/>
          <w:sz w:val="22"/>
        </w:rPr>
        <w:t>Criterio 04/21</w:t>
      </w:r>
    </w:p>
    <w:p w14:paraId="5C715F83" w14:textId="77777777" w:rsidR="00B4470D" w:rsidRPr="00B4470D" w:rsidRDefault="00B4470D" w:rsidP="00B4470D">
      <w:pPr>
        <w:spacing w:line="240" w:lineRule="auto"/>
        <w:ind w:left="567" w:right="616"/>
        <w:contextualSpacing/>
        <w:rPr>
          <w:rFonts w:eastAsia="Palatino Linotype" w:cs="Palatino Linotype"/>
          <w:i/>
          <w:iCs/>
          <w:sz w:val="22"/>
        </w:rPr>
      </w:pPr>
      <w:r w:rsidRPr="00B4470D">
        <w:rPr>
          <w:rFonts w:eastAsia="Palatino Linotype" w:cs="Palatino Linotype"/>
          <w:b/>
          <w:bCs/>
          <w:i/>
          <w:iCs/>
          <w:sz w:val="22"/>
        </w:rPr>
        <w:t>Registro Federal de Contribuyentes (RFC) de personas físicas proveedores o contratistas.</w:t>
      </w:r>
      <w:r w:rsidRPr="00B4470D">
        <w:rPr>
          <w:rFonts w:eastAsia="Palatino Linotype" w:cs="Palatino Linotype"/>
          <w:i/>
          <w:iCs/>
          <w:sz w:val="22"/>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3639A203" w14:textId="2A7611F7" w:rsidR="00176072" w:rsidRDefault="00176072" w:rsidP="005D1F9B">
      <w:pPr>
        <w:rPr>
          <w:rFonts w:eastAsia="Palatino Linotype" w:cs="Palatino Linotype"/>
          <w:szCs w:val="24"/>
        </w:rPr>
      </w:pPr>
    </w:p>
    <w:p w14:paraId="1C15BD0B" w14:textId="77777777" w:rsidR="00B4470D" w:rsidRPr="00B4470D" w:rsidRDefault="00B4470D" w:rsidP="00B4470D">
      <w:pPr>
        <w:contextualSpacing/>
        <w:rPr>
          <w:rFonts w:eastAsia="Palatino Linotype" w:cs="Palatino Linotype"/>
          <w:bCs/>
          <w:color w:val="000000"/>
          <w:lang w:val="es-ES"/>
        </w:rPr>
      </w:pPr>
      <w:r>
        <w:rPr>
          <w:rFonts w:eastAsia="Palatino Linotype" w:cs="Palatino Linotype"/>
          <w:szCs w:val="24"/>
        </w:rPr>
        <w:t xml:space="preserve">Asimismo, respecto de las cadenas y series fiscales, se tiene que </w:t>
      </w:r>
      <w:r w:rsidRPr="00B4470D">
        <w:rPr>
          <w:rFonts w:eastAsia="Palatino Linotype" w:cs="Palatino Linotype"/>
          <w:bCs/>
          <w:color w:val="000000"/>
          <w:lang w:val="es-ES"/>
        </w:rPr>
        <w:t xml:space="preserve">cuando de la secuencia de números y letras no se advierta un Registro Federal de Contribuyentes o una Clave Única de Registro de Población que pueda hacer identificable al titular del dato personal, no puede tenerse como datos personales y por consiguiente como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w:t>
      </w:r>
      <w:r w:rsidRPr="00B4470D">
        <w:rPr>
          <w:rFonts w:eastAsia="Palatino Linotype" w:cs="Palatino Linotype"/>
          <w:bCs/>
          <w:color w:val="000000"/>
          <w:lang w:val="es-ES"/>
        </w:rPr>
        <w:lastRenderedPageBreak/>
        <w:t>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9020E17" w14:textId="77777777" w:rsidR="00B4470D" w:rsidRPr="00B4470D" w:rsidRDefault="00B4470D" w:rsidP="00B4470D">
      <w:pPr>
        <w:contextualSpacing/>
        <w:rPr>
          <w:rFonts w:eastAsia="Palatino Linotype" w:cs="Palatino Linotype"/>
          <w:bCs/>
          <w:color w:val="000000"/>
          <w:lang w:val="es-ES"/>
        </w:rPr>
      </w:pPr>
    </w:p>
    <w:p w14:paraId="2EE33996" w14:textId="77777777" w:rsidR="00B4470D" w:rsidRPr="00B4470D" w:rsidRDefault="00B4470D" w:rsidP="00B4470D">
      <w:pPr>
        <w:contextualSpacing/>
        <w:rPr>
          <w:rFonts w:eastAsia="Palatino Linotype" w:cs="Palatino Linotype"/>
          <w:bCs/>
          <w:color w:val="000000"/>
          <w:lang w:val="es-ES"/>
        </w:rPr>
      </w:pPr>
      <w:r w:rsidRPr="00B4470D">
        <w:rPr>
          <w:rFonts w:eastAsia="Palatino Linotype" w:cs="Palatino Linotype"/>
          <w:bCs/>
          <w:color w:val="000000"/>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 como se observa a continuación:</w:t>
      </w:r>
    </w:p>
    <w:p w14:paraId="5E24EFEE" w14:textId="77777777" w:rsidR="00B4470D" w:rsidRPr="00B4470D" w:rsidRDefault="00B4470D" w:rsidP="00B4470D">
      <w:pPr>
        <w:contextualSpacing/>
        <w:rPr>
          <w:rFonts w:eastAsia="Palatino Linotype" w:cs="Palatino Linotype"/>
          <w:bCs/>
          <w:color w:val="000000"/>
          <w:lang w:val="es-ES"/>
        </w:rPr>
      </w:pPr>
    </w:p>
    <w:p w14:paraId="4A155F64" w14:textId="77777777" w:rsidR="00B4470D" w:rsidRPr="00B4470D" w:rsidRDefault="00B4470D" w:rsidP="00B4470D">
      <w:pPr>
        <w:numPr>
          <w:ilvl w:val="0"/>
          <w:numId w:val="24"/>
        </w:numPr>
        <w:contextualSpacing/>
        <w:rPr>
          <w:rFonts w:eastAsia="Palatino Linotype" w:cs="Palatino Linotype"/>
          <w:bCs/>
          <w:color w:val="000000"/>
          <w:szCs w:val="24"/>
          <w:lang w:val="es-ES" w:eastAsia="es-ES"/>
        </w:rPr>
      </w:pPr>
      <w:r w:rsidRPr="00B4470D">
        <w:rPr>
          <w:rFonts w:eastAsia="Palatino Linotype" w:cs="Palatino Linotype"/>
          <w:bCs/>
          <w:color w:val="000000"/>
          <w:szCs w:val="24"/>
          <w:lang w:val="es-ES" w:eastAsia="es-ES"/>
        </w:rPr>
        <w:t>Elementos utilizados en la generación de Sellos Digitales:</w:t>
      </w:r>
    </w:p>
    <w:p w14:paraId="30F968AE" w14:textId="77777777" w:rsidR="00B4470D" w:rsidRPr="00B4470D" w:rsidRDefault="00B4470D" w:rsidP="00B4470D">
      <w:pPr>
        <w:numPr>
          <w:ilvl w:val="0"/>
          <w:numId w:val="24"/>
        </w:numPr>
        <w:contextualSpacing/>
        <w:rPr>
          <w:rFonts w:eastAsia="Palatino Linotype" w:cs="Palatino Linotype"/>
          <w:bCs/>
          <w:color w:val="000000"/>
          <w:szCs w:val="24"/>
          <w:lang w:val="es-ES" w:eastAsia="es-ES"/>
        </w:rPr>
      </w:pPr>
      <w:r w:rsidRPr="00B4470D">
        <w:rPr>
          <w:rFonts w:eastAsia="Palatino Linotype" w:cs="Palatino Linotype"/>
          <w:bCs/>
          <w:color w:val="000000"/>
          <w:szCs w:val="24"/>
          <w:lang w:val="es-ES" w:eastAsia="es-ES"/>
        </w:rPr>
        <w:t>Cadena Original, el elemento a sellar, en este caso de un comprobante fiscal digital a través de Internet.</w:t>
      </w:r>
    </w:p>
    <w:p w14:paraId="6B319D85" w14:textId="77777777" w:rsidR="00B4470D" w:rsidRPr="00B4470D" w:rsidRDefault="00B4470D" w:rsidP="00B4470D">
      <w:pPr>
        <w:numPr>
          <w:ilvl w:val="0"/>
          <w:numId w:val="24"/>
        </w:numPr>
        <w:contextualSpacing/>
        <w:rPr>
          <w:rFonts w:eastAsia="Palatino Linotype" w:cs="Palatino Linotype"/>
          <w:bCs/>
          <w:color w:val="000000"/>
          <w:szCs w:val="24"/>
          <w:lang w:val="es-ES" w:eastAsia="es-ES"/>
        </w:rPr>
      </w:pPr>
      <w:r w:rsidRPr="00B4470D">
        <w:rPr>
          <w:rFonts w:eastAsia="Palatino Linotype" w:cs="Palatino Linotype"/>
          <w:bCs/>
          <w:color w:val="000000"/>
          <w:szCs w:val="24"/>
          <w:lang w:val="es-ES" w:eastAsia="es-ES"/>
        </w:rPr>
        <w:t>Certificado de Sello Digital y su correspondiente clave privada.</w:t>
      </w:r>
    </w:p>
    <w:p w14:paraId="6974EE00" w14:textId="77777777" w:rsidR="00B4470D" w:rsidRPr="00B4470D" w:rsidRDefault="00B4470D" w:rsidP="00B4470D">
      <w:pPr>
        <w:numPr>
          <w:ilvl w:val="0"/>
          <w:numId w:val="24"/>
        </w:numPr>
        <w:contextualSpacing/>
        <w:rPr>
          <w:rFonts w:eastAsia="Palatino Linotype" w:cs="Palatino Linotype"/>
          <w:bCs/>
          <w:color w:val="000000"/>
          <w:szCs w:val="24"/>
          <w:lang w:val="es-ES" w:eastAsia="es-ES"/>
        </w:rPr>
      </w:pPr>
      <w:r w:rsidRPr="00B4470D">
        <w:rPr>
          <w:rFonts w:eastAsia="Palatino Linotype" w:cs="Palatino Linotype"/>
          <w:bCs/>
          <w:color w:val="000000"/>
          <w:szCs w:val="24"/>
          <w:lang w:val="es-ES" w:eastAsia="es-ES"/>
        </w:rPr>
        <w:t>Algoritmos de criptografía de clave pública para firma electrónica avanzada.</w:t>
      </w:r>
    </w:p>
    <w:p w14:paraId="45DB6B6A" w14:textId="77777777" w:rsidR="00B4470D" w:rsidRPr="00B4470D" w:rsidRDefault="00B4470D" w:rsidP="00B4470D">
      <w:pPr>
        <w:numPr>
          <w:ilvl w:val="0"/>
          <w:numId w:val="24"/>
        </w:numPr>
        <w:contextualSpacing/>
        <w:rPr>
          <w:rFonts w:eastAsia="Palatino Linotype" w:cs="Palatino Linotype"/>
          <w:bCs/>
          <w:color w:val="000000"/>
          <w:szCs w:val="24"/>
          <w:lang w:val="es-ES" w:eastAsia="es-ES"/>
        </w:rPr>
      </w:pPr>
      <w:r w:rsidRPr="00B4470D">
        <w:rPr>
          <w:rFonts w:eastAsia="Palatino Linotype" w:cs="Palatino Linotype"/>
          <w:bCs/>
          <w:color w:val="000000"/>
          <w:szCs w:val="24"/>
          <w:lang w:val="es-ES" w:eastAsia="es-ES"/>
        </w:rPr>
        <w:t>Especificaciones de conversión de la firma electrónica avanzada a Base 64.</w:t>
      </w:r>
    </w:p>
    <w:p w14:paraId="0DB48D30" w14:textId="77777777" w:rsidR="00B4470D" w:rsidRPr="00B4470D" w:rsidRDefault="00B4470D" w:rsidP="00B4470D">
      <w:pPr>
        <w:contextualSpacing/>
        <w:rPr>
          <w:rFonts w:eastAsia="Palatino Linotype" w:cs="Palatino Linotype"/>
          <w:bCs/>
          <w:color w:val="000000"/>
          <w:lang w:val="es-ES"/>
        </w:rPr>
      </w:pPr>
    </w:p>
    <w:p w14:paraId="62992F72" w14:textId="77777777" w:rsidR="00B4470D" w:rsidRPr="00B4470D" w:rsidRDefault="00B4470D" w:rsidP="00B4470D">
      <w:pPr>
        <w:contextualSpacing/>
        <w:rPr>
          <w:rFonts w:eastAsia="Palatino Linotype" w:cs="Palatino Linotype"/>
          <w:bCs/>
          <w:color w:val="000000"/>
          <w:lang w:val="es-ES"/>
        </w:rPr>
      </w:pPr>
      <w:r w:rsidRPr="00B4470D">
        <w:rPr>
          <w:rFonts w:eastAsia="Palatino Linotype" w:cs="Palatino Linotype"/>
          <w:bCs/>
          <w:color w:val="000000"/>
          <w:lang w:val="es-ES"/>
        </w:rPr>
        <w:t>Para la generación de sellos digitales se utiliza criptografía de clave pública aplicada a una cadena original.</w:t>
      </w:r>
    </w:p>
    <w:p w14:paraId="29BE0D6B" w14:textId="77777777" w:rsidR="00B4470D" w:rsidRPr="00B4470D" w:rsidRDefault="00B4470D" w:rsidP="00B4470D">
      <w:pPr>
        <w:contextualSpacing/>
        <w:rPr>
          <w:rFonts w:eastAsia="Palatino Linotype" w:cs="Palatino Linotype"/>
          <w:bCs/>
          <w:color w:val="000000"/>
          <w:lang w:val="es-ES"/>
        </w:rPr>
      </w:pPr>
    </w:p>
    <w:p w14:paraId="7B159603" w14:textId="77777777" w:rsidR="00B4470D" w:rsidRPr="00B4470D" w:rsidRDefault="00B4470D" w:rsidP="00B4470D">
      <w:pPr>
        <w:contextualSpacing/>
        <w:rPr>
          <w:rFonts w:eastAsia="Palatino Linotype" w:cs="Palatino Linotype"/>
          <w:bCs/>
          <w:i/>
          <w:iCs/>
          <w:color w:val="000000"/>
          <w:lang w:val="es-ES"/>
        </w:rPr>
      </w:pPr>
      <w:r w:rsidRPr="00B4470D">
        <w:rPr>
          <w:rFonts w:eastAsia="Palatino Linotype" w:cs="Palatino Linotype"/>
          <w:bCs/>
          <w:i/>
          <w:iCs/>
          <w:color w:val="000000"/>
          <w:lang w:val="es-ES"/>
        </w:rPr>
        <w:t>Criptografía de la Clave Pública</w:t>
      </w:r>
    </w:p>
    <w:p w14:paraId="0628F09F" w14:textId="77777777" w:rsidR="00B4470D" w:rsidRPr="00B4470D" w:rsidRDefault="00B4470D" w:rsidP="00B4470D">
      <w:pPr>
        <w:contextualSpacing/>
        <w:rPr>
          <w:rFonts w:eastAsia="Palatino Linotype" w:cs="Palatino Linotype"/>
          <w:bCs/>
          <w:color w:val="000000"/>
          <w:lang w:val="es-ES"/>
        </w:rPr>
      </w:pPr>
      <w:r w:rsidRPr="00B4470D">
        <w:rPr>
          <w:rFonts w:eastAsia="Palatino Linotype" w:cs="Palatino Linotype"/>
          <w:bCs/>
          <w:color w:val="000000"/>
          <w:lang w:val="es-ES"/>
        </w:rPr>
        <w:lastRenderedPageBreak/>
        <w:t xml:space="preserve">La criptografía de Clave Pública se basa en la generación de una pareja de números muy grandes relacionados íntimamente entre sí, de tal manera que una operación de </w:t>
      </w:r>
      <w:proofErr w:type="spellStart"/>
      <w:r w:rsidRPr="00B4470D">
        <w:rPr>
          <w:rFonts w:eastAsia="Palatino Linotype" w:cs="Palatino Linotype"/>
          <w:bCs/>
          <w:color w:val="000000"/>
          <w:lang w:val="es-ES"/>
        </w:rPr>
        <w:t>encripción</w:t>
      </w:r>
      <w:proofErr w:type="spellEnd"/>
      <w:r w:rsidRPr="00B4470D">
        <w:rPr>
          <w:rFonts w:eastAsia="Palatino Linotype" w:cs="Palatino Linotype"/>
          <w:bCs/>
          <w:color w:val="000000"/>
          <w:lang w:val="es-ES"/>
        </w:rPr>
        <w:t xml:space="preserve"> sobre un mensaje tomando como clave de </w:t>
      </w:r>
      <w:proofErr w:type="spellStart"/>
      <w:r w:rsidRPr="00B4470D">
        <w:rPr>
          <w:rFonts w:eastAsia="Palatino Linotype" w:cs="Palatino Linotype"/>
          <w:bCs/>
          <w:color w:val="000000"/>
          <w:lang w:val="es-ES"/>
        </w:rPr>
        <w:t>encripción</w:t>
      </w:r>
      <w:proofErr w:type="spellEnd"/>
      <w:r w:rsidRPr="00B4470D">
        <w:rPr>
          <w:rFonts w:eastAsia="Palatino Linotype" w:cs="Palatino Linotype"/>
          <w:bCs/>
          <w:color w:val="000000"/>
          <w:lang w:val="es-ES"/>
        </w:rPr>
        <w:t xml:space="preserve"> a uno de los dos números, produce un mensaje alterado en su significado que solo puede ser devuelto a su estado original mediante la operación de </w:t>
      </w:r>
      <w:proofErr w:type="spellStart"/>
      <w:r w:rsidRPr="00B4470D">
        <w:rPr>
          <w:rFonts w:eastAsia="Palatino Linotype" w:cs="Palatino Linotype"/>
          <w:bCs/>
          <w:color w:val="000000"/>
          <w:lang w:val="es-ES"/>
        </w:rPr>
        <w:t>desencripción</w:t>
      </w:r>
      <w:proofErr w:type="spellEnd"/>
      <w:r w:rsidRPr="00B4470D">
        <w:rPr>
          <w:rFonts w:eastAsia="Palatino Linotype" w:cs="Palatino Linotype"/>
          <w:bCs/>
          <w:color w:val="000000"/>
          <w:lang w:val="es-ES"/>
        </w:rPr>
        <w:t xml:space="preserve"> correspondiente tomando como clave de </w:t>
      </w:r>
      <w:proofErr w:type="spellStart"/>
      <w:r w:rsidRPr="00B4470D">
        <w:rPr>
          <w:rFonts w:eastAsia="Palatino Linotype" w:cs="Palatino Linotype"/>
          <w:bCs/>
          <w:color w:val="000000"/>
          <w:lang w:val="es-ES"/>
        </w:rPr>
        <w:t>desencripción</w:t>
      </w:r>
      <w:proofErr w:type="spellEnd"/>
      <w:r w:rsidRPr="00B4470D">
        <w:rPr>
          <w:rFonts w:eastAsia="Palatino Linotype" w:cs="Palatino Linotype"/>
          <w:bCs/>
          <w:color w:val="000000"/>
          <w:lang w:val="es-ES"/>
        </w:rPr>
        <w:t xml:space="preserve"> al otro número de la pareja.</w:t>
      </w:r>
    </w:p>
    <w:p w14:paraId="6BA3BD3B" w14:textId="77777777" w:rsidR="00B4470D" w:rsidRPr="00B4470D" w:rsidRDefault="00B4470D" w:rsidP="00B4470D">
      <w:pPr>
        <w:contextualSpacing/>
        <w:rPr>
          <w:rFonts w:eastAsia="Palatino Linotype" w:cs="Palatino Linotype"/>
          <w:bCs/>
          <w:color w:val="000000"/>
          <w:lang w:val="es-ES"/>
        </w:rPr>
      </w:pPr>
    </w:p>
    <w:p w14:paraId="039F667D" w14:textId="77777777" w:rsidR="00B4470D" w:rsidRPr="00B4470D" w:rsidRDefault="00B4470D" w:rsidP="00B4470D">
      <w:pPr>
        <w:contextualSpacing/>
        <w:rPr>
          <w:rFonts w:eastAsia="Palatino Linotype" w:cs="Palatino Linotype"/>
          <w:bCs/>
          <w:color w:val="000000"/>
          <w:lang w:val="es-ES"/>
        </w:rPr>
      </w:pPr>
      <w:r w:rsidRPr="00B4470D">
        <w:rPr>
          <w:rFonts w:eastAsia="Palatino Linotype" w:cs="Palatino Linotype"/>
          <w:bCs/>
          <w:color w:val="000000"/>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52B8C2D" w14:textId="77777777" w:rsidR="00B4470D" w:rsidRPr="00B4470D" w:rsidRDefault="00B4470D" w:rsidP="00B4470D">
      <w:pPr>
        <w:contextualSpacing/>
        <w:rPr>
          <w:rFonts w:eastAsia="Palatino Linotype" w:cs="Palatino Linotype"/>
          <w:bCs/>
          <w:color w:val="000000"/>
          <w:lang w:val="es-ES"/>
        </w:rPr>
      </w:pPr>
    </w:p>
    <w:p w14:paraId="42AD47C1" w14:textId="77777777" w:rsidR="00B4470D" w:rsidRPr="00B4470D" w:rsidRDefault="00B4470D" w:rsidP="00B4470D">
      <w:pPr>
        <w:contextualSpacing/>
        <w:rPr>
          <w:rFonts w:eastAsia="Palatino Linotype" w:cs="Palatino Linotype"/>
          <w:bCs/>
          <w:color w:val="000000"/>
          <w:lang w:val="es-ES"/>
        </w:rPr>
      </w:pPr>
      <w:r w:rsidRPr="00B4470D">
        <w:rPr>
          <w:rFonts w:eastAsia="Palatino Linotype" w:cs="Palatino Linotype"/>
          <w:bCs/>
          <w:color w:val="000000"/>
          <w:lang w:val="es-ES"/>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los cuales no contienen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además de que su visualización permite corroborar la legitimidad de la factura, pues amparan la utilización de los certificados de sellos digitales válidos.</w:t>
      </w:r>
    </w:p>
    <w:p w14:paraId="0CA693CE" w14:textId="77777777" w:rsidR="00B4470D" w:rsidRPr="00B4470D" w:rsidRDefault="00B4470D" w:rsidP="00B4470D">
      <w:pPr>
        <w:contextualSpacing/>
        <w:rPr>
          <w:rFonts w:eastAsia="Palatino Linotype" w:cs="Palatino Linotype"/>
          <w:bCs/>
          <w:color w:val="000000"/>
          <w:lang w:val="es-ES"/>
        </w:rPr>
      </w:pPr>
    </w:p>
    <w:p w14:paraId="6D80ED65" w14:textId="77777777" w:rsidR="00B4470D" w:rsidRPr="00B4470D" w:rsidRDefault="00B4470D" w:rsidP="00B4470D">
      <w:pPr>
        <w:contextualSpacing/>
        <w:rPr>
          <w:rFonts w:eastAsia="Palatino Linotype" w:cs="Palatino Linotype"/>
          <w:bCs/>
          <w:color w:val="000000"/>
          <w:lang w:val="es-ES"/>
        </w:rPr>
      </w:pPr>
      <w:r w:rsidRPr="00B4470D">
        <w:rPr>
          <w:rFonts w:eastAsia="Palatino Linotype" w:cs="Palatino Linotype"/>
          <w:bCs/>
          <w:color w:val="000000"/>
          <w:lang w:val="es-E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cinco grupos de números y letras separados por guiones. Por tanto, al igual que loe elementos previamente analizados, el folio fiscal no contiene datos personales del emisor y tampoco se puede obtener información confidencial, pues solamente es un identificador del emisor, del cual su publicación ayuda a legitimar que el documento cumple con todos los requisitos establecidos en la normatividad aplicable, por lo que, tampoco actualiza la clasificación conforme a la fracción I del artículo 143 de la Ley de la materia.</w:t>
      </w:r>
    </w:p>
    <w:p w14:paraId="0E9C0148" w14:textId="0620384D" w:rsidR="00B4470D" w:rsidRPr="00B4470D" w:rsidRDefault="00B4470D" w:rsidP="005D1F9B">
      <w:pPr>
        <w:rPr>
          <w:rFonts w:eastAsia="Palatino Linotype" w:cs="Palatino Linotype"/>
          <w:szCs w:val="24"/>
          <w:lang w:val="es-ES"/>
        </w:rPr>
      </w:pPr>
    </w:p>
    <w:p w14:paraId="54F95910" w14:textId="2F799B93" w:rsidR="00B4470D" w:rsidRPr="007657CF" w:rsidRDefault="00B4470D" w:rsidP="005D1F9B">
      <w:pPr>
        <w:rPr>
          <w:rFonts w:eastAsia="Palatino Linotype" w:cs="Palatino Linotype"/>
          <w:szCs w:val="24"/>
        </w:rPr>
      </w:pPr>
      <w:r>
        <w:rPr>
          <w:rFonts w:eastAsia="Palatino Linotype" w:cs="Palatino Linotype"/>
          <w:szCs w:val="24"/>
        </w:rPr>
        <w:t xml:space="preserve">Por tal motivo, el Sujeto Obligado deberá realizar una revisión minuciosa de la información contenida en las facturas que, en su caso, sean entregadas y se genere una versión pública de éstas debidamente fundada y motivada </w:t>
      </w:r>
      <w:proofErr w:type="gramStart"/>
      <w:r>
        <w:rPr>
          <w:rFonts w:eastAsia="Palatino Linotype" w:cs="Palatino Linotype"/>
          <w:szCs w:val="24"/>
        </w:rPr>
        <w:t>que  sea</w:t>
      </w:r>
      <w:proofErr w:type="gramEnd"/>
      <w:r>
        <w:rPr>
          <w:rFonts w:eastAsia="Palatino Linotype" w:cs="Palatino Linotype"/>
          <w:szCs w:val="24"/>
        </w:rPr>
        <w:t xml:space="preserve"> acorde con lo establecido en la normatividad aplicable, en la que únicamente sean suprimidos los datos que actualicen los supuestos de clasificación de información ya sea como reservada o confidencial.</w:t>
      </w:r>
    </w:p>
    <w:p w14:paraId="4B6ED352" w14:textId="77777777" w:rsidR="005D1F9B" w:rsidRPr="007657CF" w:rsidRDefault="005D1F9B" w:rsidP="005D1F9B">
      <w:pPr>
        <w:rPr>
          <w:rFonts w:eastAsia="Palatino Linotype" w:cs="Palatino Linotype"/>
          <w:szCs w:val="24"/>
        </w:rPr>
      </w:pPr>
    </w:p>
    <w:p w14:paraId="05876CB6" w14:textId="62B8632A" w:rsidR="00151764" w:rsidRPr="007657CF" w:rsidRDefault="005D1F9B" w:rsidP="005D1F9B">
      <w:pPr>
        <w:rPr>
          <w:szCs w:val="24"/>
        </w:rPr>
      </w:pPr>
      <w:r w:rsidRPr="007657CF">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7657CF">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w:t>
      </w:r>
      <w:r w:rsidR="002B53E1">
        <w:rPr>
          <w:rFonts w:eastAsia="Palatino Linotype" w:cs="Palatino Linotype"/>
          <w:color w:val="000000"/>
          <w:szCs w:val="24"/>
        </w:rPr>
        <w:t>l</w:t>
      </w:r>
      <w:r w:rsidRPr="007657CF">
        <w:rPr>
          <w:rFonts w:eastAsia="Palatino Linotype" w:cs="Palatino Linotype"/>
          <w:color w:val="000000"/>
          <w:szCs w:val="24"/>
        </w:rPr>
        <w:t xml:space="preserve"> Recurrente.</w:t>
      </w:r>
    </w:p>
    <w:p w14:paraId="376231B3" w14:textId="77777777" w:rsidR="00151764" w:rsidRPr="007657CF" w:rsidRDefault="00151764" w:rsidP="00151764">
      <w:pPr>
        <w:contextualSpacing/>
        <w:rPr>
          <w:rFonts w:eastAsia="Palatino Linotype" w:cs="Palatino Linotype"/>
          <w:szCs w:val="24"/>
        </w:rPr>
      </w:pPr>
    </w:p>
    <w:p w14:paraId="4D19609D" w14:textId="6C48D154" w:rsidR="00151764" w:rsidRPr="007657CF" w:rsidRDefault="00151764" w:rsidP="00393F5B">
      <w:pPr>
        <w:pStyle w:val="Textoindependiente"/>
        <w:outlineLvl w:val="1"/>
        <w:rPr>
          <w:rFonts w:eastAsia="Palatino Linotype"/>
        </w:rPr>
      </w:pPr>
      <w:r w:rsidRPr="007657CF">
        <w:rPr>
          <w:rFonts w:eastAsia="Palatino Linotype"/>
        </w:rPr>
        <w:t>En mérito de lo expuesto en líneas anteriores, este Instituto considera que los motivos de inconformidad planteados por el Recurrente resultan</w:t>
      </w:r>
      <w:r w:rsidR="005A030B" w:rsidRPr="007657CF">
        <w:rPr>
          <w:rFonts w:eastAsia="Palatino Linotype"/>
        </w:rPr>
        <w:t xml:space="preserve"> </w:t>
      </w:r>
      <w:r w:rsidRPr="007657CF">
        <w:rPr>
          <w:rFonts w:eastAsia="Palatino Linotype"/>
        </w:rPr>
        <w:t xml:space="preserve">fundados en el recurso de revisión que es materia de esta resolución; por ello </w:t>
      </w:r>
      <w:r w:rsidRPr="007657CF">
        <w:rPr>
          <w:rFonts w:eastAsia="Palatino Linotype"/>
          <w:b/>
        </w:rPr>
        <w:t xml:space="preserve">con fundamento en la </w:t>
      </w:r>
      <w:r w:rsidR="005A030B" w:rsidRPr="007657CF">
        <w:rPr>
          <w:rFonts w:eastAsia="Palatino Linotype"/>
          <w:b/>
        </w:rPr>
        <w:t>segunda</w:t>
      </w:r>
      <w:r w:rsidRPr="007657CF">
        <w:rPr>
          <w:rFonts w:eastAsia="Palatino Linotype"/>
          <w:b/>
        </w:rPr>
        <w:t xml:space="preserve"> hipótesis de la fracción III del artículo 186 </w:t>
      </w:r>
      <w:r w:rsidRPr="007657CF">
        <w:rPr>
          <w:rFonts w:eastAsia="Palatino Linotype"/>
        </w:rPr>
        <w:t xml:space="preserve">de la Ley de Transparencia y Acceso a la Información Pública del Estado de México y Municipios, se </w:t>
      </w:r>
      <w:r w:rsidR="005A030B" w:rsidRPr="007657CF">
        <w:rPr>
          <w:rFonts w:eastAsia="Palatino Linotype"/>
          <w:b/>
        </w:rPr>
        <w:t>MODIFI</w:t>
      </w:r>
      <w:r w:rsidRPr="007657CF">
        <w:rPr>
          <w:rFonts w:eastAsia="Palatino Linotype"/>
          <w:b/>
        </w:rPr>
        <w:t xml:space="preserve">CA </w:t>
      </w:r>
      <w:r w:rsidRPr="007657CF">
        <w:rPr>
          <w:rFonts w:eastAsia="Palatino Linotype"/>
        </w:rPr>
        <w:t>la respuesta a la solicitud de información número</w:t>
      </w:r>
      <w:r w:rsidRPr="007657CF">
        <w:rPr>
          <w:rFonts w:eastAsia="Palatino Linotype"/>
          <w:b/>
        </w:rPr>
        <w:t xml:space="preserve"> </w:t>
      </w:r>
      <w:r w:rsidR="00AC7507" w:rsidRPr="00AC7507">
        <w:rPr>
          <w:rFonts w:eastAsia="Palatino Linotype"/>
          <w:b/>
          <w:bCs/>
        </w:rPr>
        <w:t>00178/ATENCO/IP/2022</w:t>
      </w:r>
      <w:r w:rsidRPr="007657CF">
        <w:rPr>
          <w:rFonts w:eastAsia="Palatino Linotype"/>
        </w:rPr>
        <w:t>,</w:t>
      </w:r>
      <w:r w:rsidRPr="007657CF">
        <w:rPr>
          <w:rFonts w:eastAsia="Palatino Linotype"/>
          <w:b/>
        </w:rPr>
        <w:t xml:space="preserve"> </w:t>
      </w:r>
      <w:r w:rsidRPr="007657CF">
        <w:rPr>
          <w:rFonts w:eastAsia="Palatino Linotype"/>
        </w:rPr>
        <w:t>que ha sido materia del presente estudio.</w:t>
      </w:r>
    </w:p>
    <w:p w14:paraId="64019B7A" w14:textId="2CB68F6F" w:rsidR="00151764" w:rsidRPr="007657CF" w:rsidRDefault="00151764" w:rsidP="00393F5B">
      <w:pPr>
        <w:pStyle w:val="Textoindependiente"/>
        <w:rPr>
          <w:rFonts w:eastAsia="Palatino Linotype"/>
        </w:rPr>
      </w:pPr>
    </w:p>
    <w:p w14:paraId="0C712464" w14:textId="77777777" w:rsidR="0055572B" w:rsidRPr="007657CF" w:rsidRDefault="0055572B" w:rsidP="00393F5B">
      <w:pPr>
        <w:pStyle w:val="Textoindependiente"/>
        <w:rPr>
          <w:rFonts w:eastAsia="Palatino Linotype"/>
        </w:rPr>
      </w:pPr>
      <w:r w:rsidRPr="007657CF">
        <w:rPr>
          <w:rFonts w:eastAsia="Palatino Linotype"/>
        </w:rPr>
        <w:t>Por lo antes expuesto y fundado es de resolverse y,</w:t>
      </w:r>
    </w:p>
    <w:p w14:paraId="6B8DD2DD" w14:textId="7625E59B" w:rsidR="0055572B" w:rsidRPr="007657CF"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7657CF" w:rsidRDefault="0055572B" w:rsidP="00275BE9">
      <w:pPr>
        <w:pStyle w:val="Ttulo1"/>
        <w:rPr>
          <w:rFonts w:eastAsia="Palatino Linotype"/>
          <w:lang w:val="es-ES_tradnl"/>
        </w:rPr>
      </w:pPr>
      <w:r w:rsidRPr="007657CF">
        <w:rPr>
          <w:rFonts w:eastAsia="Palatino Linotype"/>
          <w:lang w:val="es-ES_tradnl"/>
        </w:rPr>
        <w:t>S E    R E S U E L V E</w:t>
      </w:r>
    </w:p>
    <w:p w14:paraId="23AD83B7"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52A2D740" w14:textId="3DBD333C"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PRIMERO.</w:t>
      </w:r>
      <w:r w:rsidRPr="007657CF">
        <w:rPr>
          <w:rFonts w:eastAsia="Palatino Linotype" w:cs="Palatino Linotype"/>
          <w:color w:val="000000"/>
          <w:szCs w:val="24"/>
        </w:rPr>
        <w:t xml:space="preserve"> Se </w:t>
      </w:r>
      <w:r w:rsidRPr="007657CF">
        <w:rPr>
          <w:rFonts w:eastAsia="Palatino Linotype" w:cs="Palatino Linotype"/>
          <w:b/>
          <w:color w:val="000000"/>
          <w:szCs w:val="24"/>
        </w:rPr>
        <w:t>MODIFICA</w:t>
      </w:r>
      <w:r w:rsidRPr="007657CF">
        <w:rPr>
          <w:rFonts w:eastAsia="Palatino Linotype" w:cs="Palatino Linotype"/>
          <w:color w:val="000000"/>
          <w:szCs w:val="24"/>
        </w:rPr>
        <w:t xml:space="preserve"> la respuesta entregada por el Sujeto Obligado</w:t>
      </w:r>
      <w:r w:rsidRPr="007657CF">
        <w:rPr>
          <w:rFonts w:eastAsia="Palatino Linotype" w:cs="Palatino Linotype"/>
          <w:b/>
          <w:color w:val="000000"/>
          <w:szCs w:val="24"/>
        </w:rPr>
        <w:t xml:space="preserve"> </w:t>
      </w:r>
      <w:r w:rsidRPr="007657CF">
        <w:rPr>
          <w:rFonts w:eastAsia="Palatino Linotype" w:cs="Palatino Linotype"/>
          <w:color w:val="000000"/>
          <w:szCs w:val="24"/>
        </w:rPr>
        <w:t xml:space="preserve">a la solicitud de información número </w:t>
      </w:r>
      <w:r w:rsidR="00AC7507" w:rsidRPr="00AC7507">
        <w:rPr>
          <w:rFonts w:eastAsia="Palatino Linotype"/>
          <w:b/>
          <w:bCs/>
        </w:rPr>
        <w:t>00178/ATENCO/IP/2022</w:t>
      </w:r>
      <w:r w:rsidRPr="007657CF">
        <w:rPr>
          <w:rFonts w:eastAsia="Palatino Linotype" w:cs="Palatino Linotype"/>
          <w:color w:val="000000"/>
          <w:szCs w:val="24"/>
        </w:rPr>
        <w:t>, por resultar</w:t>
      </w:r>
      <w:r w:rsidR="008029F1" w:rsidRPr="007657CF">
        <w:rPr>
          <w:rFonts w:eastAsia="Palatino Linotype" w:cs="Palatino Linotype"/>
          <w:color w:val="000000"/>
          <w:szCs w:val="24"/>
        </w:rPr>
        <w:t xml:space="preserve"> </w:t>
      </w:r>
      <w:r w:rsidRPr="007657CF">
        <w:rPr>
          <w:rFonts w:eastAsia="Palatino Linotype" w:cs="Palatino Linotype"/>
          <w:color w:val="000000"/>
          <w:szCs w:val="24"/>
        </w:rPr>
        <w:t>fundados los motivos de inconformidad argüidos por el Recurrente, en términos del</w:t>
      </w:r>
      <w:r w:rsidRPr="007657CF">
        <w:rPr>
          <w:rFonts w:eastAsia="Palatino Linotype" w:cs="Palatino Linotype"/>
          <w:b/>
          <w:color w:val="000000"/>
          <w:szCs w:val="24"/>
        </w:rPr>
        <w:t xml:space="preserve"> Considerando </w:t>
      </w:r>
      <w:r w:rsidR="00AC7507">
        <w:rPr>
          <w:rFonts w:eastAsia="Palatino Linotype" w:cs="Palatino Linotype"/>
          <w:b/>
          <w:color w:val="000000"/>
          <w:szCs w:val="24"/>
        </w:rPr>
        <w:t>QUIN</w:t>
      </w:r>
      <w:r w:rsidRPr="007657CF">
        <w:rPr>
          <w:rFonts w:eastAsia="Palatino Linotype" w:cs="Palatino Linotype"/>
          <w:b/>
          <w:color w:val="000000"/>
          <w:szCs w:val="24"/>
        </w:rPr>
        <w:t xml:space="preserve">TO </w:t>
      </w:r>
      <w:r w:rsidRPr="007657CF">
        <w:rPr>
          <w:rFonts w:eastAsia="Palatino Linotype" w:cs="Palatino Linotype"/>
          <w:color w:val="000000"/>
          <w:szCs w:val="24"/>
        </w:rPr>
        <w:t xml:space="preserve">de la presente resolución. </w:t>
      </w:r>
    </w:p>
    <w:p w14:paraId="4C288EF0"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4B005B1D" w14:textId="7E5DE312"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SEGUNDO.</w:t>
      </w:r>
      <w:r w:rsidRPr="007657CF">
        <w:rPr>
          <w:rFonts w:eastAsia="Palatino Linotype" w:cs="Palatino Linotype"/>
          <w:color w:val="000000"/>
          <w:szCs w:val="24"/>
        </w:rPr>
        <w:t xml:space="preserve"> Se </w:t>
      </w:r>
      <w:r w:rsidRPr="007657CF">
        <w:rPr>
          <w:rFonts w:eastAsia="Palatino Linotype" w:cs="Palatino Linotype"/>
          <w:b/>
          <w:color w:val="000000"/>
          <w:szCs w:val="24"/>
        </w:rPr>
        <w:t>ORDENA</w:t>
      </w:r>
      <w:r w:rsidRPr="007657CF">
        <w:rPr>
          <w:rFonts w:eastAsia="Palatino Linotype" w:cs="Palatino Linotype"/>
          <w:color w:val="000000"/>
          <w:szCs w:val="24"/>
        </w:rPr>
        <w:t xml:space="preserve"> al Sujeto Obligado que </w:t>
      </w:r>
      <w:r w:rsidR="00AC7507">
        <w:rPr>
          <w:rFonts w:eastAsia="Palatino Linotype" w:cs="Palatino Linotype"/>
          <w:color w:val="000000"/>
          <w:szCs w:val="24"/>
        </w:rPr>
        <w:t xml:space="preserve">realice una búsqueda exhaustiva y razonable en los archivos de las áreas que se consideren competentes, con el propósito de hacer entrega </w:t>
      </w:r>
      <w:r w:rsidR="00581A2E" w:rsidRPr="007657CF">
        <w:rPr>
          <w:rFonts w:eastAsia="Palatino Linotype" w:cs="Palatino Linotype"/>
          <w:color w:val="000000"/>
          <w:szCs w:val="24"/>
        </w:rPr>
        <w:t xml:space="preserve">al </w:t>
      </w:r>
      <w:r w:rsidRPr="007657CF">
        <w:rPr>
          <w:rFonts w:eastAsia="Palatino Linotype" w:cs="Palatino Linotype"/>
          <w:color w:val="000000"/>
          <w:szCs w:val="24"/>
        </w:rPr>
        <w:t xml:space="preserve">Recurrente mediante el Sistema de Acceso a la Información Mexiquense </w:t>
      </w:r>
      <w:r w:rsidRPr="007657CF">
        <w:rPr>
          <w:rFonts w:eastAsia="Palatino Linotype" w:cs="Palatino Linotype"/>
          <w:color w:val="000000"/>
          <w:szCs w:val="24"/>
        </w:rPr>
        <w:lastRenderedPageBreak/>
        <w:t xml:space="preserve">(SAIMEX), en versión pública </w:t>
      </w:r>
      <w:r w:rsidR="00581A2E" w:rsidRPr="007657CF">
        <w:rPr>
          <w:rFonts w:eastAsia="Palatino Linotype" w:cs="Palatino Linotype"/>
          <w:color w:val="000000"/>
          <w:szCs w:val="24"/>
        </w:rPr>
        <w:t xml:space="preserve">de ser procedente </w:t>
      </w:r>
      <w:r w:rsidRPr="007657CF">
        <w:rPr>
          <w:rFonts w:eastAsia="Palatino Linotype" w:cs="Palatino Linotype"/>
          <w:color w:val="000000"/>
          <w:szCs w:val="24"/>
        </w:rPr>
        <w:t xml:space="preserve">y en términos del </w:t>
      </w:r>
      <w:r w:rsidRPr="007657CF">
        <w:rPr>
          <w:rFonts w:eastAsia="Palatino Linotype" w:cs="Palatino Linotype"/>
          <w:b/>
          <w:color w:val="000000"/>
          <w:szCs w:val="24"/>
        </w:rPr>
        <w:t xml:space="preserve">Considerando </w:t>
      </w:r>
      <w:r w:rsidR="00AC7507">
        <w:rPr>
          <w:rFonts w:eastAsia="Palatino Linotype" w:cs="Palatino Linotype"/>
          <w:b/>
          <w:color w:val="000000"/>
          <w:szCs w:val="24"/>
        </w:rPr>
        <w:t>QUIN</w:t>
      </w:r>
      <w:r w:rsidRPr="007657CF">
        <w:rPr>
          <w:rFonts w:eastAsia="Palatino Linotype" w:cs="Palatino Linotype"/>
          <w:b/>
          <w:color w:val="000000"/>
          <w:szCs w:val="24"/>
        </w:rPr>
        <w:t>TO</w:t>
      </w:r>
      <w:r w:rsidRPr="007657CF">
        <w:rPr>
          <w:rFonts w:eastAsia="Palatino Linotype" w:cs="Palatino Linotype"/>
          <w:color w:val="000000"/>
          <w:szCs w:val="24"/>
        </w:rPr>
        <w:t>, de</w:t>
      </w:r>
      <w:r w:rsidR="008029F1" w:rsidRPr="007657CF">
        <w:rPr>
          <w:rFonts w:eastAsia="Palatino Linotype" w:cs="Palatino Linotype"/>
          <w:color w:val="000000"/>
          <w:szCs w:val="24"/>
        </w:rPr>
        <w:t xml:space="preserve"> </w:t>
      </w:r>
      <w:r w:rsidRPr="007657CF">
        <w:rPr>
          <w:rFonts w:eastAsia="Palatino Linotype" w:cs="Palatino Linotype"/>
          <w:color w:val="000000"/>
          <w:szCs w:val="24"/>
        </w:rPr>
        <w:t xml:space="preserve">lo siguiente: </w:t>
      </w:r>
    </w:p>
    <w:p w14:paraId="67B43DC7"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500BE67F" w14:textId="339E41FA" w:rsidR="0055572B" w:rsidRPr="007657CF" w:rsidRDefault="005149AC" w:rsidP="00B5180E">
      <w:pPr>
        <w:numPr>
          <w:ilvl w:val="0"/>
          <w:numId w:val="6"/>
        </w:numPr>
        <w:pBdr>
          <w:top w:val="nil"/>
          <w:left w:val="nil"/>
          <w:bottom w:val="nil"/>
          <w:right w:val="nil"/>
          <w:between w:val="nil"/>
        </w:pBdr>
        <w:spacing w:line="240" w:lineRule="auto"/>
        <w:rPr>
          <w:rFonts w:eastAsia="Palatino Linotype" w:cs="Palatino Linotype"/>
          <w:color w:val="000000"/>
          <w:szCs w:val="24"/>
        </w:rPr>
      </w:pPr>
      <w:r w:rsidRPr="007657CF">
        <w:rPr>
          <w:rFonts w:eastAsia="Palatino Linotype" w:cs="Palatino Linotype"/>
          <w:i/>
          <w:color w:val="000000"/>
          <w:szCs w:val="24"/>
        </w:rPr>
        <w:t>L</w:t>
      </w:r>
      <w:r w:rsidR="00AC7507">
        <w:rPr>
          <w:rFonts w:eastAsia="Palatino Linotype" w:cs="Palatino Linotype"/>
          <w:i/>
          <w:color w:val="000000"/>
          <w:szCs w:val="24"/>
        </w:rPr>
        <w:t>a</w:t>
      </w:r>
      <w:r w:rsidRPr="007657CF">
        <w:rPr>
          <w:rFonts w:eastAsia="Palatino Linotype" w:cs="Palatino Linotype"/>
          <w:i/>
          <w:color w:val="000000"/>
          <w:szCs w:val="24"/>
        </w:rPr>
        <w:t xml:space="preserve">s </w:t>
      </w:r>
      <w:r w:rsidR="00AC7507" w:rsidRPr="00AC7507">
        <w:rPr>
          <w:rFonts w:eastAsia="Palatino Linotype" w:cs="Palatino Linotype"/>
          <w:i/>
          <w:color w:val="000000"/>
          <w:szCs w:val="24"/>
        </w:rPr>
        <w:t>facturas de gastos por conceptos de alimentos, lonas, mesas, sillas e insumos utilizados en las jornadas de vacunación contra la COVID-19 generadas del primero de enero al cinco de abril de dos mil veintidós</w:t>
      </w:r>
      <w:r w:rsidR="00FF55E5">
        <w:rPr>
          <w:rFonts w:eastAsia="Palatino Linotype" w:cs="Palatino Linotype"/>
          <w:i/>
          <w:color w:val="000000"/>
          <w:szCs w:val="24"/>
        </w:rPr>
        <w:t>.</w:t>
      </w:r>
    </w:p>
    <w:p w14:paraId="26866721" w14:textId="77777777" w:rsidR="00B5180E" w:rsidRDefault="00B5180E" w:rsidP="0055572B">
      <w:pPr>
        <w:pBdr>
          <w:top w:val="nil"/>
          <w:left w:val="nil"/>
          <w:bottom w:val="nil"/>
          <w:right w:val="nil"/>
          <w:between w:val="nil"/>
        </w:pBdr>
        <w:rPr>
          <w:rFonts w:eastAsia="Palatino Linotype" w:cs="Palatino Linotype"/>
          <w:color w:val="000000"/>
          <w:szCs w:val="24"/>
        </w:rPr>
      </w:pPr>
    </w:p>
    <w:p w14:paraId="739678BD" w14:textId="261DA553" w:rsidR="0055572B" w:rsidRDefault="00B5180E"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y c</w:t>
      </w:r>
      <w:r w:rsidR="0055572B" w:rsidRPr="007657CF">
        <w:rPr>
          <w:rFonts w:eastAsia="Palatino Linotype" w:cs="Palatino Linotype"/>
          <w:color w:val="000000"/>
          <w:szCs w:val="24"/>
        </w:rPr>
        <w:t>omo sustento de la versión pública</w:t>
      </w:r>
      <w:r>
        <w:rPr>
          <w:rFonts w:eastAsia="Palatino Linotype" w:cs="Palatino Linotype"/>
          <w:color w:val="000000"/>
          <w:szCs w:val="24"/>
        </w:rPr>
        <w:t>,</w:t>
      </w:r>
      <w:r w:rsidR="0055572B" w:rsidRPr="007657CF">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7657CF">
        <w:rPr>
          <w:rFonts w:eastAsia="Palatino Linotype" w:cs="Palatino Linotype"/>
          <w:color w:val="000000"/>
          <w:szCs w:val="24"/>
        </w:rPr>
        <w:t xml:space="preserve">, </w:t>
      </w:r>
      <w:r w:rsidR="0055572B" w:rsidRPr="007657CF">
        <w:rPr>
          <w:rFonts w:eastAsia="Palatino Linotype" w:cs="Palatino Linotype"/>
          <w:color w:val="000000"/>
          <w:szCs w:val="24"/>
        </w:rPr>
        <w:t>y se ponga a disposición del Recurrente.</w:t>
      </w:r>
    </w:p>
    <w:p w14:paraId="5A5C2C3B" w14:textId="1D19AD6D" w:rsidR="00AC7507" w:rsidRDefault="00AC7507" w:rsidP="0055572B">
      <w:pPr>
        <w:pBdr>
          <w:top w:val="nil"/>
          <w:left w:val="nil"/>
          <w:bottom w:val="nil"/>
          <w:right w:val="nil"/>
          <w:between w:val="nil"/>
        </w:pBdr>
        <w:rPr>
          <w:rFonts w:eastAsia="Palatino Linotype" w:cs="Palatino Linotype"/>
          <w:color w:val="000000"/>
          <w:szCs w:val="24"/>
        </w:rPr>
      </w:pPr>
    </w:p>
    <w:p w14:paraId="7D1EE7D7" w14:textId="6B105EEE" w:rsidR="00AC7507" w:rsidRPr="007657CF" w:rsidRDefault="00AC7507"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En el supuesto de que una vez realizada la búsqueda de la información, ésta no se localizara, se deberá hacer del conocimiento del Recurrente en términos del segundo párrafo del artículo 19 de la Ley de la materia.</w:t>
      </w:r>
    </w:p>
    <w:p w14:paraId="7B4F0B62"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7B526F71" w14:textId="3DBF9F4C"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TERCERO. Notifíquese</w:t>
      </w:r>
      <w:r w:rsidRPr="007657CF">
        <w:rPr>
          <w:rFonts w:eastAsia="Palatino Linotype" w:cs="Palatino Linotype"/>
          <w:b/>
          <w:i/>
          <w:color w:val="000000"/>
          <w:szCs w:val="24"/>
        </w:rPr>
        <w:t xml:space="preserve"> </w:t>
      </w:r>
      <w:r w:rsidRPr="007657CF">
        <w:rPr>
          <w:rFonts w:eastAsia="Palatino Linotype" w:cs="Palatino Linotype"/>
          <w:color w:val="000000"/>
          <w:szCs w:val="24"/>
        </w:rPr>
        <w:t>al Titular de la Unidad de Transparencia del</w:t>
      </w:r>
      <w:r w:rsidRPr="007657CF">
        <w:rPr>
          <w:rFonts w:eastAsia="Palatino Linotype" w:cs="Palatino Linotype"/>
          <w:b/>
          <w:color w:val="000000"/>
          <w:szCs w:val="24"/>
        </w:rPr>
        <w:t xml:space="preserve"> </w:t>
      </w:r>
      <w:r w:rsidRPr="007657CF">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 xml:space="preserve">CUARTO. </w:t>
      </w:r>
      <w:r w:rsidRPr="007657CF">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72A94F51" w14:textId="4E107B31" w:rsidR="00151764" w:rsidRPr="007657CF" w:rsidRDefault="0055572B" w:rsidP="0055572B">
      <w:pPr>
        <w:contextualSpacing/>
        <w:rPr>
          <w:rFonts w:eastAsia="Palatino Linotype" w:cs="Palatino Linotype"/>
          <w:color w:val="000000"/>
          <w:szCs w:val="24"/>
        </w:rPr>
      </w:pPr>
      <w:r w:rsidRPr="007657CF">
        <w:rPr>
          <w:rFonts w:eastAsia="Palatino Linotype" w:cs="Palatino Linotype"/>
          <w:b/>
          <w:color w:val="000000"/>
          <w:szCs w:val="24"/>
        </w:rPr>
        <w:t xml:space="preserve">QUINTO. Notifíquese </w:t>
      </w:r>
      <w:r w:rsidRPr="007657CF">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7657CF">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235F0B65" w14:textId="1044F11E" w:rsidR="00151764" w:rsidRPr="00CE3486" w:rsidRDefault="00151764" w:rsidP="00B01AFD">
      <w:pPr>
        <w:contextualSpacing/>
        <w:rPr>
          <w:rFonts w:eastAsia="Palatino Linotype" w:cs="Palatino Linotype"/>
          <w:color w:val="000000"/>
          <w:szCs w:val="24"/>
        </w:rPr>
      </w:pPr>
    </w:p>
    <w:p w14:paraId="20573BFF" w14:textId="601DFB6B" w:rsidR="00A970D5" w:rsidRPr="007657CF" w:rsidRDefault="00A970D5" w:rsidP="00A42FF0">
      <w:pPr>
        <w:pBdr>
          <w:top w:val="nil"/>
          <w:left w:val="nil"/>
          <w:bottom w:val="nil"/>
          <w:right w:val="nil"/>
          <w:between w:val="nil"/>
        </w:pBdr>
        <w:ind w:right="-2"/>
        <w:contextualSpacing/>
        <w:rPr>
          <w:rFonts w:eastAsia="Palatino Linotype" w:cs="Palatino Linotype"/>
          <w:color w:val="000000"/>
          <w:szCs w:val="24"/>
        </w:rPr>
      </w:pPr>
      <w:r w:rsidRPr="007657CF">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7657CF">
        <w:rPr>
          <w:rFonts w:eastAsia="Palatino Linotype" w:cs="Palatino Linotype"/>
          <w:color w:val="000000"/>
          <w:szCs w:val="24"/>
        </w:rPr>
        <w:t xml:space="preserve">PEÑA, EN LA </w:t>
      </w:r>
      <w:r w:rsidR="005325BA">
        <w:rPr>
          <w:rFonts w:eastAsia="Palatino Linotype" w:cs="Palatino Linotype"/>
          <w:color w:val="000000"/>
          <w:szCs w:val="24"/>
        </w:rPr>
        <w:t>TRIGÉSIMA</w:t>
      </w:r>
      <w:r w:rsidRPr="007657CF">
        <w:rPr>
          <w:rFonts w:eastAsia="Palatino Linotype" w:cs="Palatino Linotype"/>
          <w:color w:val="000000"/>
          <w:szCs w:val="24"/>
        </w:rPr>
        <w:t xml:space="preserve"> SESIÓN ORDINARIA CEL</w:t>
      </w:r>
      <w:r w:rsidR="007F15FE" w:rsidRPr="007657CF">
        <w:rPr>
          <w:rFonts w:eastAsia="Palatino Linotype" w:cs="Palatino Linotype"/>
          <w:color w:val="000000"/>
          <w:szCs w:val="24"/>
        </w:rPr>
        <w:t xml:space="preserve">EBRADA </w:t>
      </w:r>
      <w:r w:rsidR="005325BA">
        <w:rPr>
          <w:rFonts w:eastAsia="Palatino Linotype" w:cs="Palatino Linotype"/>
          <w:color w:val="000000"/>
          <w:szCs w:val="24"/>
        </w:rPr>
        <w:t>VEINTICUATRO</w:t>
      </w:r>
      <w:r w:rsidR="00B01AFD">
        <w:rPr>
          <w:rFonts w:eastAsia="Palatino Linotype" w:cs="Palatino Linotype"/>
          <w:color w:val="000000"/>
          <w:szCs w:val="24"/>
        </w:rPr>
        <w:t xml:space="preserve"> DE AGOSTO</w:t>
      </w:r>
      <w:r w:rsidR="008B2BBB"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ANTE EL SECRETARIO TÉCNICO DEL PLENO, ALEXIS TAPIA RAMÍREZ.----------------------------</w:t>
      </w:r>
      <w:r w:rsidR="00B01AFD">
        <w:rPr>
          <w:rFonts w:eastAsia="Palatino Linotype" w:cs="Palatino Linotype"/>
          <w:color w:val="000000"/>
          <w:szCs w:val="24"/>
        </w:rPr>
        <w:t>----------------------------------------------------------------------------------------------------------------------------------------------------------------------------------------------------------</w:t>
      </w:r>
      <w:r w:rsidR="005325BA">
        <w:rPr>
          <w:rFonts w:eastAsia="Palatino Linotype" w:cs="Palatino Linotype"/>
          <w:color w:val="000000"/>
          <w:szCs w:val="24"/>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5C7D67">
      <w:headerReference w:type="even" r:id="rId9"/>
      <w:headerReference w:type="default" r:id="rId10"/>
      <w:footerReference w:type="default" r:id="rId11"/>
      <w:headerReference w:type="first" r:id="rId12"/>
      <w:footerReference w:type="first" r:id="rId13"/>
      <w:pgSz w:w="12240" w:h="15840"/>
      <w:pgMar w:top="2977" w:right="1134" w:bottom="1235"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339FA" w14:textId="77777777" w:rsidR="001B58C6" w:rsidRDefault="001B58C6" w:rsidP="00F2498E">
      <w:pPr>
        <w:spacing w:line="240" w:lineRule="auto"/>
      </w:pPr>
      <w:r>
        <w:separator/>
      </w:r>
    </w:p>
  </w:endnote>
  <w:endnote w:type="continuationSeparator" w:id="0">
    <w:p w14:paraId="6D8EECF5" w14:textId="77777777" w:rsidR="001B58C6" w:rsidRDefault="001B58C6" w:rsidP="00F2498E">
      <w:pPr>
        <w:spacing w:line="240" w:lineRule="auto"/>
      </w:pPr>
      <w:r>
        <w:continuationSeparator/>
      </w:r>
    </w:p>
  </w:endnote>
  <w:endnote w:type="continuationNotice" w:id="1">
    <w:p w14:paraId="7B40044F" w14:textId="77777777" w:rsidR="001B58C6" w:rsidRDefault="001B5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75D90">
      <w:rPr>
        <w:rFonts w:ascii="Palatino Linotype" w:hAnsi="Palatino Linotype"/>
        <w:b/>
        <w:bCs/>
        <w:noProof/>
        <w:sz w:val="20"/>
      </w:rPr>
      <w:t>16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75D90">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75D9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75D90">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FD1B6" w14:textId="77777777" w:rsidR="001B58C6" w:rsidRDefault="001B58C6" w:rsidP="00F2498E">
      <w:pPr>
        <w:spacing w:line="240" w:lineRule="auto"/>
      </w:pPr>
      <w:r>
        <w:separator/>
      </w:r>
    </w:p>
  </w:footnote>
  <w:footnote w:type="continuationSeparator" w:id="0">
    <w:p w14:paraId="5450C383" w14:textId="77777777" w:rsidR="001B58C6" w:rsidRDefault="001B58C6" w:rsidP="00F2498E">
      <w:pPr>
        <w:spacing w:line="240" w:lineRule="auto"/>
      </w:pPr>
      <w:r>
        <w:continuationSeparator/>
      </w:r>
    </w:p>
  </w:footnote>
  <w:footnote w:type="continuationNotice" w:id="1">
    <w:p w14:paraId="18ABB637" w14:textId="77777777" w:rsidR="001B58C6" w:rsidRDefault="001B58C6">
      <w:pPr>
        <w:spacing w:line="240" w:lineRule="auto"/>
      </w:pPr>
    </w:p>
  </w:footnote>
  <w:footnote w:id="2">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3B2" w:rsidRDefault="00F75D90">
    <w:pPr>
      <w:pStyle w:val="Encabezado"/>
    </w:pPr>
    <w:r>
      <w:rPr>
        <w:noProof/>
        <w:lang w:val="es-MX" w:eastAsia="es-MX"/>
      </w:rPr>
      <w:pict w14:anchorId="30BEA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8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C57E04">
          <w:pPr>
            <w:ind w:right="69"/>
            <w:jc w:val="right"/>
            <w:rPr>
              <w:rFonts w:cs="Arial"/>
              <w:b/>
              <w:szCs w:val="24"/>
            </w:rPr>
          </w:pPr>
          <w:r w:rsidRPr="00096248">
            <w:rPr>
              <w:rFonts w:cs="Arial"/>
              <w:b/>
              <w:szCs w:val="24"/>
            </w:rPr>
            <w:t>Recurso de Revisión:</w:t>
          </w:r>
        </w:p>
      </w:tc>
      <w:tc>
        <w:tcPr>
          <w:tcW w:w="4395" w:type="dxa"/>
          <w:hideMark/>
        </w:tcPr>
        <w:p w14:paraId="421B9899" w14:textId="23B63D18" w:rsidR="002813B2" w:rsidRPr="00096248" w:rsidRDefault="002813B2" w:rsidP="00C57E04">
          <w:pPr>
            <w:ind w:right="71"/>
            <w:jc w:val="right"/>
            <w:rPr>
              <w:rFonts w:cs="Arial"/>
              <w:b/>
              <w:szCs w:val="24"/>
            </w:rPr>
          </w:pPr>
          <w:r w:rsidRPr="00096248">
            <w:rPr>
              <w:rFonts w:cs="Arial"/>
              <w:b/>
              <w:bCs/>
              <w:szCs w:val="24"/>
            </w:rPr>
            <w:t>0</w:t>
          </w:r>
          <w:r w:rsidR="0058512C">
            <w:rPr>
              <w:rFonts w:cs="Arial"/>
              <w:b/>
              <w:bCs/>
              <w:szCs w:val="24"/>
            </w:rPr>
            <w:t>6910</w:t>
          </w:r>
          <w:r w:rsidRPr="00096248">
            <w:rPr>
              <w:rFonts w:cs="Arial"/>
              <w:b/>
              <w:bCs/>
              <w:szCs w:val="24"/>
            </w:rPr>
            <w:t>/INFOEM/IP/RR/202</w:t>
          </w:r>
          <w:r>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C57E04">
          <w:pPr>
            <w:ind w:right="69"/>
            <w:jc w:val="right"/>
            <w:rPr>
              <w:rFonts w:cs="Arial"/>
              <w:b/>
              <w:szCs w:val="24"/>
            </w:rPr>
          </w:pPr>
          <w:r w:rsidRPr="00096248">
            <w:rPr>
              <w:rFonts w:cs="Arial"/>
              <w:b/>
              <w:szCs w:val="24"/>
            </w:rPr>
            <w:t>Sujeto Obligado:</w:t>
          </w:r>
        </w:p>
      </w:tc>
      <w:tc>
        <w:tcPr>
          <w:tcW w:w="4395" w:type="dxa"/>
          <w:hideMark/>
        </w:tcPr>
        <w:p w14:paraId="283ADF36" w14:textId="68AFB992" w:rsidR="002813B2" w:rsidRPr="00096248" w:rsidRDefault="002813B2" w:rsidP="00A970D5">
          <w:pPr>
            <w:spacing w:line="240" w:lineRule="auto"/>
            <w:ind w:right="71"/>
            <w:jc w:val="right"/>
            <w:rPr>
              <w:rFonts w:cs="Arial"/>
              <w:szCs w:val="24"/>
            </w:rPr>
          </w:pPr>
          <w:r>
            <w:rPr>
              <w:rFonts w:cs="Arial"/>
              <w:szCs w:val="24"/>
            </w:rPr>
            <w:t xml:space="preserve">Ayuntamiento de </w:t>
          </w:r>
          <w:r w:rsidR="0058512C">
            <w:rPr>
              <w:rFonts w:cs="Arial"/>
              <w:szCs w:val="24"/>
            </w:rPr>
            <w:t>Atenco</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C57E04">
          <w:pPr>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F75D90">
    <w:pPr>
      <w:pStyle w:val="Encabezado"/>
      <w:rPr>
        <w:sz w:val="2"/>
      </w:rPr>
    </w:pPr>
    <w:r>
      <w:rPr>
        <w:noProof/>
        <w:lang w:val="es-MX" w:eastAsia="es-MX"/>
      </w:rPr>
      <w:pict w14:anchorId="7EE80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86" type="#_x0000_t75" alt="" style="position:absolute;left:0;text-align:left;margin-left:-81.15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43371AC" w:rsidR="002813B2" w:rsidRPr="00C81ECD" w:rsidRDefault="002813B2" w:rsidP="00C57E04">
          <w:pPr>
            <w:ind w:left="-486" w:right="68" w:firstLine="558"/>
            <w:jc w:val="right"/>
            <w:rPr>
              <w:rFonts w:cs="Arial"/>
              <w:b/>
              <w:szCs w:val="24"/>
            </w:rPr>
          </w:pPr>
          <w:r w:rsidRPr="00C81ECD">
            <w:rPr>
              <w:rFonts w:cs="Arial"/>
              <w:b/>
              <w:bCs/>
              <w:szCs w:val="24"/>
            </w:rPr>
            <w:t>0</w:t>
          </w:r>
          <w:r w:rsidR="004229EE">
            <w:rPr>
              <w:rFonts w:cs="Arial"/>
              <w:b/>
              <w:bCs/>
              <w:szCs w:val="24"/>
            </w:rPr>
            <w:t>6910</w:t>
          </w:r>
          <w:r w:rsidRPr="00C81ECD">
            <w:rPr>
              <w:rFonts w:cs="Arial"/>
              <w:b/>
              <w:bCs/>
              <w:szCs w:val="24"/>
            </w:rPr>
            <w:t>/INFOEM/IP/RR/2022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C57E04">
          <w:pPr>
            <w:ind w:right="68"/>
            <w:jc w:val="right"/>
            <w:rPr>
              <w:rFonts w:cs="Arial"/>
              <w:b/>
              <w:szCs w:val="24"/>
            </w:rPr>
          </w:pPr>
          <w:r w:rsidRPr="00663A37">
            <w:rPr>
              <w:rFonts w:cs="Arial"/>
              <w:b/>
              <w:szCs w:val="24"/>
            </w:rPr>
            <w:t>Recurrente:</w:t>
          </w:r>
        </w:p>
      </w:tc>
      <w:tc>
        <w:tcPr>
          <w:tcW w:w="4395" w:type="dxa"/>
          <w:hideMark/>
        </w:tcPr>
        <w:p w14:paraId="1126AAEC" w14:textId="392F301F" w:rsidR="002813B2" w:rsidRPr="00663A37" w:rsidRDefault="00F75D90" w:rsidP="00C57E04">
          <w:pPr>
            <w:ind w:right="68"/>
            <w:jc w:val="right"/>
            <w:rPr>
              <w:rFonts w:cs="Arial"/>
              <w:szCs w:val="24"/>
            </w:rPr>
          </w:pPr>
          <w:proofErr w:type="spellStart"/>
          <w:r>
            <w:rPr>
              <w:rFonts w:cs="Arial"/>
              <w:szCs w:val="24"/>
            </w:rPr>
            <w:t>xxxx</w:t>
          </w:r>
          <w:proofErr w:type="spellEnd"/>
        </w:p>
      </w:tc>
    </w:tr>
    <w:tr w:rsidR="002813B2" w14:paraId="4DC11993" w14:textId="77777777" w:rsidTr="003938ED">
      <w:trPr>
        <w:trHeight w:val="242"/>
      </w:trPr>
      <w:tc>
        <w:tcPr>
          <w:tcW w:w="5103" w:type="dxa"/>
          <w:hideMark/>
        </w:tcPr>
        <w:p w14:paraId="76CEF1B5" w14:textId="77777777" w:rsidR="002813B2" w:rsidRPr="00663A37" w:rsidRDefault="002813B2" w:rsidP="00C57E04">
          <w:pPr>
            <w:ind w:right="68"/>
            <w:jc w:val="right"/>
            <w:rPr>
              <w:rFonts w:cs="Arial"/>
              <w:b/>
              <w:szCs w:val="24"/>
            </w:rPr>
          </w:pPr>
          <w:r w:rsidRPr="00663A37">
            <w:rPr>
              <w:rFonts w:cs="Arial"/>
              <w:b/>
              <w:szCs w:val="24"/>
            </w:rPr>
            <w:t>Sujeto Obligado:</w:t>
          </w:r>
        </w:p>
      </w:tc>
      <w:tc>
        <w:tcPr>
          <w:tcW w:w="4395" w:type="dxa"/>
          <w:hideMark/>
        </w:tcPr>
        <w:p w14:paraId="7C1BB379" w14:textId="6A02E73F" w:rsidR="002813B2" w:rsidRPr="00663A37" w:rsidRDefault="002813B2" w:rsidP="001C3145">
          <w:pPr>
            <w:spacing w:line="240" w:lineRule="auto"/>
            <w:ind w:left="-70" w:right="68"/>
            <w:jc w:val="right"/>
            <w:rPr>
              <w:rFonts w:cs="Arial"/>
              <w:szCs w:val="24"/>
            </w:rPr>
          </w:pPr>
          <w:r>
            <w:rPr>
              <w:rFonts w:cs="Arial"/>
              <w:szCs w:val="24"/>
            </w:rPr>
            <w:t xml:space="preserve">Ayuntamiento de </w:t>
          </w:r>
          <w:r w:rsidR="0058512C">
            <w:rPr>
              <w:rFonts w:cs="Arial"/>
              <w:szCs w:val="24"/>
            </w:rPr>
            <w:t>Atenco</w:t>
          </w:r>
        </w:p>
      </w:tc>
    </w:tr>
    <w:tr w:rsidR="002813B2" w14:paraId="5C2B511D" w14:textId="77777777" w:rsidTr="003938ED">
      <w:trPr>
        <w:trHeight w:val="342"/>
      </w:trPr>
      <w:tc>
        <w:tcPr>
          <w:tcW w:w="5103" w:type="dxa"/>
          <w:hideMark/>
        </w:tcPr>
        <w:p w14:paraId="03FEF68C" w14:textId="45E91CF4" w:rsidR="002813B2" w:rsidRPr="00663A37" w:rsidRDefault="002813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C57E04">
          <w:pPr>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F75D90">
    <w:pPr>
      <w:pStyle w:val="Encabezado"/>
      <w:rPr>
        <w:sz w:val="2"/>
      </w:rPr>
    </w:pPr>
    <w:r>
      <w:rPr>
        <w:noProof/>
        <w:lang w:val="es-MX" w:eastAsia="es-MX"/>
      </w:rPr>
      <w:pict w14:anchorId="3911F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4A1191"/>
    <w:multiLevelType w:val="hybridMultilevel"/>
    <w:tmpl w:val="2E7A58F4"/>
    <w:lvl w:ilvl="0" w:tplc="F3442E7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1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7"/>
  </w:num>
  <w:num w:numId="3">
    <w:abstractNumId w:val="2"/>
  </w:num>
  <w:num w:numId="4">
    <w:abstractNumId w:val="12"/>
  </w:num>
  <w:num w:numId="5">
    <w:abstractNumId w:val="10"/>
  </w:num>
  <w:num w:numId="6">
    <w:abstractNumId w:val="4"/>
  </w:num>
  <w:num w:numId="7">
    <w:abstractNumId w:val="14"/>
  </w:num>
  <w:num w:numId="8">
    <w:abstractNumId w:val="22"/>
  </w:num>
  <w:num w:numId="9">
    <w:abstractNumId w:val="16"/>
  </w:num>
  <w:num w:numId="10">
    <w:abstractNumId w:val="1"/>
  </w:num>
  <w:num w:numId="11">
    <w:abstractNumId w:val="13"/>
  </w:num>
  <w:num w:numId="12">
    <w:abstractNumId w:val="5"/>
  </w:num>
  <w:num w:numId="13">
    <w:abstractNumId w:val="6"/>
  </w:num>
  <w:num w:numId="14">
    <w:abstractNumId w:val="11"/>
  </w:num>
  <w:num w:numId="15">
    <w:abstractNumId w:val="7"/>
  </w:num>
  <w:num w:numId="16">
    <w:abstractNumId w:val="19"/>
  </w:num>
  <w:num w:numId="17">
    <w:abstractNumId w:val="21"/>
  </w:num>
  <w:num w:numId="18">
    <w:abstractNumId w:val="0"/>
  </w:num>
  <w:num w:numId="19">
    <w:abstractNumId w:val="15"/>
  </w:num>
  <w:num w:numId="20">
    <w:abstractNumId w:val="3"/>
  </w:num>
  <w:num w:numId="21">
    <w:abstractNumId w:val="23"/>
  </w:num>
  <w:num w:numId="22">
    <w:abstractNumId w:val="9"/>
  </w:num>
  <w:num w:numId="23">
    <w:abstractNumId w:val="18"/>
  </w:num>
  <w:num w:numId="2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8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21122"/>
    <w:rsid w:val="00021165"/>
    <w:rsid w:val="00021A08"/>
    <w:rsid w:val="000221D0"/>
    <w:rsid w:val="00024A6D"/>
    <w:rsid w:val="0002654F"/>
    <w:rsid w:val="00026582"/>
    <w:rsid w:val="00031BA3"/>
    <w:rsid w:val="00033479"/>
    <w:rsid w:val="00033562"/>
    <w:rsid w:val="0003521B"/>
    <w:rsid w:val="0003577D"/>
    <w:rsid w:val="00035A30"/>
    <w:rsid w:val="0003692B"/>
    <w:rsid w:val="00036D5F"/>
    <w:rsid w:val="00036EFC"/>
    <w:rsid w:val="00037635"/>
    <w:rsid w:val="00040A10"/>
    <w:rsid w:val="00040BB6"/>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6CA2"/>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829"/>
    <w:rsid w:val="0011295F"/>
    <w:rsid w:val="00112F8F"/>
    <w:rsid w:val="00114F1E"/>
    <w:rsid w:val="00115495"/>
    <w:rsid w:val="00116E4B"/>
    <w:rsid w:val="00116F6B"/>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475"/>
    <w:rsid w:val="00171AAD"/>
    <w:rsid w:val="00171BBC"/>
    <w:rsid w:val="0017292D"/>
    <w:rsid w:val="001744AB"/>
    <w:rsid w:val="0017523B"/>
    <w:rsid w:val="00175B42"/>
    <w:rsid w:val="00176072"/>
    <w:rsid w:val="0017633C"/>
    <w:rsid w:val="00176522"/>
    <w:rsid w:val="001809A8"/>
    <w:rsid w:val="00181A9D"/>
    <w:rsid w:val="001823E3"/>
    <w:rsid w:val="00182FC0"/>
    <w:rsid w:val="00184AEA"/>
    <w:rsid w:val="0018577B"/>
    <w:rsid w:val="00185C61"/>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58C6"/>
    <w:rsid w:val="001B6C2D"/>
    <w:rsid w:val="001B7147"/>
    <w:rsid w:val="001C087E"/>
    <w:rsid w:val="001C0F32"/>
    <w:rsid w:val="001C2099"/>
    <w:rsid w:val="001C27A3"/>
    <w:rsid w:val="001C2A51"/>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E9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3E1"/>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60189"/>
    <w:rsid w:val="0036188D"/>
    <w:rsid w:val="00362013"/>
    <w:rsid w:val="0036336C"/>
    <w:rsid w:val="003637A1"/>
    <w:rsid w:val="00364C0A"/>
    <w:rsid w:val="003713C2"/>
    <w:rsid w:val="0037172A"/>
    <w:rsid w:val="0037269A"/>
    <w:rsid w:val="0037526D"/>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9EE"/>
    <w:rsid w:val="004232C6"/>
    <w:rsid w:val="00426124"/>
    <w:rsid w:val="00426F24"/>
    <w:rsid w:val="0043072C"/>
    <w:rsid w:val="004310BB"/>
    <w:rsid w:val="004325EA"/>
    <w:rsid w:val="004338C7"/>
    <w:rsid w:val="00433E65"/>
    <w:rsid w:val="00434C3F"/>
    <w:rsid w:val="00437085"/>
    <w:rsid w:val="004406B5"/>
    <w:rsid w:val="004431D5"/>
    <w:rsid w:val="004436C5"/>
    <w:rsid w:val="00444E7F"/>
    <w:rsid w:val="00445514"/>
    <w:rsid w:val="00445853"/>
    <w:rsid w:val="00447748"/>
    <w:rsid w:val="004477B3"/>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571F"/>
    <w:rsid w:val="004D6095"/>
    <w:rsid w:val="004D66AD"/>
    <w:rsid w:val="004D6995"/>
    <w:rsid w:val="004D79E9"/>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1074E"/>
    <w:rsid w:val="00510808"/>
    <w:rsid w:val="00510870"/>
    <w:rsid w:val="00511AE4"/>
    <w:rsid w:val="00512A53"/>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7EF6"/>
    <w:rsid w:val="00531016"/>
    <w:rsid w:val="00532218"/>
    <w:rsid w:val="005325BA"/>
    <w:rsid w:val="00533849"/>
    <w:rsid w:val="00533D56"/>
    <w:rsid w:val="00535912"/>
    <w:rsid w:val="00536373"/>
    <w:rsid w:val="005367E7"/>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7B1E"/>
    <w:rsid w:val="00587E84"/>
    <w:rsid w:val="005913E6"/>
    <w:rsid w:val="005944ED"/>
    <w:rsid w:val="005964D7"/>
    <w:rsid w:val="00596D61"/>
    <w:rsid w:val="00597018"/>
    <w:rsid w:val="005A030B"/>
    <w:rsid w:val="005A0521"/>
    <w:rsid w:val="005A1EA5"/>
    <w:rsid w:val="005A2CE7"/>
    <w:rsid w:val="005A2F92"/>
    <w:rsid w:val="005A43E7"/>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A5F"/>
    <w:rsid w:val="005D6CE0"/>
    <w:rsid w:val="005E10A5"/>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06B69"/>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68ED"/>
    <w:rsid w:val="00647303"/>
    <w:rsid w:val="0064774D"/>
    <w:rsid w:val="00647DF7"/>
    <w:rsid w:val="006512F6"/>
    <w:rsid w:val="00653B0F"/>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448A"/>
    <w:rsid w:val="006950D6"/>
    <w:rsid w:val="00696FD6"/>
    <w:rsid w:val="006A3246"/>
    <w:rsid w:val="006A4224"/>
    <w:rsid w:val="006A53BF"/>
    <w:rsid w:val="006A56F0"/>
    <w:rsid w:val="006A585F"/>
    <w:rsid w:val="006A721D"/>
    <w:rsid w:val="006A7CE2"/>
    <w:rsid w:val="006A7E3C"/>
    <w:rsid w:val="006B11C6"/>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DD7"/>
    <w:rsid w:val="006F0222"/>
    <w:rsid w:val="006F04A3"/>
    <w:rsid w:val="006F114C"/>
    <w:rsid w:val="006F1A99"/>
    <w:rsid w:val="006F22DE"/>
    <w:rsid w:val="006F676C"/>
    <w:rsid w:val="00700C90"/>
    <w:rsid w:val="00701F34"/>
    <w:rsid w:val="007031A2"/>
    <w:rsid w:val="00704693"/>
    <w:rsid w:val="00704AB9"/>
    <w:rsid w:val="007054D8"/>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2A25"/>
    <w:rsid w:val="00732AB3"/>
    <w:rsid w:val="007332CF"/>
    <w:rsid w:val="0073486B"/>
    <w:rsid w:val="00734FB5"/>
    <w:rsid w:val="00735140"/>
    <w:rsid w:val="007353CE"/>
    <w:rsid w:val="00736F47"/>
    <w:rsid w:val="00736F6B"/>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D4B"/>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2134"/>
    <w:rsid w:val="00815D01"/>
    <w:rsid w:val="00816C5A"/>
    <w:rsid w:val="00817344"/>
    <w:rsid w:val="00817678"/>
    <w:rsid w:val="0082049D"/>
    <w:rsid w:val="008217BC"/>
    <w:rsid w:val="00822BA1"/>
    <w:rsid w:val="00822DED"/>
    <w:rsid w:val="00824358"/>
    <w:rsid w:val="00824798"/>
    <w:rsid w:val="00824E58"/>
    <w:rsid w:val="008275DC"/>
    <w:rsid w:val="00827D60"/>
    <w:rsid w:val="00831D6C"/>
    <w:rsid w:val="00832F6C"/>
    <w:rsid w:val="008341ED"/>
    <w:rsid w:val="008362CE"/>
    <w:rsid w:val="00837584"/>
    <w:rsid w:val="00841673"/>
    <w:rsid w:val="00841963"/>
    <w:rsid w:val="00845B52"/>
    <w:rsid w:val="00846D3E"/>
    <w:rsid w:val="00846DE7"/>
    <w:rsid w:val="00847575"/>
    <w:rsid w:val="008477B9"/>
    <w:rsid w:val="00847C27"/>
    <w:rsid w:val="008505FB"/>
    <w:rsid w:val="008523FA"/>
    <w:rsid w:val="008529E6"/>
    <w:rsid w:val="00852BA3"/>
    <w:rsid w:val="00852CDD"/>
    <w:rsid w:val="00855E11"/>
    <w:rsid w:val="008575E1"/>
    <w:rsid w:val="0085760A"/>
    <w:rsid w:val="0086170A"/>
    <w:rsid w:val="00863328"/>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80580"/>
    <w:rsid w:val="00881947"/>
    <w:rsid w:val="00881D64"/>
    <w:rsid w:val="00882C01"/>
    <w:rsid w:val="00882E02"/>
    <w:rsid w:val="00883C16"/>
    <w:rsid w:val="008853EC"/>
    <w:rsid w:val="00885F19"/>
    <w:rsid w:val="00886866"/>
    <w:rsid w:val="00891CFC"/>
    <w:rsid w:val="00891E79"/>
    <w:rsid w:val="008921AE"/>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8F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53A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5CC4"/>
    <w:rsid w:val="0096624D"/>
    <w:rsid w:val="009676E3"/>
    <w:rsid w:val="00970143"/>
    <w:rsid w:val="00970B7F"/>
    <w:rsid w:val="00970C38"/>
    <w:rsid w:val="00971614"/>
    <w:rsid w:val="00972340"/>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97C"/>
    <w:rsid w:val="00994A07"/>
    <w:rsid w:val="00994D8D"/>
    <w:rsid w:val="00996257"/>
    <w:rsid w:val="00996BCA"/>
    <w:rsid w:val="009A0E79"/>
    <w:rsid w:val="009A1740"/>
    <w:rsid w:val="009A216A"/>
    <w:rsid w:val="009A23B0"/>
    <w:rsid w:val="009A35C9"/>
    <w:rsid w:val="009A3604"/>
    <w:rsid w:val="009A473C"/>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406F"/>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451"/>
    <w:rsid w:val="00A34D4B"/>
    <w:rsid w:val="00A35811"/>
    <w:rsid w:val="00A35D0A"/>
    <w:rsid w:val="00A40FB6"/>
    <w:rsid w:val="00A42629"/>
    <w:rsid w:val="00A42FF0"/>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C7507"/>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1AFD"/>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470D"/>
    <w:rsid w:val="00B4620E"/>
    <w:rsid w:val="00B46CB0"/>
    <w:rsid w:val="00B4725D"/>
    <w:rsid w:val="00B5180E"/>
    <w:rsid w:val="00B52A3F"/>
    <w:rsid w:val="00B539AD"/>
    <w:rsid w:val="00B5462A"/>
    <w:rsid w:val="00B54BC7"/>
    <w:rsid w:val="00B565AE"/>
    <w:rsid w:val="00B56C15"/>
    <w:rsid w:val="00B571C8"/>
    <w:rsid w:val="00B57348"/>
    <w:rsid w:val="00B61E5E"/>
    <w:rsid w:val="00B62D2B"/>
    <w:rsid w:val="00B63807"/>
    <w:rsid w:val="00B6426B"/>
    <w:rsid w:val="00B65D4D"/>
    <w:rsid w:val="00B66649"/>
    <w:rsid w:val="00B67741"/>
    <w:rsid w:val="00B67DF0"/>
    <w:rsid w:val="00B720DB"/>
    <w:rsid w:val="00B75683"/>
    <w:rsid w:val="00B75985"/>
    <w:rsid w:val="00B7667D"/>
    <w:rsid w:val="00B80BD4"/>
    <w:rsid w:val="00B8179C"/>
    <w:rsid w:val="00B822DB"/>
    <w:rsid w:val="00B82D4E"/>
    <w:rsid w:val="00B84A8A"/>
    <w:rsid w:val="00B87C64"/>
    <w:rsid w:val="00B91A82"/>
    <w:rsid w:val="00B9279C"/>
    <w:rsid w:val="00B934BE"/>
    <w:rsid w:val="00B93569"/>
    <w:rsid w:val="00B941CE"/>
    <w:rsid w:val="00B9576A"/>
    <w:rsid w:val="00B962BB"/>
    <w:rsid w:val="00B97CD9"/>
    <w:rsid w:val="00BA088E"/>
    <w:rsid w:val="00BA2861"/>
    <w:rsid w:val="00BA395F"/>
    <w:rsid w:val="00BA636A"/>
    <w:rsid w:val="00BA6707"/>
    <w:rsid w:val="00BA7C0B"/>
    <w:rsid w:val="00BB0F85"/>
    <w:rsid w:val="00BB1940"/>
    <w:rsid w:val="00BB2E4D"/>
    <w:rsid w:val="00BB5301"/>
    <w:rsid w:val="00BB57E8"/>
    <w:rsid w:val="00BB7349"/>
    <w:rsid w:val="00BC0196"/>
    <w:rsid w:val="00BC0367"/>
    <w:rsid w:val="00BC219A"/>
    <w:rsid w:val="00BC42A8"/>
    <w:rsid w:val="00BC66EE"/>
    <w:rsid w:val="00BC69F2"/>
    <w:rsid w:val="00BC7535"/>
    <w:rsid w:val="00BC7F3C"/>
    <w:rsid w:val="00BC7FFB"/>
    <w:rsid w:val="00BD034D"/>
    <w:rsid w:val="00BD3209"/>
    <w:rsid w:val="00BD3ECE"/>
    <w:rsid w:val="00BD5782"/>
    <w:rsid w:val="00BD780A"/>
    <w:rsid w:val="00BE0194"/>
    <w:rsid w:val="00BE023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FA"/>
    <w:rsid w:val="00C25B3F"/>
    <w:rsid w:val="00C2627B"/>
    <w:rsid w:val="00C3227B"/>
    <w:rsid w:val="00C32ACE"/>
    <w:rsid w:val="00C32F37"/>
    <w:rsid w:val="00C33352"/>
    <w:rsid w:val="00C33E5F"/>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87D3E"/>
    <w:rsid w:val="00C90FC8"/>
    <w:rsid w:val="00C92A0D"/>
    <w:rsid w:val="00C93C99"/>
    <w:rsid w:val="00C9443B"/>
    <w:rsid w:val="00C9490F"/>
    <w:rsid w:val="00C96E34"/>
    <w:rsid w:val="00C97067"/>
    <w:rsid w:val="00C9717B"/>
    <w:rsid w:val="00C97465"/>
    <w:rsid w:val="00C97586"/>
    <w:rsid w:val="00CA0E7A"/>
    <w:rsid w:val="00CA1AD6"/>
    <w:rsid w:val="00CA39B7"/>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2986"/>
    <w:rsid w:val="00D338DB"/>
    <w:rsid w:val="00D35042"/>
    <w:rsid w:val="00D3511F"/>
    <w:rsid w:val="00D36BE0"/>
    <w:rsid w:val="00D36DB6"/>
    <w:rsid w:val="00D3752B"/>
    <w:rsid w:val="00D40470"/>
    <w:rsid w:val="00D41147"/>
    <w:rsid w:val="00D44AD8"/>
    <w:rsid w:val="00D4515E"/>
    <w:rsid w:val="00D4521D"/>
    <w:rsid w:val="00D45819"/>
    <w:rsid w:val="00D46397"/>
    <w:rsid w:val="00D464F2"/>
    <w:rsid w:val="00D52933"/>
    <w:rsid w:val="00D52C36"/>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5F8C"/>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4A4E"/>
    <w:rsid w:val="00E41D06"/>
    <w:rsid w:val="00E41D0D"/>
    <w:rsid w:val="00E426BD"/>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B6916"/>
    <w:rsid w:val="00EC1362"/>
    <w:rsid w:val="00EC21A8"/>
    <w:rsid w:val="00EC238F"/>
    <w:rsid w:val="00EC291E"/>
    <w:rsid w:val="00EC2EEA"/>
    <w:rsid w:val="00EC6A66"/>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A01"/>
    <w:rsid w:val="00EF4D0F"/>
    <w:rsid w:val="00EF52F1"/>
    <w:rsid w:val="00EF5FF8"/>
    <w:rsid w:val="00EF6F58"/>
    <w:rsid w:val="00EF7935"/>
    <w:rsid w:val="00F004E8"/>
    <w:rsid w:val="00F01526"/>
    <w:rsid w:val="00F023A7"/>
    <w:rsid w:val="00F039E2"/>
    <w:rsid w:val="00F04A95"/>
    <w:rsid w:val="00F058D3"/>
    <w:rsid w:val="00F11FF3"/>
    <w:rsid w:val="00F12F4D"/>
    <w:rsid w:val="00F12FB0"/>
    <w:rsid w:val="00F13A10"/>
    <w:rsid w:val="00F16039"/>
    <w:rsid w:val="00F206DE"/>
    <w:rsid w:val="00F20DCF"/>
    <w:rsid w:val="00F2498E"/>
    <w:rsid w:val="00F249C5"/>
    <w:rsid w:val="00F270F0"/>
    <w:rsid w:val="00F27DB1"/>
    <w:rsid w:val="00F30FCB"/>
    <w:rsid w:val="00F32B26"/>
    <w:rsid w:val="00F3332A"/>
    <w:rsid w:val="00F34068"/>
    <w:rsid w:val="00F3421F"/>
    <w:rsid w:val="00F35ED7"/>
    <w:rsid w:val="00F423F6"/>
    <w:rsid w:val="00F43916"/>
    <w:rsid w:val="00F44F84"/>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2544"/>
    <w:rsid w:val="00F62E9B"/>
    <w:rsid w:val="00F63239"/>
    <w:rsid w:val="00F63C65"/>
    <w:rsid w:val="00F64F0D"/>
    <w:rsid w:val="00F656E5"/>
    <w:rsid w:val="00F66279"/>
    <w:rsid w:val="00F70652"/>
    <w:rsid w:val="00F70B12"/>
    <w:rsid w:val="00F70F10"/>
    <w:rsid w:val="00F74A3D"/>
    <w:rsid w:val="00F74A8F"/>
    <w:rsid w:val="00F74FB9"/>
    <w:rsid w:val="00F75D90"/>
    <w:rsid w:val="00F77D38"/>
    <w:rsid w:val="00F815F4"/>
    <w:rsid w:val="00F8543D"/>
    <w:rsid w:val="00F861B1"/>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1260"/>
    <w:rsid w:val="00FB1A7F"/>
    <w:rsid w:val="00FB3F61"/>
    <w:rsid w:val="00FB41FD"/>
    <w:rsid w:val="00FB4353"/>
    <w:rsid w:val="00FB4E64"/>
    <w:rsid w:val="00FB6398"/>
    <w:rsid w:val="00FC0F87"/>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765D-9F52-496E-805E-8F4C41A0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37</Pages>
  <Words>9284</Words>
  <Characters>51064</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2022-07-20T23:50:00Z</dcterms:created>
  <dcterms:modified xsi:type="dcterms:W3CDTF">2022-09-13T17:24:00Z</dcterms:modified>
</cp:coreProperties>
</file>