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cuatro de mayo del dos mil veintidós.</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03464/INFOEM</w:t>
      </w:r>
      <w:bookmarkStart w:id="0" w:name="_GoBack"/>
      <w:bookmarkEnd w:id="0"/>
      <w:r>
        <w:rPr>
          <w:rFonts w:ascii="Palatino Linotype" w:eastAsia="Palatino Linotype" w:hAnsi="Palatino Linotype" w:cs="Palatino Linotype"/>
          <w:b/>
        </w:rPr>
        <w:t>/IP/RR/2022</w:t>
      </w:r>
      <w:r>
        <w:rPr>
          <w:rFonts w:ascii="Palatino Linotype" w:eastAsia="Palatino Linotype" w:hAnsi="Palatino Linotype" w:cs="Palatino Linotype"/>
        </w:rPr>
        <w:t>, interpuesto por</w:t>
      </w:r>
      <w:r w:rsidR="00E0372F">
        <w:rPr>
          <w:rFonts w:ascii="Palatino Linotype" w:eastAsia="Palatino Linotype" w:hAnsi="Palatino Linotype" w:cs="Palatino Linotype"/>
          <w:b/>
        </w:rPr>
        <w:t xml:space="preserve"> XXXXX XXXXX XXXXX XXXX</w:t>
      </w:r>
      <w:r>
        <w:rPr>
          <w:rFonts w:ascii="Palatino Linotype" w:eastAsia="Palatino Linotype" w:hAnsi="Palatino Linotype" w:cs="Palatino Linotype"/>
        </w:rPr>
        <w:t xml:space="preserve">, en lo sucesivo se le denominara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contra de la falta de respuesta a la solicitud de acceso a la información con número de folio </w:t>
      </w:r>
      <w:r>
        <w:rPr>
          <w:rFonts w:ascii="Palatino Linotype" w:eastAsia="Palatino Linotype" w:hAnsi="Palatino Linotype" w:cs="Palatino Linotype"/>
          <w:b/>
        </w:rPr>
        <w:t>00012/DIFNAUCAL/IP/2022,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Sistema Municipal para el Desarrollo Integral de la Familia de Naucalpan de Juárez</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FB7CF1" w:rsidRDefault="00B00F5C">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FB7CF1" w:rsidRDefault="00B00F5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diez de febrero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la Plataforma Nacional de Transparencia, vinculada al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FB7CF1" w:rsidRDefault="00B00F5C">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Obtener 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la persona autorizada por el ente obligado con la clave CIEC tratándose del ISR salarios y asimilados y/o asalariados.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Se solicita lo siguiente: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Reportes del aplicativo “Visor de nómina del SAT” por los años 2018, 2019, 2020, y 2021 en sus tres presentaciones: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Vista anual acumulada.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Detalle mensual.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Detalle diferencias sueldos y salarios.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La constancia de situación fiscal de no adeudo emitida por el INFONAVIT, generada desde el portal empresarial de esa Institución, a través de internet.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opinión de no adeudo en el cumplimiento de obligaciones fiscales en materia de seguridad social emitida x el IMSS, generada desde el portal de esa Institución, a través de internet.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opinión de no adeudo en el cumplimiento de obligaciones fiscales estatales emitida por el SATEM, generada desde el portal de esa Institución, a través de internet.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Un papel de trabajo por el municipio, y otro por cada una de sus descentralizadas que contenga los datos para identificar el ISR participable recuperado por cada mes desde Enero de 2019 hasta Octubre de 2021. Propongo un papel de trabajo con los siguientes encabezados: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En la columna A “Mes”.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En la columna B “Año”.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En la columna C “ISR salarios retenido”.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En la columna D “ISR salarios enterado”.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 En la columna E “ISR asimilados retenido”.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 En la columna F “ISR asimilados enterado”.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G) En la columna G “ISR honorarios y arrendamiento retenido”.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H) En la columna H “ISR honorarios y arrendamiento enterado”.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En la columna I “ISR participable recuperado a valor histórico”.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J) En la columna J “Subsidio para el empleo entregado en el mes al trabajador”.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K) En la columna K “Subsidio para el empleo acreditado en el mes contra las contribuciones que proceda”.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Para comprobar que los trabajadores no están siendo afectados x errores en el cálculo de sus impuestos (No tienen diferencias a cargo, ni diferencias a favor en su declaración anual precargada), propongo q seleccionen al azar 5 muestras del </w:t>
      </w:r>
      <w:r>
        <w:rPr>
          <w:rFonts w:ascii="Palatino Linotype" w:eastAsia="Palatino Linotype" w:hAnsi="Palatino Linotype" w:cs="Palatino Linotype"/>
          <w:i/>
          <w:sz w:val="22"/>
          <w:szCs w:val="22"/>
        </w:rPr>
        <w:lastRenderedPageBreak/>
        <w:t xml:space="preserve">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En la columna A “Nombre del trabajador”, pudiendo identificarlos como: trabajador 1, trabajador 2, trabajador 3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En la columna B “Año”.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En la columna C “Saldo a favor de ISR”.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En la columna D “Saldo a cargo en el ISR”.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 En la columna E “Diferencia 0 en el ISR”.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 (Sic)</w:t>
      </w:r>
    </w:p>
    <w:p w:rsidR="00FB7CF1" w:rsidRDefault="00FB7CF1">
      <w:pPr>
        <w:spacing w:after="240" w:line="276" w:lineRule="auto"/>
        <w:ind w:left="851" w:right="900"/>
        <w:jc w:val="both"/>
        <w:rPr>
          <w:rFonts w:ascii="Palatino Linotype" w:eastAsia="Palatino Linotype" w:hAnsi="Palatino Linotype" w:cs="Palatino Linotype"/>
          <w:i/>
          <w:sz w:val="22"/>
          <w:szCs w:val="22"/>
        </w:rPr>
      </w:pPr>
    </w:p>
    <w:p w:rsidR="00FB7CF1" w:rsidRDefault="00B00F5C">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 correo electrónico, Cualquier otro medio incluido los electrónicos (USB, SD, Disco)</w:t>
      </w:r>
    </w:p>
    <w:p w:rsidR="00FB7CF1" w:rsidRDefault="00FB7CF1">
      <w:pPr>
        <w:spacing w:line="360" w:lineRule="auto"/>
        <w:ind w:right="49"/>
        <w:jc w:val="both"/>
        <w:rPr>
          <w:rFonts w:ascii="Palatino Linotype" w:eastAsia="Palatino Linotype" w:hAnsi="Palatino Linotype" w:cs="Palatino Linotype"/>
        </w:rPr>
      </w:pPr>
    </w:p>
    <w:p w:rsidR="00FB7CF1" w:rsidRDefault="00B00F5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No pasa desapercibido que el ahora Recurrente en el apartado de “Cualquier detalle que facilite la búsqueda de la información”, precisó lo siguiente:</w:t>
      </w:r>
    </w:p>
    <w:p w:rsidR="00FB7CF1" w:rsidRDefault="00FB7CF1">
      <w:pPr>
        <w:spacing w:line="360" w:lineRule="auto"/>
        <w:ind w:right="49"/>
        <w:jc w:val="both"/>
        <w:rPr>
          <w:rFonts w:ascii="Palatino Linotype" w:eastAsia="Palatino Linotype" w:hAnsi="Palatino Linotype" w:cs="Palatino Linotype"/>
        </w:rPr>
      </w:pP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su tesorero(a) del ayuntamiento, con sus asesores financieros, con sus contadores de las descentralizadas del ayuntamiento, con su titular de recursos humanos y con su nominista del ayuntamiento y/o descentralizadas” (Sic)</w:t>
      </w:r>
    </w:p>
    <w:p w:rsidR="00FB7CF1" w:rsidRDefault="00B00F5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el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 través del SAIMEX en fecha siete de marzo del año dos mil veintidós, expresando lo siguiente:</w:t>
      </w:r>
    </w:p>
    <w:p w:rsidR="00FB7CF1" w:rsidRDefault="00B00F5C">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FB7CF1" w:rsidRDefault="00B00F5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“Su total omisión a mi solicitud de información” (Sic)</w:t>
      </w:r>
    </w:p>
    <w:p w:rsidR="00FB7CF1" w:rsidRDefault="00B00F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FB7CF1" w:rsidRDefault="00B00F5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“Por medio de la presente hoy 07 de marzo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Sistema Municipal Para el Desarrollo Integral de la Familia de Naucalpan de Juárez, ya que su respuesta que me entrego oficio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y le reitero porque ya se lo había dicho en la aclaración que solicito,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sigue sin entender que se le solicito y que si es de su competencia y de que si cuenta con TODOS los visores de nómina del SAT, ya que los reportes visores de nómina los tiene el </w:t>
      </w:r>
      <w:r>
        <w:rPr>
          <w:rFonts w:ascii="Palatino Linotype" w:eastAsia="Palatino Linotype" w:hAnsi="Palatino Linotype" w:cs="Palatino Linotype"/>
          <w:i/>
          <w:color w:val="000000"/>
          <w:sz w:val="22"/>
          <w:szCs w:val="22"/>
        </w:rPr>
        <w:lastRenderedPageBreak/>
        <w:t xml:space="preserve">Ente Público Obligado desde su portal del SAT; se reitera es información fácil que ya tiene el Ente Obligado en su portal del SAT, repito directamente en su portal del SAT ya que son simples REPORTES reitero REPORTES que ya hizo y entregó el Sistema Municipal Para el Desarrollo Integral de la Familia de Naucalpan de Juárez,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(adjunto ejemplo para que sepa cómo). Respecto a las otras dos presentaciones del visor de nóminas del SAT (Vista anual acumulada en vista Horizontal y vertical y Visor detalle mensual) solo tiene que descargar los pdf. de su portal del SAT. Dando solo dos clicks y descargando los archivos (adjunto ejemplos).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otra recaudadora estatal de impuestos está bien la respuesta que la exprese que no aplica si esto es así, y si si aplica es darme las constancias y opiniones de cumplimiento al día de esas Recaudadoras estatales a las que les paga impuestos y respecto al punto I espero ahora si lo haya entendido que es una herramienta de ayuda del SAT para ellos y son reportes ya entregados y si aún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de Reporte ejemplo para eficientar y mejorar sus actividades y son Reportes simples reportes. El acceso a la información y la transparencia no solo es un derecho humano, es democracia básica, no un privilegio. Que ya se </w:t>
      </w:r>
      <w:r>
        <w:rPr>
          <w:rFonts w:ascii="Palatino Linotype" w:eastAsia="Palatino Linotype" w:hAnsi="Palatino Linotype" w:cs="Palatino Linotype"/>
          <w:i/>
          <w:color w:val="000000"/>
          <w:sz w:val="22"/>
          <w:szCs w:val="22"/>
        </w:rPr>
        <w:lastRenderedPageBreak/>
        <w:t>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(Sic)</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03464/INFOEM/IP/RR/2022 </w:t>
      </w:r>
      <w:r>
        <w:rPr>
          <w:rFonts w:ascii="Palatino Linotype" w:eastAsia="Palatino Linotype" w:hAnsi="Palatino Linotype" w:cs="Palatino Linotype"/>
        </w:rPr>
        <w:t xml:space="preserve">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En fecha diez de marzo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omitió realizar manifestaciones.</w:t>
      </w:r>
    </w:p>
    <w:p w:rsidR="00FB7CF1" w:rsidRDefault="00B00F5C">
      <w:pPr>
        <w:spacing w:before="240" w:after="240" w:line="360" w:lineRule="auto"/>
        <w:jc w:val="both"/>
        <w:rPr>
          <w:rFonts w:ascii="Palatino Linotype" w:eastAsia="Palatino Linotype" w:hAnsi="Palatino Linotype" w:cs="Palatino Linotype"/>
        </w:rPr>
      </w:pPr>
      <w:r>
        <w:rPr>
          <w:noProof/>
          <w:lang w:val="en-US" w:eastAsia="en-US"/>
        </w:rPr>
        <w:drawing>
          <wp:inline distT="0" distB="0" distL="0" distR="0">
            <wp:extent cx="5664200" cy="15430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8216" t="39445" r="19440" b="29764"/>
                    <a:stretch>
                      <a:fillRect/>
                    </a:stretch>
                  </pic:blipFill>
                  <pic:spPr>
                    <a:xfrm>
                      <a:off x="0" y="0"/>
                      <a:ext cx="5664200" cy="1543050"/>
                    </a:xfrm>
                    <a:prstGeom prst="rect">
                      <a:avLst/>
                    </a:prstGeom>
                    <a:ln/>
                  </pic:spPr>
                </pic:pic>
              </a:graphicData>
            </a:graphic>
          </wp:inline>
        </w:drawing>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7. Cierre de Instrucción. </w:t>
      </w:r>
      <w:r>
        <w:rPr>
          <w:rFonts w:ascii="Palatino Linotype" w:eastAsia="Palatino Linotype" w:hAnsi="Palatino Linotype" w:cs="Palatino Linotype"/>
        </w:rPr>
        <w:t>En fecha veintiocho de abril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FB7CF1" w:rsidRDefault="00B00F5C">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w:t>
      </w:r>
      <w:r>
        <w:rPr>
          <w:rFonts w:ascii="Palatino Linotype" w:eastAsia="Palatino Linotype" w:hAnsi="Palatino Linotype" w:cs="Palatino Linotype"/>
        </w:rPr>
        <w:t xml:space="preserve"> En fecha veintinueve de abril del año dos mil veintidós, con fundamento en el artículo 181, párrafo tercero de la Ley de Transparencia y Acceso a la Información Pública del Estado de México y Municipios, se acordó la ampliación del plazo para su resolución.</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B7CF1" w:rsidRDefault="00B00F5C">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FB7CF1" w:rsidRDefault="00B00F5C">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Pr>
          <w:rFonts w:ascii="Palatino Linotype" w:eastAsia="Palatino Linotype" w:hAnsi="Palatino Linotype" w:cs="Palatino Linotype"/>
          <w:highlight w:val="white"/>
        </w:rPr>
        <w:lastRenderedPageBreak/>
        <w:t xml:space="preserve">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FB7CF1" w:rsidRDefault="00B00F5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FB7CF1" w:rsidRDefault="00B00F5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FB7CF1" w:rsidRDefault="00B00F5C">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FB7CF1" w:rsidRDefault="00B00F5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FB7CF1" w:rsidRDefault="00FB7CF1">
      <w:pPr>
        <w:ind w:left="851" w:right="851"/>
        <w:jc w:val="both"/>
        <w:rPr>
          <w:rFonts w:ascii="Palatino Linotype" w:eastAsia="Palatino Linotype" w:hAnsi="Palatino Linotype" w:cs="Palatino Linotype"/>
          <w:i/>
        </w:rPr>
      </w:pP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el solicitante le asiste el derecho para presentar el recurso de revisión.</w:t>
      </w:r>
    </w:p>
    <w:p w:rsidR="00FB7CF1" w:rsidRDefault="00B00F5C">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FB7CF1" w:rsidRDefault="00B00F5C">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FB7CF1" w:rsidRDefault="00B00F5C">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w:t>
      </w:r>
      <w:r>
        <w:rPr>
          <w:rFonts w:ascii="Palatino Linotype" w:eastAsia="Palatino Linotype" w:hAnsi="Palatino Linotype" w:cs="Palatino Linotype"/>
        </w:rPr>
        <w:lastRenderedPageBreak/>
        <w:t>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FB7CF1" w:rsidRDefault="00B00F5C">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FB7CF1" w:rsidRDefault="00B00F5C">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lastRenderedPageBreak/>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FB7CF1" w:rsidRDefault="00FB7CF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FB7CF1" w:rsidRDefault="00B00F5C">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FB7CF1" w:rsidRDefault="00B00F5C">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 xml:space="preserve">Ahora bien, resulta procedente la interposición del recurso de revisión,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FB7CF1" w:rsidRDefault="00B00F5C">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FB7CF1" w:rsidRDefault="00B00F5C">
      <w:pPr>
        <w:numPr>
          <w:ilvl w:val="0"/>
          <w:numId w:val="5"/>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FB7CF1" w:rsidRDefault="00FB7CF1">
      <w:pPr>
        <w:spacing w:before="240" w:line="360" w:lineRule="auto"/>
        <w:jc w:val="both"/>
        <w:rPr>
          <w:rFonts w:ascii="Palatino Linotype" w:eastAsia="Palatino Linotype" w:hAnsi="Palatino Linotype" w:cs="Palatino Linotype"/>
          <w:b/>
        </w:rPr>
      </w:pPr>
    </w:p>
    <w:p w:rsidR="00FB7CF1" w:rsidRDefault="00B00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rsidR="00FB7CF1" w:rsidRDefault="00FB7CF1">
      <w:pPr>
        <w:spacing w:line="360" w:lineRule="auto"/>
        <w:jc w:val="both"/>
        <w:rPr>
          <w:rFonts w:ascii="Palatino Linotype" w:eastAsia="Palatino Linotype" w:hAnsi="Palatino Linotype" w:cs="Palatino Linotype"/>
        </w:rPr>
      </w:pPr>
    </w:p>
    <w:p w:rsidR="00FB7CF1" w:rsidRDefault="00B00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rsidR="00FB7CF1" w:rsidRDefault="00FB7CF1">
      <w:pPr>
        <w:spacing w:line="360" w:lineRule="auto"/>
        <w:jc w:val="both"/>
        <w:rPr>
          <w:rFonts w:ascii="Palatino Linotype" w:eastAsia="Palatino Linotype" w:hAnsi="Palatino Linotype" w:cs="Palatino Linotype"/>
        </w:rPr>
      </w:pPr>
    </w:p>
    <w:p w:rsidR="00FB7CF1" w:rsidRDefault="00B00F5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FB7CF1" w:rsidRDefault="00B00F5C">
      <w:pPr>
        <w:numPr>
          <w:ilvl w:val="0"/>
          <w:numId w:val="4"/>
        </w:num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la persona autorizada por el ente obligado con la clave CIEC tratándose del ISR salarios y asimilados y/o asalariados. </w:t>
      </w:r>
    </w:p>
    <w:p w:rsidR="00FB7CF1" w:rsidRDefault="00B00F5C">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solicita lo siguiente: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Reportes del aplicativo “Visor de nómina del SAT” por los años 2018, 2019, 2020, y 2021 en sus tres presentaciones: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 Vista anual acumulada.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 Detalle mensual.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 Detalle diferencias sueldos y salarios.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La constancia de situación fiscal de no adeudo emitida por el INFONAVIT, generada desde el portal empresarial de esa Institución, a través de internet.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La opinión de no adeudo en el cumplimiento de obligaciones fiscales en materia de seguridad social emitida x el IMSS, generada desde el portal de esa Institución, a través de internet.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La opinión de no adeudo en el cumplimiento de obligaciones fiscales estatales emitida por el SATEM, generada desde el portal de esa Institución, a través de internet.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 Un papel de trabajo por el municipio, y otro por cada una de sus descentralizadas que contenga los datos para identificar el ISR participable recuperado por cada mes desde Enero de 2019 hasta Octubre de 2021. Propongo un papel de trabajo con los siguientes encabezados: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 En la columna A “Mes”.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B) En la columna B “Año”.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 En la columna C “ISR salarios retenido”.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 En la columna D “ISR salarios enterado”.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 En la columna E “ISR asimilados retenido”.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 En la columna F “ISR asimilados enterado”.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G) En la columna G “ISR honorarios y arrendamiento retenido”.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H) En la columna H “ISR honorarios y arrendamiento enterado”.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En la columna I “ISR participable recuperado a valor histórico”.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J) En la columna J “Subsidio para el empleo entregado en el mes al trabajador”.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K) En la columna K “Subsidio para el empleo acreditado en el mes contra las contribuciones que proceda”.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 En la columna A “Nombre del trabajador”, pudiendo identificarlos como: trabajador 1, trabajador 2, trabajador 3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 En la columna B “Año”.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 En la columna C “Saldo a favor de ISR”.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 En la columna D “Saldo a cargo en el ISR”.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 En la columna E “Diferencia 0 en el ISR”. </w:t>
      </w:r>
    </w:p>
    <w:p w:rsidR="00FB7CF1" w:rsidRDefault="00B00F5C">
      <w:pPr>
        <w:spacing w:line="360" w:lineRule="auto"/>
        <w:ind w:left="709" w:right="4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B7CF1" w:rsidRDefault="00B00F5C">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rsidR="00FB7CF1" w:rsidRDefault="00FB7CF1">
      <w:pPr>
        <w:tabs>
          <w:tab w:val="left" w:pos="709"/>
        </w:tabs>
        <w:ind w:left="851" w:right="850"/>
        <w:jc w:val="both"/>
        <w:rPr>
          <w:rFonts w:ascii="Palatino Linotype" w:eastAsia="Palatino Linotype" w:hAnsi="Palatino Linotype" w:cs="Palatino Linotype"/>
        </w:rPr>
      </w:pPr>
    </w:p>
    <w:p w:rsidR="00FB7CF1" w:rsidRDefault="00B00F5C">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FB7CF1" w:rsidRDefault="00B00F5C">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B7CF1" w:rsidRDefault="00B00F5C">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FB7CF1" w:rsidRDefault="00B00F5C">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FB7CF1" w:rsidRDefault="00B00F5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FB7CF1" w:rsidRDefault="00FB7CF1">
      <w:pPr>
        <w:ind w:left="851" w:right="851"/>
        <w:jc w:val="both"/>
        <w:rPr>
          <w:rFonts w:ascii="Palatino Linotype" w:eastAsia="Palatino Linotype" w:hAnsi="Palatino Linotype" w:cs="Palatino Linotype"/>
          <w:i/>
          <w:sz w:val="22"/>
          <w:szCs w:val="22"/>
        </w:rPr>
      </w:pP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FB7CF1" w:rsidRDefault="00B00F5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FB7CF1" w:rsidRDefault="00B00F5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Pr>
          <w:rFonts w:ascii="Palatino Linotype" w:eastAsia="Palatino Linotype" w:hAnsi="Palatino Linotype" w:cs="Palatino Linotype"/>
        </w:rPr>
        <w:lastRenderedPageBreak/>
        <w:t>con las excepciones enmarcadas, para lo cual queda demostrado que los sujetos obligados deben cumplir con dichos dispositivos legales.</w:t>
      </w:r>
    </w:p>
    <w:p w:rsidR="00FB7CF1" w:rsidRDefault="00B00F5C">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FB7CF1" w:rsidRDefault="00B00F5C">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FB7CF1" w:rsidRDefault="00B00F5C">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FB7CF1" w:rsidRDefault="00FB7CF1">
      <w:pPr>
        <w:ind w:left="851" w:right="902"/>
        <w:jc w:val="both"/>
        <w:rPr>
          <w:rFonts w:ascii="Palatino Linotype" w:eastAsia="Palatino Linotype" w:hAnsi="Palatino Linotype" w:cs="Palatino Linotype"/>
          <w:sz w:val="22"/>
          <w:szCs w:val="22"/>
        </w:rPr>
      </w:pP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B7CF1" w:rsidRDefault="00B00F5C">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B7CF1" w:rsidRDefault="00B00F5C">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Pr>
          <w:rFonts w:ascii="Palatino Linotype" w:eastAsia="Palatino Linotype" w:hAnsi="Palatino Linotype" w:cs="Palatino Linotype"/>
        </w:rPr>
        <w:lastRenderedPageBreak/>
        <w:t>información; así como, entregar, en su caso, a los particulares la información solicitada.</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B7CF1" w:rsidRDefault="00B00F5C">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Pr>
          <w:rFonts w:ascii="Palatino Linotype" w:eastAsia="Palatino Linotype" w:hAnsi="Palatino Linotype" w:cs="Palatino Linotype"/>
        </w:rPr>
        <w:lastRenderedPageBreak/>
        <w:t>Transparencia. Situación que en la especie no aconteció. Sirve de sustento a lo anterior el precepto legal en cita:</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Pr>
          <w:rFonts w:ascii="Palatino Linotype" w:eastAsia="Palatino Linotype" w:hAnsi="Palatino Linotype" w:cs="Palatino Linotype"/>
        </w:rPr>
        <w:lastRenderedPageBreak/>
        <w:t xml:space="preserve">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FB7CF1" w:rsidRDefault="00B00F5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FB7CF1" w:rsidRDefault="00B00F5C">
      <w:pPr>
        <w:spacing w:before="280" w:after="28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91. El acceso a la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pública será restringido excepcionalmente, cuando ésta sea clasificada como reservada o confidencial.”(Sic)</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FB7CF1" w:rsidRDefault="00B00F5C">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FB7CF1" w:rsidRDefault="00B00F5C">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FB7CF1" w:rsidRDefault="00B00F5C">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B7CF1" w:rsidRDefault="00B00F5C">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B7CF1" w:rsidRDefault="00B00F5C">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FB7CF1" w:rsidRDefault="00B00F5C">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FB7CF1" w:rsidRDefault="00B00F5C">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FB7CF1" w:rsidRDefault="00B00F5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B7CF1" w:rsidRDefault="00B00F5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FB7CF1" w:rsidRDefault="00B00F5C">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FB7CF1" w:rsidRDefault="00B00F5C">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FB7CF1" w:rsidRDefault="00B00F5C">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FB7CF1" w:rsidRDefault="00B00F5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xml:space="preserve">, se conservará y </w:t>
      </w:r>
      <w:r>
        <w:rPr>
          <w:rFonts w:ascii="Palatino Linotype" w:eastAsia="Palatino Linotype" w:hAnsi="Palatino Linotype" w:cs="Palatino Linotype"/>
        </w:rPr>
        <w:lastRenderedPageBreak/>
        <w:t>custodiará la información de manera especial, y una vez transcurrido el plazo de reserva, el documento podrá divulgarse.</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interesada.”(Sic)</w:t>
      </w:r>
    </w:p>
    <w:p w:rsidR="00FB7CF1" w:rsidRDefault="00B00F5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FB7CF1" w:rsidRDefault="00B00F5C">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en dicho acuerdo se deben exponer de manera clara los fundamentos y razones que </w:t>
      </w:r>
      <w:r>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FB7CF1" w:rsidRDefault="00B00F5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rsidR="00FB7CF1" w:rsidRDefault="00B00F5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FB7CF1" w:rsidRDefault="00B00F5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B7CF1" w:rsidRDefault="00B00F5C">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FB7CF1" w:rsidRDefault="00B00F5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FB7CF1" w:rsidRDefault="00B00F5C">
      <w:pPr>
        <w:spacing w:before="240" w:after="240" w:line="360" w:lineRule="auto"/>
        <w:jc w:val="both"/>
        <w:rPr>
          <w:rFonts w:ascii="Palatino Linotype" w:eastAsia="Palatino Linotype" w:hAnsi="Palatino Linotype" w:cs="Palatino Linotype"/>
        </w:rPr>
      </w:pPr>
      <w:bookmarkStart w:id="1" w:name="_heading=h.3znysh7" w:colFirst="0" w:colLast="0"/>
      <w:bookmarkEnd w:id="1"/>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Pr>
          <w:rFonts w:ascii="Palatino Linotype" w:eastAsia="Palatino Linotype" w:hAnsi="Palatino Linotype" w:cs="Palatino Linotype"/>
          <w:b/>
          <w:color w:val="222222"/>
        </w:rPr>
        <w:t>03464/INFOEM/IP/RR/2022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y </w:t>
      </w:r>
      <w:r>
        <w:rPr>
          <w:rFonts w:ascii="Palatino Linotype" w:eastAsia="Palatino Linotype" w:hAnsi="Palatino Linotype" w:cs="Palatino Linotype"/>
          <w:b/>
        </w:rPr>
        <w:t>correo electrónico</w:t>
      </w:r>
      <w:r>
        <w:rPr>
          <w:rFonts w:ascii="Palatino Linotype" w:eastAsia="Palatino Linotype" w:hAnsi="Palatino Linotype" w:cs="Palatino Linotype"/>
          <w:b/>
          <w:i/>
        </w:rPr>
        <w:t xml:space="preserve">, </w:t>
      </w:r>
      <w:r>
        <w:rPr>
          <w:rFonts w:ascii="Palatino Linotype" w:eastAsia="Palatino Linotype" w:hAnsi="Palatino Linotype" w:cs="Palatino Linotype"/>
          <w:color w:val="222222"/>
        </w:rPr>
        <w:t xml:space="preserve">en términos del Considerando Cuarto de esta resolución y emita respuesta, debiendo observar las </w:t>
      </w:r>
      <w:r>
        <w:rPr>
          <w:rFonts w:ascii="Palatino Linotype" w:eastAsia="Palatino Linotype" w:hAnsi="Palatino Linotype" w:cs="Palatino Linotype"/>
          <w:color w:val="222222"/>
        </w:rPr>
        <w:lastRenderedPageBreak/>
        <w:t>excepciones contenidas en la Ley de Transparencia y Acceso a la Información Pública del Estado de México y Municipios.</w:t>
      </w:r>
    </w:p>
    <w:p w:rsidR="00FB7CF1" w:rsidRDefault="00B00F5C">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B7CF1" w:rsidRDefault="00B00F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 vía SAIMEX y por correo electrónico al</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B7CF1" w:rsidRDefault="00B00F5C">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Pr>
          <w:rFonts w:ascii="Palatino Linotype" w:eastAsia="Palatino Linotype" w:hAnsi="Palatino Linotype" w:cs="Palatino Linotype"/>
          <w:b/>
          <w:color w:val="222222"/>
        </w:rPr>
        <w:t xml:space="preserve">Notifíquese vía SAIMEX y por correo electrónico al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B7CF1" w:rsidRDefault="00B00F5C">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 xml:space="preserve">SUJETO </w:t>
      </w:r>
      <w:r>
        <w:rPr>
          <w:rFonts w:ascii="Palatino Linotype" w:eastAsia="Palatino Linotype" w:hAnsi="Palatino Linotype" w:cs="Palatino Linotype"/>
          <w:b/>
          <w:color w:val="222222"/>
        </w:rPr>
        <w:lastRenderedPageBreak/>
        <w:t>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FB7CF1" w:rsidRDefault="00B00F5C">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bookmarkStart w:id="3" w:name="_heading=h.1fob9te" w:colFirst="0" w:colLast="0"/>
    <w:bookmarkEnd w:id="3"/>
    <w:p w:rsidR="00FB7CF1" w:rsidRDefault="00B00F5C">
      <w:pPr>
        <w:spacing w:line="360" w:lineRule="auto"/>
        <w:ind w:right="49"/>
        <w:jc w:val="both"/>
        <w:rPr>
          <w:rFonts w:ascii="Palatino Linotype" w:eastAsia="Palatino Linotype" w:hAnsi="Palatino Linotype" w:cs="Palatino Linotype"/>
        </w:rPr>
        <w:sectPr w:rsidR="00FB7CF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2933699</wp:posOffset>
                </wp:positionV>
                <wp:extent cx="5334000" cy="9810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34000" cy="9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5EA8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231pt" to="430.95pt,3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86tgEAALgDAAAOAAAAZHJzL2Uyb0RvYy54bWysU01v1DAQvSP1P1i+d5O0FEq02R62KhcE&#10;Kwo/wHXGGwt/aWw22X/P2NlNUUEIIS52bL83M+/NZH03WcMOgFF71/FmVXMGTvpeu33Hv355uLzl&#10;LCbhemG8g44fIfK7zcWr9RhauPKDNz0goyAutmPo+JBSaKsqygGsiCsfwNGj8mhFoiPuqx7FSNGt&#10;qa7q+k01euwDegkx0u39/Mg3Jb5SINMnpSIkZjpOtaWyYlmf8lpt1qLdowiDlqcyxD9UYYV2lHQJ&#10;dS+SYN9R/xLKaok+epVW0tvKK6UlFA2kpqlfqHkcRICihcyJYbEp/r+w8uNhh0z31DvOnLDUoi01&#10;SiaPDPPGmuzRGGJL0K3b4ekUww6z4EmhzTtJYVPx9bj4ClNiki5vrq9f1zXZL+nt3W1Tv73JQatn&#10;dsCY3oO3LH903GiXdYtWHD7ENEPPEOLlaub85SsdDWSwcZ9BkRbK2BR2mSLYGmQHQf3vvxUtlLYg&#10;M0VpYxZS/WfSCZtpUCbrb4kLumT0Li1Eq53H32VN07lUNePPqmetWfaT74+lG8UOGo9i6GmU8/z9&#10;fC705x9u8wMAAP//AwBQSwMEFAAGAAgAAAAhALJuUoTeAAAACgEAAA8AAABkcnMvZG93bnJldi54&#10;bWxMj8FOwzAMhu9IvENkJG4sbQXRKE2naRJCXBDr4J41XlpokipJu/L2eCc42v70+/urzWIHNmOI&#10;vXcS8lUGDF3rde+MhI/D890aWEzKaTV4hxJ+MMKmvr6qVKn92e1xbpJhFOJiqSR0KY0l57Ht0Kq4&#10;8iM6up18sCrRGAzXQZ0p3A68yDLBreodfejUiLsO2+9mshKG1zB/mp3ZxullL5qv91PxdpilvL1Z&#10;tk/AEi7pD4aLPqlDTU5HPzkd2SChyB+JlHAvCupEwFpcNkcJIhcPwOuK/69Q/wIAAP//AwBQSwEC&#10;LQAUAAYACAAAACEAtoM4kv4AAADhAQAAEwAAAAAAAAAAAAAAAAAAAAAAW0NvbnRlbnRfVHlwZXNd&#10;LnhtbFBLAQItABQABgAIAAAAIQA4/SH/1gAAAJQBAAALAAAAAAAAAAAAAAAAAC8BAABfcmVscy8u&#10;cmVsc1BLAQItABQABgAIAAAAIQCJrr86tgEAALgDAAAOAAAAAAAAAAAAAAAAAC4CAABkcnMvZTJv&#10;RG9jLnhtbFBLAQItABQABgAIAAAAIQCyblKE3gAAAAoBAAAPAAAAAAAAAAAAAAAAABAEAABkcnMv&#10;ZG93bnJldi54bWxQSwUGAAAAAAQABADzAAAAGwUAAAAA&#10;" strokecolor="black [3200]" strokeweight=".5pt">
                <v:stroke joinstyle="miter"/>
              </v:line>
            </w:pict>
          </mc:Fallback>
        </mc:AlternateContent>
      </w: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rsidR="00FB7CF1" w:rsidRDefault="00FB7CF1">
      <w:pPr>
        <w:spacing w:line="360" w:lineRule="auto"/>
        <w:ind w:right="49"/>
        <w:jc w:val="both"/>
        <w:rPr>
          <w:rFonts w:ascii="Palatino Linotype" w:eastAsia="Palatino Linotype" w:hAnsi="Palatino Linotype" w:cs="Palatino Linotype"/>
        </w:rPr>
      </w:pPr>
    </w:p>
    <w:p w:rsidR="00FB7CF1" w:rsidRDefault="00B00F5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FB7CF1" w:rsidRDefault="00FB7CF1"/>
    <w:p w:rsidR="00FB7CF1" w:rsidRDefault="00FB7CF1"/>
    <w:sectPr w:rsidR="00FB7CF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B9" w:rsidRDefault="00B00F5C">
      <w:r>
        <w:separator/>
      </w:r>
    </w:p>
  </w:endnote>
  <w:endnote w:type="continuationSeparator" w:id="0">
    <w:p w:rsidR="001863B9" w:rsidRDefault="00B0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F1" w:rsidRDefault="00B00F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0372F">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0372F">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FB7CF1" w:rsidRDefault="00FB7CF1">
    <w:pPr>
      <w:pBdr>
        <w:top w:val="nil"/>
        <w:left w:val="nil"/>
        <w:bottom w:val="nil"/>
        <w:right w:val="nil"/>
        <w:between w:val="nil"/>
      </w:pBdr>
      <w:tabs>
        <w:tab w:val="center" w:pos="4252"/>
        <w:tab w:val="right" w:pos="8504"/>
      </w:tabs>
      <w:rPr>
        <w:color w:val="000000"/>
      </w:rPr>
    </w:pPr>
  </w:p>
  <w:p w:rsidR="00FB7CF1" w:rsidRDefault="00FB7CF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F1" w:rsidRDefault="00B00F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0372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0372F">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rsidR="00FB7CF1" w:rsidRDefault="00FB7CF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B9" w:rsidRDefault="00B00F5C">
      <w:r>
        <w:separator/>
      </w:r>
    </w:p>
  </w:footnote>
  <w:footnote w:type="continuationSeparator" w:id="0">
    <w:p w:rsidR="001863B9" w:rsidRDefault="00B00F5C">
      <w:r>
        <w:continuationSeparator/>
      </w:r>
    </w:p>
  </w:footnote>
  <w:footnote w:id="1">
    <w:p w:rsidR="00FB7CF1" w:rsidRDefault="00B00F5C">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FB7CF1" w:rsidRDefault="00B00F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F1" w:rsidRDefault="00FB7CF1">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2"/>
      <w:gridCol w:w="2976"/>
    </w:tblGrid>
    <w:tr w:rsidR="00FB7CF1">
      <w:tc>
        <w:tcPr>
          <w:tcW w:w="2552" w:type="dxa"/>
          <w:vAlign w:val="center"/>
        </w:tcPr>
        <w:p w:rsidR="00FB7CF1" w:rsidRDefault="00B00F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FB7CF1" w:rsidRDefault="00B00F5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03464/INFOEM/IP/RR/2022 </w:t>
          </w:r>
        </w:p>
      </w:tc>
    </w:tr>
    <w:tr w:rsidR="00FB7CF1">
      <w:trPr>
        <w:trHeight w:val="228"/>
      </w:trPr>
      <w:tc>
        <w:tcPr>
          <w:tcW w:w="2552" w:type="dxa"/>
          <w:shd w:val="clear" w:color="auto" w:fill="auto"/>
          <w:vAlign w:val="center"/>
        </w:tcPr>
        <w:p w:rsidR="00FB7CF1" w:rsidRDefault="00B00F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FB7CF1" w:rsidRDefault="00B00F5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Naucalpan de Juárez.</w:t>
          </w:r>
        </w:p>
      </w:tc>
    </w:tr>
    <w:tr w:rsidR="00FB7CF1">
      <w:tc>
        <w:tcPr>
          <w:tcW w:w="2552" w:type="dxa"/>
          <w:vAlign w:val="center"/>
        </w:tcPr>
        <w:p w:rsidR="00FB7CF1" w:rsidRDefault="00B00F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FB7CF1" w:rsidRDefault="00B00F5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FB7CF1" w:rsidRDefault="00B00F5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-689276</wp:posOffset>
          </wp:positionH>
          <wp:positionV relativeFrom="paragraph">
            <wp:posOffset>-1171014</wp:posOffset>
          </wp:positionV>
          <wp:extent cx="7635875" cy="99434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F1" w:rsidRDefault="00B00F5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n-US" w:eastAsia="en-US"/>
      </w:rPr>
      <w:drawing>
        <wp:anchor distT="0" distB="0" distL="0" distR="0" simplePos="0" relativeHeight="251659264" behindDoc="1" locked="0" layoutInCell="1" hidden="0" allowOverlap="1">
          <wp:simplePos x="0" y="0"/>
          <wp:positionH relativeFrom="column">
            <wp:posOffset>-675563</wp:posOffset>
          </wp:positionH>
          <wp:positionV relativeFrom="paragraph">
            <wp:posOffset>-341827</wp:posOffset>
          </wp:positionV>
          <wp:extent cx="7635875" cy="99434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FB7CF1">
      <w:tc>
        <w:tcPr>
          <w:tcW w:w="2551" w:type="dxa"/>
          <w:vAlign w:val="center"/>
        </w:tcPr>
        <w:p w:rsidR="00FB7CF1" w:rsidRDefault="00B00F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FB7CF1" w:rsidRDefault="00B00F5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03464/INFOEM/IP/RR/2022</w:t>
          </w:r>
        </w:p>
      </w:tc>
    </w:tr>
    <w:tr w:rsidR="00FB7CF1">
      <w:tc>
        <w:tcPr>
          <w:tcW w:w="2551" w:type="dxa"/>
          <w:vAlign w:val="center"/>
        </w:tcPr>
        <w:p w:rsidR="00FB7CF1" w:rsidRDefault="00B00F5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FB7CF1" w:rsidRDefault="00E0372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 XXXXX</w:t>
          </w:r>
        </w:p>
      </w:tc>
    </w:tr>
    <w:tr w:rsidR="00FB7CF1">
      <w:trPr>
        <w:trHeight w:val="228"/>
      </w:trPr>
      <w:tc>
        <w:tcPr>
          <w:tcW w:w="2551" w:type="dxa"/>
          <w:vAlign w:val="center"/>
        </w:tcPr>
        <w:p w:rsidR="00FB7CF1" w:rsidRDefault="00B00F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FB7CF1" w:rsidRDefault="00B00F5C">
          <w:pPr>
            <w:ind w:right="168"/>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Naucalpan de Juárez.</w:t>
          </w:r>
        </w:p>
      </w:tc>
    </w:tr>
    <w:tr w:rsidR="00FB7CF1">
      <w:tc>
        <w:tcPr>
          <w:tcW w:w="2551" w:type="dxa"/>
          <w:vAlign w:val="center"/>
        </w:tcPr>
        <w:p w:rsidR="00FB7CF1" w:rsidRDefault="00B00F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FB7CF1" w:rsidRDefault="00B00F5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FB7CF1" w:rsidRDefault="00FB7CF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F1" w:rsidRDefault="00B00F5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FB7CF1" w:rsidRDefault="00FB7CF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3F1E"/>
    <w:multiLevelType w:val="multilevel"/>
    <w:tmpl w:val="6798AC1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653CB"/>
    <w:multiLevelType w:val="multilevel"/>
    <w:tmpl w:val="97505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F32360"/>
    <w:multiLevelType w:val="multilevel"/>
    <w:tmpl w:val="9300F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283C17"/>
    <w:multiLevelType w:val="multilevel"/>
    <w:tmpl w:val="213E9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201387"/>
    <w:multiLevelType w:val="multilevel"/>
    <w:tmpl w:val="886C15E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F1"/>
    <w:rsid w:val="001863B9"/>
    <w:rsid w:val="00B00F5C"/>
    <w:rsid w:val="00E0372F"/>
    <w:rsid w:val="00FB7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691"/>
  <w15:docId w15:val="{A2509B31-C538-42DD-9C50-86671ACA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xg/LglHRgmMjP56wWJPK+6ffAg==">AMUW2mXHd1FH3nblyzpXUU6N1OZd2q+BWhCgoh0emCO2yaHQsBVl/v2ndKEO5ARGszDJnpZuzkhyOATuRcyycsPv+v34yZJT0nmDzrX9k68ruG3P1XynJOGLjKqbjFUhrQ/QK/bSRSA5QpC7ArlIdtG35gRqhn0LvQ==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8844</Words>
  <Characters>50415</Characters>
  <Application>Microsoft Office Word</Application>
  <DocSecurity>0</DocSecurity>
  <Lines>420</Lines>
  <Paragraphs>118</Paragraphs>
  <ScaleCrop>false</ScaleCrop>
  <Company>HP Inc.</Company>
  <LinksUpToDate>false</LinksUpToDate>
  <CharactersWithSpaces>59141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NAJERA </cp:lastModifiedBy>
  <cp:revision>3</cp:revision>
  <dcterms:created xsi:type="dcterms:W3CDTF">2022-04-28T16:12:00Z</dcterms:created>
  <dcterms:modified xsi:type="dcterms:W3CDTF">2022-06-06T22:04:00Z</dcterms:modified>
</cp:coreProperties>
</file>