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26AA" w:rsidRPr="00EF240D" w:rsidRDefault="001A0B5D">
      <w:pPr>
        <w:spacing w:before="240" w:after="240" w:line="360" w:lineRule="auto"/>
        <w:jc w:val="both"/>
        <w:rPr>
          <w:rFonts w:ascii="Palatino Linotype" w:eastAsia="Palatino Linotype" w:hAnsi="Palatino Linotype" w:cs="Palatino Linotype"/>
          <w:color w:val="FF0000"/>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E265F0">
        <w:rPr>
          <w:rFonts w:ascii="Palatino Linotype" w:eastAsia="Palatino Linotype" w:hAnsi="Palatino Linotype" w:cs="Palatino Linotype"/>
          <w:b/>
        </w:rPr>
        <w:t>dieciséis</w:t>
      </w:r>
      <w:r>
        <w:rPr>
          <w:rFonts w:ascii="Palatino Linotype" w:eastAsia="Palatino Linotype" w:hAnsi="Palatino Linotype" w:cs="Palatino Linotype"/>
          <w:b/>
        </w:rPr>
        <w:t xml:space="preserve"> de marzo de dos mil veintidós</w:t>
      </w:r>
      <w:r>
        <w:rPr>
          <w:rFonts w:ascii="Palatino Linotype" w:eastAsia="Palatino Linotype" w:hAnsi="Palatino Linotype" w:cs="Palatino Linotype"/>
        </w:rPr>
        <w:t>.</w:t>
      </w:r>
    </w:p>
    <w:p w:rsidR="00BD26AA" w:rsidRDefault="001A0B5D">
      <w:pPr>
        <w:spacing w:before="240" w:after="240" w:line="360" w:lineRule="auto"/>
        <w:jc w:val="both"/>
        <w:rPr>
          <w:rFonts w:ascii="Palatino Linotype" w:eastAsia="Palatino Linotype" w:hAnsi="Palatino Linotype" w:cs="Palatino Linotype"/>
        </w:rPr>
      </w:pPr>
      <w:bookmarkStart w:id="0" w:name="_heading=h.gjdgxs" w:colFirst="0" w:colLast="0"/>
      <w:bookmarkEnd w:id="0"/>
      <w:r>
        <w:rPr>
          <w:rFonts w:ascii="Palatino Linotype" w:eastAsia="Palatino Linotype" w:hAnsi="Palatino Linotype" w:cs="Palatino Linotype"/>
          <w:b/>
        </w:rPr>
        <w:t xml:space="preserve">Vistos </w:t>
      </w:r>
      <w:r>
        <w:rPr>
          <w:rFonts w:ascii="Palatino Linotype" w:eastAsia="Palatino Linotype" w:hAnsi="Palatino Linotype" w:cs="Palatino Linotype"/>
        </w:rPr>
        <w:t xml:space="preserve">los expedientes relativos a los recursos de revisión </w:t>
      </w:r>
      <w:r w:rsidR="00E265F0">
        <w:rPr>
          <w:rFonts w:ascii="Palatino Linotype" w:eastAsia="Palatino Linotype" w:hAnsi="Palatino Linotype" w:cs="Palatino Linotype"/>
          <w:b/>
        </w:rPr>
        <w:t>05984/INFOEM/IP/RR/2021 y 05986</w:t>
      </w:r>
      <w:r>
        <w:rPr>
          <w:rFonts w:ascii="Palatino Linotype" w:eastAsia="Palatino Linotype" w:hAnsi="Palatino Linotype" w:cs="Palatino Linotype"/>
          <w:b/>
        </w:rPr>
        <w:t>/INFOEM/IP/RR/2021 acumulados,</w:t>
      </w:r>
      <w:r>
        <w:rPr>
          <w:rFonts w:ascii="Palatino Linotype" w:eastAsia="Palatino Linotype" w:hAnsi="Palatino Linotype" w:cs="Palatino Linotype"/>
        </w:rPr>
        <w:t xml:space="preserve"> interpuestos por </w:t>
      </w:r>
      <w:r w:rsidR="006E6341" w:rsidRPr="006E6341">
        <w:rPr>
          <w:rFonts w:ascii="Palatino Linotype" w:eastAsia="Palatino Linotype" w:hAnsi="Palatino Linotype" w:cs="Palatino Linotype"/>
          <w:b/>
        </w:rPr>
        <w:t>XXXXXX XXXXXXXX XXXXX</w:t>
      </w:r>
      <w:r>
        <w:rPr>
          <w:rFonts w:ascii="Palatino Linotype" w:eastAsia="Palatino Linotype" w:hAnsi="Palatino Linotype" w:cs="Palatino Linotype"/>
        </w:rPr>
        <w:t xml:space="preserve">, en lo sucesivo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contra de las respuestas emitidas a las solicitudes de información con número de folio </w:t>
      </w:r>
      <w:r w:rsidR="00E265F0" w:rsidRPr="00E265F0">
        <w:rPr>
          <w:rFonts w:ascii="Palatino Linotype" w:eastAsia="Palatino Linotype" w:hAnsi="Palatino Linotype" w:cs="Palatino Linotype"/>
          <w:b/>
          <w:bCs/>
        </w:rPr>
        <w:t>00793/ECATEPEC/IP/2021</w:t>
      </w:r>
      <w:r w:rsidR="00E265F0">
        <w:rPr>
          <w:rFonts w:ascii="Palatino Linotype" w:eastAsia="Palatino Linotype" w:hAnsi="Palatino Linotype" w:cs="Palatino Linotype"/>
          <w:b/>
        </w:rPr>
        <w:t xml:space="preserve"> </w:t>
      </w:r>
      <w:r>
        <w:rPr>
          <w:rFonts w:ascii="Palatino Linotype" w:eastAsia="Palatino Linotype" w:hAnsi="Palatino Linotype" w:cs="Palatino Linotype"/>
          <w:b/>
        </w:rPr>
        <w:t xml:space="preserve">y </w:t>
      </w:r>
      <w:r w:rsidR="00E265F0" w:rsidRPr="00E265F0">
        <w:rPr>
          <w:rFonts w:ascii="Palatino Linotype" w:eastAsia="Palatino Linotype" w:hAnsi="Palatino Linotype" w:cs="Palatino Linotype"/>
          <w:b/>
          <w:bCs/>
        </w:rPr>
        <w:t>00792/ECATEPEC/IP/2021</w:t>
      </w:r>
      <w:r w:rsidR="00E265F0" w:rsidRPr="00E265F0">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por parte del </w:t>
      </w:r>
      <w:r w:rsidR="00E265F0" w:rsidRPr="00E265F0">
        <w:rPr>
          <w:rFonts w:ascii="Palatino Linotype" w:eastAsia="Palatino Linotype" w:hAnsi="Palatino Linotype" w:cs="Palatino Linotype"/>
          <w:b/>
        </w:rPr>
        <w:t>Ayuntamiento de Ecatepec de Morelos</w:t>
      </w:r>
      <w:r>
        <w:rPr>
          <w:rFonts w:ascii="Palatino Linotype" w:eastAsia="Palatino Linotype" w:hAnsi="Palatino Linotype" w:cs="Palatino Linotype"/>
        </w:rPr>
        <w:t xml:space="preserve">, en lo sucesivo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se procede a dictar la presente resolución, con base en lo siguiente.</w:t>
      </w:r>
    </w:p>
    <w:p w:rsidR="00BD26AA" w:rsidRDefault="001A0B5D">
      <w:pPr>
        <w:numPr>
          <w:ilvl w:val="0"/>
          <w:numId w:val="6"/>
        </w:numPr>
        <w:pBdr>
          <w:top w:val="nil"/>
          <w:left w:val="nil"/>
          <w:bottom w:val="nil"/>
          <w:right w:val="nil"/>
          <w:between w:val="nil"/>
        </w:pBdr>
        <w:spacing w:before="240" w:after="240" w:line="360" w:lineRule="auto"/>
        <w:ind w:left="567" w:hanging="283"/>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rsidR="00BD26AA" w:rsidRDefault="001A0B5D">
      <w:pPr>
        <w:spacing w:before="240" w:after="240" w:line="360" w:lineRule="auto"/>
        <w:jc w:val="both"/>
        <w:rPr>
          <w:rFonts w:ascii="Palatino Linotype" w:eastAsia="Palatino Linotype" w:hAnsi="Palatino Linotype" w:cs="Palatino Linotype"/>
        </w:rPr>
      </w:pPr>
      <w:bookmarkStart w:id="1" w:name="_heading=h.30j0zll" w:colFirst="0" w:colLast="0"/>
      <w:bookmarkEnd w:id="1"/>
      <w:r>
        <w:rPr>
          <w:rFonts w:ascii="Palatino Linotype" w:eastAsia="Palatino Linotype" w:hAnsi="Palatino Linotype" w:cs="Palatino Linotype"/>
          <w:b/>
        </w:rPr>
        <w:t xml:space="preserve">1. Solicitudes de acceso a la información. </w:t>
      </w:r>
      <w:r>
        <w:rPr>
          <w:rFonts w:ascii="Palatino Linotype" w:eastAsia="Palatino Linotype" w:hAnsi="Palatino Linotype" w:cs="Palatino Linotype"/>
        </w:rPr>
        <w:t xml:space="preserve">En fecha </w:t>
      </w:r>
      <w:r w:rsidR="00E265F0">
        <w:rPr>
          <w:rFonts w:ascii="Palatino Linotype" w:eastAsia="Palatino Linotype" w:hAnsi="Palatino Linotype" w:cs="Palatino Linotype"/>
          <w:b/>
        </w:rPr>
        <w:t>tres de nov</w:t>
      </w:r>
      <w:r>
        <w:rPr>
          <w:rFonts w:ascii="Palatino Linotype" w:eastAsia="Palatino Linotype" w:hAnsi="Palatino Linotype" w:cs="Palatino Linotype"/>
          <w:b/>
        </w:rPr>
        <w:t>iembre de dos mil veintiuno</w:t>
      </w:r>
      <w:r>
        <w:rPr>
          <w:rFonts w:ascii="Palatino Linotype" w:eastAsia="Palatino Linotype" w:hAnsi="Palatino Linotype" w:cs="Palatino Linotype"/>
        </w:rPr>
        <w:t xml:space="preserv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formuló solicitudes de acceso a información pública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la que requirió lo siguiente:</w:t>
      </w:r>
    </w:p>
    <w:tbl>
      <w:tblPr>
        <w:tblStyle w:val="a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8"/>
        <w:gridCol w:w="5890"/>
      </w:tblGrid>
      <w:tr w:rsidR="00BD26AA">
        <w:trPr>
          <w:trHeight w:val="360"/>
        </w:trPr>
        <w:tc>
          <w:tcPr>
            <w:tcW w:w="2938" w:type="dxa"/>
            <w:shd w:val="clear" w:color="auto" w:fill="D9D9D9"/>
          </w:tcPr>
          <w:p w:rsidR="00BD26AA" w:rsidRDefault="001A0B5D">
            <w:pPr>
              <w:spacing w:before="240" w:after="240"/>
              <w:jc w:val="center"/>
              <w:rPr>
                <w:rFonts w:ascii="Palatino Linotype" w:eastAsia="Palatino Linotype" w:hAnsi="Palatino Linotype" w:cs="Palatino Linotype"/>
                <w:b/>
                <w:sz w:val="20"/>
                <w:szCs w:val="20"/>
              </w:rPr>
            </w:pPr>
            <w:bookmarkStart w:id="2" w:name="_heading=h.1fob9te" w:colFirst="0" w:colLast="0"/>
            <w:bookmarkEnd w:id="2"/>
            <w:r>
              <w:rPr>
                <w:rFonts w:ascii="Palatino Linotype" w:eastAsia="Palatino Linotype" w:hAnsi="Palatino Linotype" w:cs="Palatino Linotype"/>
                <w:b/>
                <w:sz w:val="20"/>
                <w:szCs w:val="20"/>
              </w:rPr>
              <w:t>Número de solicitud</w:t>
            </w:r>
          </w:p>
        </w:tc>
        <w:tc>
          <w:tcPr>
            <w:tcW w:w="5890" w:type="dxa"/>
            <w:shd w:val="clear" w:color="auto" w:fill="D9D9D9"/>
          </w:tcPr>
          <w:p w:rsidR="00BD26AA" w:rsidRDefault="001B7189">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Información requerida</w:t>
            </w:r>
          </w:p>
          <w:p w:rsidR="001B7189" w:rsidRDefault="001B7189">
            <w:pPr>
              <w:spacing w:before="240" w:after="240"/>
              <w:jc w:val="center"/>
              <w:rPr>
                <w:rFonts w:ascii="Palatino Linotype" w:eastAsia="Palatino Linotype" w:hAnsi="Palatino Linotype" w:cs="Palatino Linotype"/>
                <w:b/>
                <w:sz w:val="20"/>
                <w:szCs w:val="20"/>
              </w:rPr>
            </w:pPr>
          </w:p>
        </w:tc>
      </w:tr>
      <w:tr w:rsidR="00BD26AA">
        <w:trPr>
          <w:trHeight w:val="1434"/>
        </w:trPr>
        <w:tc>
          <w:tcPr>
            <w:tcW w:w="2938" w:type="dxa"/>
          </w:tcPr>
          <w:p w:rsidR="00BD26AA" w:rsidRDefault="00E265F0">
            <w:pPr>
              <w:spacing w:before="240" w:after="240"/>
              <w:jc w:val="center"/>
              <w:rPr>
                <w:rFonts w:ascii="Palatino Linotype" w:eastAsia="Palatino Linotype" w:hAnsi="Palatino Linotype" w:cs="Palatino Linotype"/>
                <w:b/>
                <w:sz w:val="20"/>
                <w:szCs w:val="20"/>
              </w:rPr>
            </w:pPr>
            <w:bookmarkStart w:id="3" w:name="_heading=h.3znysh7" w:colFirst="0" w:colLast="0"/>
            <w:bookmarkEnd w:id="3"/>
            <w:r w:rsidRPr="00E265F0">
              <w:rPr>
                <w:rFonts w:ascii="Palatino Linotype" w:eastAsia="Palatino Linotype" w:hAnsi="Palatino Linotype" w:cs="Palatino Linotype"/>
                <w:b/>
                <w:bCs/>
                <w:sz w:val="20"/>
                <w:szCs w:val="20"/>
              </w:rPr>
              <w:lastRenderedPageBreak/>
              <w:t>00793/ECATEPEC/IP/2021</w:t>
            </w:r>
          </w:p>
        </w:tc>
        <w:tc>
          <w:tcPr>
            <w:tcW w:w="5890" w:type="dxa"/>
          </w:tcPr>
          <w:p w:rsidR="00BD26AA" w:rsidRDefault="001A0B5D">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sidR="00E265F0" w:rsidRPr="00E265F0">
              <w:rPr>
                <w:rFonts w:ascii="Palatino Linotype" w:eastAsia="Palatino Linotype" w:hAnsi="Palatino Linotype" w:cs="Palatino Linotype"/>
                <w:i/>
                <w:sz w:val="20"/>
                <w:szCs w:val="20"/>
              </w:rPr>
              <w:t xml:space="preserve">se me entregue toda la información relativa a las obras de construcción y obras complementarias que se hayan realizado en la red de drenaje y alcantarillado durante los años 2018 a 2021. Señalando el </w:t>
            </w:r>
            <w:r w:rsidR="00E265F0">
              <w:rPr>
                <w:rFonts w:ascii="Palatino Linotype" w:eastAsia="Palatino Linotype" w:hAnsi="Palatino Linotype" w:cs="Palatino Linotype"/>
                <w:i/>
                <w:sz w:val="20"/>
                <w:szCs w:val="20"/>
              </w:rPr>
              <w:t>monto y ubicación de las mismas</w:t>
            </w:r>
            <w:r>
              <w:rPr>
                <w:rFonts w:ascii="Palatino Linotype" w:eastAsia="Palatino Linotype" w:hAnsi="Palatino Linotype" w:cs="Palatino Linotype"/>
                <w:i/>
                <w:sz w:val="20"/>
                <w:szCs w:val="20"/>
              </w:rPr>
              <w:t>.” (Sic)</w:t>
            </w:r>
          </w:p>
        </w:tc>
      </w:tr>
      <w:tr w:rsidR="00BD26AA">
        <w:trPr>
          <w:trHeight w:val="718"/>
        </w:trPr>
        <w:tc>
          <w:tcPr>
            <w:tcW w:w="2938" w:type="dxa"/>
          </w:tcPr>
          <w:p w:rsidR="00BD26AA" w:rsidRDefault="00E265F0">
            <w:pPr>
              <w:spacing w:before="240" w:after="240"/>
              <w:jc w:val="center"/>
              <w:rPr>
                <w:rFonts w:ascii="Palatino Linotype" w:eastAsia="Palatino Linotype" w:hAnsi="Palatino Linotype" w:cs="Palatino Linotype"/>
                <w:b/>
                <w:sz w:val="20"/>
                <w:szCs w:val="20"/>
              </w:rPr>
            </w:pPr>
            <w:r w:rsidRPr="00E265F0">
              <w:rPr>
                <w:rFonts w:ascii="Palatino Linotype" w:eastAsia="Palatino Linotype" w:hAnsi="Palatino Linotype" w:cs="Palatino Linotype"/>
                <w:b/>
                <w:bCs/>
                <w:sz w:val="20"/>
                <w:szCs w:val="20"/>
              </w:rPr>
              <w:t>00792/ECATEPEC/IP/2021</w:t>
            </w:r>
          </w:p>
        </w:tc>
        <w:tc>
          <w:tcPr>
            <w:tcW w:w="5890" w:type="dxa"/>
          </w:tcPr>
          <w:p w:rsidR="00BD26AA" w:rsidRDefault="001A0B5D">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sidR="00E265F0" w:rsidRPr="00E265F0">
              <w:rPr>
                <w:rFonts w:ascii="Palatino Linotype" w:eastAsia="Palatino Linotype" w:hAnsi="Palatino Linotype" w:cs="Palatino Linotype"/>
                <w:i/>
                <w:sz w:val="20"/>
                <w:szCs w:val="20"/>
              </w:rPr>
              <w:t>Se me entregue toda la información a las obras públicas y de servicios aprobadas y realizadas durante los años 2018, 2019, 2020, y 2021 que se hubieran realizado con recursos federales y/o estatales. Así como los montos de dichas obras y la documentación que acredite el haberse realizado</w:t>
            </w:r>
            <w:r>
              <w:rPr>
                <w:rFonts w:ascii="Palatino Linotype" w:eastAsia="Palatino Linotype" w:hAnsi="Palatino Linotype" w:cs="Palatino Linotype"/>
                <w:i/>
                <w:sz w:val="20"/>
                <w:szCs w:val="20"/>
              </w:rPr>
              <w:t>” (Sic)</w:t>
            </w:r>
          </w:p>
        </w:tc>
      </w:tr>
    </w:tbl>
    <w:p w:rsidR="00BD26AA" w:rsidRDefault="001A0B5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sidRPr="00E265F0">
        <w:rPr>
          <w:rFonts w:ascii="Palatino Linotype" w:eastAsia="Palatino Linotype" w:hAnsi="Palatino Linotype" w:cs="Palatino Linotype"/>
          <w:b/>
        </w:rPr>
        <w:t>SAIMEX</w:t>
      </w:r>
      <w:r>
        <w:rPr>
          <w:rFonts w:ascii="Palatino Linotype" w:eastAsia="Palatino Linotype" w:hAnsi="Palatino Linotype" w:cs="Palatino Linotype"/>
        </w:rPr>
        <w:t>.</w:t>
      </w:r>
    </w:p>
    <w:p w:rsidR="00BD26AA" w:rsidRDefault="001A0B5D">
      <w:pPr>
        <w:spacing w:before="240" w:after="240" w:line="360" w:lineRule="auto"/>
        <w:jc w:val="both"/>
        <w:rPr>
          <w:rFonts w:ascii="Palatino Linotype" w:eastAsia="Palatino Linotype" w:hAnsi="Palatino Linotype" w:cs="Palatino Linotype"/>
        </w:rPr>
      </w:pPr>
      <w:bookmarkStart w:id="4" w:name="_heading=h.2et92p0" w:colFirst="0" w:colLast="0"/>
      <w:bookmarkEnd w:id="4"/>
      <w:r>
        <w:rPr>
          <w:rFonts w:ascii="Palatino Linotype" w:eastAsia="Palatino Linotype" w:hAnsi="Palatino Linotype" w:cs="Palatino Linotype"/>
          <w:b/>
        </w:rPr>
        <w:t xml:space="preserve">2. Respuestas. </w:t>
      </w:r>
      <w:r>
        <w:rPr>
          <w:rFonts w:ascii="Palatino Linotype" w:eastAsia="Palatino Linotype" w:hAnsi="Palatino Linotype" w:cs="Palatino Linotype"/>
        </w:rPr>
        <w:t xml:space="preserve">De las constancias que obran en </w:t>
      </w:r>
      <w:r>
        <w:rPr>
          <w:rFonts w:ascii="Palatino Linotype" w:eastAsia="Palatino Linotype" w:hAnsi="Palatino Linotype" w:cs="Palatino Linotype"/>
          <w:b/>
        </w:rPr>
        <w:t>SAIMEX</w:t>
      </w:r>
      <w:r>
        <w:rPr>
          <w:rFonts w:ascii="Palatino Linotype" w:eastAsia="Palatino Linotype" w:hAnsi="Palatino Linotype" w:cs="Palatino Linotype"/>
        </w:rPr>
        <w:t>, se observa que el</w:t>
      </w:r>
      <w:r>
        <w:rPr>
          <w:rFonts w:ascii="Palatino Linotype" w:eastAsia="Palatino Linotype" w:hAnsi="Palatino Linotype" w:cs="Palatino Linotype"/>
          <w:b/>
        </w:rPr>
        <w:t xml:space="preserve"> Sujeto Obligado </w:t>
      </w:r>
      <w:r>
        <w:rPr>
          <w:rFonts w:ascii="Palatino Linotype" w:eastAsia="Palatino Linotype" w:hAnsi="Palatino Linotype" w:cs="Palatino Linotype"/>
        </w:rPr>
        <w:t xml:space="preserve">en fecha </w:t>
      </w:r>
      <w:r w:rsidR="00E265F0">
        <w:rPr>
          <w:rFonts w:ascii="Palatino Linotype" w:eastAsia="Palatino Linotype" w:hAnsi="Palatino Linotype" w:cs="Palatino Linotype"/>
          <w:b/>
        </w:rPr>
        <w:t>veinticuatro de nov</w:t>
      </w:r>
      <w:r>
        <w:rPr>
          <w:rFonts w:ascii="Palatino Linotype" w:eastAsia="Palatino Linotype" w:hAnsi="Palatino Linotype" w:cs="Palatino Linotype"/>
          <w:b/>
        </w:rPr>
        <w:t>iembre de dos mil veintiuno</w:t>
      </w:r>
      <w:r>
        <w:rPr>
          <w:rFonts w:ascii="Palatino Linotype" w:eastAsia="Palatino Linotype" w:hAnsi="Palatino Linotype" w:cs="Palatino Linotype"/>
        </w:rPr>
        <w:t xml:space="preserve">, respondió a las solicitudes de información en los siguientes términos: </w:t>
      </w:r>
    </w:p>
    <w:tbl>
      <w:tblPr>
        <w:tblStyle w:val="a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572"/>
      </w:tblGrid>
      <w:tr w:rsidR="00BD26AA">
        <w:tc>
          <w:tcPr>
            <w:tcW w:w="3256" w:type="dxa"/>
            <w:shd w:val="clear" w:color="auto" w:fill="D9D9D9"/>
          </w:tcPr>
          <w:p w:rsidR="00BD26AA" w:rsidRDefault="001A0B5D">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Número de solicitud</w:t>
            </w:r>
          </w:p>
        </w:tc>
        <w:tc>
          <w:tcPr>
            <w:tcW w:w="5572" w:type="dxa"/>
            <w:shd w:val="clear" w:color="auto" w:fill="D9D9D9"/>
          </w:tcPr>
          <w:p w:rsidR="00BD26AA" w:rsidRDefault="001A0B5D">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Respuesta</w:t>
            </w:r>
          </w:p>
        </w:tc>
      </w:tr>
      <w:tr w:rsidR="00BD26AA">
        <w:tc>
          <w:tcPr>
            <w:tcW w:w="3256" w:type="dxa"/>
          </w:tcPr>
          <w:p w:rsidR="00BD26AA" w:rsidRDefault="00E265F0">
            <w:pPr>
              <w:spacing w:before="240" w:after="240"/>
              <w:jc w:val="center"/>
              <w:rPr>
                <w:rFonts w:ascii="Palatino Linotype" w:eastAsia="Palatino Linotype" w:hAnsi="Palatino Linotype" w:cs="Palatino Linotype"/>
                <w:b/>
                <w:sz w:val="20"/>
                <w:szCs w:val="20"/>
              </w:rPr>
            </w:pPr>
            <w:r w:rsidRPr="00E265F0">
              <w:rPr>
                <w:rFonts w:ascii="Palatino Linotype" w:eastAsia="Palatino Linotype" w:hAnsi="Palatino Linotype" w:cs="Palatino Linotype"/>
                <w:b/>
                <w:bCs/>
                <w:sz w:val="20"/>
                <w:szCs w:val="20"/>
              </w:rPr>
              <w:t>00793/ECATEPEC/IP/2021</w:t>
            </w:r>
          </w:p>
        </w:tc>
        <w:tc>
          <w:tcPr>
            <w:tcW w:w="5572" w:type="dxa"/>
          </w:tcPr>
          <w:p w:rsidR="00BD26AA" w:rsidRDefault="001A0B5D">
            <w:pPr>
              <w:pBdr>
                <w:top w:val="nil"/>
                <w:left w:val="nil"/>
                <w:bottom w:val="nil"/>
                <w:right w:val="nil"/>
                <w:between w:val="nil"/>
              </w:pBdr>
              <w:spacing w:before="240" w:after="240"/>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 xml:space="preserve">Archivos Adjuntos: </w:t>
            </w:r>
          </w:p>
          <w:p w:rsidR="00BD26AA" w:rsidRDefault="001A0B5D" w:rsidP="00E265F0">
            <w:pPr>
              <w:pBdr>
                <w:top w:val="nil"/>
                <w:left w:val="nil"/>
                <w:bottom w:val="nil"/>
                <w:right w:val="nil"/>
                <w:between w:val="nil"/>
              </w:pBd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i/>
                <w:color w:val="000000"/>
                <w:sz w:val="20"/>
                <w:szCs w:val="20"/>
              </w:rPr>
              <w:t>“</w:t>
            </w:r>
            <w:r w:rsidR="00E265F0" w:rsidRPr="00E265F0">
              <w:rPr>
                <w:rFonts w:ascii="Palatino Linotype" w:eastAsia="Palatino Linotype" w:hAnsi="Palatino Linotype" w:cs="Palatino Linotype"/>
                <w:b/>
                <w:i/>
                <w:color w:val="000000"/>
                <w:sz w:val="20"/>
                <w:szCs w:val="20"/>
              </w:rPr>
              <w:t>793.pdf</w:t>
            </w:r>
            <w:r>
              <w:rPr>
                <w:rFonts w:ascii="Palatino Linotype" w:eastAsia="Palatino Linotype" w:hAnsi="Palatino Linotype" w:cs="Palatino Linotype"/>
                <w:b/>
                <w:i/>
                <w:color w:val="000000"/>
                <w:sz w:val="20"/>
                <w:szCs w:val="20"/>
              </w:rPr>
              <w:t xml:space="preserve">”: </w:t>
            </w:r>
            <w:r w:rsidR="00E265F0">
              <w:rPr>
                <w:rFonts w:ascii="Palatino Linotype" w:eastAsia="Palatino Linotype" w:hAnsi="Palatino Linotype" w:cs="Palatino Linotype"/>
                <w:color w:val="000000"/>
                <w:sz w:val="20"/>
                <w:szCs w:val="20"/>
              </w:rPr>
              <w:t>Documento de cinco fojas, mediante el cual, la Dirección de Desarrollo Urbano y Obras Públicas refiere que no se encontró información relacionada con el ejercicio fiscal 2018, asimismo sobre los años 2019, 2020 y 2021 remitió una relación de obras realizadas en la red de drenaje y alcantarillado, señalando nombre, ubicación y el importe autorizado</w:t>
            </w:r>
            <w:r w:rsidR="00EF240D">
              <w:rPr>
                <w:rFonts w:ascii="Palatino Linotype" w:eastAsia="Palatino Linotype" w:hAnsi="Palatino Linotype" w:cs="Palatino Linotype"/>
                <w:color w:val="000000"/>
                <w:sz w:val="20"/>
                <w:szCs w:val="20"/>
              </w:rPr>
              <w:t>, se insertan las siguientes imágenes a manera de ejemplo</w:t>
            </w:r>
            <w:r w:rsidR="00E265F0">
              <w:rPr>
                <w:rFonts w:ascii="Palatino Linotype" w:eastAsia="Palatino Linotype" w:hAnsi="Palatino Linotype" w:cs="Palatino Linotype"/>
                <w:color w:val="000000"/>
                <w:sz w:val="20"/>
                <w:szCs w:val="20"/>
              </w:rPr>
              <w:t>.</w:t>
            </w:r>
          </w:p>
          <w:p w:rsidR="00EF240D" w:rsidRDefault="00D96C33" w:rsidP="00E265F0">
            <w:pPr>
              <w:pBdr>
                <w:top w:val="nil"/>
                <w:left w:val="nil"/>
                <w:bottom w:val="nil"/>
                <w:right w:val="nil"/>
                <w:between w:val="nil"/>
              </w:pBdr>
              <w:spacing w:before="240" w:after="240"/>
              <w:jc w:val="both"/>
              <w:rPr>
                <w:rFonts w:ascii="Palatino Linotype" w:eastAsia="Palatino Linotype" w:hAnsi="Palatino Linotype" w:cs="Palatino Linotype"/>
                <w:color w:val="000000"/>
                <w:sz w:val="20"/>
                <w:szCs w:val="20"/>
              </w:rPr>
            </w:pPr>
            <w:r>
              <w:object w:dxaOrig="9705" w:dyaOrig="11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75pt;height:440.25pt" o:ole="">
                  <v:imagedata r:id="rId9" o:title=""/>
                </v:shape>
                <o:OLEObject Type="Embed" ProgID="PBrush" ShapeID="_x0000_i1025" DrawAspect="Content" ObjectID="_1710599635" r:id="rId10"/>
              </w:object>
            </w:r>
          </w:p>
          <w:p w:rsidR="00EF240D" w:rsidRDefault="00EF240D" w:rsidP="00E265F0">
            <w:pPr>
              <w:pBdr>
                <w:top w:val="nil"/>
                <w:left w:val="nil"/>
                <w:bottom w:val="nil"/>
                <w:right w:val="nil"/>
                <w:between w:val="nil"/>
              </w:pBdr>
              <w:spacing w:before="240" w:after="240"/>
              <w:jc w:val="both"/>
              <w:rPr>
                <w:rFonts w:ascii="Palatino Linotype" w:eastAsia="Palatino Linotype" w:hAnsi="Palatino Linotype" w:cs="Palatino Linotype"/>
                <w:color w:val="000000"/>
                <w:sz w:val="20"/>
                <w:szCs w:val="20"/>
              </w:rPr>
            </w:pPr>
          </w:p>
          <w:p w:rsidR="00FA35FA" w:rsidRDefault="00EF240D" w:rsidP="00E265F0">
            <w:pPr>
              <w:pBdr>
                <w:top w:val="nil"/>
                <w:left w:val="nil"/>
                <w:bottom w:val="nil"/>
                <w:right w:val="nil"/>
                <w:between w:val="nil"/>
              </w:pBdr>
              <w:spacing w:before="240" w:after="240"/>
              <w:jc w:val="both"/>
              <w:rPr>
                <w:rFonts w:ascii="Palatino Linotype" w:eastAsia="Palatino Linotype" w:hAnsi="Palatino Linotype" w:cs="Palatino Linotype"/>
                <w:color w:val="000000"/>
                <w:sz w:val="20"/>
                <w:szCs w:val="20"/>
              </w:rPr>
            </w:pPr>
            <w:r>
              <w:object w:dxaOrig="8910" w:dyaOrig="11265">
                <v:shape id="_x0000_i1026" type="#_x0000_t75" style="width:267pt;height:337.5pt" o:ole="">
                  <v:imagedata r:id="rId11" o:title=""/>
                </v:shape>
                <o:OLEObject Type="Embed" ProgID="PBrush" ShapeID="_x0000_i1026" DrawAspect="Content" ObjectID="_1710599636" r:id="rId12"/>
              </w:object>
            </w:r>
          </w:p>
        </w:tc>
      </w:tr>
      <w:tr w:rsidR="00BD26AA">
        <w:tc>
          <w:tcPr>
            <w:tcW w:w="3256" w:type="dxa"/>
          </w:tcPr>
          <w:p w:rsidR="00BD26AA" w:rsidRDefault="00E265F0">
            <w:pPr>
              <w:spacing w:before="240" w:after="240"/>
              <w:jc w:val="center"/>
              <w:rPr>
                <w:rFonts w:ascii="Palatino Linotype" w:eastAsia="Palatino Linotype" w:hAnsi="Palatino Linotype" w:cs="Palatino Linotype"/>
                <w:b/>
                <w:i/>
                <w:sz w:val="20"/>
                <w:szCs w:val="20"/>
              </w:rPr>
            </w:pPr>
            <w:r w:rsidRPr="00E265F0">
              <w:rPr>
                <w:rFonts w:ascii="Palatino Linotype" w:eastAsia="Palatino Linotype" w:hAnsi="Palatino Linotype" w:cs="Palatino Linotype"/>
                <w:b/>
                <w:bCs/>
                <w:sz w:val="20"/>
                <w:szCs w:val="20"/>
              </w:rPr>
              <w:lastRenderedPageBreak/>
              <w:t>00792/ECATEPEC/IP/2021</w:t>
            </w:r>
          </w:p>
        </w:tc>
        <w:tc>
          <w:tcPr>
            <w:tcW w:w="5572" w:type="dxa"/>
          </w:tcPr>
          <w:p w:rsidR="00BD26AA" w:rsidRDefault="001A0B5D">
            <w:pPr>
              <w:pBdr>
                <w:top w:val="nil"/>
                <w:left w:val="nil"/>
                <w:bottom w:val="nil"/>
                <w:right w:val="nil"/>
                <w:between w:val="nil"/>
              </w:pBdr>
              <w:spacing w:before="240" w:after="240"/>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Archivos adjuntos:</w:t>
            </w:r>
          </w:p>
          <w:p w:rsidR="00FA35FA" w:rsidRDefault="001A0B5D" w:rsidP="0025523A">
            <w:pPr>
              <w:pBdr>
                <w:top w:val="nil"/>
                <w:left w:val="nil"/>
                <w:bottom w:val="nil"/>
                <w:right w:val="nil"/>
                <w:between w:val="nil"/>
              </w:pBd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i/>
                <w:color w:val="000000"/>
                <w:sz w:val="20"/>
                <w:szCs w:val="20"/>
              </w:rPr>
              <w:t>“</w:t>
            </w:r>
            <w:r w:rsidR="00E265F0" w:rsidRPr="00E265F0">
              <w:rPr>
                <w:rFonts w:ascii="Palatino Linotype" w:eastAsia="Palatino Linotype" w:hAnsi="Palatino Linotype" w:cs="Palatino Linotype"/>
                <w:b/>
                <w:i/>
                <w:color w:val="000000"/>
                <w:sz w:val="20"/>
                <w:szCs w:val="20"/>
              </w:rPr>
              <w:t>792.pdf</w:t>
            </w:r>
            <w:r>
              <w:rPr>
                <w:rFonts w:ascii="Palatino Linotype" w:eastAsia="Palatino Linotype" w:hAnsi="Palatino Linotype" w:cs="Palatino Linotype"/>
                <w:b/>
                <w:i/>
                <w:color w:val="000000"/>
                <w:sz w:val="20"/>
                <w:szCs w:val="20"/>
              </w:rPr>
              <w:t xml:space="preserve">”: </w:t>
            </w:r>
            <w:r w:rsidR="00E265F0">
              <w:rPr>
                <w:rFonts w:ascii="Palatino Linotype" w:eastAsia="Palatino Linotype" w:hAnsi="Palatino Linotype" w:cs="Palatino Linotype"/>
                <w:color w:val="000000"/>
                <w:sz w:val="20"/>
                <w:szCs w:val="20"/>
              </w:rPr>
              <w:t xml:space="preserve">Documento de nueve fojas, mediante el cual, la Dirección de Desarrollo Urbano y Obras Públicas refiere que no se encontró información relacionada con el ejercicio fiscal 2018, asimismo sobre los años 2019, 2020 y 2021 no se realizaron obras con recurso federales </w:t>
            </w:r>
            <w:r w:rsidR="0025523A">
              <w:rPr>
                <w:rFonts w:ascii="Palatino Linotype" w:eastAsia="Palatino Linotype" w:hAnsi="Palatino Linotype" w:cs="Palatino Linotype"/>
                <w:color w:val="000000"/>
                <w:sz w:val="20"/>
                <w:szCs w:val="20"/>
              </w:rPr>
              <w:t xml:space="preserve">pero </w:t>
            </w:r>
            <w:r w:rsidR="00E265F0">
              <w:rPr>
                <w:rFonts w:ascii="Palatino Linotype" w:eastAsia="Palatino Linotype" w:hAnsi="Palatino Linotype" w:cs="Palatino Linotype"/>
                <w:color w:val="000000"/>
                <w:sz w:val="20"/>
                <w:szCs w:val="20"/>
              </w:rPr>
              <w:t xml:space="preserve">remitió una relación de obras realizadas </w:t>
            </w:r>
            <w:r w:rsidR="0025523A">
              <w:rPr>
                <w:rFonts w:ascii="Palatino Linotype" w:eastAsia="Palatino Linotype" w:hAnsi="Palatino Linotype" w:cs="Palatino Linotype"/>
                <w:color w:val="000000"/>
                <w:sz w:val="20"/>
                <w:szCs w:val="20"/>
              </w:rPr>
              <w:t>con recursos estatales en el que se detalla el año, nombre de la obra, ubicación, importe</w:t>
            </w:r>
            <w:r w:rsidR="00EF240D">
              <w:rPr>
                <w:rFonts w:ascii="Palatino Linotype" w:eastAsia="Palatino Linotype" w:hAnsi="Palatino Linotype" w:cs="Palatino Linotype"/>
                <w:color w:val="000000"/>
                <w:sz w:val="20"/>
                <w:szCs w:val="20"/>
              </w:rPr>
              <w:t xml:space="preserve"> autorizado y estado que guarda, se insertan las siguientes capturas de pantalla a manera de ejemplo.</w:t>
            </w:r>
          </w:p>
          <w:p w:rsidR="00EF240D" w:rsidRDefault="00D96C33" w:rsidP="0025523A">
            <w:pPr>
              <w:pBdr>
                <w:top w:val="nil"/>
                <w:left w:val="nil"/>
                <w:bottom w:val="nil"/>
                <w:right w:val="nil"/>
                <w:between w:val="nil"/>
              </w:pBdr>
              <w:spacing w:before="240" w:after="240"/>
              <w:jc w:val="both"/>
              <w:rPr>
                <w:rFonts w:ascii="Palatino Linotype" w:eastAsia="Palatino Linotype" w:hAnsi="Palatino Linotype" w:cs="Palatino Linotype"/>
                <w:color w:val="000000"/>
                <w:sz w:val="20"/>
                <w:szCs w:val="20"/>
              </w:rPr>
            </w:pPr>
            <w:r>
              <w:object w:dxaOrig="11175" w:dyaOrig="10755">
                <v:shape id="_x0000_i1027" type="#_x0000_t75" style="width:275.25pt;height:404.25pt" o:ole="">
                  <v:imagedata r:id="rId13" o:title=""/>
                </v:shape>
                <o:OLEObject Type="Embed" ProgID="PBrush" ShapeID="_x0000_i1027" DrawAspect="Content" ObjectID="_1710599637" r:id="rId14"/>
              </w:object>
            </w:r>
            <w:r w:rsidR="00EF240D">
              <w:object w:dxaOrig="10380" w:dyaOrig="12840">
                <v:shape id="_x0000_i1028" type="#_x0000_t75" style="width:274.5pt;height:339pt" o:ole="">
                  <v:imagedata r:id="rId15" o:title=""/>
                </v:shape>
                <o:OLEObject Type="Embed" ProgID="PBrush" ShapeID="_x0000_i1028" DrawAspect="Content" ObjectID="_1710599638" r:id="rId16"/>
              </w:object>
            </w:r>
          </w:p>
        </w:tc>
      </w:tr>
    </w:tbl>
    <w:p w:rsidR="00BD26AA" w:rsidRDefault="001A0B5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Interposición de los recursos de revisión. </w:t>
      </w:r>
      <w:r>
        <w:rPr>
          <w:rFonts w:ascii="Palatino Linotype" w:eastAsia="Palatino Linotype" w:hAnsi="Palatino Linotype" w:cs="Palatino Linotype"/>
        </w:rPr>
        <w:t xml:space="preserve">Inconforme con las respuestas del Sujeto Obligado, en fecha </w:t>
      </w:r>
      <w:r w:rsidR="0025523A">
        <w:rPr>
          <w:rFonts w:ascii="Palatino Linotype" w:eastAsia="Palatino Linotype" w:hAnsi="Palatino Linotype" w:cs="Palatino Linotype"/>
          <w:b/>
        </w:rPr>
        <w:t>treinta de nov</w:t>
      </w:r>
      <w:r>
        <w:rPr>
          <w:rFonts w:ascii="Palatino Linotype" w:eastAsia="Palatino Linotype" w:hAnsi="Palatino Linotype" w:cs="Palatino Linotype"/>
          <w:b/>
        </w:rPr>
        <w:t>iembre de dos mil veintiuno</w:t>
      </w:r>
      <w:r>
        <w:rPr>
          <w:rFonts w:ascii="Palatino Linotype" w:eastAsia="Palatino Linotype" w:hAnsi="Palatino Linotype" w:cs="Palatino Linotype"/>
        </w:rPr>
        <w:t xml:space="preserv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interpuso los recursos de revisión en los que manifestó lo siguiente:</w:t>
      </w:r>
    </w:p>
    <w:tbl>
      <w:tblPr>
        <w:tblStyle w:val="a8"/>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402"/>
        <w:gridCol w:w="2596"/>
      </w:tblGrid>
      <w:tr w:rsidR="00BD26AA">
        <w:tc>
          <w:tcPr>
            <w:tcW w:w="2830" w:type="dxa"/>
            <w:shd w:val="clear" w:color="auto" w:fill="D9D9D9"/>
          </w:tcPr>
          <w:p w:rsidR="00BD26AA" w:rsidRDefault="001A0B5D">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Recurso de revisión</w:t>
            </w:r>
          </w:p>
        </w:tc>
        <w:tc>
          <w:tcPr>
            <w:tcW w:w="3402" w:type="dxa"/>
            <w:shd w:val="clear" w:color="auto" w:fill="D9D9D9"/>
          </w:tcPr>
          <w:p w:rsidR="00BD26AA" w:rsidRDefault="001A0B5D">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Acto impugnado.</w:t>
            </w:r>
          </w:p>
        </w:tc>
        <w:tc>
          <w:tcPr>
            <w:tcW w:w="2596" w:type="dxa"/>
            <w:shd w:val="clear" w:color="auto" w:fill="D9D9D9"/>
          </w:tcPr>
          <w:p w:rsidR="00BD26AA" w:rsidRDefault="001A0B5D">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Motivos de inconformidad.</w:t>
            </w:r>
          </w:p>
        </w:tc>
      </w:tr>
      <w:tr w:rsidR="00BD26AA">
        <w:tc>
          <w:tcPr>
            <w:tcW w:w="2830" w:type="dxa"/>
          </w:tcPr>
          <w:p w:rsidR="00BD26AA" w:rsidRDefault="0025523A" w:rsidP="0025523A">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 xml:space="preserve">05984/INFOEM/IP/RR/2021 </w:t>
            </w:r>
            <w:r w:rsidRPr="0025523A">
              <w:rPr>
                <w:rFonts w:ascii="Palatino Linotype" w:eastAsia="Palatino Linotype" w:hAnsi="Palatino Linotype" w:cs="Palatino Linotype"/>
                <w:b/>
                <w:sz w:val="20"/>
                <w:szCs w:val="20"/>
              </w:rPr>
              <w:t xml:space="preserve"> </w:t>
            </w:r>
          </w:p>
        </w:tc>
        <w:tc>
          <w:tcPr>
            <w:tcW w:w="3402" w:type="dxa"/>
            <w:shd w:val="clear" w:color="auto" w:fill="auto"/>
          </w:tcPr>
          <w:p w:rsidR="00BD26AA" w:rsidRDefault="001A0B5D">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sidR="0025523A" w:rsidRPr="0025523A">
              <w:rPr>
                <w:rFonts w:ascii="Palatino Linotype" w:eastAsia="Palatino Linotype" w:hAnsi="Palatino Linotype" w:cs="Palatino Linotype"/>
                <w:i/>
                <w:sz w:val="20"/>
                <w:szCs w:val="20"/>
              </w:rPr>
              <w:t>la respuesta</w:t>
            </w:r>
            <w:r>
              <w:rPr>
                <w:rFonts w:ascii="Palatino Linotype" w:eastAsia="Palatino Linotype" w:hAnsi="Palatino Linotype" w:cs="Palatino Linotype"/>
                <w:i/>
                <w:sz w:val="20"/>
                <w:szCs w:val="20"/>
              </w:rPr>
              <w:t>” (Sic)</w:t>
            </w:r>
          </w:p>
        </w:tc>
        <w:tc>
          <w:tcPr>
            <w:tcW w:w="2596" w:type="dxa"/>
            <w:shd w:val="clear" w:color="auto" w:fill="auto"/>
          </w:tcPr>
          <w:p w:rsidR="00BD26AA" w:rsidRDefault="001A0B5D" w:rsidP="0025523A">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sidR="0025523A" w:rsidRPr="0025523A">
              <w:rPr>
                <w:rFonts w:ascii="Palatino Linotype" w:eastAsia="Palatino Linotype" w:hAnsi="Palatino Linotype" w:cs="Palatino Linotype"/>
                <w:i/>
                <w:sz w:val="20"/>
                <w:szCs w:val="20"/>
              </w:rPr>
              <w:t xml:space="preserve">la información solicitada no se encuentra en ninguno de </w:t>
            </w:r>
            <w:r w:rsidR="0025523A" w:rsidRPr="0025523A">
              <w:rPr>
                <w:rFonts w:ascii="Palatino Linotype" w:eastAsia="Palatino Linotype" w:hAnsi="Palatino Linotype" w:cs="Palatino Linotype"/>
                <w:i/>
                <w:sz w:val="20"/>
                <w:szCs w:val="20"/>
              </w:rPr>
              <w:lastRenderedPageBreak/>
              <w:t>los vínculos que señala, por lo que reitero mi solicitud</w:t>
            </w:r>
            <w:r>
              <w:rPr>
                <w:rFonts w:ascii="Palatino Linotype" w:eastAsia="Palatino Linotype" w:hAnsi="Palatino Linotype" w:cs="Palatino Linotype"/>
                <w:i/>
                <w:sz w:val="20"/>
                <w:szCs w:val="20"/>
              </w:rPr>
              <w:t>” (Sic)</w:t>
            </w:r>
          </w:p>
        </w:tc>
      </w:tr>
      <w:tr w:rsidR="00BD26AA">
        <w:tc>
          <w:tcPr>
            <w:tcW w:w="2830" w:type="dxa"/>
          </w:tcPr>
          <w:p w:rsidR="00BD26AA" w:rsidRDefault="0025523A">
            <w:pPr>
              <w:spacing w:before="240" w:after="240"/>
              <w:jc w:val="both"/>
              <w:rPr>
                <w:rFonts w:ascii="Palatino Linotype" w:eastAsia="Palatino Linotype" w:hAnsi="Palatino Linotype" w:cs="Palatino Linotype"/>
                <w:sz w:val="20"/>
                <w:szCs w:val="20"/>
              </w:rPr>
            </w:pPr>
            <w:r w:rsidRPr="0025523A">
              <w:rPr>
                <w:rFonts w:ascii="Palatino Linotype" w:eastAsia="Palatino Linotype" w:hAnsi="Palatino Linotype" w:cs="Palatino Linotype"/>
                <w:b/>
                <w:sz w:val="20"/>
                <w:szCs w:val="20"/>
              </w:rPr>
              <w:lastRenderedPageBreak/>
              <w:t>05986/INFOEM/IP/RR/2021</w:t>
            </w:r>
          </w:p>
        </w:tc>
        <w:tc>
          <w:tcPr>
            <w:tcW w:w="3402" w:type="dxa"/>
            <w:shd w:val="clear" w:color="auto" w:fill="auto"/>
          </w:tcPr>
          <w:p w:rsidR="00BD26AA" w:rsidRDefault="001A0B5D">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sidR="0025523A" w:rsidRPr="0025523A">
              <w:rPr>
                <w:rFonts w:ascii="Palatino Linotype" w:eastAsia="Palatino Linotype" w:hAnsi="Palatino Linotype" w:cs="Palatino Linotype"/>
                <w:i/>
                <w:sz w:val="20"/>
                <w:szCs w:val="20"/>
              </w:rPr>
              <w:t>la respuesta</w:t>
            </w:r>
            <w:r>
              <w:rPr>
                <w:rFonts w:ascii="Palatino Linotype" w:eastAsia="Palatino Linotype" w:hAnsi="Palatino Linotype" w:cs="Palatino Linotype"/>
                <w:i/>
                <w:sz w:val="20"/>
                <w:szCs w:val="20"/>
              </w:rPr>
              <w:t>” (Sic)</w:t>
            </w:r>
          </w:p>
        </w:tc>
        <w:tc>
          <w:tcPr>
            <w:tcW w:w="2596" w:type="dxa"/>
            <w:shd w:val="clear" w:color="auto" w:fill="auto"/>
          </w:tcPr>
          <w:p w:rsidR="00BD26AA" w:rsidRDefault="001A0B5D">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sidR="0025523A" w:rsidRPr="0025523A">
              <w:rPr>
                <w:rFonts w:ascii="Palatino Linotype" w:eastAsia="Palatino Linotype" w:hAnsi="Palatino Linotype" w:cs="Palatino Linotype"/>
                <w:i/>
                <w:sz w:val="20"/>
                <w:szCs w:val="20"/>
              </w:rPr>
              <w:t>Manifiesto mi inconformidad con la respuesta debido a que no se entrega la información correspondiente al año 2018, por otro lado, tampoco entrega la documentación que compruebe haberse realizado dichas obras.</w:t>
            </w:r>
            <w:r>
              <w:rPr>
                <w:rFonts w:ascii="Palatino Linotype" w:eastAsia="Palatino Linotype" w:hAnsi="Palatino Linotype" w:cs="Palatino Linotype"/>
                <w:i/>
                <w:sz w:val="20"/>
                <w:szCs w:val="20"/>
              </w:rPr>
              <w:t>” (Sic)</w:t>
            </w:r>
          </w:p>
        </w:tc>
      </w:tr>
    </w:tbl>
    <w:p w:rsidR="00BD26AA" w:rsidRDefault="001A0B5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de señalar, que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adjuntó los archivos electrónicos entregados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 respuesta a las solicitudes de información. </w:t>
      </w:r>
    </w:p>
    <w:p w:rsidR="00BD26AA" w:rsidRDefault="001A0B5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De conformidad con el artículo 185 fracción I de la Ley Transparencia y Acceso a la Información Pública, los recursos de revisión fueron</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turnados de la siguiente manera, a efecto de presentar al Pleno los proyectos de resolución correspondientes: </w:t>
      </w:r>
    </w:p>
    <w:tbl>
      <w:tblPr>
        <w:tblStyle w:val="a9"/>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BD26AA" w:rsidTr="0025523A">
        <w:trPr>
          <w:trHeight w:val="785"/>
        </w:trPr>
        <w:tc>
          <w:tcPr>
            <w:tcW w:w="4414" w:type="dxa"/>
            <w:shd w:val="clear" w:color="auto" w:fill="A6A6A6" w:themeFill="background1" w:themeFillShade="A6"/>
          </w:tcPr>
          <w:p w:rsidR="00BD26AA" w:rsidRPr="0025523A" w:rsidRDefault="001A0B5D">
            <w:pPr>
              <w:spacing w:before="240" w:after="240" w:line="360" w:lineRule="auto"/>
              <w:jc w:val="center"/>
              <w:rPr>
                <w:rFonts w:ascii="Palatino Linotype" w:eastAsia="Palatino Linotype" w:hAnsi="Palatino Linotype" w:cs="Palatino Linotype"/>
                <w:b/>
                <w:color w:val="000000" w:themeColor="text1"/>
                <w:sz w:val="20"/>
                <w:szCs w:val="20"/>
              </w:rPr>
            </w:pPr>
            <w:r w:rsidRPr="0025523A">
              <w:rPr>
                <w:rFonts w:ascii="Palatino Linotype" w:eastAsia="Palatino Linotype" w:hAnsi="Palatino Linotype" w:cs="Palatino Linotype"/>
                <w:b/>
                <w:color w:val="000000" w:themeColor="text1"/>
                <w:sz w:val="20"/>
                <w:szCs w:val="20"/>
              </w:rPr>
              <w:t>Recurso de Revisión</w:t>
            </w:r>
          </w:p>
        </w:tc>
        <w:tc>
          <w:tcPr>
            <w:tcW w:w="4414" w:type="dxa"/>
            <w:shd w:val="clear" w:color="auto" w:fill="A6A6A6" w:themeFill="background1" w:themeFillShade="A6"/>
          </w:tcPr>
          <w:p w:rsidR="00BD26AA" w:rsidRPr="0025523A" w:rsidRDefault="001A0B5D">
            <w:pPr>
              <w:spacing w:before="240" w:after="240" w:line="360" w:lineRule="auto"/>
              <w:jc w:val="center"/>
              <w:rPr>
                <w:rFonts w:ascii="Palatino Linotype" w:eastAsia="Palatino Linotype" w:hAnsi="Palatino Linotype" w:cs="Palatino Linotype"/>
                <w:b/>
                <w:color w:val="000000" w:themeColor="text1"/>
                <w:sz w:val="20"/>
                <w:szCs w:val="20"/>
              </w:rPr>
            </w:pPr>
            <w:r w:rsidRPr="0025523A">
              <w:rPr>
                <w:rFonts w:ascii="Palatino Linotype" w:eastAsia="Palatino Linotype" w:hAnsi="Palatino Linotype" w:cs="Palatino Linotype"/>
                <w:b/>
                <w:color w:val="000000" w:themeColor="text1"/>
                <w:sz w:val="20"/>
                <w:szCs w:val="20"/>
              </w:rPr>
              <w:t>Comisionado</w:t>
            </w:r>
          </w:p>
        </w:tc>
      </w:tr>
      <w:tr w:rsidR="00BD26AA">
        <w:tc>
          <w:tcPr>
            <w:tcW w:w="4414" w:type="dxa"/>
          </w:tcPr>
          <w:p w:rsidR="00BD26AA" w:rsidRDefault="0025523A">
            <w:pPr>
              <w:spacing w:before="240" w:after="240"/>
              <w:jc w:val="center"/>
              <w:rPr>
                <w:rFonts w:ascii="Palatino Linotype" w:eastAsia="Palatino Linotype" w:hAnsi="Palatino Linotype" w:cs="Palatino Linotype"/>
                <w:b/>
                <w:sz w:val="20"/>
                <w:szCs w:val="20"/>
              </w:rPr>
            </w:pPr>
            <w:r w:rsidRPr="0025523A">
              <w:rPr>
                <w:rFonts w:ascii="Palatino Linotype" w:eastAsia="Palatino Linotype" w:hAnsi="Palatino Linotype" w:cs="Palatino Linotype"/>
                <w:b/>
                <w:sz w:val="20"/>
                <w:szCs w:val="20"/>
              </w:rPr>
              <w:t xml:space="preserve">05984/INFOEM/IP/RR/2021  </w:t>
            </w:r>
          </w:p>
        </w:tc>
        <w:tc>
          <w:tcPr>
            <w:tcW w:w="4414" w:type="dxa"/>
          </w:tcPr>
          <w:p w:rsidR="00BD26AA" w:rsidRDefault="001A0B5D">
            <w:pPr>
              <w:spacing w:before="240" w:after="240" w:line="36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Comisionada Guadalupe Ramírez Peña</w:t>
            </w:r>
          </w:p>
        </w:tc>
      </w:tr>
      <w:tr w:rsidR="00BD26AA">
        <w:tc>
          <w:tcPr>
            <w:tcW w:w="4414" w:type="dxa"/>
          </w:tcPr>
          <w:p w:rsidR="00BD26AA" w:rsidRDefault="0025523A">
            <w:pPr>
              <w:spacing w:before="240" w:after="240"/>
              <w:jc w:val="center"/>
              <w:rPr>
                <w:rFonts w:ascii="Palatino Linotype" w:eastAsia="Palatino Linotype" w:hAnsi="Palatino Linotype" w:cs="Palatino Linotype"/>
                <w:b/>
                <w:sz w:val="20"/>
                <w:szCs w:val="20"/>
              </w:rPr>
            </w:pPr>
            <w:r w:rsidRPr="0025523A">
              <w:rPr>
                <w:rFonts w:ascii="Palatino Linotype" w:eastAsia="Palatino Linotype" w:hAnsi="Palatino Linotype" w:cs="Palatino Linotype"/>
                <w:b/>
                <w:sz w:val="20"/>
                <w:szCs w:val="20"/>
              </w:rPr>
              <w:t>05986/INFOEM/IP/RR/2021</w:t>
            </w:r>
          </w:p>
        </w:tc>
        <w:tc>
          <w:tcPr>
            <w:tcW w:w="4414" w:type="dxa"/>
          </w:tcPr>
          <w:p w:rsidR="00BD26AA" w:rsidRDefault="001A0B5D">
            <w:pPr>
              <w:spacing w:before="240" w:after="240" w:line="36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Comisionado Luis Gustavo Parra Noriega</w:t>
            </w:r>
          </w:p>
        </w:tc>
      </w:tr>
    </w:tbl>
    <w:p w:rsidR="00BD26AA" w:rsidRDefault="001A0B5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w:t>
      </w:r>
      <w:r w:rsidR="0025523A">
        <w:rPr>
          <w:rFonts w:ascii="Palatino Linotype" w:eastAsia="Palatino Linotype" w:hAnsi="Palatino Linotype" w:cs="Palatino Linotype"/>
        </w:rPr>
        <w:t xml:space="preserve">En fechas </w:t>
      </w:r>
      <w:r w:rsidR="0025523A" w:rsidRPr="0025523A">
        <w:rPr>
          <w:rFonts w:ascii="Palatino Linotype" w:eastAsia="Palatino Linotype" w:hAnsi="Palatino Linotype" w:cs="Palatino Linotype"/>
          <w:b/>
        </w:rPr>
        <w:t>tres y seis</w:t>
      </w:r>
      <w:r w:rsidR="0025523A">
        <w:rPr>
          <w:rFonts w:ascii="Palatino Linotype" w:eastAsia="Palatino Linotype" w:hAnsi="Palatino Linotype" w:cs="Palatino Linotype"/>
        </w:rPr>
        <w:t xml:space="preserve"> </w:t>
      </w:r>
      <w:r w:rsidR="0025523A">
        <w:rPr>
          <w:rFonts w:ascii="Palatino Linotype" w:eastAsia="Palatino Linotype" w:hAnsi="Palatino Linotype" w:cs="Palatino Linotype"/>
          <w:b/>
        </w:rPr>
        <w:t xml:space="preserve">de </w:t>
      </w:r>
      <w:r w:rsidR="0025523A" w:rsidRPr="00EF240D">
        <w:rPr>
          <w:rFonts w:ascii="Palatino Linotype" w:eastAsia="Palatino Linotype" w:hAnsi="Palatino Linotype" w:cs="Palatino Linotype"/>
          <w:b/>
          <w:color w:val="000000" w:themeColor="text1"/>
        </w:rPr>
        <w:t>diciembre</w:t>
      </w:r>
      <w:r w:rsidRPr="00EF240D">
        <w:rPr>
          <w:rFonts w:ascii="Palatino Linotype" w:eastAsia="Palatino Linotype" w:hAnsi="Palatino Linotype" w:cs="Palatino Linotype"/>
          <w:b/>
          <w:color w:val="000000" w:themeColor="text1"/>
        </w:rPr>
        <w:t xml:space="preserve"> de dos mil v</w:t>
      </w:r>
      <w:r w:rsidR="00EF240D" w:rsidRPr="00EF240D">
        <w:rPr>
          <w:rFonts w:ascii="Palatino Linotype" w:eastAsia="Palatino Linotype" w:hAnsi="Palatino Linotype" w:cs="Palatino Linotype"/>
          <w:b/>
          <w:color w:val="000000" w:themeColor="text1"/>
        </w:rPr>
        <w:t>eintiuno</w:t>
      </w:r>
      <w:r>
        <w:rPr>
          <w:rFonts w:ascii="Palatino Linotype" w:eastAsia="Palatino Linotype" w:hAnsi="Palatino Linotype" w:cs="Palatino Linotype"/>
        </w:rPr>
        <w:t xml:space="preserve">, en términos de lo dispuesto en el artículo 185 fracciones I, II y IV de la Ley de Transparencia y </w:t>
      </w:r>
      <w:r>
        <w:rPr>
          <w:rFonts w:ascii="Palatino Linotype" w:eastAsia="Palatino Linotype" w:hAnsi="Palatino Linotype" w:cs="Palatino Linotype"/>
        </w:rPr>
        <w:lastRenderedPageBreak/>
        <w:t>Acceso a la Información Pública del Estado de México y Municipios, se admitieron a trámite los recursos de revisión.</w:t>
      </w:r>
    </w:p>
    <w:p w:rsidR="00BD26AA" w:rsidRDefault="001A0B5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6. Acumulación. </w:t>
      </w:r>
      <w:r>
        <w:rPr>
          <w:rFonts w:ascii="Palatino Linotype" w:eastAsia="Palatino Linotype" w:hAnsi="Palatino Linotype" w:cs="Palatino Linotype"/>
        </w:rPr>
        <w:t xml:space="preserve">En la </w:t>
      </w:r>
      <w:r w:rsidR="0025523A">
        <w:rPr>
          <w:rFonts w:ascii="Palatino Linotype" w:eastAsia="Palatino Linotype" w:hAnsi="Palatino Linotype" w:cs="Palatino Linotype"/>
          <w:b/>
        </w:rPr>
        <w:t>Cuadragésima Quinta</w:t>
      </w:r>
      <w:r>
        <w:rPr>
          <w:rFonts w:ascii="Palatino Linotype" w:eastAsia="Palatino Linotype" w:hAnsi="Palatino Linotype" w:cs="Palatino Linotype"/>
          <w:b/>
        </w:rPr>
        <w:t xml:space="preserve"> Sesión Ordinaria</w:t>
      </w:r>
      <w:r>
        <w:rPr>
          <w:rFonts w:ascii="Palatino Linotype" w:eastAsia="Palatino Linotype" w:hAnsi="Palatino Linotype" w:cs="Palatino Linotype"/>
        </w:rPr>
        <w:t xml:space="preserve"> celebrada el </w:t>
      </w:r>
      <w:r w:rsidR="0025523A">
        <w:rPr>
          <w:rFonts w:ascii="Palatino Linotype" w:eastAsia="Palatino Linotype" w:hAnsi="Palatino Linotype" w:cs="Palatino Linotype"/>
          <w:b/>
        </w:rPr>
        <w:t xml:space="preserve">quince de </w:t>
      </w:r>
      <w:r w:rsidR="0025523A" w:rsidRPr="00EF240D">
        <w:rPr>
          <w:rFonts w:ascii="Palatino Linotype" w:eastAsia="Palatino Linotype" w:hAnsi="Palatino Linotype" w:cs="Palatino Linotype"/>
          <w:b/>
          <w:color w:val="000000" w:themeColor="text1"/>
        </w:rPr>
        <w:t>diciembre</w:t>
      </w:r>
      <w:r w:rsidRPr="00EF240D">
        <w:rPr>
          <w:rFonts w:ascii="Palatino Linotype" w:eastAsia="Palatino Linotype" w:hAnsi="Palatino Linotype" w:cs="Palatino Linotype"/>
          <w:b/>
          <w:color w:val="000000" w:themeColor="text1"/>
        </w:rPr>
        <w:t xml:space="preserve"> de dos mil </w:t>
      </w:r>
      <w:r w:rsidR="00EF240D" w:rsidRPr="00EF240D">
        <w:rPr>
          <w:rFonts w:ascii="Palatino Linotype" w:eastAsia="Palatino Linotype" w:hAnsi="Palatino Linotype" w:cs="Palatino Linotype"/>
          <w:b/>
          <w:color w:val="000000" w:themeColor="text1"/>
        </w:rPr>
        <w:t>veintiuno</w:t>
      </w:r>
      <w:r>
        <w:rPr>
          <w:rFonts w:ascii="Palatino Linotype" w:eastAsia="Palatino Linotype" w:hAnsi="Palatino Linotype" w:cs="Palatino Linotype"/>
        </w:rPr>
        <w:t xml:space="preserve">, al advertir la conexidad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w:t>
      </w:r>
      <w:r>
        <w:rPr>
          <w:rFonts w:ascii="Palatino Linotype" w:eastAsia="Palatino Linotype" w:hAnsi="Palatino Linotype" w:cs="Palatino Linotype"/>
          <w:b/>
        </w:rPr>
        <w:t>Comisionada Guadalupe Ramírez Peña</w:t>
      </w:r>
      <w:r>
        <w:rPr>
          <w:rFonts w:ascii="Palatino Linotype" w:eastAsia="Palatino Linotype" w:hAnsi="Palatino Linotype" w:cs="Palatino Linotype"/>
        </w:rPr>
        <w:t>.</w:t>
      </w:r>
    </w:p>
    <w:p w:rsidR="00D96C33" w:rsidRDefault="001A0B5D" w:rsidP="00A7563C">
      <w:pPr>
        <w:spacing w:before="240" w:after="240" w:line="360" w:lineRule="auto"/>
        <w:jc w:val="both"/>
        <w:rPr>
          <w:rFonts w:ascii="Palatino Linotype" w:eastAsia="Palatino Linotype" w:hAnsi="Palatino Linotype" w:cs="Palatino Linotype"/>
        </w:rPr>
      </w:pPr>
      <w:bookmarkStart w:id="5" w:name="_heading=h.tyjcwt" w:colFirst="0" w:colLast="0"/>
      <w:bookmarkEnd w:id="5"/>
      <w:r>
        <w:rPr>
          <w:rFonts w:ascii="Palatino Linotype" w:eastAsia="Palatino Linotype" w:hAnsi="Palatino Linotype" w:cs="Palatino Linotype"/>
          <w:b/>
        </w:rPr>
        <w:t xml:space="preserve">7. Manifestaciones. </w:t>
      </w:r>
      <w:r>
        <w:rPr>
          <w:rFonts w:ascii="Palatino Linotype" w:eastAsia="Palatino Linotype" w:hAnsi="Palatino Linotype" w:cs="Palatino Linotype"/>
        </w:rPr>
        <w:t xml:space="preserve">De las constancias que obran en los expedientes electrónicos del SAIMEX se desprende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sidR="00D96C33">
        <w:rPr>
          <w:rFonts w:ascii="Palatino Linotype" w:eastAsia="Palatino Linotype" w:hAnsi="Palatino Linotype" w:cs="Palatino Linotype"/>
        </w:rPr>
        <w:t xml:space="preserve">fue omiso en rendir su </w:t>
      </w:r>
      <w:r w:rsidR="0025523A">
        <w:rPr>
          <w:rFonts w:ascii="Palatino Linotype" w:eastAsia="Palatino Linotype" w:hAnsi="Palatino Linotype" w:cs="Palatino Linotype"/>
        </w:rPr>
        <w:t xml:space="preserve">informe justificado en el recurso de revisión </w:t>
      </w:r>
      <w:r w:rsidR="00D96C33" w:rsidRPr="00D96C33">
        <w:rPr>
          <w:rFonts w:ascii="Palatino Linotype" w:eastAsia="Palatino Linotype" w:hAnsi="Palatino Linotype" w:cs="Palatino Linotype"/>
          <w:b/>
          <w:sz w:val="22"/>
        </w:rPr>
        <w:t>05984/INFOEM/IP/RR/2021</w:t>
      </w:r>
      <w:r w:rsidR="00D96C33">
        <w:rPr>
          <w:rFonts w:ascii="Palatino Linotype" w:eastAsia="Palatino Linotype" w:hAnsi="Palatino Linotype" w:cs="Palatino Linotype"/>
        </w:rPr>
        <w:t xml:space="preserve">, sin embargo, por cuanto hace al recurso de revisión </w:t>
      </w:r>
      <w:r w:rsidR="0025523A" w:rsidRPr="0025523A">
        <w:rPr>
          <w:rFonts w:ascii="Palatino Linotype" w:eastAsia="Palatino Linotype" w:hAnsi="Palatino Linotype" w:cs="Palatino Linotype"/>
          <w:b/>
          <w:sz w:val="22"/>
        </w:rPr>
        <w:t>05986/INFOEM/IP/RR/2021</w:t>
      </w:r>
      <w:r w:rsidR="0025523A">
        <w:rPr>
          <w:rFonts w:ascii="Palatino Linotype" w:eastAsia="Palatino Linotype" w:hAnsi="Palatino Linotype" w:cs="Palatino Linotype"/>
          <w:b/>
          <w:sz w:val="22"/>
        </w:rPr>
        <w:t xml:space="preserve">, </w:t>
      </w:r>
      <w:r w:rsidR="00D96C33">
        <w:rPr>
          <w:rFonts w:ascii="Palatino Linotype" w:eastAsia="Palatino Linotype" w:hAnsi="Palatino Linotype" w:cs="Palatino Linotype"/>
        </w:rPr>
        <w:t>el Sujeto Obligado remitió los archivos electrónicos que se describen a continuación</w:t>
      </w:r>
      <w:r>
        <w:rPr>
          <w:rFonts w:ascii="Palatino Linotype" w:eastAsia="Palatino Linotype" w:hAnsi="Palatino Linotype" w:cs="Palatino Linotype"/>
        </w:rPr>
        <w:t>:</w:t>
      </w:r>
    </w:p>
    <w:p w:rsidR="00D96C33" w:rsidRPr="00D96C33" w:rsidRDefault="001A0B5D" w:rsidP="00D96C33">
      <w:pPr>
        <w:spacing w:before="240" w:after="240" w:line="360" w:lineRule="auto"/>
        <w:jc w:val="both"/>
        <w:rPr>
          <w:rFonts w:ascii="Palatino Linotype" w:eastAsia="Palatino Linotype" w:hAnsi="Palatino Linotype" w:cs="Palatino Linotype"/>
          <w:sz w:val="22"/>
        </w:rPr>
      </w:pPr>
      <w:r w:rsidRPr="00D96C33">
        <w:rPr>
          <w:rFonts w:ascii="Palatino Linotype" w:eastAsia="Palatino Linotype" w:hAnsi="Palatino Linotype" w:cs="Palatino Linotype"/>
          <w:sz w:val="22"/>
        </w:rPr>
        <w:t xml:space="preserve"> </w:t>
      </w:r>
      <w:r w:rsidR="00D96C33" w:rsidRPr="00D96C33">
        <w:rPr>
          <w:rFonts w:ascii="Palatino Linotype" w:eastAsia="Palatino Linotype" w:hAnsi="Palatino Linotype" w:cs="Palatino Linotype"/>
          <w:b/>
          <w:sz w:val="22"/>
        </w:rPr>
        <w:t>Recurso de revisión</w:t>
      </w:r>
      <w:r w:rsidR="00D96C33" w:rsidRPr="00D96C33">
        <w:rPr>
          <w:rFonts w:ascii="Palatino Linotype" w:eastAsia="Palatino Linotype" w:hAnsi="Palatino Linotype" w:cs="Palatino Linotype"/>
          <w:sz w:val="22"/>
        </w:rPr>
        <w:t xml:space="preserve"> </w:t>
      </w:r>
      <w:r w:rsidR="00D96C33" w:rsidRPr="00D96C33">
        <w:rPr>
          <w:rFonts w:ascii="Palatino Linotype" w:eastAsia="Palatino Linotype" w:hAnsi="Palatino Linotype" w:cs="Palatino Linotype"/>
          <w:b/>
          <w:sz w:val="22"/>
        </w:rPr>
        <w:t>05984/INFOEM/IP/RR/2021:</w:t>
      </w:r>
    </w:p>
    <w:p w:rsidR="0025523A" w:rsidRPr="00A7563C" w:rsidRDefault="00D96C33" w:rsidP="00A7563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extent cx="5969018" cy="17430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5068" cy="1744842"/>
                    </a:xfrm>
                    <a:prstGeom prst="rect">
                      <a:avLst/>
                    </a:prstGeom>
                    <a:noFill/>
                    <a:ln>
                      <a:noFill/>
                    </a:ln>
                  </pic:spPr>
                </pic:pic>
              </a:graphicData>
            </a:graphic>
          </wp:inline>
        </w:drawing>
      </w:r>
    </w:p>
    <w:p w:rsidR="00BD26AA" w:rsidRDefault="001A0B5D">
      <w:pPr>
        <w:spacing w:before="240" w:after="240"/>
        <w:ind w:left="567" w:right="49"/>
        <w:jc w:val="both"/>
        <w:rPr>
          <w:rFonts w:ascii="Palatino Linotype" w:eastAsia="Palatino Linotype" w:hAnsi="Palatino Linotype" w:cs="Palatino Linotype"/>
        </w:rPr>
      </w:pPr>
      <w:r>
        <w:rPr>
          <w:rFonts w:ascii="Palatino Linotype" w:eastAsia="Palatino Linotype" w:hAnsi="Palatino Linotype" w:cs="Palatino Linotype"/>
          <w:b/>
          <w:sz w:val="22"/>
          <w:szCs w:val="22"/>
        </w:rPr>
        <w:lastRenderedPageBreak/>
        <w:t>Recurso de revisión</w:t>
      </w:r>
      <w:r>
        <w:rPr>
          <w:rFonts w:ascii="Palatino Linotype" w:eastAsia="Palatino Linotype" w:hAnsi="Palatino Linotype" w:cs="Palatino Linotype"/>
          <w:sz w:val="22"/>
          <w:szCs w:val="22"/>
        </w:rPr>
        <w:t xml:space="preserve"> </w:t>
      </w:r>
      <w:r w:rsidR="0025523A" w:rsidRPr="0025523A">
        <w:rPr>
          <w:rFonts w:ascii="Palatino Linotype" w:eastAsia="Palatino Linotype" w:hAnsi="Palatino Linotype" w:cs="Palatino Linotype"/>
          <w:b/>
          <w:sz w:val="22"/>
          <w:szCs w:val="22"/>
        </w:rPr>
        <w:t>05986/INFOEM/IP/RR/2021</w:t>
      </w:r>
      <w:r>
        <w:rPr>
          <w:rFonts w:ascii="Palatino Linotype" w:eastAsia="Palatino Linotype" w:hAnsi="Palatino Linotype" w:cs="Palatino Linotype"/>
          <w:b/>
          <w:sz w:val="22"/>
          <w:szCs w:val="22"/>
        </w:rPr>
        <w:t>:</w:t>
      </w:r>
    </w:p>
    <w:p w:rsidR="00E66F23" w:rsidRDefault="00E66F23" w:rsidP="00F617A7">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 xml:space="preserve">“R.R. 05986-2021.pdf”: </w:t>
      </w:r>
      <w:r w:rsidR="00F617A7">
        <w:rPr>
          <w:rFonts w:ascii="Palatino Linotype" w:eastAsia="Palatino Linotype" w:hAnsi="Palatino Linotype" w:cs="Palatino Linotype"/>
        </w:rPr>
        <w:t>Oficio dirigido al solicitante mediante el cual se hace de su conocimiento la respuesta emitida por la Dirección de Desarrollo Urbano y Obras Públicas.</w:t>
      </w:r>
    </w:p>
    <w:p w:rsidR="00D96C33" w:rsidRDefault="00FA35FA" w:rsidP="00FA35FA">
      <w:pPr>
        <w:spacing w:before="240" w:after="240" w:line="360" w:lineRule="auto"/>
        <w:ind w:left="567" w:right="900"/>
        <w:jc w:val="both"/>
        <w:rPr>
          <w:rFonts w:ascii="Palatino Linotype" w:eastAsia="Palatino Linotype" w:hAnsi="Palatino Linotype" w:cs="Palatino Linotype"/>
          <w:b/>
          <w:i/>
        </w:rPr>
      </w:pPr>
      <w:r>
        <w:rPr>
          <w:rFonts w:ascii="Palatino Linotype" w:eastAsia="Palatino Linotype" w:hAnsi="Palatino Linotype" w:cs="Palatino Linotype"/>
          <w:noProof/>
          <w:lang w:val="es-MX" w:eastAsia="es-MX"/>
        </w:rPr>
        <w:drawing>
          <wp:inline distT="0" distB="0" distL="0" distR="0" wp14:anchorId="1C7B67F8" wp14:editId="455053E2">
            <wp:extent cx="5242341" cy="5429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6618" cy="5454392"/>
                    </a:xfrm>
                    <a:prstGeom prst="rect">
                      <a:avLst/>
                    </a:prstGeom>
                    <a:noFill/>
                    <a:ln>
                      <a:noFill/>
                    </a:ln>
                  </pic:spPr>
                </pic:pic>
              </a:graphicData>
            </a:graphic>
          </wp:inline>
        </w:drawing>
      </w:r>
      <w:r>
        <w:rPr>
          <w:rFonts w:ascii="Palatino Linotype" w:eastAsia="Palatino Linotype" w:hAnsi="Palatino Linotype" w:cs="Palatino Linotype"/>
          <w:b/>
          <w:i/>
        </w:rPr>
        <w:t xml:space="preserve"> </w:t>
      </w:r>
    </w:p>
    <w:p w:rsidR="00F617A7" w:rsidRDefault="00F617A7" w:rsidP="00FA35FA">
      <w:pPr>
        <w:spacing w:before="240" w:after="240" w:line="360" w:lineRule="auto"/>
        <w:ind w:left="567" w:right="900"/>
        <w:jc w:val="both"/>
        <w:rPr>
          <w:rFonts w:ascii="Palatino Linotype" w:eastAsia="Palatino Linotype" w:hAnsi="Palatino Linotype" w:cs="Palatino Linotype"/>
        </w:rPr>
      </w:pPr>
      <w:r w:rsidRPr="00D96C33">
        <w:rPr>
          <w:rFonts w:ascii="Palatino Linotype" w:eastAsia="Palatino Linotype" w:hAnsi="Palatino Linotype" w:cs="Palatino Linotype"/>
          <w:b/>
          <w:i/>
          <w:sz w:val="22"/>
        </w:rPr>
        <w:lastRenderedPageBreak/>
        <w:t>“</w:t>
      </w:r>
      <w:r w:rsidR="00E66F23" w:rsidRPr="00D96C33">
        <w:rPr>
          <w:rFonts w:ascii="Palatino Linotype" w:eastAsia="Palatino Linotype" w:hAnsi="Palatino Linotype" w:cs="Palatino Linotype"/>
          <w:b/>
          <w:i/>
          <w:sz w:val="22"/>
        </w:rPr>
        <w:t>Respuesta del área 05986-2021.pdf</w:t>
      </w:r>
      <w:r w:rsidRPr="00D96C33">
        <w:rPr>
          <w:rFonts w:ascii="Palatino Linotype" w:eastAsia="Palatino Linotype" w:hAnsi="Palatino Linotype" w:cs="Palatino Linotype"/>
          <w:b/>
          <w:i/>
          <w:sz w:val="22"/>
        </w:rPr>
        <w:t xml:space="preserve">”: </w:t>
      </w:r>
      <w:r>
        <w:rPr>
          <w:rFonts w:ascii="Palatino Linotype" w:eastAsia="Palatino Linotype" w:hAnsi="Palatino Linotype" w:cs="Palatino Linotype"/>
        </w:rPr>
        <w:t>Documento de dos fojas que reviste interés al presente estudio por contener un oficio signado por el Director de Desarrollo Urbano y Obras Públicas en el que manifiesta que se realizó una búsqueda exhaustiva y no se encontró información relacionada con el ejercicio fiscal 2018, asimismo el Subdirector de Obras Públicas ratifica este pronunciamiento.</w:t>
      </w:r>
    </w:p>
    <w:p w:rsidR="00F617A7" w:rsidRDefault="00F617A7" w:rsidP="00F617A7">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extent cx="5234815" cy="5162550"/>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3602" cy="5171216"/>
                    </a:xfrm>
                    <a:prstGeom prst="rect">
                      <a:avLst/>
                    </a:prstGeom>
                    <a:noFill/>
                    <a:ln>
                      <a:noFill/>
                    </a:ln>
                  </pic:spPr>
                </pic:pic>
              </a:graphicData>
            </a:graphic>
          </wp:inline>
        </w:drawing>
      </w:r>
    </w:p>
    <w:p w:rsidR="00F617A7" w:rsidRDefault="00F617A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Información que se puso a disposición del </w:t>
      </w:r>
      <w:r w:rsidRPr="00F617A7">
        <w:rPr>
          <w:rFonts w:ascii="Palatino Linotype" w:eastAsia="Palatino Linotype" w:hAnsi="Palatino Linotype" w:cs="Palatino Linotype"/>
          <w:b/>
        </w:rPr>
        <w:t>Recurrente</w:t>
      </w:r>
      <w:r>
        <w:rPr>
          <w:rFonts w:ascii="Palatino Linotype" w:eastAsia="Palatino Linotype" w:hAnsi="Palatino Linotype" w:cs="Palatino Linotype"/>
        </w:rPr>
        <w:t xml:space="preserve"> mediante acuerdo de fecha siete de marzo de dos mil veintidós.</w:t>
      </w:r>
    </w:p>
    <w:p w:rsidR="00BD26AA" w:rsidRDefault="001A0B5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omitió realizar manifestaciones, formular alegatos y ofrecer algún medio de prueba, por lo tanto se tiene por precluido su derecho para tal efecto.</w:t>
      </w:r>
    </w:p>
    <w:p w:rsidR="00BD26AA" w:rsidRDefault="00A7563C">
      <w:pPr>
        <w:widowControl w:val="0"/>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8. Ampliación</w:t>
      </w:r>
      <w:r w:rsidR="001A0B5D">
        <w:rPr>
          <w:rFonts w:ascii="Palatino Linotype" w:eastAsia="Palatino Linotype" w:hAnsi="Palatino Linotype" w:cs="Palatino Linotype"/>
          <w:b/>
        </w:rPr>
        <w:t xml:space="preserve"> de plazo. </w:t>
      </w:r>
      <w:r w:rsidR="001A0B5D">
        <w:rPr>
          <w:rFonts w:ascii="Palatino Linotype" w:eastAsia="Palatino Linotype" w:hAnsi="Palatino Linotype" w:cs="Palatino Linotype"/>
        </w:rPr>
        <w:t xml:space="preserve">En fecha </w:t>
      </w:r>
      <w:r w:rsidR="00F617A7" w:rsidRPr="00D96C33">
        <w:rPr>
          <w:rFonts w:ascii="Palatino Linotype" w:eastAsia="Palatino Linotype" w:hAnsi="Palatino Linotype" w:cs="Palatino Linotype"/>
          <w:b/>
        </w:rPr>
        <w:t>ocho de marzo</w:t>
      </w:r>
      <w:r w:rsidR="001A0B5D">
        <w:rPr>
          <w:rFonts w:ascii="Palatino Linotype" w:eastAsia="Palatino Linotype" w:hAnsi="Palatino Linotype" w:cs="Palatino Linotype"/>
          <w:b/>
        </w:rPr>
        <w:t xml:space="preserve"> de dos mil veintidós</w:t>
      </w:r>
      <w:r w:rsidR="001A0B5D">
        <w:rPr>
          <w:rFonts w:ascii="Palatino Linotype" w:eastAsia="Palatino Linotype" w:hAnsi="Palatino Linotype" w:cs="Palatino Linotype"/>
        </w:rPr>
        <w:t>, este Instituto notificó a las partes el Acuerdo de Ampliación de Plazo para resolver los medios de impugnación que nos ocupan, en términos de lo dispuesto por el artículo 181, párrafo tercero de la Ley de Transparencia y Acceso a la Información Pública del Estado de México y Municipios; lo anterior, dado el incremento en el número de recursos de revisión promovidos ante este Instituto de Transparencia, Acceso a la Información Pública y Protección de Datos Personales del Estado de México y Municipios y con la finalidad de realizar un análisis exhaustivo de las constancias que obran en el expediente electrónico, adoptando las medidas pertinentes, a fin de aminorar los efectos que conlleva.</w:t>
      </w:r>
    </w:p>
    <w:p w:rsidR="00BD26AA" w:rsidRPr="00F617A7" w:rsidRDefault="001A0B5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9. Cierres de Instrucción. </w:t>
      </w:r>
      <w:r>
        <w:rPr>
          <w:rFonts w:ascii="Palatino Linotype" w:eastAsia="Palatino Linotype" w:hAnsi="Palatino Linotype" w:cs="Palatino Linotype"/>
        </w:rPr>
        <w:t xml:space="preserve">El </w:t>
      </w:r>
      <w:r w:rsidR="00F617A7">
        <w:rPr>
          <w:rFonts w:ascii="Palatino Linotype" w:eastAsia="Palatino Linotype" w:hAnsi="Palatino Linotype" w:cs="Palatino Linotype"/>
          <w:b/>
        </w:rPr>
        <w:t>once</w:t>
      </w:r>
      <w:r>
        <w:rPr>
          <w:rFonts w:ascii="Palatino Linotype" w:eastAsia="Palatino Linotype" w:hAnsi="Palatino Linotype" w:cs="Palatino Linotype"/>
          <w:b/>
        </w:rPr>
        <w:t xml:space="preserve"> de marzo del año dos mil veintidós</w:t>
      </w:r>
      <w:r>
        <w:rPr>
          <w:rFonts w:ascii="Palatino Linotype" w:eastAsia="Palatino Linotype" w:hAnsi="Palatino Linotype" w:cs="Palatino Linotype"/>
        </w:rPr>
        <w:t>, con fundamento en lo establecido en los artículos 185, fracción VI de la Ley de Transparencia y Acceso a la Información Pública del Estado de México y Municipios, al no existir trámite pendiente por realizar y haber sido sustanciados los medios de impugnación se acordó el cierre de instrucción y se procede a formular la resolución que en derecho corresponda.</w:t>
      </w:r>
    </w:p>
    <w:p w:rsidR="00BD26AA" w:rsidRDefault="001A0B5D">
      <w:pPr>
        <w:numPr>
          <w:ilvl w:val="0"/>
          <w:numId w:val="6"/>
        </w:numPr>
        <w:pBdr>
          <w:top w:val="nil"/>
          <w:left w:val="nil"/>
          <w:bottom w:val="nil"/>
          <w:right w:val="nil"/>
          <w:between w:val="nil"/>
        </w:pBdr>
        <w:spacing w:before="240" w:after="240" w:line="360" w:lineRule="auto"/>
        <w:ind w:left="567" w:hanging="425"/>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lastRenderedPageBreak/>
        <w:t>C O N S I D E R A N D O:</w:t>
      </w:r>
    </w:p>
    <w:p w:rsidR="00BD26AA" w:rsidRDefault="00D96C3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sidR="001A0B5D">
        <w:rPr>
          <w:rFonts w:ascii="Palatino Linotype" w:eastAsia="Palatino Linotype" w:hAnsi="Palatino Linotype" w:cs="Palatino Linotype"/>
          <w:b/>
        </w:rPr>
        <w:t xml:space="preserve">Competencia. </w:t>
      </w:r>
      <w:r w:rsidR="001A0B5D">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Pública; 7, 9, fracciones I y XXIV y 11 del Reglamento Interior del Instituto de Transparencia, Acceso a la Información Pública y Protección de Datos Personales del Estado de México y Municipios.</w:t>
      </w:r>
    </w:p>
    <w:p w:rsidR="00BD26AA" w:rsidRDefault="001A0B5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Oportunidad y Procedibilidad. </w:t>
      </w:r>
      <w:r>
        <w:rPr>
          <w:rFonts w:ascii="Palatino Linotype" w:eastAsia="Palatino Linotype" w:hAnsi="Palatino Linotype" w:cs="Palatino Linotype"/>
        </w:rPr>
        <w:t>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rsidR="00BD26AA" w:rsidRDefault="001A0B5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ya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proporcionó respuestas a las solicitudes de información el </w:t>
      </w:r>
      <w:r w:rsidR="002E1D97">
        <w:rPr>
          <w:rFonts w:ascii="Palatino Linotype" w:eastAsia="Palatino Linotype" w:hAnsi="Palatino Linotype" w:cs="Palatino Linotype"/>
          <w:b/>
        </w:rPr>
        <w:t>veinticuatro de nov</w:t>
      </w:r>
      <w:r>
        <w:rPr>
          <w:rFonts w:ascii="Palatino Linotype" w:eastAsia="Palatino Linotype" w:hAnsi="Palatino Linotype" w:cs="Palatino Linotype"/>
          <w:b/>
        </w:rPr>
        <w:t>iembre de dos mil veintiuno</w:t>
      </w:r>
      <w:r>
        <w:rPr>
          <w:rFonts w:ascii="Palatino Linotype" w:eastAsia="Palatino Linotype" w:hAnsi="Palatino Linotype" w:cs="Palatino Linotype"/>
        </w:rPr>
        <w:t xml:space="preserve">, mientras que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los recursos de revisión el </w:t>
      </w:r>
      <w:r w:rsidR="002E1D97" w:rsidRPr="00D96C33">
        <w:rPr>
          <w:rFonts w:ascii="Palatino Linotype" w:eastAsia="Palatino Linotype" w:hAnsi="Palatino Linotype" w:cs="Palatino Linotype"/>
          <w:b/>
          <w:color w:val="000000" w:themeColor="text1"/>
        </w:rPr>
        <w:t>treinta</w:t>
      </w:r>
      <w:r w:rsidR="00FA35FA">
        <w:rPr>
          <w:rFonts w:ascii="Palatino Linotype" w:eastAsia="Palatino Linotype" w:hAnsi="Palatino Linotype" w:cs="Palatino Linotype"/>
          <w:b/>
          <w:color w:val="FF0000"/>
        </w:rPr>
        <w:t xml:space="preserve"> </w:t>
      </w:r>
      <w:r w:rsidR="00D96C33" w:rsidRPr="00D96C33">
        <w:rPr>
          <w:rFonts w:ascii="Palatino Linotype" w:eastAsia="Palatino Linotype" w:hAnsi="Palatino Linotype" w:cs="Palatino Linotype"/>
          <w:b/>
          <w:color w:val="000000" w:themeColor="text1"/>
        </w:rPr>
        <w:lastRenderedPageBreak/>
        <w:t>de nov</w:t>
      </w:r>
      <w:r w:rsidRPr="00D96C33">
        <w:rPr>
          <w:rFonts w:ascii="Palatino Linotype" w:eastAsia="Palatino Linotype" w:hAnsi="Palatino Linotype" w:cs="Palatino Linotype"/>
          <w:b/>
          <w:color w:val="000000" w:themeColor="text1"/>
        </w:rPr>
        <w:t xml:space="preserve">iembre </w:t>
      </w:r>
      <w:r>
        <w:rPr>
          <w:rFonts w:ascii="Palatino Linotype" w:eastAsia="Palatino Linotype" w:hAnsi="Palatino Linotype" w:cs="Palatino Linotype"/>
          <w:b/>
        </w:rPr>
        <w:t>del mismo año</w:t>
      </w:r>
      <w:r>
        <w:rPr>
          <w:rFonts w:ascii="Palatino Linotype" w:eastAsia="Palatino Linotype" w:hAnsi="Palatino Linotype" w:cs="Palatino Linotype"/>
        </w:rPr>
        <w:t xml:space="preserve">, esto es al </w:t>
      </w:r>
      <w:r w:rsidR="00D8086A" w:rsidRPr="00D96C33">
        <w:rPr>
          <w:rFonts w:ascii="Palatino Linotype" w:eastAsia="Palatino Linotype" w:hAnsi="Palatino Linotype" w:cs="Palatino Linotype"/>
          <w:b/>
          <w:color w:val="000000" w:themeColor="text1"/>
        </w:rPr>
        <w:t>cuarto</w:t>
      </w:r>
      <w:r w:rsidRPr="00D96C33">
        <w:rPr>
          <w:rFonts w:ascii="Palatino Linotype" w:eastAsia="Palatino Linotype" w:hAnsi="Palatino Linotype" w:cs="Palatino Linotype"/>
          <w:b/>
          <w:color w:val="000000" w:themeColor="text1"/>
        </w:rPr>
        <w:t xml:space="preserve"> día </w:t>
      </w:r>
      <w:r w:rsidR="00D8086A" w:rsidRPr="00D96C33">
        <w:rPr>
          <w:rFonts w:ascii="Palatino Linotype" w:eastAsia="Palatino Linotype" w:hAnsi="Palatino Linotype" w:cs="Palatino Linotype"/>
          <w:b/>
          <w:color w:val="000000" w:themeColor="text1"/>
        </w:rPr>
        <w:t xml:space="preserve">hábil </w:t>
      </w:r>
      <w:r w:rsidRPr="00D96C33">
        <w:rPr>
          <w:rFonts w:ascii="Palatino Linotype" w:eastAsia="Palatino Linotype" w:hAnsi="Palatino Linotype" w:cs="Palatino Linotype"/>
          <w:b/>
          <w:color w:val="000000" w:themeColor="text1"/>
        </w:rPr>
        <w:t>posterior</w:t>
      </w:r>
      <w:r w:rsidRPr="00D96C33">
        <w:rPr>
          <w:rFonts w:ascii="Palatino Linotype" w:eastAsia="Palatino Linotype" w:hAnsi="Palatino Linotype" w:cs="Palatino Linotype"/>
          <w:color w:val="000000" w:themeColor="text1"/>
        </w:rPr>
        <w:t xml:space="preserve"> </w:t>
      </w:r>
      <w:r>
        <w:rPr>
          <w:rFonts w:ascii="Palatino Linotype" w:eastAsia="Palatino Linotype" w:hAnsi="Palatino Linotype" w:cs="Palatino Linotype"/>
        </w:rPr>
        <w:t>al que se notificaron las respuestas respectivamente; por ende, dentro del término legal que prevé el arábigo de referencia.</w:t>
      </w:r>
    </w:p>
    <w:p w:rsidR="00BD26AA" w:rsidRDefault="001A0B5D">
      <w:pPr>
        <w:spacing w:before="240" w:after="240" w:line="360" w:lineRule="auto"/>
        <w:ind w:right="-150"/>
        <w:jc w:val="both"/>
        <w:rPr>
          <w:rFonts w:ascii="Palatino Linotype" w:eastAsia="Palatino Linotype" w:hAnsi="Palatino Linotype" w:cs="Palatino Linotype"/>
          <w:b/>
        </w:rPr>
      </w:pPr>
      <w:r>
        <w:rPr>
          <w:rFonts w:ascii="Palatino Linotype" w:eastAsia="Palatino Linotype" w:hAnsi="Palatino Linotype" w:cs="Palatino Linotype"/>
        </w:rPr>
        <w:t>Asimismo, se acreditan los elementos formales exigidos por el artículo 180 de la Ley de Transparencia y Acceso a la Información Pública del Estado de México y Municipios, en atención a que fue presentado mediante el formato visible en el</w:t>
      </w:r>
      <w:r>
        <w:rPr>
          <w:rFonts w:ascii="Palatino Linotype" w:eastAsia="Palatino Linotype" w:hAnsi="Palatino Linotype" w:cs="Palatino Linotype"/>
          <w:b/>
        </w:rPr>
        <w:t xml:space="preserve"> SAIMEX. </w:t>
      </w:r>
    </w:p>
    <w:p w:rsidR="00BD26AA" w:rsidRDefault="001A0B5D">
      <w:pPr>
        <w:spacing w:before="240"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w:t>
      </w:r>
      <w:r w:rsidR="00A7563C">
        <w:rPr>
          <w:rFonts w:ascii="Palatino Linotype" w:eastAsia="Palatino Linotype" w:hAnsi="Palatino Linotype" w:cs="Palatino Linotype"/>
        </w:rPr>
        <w:t xml:space="preserve"> procedente la interposición de los</w:t>
      </w:r>
      <w:r>
        <w:rPr>
          <w:rFonts w:ascii="Palatino Linotype" w:eastAsia="Palatino Linotype" w:hAnsi="Palatino Linotype" w:cs="Palatino Linotype"/>
        </w:rPr>
        <w:t xml:space="preserve"> recurso</w:t>
      </w:r>
      <w:r w:rsidR="00A7563C">
        <w:rPr>
          <w:rFonts w:ascii="Palatino Linotype" w:eastAsia="Palatino Linotype" w:hAnsi="Palatino Linotype" w:cs="Palatino Linotype"/>
        </w:rPr>
        <w:t>s</w:t>
      </w:r>
      <w:r>
        <w:rPr>
          <w:rFonts w:ascii="Palatino Linotype" w:eastAsia="Palatino Linotype" w:hAnsi="Palatino Linotype" w:cs="Palatino Linotype"/>
        </w:rPr>
        <w:t xml:space="preserve">, según lo manifestado por el </w:t>
      </w:r>
      <w:r w:rsidRPr="00FA21DC">
        <w:rPr>
          <w:rFonts w:ascii="Palatino Linotype" w:eastAsia="Palatino Linotype" w:hAnsi="Palatino Linotype" w:cs="Palatino Linotype"/>
          <w:b/>
        </w:rPr>
        <w:t>Recurrente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sus motivos de inconformidad, de acuerdo </w:t>
      </w:r>
      <w:r w:rsidR="00B823EC">
        <w:rPr>
          <w:rFonts w:ascii="Palatino Linotype" w:eastAsia="Palatino Linotype" w:hAnsi="Palatino Linotype" w:cs="Palatino Linotype"/>
        </w:rPr>
        <w:t>al artículo 179, fracción</w:t>
      </w:r>
      <w:r w:rsidR="00D8086A">
        <w:rPr>
          <w:rFonts w:ascii="Palatino Linotype" w:eastAsia="Palatino Linotype" w:hAnsi="Palatino Linotype" w:cs="Palatino Linotype"/>
        </w:rPr>
        <w:t xml:space="preserve"> V</w:t>
      </w:r>
      <w:r>
        <w:rPr>
          <w:rFonts w:ascii="Palatino Linotype" w:eastAsia="Palatino Linotype" w:hAnsi="Palatino Linotype" w:cs="Palatino Linotype"/>
        </w:rPr>
        <w:t xml:space="preserve"> del ordenamiento legal citado, que a la letra dice:</w:t>
      </w:r>
    </w:p>
    <w:p w:rsidR="00BD26AA" w:rsidRDefault="001A0B5D" w:rsidP="00D8086A">
      <w:pPr>
        <w:tabs>
          <w:tab w:val="left" w:pos="7088"/>
        </w:tabs>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D8086A" w:rsidRDefault="001A0B5D" w:rsidP="00D8086A">
      <w:pPr>
        <w:tabs>
          <w:tab w:val="left" w:pos="7088"/>
        </w:tabs>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t xml:space="preserve"> </w:t>
      </w:r>
    </w:p>
    <w:p w:rsidR="00D8086A" w:rsidRDefault="00D8086A" w:rsidP="00D8086A">
      <w:pPr>
        <w:tabs>
          <w:tab w:val="left" w:pos="7088"/>
        </w:tabs>
        <w:spacing w:before="240" w:after="240"/>
        <w:ind w:left="567" w:right="618"/>
        <w:jc w:val="both"/>
        <w:rPr>
          <w:rFonts w:ascii="Palatino Linotype" w:eastAsia="Palatino Linotype" w:hAnsi="Palatino Linotype" w:cs="Palatino Linotype"/>
          <w:i/>
          <w:sz w:val="22"/>
          <w:szCs w:val="22"/>
        </w:rPr>
      </w:pPr>
      <w:r w:rsidRPr="00D8086A">
        <w:rPr>
          <w:rFonts w:ascii="Palatino Linotype" w:eastAsia="Palatino Linotype" w:hAnsi="Palatino Linotype" w:cs="Palatino Linotype"/>
          <w:i/>
          <w:sz w:val="22"/>
          <w:szCs w:val="22"/>
        </w:rPr>
        <w:t>V. La entrega de información incompleta;</w:t>
      </w:r>
    </w:p>
    <w:p w:rsidR="00BD26AA" w:rsidRPr="00D8086A" w:rsidRDefault="001A0B5D" w:rsidP="00D8086A">
      <w:pPr>
        <w:tabs>
          <w:tab w:val="left" w:pos="7088"/>
        </w:tabs>
        <w:spacing w:before="240" w:after="240"/>
        <w:ind w:left="567" w:right="616"/>
        <w:jc w:val="both"/>
        <w:rPr>
          <w:rFonts w:ascii="Palatino Linotype" w:eastAsia="Palatino Linotype" w:hAnsi="Palatino Linotype" w:cs="Palatino Linotype"/>
          <w:i/>
          <w:sz w:val="22"/>
          <w:szCs w:val="22"/>
        </w:rPr>
      </w:pPr>
      <w:r w:rsidRPr="00D8086A">
        <w:rPr>
          <w:rFonts w:ascii="Palatino Linotype" w:eastAsia="Palatino Linotype" w:hAnsi="Palatino Linotype" w:cs="Palatino Linotype"/>
          <w:i/>
          <w:sz w:val="22"/>
          <w:szCs w:val="22"/>
        </w:rPr>
        <w:t>…”</w:t>
      </w:r>
    </w:p>
    <w:p w:rsidR="00BD26AA" w:rsidRDefault="001A0B5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las constancias que integran los expedientes electrónicos se advierte que el tema sobre el que este Instituto se pronunciará será: </w:t>
      </w:r>
      <w:r>
        <w:rPr>
          <w:rFonts w:ascii="Palatino Linotype" w:eastAsia="Palatino Linotype" w:hAnsi="Palatino Linotype" w:cs="Palatino Linotype"/>
          <w:b/>
        </w:rPr>
        <w:t xml:space="preserve">verificar si las respuestas otorgadas por el Sujeto Obligado son adecuadas y suficientes para satisfacer el derecho de acceso a la información pública </w:t>
      </w:r>
      <w:r>
        <w:rPr>
          <w:rFonts w:ascii="Palatino Linotype" w:eastAsia="Palatino Linotype" w:hAnsi="Palatino Linotype" w:cs="Palatino Linotype"/>
        </w:rPr>
        <w:t xml:space="preserve">del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rsidR="00BD26AA" w:rsidRPr="00D8086A" w:rsidRDefault="001A0B5D">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Cuarto. Estudio del asunto. </w:t>
      </w:r>
      <w:r>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BD26AA" w:rsidRDefault="001A0B5D">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BD26AA" w:rsidRDefault="001A0B5D">
      <w:pPr>
        <w:tabs>
          <w:tab w:val="left" w:pos="709"/>
        </w:tabs>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BD26AA" w:rsidRDefault="001A0B5D">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BD26AA" w:rsidRDefault="001A0B5D">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D26AA" w:rsidRDefault="001A0B5D">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rsidR="00BD26AA" w:rsidRDefault="001A0B5D">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D26AA" w:rsidRDefault="001A0B5D">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rsidR="00BD26AA" w:rsidRDefault="001A0B5D">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BD26AA" w:rsidRDefault="001A0B5D">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w:t>
      </w:r>
      <w:r>
        <w:rPr>
          <w:rFonts w:ascii="Palatino Linotype" w:eastAsia="Palatino Linotype" w:hAnsi="Palatino Linotype" w:cs="Palatino Linotype"/>
          <w:i/>
          <w:sz w:val="22"/>
          <w:szCs w:val="22"/>
        </w:rPr>
        <w:lastRenderedPageBreak/>
        <w:t xml:space="preserve">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D26AA" w:rsidRDefault="001A0B5D">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BD26AA" w:rsidRDefault="001A0B5D">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BD26AA" w:rsidRDefault="001A0B5D">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BD26AA" w:rsidRDefault="001A0B5D">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rsidR="00BD26AA" w:rsidRDefault="001A0B5D">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BD26AA" w:rsidRDefault="001A0B5D">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BD26AA" w:rsidRDefault="00BD26AA">
      <w:pPr>
        <w:ind w:left="851" w:right="851"/>
        <w:jc w:val="both"/>
        <w:rPr>
          <w:rFonts w:ascii="Palatino Linotype" w:eastAsia="Palatino Linotype" w:hAnsi="Palatino Linotype" w:cs="Palatino Linotype"/>
          <w:i/>
          <w:sz w:val="22"/>
          <w:szCs w:val="22"/>
        </w:rPr>
      </w:pPr>
    </w:p>
    <w:p w:rsidR="00BD26AA" w:rsidRDefault="001A0B5D">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BD26AA" w:rsidRDefault="001A0B5D">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BD26AA" w:rsidRDefault="001A0B5D">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BD26AA" w:rsidRDefault="001A0B5D">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BD26AA" w:rsidRDefault="001A0B5D">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BD26AA" w:rsidRDefault="00BD26AA">
      <w:pPr>
        <w:ind w:right="851"/>
        <w:jc w:val="both"/>
        <w:rPr>
          <w:rFonts w:ascii="Palatino Linotype" w:eastAsia="Palatino Linotype" w:hAnsi="Palatino Linotype" w:cs="Palatino Linotype"/>
          <w:i/>
          <w:sz w:val="22"/>
          <w:szCs w:val="22"/>
        </w:rPr>
      </w:pPr>
    </w:p>
    <w:p w:rsidR="00BD26AA" w:rsidRDefault="001A0B5D">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goza toda persona sin discriminación alguna, el cual se ejerce ante </w:t>
      </w:r>
      <w:r>
        <w:rPr>
          <w:rFonts w:ascii="Palatino Linotype" w:eastAsia="Palatino Linotype" w:hAnsi="Palatino Linotype" w:cs="Palatino Linotype"/>
        </w:rPr>
        <w:lastRenderedPageBreak/>
        <w:t xml:space="preserve">los Poderes del Estado, entidades, dependencias o cualquiera persona física o moral que reciba y ejerza recursos públicos, siendo pública toda la información que posean con las excepciones enmarcadas, para lo cual queda demostrado que el presente </w:t>
      </w:r>
      <w:r w:rsidR="00FA21DC" w:rsidRPr="00FA21DC">
        <w:rPr>
          <w:rFonts w:ascii="Palatino Linotype" w:eastAsia="Palatino Linotype" w:hAnsi="Palatino Linotype" w:cs="Palatino Linotype"/>
          <w:b/>
          <w:color w:val="000000" w:themeColor="text1"/>
        </w:rPr>
        <w:t>Sujeto Obligado</w:t>
      </w:r>
      <w:r w:rsidR="00FA21DC" w:rsidRPr="00FA21DC">
        <w:rPr>
          <w:rFonts w:ascii="Palatino Linotype" w:eastAsia="Palatino Linotype" w:hAnsi="Palatino Linotype" w:cs="Palatino Linotype"/>
          <w:color w:val="000000" w:themeColor="text1"/>
        </w:rPr>
        <w:t xml:space="preserve"> </w:t>
      </w:r>
      <w:r>
        <w:rPr>
          <w:rFonts w:ascii="Palatino Linotype" w:eastAsia="Palatino Linotype" w:hAnsi="Palatino Linotype" w:cs="Palatino Linotype"/>
        </w:rPr>
        <w:t>debe cumplir con dichos dispositivos legales.</w:t>
      </w:r>
    </w:p>
    <w:p w:rsidR="00BD26AA" w:rsidRDefault="001A0B5D">
      <w:pPr>
        <w:spacing w:before="12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En primer lugar</w:t>
      </w:r>
      <w:r>
        <w:rPr>
          <w:rFonts w:ascii="Palatino Linotype" w:eastAsia="Palatino Linotype" w:hAnsi="Palatino Linotype" w:cs="Palatino Linotype"/>
        </w:rPr>
        <w:t>, es conveniente analizar si la</w:t>
      </w:r>
      <w:r w:rsidR="00A7563C">
        <w:rPr>
          <w:rFonts w:ascii="Palatino Linotype" w:eastAsia="Palatino Linotype" w:hAnsi="Palatino Linotype" w:cs="Palatino Linotype"/>
        </w:rPr>
        <w:t>s</w:t>
      </w:r>
      <w:r>
        <w:rPr>
          <w:rFonts w:ascii="Palatino Linotype" w:eastAsia="Palatino Linotype" w:hAnsi="Palatino Linotype" w:cs="Palatino Linotype"/>
        </w:rPr>
        <w:t xml:space="preserve"> respuesta</w:t>
      </w:r>
      <w:r w:rsidR="00A7563C">
        <w:rPr>
          <w:rFonts w:ascii="Palatino Linotype" w:eastAsia="Palatino Linotype" w:hAnsi="Palatino Linotype" w:cs="Palatino Linotype"/>
        </w:rPr>
        <w:t>s</w:t>
      </w:r>
      <w:r>
        <w:rPr>
          <w:rFonts w:ascii="Palatino Linotype" w:eastAsia="Palatino Linotype" w:hAnsi="Palatino Linotype" w:cs="Palatino Linotype"/>
        </w:rPr>
        <w:t xml:space="preserv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w:t>
      </w:r>
      <w:r w:rsidR="00A7563C">
        <w:rPr>
          <w:rFonts w:ascii="Palatino Linotype" w:eastAsia="Palatino Linotype" w:hAnsi="Palatino Linotype" w:cs="Palatino Linotype"/>
        </w:rPr>
        <w:t>n</w:t>
      </w:r>
      <w:r>
        <w:rPr>
          <w:rFonts w:ascii="Palatino Linotype" w:eastAsia="Palatino Linotype" w:hAnsi="Palatino Linotype" w:cs="Palatino Linotype"/>
        </w:rPr>
        <w:t xml:space="preserve"> con los requisitos y procedimientos del derecho de acceso a la información pública, en atención a que en la Ley de Transparencia y Acceso a la Información Pública del Estado de México y Municipios en su </w:t>
      </w:r>
      <w:r>
        <w:rPr>
          <w:rFonts w:ascii="Palatino Linotype" w:eastAsia="Palatino Linotype" w:hAnsi="Palatino Linotype" w:cs="Palatino Linotype"/>
          <w:color w:val="000000"/>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BD26AA" w:rsidRDefault="001A0B5D">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BD26AA" w:rsidRDefault="001A0B5D">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BD26AA" w:rsidRDefault="001A0B5D">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rsidR="00BD26AA" w:rsidRDefault="00BD26AA">
      <w:pPr>
        <w:ind w:left="709" w:right="760"/>
        <w:jc w:val="both"/>
        <w:rPr>
          <w:rFonts w:ascii="Palatino Linotype" w:eastAsia="Palatino Linotype" w:hAnsi="Palatino Linotype" w:cs="Palatino Linotype"/>
          <w:i/>
        </w:rPr>
      </w:pPr>
    </w:p>
    <w:p w:rsidR="00BD26AA" w:rsidRDefault="001A0B5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BD26AA" w:rsidRDefault="001A0B5D">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w:t>
      </w:r>
      <w:r w:rsidR="006B79B2">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b/>
          <w:i/>
          <w:sz w:val="22"/>
          <w:szCs w:val="22"/>
        </w:rPr>
        <w:t>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BD26AA" w:rsidRDefault="001A0B5D">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BD26AA" w:rsidRDefault="00BD26AA">
      <w:pPr>
        <w:spacing w:line="360" w:lineRule="auto"/>
        <w:ind w:right="-93"/>
        <w:jc w:val="both"/>
        <w:rPr>
          <w:rFonts w:ascii="Palatino Linotype" w:eastAsia="Palatino Linotype" w:hAnsi="Palatino Linotype" w:cs="Palatino Linotype"/>
          <w:color w:val="000000"/>
        </w:rPr>
      </w:pPr>
    </w:p>
    <w:p w:rsidR="00BD26AA" w:rsidRDefault="001A0B5D">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BD26AA" w:rsidRDefault="001A0B5D">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BD26AA" w:rsidRDefault="00BD26AA">
      <w:pPr>
        <w:spacing w:line="360" w:lineRule="auto"/>
        <w:ind w:right="49"/>
        <w:jc w:val="both"/>
        <w:rPr>
          <w:rFonts w:ascii="Palatino Linotype" w:eastAsia="Palatino Linotype" w:hAnsi="Palatino Linotype" w:cs="Palatino Linotype"/>
        </w:rPr>
      </w:pPr>
    </w:p>
    <w:p w:rsidR="00BD26AA" w:rsidRDefault="001A0B5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conviene mencionar que la Ley de Transparencia vigente en el Estado de México refiere: </w:t>
      </w:r>
    </w:p>
    <w:p w:rsidR="00BD26AA" w:rsidRDefault="001A0B5D">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Pr>
          <w:rFonts w:ascii="Palatino Linotype" w:eastAsia="Palatino Linotype" w:hAnsi="Palatino Linotype" w:cs="Palatino Linotype"/>
          <w:i/>
          <w:sz w:val="22"/>
          <w:szCs w:val="22"/>
        </w:rPr>
        <w:t xml:space="preserve"> y reutilización de la información que generen.</w:t>
      </w:r>
    </w:p>
    <w:p w:rsidR="00BD26AA" w:rsidRDefault="00BD26AA">
      <w:pPr>
        <w:ind w:left="851" w:right="851"/>
        <w:jc w:val="both"/>
        <w:rPr>
          <w:rFonts w:ascii="Palatino Linotype" w:eastAsia="Palatino Linotype" w:hAnsi="Palatino Linotype" w:cs="Palatino Linotype"/>
          <w:b/>
          <w:i/>
          <w:sz w:val="22"/>
          <w:szCs w:val="22"/>
        </w:rPr>
      </w:pPr>
    </w:p>
    <w:p w:rsidR="00BD26AA" w:rsidRDefault="001A0B5D">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 </w:t>
      </w:r>
      <w:r>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sz w:val="22"/>
          <w:szCs w:val="22"/>
        </w:rPr>
        <w:t>.</w:t>
      </w:r>
    </w:p>
    <w:p w:rsidR="00BD26AA" w:rsidRDefault="00BD26AA">
      <w:pPr>
        <w:ind w:left="851" w:right="851"/>
        <w:jc w:val="both"/>
        <w:rPr>
          <w:rFonts w:ascii="Palatino Linotype" w:eastAsia="Palatino Linotype" w:hAnsi="Palatino Linotype" w:cs="Palatino Linotype"/>
          <w:i/>
          <w:sz w:val="22"/>
          <w:szCs w:val="22"/>
        </w:rPr>
      </w:pPr>
    </w:p>
    <w:p w:rsidR="00BD26AA" w:rsidRDefault="001A0B5D">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rsidR="00BD26AA" w:rsidRDefault="00BD26AA">
      <w:pPr>
        <w:ind w:left="851" w:right="851"/>
        <w:jc w:val="both"/>
        <w:rPr>
          <w:rFonts w:ascii="Palatino Linotype" w:eastAsia="Palatino Linotype" w:hAnsi="Palatino Linotype" w:cs="Palatino Linotype"/>
          <w:i/>
          <w:sz w:val="22"/>
          <w:szCs w:val="22"/>
        </w:rPr>
      </w:pPr>
    </w:p>
    <w:p w:rsidR="00BD26AA" w:rsidRDefault="001A0B5D">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BD26AA" w:rsidRDefault="00BD26AA">
      <w:pPr>
        <w:ind w:left="851" w:right="851"/>
        <w:jc w:val="both"/>
        <w:rPr>
          <w:rFonts w:ascii="Palatino Linotype" w:eastAsia="Palatino Linotype" w:hAnsi="Palatino Linotype" w:cs="Palatino Linotype"/>
          <w:i/>
          <w:sz w:val="22"/>
          <w:szCs w:val="22"/>
        </w:rPr>
      </w:pPr>
    </w:p>
    <w:p w:rsidR="00BD26AA" w:rsidRDefault="001A0B5D">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BD26AA" w:rsidRDefault="00BD26AA">
      <w:pPr>
        <w:spacing w:line="360" w:lineRule="auto"/>
        <w:jc w:val="both"/>
        <w:rPr>
          <w:rFonts w:ascii="Palatino Linotype" w:eastAsia="Palatino Linotype" w:hAnsi="Palatino Linotype" w:cs="Palatino Linotype"/>
        </w:rPr>
      </w:pPr>
    </w:p>
    <w:p w:rsidR="00BD26AA" w:rsidRDefault="001A0B5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los dispositivos legales en comento, se aprecia que todo acto de autoridad en el ejercicio de sus funciones y atribuciones debe estar documentado, por lo que para dar atención a una solicitud de información el </w:t>
      </w:r>
      <w:r w:rsidRPr="00FA21DC">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BD26AA" w:rsidRDefault="00BD26AA">
      <w:pPr>
        <w:spacing w:line="360" w:lineRule="auto"/>
        <w:jc w:val="both"/>
        <w:rPr>
          <w:rFonts w:ascii="Palatino Linotype" w:eastAsia="Palatino Linotype" w:hAnsi="Palatino Linotype" w:cs="Palatino Linotype"/>
        </w:rPr>
      </w:pPr>
    </w:p>
    <w:p w:rsidR="00BD26AA" w:rsidRDefault="001A0B5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BD26AA" w:rsidRDefault="00BD26AA">
      <w:pPr>
        <w:ind w:left="851" w:right="899"/>
        <w:jc w:val="both"/>
        <w:rPr>
          <w:rFonts w:ascii="Palatino Linotype" w:eastAsia="Palatino Linotype" w:hAnsi="Palatino Linotype" w:cs="Palatino Linotype"/>
          <w:i/>
          <w:sz w:val="22"/>
          <w:szCs w:val="22"/>
        </w:rPr>
      </w:pPr>
    </w:p>
    <w:p w:rsidR="00BD26AA" w:rsidRDefault="001A0B5D">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BD26AA" w:rsidRDefault="001A0B5D">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D26AA" w:rsidRDefault="001A0B5D">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w:t>
      </w:r>
      <w:r>
        <w:rPr>
          <w:rFonts w:ascii="Palatino Linotype" w:eastAsia="Palatino Linotype" w:hAnsi="Palatino Linotype" w:cs="Palatino Linotype"/>
          <w:i/>
          <w:color w:val="000000"/>
          <w:sz w:val="22"/>
          <w:szCs w:val="22"/>
        </w:rPr>
        <w:lastRenderedPageBreak/>
        <w:t>los sujetos obligados, sus servidores públicos e integrantes, sin importar su fuente o fecha de elaboración. Los documentos podrán estar en cualquier medio, sea escrito, impreso, sonoro, visual, electrónico, informático u holográfico…” (Sic)</w:t>
      </w:r>
    </w:p>
    <w:p w:rsidR="00BD26AA" w:rsidRDefault="00BD26AA">
      <w:pPr>
        <w:ind w:left="851" w:right="899"/>
        <w:jc w:val="both"/>
        <w:rPr>
          <w:rFonts w:ascii="Palatino Linotype" w:eastAsia="Palatino Linotype" w:hAnsi="Palatino Linotype" w:cs="Palatino Linotype"/>
          <w:sz w:val="22"/>
          <w:szCs w:val="22"/>
        </w:rPr>
      </w:pPr>
    </w:p>
    <w:p w:rsidR="00BD26AA" w:rsidRDefault="001A0B5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BD26AA" w:rsidRDefault="00BD26AA">
      <w:pPr>
        <w:ind w:left="851" w:right="899"/>
        <w:jc w:val="both"/>
        <w:rPr>
          <w:rFonts w:ascii="Palatino Linotype" w:eastAsia="Palatino Linotype" w:hAnsi="Palatino Linotype" w:cs="Palatino Linotype"/>
        </w:rPr>
      </w:pPr>
    </w:p>
    <w:p w:rsidR="00BD26AA" w:rsidRDefault="001A0B5D">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BD26AA" w:rsidRDefault="001A0B5D">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BD26AA" w:rsidRDefault="001A0B5D">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BD26AA" w:rsidRDefault="001A0B5D">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BD26AA" w:rsidRDefault="001A0B5D">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rsidR="00BD26AA" w:rsidRDefault="001A0B5D">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rsidR="00BD26AA" w:rsidRDefault="001A0B5D">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sidRPr="00FA21DC">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w:t>
      </w:r>
      <w:r>
        <w:rPr>
          <w:rFonts w:ascii="Palatino Linotype" w:eastAsia="Palatino Linotype" w:hAnsi="Palatino Linotype" w:cs="Palatino Linotype"/>
        </w:rPr>
        <w:lastRenderedPageBreak/>
        <w:t>se trata de información relativa a obligaciones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como pudiera tratarse de aquella relacionada con las obligaciones de trasparencia señaladas en los artículos 92 y 100 de la Ley de la Materia.</w:t>
      </w:r>
    </w:p>
    <w:p w:rsidR="00C01CD8" w:rsidRPr="00C01CD8" w:rsidRDefault="00C01CD8" w:rsidP="00C01CD8">
      <w:pPr>
        <w:autoSpaceDE w:val="0"/>
        <w:autoSpaceDN w:val="0"/>
        <w:adjustRightInd w:val="0"/>
        <w:spacing w:before="240" w:after="240" w:line="360" w:lineRule="auto"/>
        <w:ind w:right="49" w:firstLine="1"/>
        <w:jc w:val="both"/>
        <w:rPr>
          <w:rFonts w:ascii="Palatino Linotype" w:eastAsia="MS Mincho" w:hAnsi="Palatino Linotype" w:cs="Arial"/>
          <w:color w:val="000000"/>
          <w:lang w:val="es-MX"/>
        </w:rPr>
      </w:pPr>
      <w:r w:rsidRPr="00C01CD8">
        <w:rPr>
          <w:rFonts w:ascii="Palatino Linotype" w:eastAsia="MS Mincho" w:hAnsi="Palatino Linotype" w:cs="Arial"/>
          <w:color w:val="000000"/>
          <w:lang w:val="es-MX"/>
        </w:rPr>
        <w:t>Una vez establecido lo previo, cabe recordar que el particular solicitó, lo siguiente:</w:t>
      </w:r>
    </w:p>
    <w:p w:rsidR="00C01CD8" w:rsidRPr="00FA35FA" w:rsidRDefault="00C01CD8" w:rsidP="00FA21DC">
      <w:pPr>
        <w:pStyle w:val="Prrafodelista"/>
        <w:numPr>
          <w:ilvl w:val="0"/>
          <w:numId w:val="16"/>
        </w:numPr>
        <w:spacing w:line="360" w:lineRule="auto"/>
        <w:ind w:left="567" w:right="900" w:hanging="141"/>
        <w:jc w:val="both"/>
        <w:rPr>
          <w:rFonts w:ascii="Palatino Linotype" w:eastAsia="Palatino Linotype" w:hAnsi="Palatino Linotype" w:cs="Palatino Linotype"/>
          <w:sz w:val="24"/>
        </w:rPr>
      </w:pPr>
      <w:r w:rsidRPr="00C01CD8">
        <w:rPr>
          <w:rFonts w:ascii="Palatino Linotype" w:eastAsia="Palatino Linotype" w:hAnsi="Palatino Linotype" w:cs="Palatino Linotype"/>
          <w:sz w:val="24"/>
        </w:rPr>
        <w:t xml:space="preserve">Toda la información relativa a las obras de construcción y obras complementarias que se hayan realizado en la red de drenaje y alcantarillado durante los años </w:t>
      </w:r>
      <w:r w:rsidRPr="00FA21DC">
        <w:rPr>
          <w:rFonts w:ascii="Palatino Linotype" w:eastAsia="Palatino Linotype" w:hAnsi="Palatino Linotype" w:cs="Palatino Linotype"/>
          <w:sz w:val="24"/>
        </w:rPr>
        <w:t>2018</w:t>
      </w:r>
      <w:r w:rsidRPr="00C01CD8">
        <w:rPr>
          <w:rFonts w:ascii="Palatino Linotype" w:eastAsia="Palatino Linotype" w:hAnsi="Palatino Linotype" w:cs="Palatino Linotype"/>
          <w:sz w:val="24"/>
        </w:rPr>
        <w:t xml:space="preserve"> a 2021. Señalando el monto y ubicación de las mismas.</w:t>
      </w:r>
    </w:p>
    <w:p w:rsidR="00BD26AA" w:rsidRDefault="00FC79D1" w:rsidP="00FA21DC">
      <w:pPr>
        <w:pStyle w:val="Prrafodelista"/>
        <w:numPr>
          <w:ilvl w:val="0"/>
          <w:numId w:val="16"/>
        </w:numPr>
        <w:spacing w:line="360" w:lineRule="auto"/>
        <w:ind w:left="567" w:right="900" w:hanging="141"/>
        <w:jc w:val="both"/>
        <w:rPr>
          <w:rFonts w:ascii="Palatino Linotype" w:eastAsia="Palatino Linotype" w:hAnsi="Palatino Linotype" w:cs="Palatino Linotype"/>
          <w:sz w:val="24"/>
        </w:rPr>
      </w:pPr>
      <w:r>
        <w:rPr>
          <w:rFonts w:ascii="Palatino Linotype" w:eastAsia="Palatino Linotype" w:hAnsi="Palatino Linotype" w:cs="Palatino Linotype"/>
          <w:sz w:val="24"/>
        </w:rPr>
        <w:t xml:space="preserve">Toda la información de </w:t>
      </w:r>
      <w:r w:rsidR="00C01CD8" w:rsidRPr="00C01CD8">
        <w:rPr>
          <w:rFonts w:ascii="Palatino Linotype" w:eastAsia="Palatino Linotype" w:hAnsi="Palatino Linotype" w:cs="Palatino Linotype"/>
          <w:sz w:val="24"/>
        </w:rPr>
        <w:t>las obras públicas y de servicios</w:t>
      </w:r>
      <w:r>
        <w:rPr>
          <w:rFonts w:ascii="Palatino Linotype" w:eastAsia="Palatino Linotype" w:hAnsi="Palatino Linotype" w:cs="Palatino Linotype"/>
          <w:sz w:val="24"/>
        </w:rPr>
        <w:t>,</w:t>
      </w:r>
      <w:r w:rsidR="00C01CD8" w:rsidRPr="00C01CD8">
        <w:rPr>
          <w:rFonts w:ascii="Palatino Linotype" w:eastAsia="Palatino Linotype" w:hAnsi="Palatino Linotype" w:cs="Palatino Linotype"/>
          <w:sz w:val="24"/>
        </w:rPr>
        <w:t xml:space="preserve"> aprobadas y realizadas durante los años </w:t>
      </w:r>
      <w:r w:rsidR="00C01CD8" w:rsidRPr="00FA21DC">
        <w:rPr>
          <w:rFonts w:ascii="Palatino Linotype" w:eastAsia="Palatino Linotype" w:hAnsi="Palatino Linotype" w:cs="Palatino Linotype"/>
          <w:sz w:val="24"/>
        </w:rPr>
        <w:t>2018,</w:t>
      </w:r>
      <w:r w:rsidR="00C01CD8" w:rsidRPr="00C01CD8">
        <w:rPr>
          <w:rFonts w:ascii="Palatino Linotype" w:eastAsia="Palatino Linotype" w:hAnsi="Palatino Linotype" w:cs="Palatino Linotype"/>
          <w:sz w:val="24"/>
        </w:rPr>
        <w:t xml:space="preserve"> 2019, 2020, y 2021 que se hubieran realizado con recursos federales y/o estatales. Así como los montos de dichas obras y la documentación que acredite el haberse realizado</w:t>
      </w:r>
      <w:r>
        <w:rPr>
          <w:rFonts w:ascii="Palatino Linotype" w:eastAsia="Palatino Linotype" w:hAnsi="Palatino Linotype" w:cs="Palatino Linotype"/>
          <w:sz w:val="24"/>
        </w:rPr>
        <w:t>.</w:t>
      </w:r>
    </w:p>
    <w:p w:rsidR="0030572E" w:rsidRPr="0030572E" w:rsidRDefault="0030572E" w:rsidP="0030572E">
      <w:pPr>
        <w:pStyle w:val="Prrafodelista"/>
        <w:rPr>
          <w:rFonts w:ascii="Palatino Linotype" w:eastAsia="Palatino Linotype" w:hAnsi="Palatino Linotype" w:cs="Palatino Linotype"/>
          <w:sz w:val="24"/>
        </w:rPr>
      </w:pPr>
    </w:p>
    <w:p w:rsidR="00FA35FA" w:rsidRDefault="0030572E" w:rsidP="00B823EC">
      <w:pPr>
        <w:tabs>
          <w:tab w:val="left" w:pos="709"/>
        </w:tabs>
        <w:spacing w:before="100" w:beforeAutospacing="1" w:after="100" w:afterAutospacing="1" w:line="360" w:lineRule="auto"/>
        <w:jc w:val="both"/>
        <w:rPr>
          <w:rFonts w:ascii="Palatino Linotype" w:eastAsia="MS Mincho" w:hAnsi="Palatino Linotype" w:cs="Bookman Old Style"/>
          <w:b/>
          <w:u w:val="single"/>
        </w:rPr>
      </w:pPr>
      <w:r w:rsidRPr="0030572E">
        <w:rPr>
          <w:rFonts w:ascii="Palatino Linotype" w:eastAsia="MS Mincho" w:hAnsi="Palatino Linotype" w:cs="Bookman Old Style"/>
          <w:lang w:val="es-MX"/>
        </w:rPr>
        <w:lastRenderedPageBreak/>
        <w:t>En respuest</w:t>
      </w:r>
      <w:r>
        <w:rPr>
          <w:rFonts w:ascii="Palatino Linotype" w:eastAsia="MS Mincho" w:hAnsi="Palatino Linotype" w:cs="Bookman Old Style"/>
          <w:lang w:val="es-MX"/>
        </w:rPr>
        <w:t xml:space="preserve">a, el </w:t>
      </w:r>
      <w:r w:rsidRPr="00FA21DC">
        <w:rPr>
          <w:rFonts w:ascii="Palatino Linotype" w:eastAsia="MS Mincho" w:hAnsi="Palatino Linotype" w:cs="Bookman Old Style"/>
          <w:b/>
          <w:lang w:val="es-MX"/>
        </w:rPr>
        <w:t>Sujeto Obligado</w:t>
      </w:r>
      <w:r>
        <w:rPr>
          <w:rFonts w:ascii="Palatino Linotype" w:eastAsia="MS Mincho" w:hAnsi="Palatino Linotype" w:cs="Bookman Old Style"/>
          <w:lang w:val="es-MX"/>
        </w:rPr>
        <w:t xml:space="preserve"> remitió dos</w:t>
      </w:r>
      <w:r w:rsidRPr="0030572E">
        <w:rPr>
          <w:rFonts w:ascii="Palatino Linotype" w:eastAsia="MS Mincho" w:hAnsi="Palatino Linotype" w:cs="Bookman Old Style"/>
          <w:lang w:val="es-MX"/>
        </w:rPr>
        <w:t xml:space="preserve"> soporte</w:t>
      </w:r>
      <w:r>
        <w:rPr>
          <w:rFonts w:ascii="Palatino Linotype" w:eastAsia="MS Mincho" w:hAnsi="Palatino Linotype" w:cs="Bookman Old Style"/>
          <w:lang w:val="es-MX"/>
        </w:rPr>
        <w:t>s</w:t>
      </w:r>
      <w:r w:rsidRPr="0030572E">
        <w:rPr>
          <w:rFonts w:ascii="Palatino Linotype" w:eastAsia="MS Mincho" w:hAnsi="Palatino Linotype" w:cs="Bookman Old Style"/>
          <w:lang w:val="es-MX"/>
        </w:rPr>
        <w:t xml:space="preserve"> documental</w:t>
      </w:r>
      <w:r>
        <w:rPr>
          <w:rFonts w:ascii="Palatino Linotype" w:eastAsia="MS Mincho" w:hAnsi="Palatino Linotype" w:cs="Bookman Old Style"/>
          <w:lang w:val="es-MX"/>
        </w:rPr>
        <w:t xml:space="preserve">es, en el primero de ellos, denominado </w:t>
      </w:r>
      <w:r>
        <w:rPr>
          <w:rFonts w:ascii="Palatino Linotype" w:eastAsia="MS Mincho" w:hAnsi="Palatino Linotype" w:cs="Bookman Old Style"/>
          <w:b/>
          <w:i/>
        </w:rPr>
        <w:t xml:space="preserve">“793.pdf, </w:t>
      </w:r>
      <w:r w:rsidRPr="00FA21DC">
        <w:rPr>
          <w:rFonts w:ascii="Palatino Linotype" w:eastAsia="MS Mincho" w:hAnsi="Palatino Linotype" w:cs="Bookman Old Style"/>
        </w:rPr>
        <w:t>la Dirección de Desarrollo Urbano y Obras Públicas refiere que</w:t>
      </w:r>
      <w:r w:rsidRPr="0030572E">
        <w:rPr>
          <w:rFonts w:ascii="Palatino Linotype" w:eastAsia="MS Mincho" w:hAnsi="Palatino Linotype" w:cs="Bookman Old Style"/>
          <w:b/>
          <w:u w:val="single"/>
        </w:rPr>
        <w:t xml:space="preserve"> no se encontró información relacionada con el ejercicio fiscal 2018, asimismo sobre los años 2019, 2020 y 2021 remitió una relación de obras realizadas en la red de drenaje y alcantarillado, señalando nombre, ub</w:t>
      </w:r>
      <w:r>
        <w:rPr>
          <w:rFonts w:ascii="Palatino Linotype" w:eastAsia="MS Mincho" w:hAnsi="Palatino Linotype" w:cs="Bookman Old Style"/>
          <w:b/>
          <w:u w:val="single"/>
        </w:rPr>
        <w:t>i</w:t>
      </w:r>
      <w:r w:rsidR="00FA35FA">
        <w:rPr>
          <w:rFonts w:ascii="Palatino Linotype" w:eastAsia="MS Mincho" w:hAnsi="Palatino Linotype" w:cs="Bookman Old Style"/>
          <w:b/>
          <w:u w:val="single"/>
        </w:rPr>
        <w:t xml:space="preserve">cación y el importe autorizado, </w:t>
      </w:r>
      <w:r w:rsidR="00FA35FA" w:rsidRPr="00FA21DC">
        <w:rPr>
          <w:rFonts w:ascii="Palatino Linotype" w:eastAsia="MS Mincho" w:hAnsi="Palatino Linotype" w:cs="Bookman Old Style"/>
        </w:rPr>
        <w:t xml:space="preserve">tal como se advierte a continuación: </w:t>
      </w:r>
    </w:p>
    <w:p w:rsidR="00FA21DC" w:rsidRDefault="00FA21DC" w:rsidP="00FA21DC">
      <w:pPr>
        <w:tabs>
          <w:tab w:val="left" w:pos="709"/>
        </w:tabs>
        <w:spacing w:before="100" w:beforeAutospacing="1" w:after="100" w:afterAutospacing="1" w:line="360" w:lineRule="auto"/>
        <w:jc w:val="center"/>
        <w:rPr>
          <w:rFonts w:ascii="Palatino Linotype" w:eastAsia="MS Mincho" w:hAnsi="Palatino Linotype" w:cs="Bookman Old Style"/>
          <w:b/>
          <w:color w:val="FF0000"/>
          <w:u w:val="single"/>
        </w:rPr>
      </w:pPr>
      <w:r>
        <w:rPr>
          <w:rFonts w:ascii="Palatino Linotype" w:eastAsia="MS Mincho" w:hAnsi="Palatino Linotype" w:cs="Bookman Old Style"/>
          <w:b/>
          <w:noProof/>
          <w:color w:val="FF0000"/>
          <w:u w:val="single"/>
          <w:lang w:val="es-MX" w:eastAsia="es-MX"/>
        </w:rPr>
        <w:drawing>
          <wp:inline distT="0" distB="0" distL="0" distR="0">
            <wp:extent cx="4568449" cy="5095875"/>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3032" cy="5100987"/>
                    </a:xfrm>
                    <a:prstGeom prst="rect">
                      <a:avLst/>
                    </a:prstGeom>
                    <a:noFill/>
                    <a:ln>
                      <a:noFill/>
                    </a:ln>
                  </pic:spPr>
                </pic:pic>
              </a:graphicData>
            </a:graphic>
          </wp:inline>
        </w:drawing>
      </w:r>
    </w:p>
    <w:p w:rsidR="00FA21DC" w:rsidRDefault="00FA21DC" w:rsidP="00FA35FA">
      <w:pPr>
        <w:tabs>
          <w:tab w:val="left" w:pos="709"/>
        </w:tabs>
        <w:spacing w:before="100" w:beforeAutospacing="1" w:after="100" w:afterAutospacing="1" w:line="360" w:lineRule="auto"/>
        <w:jc w:val="both"/>
        <w:rPr>
          <w:rFonts w:ascii="Palatino Linotype" w:eastAsia="MS Mincho" w:hAnsi="Palatino Linotype" w:cs="Bookman Old Style"/>
          <w:b/>
          <w:color w:val="FF0000"/>
          <w:u w:val="single"/>
        </w:rPr>
      </w:pPr>
      <w:r>
        <w:rPr>
          <w:rFonts w:ascii="Palatino Linotype" w:eastAsia="MS Mincho" w:hAnsi="Palatino Linotype" w:cs="Bookman Old Style"/>
          <w:b/>
          <w:noProof/>
          <w:color w:val="FF0000"/>
          <w:u w:val="single"/>
          <w:lang w:val="es-MX" w:eastAsia="es-MX"/>
        </w:rPr>
        <w:lastRenderedPageBreak/>
        <w:drawing>
          <wp:inline distT="0" distB="0" distL="0" distR="0">
            <wp:extent cx="5610225" cy="70770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7077075"/>
                    </a:xfrm>
                    <a:prstGeom prst="rect">
                      <a:avLst/>
                    </a:prstGeom>
                    <a:noFill/>
                    <a:ln>
                      <a:noFill/>
                    </a:ln>
                  </pic:spPr>
                </pic:pic>
              </a:graphicData>
            </a:graphic>
          </wp:inline>
        </w:drawing>
      </w:r>
    </w:p>
    <w:p w:rsidR="00FA35FA" w:rsidRPr="00FA35FA" w:rsidRDefault="005A71FF" w:rsidP="00FA35FA">
      <w:pPr>
        <w:tabs>
          <w:tab w:val="left" w:pos="709"/>
        </w:tabs>
        <w:spacing w:before="100" w:beforeAutospacing="1" w:after="100" w:afterAutospacing="1" w:line="360" w:lineRule="auto"/>
        <w:jc w:val="both"/>
        <w:rPr>
          <w:rFonts w:ascii="Palatino Linotype" w:eastAsia="MS Mincho" w:hAnsi="Palatino Linotype" w:cs="Bookman Old Style"/>
          <w:b/>
          <w:color w:val="FF0000"/>
          <w:u w:val="single"/>
        </w:rPr>
      </w:pPr>
      <w:r>
        <w:rPr>
          <w:rFonts w:ascii="Palatino Linotype" w:eastAsia="MS Mincho" w:hAnsi="Palatino Linotype" w:cs="Bookman Old Style"/>
          <w:noProof/>
          <w:lang w:val="es-MX"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243839</wp:posOffset>
                </wp:positionH>
                <wp:positionV relativeFrom="paragraph">
                  <wp:posOffset>2441575</wp:posOffset>
                </wp:positionV>
                <wp:extent cx="5133975" cy="4857750"/>
                <wp:effectExtent l="0" t="0" r="28575" b="19050"/>
                <wp:wrapNone/>
                <wp:docPr id="17" name="Conector recto 17"/>
                <wp:cNvGraphicFramePr/>
                <a:graphic xmlns:a="http://schemas.openxmlformats.org/drawingml/2006/main">
                  <a:graphicData uri="http://schemas.microsoft.com/office/word/2010/wordprocessingShape">
                    <wps:wsp>
                      <wps:cNvCnPr/>
                      <wps:spPr>
                        <a:xfrm>
                          <a:off x="0" y="0"/>
                          <a:ext cx="5133975" cy="4857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BB582C" id="Conector recto 1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9.2pt,192.25pt" to="423.45pt,5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" strokecolor="black [3200]" strokeweight=".5pt">
                <v:stroke joinstyle="miter"/>
              </v:line>
            </w:pict>
          </mc:Fallback>
        </mc:AlternateContent>
      </w:r>
      <w:r w:rsidR="00FA35FA">
        <w:rPr>
          <w:rFonts w:ascii="Palatino Linotype" w:eastAsia="MS Mincho" w:hAnsi="Palatino Linotype" w:cs="Bookman Old Style"/>
        </w:rPr>
        <w:t>A</w:t>
      </w:r>
      <w:r w:rsidR="0030572E">
        <w:rPr>
          <w:rFonts w:ascii="Palatino Linotype" w:eastAsia="MS Mincho" w:hAnsi="Palatino Linotype" w:cs="Bookman Old Style"/>
        </w:rPr>
        <w:t>simismo</w:t>
      </w:r>
      <w:r w:rsidR="00FA35FA">
        <w:rPr>
          <w:rFonts w:ascii="Palatino Linotype" w:eastAsia="MS Mincho" w:hAnsi="Palatino Linotype" w:cs="Bookman Old Style"/>
        </w:rPr>
        <w:t>,</w:t>
      </w:r>
      <w:r w:rsidR="0030572E">
        <w:rPr>
          <w:rFonts w:ascii="Palatino Linotype" w:eastAsia="MS Mincho" w:hAnsi="Palatino Linotype" w:cs="Bookman Old Style"/>
        </w:rPr>
        <w:t xml:space="preserve"> sobre el segundo requerimiento</w:t>
      </w:r>
      <w:r>
        <w:rPr>
          <w:rFonts w:ascii="Palatino Linotype" w:eastAsia="MS Mincho" w:hAnsi="Palatino Linotype" w:cs="Bookman Old Style"/>
        </w:rPr>
        <w:t>,</w:t>
      </w:r>
      <w:r w:rsidR="0030572E">
        <w:rPr>
          <w:rFonts w:ascii="Palatino Linotype" w:eastAsia="MS Mincho" w:hAnsi="Palatino Linotype" w:cs="Bookman Old Style"/>
        </w:rPr>
        <w:t xml:space="preserve"> remitió el archivo </w:t>
      </w:r>
      <w:r w:rsidR="00B823EC" w:rsidRPr="00B823EC">
        <w:rPr>
          <w:rFonts w:ascii="Palatino Linotype" w:eastAsia="MS Mincho" w:hAnsi="Palatino Linotype" w:cs="Bookman Old Style"/>
          <w:b/>
          <w:i/>
        </w:rPr>
        <w:t>“792.pdf”</w:t>
      </w:r>
      <w:r w:rsidR="00B823EC">
        <w:rPr>
          <w:rFonts w:ascii="Palatino Linotype" w:eastAsia="MS Mincho" w:hAnsi="Palatino Linotype" w:cs="Bookman Old Style"/>
        </w:rPr>
        <w:t>, en el cual consta el pronunciamiento del Director</w:t>
      </w:r>
      <w:r w:rsidR="00B823EC" w:rsidRPr="00B823EC">
        <w:rPr>
          <w:rFonts w:ascii="Palatino Linotype" w:eastAsia="MS Mincho" w:hAnsi="Palatino Linotype" w:cs="Bookman Old Style"/>
        </w:rPr>
        <w:t xml:space="preserve"> de Des</w:t>
      </w:r>
      <w:r w:rsidR="00B823EC">
        <w:rPr>
          <w:rFonts w:ascii="Palatino Linotype" w:eastAsia="MS Mincho" w:hAnsi="Palatino Linotype" w:cs="Bookman Old Style"/>
        </w:rPr>
        <w:t xml:space="preserve">arrollo Urbano y Obras Públicas, mediante el cual </w:t>
      </w:r>
      <w:r w:rsidR="00B823EC" w:rsidRPr="00B823EC">
        <w:rPr>
          <w:rFonts w:ascii="Palatino Linotype" w:eastAsia="MS Mincho" w:hAnsi="Palatino Linotype" w:cs="Bookman Old Style"/>
        </w:rPr>
        <w:t xml:space="preserve">refiere que </w:t>
      </w:r>
      <w:r w:rsidR="00B823EC" w:rsidRPr="00B823EC">
        <w:rPr>
          <w:rFonts w:ascii="Palatino Linotype" w:eastAsia="MS Mincho" w:hAnsi="Palatino Linotype" w:cs="Bookman Old Style"/>
          <w:b/>
          <w:u w:val="single"/>
        </w:rPr>
        <w:t>no se encontró información relacionada con el ejercicio fiscal 2018, asimismo sobre los años 2019, 2020 y 2021</w:t>
      </w:r>
      <w:r>
        <w:rPr>
          <w:rFonts w:ascii="Palatino Linotype" w:eastAsia="MS Mincho" w:hAnsi="Palatino Linotype" w:cs="Bookman Old Style"/>
          <w:b/>
          <w:u w:val="single"/>
        </w:rPr>
        <w:t>,</w:t>
      </w:r>
      <w:r w:rsidR="00B823EC" w:rsidRPr="00B823EC">
        <w:rPr>
          <w:rFonts w:ascii="Palatino Linotype" w:eastAsia="MS Mincho" w:hAnsi="Palatino Linotype" w:cs="Bookman Old Style"/>
          <w:b/>
          <w:u w:val="single"/>
        </w:rPr>
        <w:t xml:space="preserve"> no se realizaron obras con recurso federales pero remitió una relación de obras realizadas con recursos estatales en el que se detalla el año, nombre de la obra, ubicación, importe autorizado y estado que guarda</w:t>
      </w:r>
      <w:r>
        <w:rPr>
          <w:rFonts w:ascii="Palatino Linotype" w:eastAsia="MS Mincho" w:hAnsi="Palatino Linotype" w:cs="Bookman Old Style"/>
        </w:rPr>
        <w:t>, sirven de ilustración las siguientes capturas de pantalla:</w:t>
      </w:r>
    </w:p>
    <w:p w:rsidR="00B823EC" w:rsidRDefault="00FA21DC" w:rsidP="00FA21DC">
      <w:pPr>
        <w:tabs>
          <w:tab w:val="left" w:pos="709"/>
        </w:tabs>
        <w:spacing w:before="100" w:beforeAutospacing="1" w:after="100" w:afterAutospacing="1" w:line="360" w:lineRule="auto"/>
        <w:jc w:val="center"/>
        <w:rPr>
          <w:rFonts w:ascii="Palatino Linotype" w:eastAsia="MS Mincho" w:hAnsi="Palatino Linotype" w:cs="Bookman Old Style"/>
        </w:rPr>
      </w:pPr>
      <w:r>
        <w:rPr>
          <w:rFonts w:ascii="Palatino Linotype" w:eastAsia="MS Mincho" w:hAnsi="Palatino Linotype" w:cs="Bookman Old Style"/>
          <w:noProof/>
          <w:lang w:val="es-MX" w:eastAsia="es-MX"/>
        </w:rPr>
        <w:lastRenderedPageBreak/>
        <w:drawing>
          <wp:inline distT="0" distB="0" distL="0" distR="0">
            <wp:extent cx="5406364" cy="6315075"/>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0907" cy="6320381"/>
                    </a:xfrm>
                    <a:prstGeom prst="rect">
                      <a:avLst/>
                    </a:prstGeom>
                    <a:noFill/>
                    <a:ln>
                      <a:noFill/>
                    </a:ln>
                  </pic:spPr>
                </pic:pic>
              </a:graphicData>
            </a:graphic>
          </wp:inline>
        </w:drawing>
      </w:r>
    </w:p>
    <w:p w:rsidR="00FA21DC" w:rsidRDefault="00FA21DC" w:rsidP="00B823EC">
      <w:pPr>
        <w:tabs>
          <w:tab w:val="left" w:pos="709"/>
        </w:tabs>
        <w:spacing w:before="100" w:beforeAutospacing="1" w:after="100" w:afterAutospacing="1" w:line="360" w:lineRule="auto"/>
        <w:jc w:val="both"/>
        <w:rPr>
          <w:rFonts w:ascii="Palatino Linotype" w:eastAsia="MS Mincho" w:hAnsi="Palatino Linotype" w:cs="Bookman Old Style"/>
          <w:lang w:val="es-MX"/>
        </w:rPr>
      </w:pPr>
      <w:r>
        <w:rPr>
          <w:rFonts w:ascii="Palatino Linotype" w:eastAsia="MS Mincho" w:hAnsi="Palatino Linotype" w:cs="Bookman Old Style"/>
          <w:noProof/>
          <w:lang w:val="es-MX" w:eastAsia="es-MX"/>
        </w:rPr>
        <w:lastRenderedPageBreak/>
        <w:drawing>
          <wp:inline distT="0" distB="0" distL="0" distR="0">
            <wp:extent cx="5343525" cy="66865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3525" cy="6686550"/>
                    </a:xfrm>
                    <a:prstGeom prst="rect">
                      <a:avLst/>
                    </a:prstGeom>
                    <a:noFill/>
                    <a:ln>
                      <a:noFill/>
                    </a:ln>
                  </pic:spPr>
                </pic:pic>
              </a:graphicData>
            </a:graphic>
          </wp:inline>
        </w:drawing>
      </w:r>
    </w:p>
    <w:p w:rsidR="00FA21DC" w:rsidRDefault="00FA21DC" w:rsidP="00B823EC">
      <w:pPr>
        <w:tabs>
          <w:tab w:val="left" w:pos="709"/>
        </w:tabs>
        <w:spacing w:before="100" w:beforeAutospacing="1" w:after="100" w:afterAutospacing="1" w:line="360" w:lineRule="auto"/>
        <w:jc w:val="both"/>
        <w:rPr>
          <w:rFonts w:ascii="Palatino Linotype" w:eastAsia="MS Mincho" w:hAnsi="Palatino Linotype" w:cs="Bookman Old Style"/>
          <w:lang w:val="es-MX"/>
        </w:rPr>
      </w:pPr>
    </w:p>
    <w:p w:rsidR="0030572E" w:rsidRDefault="00B823EC" w:rsidP="00B823EC">
      <w:pPr>
        <w:tabs>
          <w:tab w:val="left" w:pos="709"/>
        </w:tabs>
        <w:spacing w:before="100" w:beforeAutospacing="1" w:after="100" w:afterAutospacing="1" w:line="360" w:lineRule="auto"/>
        <w:jc w:val="both"/>
        <w:rPr>
          <w:rFonts w:ascii="Palatino Linotype" w:eastAsia="MS Mincho" w:hAnsi="Palatino Linotype" w:cs="Bookman Old Style"/>
          <w:lang w:val="es-MX"/>
        </w:rPr>
      </w:pPr>
      <w:r>
        <w:rPr>
          <w:rFonts w:ascii="Palatino Linotype" w:eastAsia="MS Mincho" w:hAnsi="Palatino Linotype" w:cs="Bookman Old Style"/>
          <w:lang w:val="es-MX"/>
        </w:rPr>
        <w:lastRenderedPageBreak/>
        <w:t xml:space="preserve">Una vez conocida la respuesta, </w:t>
      </w:r>
      <w:r w:rsidRPr="00B823EC">
        <w:rPr>
          <w:rFonts w:ascii="Palatino Linotype" w:eastAsia="MS Mincho" w:hAnsi="Palatino Linotype" w:cs="Bookman Old Style"/>
          <w:b/>
          <w:lang w:val="es-MX"/>
        </w:rPr>
        <w:t>el Recurrente</w:t>
      </w:r>
      <w:r>
        <w:rPr>
          <w:rFonts w:ascii="Palatino Linotype" w:eastAsia="MS Mincho" w:hAnsi="Palatino Linotype" w:cs="Bookman Old Style"/>
          <w:lang w:val="es-MX"/>
        </w:rPr>
        <w:t xml:space="preserve"> interpuso los </w:t>
      </w:r>
      <w:r w:rsidR="0030572E" w:rsidRPr="0030572E">
        <w:rPr>
          <w:rFonts w:ascii="Palatino Linotype" w:eastAsia="MS Mincho" w:hAnsi="Palatino Linotype" w:cs="Bookman Old Style"/>
          <w:lang w:val="es-MX"/>
        </w:rPr>
        <w:t>medio</w:t>
      </w:r>
      <w:r>
        <w:rPr>
          <w:rFonts w:ascii="Palatino Linotype" w:eastAsia="MS Mincho" w:hAnsi="Palatino Linotype" w:cs="Bookman Old Style"/>
          <w:lang w:val="es-MX"/>
        </w:rPr>
        <w:t>s</w:t>
      </w:r>
      <w:r w:rsidR="0030572E" w:rsidRPr="0030572E">
        <w:rPr>
          <w:rFonts w:ascii="Palatino Linotype" w:eastAsia="MS Mincho" w:hAnsi="Palatino Linotype" w:cs="Bookman Old Style"/>
          <w:lang w:val="es-MX"/>
        </w:rPr>
        <w:t xml:space="preserve"> de impugnación que nos ocupa</w:t>
      </w:r>
      <w:r>
        <w:rPr>
          <w:rFonts w:ascii="Palatino Linotype" w:eastAsia="MS Mincho" w:hAnsi="Palatino Linotype" w:cs="Bookman Old Style"/>
          <w:lang w:val="es-MX"/>
        </w:rPr>
        <w:t>n, inconformándose medularmente por la entrega de la información incompleta.</w:t>
      </w:r>
    </w:p>
    <w:p w:rsidR="003E5081" w:rsidRPr="003E5081" w:rsidRDefault="005A71FF" w:rsidP="003E5081">
      <w:pPr>
        <w:tabs>
          <w:tab w:val="left" w:pos="709"/>
        </w:tabs>
        <w:spacing w:before="100" w:beforeAutospacing="1" w:after="100" w:afterAutospacing="1" w:line="360" w:lineRule="auto"/>
        <w:jc w:val="both"/>
        <w:rPr>
          <w:rFonts w:ascii="Palatino Linotype" w:eastAsia="MS Mincho" w:hAnsi="Palatino Linotype" w:cs="Bookman Old Style"/>
          <w:i/>
        </w:rPr>
      </w:pPr>
      <w:r>
        <w:rPr>
          <w:rFonts w:ascii="Palatino Linotype" w:eastAsia="MS Mincho" w:hAnsi="Palatino Linotype" w:cs="Bookman Old Style"/>
        </w:rPr>
        <w:t>Expuesto lo anterior, r</w:t>
      </w:r>
      <w:r w:rsidR="003E5081">
        <w:rPr>
          <w:rFonts w:ascii="Palatino Linotype" w:eastAsia="MS Mincho" w:hAnsi="Palatino Linotype" w:cs="Bookman Old Style"/>
        </w:rPr>
        <w:t xml:space="preserve">esulta importante precisar que en el recurso de revisión </w:t>
      </w:r>
      <w:r w:rsidR="003E5081" w:rsidRPr="003E5081">
        <w:rPr>
          <w:rFonts w:ascii="Palatino Linotype" w:eastAsia="MS Mincho" w:hAnsi="Palatino Linotype" w:cs="Bookman Old Style"/>
          <w:b/>
          <w:sz w:val="22"/>
        </w:rPr>
        <w:t>05986/INFOEM/IP/RR/2021</w:t>
      </w:r>
      <w:r w:rsidR="003E5081">
        <w:rPr>
          <w:rFonts w:ascii="Palatino Linotype" w:eastAsia="MS Mincho" w:hAnsi="Palatino Linotype" w:cs="Bookman Old Style"/>
        </w:rPr>
        <w:t xml:space="preserve">, el particular expresó como razones o motivos, </w:t>
      </w:r>
      <w:r w:rsidR="003E5081" w:rsidRPr="003E5081">
        <w:rPr>
          <w:rFonts w:ascii="Palatino Linotype" w:eastAsia="MS Mincho" w:hAnsi="Palatino Linotype" w:cs="Bookman Old Style"/>
        </w:rPr>
        <w:t xml:space="preserve">lo siguiente: </w:t>
      </w:r>
      <w:r w:rsidR="003E5081" w:rsidRPr="003E5081">
        <w:rPr>
          <w:rFonts w:ascii="Palatino Linotype" w:eastAsia="MS Mincho" w:hAnsi="Palatino Linotype" w:cs="Bookman Old Style"/>
          <w:i/>
        </w:rPr>
        <w:t xml:space="preserve">“Manifiesto mi inconformidad con la respuesta </w:t>
      </w:r>
      <w:r w:rsidR="003E5081" w:rsidRPr="003E5081">
        <w:rPr>
          <w:rFonts w:ascii="Palatino Linotype" w:eastAsia="MS Mincho" w:hAnsi="Palatino Linotype" w:cs="Bookman Old Style"/>
          <w:b/>
          <w:i/>
        </w:rPr>
        <w:t>debido a que no se entrega la información correspondiente al año 2018, por otro lado, tampoco entrega la documentación que compruebe haberse realizado dichas obras</w:t>
      </w:r>
      <w:r w:rsidR="003E5081" w:rsidRPr="003E5081">
        <w:rPr>
          <w:rFonts w:ascii="Palatino Linotype" w:eastAsia="MS Mincho" w:hAnsi="Palatino Linotype" w:cs="Bookman Old Style"/>
          <w:i/>
        </w:rPr>
        <w:t>.” (Sic)”</w:t>
      </w:r>
    </w:p>
    <w:p w:rsidR="003E5081" w:rsidRPr="003E5081" w:rsidRDefault="005A71FF" w:rsidP="003E5081">
      <w:pPr>
        <w:tabs>
          <w:tab w:val="left" w:pos="709"/>
        </w:tabs>
        <w:spacing w:before="100" w:beforeAutospacing="1" w:after="100" w:afterAutospacing="1" w:line="360" w:lineRule="auto"/>
        <w:jc w:val="both"/>
        <w:rPr>
          <w:rFonts w:ascii="Palatino Linotype" w:eastAsia="MS Mincho" w:hAnsi="Palatino Linotype" w:cs="Bookman Old Style"/>
          <w:b/>
          <w:i/>
        </w:rPr>
      </w:pPr>
      <w:r>
        <w:rPr>
          <w:rFonts w:ascii="Palatino Linotype" w:eastAsia="MS Mincho" w:hAnsi="Palatino Linotype" w:cs="Bookman Old Style"/>
        </w:rPr>
        <w:t>En</w:t>
      </w:r>
      <w:r w:rsidR="003E5081" w:rsidRPr="003E5081">
        <w:rPr>
          <w:rFonts w:ascii="Palatino Linotype" w:eastAsia="MS Mincho" w:hAnsi="Palatino Linotype" w:cs="Bookman Old Style"/>
        </w:rPr>
        <w:t xml:space="preserve"> este tenor, la parte de la respuesta concerniente a </w:t>
      </w:r>
      <w:r w:rsidR="003E5081" w:rsidRPr="003E5081">
        <w:rPr>
          <w:rFonts w:ascii="Palatino Linotype" w:eastAsia="MS Mincho" w:hAnsi="Palatino Linotype" w:cs="Bookman Old Style"/>
          <w:b/>
          <w:i/>
        </w:rPr>
        <w:t xml:space="preserve"> “la información de las obras públicas y de servicios, aprobadas y realizadas durante los años 2019, 2020, y 2021 que se hubieran realizado con recursos federales y/o estatales.” (Sic), </w:t>
      </w:r>
      <w:r w:rsidR="003E5081" w:rsidRPr="003E5081">
        <w:rPr>
          <w:rFonts w:ascii="Palatino Linotype" w:eastAsia="MS Mincho" w:hAnsi="Palatino Linotype" w:cs="Bookman Old Style"/>
        </w:rPr>
        <w:t xml:space="preserve">se tiene que no fue impugnada, por lo que consecuentemente debe declararse consentida, toda vez que, al no haber realizado manifestaciones de inconformidad al respecto, se infiere que la información proporcionada por el </w:t>
      </w:r>
      <w:r w:rsidR="003E5081" w:rsidRPr="003E5081">
        <w:rPr>
          <w:rFonts w:ascii="Palatino Linotype" w:eastAsia="MS Mincho" w:hAnsi="Palatino Linotype" w:cs="Bookman Old Style"/>
          <w:b/>
        </w:rPr>
        <w:t>Sujeto Obligado</w:t>
      </w:r>
      <w:r w:rsidR="003E5081" w:rsidRPr="003E5081">
        <w:rPr>
          <w:rFonts w:ascii="Palatino Linotype" w:eastAsia="MS Mincho" w:hAnsi="Palatino Linotype" w:cs="Bookman Old Style"/>
        </w:rPr>
        <w:t>, satisface estos puntos de la solicitud presentada.</w:t>
      </w:r>
    </w:p>
    <w:p w:rsidR="003E5081" w:rsidRPr="003E5081" w:rsidRDefault="003E5081" w:rsidP="003E5081">
      <w:pPr>
        <w:tabs>
          <w:tab w:val="left" w:pos="709"/>
        </w:tabs>
        <w:spacing w:before="100" w:beforeAutospacing="1" w:after="100" w:afterAutospacing="1" w:line="360" w:lineRule="auto"/>
        <w:jc w:val="both"/>
        <w:rPr>
          <w:rFonts w:ascii="Palatino Linotype" w:eastAsia="MS Mincho" w:hAnsi="Palatino Linotype" w:cs="Bookman Old Style"/>
        </w:rPr>
      </w:pPr>
      <w:r w:rsidRPr="003E5081">
        <w:rPr>
          <w:rFonts w:ascii="Palatino Linotype" w:eastAsia="MS Mincho" w:hAnsi="Palatino Linotype" w:cs="Bookman Old Style"/>
        </w:rPr>
        <w:t xml:space="preserve">Lo anterior es así, debido a que cuando un </w:t>
      </w:r>
      <w:r w:rsidRPr="003E5081">
        <w:rPr>
          <w:rFonts w:ascii="Palatino Linotype" w:eastAsia="MS Mincho" w:hAnsi="Palatino Linotype" w:cs="Bookman Old Style"/>
          <w:b/>
        </w:rPr>
        <w:t>Recurrente</w:t>
      </w:r>
      <w:r w:rsidRPr="003E5081">
        <w:rPr>
          <w:rFonts w:ascii="Palatino Linotype" w:eastAsia="MS Mincho" w:hAnsi="Palatino Linotype" w:cs="Bookman Old Style"/>
        </w:rPr>
        <w:t xml:space="preserve"> impugna la respuesta del </w:t>
      </w:r>
      <w:r w:rsidRPr="003E5081">
        <w:rPr>
          <w:rFonts w:ascii="Palatino Linotype" w:eastAsia="MS Mincho" w:hAnsi="Palatino Linotype" w:cs="Bookman Old Style"/>
          <w:b/>
        </w:rPr>
        <w:t>Sujeto Obligado</w:t>
      </w:r>
      <w:r w:rsidRPr="003E5081">
        <w:rPr>
          <w:rFonts w:ascii="Palatino Linotype" w:eastAsia="MS Mincho" w:hAnsi="Palatino Linotype" w:cs="Bookman Old Style"/>
        </w:rPr>
        <w:t xml:space="preserve">, y éste no expresa Razón o Motivo de Inconformidad en contra de todos los rubros solicitados, dichos rubros deben declararse atendidos, pues se entiende que el </w:t>
      </w:r>
      <w:r w:rsidRPr="003E5081">
        <w:rPr>
          <w:rFonts w:ascii="Palatino Linotype" w:eastAsia="MS Mincho" w:hAnsi="Palatino Linotype" w:cs="Bookman Old Style"/>
          <w:b/>
        </w:rPr>
        <w:t>Recurrente</w:t>
      </w:r>
      <w:r w:rsidRPr="003E5081">
        <w:rPr>
          <w:rFonts w:ascii="Palatino Linotype" w:eastAsia="MS Mincho" w:hAnsi="Palatino Linotype" w:cs="Bookman Old Style"/>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3E5081" w:rsidRPr="003E5081" w:rsidRDefault="003E5081" w:rsidP="003E5081">
      <w:pPr>
        <w:tabs>
          <w:tab w:val="left" w:pos="709"/>
        </w:tabs>
        <w:spacing w:before="100" w:beforeAutospacing="1" w:after="100" w:afterAutospacing="1"/>
        <w:ind w:left="567" w:right="900"/>
        <w:jc w:val="both"/>
        <w:rPr>
          <w:rFonts w:ascii="Palatino Linotype" w:eastAsia="MS Mincho" w:hAnsi="Palatino Linotype" w:cs="Bookman Old Style"/>
          <w:i/>
          <w:sz w:val="22"/>
        </w:rPr>
      </w:pPr>
      <w:r w:rsidRPr="003E5081">
        <w:rPr>
          <w:rFonts w:ascii="Palatino Linotype" w:eastAsia="MS Mincho" w:hAnsi="Palatino Linotype" w:cs="Bookman Old Style"/>
          <w:b/>
          <w:i/>
          <w:sz w:val="22"/>
        </w:rPr>
        <w:lastRenderedPageBreak/>
        <w:t xml:space="preserve">“REVISIÓN EN AMPARO. LOS RESOLUTIVOS NO COMBATIDOS DEBEN DECLARARSE FIRMES. </w:t>
      </w:r>
      <w:r w:rsidRPr="003E5081">
        <w:rPr>
          <w:rFonts w:ascii="Palatino Linotype" w:eastAsia="MS Mincho" w:hAnsi="Palatino Linotype" w:cs="Bookman Old Style"/>
          <w:bCs/>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3E5081" w:rsidRPr="003E5081" w:rsidRDefault="003E5081" w:rsidP="003E5081">
      <w:pPr>
        <w:tabs>
          <w:tab w:val="left" w:pos="709"/>
        </w:tabs>
        <w:spacing w:before="100" w:beforeAutospacing="1" w:after="100" w:afterAutospacing="1" w:line="360" w:lineRule="auto"/>
        <w:jc w:val="both"/>
        <w:rPr>
          <w:rFonts w:ascii="Palatino Linotype" w:eastAsia="MS Mincho" w:hAnsi="Palatino Linotype" w:cs="Bookman Old Style"/>
        </w:rPr>
      </w:pPr>
      <w:r w:rsidRPr="003E5081">
        <w:rPr>
          <w:rFonts w:ascii="Palatino Linotype" w:eastAsia="MS Mincho" w:hAnsi="Palatino Linotype" w:cs="Bookman Old Style"/>
        </w:rPr>
        <w:t xml:space="preserve">Consecuentemente, se reitera que la parte de la solicitud que no fue impugnada debe declararse consentida por la hoy Recurrente, en razón de que no se realizaron manifestaciones de inconformidad, por lo que no pueden producirse efectos jurídicos tendentes a revocar, confirmar o modificar el acto reclamado ya que se infiere un consentimiento de la Recurrente ante la falta de impugnación eficaz. </w:t>
      </w:r>
    </w:p>
    <w:p w:rsidR="003E5081" w:rsidRPr="003E5081" w:rsidRDefault="003E5081" w:rsidP="003E5081">
      <w:pPr>
        <w:tabs>
          <w:tab w:val="left" w:pos="709"/>
        </w:tabs>
        <w:spacing w:before="100" w:beforeAutospacing="1" w:after="100" w:afterAutospacing="1" w:line="360" w:lineRule="auto"/>
        <w:jc w:val="both"/>
        <w:rPr>
          <w:rFonts w:ascii="Palatino Linotype" w:eastAsia="MS Mincho" w:hAnsi="Palatino Linotype" w:cs="Bookman Old Style"/>
        </w:rPr>
      </w:pPr>
      <w:r w:rsidRPr="003E5081">
        <w:rPr>
          <w:rFonts w:ascii="Palatino Linotype" w:eastAsia="MS Mincho" w:hAnsi="Palatino Linotype" w:cs="Bookman Old Style"/>
        </w:rPr>
        <w:t>Sirve de sustento a lo anterior por analogía la tesis jurisprudencial número VI.3o.C. J/60, publicada en el Semanario Judicial de la Federación y su Gaceta bajo el número de registro 176,608 que a la letra dice:</w:t>
      </w:r>
    </w:p>
    <w:p w:rsidR="003E5081" w:rsidRPr="003E5081" w:rsidRDefault="003E5081" w:rsidP="003E5081">
      <w:pPr>
        <w:tabs>
          <w:tab w:val="left" w:pos="709"/>
        </w:tabs>
        <w:spacing w:before="100" w:beforeAutospacing="1" w:after="100" w:afterAutospacing="1"/>
        <w:ind w:left="567" w:right="902"/>
        <w:jc w:val="both"/>
        <w:rPr>
          <w:rFonts w:ascii="Palatino Linotype" w:eastAsia="MS Mincho" w:hAnsi="Palatino Linotype" w:cs="Bookman Old Style"/>
          <w:sz w:val="22"/>
          <w:lang w:val="es-MX"/>
        </w:rPr>
      </w:pPr>
      <w:r w:rsidRPr="003E5081">
        <w:rPr>
          <w:rFonts w:ascii="Palatino Linotype" w:eastAsia="MS Mincho" w:hAnsi="Palatino Linotype" w:cs="Bookman Old Style"/>
          <w:b/>
          <w:bCs/>
          <w:i/>
          <w:sz w:val="22"/>
        </w:rPr>
        <w:t xml:space="preserve">“ACTOS CONSENTIDOS. SON LOS QUE NO SE IMPUGNAN MEDIANTE EL RECURSO IDÓNEO. </w:t>
      </w:r>
      <w:r w:rsidRPr="003E5081">
        <w:rPr>
          <w:rFonts w:ascii="Palatino Linotype" w:eastAsia="MS Mincho" w:hAnsi="Palatino Linotype" w:cs="Bookman Old Style"/>
          <w:i/>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D91EA1" w:rsidRDefault="0030572E" w:rsidP="003E5081">
      <w:pPr>
        <w:spacing w:before="100" w:beforeAutospacing="1" w:after="100" w:afterAutospacing="1" w:line="360" w:lineRule="auto"/>
        <w:contextualSpacing/>
        <w:jc w:val="both"/>
        <w:rPr>
          <w:rFonts w:ascii="Palatino Linotype" w:hAnsi="Palatino Linotype" w:cs="Arial"/>
        </w:rPr>
      </w:pPr>
      <w:r w:rsidRPr="0030572E">
        <w:rPr>
          <w:rFonts w:ascii="Palatino Linotype" w:hAnsi="Palatino Linotype" w:cs="Arial"/>
          <w:lang w:val="es-MX"/>
        </w:rPr>
        <w:t xml:space="preserve">Bajo ese contexto, este Instituto analizó la totalidad de constancias que integran el expediente electrónico y advirtió que las razones o motivos de inconformidad hechas valer por </w:t>
      </w:r>
      <w:r w:rsidRPr="0030572E">
        <w:rPr>
          <w:rFonts w:ascii="Palatino Linotype" w:hAnsi="Palatino Linotype" w:cs="Arial"/>
          <w:b/>
          <w:lang w:val="es-MX"/>
        </w:rPr>
        <w:t>el Recurrente</w:t>
      </w:r>
      <w:r w:rsidRPr="0030572E">
        <w:rPr>
          <w:rFonts w:ascii="Palatino Linotype" w:hAnsi="Palatino Linotype" w:cs="Arial"/>
          <w:lang w:val="es-MX"/>
        </w:rPr>
        <w:t xml:space="preserve"> devienen </w:t>
      </w:r>
      <w:r w:rsidRPr="0030572E">
        <w:rPr>
          <w:rFonts w:ascii="Palatino Linotype" w:hAnsi="Palatino Linotype" w:cs="Arial"/>
          <w:b/>
          <w:lang w:val="es-MX"/>
        </w:rPr>
        <w:t>fundados</w:t>
      </w:r>
      <w:r w:rsidR="009B6878">
        <w:rPr>
          <w:rFonts w:ascii="Palatino Linotype" w:hAnsi="Palatino Linotype" w:cs="Arial"/>
          <w:lang w:val="es-MX"/>
        </w:rPr>
        <w:t xml:space="preserve">; en razón de que </w:t>
      </w:r>
      <w:r w:rsidRPr="0030572E">
        <w:rPr>
          <w:rFonts w:ascii="Palatino Linotype" w:hAnsi="Palatino Linotype" w:cs="Arial"/>
          <w:lang w:val="es-MX"/>
        </w:rPr>
        <w:t xml:space="preserve">el </w:t>
      </w:r>
      <w:r w:rsidRPr="0030572E">
        <w:rPr>
          <w:rFonts w:ascii="Palatino Linotype" w:hAnsi="Palatino Linotype" w:cs="Arial"/>
          <w:b/>
          <w:bCs/>
          <w:lang w:val="es-MX"/>
        </w:rPr>
        <w:t xml:space="preserve">Sujeto </w:t>
      </w:r>
      <w:r w:rsidRPr="0030572E">
        <w:rPr>
          <w:rFonts w:ascii="Palatino Linotype" w:hAnsi="Palatino Linotype" w:cs="Arial"/>
          <w:b/>
          <w:bCs/>
          <w:lang w:val="es-MX"/>
        </w:rPr>
        <w:lastRenderedPageBreak/>
        <w:t xml:space="preserve">Obligado </w:t>
      </w:r>
      <w:r w:rsidRPr="0030572E">
        <w:rPr>
          <w:rFonts w:ascii="Palatino Linotype" w:hAnsi="Palatino Linotype" w:cs="Arial"/>
          <w:lang w:val="es-MX"/>
        </w:rPr>
        <w:t>no colmó en su totalidad, el derecho de acceso a la inform</w:t>
      </w:r>
      <w:r w:rsidR="009B6878">
        <w:rPr>
          <w:rFonts w:ascii="Palatino Linotype" w:hAnsi="Palatino Linotype" w:cs="Arial"/>
          <w:lang w:val="es-MX"/>
        </w:rPr>
        <w:t>ación que le asiste ya que entregó</w:t>
      </w:r>
      <w:r w:rsidRPr="0030572E">
        <w:rPr>
          <w:rFonts w:ascii="Palatino Linotype" w:hAnsi="Palatino Linotype" w:cs="Arial"/>
          <w:lang w:val="es-MX"/>
        </w:rPr>
        <w:t xml:space="preserve"> la información incompleta; </w:t>
      </w:r>
      <w:r w:rsidR="009B6878">
        <w:rPr>
          <w:rFonts w:ascii="Palatino Linotype" w:hAnsi="Palatino Linotype" w:cs="Arial"/>
          <w:lang w:val="es-MX"/>
        </w:rPr>
        <w:t xml:space="preserve">toda vez </w:t>
      </w:r>
      <w:r w:rsidRPr="0030572E">
        <w:rPr>
          <w:rFonts w:ascii="Palatino Linotype" w:hAnsi="Palatino Linotype" w:cs="Arial"/>
          <w:lang w:val="es-MX"/>
        </w:rPr>
        <w:t>que éste desahogó su so</w:t>
      </w:r>
      <w:r w:rsidR="00FA35FA">
        <w:rPr>
          <w:rFonts w:ascii="Palatino Linotype" w:hAnsi="Palatino Linotype" w:cs="Arial"/>
          <w:lang w:val="es-MX"/>
        </w:rPr>
        <w:t>licitud de manera parcial, ya que</w:t>
      </w:r>
      <w:r w:rsidRPr="0030572E">
        <w:rPr>
          <w:rFonts w:ascii="Palatino Linotype" w:hAnsi="Palatino Linotype" w:cs="Arial"/>
          <w:lang w:val="es-MX"/>
        </w:rPr>
        <w:t xml:space="preserve"> </w:t>
      </w:r>
      <w:r w:rsidR="00B823EC" w:rsidRPr="00B823EC">
        <w:rPr>
          <w:rFonts w:ascii="Palatino Linotype" w:hAnsi="Palatino Linotype" w:cs="Arial"/>
        </w:rPr>
        <w:t>sobre los años 2019, 2020 y 2021 remitió una relación de obras realizadas</w:t>
      </w:r>
      <w:r w:rsidR="00B823EC" w:rsidRPr="00FA21DC">
        <w:rPr>
          <w:rFonts w:ascii="Palatino Linotype" w:hAnsi="Palatino Linotype" w:cs="Arial"/>
        </w:rPr>
        <w:t xml:space="preserve">, señalando </w:t>
      </w:r>
      <w:r w:rsidR="00FA21DC" w:rsidRPr="00FA21DC">
        <w:rPr>
          <w:rFonts w:ascii="Palatino Linotype" w:hAnsi="Palatino Linotype" w:cs="Arial"/>
        </w:rPr>
        <w:t xml:space="preserve">en el primer listado el </w:t>
      </w:r>
      <w:r w:rsidR="00B823EC" w:rsidRPr="00FA21DC">
        <w:rPr>
          <w:rFonts w:ascii="Palatino Linotype" w:hAnsi="Palatino Linotype" w:cs="Arial"/>
        </w:rPr>
        <w:t xml:space="preserve">nombre, ubicación y el importe autorizado, </w:t>
      </w:r>
      <w:r w:rsidR="00D91EA1">
        <w:rPr>
          <w:rFonts w:ascii="Palatino Linotype" w:hAnsi="Palatino Linotype" w:cs="Arial"/>
          <w:color w:val="000000" w:themeColor="text1"/>
        </w:rPr>
        <w:t>a</w:t>
      </w:r>
      <w:r w:rsidR="00FA21DC" w:rsidRPr="00FA21DC">
        <w:rPr>
          <w:rFonts w:ascii="Palatino Linotype" w:hAnsi="Palatino Linotype" w:cs="Arial"/>
          <w:color w:val="000000" w:themeColor="text1"/>
        </w:rPr>
        <w:t>simismo</w:t>
      </w:r>
      <w:r w:rsidR="00FA21DC">
        <w:rPr>
          <w:rFonts w:ascii="Palatino Linotype" w:hAnsi="Palatino Linotype" w:cs="Arial"/>
          <w:color w:val="000000" w:themeColor="text1"/>
        </w:rPr>
        <w:t xml:space="preserve">, </w:t>
      </w:r>
      <w:r w:rsidR="00D91EA1">
        <w:rPr>
          <w:rFonts w:ascii="Palatino Linotype" w:hAnsi="Palatino Linotype" w:cs="Arial"/>
          <w:color w:val="000000" w:themeColor="text1"/>
        </w:rPr>
        <w:t xml:space="preserve">en el segundo listado </w:t>
      </w:r>
      <w:r w:rsidR="00FA21DC">
        <w:rPr>
          <w:rFonts w:ascii="Palatino Linotype" w:hAnsi="Palatino Linotype" w:cs="Arial"/>
          <w:color w:val="000000" w:themeColor="text1"/>
        </w:rPr>
        <w:t>precisó</w:t>
      </w:r>
      <w:r w:rsidR="00FA35FA" w:rsidRPr="00FA21DC">
        <w:rPr>
          <w:rFonts w:ascii="Palatino Linotype" w:hAnsi="Palatino Linotype" w:cs="Arial"/>
          <w:color w:val="000000" w:themeColor="text1"/>
        </w:rPr>
        <w:t xml:space="preserve"> que no se realizaron </w:t>
      </w:r>
      <w:r w:rsidR="00B823EC" w:rsidRPr="00FA21DC">
        <w:rPr>
          <w:rFonts w:ascii="Palatino Linotype" w:hAnsi="Palatino Linotype" w:cs="Arial"/>
          <w:color w:val="000000" w:themeColor="text1"/>
        </w:rPr>
        <w:t xml:space="preserve">obras con recurso federales </w:t>
      </w:r>
      <w:r w:rsidR="00B823EC" w:rsidRPr="00FA21DC">
        <w:rPr>
          <w:rFonts w:ascii="Palatino Linotype" w:hAnsi="Palatino Linotype" w:cs="Arial"/>
        </w:rPr>
        <w:t>pero</w:t>
      </w:r>
      <w:r w:rsidR="00B823EC" w:rsidRPr="00B823EC">
        <w:rPr>
          <w:rFonts w:ascii="Palatino Linotype" w:hAnsi="Palatino Linotype" w:cs="Arial"/>
        </w:rPr>
        <w:t xml:space="preserve"> remitió una relación de </w:t>
      </w:r>
      <w:r w:rsidR="00B823EC">
        <w:rPr>
          <w:rFonts w:ascii="Palatino Linotype" w:hAnsi="Palatino Linotype" w:cs="Arial"/>
        </w:rPr>
        <w:t xml:space="preserve">las </w:t>
      </w:r>
      <w:r w:rsidR="00B823EC" w:rsidRPr="00B823EC">
        <w:rPr>
          <w:rFonts w:ascii="Palatino Linotype" w:hAnsi="Palatino Linotype" w:cs="Arial"/>
        </w:rPr>
        <w:t>obras realizadas con recursos estatales</w:t>
      </w:r>
      <w:r w:rsidR="00B823EC">
        <w:rPr>
          <w:rFonts w:ascii="Palatino Linotype" w:hAnsi="Palatino Linotype" w:cs="Arial"/>
        </w:rPr>
        <w:t xml:space="preserve">, </w:t>
      </w:r>
      <w:r w:rsidR="00B823EC" w:rsidRPr="00B823EC">
        <w:rPr>
          <w:rFonts w:ascii="Palatino Linotype" w:hAnsi="Palatino Linotype" w:cs="Arial"/>
        </w:rPr>
        <w:t>detalla</w:t>
      </w:r>
      <w:r w:rsidR="00B823EC">
        <w:rPr>
          <w:rFonts w:ascii="Palatino Linotype" w:hAnsi="Palatino Linotype" w:cs="Arial"/>
        </w:rPr>
        <w:t>ndo</w:t>
      </w:r>
      <w:r w:rsidR="00B823EC" w:rsidRPr="00B823EC">
        <w:rPr>
          <w:rFonts w:ascii="Palatino Linotype" w:hAnsi="Palatino Linotype" w:cs="Arial"/>
        </w:rPr>
        <w:t xml:space="preserve"> el año, nombre de la obra, ubicación, importe</w:t>
      </w:r>
      <w:r w:rsidR="00B823EC">
        <w:rPr>
          <w:rFonts w:ascii="Palatino Linotype" w:hAnsi="Palatino Linotype" w:cs="Arial"/>
        </w:rPr>
        <w:t xml:space="preserve"> autorizado y estado que guarda de los ejercici</w:t>
      </w:r>
      <w:r w:rsidR="003E5081">
        <w:rPr>
          <w:rFonts w:ascii="Palatino Linotype" w:hAnsi="Palatino Linotype" w:cs="Arial"/>
        </w:rPr>
        <w:t xml:space="preserve">os fiscales 2019, 2020 y 2021. </w:t>
      </w:r>
    </w:p>
    <w:p w:rsidR="003E5081" w:rsidRDefault="003E5081" w:rsidP="003E5081">
      <w:pPr>
        <w:spacing w:before="100" w:beforeAutospacing="1" w:after="100" w:afterAutospacing="1" w:line="360" w:lineRule="auto"/>
        <w:contextualSpacing/>
        <w:jc w:val="both"/>
        <w:rPr>
          <w:rFonts w:ascii="Palatino Linotype" w:hAnsi="Palatino Linotype" w:cs="Arial"/>
        </w:rPr>
      </w:pPr>
    </w:p>
    <w:p w:rsidR="00D91EA1" w:rsidRPr="00D91EA1" w:rsidRDefault="00FA35FA" w:rsidP="00D91EA1">
      <w:pPr>
        <w:spacing w:before="240" w:after="240" w:line="360" w:lineRule="auto"/>
        <w:ind w:right="49"/>
        <w:jc w:val="both"/>
        <w:rPr>
          <w:rFonts w:ascii="Palatino Linotype" w:hAnsi="Palatino Linotype" w:cs="Arial"/>
          <w:lang w:val="es-MX" w:eastAsia="es-MX"/>
        </w:rPr>
      </w:pPr>
      <w:r w:rsidRPr="00D91EA1">
        <w:rPr>
          <w:rFonts w:ascii="Palatino Linotype" w:hAnsi="Palatino Linotype" w:cs="Arial"/>
          <w:color w:val="000000" w:themeColor="text1"/>
        </w:rPr>
        <w:t xml:space="preserve">Luego entonces respecto a </w:t>
      </w:r>
      <w:r w:rsidR="00D91EA1">
        <w:rPr>
          <w:rFonts w:ascii="Palatino Linotype" w:hAnsi="Palatino Linotype" w:cs="Arial"/>
          <w:color w:val="000000" w:themeColor="text1"/>
        </w:rPr>
        <w:t xml:space="preserve">la información concerniente a </w:t>
      </w:r>
      <w:r w:rsidRPr="00D91EA1">
        <w:rPr>
          <w:rFonts w:ascii="Palatino Linotype" w:hAnsi="Palatino Linotype" w:cs="Arial"/>
          <w:color w:val="000000" w:themeColor="text1"/>
        </w:rPr>
        <w:t>las obras realizadas con recursos federales de lo</w:t>
      </w:r>
      <w:r w:rsidR="00D91EA1">
        <w:rPr>
          <w:rFonts w:ascii="Palatino Linotype" w:hAnsi="Palatino Linotype" w:cs="Arial"/>
          <w:color w:val="000000" w:themeColor="text1"/>
        </w:rPr>
        <w:t xml:space="preserve">s años 2019, 2020 y 2021, </w:t>
      </w:r>
      <w:r w:rsidR="00D91EA1" w:rsidRPr="00D91EA1">
        <w:rPr>
          <w:rFonts w:ascii="Palatino Linotype" w:hAnsi="Palatino Linotype"/>
          <w:lang w:val="es-MX" w:eastAsia="es-MX"/>
        </w:rPr>
        <w:t xml:space="preserve">debe precisarse que </w:t>
      </w:r>
      <w:r w:rsidR="00D91EA1" w:rsidRPr="00D91EA1">
        <w:rPr>
          <w:rFonts w:ascii="Palatino Linotype" w:hAnsi="Palatino Linotype" w:cs="Arial"/>
          <w:lang w:val="es-MX" w:eastAsia="es-MX"/>
        </w:rPr>
        <w:t xml:space="preserve">en la especie se actualiza el supuesto de un hecho de naturaleza negativa, el cual no puede acreditarse documentalmente, ya que no puede probarse un hecho negativo por ser lógica y materialmente imposible, discernimiento que encuentra apoyo en la siguiente tesis: </w:t>
      </w:r>
    </w:p>
    <w:p w:rsidR="00D91EA1" w:rsidRPr="00D91EA1" w:rsidRDefault="00D91EA1" w:rsidP="00D91EA1">
      <w:pPr>
        <w:spacing w:before="120" w:after="120"/>
        <w:ind w:left="567" w:right="1466"/>
        <w:jc w:val="both"/>
        <w:rPr>
          <w:rFonts w:ascii="Palatino Linotype" w:hAnsi="Palatino Linotype" w:cs="Arial"/>
          <w:i/>
          <w:sz w:val="22"/>
          <w:szCs w:val="22"/>
          <w:lang w:val="es-MX" w:eastAsia="es-MX"/>
        </w:rPr>
      </w:pPr>
      <w:r w:rsidRPr="00D91EA1">
        <w:rPr>
          <w:rFonts w:ascii="Palatino Linotype" w:hAnsi="Palatino Linotype" w:cs="Arial"/>
          <w:b/>
          <w:i/>
          <w:sz w:val="22"/>
          <w:szCs w:val="22"/>
          <w:lang w:val="es-MX" w:eastAsia="es-MX"/>
        </w:rPr>
        <w:t>“HECHOS NEGATIVOS, NO SON SUSCEPTIBLES DE DEMOSTRACIÓN</w:t>
      </w:r>
      <w:r w:rsidRPr="00D91EA1">
        <w:rPr>
          <w:rFonts w:ascii="Palatino Linotype" w:hAnsi="Palatino Linotype" w:cs="Arial"/>
          <w:i/>
          <w:sz w:val="22"/>
          <w:szCs w:val="22"/>
          <w:lang w:val="es-MX" w:eastAsia="es-MX"/>
        </w:rPr>
        <w:t xml:space="preserve">. </w:t>
      </w:r>
    </w:p>
    <w:p w:rsidR="00D91EA1" w:rsidRPr="00D91EA1" w:rsidRDefault="00D91EA1" w:rsidP="00D91EA1">
      <w:pPr>
        <w:ind w:left="567" w:right="1466"/>
        <w:jc w:val="both"/>
        <w:rPr>
          <w:rFonts w:ascii="Palatino Linotype" w:hAnsi="Palatino Linotype" w:cs="Arial"/>
          <w:i/>
          <w:sz w:val="22"/>
          <w:szCs w:val="22"/>
          <w:lang w:val="es-MX" w:eastAsia="es-MX"/>
        </w:rPr>
      </w:pPr>
      <w:r w:rsidRPr="00D91EA1">
        <w:rPr>
          <w:rFonts w:ascii="Palatino Linotype" w:hAnsi="Palatino Linotype" w:cs="Arial"/>
          <w:i/>
          <w:sz w:val="22"/>
          <w:szCs w:val="22"/>
          <w:lang w:val="es-MX" w:eastAsia="es-MX"/>
        </w:rPr>
        <w:t>Tratándose de un hecho negativo, el Juez no tiene por qué invocar prueba alguna de la que se desprenda, ya que es bien sabido que esta clase de hechos no son susceptibles de demostración.</w:t>
      </w:r>
    </w:p>
    <w:p w:rsidR="00D91EA1" w:rsidRPr="00D91EA1" w:rsidRDefault="00D91EA1" w:rsidP="00D91EA1">
      <w:pPr>
        <w:ind w:left="567" w:right="1466"/>
        <w:jc w:val="both"/>
        <w:rPr>
          <w:rFonts w:ascii="Palatino Linotype" w:hAnsi="Palatino Linotype" w:cs="Arial"/>
          <w:i/>
          <w:sz w:val="22"/>
          <w:szCs w:val="22"/>
          <w:lang w:val="es-MX" w:eastAsia="es-MX"/>
        </w:rPr>
      </w:pPr>
    </w:p>
    <w:p w:rsidR="00D91EA1" w:rsidRPr="00D91EA1" w:rsidRDefault="00D91EA1" w:rsidP="00D91EA1">
      <w:pPr>
        <w:spacing w:before="120" w:after="120"/>
        <w:ind w:left="567" w:right="1466"/>
        <w:jc w:val="both"/>
        <w:rPr>
          <w:rFonts w:ascii="Palatino Linotype" w:hAnsi="Palatino Linotype" w:cs="Arial"/>
          <w:i/>
          <w:sz w:val="22"/>
          <w:szCs w:val="22"/>
          <w:lang w:val="es-MX" w:eastAsia="es-MX"/>
        </w:rPr>
      </w:pPr>
      <w:r w:rsidRPr="00D91EA1">
        <w:rPr>
          <w:rFonts w:ascii="Palatino Linotype" w:hAnsi="Palatino Linotype" w:cs="Arial"/>
          <w:i/>
          <w:sz w:val="22"/>
          <w:szCs w:val="22"/>
          <w:lang w:val="es-MX" w:eastAsia="es-MX"/>
        </w:rPr>
        <w:t>Amparo en revisión 2022/61. José García Florín (Menor). 9 de octubre de 1961. Cinco votos. Ponente: José Rivera Pérez Campos.” (Sic)</w:t>
      </w:r>
    </w:p>
    <w:p w:rsidR="00D91EA1" w:rsidRPr="00D91EA1" w:rsidRDefault="00D91EA1" w:rsidP="00D91EA1">
      <w:pPr>
        <w:ind w:left="284" w:right="615"/>
        <w:contextualSpacing/>
        <w:jc w:val="both"/>
        <w:rPr>
          <w:rFonts w:ascii="Palatino Linotype" w:hAnsi="Palatino Linotype" w:cs="Arial"/>
          <w:i/>
          <w:sz w:val="16"/>
          <w:szCs w:val="16"/>
          <w:lang w:val="es-MX" w:eastAsia="es-MX"/>
        </w:rPr>
      </w:pPr>
    </w:p>
    <w:p w:rsidR="00B823EC" w:rsidRPr="0030572E" w:rsidRDefault="00D91EA1" w:rsidP="00D91EA1">
      <w:pPr>
        <w:spacing w:before="240" w:after="240" w:line="360" w:lineRule="auto"/>
        <w:ind w:right="49"/>
        <w:jc w:val="both"/>
        <w:rPr>
          <w:rFonts w:ascii="Palatino Linotype" w:hAnsi="Palatino Linotype" w:cs="Arial"/>
          <w:lang w:val="es-MX" w:eastAsia="es-MX"/>
        </w:rPr>
      </w:pPr>
      <w:r w:rsidRPr="00D91EA1">
        <w:rPr>
          <w:rFonts w:ascii="Palatino Linotype" w:hAnsi="Palatino Linotype" w:cs="Arial"/>
          <w:lang w:val="es-MX" w:eastAsia="es-MX"/>
        </w:rPr>
        <w:lastRenderedPageBreak/>
        <w:t xml:space="preserve">Asimismo, cabe precisar que en el caso concreto, no se trataría de un caso por el cual la negación del hecho implique la afirmación del mismo, sino que se estaría ante una notoria y evidente inexistencia fáctica de la información solicitada, caso en el cual, en obviedad de circunstancias, no se está obligado a justificar o fundamentar la inexistencia de la documentación. </w:t>
      </w:r>
    </w:p>
    <w:p w:rsidR="00BD26AA" w:rsidRDefault="001A0B5D">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con el propósito de garantizar el efectivo ejercicio del derecho de acceso a la información pública que asiste al particular, resulta conveniente entrar al estudio de las siguientes consideraciones de hecho y derecho: </w:t>
      </w:r>
    </w:p>
    <w:p w:rsidR="00D91EA1" w:rsidRPr="00D91EA1" w:rsidRDefault="001A0B5D" w:rsidP="00B04463">
      <w:pPr>
        <w:spacing w:before="240" w:after="240" w:line="360" w:lineRule="auto"/>
        <w:ind w:right="49"/>
        <w:jc w:val="both"/>
        <w:rPr>
          <w:rFonts w:ascii="Palatino Linotype" w:eastAsia="Palatino Linotype" w:hAnsi="Palatino Linotype" w:cs="Palatino Linotype"/>
          <w:b/>
          <w:color w:val="000000" w:themeColor="text1"/>
          <w:lang w:val="es-MX"/>
        </w:rPr>
      </w:pPr>
      <w:r w:rsidRPr="00D91EA1">
        <w:rPr>
          <w:rFonts w:ascii="Palatino Linotype" w:eastAsia="Palatino Linotype" w:hAnsi="Palatino Linotype" w:cs="Palatino Linotype"/>
          <w:b/>
          <w:color w:val="000000" w:themeColor="text1"/>
        </w:rPr>
        <w:t xml:space="preserve">1.- </w:t>
      </w:r>
      <w:r w:rsidR="00873CFC" w:rsidRPr="00D91EA1">
        <w:rPr>
          <w:rFonts w:ascii="Palatino Linotype" w:eastAsia="Palatino Linotype" w:hAnsi="Palatino Linotype" w:cs="Palatino Linotype"/>
          <w:b/>
          <w:color w:val="000000" w:themeColor="text1"/>
        </w:rPr>
        <w:t xml:space="preserve">De </w:t>
      </w:r>
      <w:r w:rsidR="00873CFC" w:rsidRPr="00D91EA1">
        <w:rPr>
          <w:rFonts w:ascii="Palatino Linotype" w:eastAsia="Palatino Linotype" w:hAnsi="Palatino Linotype" w:cs="Palatino Linotype"/>
          <w:b/>
          <w:color w:val="000000" w:themeColor="text1"/>
          <w:lang w:val="es-MX"/>
        </w:rPr>
        <w:t xml:space="preserve">la información relativa a las obras </w:t>
      </w:r>
      <w:r w:rsidR="00D91EA1" w:rsidRPr="00D91EA1">
        <w:rPr>
          <w:rFonts w:ascii="Palatino Linotype" w:eastAsia="Palatino Linotype" w:hAnsi="Palatino Linotype" w:cs="Palatino Linotype"/>
          <w:b/>
          <w:color w:val="000000" w:themeColor="text1"/>
          <w:lang w:val="es-MX"/>
        </w:rPr>
        <w:t>públicas</w:t>
      </w:r>
    </w:p>
    <w:p w:rsidR="00873CFC" w:rsidRDefault="00580AD2" w:rsidP="00B04463">
      <w:pPr>
        <w:spacing w:before="240" w:after="240" w:line="360" w:lineRule="auto"/>
        <w:ind w:right="49"/>
        <w:jc w:val="both"/>
        <w:rPr>
          <w:rFonts w:ascii="Palatino Linotype" w:eastAsia="Palatino Linotype" w:hAnsi="Palatino Linotype" w:cs="Palatino Linotype"/>
          <w:lang w:val="es-MX"/>
        </w:rPr>
      </w:pPr>
      <w:r w:rsidRPr="00580AD2">
        <w:rPr>
          <w:rFonts w:ascii="Palatino Linotype" w:eastAsia="Palatino Linotype" w:hAnsi="Palatino Linotype" w:cs="Palatino Linotype"/>
          <w:lang w:val="es-MX"/>
        </w:rPr>
        <w:t>De</w:t>
      </w:r>
      <w:r>
        <w:rPr>
          <w:rFonts w:ascii="Palatino Linotype" w:eastAsia="Palatino Linotype" w:hAnsi="Palatino Linotype" w:cs="Palatino Linotype"/>
          <w:lang w:val="es-MX"/>
        </w:rPr>
        <w:t xml:space="preserve">bemos </w:t>
      </w:r>
      <w:r w:rsidR="009B6878">
        <w:rPr>
          <w:rFonts w:ascii="Palatino Linotype" w:eastAsia="Palatino Linotype" w:hAnsi="Palatino Linotype" w:cs="Palatino Linotype"/>
          <w:lang w:val="es-MX"/>
        </w:rPr>
        <w:t xml:space="preserve">reiterar </w:t>
      </w:r>
      <w:r>
        <w:rPr>
          <w:rFonts w:ascii="Palatino Linotype" w:eastAsia="Palatino Linotype" w:hAnsi="Palatino Linotype" w:cs="Palatino Linotype"/>
          <w:lang w:val="es-MX"/>
        </w:rPr>
        <w:t xml:space="preserve">que sobre este punto, el </w:t>
      </w:r>
      <w:r w:rsidRPr="00580AD2">
        <w:rPr>
          <w:rFonts w:ascii="Palatino Linotype" w:eastAsia="Palatino Linotype" w:hAnsi="Palatino Linotype" w:cs="Palatino Linotype"/>
          <w:b/>
          <w:lang w:val="es-MX"/>
        </w:rPr>
        <w:t>Sujeto Obligado</w:t>
      </w:r>
      <w:r>
        <w:rPr>
          <w:rFonts w:ascii="Palatino Linotype" w:eastAsia="Palatino Linotype" w:hAnsi="Palatino Linotype" w:cs="Palatino Linotype"/>
          <w:lang w:val="es-MX"/>
        </w:rPr>
        <w:t xml:space="preserve"> </w:t>
      </w:r>
      <w:r w:rsidR="005407CC">
        <w:rPr>
          <w:rFonts w:ascii="Palatino Linotype" w:eastAsia="Palatino Linotype" w:hAnsi="Palatino Linotype" w:cs="Palatino Linotype"/>
          <w:lang w:val="es-MX"/>
        </w:rPr>
        <w:t xml:space="preserve">por conducto de la Dirección de Desarrollo Urbano y Obra Pública </w:t>
      </w:r>
      <w:r>
        <w:rPr>
          <w:rFonts w:ascii="Palatino Linotype" w:eastAsia="Palatino Linotype" w:hAnsi="Palatino Linotype" w:cs="Palatino Linotype"/>
          <w:lang w:val="es-MX"/>
        </w:rPr>
        <w:t xml:space="preserve">manifestó lo siguiente: </w:t>
      </w:r>
    </w:p>
    <w:p w:rsidR="00D91EA1" w:rsidRDefault="00D91EA1" w:rsidP="00B04463">
      <w:pPr>
        <w:spacing w:before="240" w:after="240" w:line="360" w:lineRule="auto"/>
        <w:ind w:right="49"/>
        <w:jc w:val="both"/>
        <w:rPr>
          <w:rFonts w:ascii="Palatino Linotype" w:eastAsia="Palatino Linotype" w:hAnsi="Palatino Linotype" w:cs="Palatino Linotype"/>
          <w:lang w:val="es-MX"/>
        </w:rPr>
      </w:pPr>
      <w:r>
        <w:rPr>
          <w:rFonts w:ascii="Palatino Linotype" w:eastAsia="Palatino Linotype" w:hAnsi="Palatino Linotype" w:cs="Palatino Linotype"/>
          <w:b/>
          <w:bCs/>
        </w:rPr>
        <w:t xml:space="preserve">Solicitud de información </w:t>
      </w:r>
      <w:r w:rsidRPr="00D91EA1">
        <w:rPr>
          <w:rFonts w:ascii="Palatino Linotype" w:eastAsia="Palatino Linotype" w:hAnsi="Palatino Linotype" w:cs="Palatino Linotype"/>
          <w:b/>
          <w:bCs/>
        </w:rPr>
        <w:t>00793/ECATEPEC/IP/2021</w:t>
      </w:r>
      <w:r>
        <w:rPr>
          <w:rFonts w:ascii="Palatino Linotype" w:eastAsia="Palatino Linotype" w:hAnsi="Palatino Linotype" w:cs="Palatino Linotype"/>
          <w:b/>
          <w:bCs/>
        </w:rPr>
        <w:t>:</w:t>
      </w:r>
      <w:r w:rsidRPr="00D91EA1">
        <w:rPr>
          <w:rFonts w:ascii="Palatino Linotype" w:eastAsia="Palatino Linotype" w:hAnsi="Palatino Linotype" w:cs="Palatino Linotype"/>
          <w:b/>
        </w:rPr>
        <w:t xml:space="preserve">  </w:t>
      </w:r>
    </w:p>
    <w:p w:rsidR="00580AD2" w:rsidRPr="00580AD2" w:rsidRDefault="00580AD2" w:rsidP="00B04463">
      <w:pPr>
        <w:spacing w:before="240" w:after="240" w:line="360" w:lineRule="auto"/>
        <w:ind w:right="49"/>
        <w:jc w:val="both"/>
        <w:rPr>
          <w:rFonts w:ascii="Palatino Linotype" w:eastAsia="Palatino Linotype" w:hAnsi="Palatino Linotype" w:cs="Palatino Linotype"/>
          <w:lang w:val="es-MX"/>
        </w:rPr>
      </w:pPr>
      <w:r>
        <w:rPr>
          <w:rFonts w:ascii="Palatino Linotype" w:eastAsia="Palatino Linotype" w:hAnsi="Palatino Linotype" w:cs="Palatino Linotype"/>
          <w:noProof/>
          <w:lang w:val="es-MX" w:eastAsia="es-MX"/>
        </w:rPr>
        <w:drawing>
          <wp:inline distT="0" distB="0" distL="0" distR="0">
            <wp:extent cx="5610225" cy="8286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0225" cy="828675"/>
                    </a:xfrm>
                    <a:prstGeom prst="rect">
                      <a:avLst/>
                    </a:prstGeom>
                    <a:noFill/>
                    <a:ln>
                      <a:noFill/>
                    </a:ln>
                  </pic:spPr>
                </pic:pic>
              </a:graphicData>
            </a:graphic>
          </wp:inline>
        </w:drawing>
      </w:r>
    </w:p>
    <w:p w:rsidR="00873CFC" w:rsidRDefault="00DD56C9" w:rsidP="00B04463">
      <w:pPr>
        <w:spacing w:before="240" w:after="240" w:line="360" w:lineRule="auto"/>
        <w:ind w:right="49"/>
        <w:jc w:val="both"/>
        <w:rPr>
          <w:rFonts w:ascii="Palatino Linotype" w:eastAsia="Palatino Linotype" w:hAnsi="Palatino Linotype" w:cs="Palatino Linotype"/>
          <w:b/>
          <w:lang w:val="es-MX"/>
        </w:rPr>
      </w:pPr>
      <w:r>
        <w:rPr>
          <w:rFonts w:ascii="Palatino Linotype" w:eastAsia="Palatino Linotype" w:hAnsi="Palatino Linotype" w:cs="Palatino Linotype"/>
          <w:b/>
          <w:noProof/>
          <w:lang w:val="es-MX" w:eastAsia="es-MX"/>
        </w:rPr>
        <w:lastRenderedPageBreak/>
        <w:drawing>
          <wp:inline distT="0" distB="0" distL="0" distR="0">
            <wp:extent cx="5610225" cy="71247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0225" cy="7124700"/>
                    </a:xfrm>
                    <a:prstGeom prst="rect">
                      <a:avLst/>
                    </a:prstGeom>
                    <a:noFill/>
                    <a:ln>
                      <a:noFill/>
                    </a:ln>
                  </pic:spPr>
                </pic:pic>
              </a:graphicData>
            </a:graphic>
          </wp:inline>
        </w:drawing>
      </w:r>
    </w:p>
    <w:p w:rsidR="00D91EA1" w:rsidRDefault="00D91EA1" w:rsidP="00B0446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bCs/>
        </w:rPr>
        <w:lastRenderedPageBreak/>
        <w:t xml:space="preserve">Solicitud de información </w:t>
      </w:r>
      <w:r w:rsidRPr="00D91EA1">
        <w:rPr>
          <w:rFonts w:ascii="Palatino Linotype" w:eastAsia="Palatino Linotype" w:hAnsi="Palatino Linotype" w:cs="Palatino Linotype"/>
          <w:b/>
          <w:bCs/>
        </w:rPr>
        <w:t>00792/ECATEPEC/IP/2021</w:t>
      </w:r>
      <w:r>
        <w:rPr>
          <w:rFonts w:ascii="Palatino Linotype" w:eastAsia="Palatino Linotype" w:hAnsi="Palatino Linotype" w:cs="Palatino Linotype"/>
          <w:b/>
          <w:bCs/>
        </w:rPr>
        <w:t>:</w:t>
      </w:r>
    </w:p>
    <w:p w:rsidR="00D91EA1" w:rsidRDefault="00D91EA1" w:rsidP="00D91EA1">
      <w:pPr>
        <w:tabs>
          <w:tab w:val="left" w:pos="709"/>
        </w:tabs>
        <w:spacing w:before="100" w:beforeAutospacing="1" w:after="100" w:afterAutospacing="1" w:line="360" w:lineRule="auto"/>
        <w:jc w:val="center"/>
        <w:rPr>
          <w:rFonts w:ascii="Palatino Linotype" w:eastAsia="MS Mincho" w:hAnsi="Palatino Linotype" w:cs="Bookman Old Style"/>
        </w:rPr>
      </w:pPr>
      <w:r>
        <w:rPr>
          <w:rFonts w:ascii="Palatino Linotype" w:eastAsia="MS Mincho" w:hAnsi="Palatino Linotype" w:cs="Bookman Old Style"/>
          <w:noProof/>
          <w:lang w:val="es-MX" w:eastAsia="es-MX"/>
        </w:rPr>
        <w:drawing>
          <wp:inline distT="0" distB="0" distL="0" distR="0" wp14:anchorId="7A669786" wp14:editId="4CCFECF6">
            <wp:extent cx="5308512" cy="6200775"/>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6211" cy="6209768"/>
                    </a:xfrm>
                    <a:prstGeom prst="rect">
                      <a:avLst/>
                    </a:prstGeom>
                    <a:noFill/>
                    <a:ln>
                      <a:noFill/>
                    </a:ln>
                  </pic:spPr>
                </pic:pic>
              </a:graphicData>
            </a:graphic>
          </wp:inline>
        </w:drawing>
      </w:r>
    </w:p>
    <w:p w:rsidR="00D91EA1" w:rsidRDefault="00D91EA1" w:rsidP="00D91EA1">
      <w:pPr>
        <w:tabs>
          <w:tab w:val="left" w:pos="709"/>
        </w:tabs>
        <w:spacing w:before="100" w:beforeAutospacing="1" w:after="100" w:afterAutospacing="1" w:line="360" w:lineRule="auto"/>
        <w:jc w:val="both"/>
        <w:rPr>
          <w:rFonts w:ascii="Palatino Linotype" w:eastAsia="MS Mincho" w:hAnsi="Palatino Linotype" w:cs="Bookman Old Style"/>
          <w:lang w:val="es-MX"/>
        </w:rPr>
      </w:pPr>
      <w:r>
        <w:rPr>
          <w:rFonts w:ascii="Palatino Linotype" w:eastAsia="MS Mincho" w:hAnsi="Palatino Linotype" w:cs="Bookman Old Style"/>
          <w:noProof/>
          <w:lang w:val="es-MX" w:eastAsia="es-MX"/>
        </w:rPr>
        <w:lastRenderedPageBreak/>
        <w:drawing>
          <wp:inline distT="0" distB="0" distL="0" distR="0" wp14:anchorId="5FC267D1" wp14:editId="40159D95">
            <wp:extent cx="5343525" cy="66865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3525" cy="6686550"/>
                    </a:xfrm>
                    <a:prstGeom prst="rect">
                      <a:avLst/>
                    </a:prstGeom>
                    <a:noFill/>
                    <a:ln>
                      <a:noFill/>
                    </a:ln>
                  </pic:spPr>
                </pic:pic>
              </a:graphicData>
            </a:graphic>
          </wp:inline>
        </w:drawing>
      </w:r>
    </w:p>
    <w:p w:rsidR="00D91EA1" w:rsidRDefault="00D91EA1" w:rsidP="00D91EA1">
      <w:pPr>
        <w:tabs>
          <w:tab w:val="left" w:pos="709"/>
        </w:tabs>
        <w:spacing w:before="100" w:beforeAutospacing="1" w:after="100" w:afterAutospacing="1" w:line="360" w:lineRule="auto"/>
        <w:jc w:val="both"/>
        <w:rPr>
          <w:rFonts w:ascii="Palatino Linotype" w:eastAsia="MS Mincho" w:hAnsi="Palatino Linotype" w:cs="Bookman Old Style"/>
          <w:lang w:val="es-MX"/>
        </w:rPr>
      </w:pPr>
    </w:p>
    <w:p w:rsidR="00682AA4" w:rsidRDefault="00682AA4" w:rsidP="004516B1">
      <w:pPr>
        <w:spacing w:before="100" w:beforeAutospacing="1" w:after="100" w:afterAutospacing="1" w:line="360" w:lineRule="auto"/>
        <w:contextualSpacing/>
        <w:jc w:val="both"/>
        <w:rPr>
          <w:rFonts w:ascii="Palatino Linotype" w:hAnsi="Palatino Linotype" w:cs="Arial"/>
        </w:rPr>
      </w:pPr>
      <w:r w:rsidRPr="00682AA4">
        <w:rPr>
          <w:rFonts w:ascii="Palatino Linotype" w:eastAsia="Palatino Linotype" w:hAnsi="Palatino Linotype" w:cs="Palatino Linotype"/>
        </w:rPr>
        <w:lastRenderedPageBreak/>
        <w:t>Sobre el particular, conviene iniciar resaltando que del análisis a la</w:t>
      </w:r>
      <w:r>
        <w:rPr>
          <w:rFonts w:ascii="Palatino Linotype" w:eastAsia="Palatino Linotype" w:hAnsi="Palatino Linotype" w:cs="Palatino Linotype"/>
        </w:rPr>
        <w:t>s</w:t>
      </w:r>
      <w:r w:rsidRPr="00682AA4">
        <w:rPr>
          <w:rFonts w:ascii="Palatino Linotype" w:eastAsia="Palatino Linotype" w:hAnsi="Palatino Linotype" w:cs="Palatino Linotype"/>
        </w:rPr>
        <w:t xml:space="preserve"> respuesta</w:t>
      </w:r>
      <w:r>
        <w:rPr>
          <w:rFonts w:ascii="Palatino Linotype" w:eastAsia="Palatino Linotype" w:hAnsi="Palatino Linotype" w:cs="Palatino Linotype"/>
        </w:rPr>
        <w:t>s vertidas</w:t>
      </w:r>
      <w:r w:rsidRPr="00682AA4">
        <w:rPr>
          <w:rFonts w:ascii="Palatino Linotype" w:eastAsia="Palatino Linotype" w:hAnsi="Palatino Linotype" w:cs="Palatino Linotype"/>
        </w:rPr>
        <w:t>, se advierte</w:t>
      </w:r>
      <w:r>
        <w:rPr>
          <w:rFonts w:ascii="Palatino Linotype" w:eastAsia="Palatino Linotype" w:hAnsi="Palatino Linotype" w:cs="Palatino Linotype"/>
        </w:rPr>
        <w:t xml:space="preserve">n en ambos casos los </w:t>
      </w:r>
      <w:r w:rsidRPr="00682AA4">
        <w:rPr>
          <w:rFonts w:ascii="Palatino Linotype" w:eastAsia="Palatino Linotype" w:hAnsi="Palatino Linotype" w:cs="Palatino Linotype"/>
          <w:b/>
        </w:rPr>
        <w:t>listado</w:t>
      </w:r>
      <w:r>
        <w:rPr>
          <w:rFonts w:ascii="Palatino Linotype" w:eastAsia="Palatino Linotype" w:hAnsi="Palatino Linotype" w:cs="Palatino Linotype"/>
          <w:b/>
        </w:rPr>
        <w:t>s de obras</w:t>
      </w:r>
      <w:r>
        <w:rPr>
          <w:rFonts w:ascii="Palatino Linotype" w:eastAsia="Palatino Linotype" w:hAnsi="Palatino Linotype" w:cs="Palatino Linotype"/>
        </w:rPr>
        <w:t>, en los</w:t>
      </w:r>
      <w:r w:rsidRPr="00682AA4">
        <w:rPr>
          <w:rFonts w:ascii="Palatino Linotype" w:eastAsia="Palatino Linotype" w:hAnsi="Palatino Linotype" w:cs="Palatino Linotype"/>
        </w:rPr>
        <w:t xml:space="preserve"> cual</w:t>
      </w:r>
      <w:r>
        <w:rPr>
          <w:rFonts w:ascii="Palatino Linotype" w:eastAsia="Palatino Linotype" w:hAnsi="Palatino Linotype" w:cs="Palatino Linotype"/>
        </w:rPr>
        <w:t>es</w:t>
      </w:r>
      <w:r w:rsidRPr="00682AA4">
        <w:rPr>
          <w:rFonts w:ascii="Palatino Linotype" w:eastAsia="Palatino Linotype" w:hAnsi="Palatino Linotype" w:cs="Palatino Linotype"/>
        </w:rPr>
        <w:t xml:space="preserve"> se aprecia </w:t>
      </w:r>
      <w:r>
        <w:rPr>
          <w:rFonts w:ascii="Palatino Linotype" w:hAnsi="Palatino Linotype" w:cs="Arial"/>
        </w:rPr>
        <w:t xml:space="preserve">en </w:t>
      </w:r>
      <w:r w:rsidRPr="00FA21DC">
        <w:rPr>
          <w:rFonts w:ascii="Palatino Linotype" w:hAnsi="Palatino Linotype" w:cs="Arial"/>
        </w:rPr>
        <w:t xml:space="preserve">el </w:t>
      </w:r>
      <w:r w:rsidRPr="00682AA4">
        <w:rPr>
          <w:rFonts w:ascii="Palatino Linotype" w:hAnsi="Palatino Linotype" w:cs="Arial"/>
          <w:b/>
        </w:rPr>
        <w:t>primer listado</w:t>
      </w:r>
      <w:r w:rsidRPr="00FA21DC">
        <w:rPr>
          <w:rFonts w:ascii="Palatino Linotype" w:hAnsi="Palatino Linotype" w:cs="Arial"/>
        </w:rPr>
        <w:t xml:space="preserve"> el nombre, ubicación y el importe autorizado, </w:t>
      </w:r>
      <w:r w:rsidR="00FE1DB5">
        <w:rPr>
          <w:rFonts w:ascii="Palatino Linotype" w:hAnsi="Palatino Linotype" w:cs="Arial"/>
          <w:color w:val="000000" w:themeColor="text1"/>
        </w:rPr>
        <w:t>mientras que</w:t>
      </w:r>
      <w:r>
        <w:rPr>
          <w:rFonts w:ascii="Palatino Linotype" w:hAnsi="Palatino Linotype" w:cs="Arial"/>
          <w:color w:val="000000" w:themeColor="text1"/>
        </w:rPr>
        <w:t xml:space="preserve"> en el </w:t>
      </w:r>
      <w:r w:rsidRPr="00682AA4">
        <w:rPr>
          <w:rFonts w:ascii="Palatino Linotype" w:hAnsi="Palatino Linotype" w:cs="Arial"/>
          <w:b/>
          <w:color w:val="000000" w:themeColor="text1"/>
        </w:rPr>
        <w:t>segundo listado</w:t>
      </w:r>
      <w:r>
        <w:rPr>
          <w:rFonts w:ascii="Palatino Linotype" w:hAnsi="Palatino Linotype" w:cs="Arial"/>
          <w:color w:val="000000" w:themeColor="text1"/>
        </w:rPr>
        <w:t xml:space="preserve"> precisó</w:t>
      </w:r>
      <w:r w:rsidRPr="00FA21DC">
        <w:rPr>
          <w:rFonts w:ascii="Palatino Linotype" w:hAnsi="Palatino Linotype" w:cs="Arial"/>
          <w:color w:val="000000" w:themeColor="text1"/>
        </w:rPr>
        <w:t xml:space="preserve"> que no se realizaron obras con recurso</w:t>
      </w:r>
      <w:r w:rsidR="00352652">
        <w:rPr>
          <w:rFonts w:ascii="Palatino Linotype" w:hAnsi="Palatino Linotype" w:cs="Arial"/>
          <w:color w:val="000000" w:themeColor="text1"/>
        </w:rPr>
        <w:t>s</w:t>
      </w:r>
      <w:r w:rsidRPr="00FA21DC">
        <w:rPr>
          <w:rFonts w:ascii="Palatino Linotype" w:hAnsi="Palatino Linotype" w:cs="Arial"/>
          <w:color w:val="000000" w:themeColor="text1"/>
        </w:rPr>
        <w:t xml:space="preserve"> federales </w:t>
      </w:r>
      <w:r w:rsidRPr="00FA21DC">
        <w:rPr>
          <w:rFonts w:ascii="Palatino Linotype" w:hAnsi="Palatino Linotype" w:cs="Arial"/>
        </w:rPr>
        <w:t>pero</w:t>
      </w:r>
      <w:r w:rsidRPr="00B823EC">
        <w:rPr>
          <w:rFonts w:ascii="Palatino Linotype" w:hAnsi="Palatino Linotype" w:cs="Arial"/>
        </w:rPr>
        <w:t xml:space="preserve"> remitió una relación de </w:t>
      </w:r>
      <w:r>
        <w:rPr>
          <w:rFonts w:ascii="Palatino Linotype" w:hAnsi="Palatino Linotype" w:cs="Arial"/>
        </w:rPr>
        <w:t xml:space="preserve">las </w:t>
      </w:r>
      <w:r w:rsidRPr="00B823EC">
        <w:rPr>
          <w:rFonts w:ascii="Palatino Linotype" w:hAnsi="Palatino Linotype" w:cs="Arial"/>
        </w:rPr>
        <w:t>obras realizadas con recursos estatales</w:t>
      </w:r>
      <w:r>
        <w:rPr>
          <w:rFonts w:ascii="Palatino Linotype" w:hAnsi="Palatino Linotype" w:cs="Arial"/>
        </w:rPr>
        <w:t xml:space="preserve">, </w:t>
      </w:r>
      <w:r w:rsidRPr="00B823EC">
        <w:rPr>
          <w:rFonts w:ascii="Palatino Linotype" w:hAnsi="Palatino Linotype" w:cs="Arial"/>
        </w:rPr>
        <w:t>detalla</w:t>
      </w:r>
      <w:r>
        <w:rPr>
          <w:rFonts w:ascii="Palatino Linotype" w:hAnsi="Palatino Linotype" w:cs="Arial"/>
        </w:rPr>
        <w:t>ndo</w:t>
      </w:r>
      <w:r w:rsidRPr="00B823EC">
        <w:rPr>
          <w:rFonts w:ascii="Palatino Linotype" w:hAnsi="Palatino Linotype" w:cs="Arial"/>
        </w:rPr>
        <w:t xml:space="preserve"> el año, nombre de la obra, ubicación, importe</w:t>
      </w:r>
      <w:r>
        <w:rPr>
          <w:rFonts w:ascii="Palatino Linotype" w:hAnsi="Palatino Linotype" w:cs="Arial"/>
        </w:rPr>
        <w:t xml:space="preserve"> autorizado y estado que guarda de los ejercicios fiscales 2019, 2020 y 2021, de manera que como se insiste, únicamente remitió estos listados </w:t>
      </w:r>
      <w:r w:rsidRPr="00682AA4">
        <w:rPr>
          <w:rFonts w:ascii="Palatino Linotype" w:eastAsia="Palatino Linotype" w:hAnsi="Palatino Linotype" w:cs="Palatino Linotype"/>
          <w:b/>
          <w:color w:val="000000" w:themeColor="text1"/>
        </w:rPr>
        <w:t>sin que se hayan adjuntado los soportes documentales solicitados con lo</w:t>
      </w:r>
      <w:r w:rsidR="005A71FF">
        <w:rPr>
          <w:rFonts w:ascii="Palatino Linotype" w:eastAsia="Palatino Linotype" w:hAnsi="Palatino Linotype" w:cs="Palatino Linotype"/>
          <w:b/>
          <w:color w:val="000000" w:themeColor="text1"/>
        </w:rPr>
        <w:t>s</w:t>
      </w:r>
      <w:r w:rsidRPr="00682AA4">
        <w:rPr>
          <w:rFonts w:ascii="Palatino Linotype" w:eastAsia="Palatino Linotype" w:hAnsi="Palatino Linotype" w:cs="Palatino Linotype"/>
          <w:b/>
          <w:color w:val="000000" w:themeColor="text1"/>
        </w:rPr>
        <w:t xml:space="preserve"> que se acredite que se llevaron a cabo las obras públicas</w:t>
      </w:r>
      <w:r w:rsidRPr="00682AA4">
        <w:rPr>
          <w:rFonts w:ascii="Palatino Linotype" w:eastAsia="Palatino Linotype" w:hAnsi="Palatino Linotype" w:cs="Palatino Linotype"/>
          <w:color w:val="000000" w:themeColor="text1"/>
        </w:rPr>
        <w:t xml:space="preserve">. </w:t>
      </w:r>
    </w:p>
    <w:p w:rsidR="004516B1" w:rsidRPr="004516B1" w:rsidRDefault="004516B1" w:rsidP="004516B1">
      <w:pPr>
        <w:spacing w:before="100" w:beforeAutospacing="1" w:after="100" w:afterAutospacing="1" w:line="360" w:lineRule="auto"/>
        <w:contextualSpacing/>
        <w:jc w:val="both"/>
        <w:rPr>
          <w:rFonts w:ascii="Palatino Linotype" w:hAnsi="Palatino Linotype" w:cs="Arial"/>
        </w:rPr>
      </w:pPr>
    </w:p>
    <w:p w:rsidR="00CD47C2" w:rsidRDefault="00682AA4" w:rsidP="00CD47C2">
      <w:pPr>
        <w:spacing w:before="240" w:after="240" w:line="360" w:lineRule="auto"/>
        <w:ind w:right="49"/>
        <w:jc w:val="both"/>
        <w:rPr>
          <w:rFonts w:ascii="Palatino Linotype" w:eastAsia="Palatino Linotype" w:hAnsi="Palatino Linotype" w:cs="Palatino Linotype"/>
          <w:i/>
        </w:rPr>
      </w:pPr>
      <w:r>
        <w:rPr>
          <w:rFonts w:ascii="Palatino Linotype" w:eastAsia="Palatino Linotype" w:hAnsi="Palatino Linotype" w:cs="Palatino Linotype"/>
        </w:rPr>
        <w:t xml:space="preserve">Esta circunstancia se reafirma con las razones o medios de inconformidad vertidas por el particular en el recurso de revisión </w:t>
      </w:r>
      <w:r w:rsidRPr="00682AA4">
        <w:rPr>
          <w:rFonts w:ascii="Palatino Linotype" w:eastAsia="Palatino Linotype" w:hAnsi="Palatino Linotype" w:cs="Palatino Linotype"/>
          <w:b/>
          <w:sz w:val="22"/>
        </w:rPr>
        <w:t>05986/INFOEM/IP/RR/2021</w:t>
      </w:r>
      <w:r>
        <w:rPr>
          <w:rFonts w:ascii="Palatino Linotype" w:eastAsia="Palatino Linotype" w:hAnsi="Palatino Linotype" w:cs="Palatino Linotype"/>
        </w:rPr>
        <w:t>, toda vez que expresó “</w:t>
      </w:r>
      <w:r w:rsidRPr="00682AA4">
        <w:rPr>
          <w:rFonts w:ascii="Palatino Linotype" w:eastAsia="Palatino Linotype" w:hAnsi="Palatino Linotype" w:cs="Palatino Linotype"/>
          <w:i/>
        </w:rPr>
        <w:t xml:space="preserve">Manifiesto mi inconformidad con la respuesta debido a que no se entrega la información correspondiente al año 2018, por otro lado, </w:t>
      </w:r>
      <w:r w:rsidRPr="00682AA4">
        <w:rPr>
          <w:rFonts w:ascii="Palatino Linotype" w:eastAsia="Palatino Linotype" w:hAnsi="Palatino Linotype" w:cs="Palatino Linotype"/>
          <w:b/>
          <w:i/>
        </w:rPr>
        <w:t>tampoco entrega la documentación que compruebe haberse realizado dichas obras.</w:t>
      </w:r>
      <w:r w:rsidRPr="00682AA4">
        <w:rPr>
          <w:rFonts w:ascii="Palatino Linotype" w:eastAsia="Palatino Linotype" w:hAnsi="Palatino Linotype" w:cs="Palatino Linotype"/>
          <w:i/>
        </w:rPr>
        <w:t>” (Sic)</w:t>
      </w:r>
      <w:r>
        <w:rPr>
          <w:rFonts w:ascii="Palatino Linotype" w:eastAsia="Palatino Linotype" w:hAnsi="Palatino Linotype" w:cs="Palatino Linotype"/>
          <w:i/>
        </w:rPr>
        <w:t xml:space="preserve"> (Énfasis añadido)</w:t>
      </w:r>
    </w:p>
    <w:p w:rsidR="00CD47C2" w:rsidRPr="00CD47C2" w:rsidRDefault="00CD47C2" w:rsidP="00CD47C2">
      <w:pPr>
        <w:spacing w:before="240" w:after="240" w:line="360" w:lineRule="auto"/>
        <w:ind w:right="49"/>
        <w:jc w:val="both"/>
        <w:rPr>
          <w:rFonts w:ascii="Palatino Linotype" w:eastAsia="Palatino Linotype" w:hAnsi="Palatino Linotype" w:cs="Palatino Linotype"/>
          <w:i/>
        </w:rPr>
      </w:pPr>
      <w:r w:rsidRPr="00CD47C2">
        <w:rPr>
          <w:rFonts w:ascii="Palatino Linotype" w:eastAsia="Calibri" w:hAnsi="Palatino Linotype"/>
          <w:lang w:eastAsia="en-US"/>
        </w:rPr>
        <w:t>Ahora</w:t>
      </w:r>
      <w:r w:rsidRPr="00CD47C2">
        <w:rPr>
          <w:rFonts w:ascii="Palatino Linotype" w:eastAsia="MS Mincho" w:hAnsi="Palatino Linotype" w:cs="Arial"/>
          <w:lang w:val="es-ES_tradnl"/>
        </w:rPr>
        <w:t xml:space="preserve"> bien, respecto la información sobre la que versó la solicitud de información </w:t>
      </w:r>
      <w:r w:rsidRPr="00CD47C2">
        <w:rPr>
          <w:rFonts w:ascii="Palatino Linotype" w:eastAsia="Calibri" w:hAnsi="Palatino Linotype" w:cs="Gill Sans MT"/>
          <w:lang w:val="es-MX" w:eastAsia="en-US"/>
        </w:rPr>
        <w:t xml:space="preserve">es esencial determinar lo que en el derecho mexicano se entiende por </w:t>
      </w:r>
      <w:r w:rsidRPr="00CD47C2">
        <w:rPr>
          <w:rFonts w:ascii="Palatino Linotype" w:eastAsia="Calibri" w:hAnsi="Palatino Linotype" w:cs="Gill Sans MT"/>
          <w:b/>
          <w:lang w:val="es-MX" w:eastAsia="en-US"/>
        </w:rPr>
        <w:t xml:space="preserve">Obra Pública, </w:t>
      </w:r>
      <w:r w:rsidRPr="00CD47C2">
        <w:rPr>
          <w:rFonts w:ascii="Palatino Linotype" w:eastAsia="Calibri" w:hAnsi="Palatino Linotype" w:cs="Gill Sans MT"/>
          <w:lang w:val="es-MX" w:eastAsia="en-US"/>
        </w:rPr>
        <w:t>por tal podemos entender, de acuerdo a Serra Rojas</w:t>
      </w:r>
      <w:r w:rsidRPr="00CD47C2">
        <w:rPr>
          <w:rFonts w:ascii="Palatino Linotype" w:eastAsia="Calibri" w:hAnsi="Palatino Linotype"/>
          <w:i/>
          <w:lang w:val="es-MX" w:eastAsia="en-US"/>
        </w:rPr>
        <w:t xml:space="preserve"> “la cosa hecha o producida por el Estado o a su nombre sobre un inmueble determinado, con un propósito de interés general  y se destina al uso público, a un servicio público o cualquier finalidad de beneficio general”.</w:t>
      </w:r>
      <w:r w:rsidRPr="00CD47C2">
        <w:rPr>
          <w:rFonts w:ascii="Palatino Linotype" w:eastAsia="Calibri" w:hAnsi="Palatino Linotype"/>
          <w:vertAlign w:val="superscript"/>
          <w:lang w:val="es-MX" w:eastAsia="en-US"/>
        </w:rPr>
        <w:footnoteReference w:id="3"/>
      </w:r>
    </w:p>
    <w:p w:rsidR="00CD47C2" w:rsidRPr="00CD47C2" w:rsidRDefault="00FE1DB5" w:rsidP="00CD47C2">
      <w:pPr>
        <w:spacing w:before="240" w:after="360" w:line="360" w:lineRule="auto"/>
        <w:contextualSpacing/>
        <w:jc w:val="both"/>
        <w:rPr>
          <w:rFonts w:ascii="Palatino Linotype" w:eastAsia="Calibri" w:hAnsi="Palatino Linotype" w:cs="Gill Sans MT"/>
          <w:lang w:val="es-MX" w:eastAsia="en-US"/>
        </w:rPr>
      </w:pPr>
      <w:r>
        <w:rPr>
          <w:rFonts w:ascii="Palatino Linotype" w:eastAsia="Calibri" w:hAnsi="Palatino Linotype"/>
          <w:lang w:eastAsia="en-US"/>
        </w:rPr>
        <w:lastRenderedPageBreak/>
        <w:t>En esta tesitura</w:t>
      </w:r>
      <w:r w:rsidR="00CD47C2" w:rsidRPr="00CD47C2">
        <w:rPr>
          <w:rFonts w:ascii="Palatino Linotype" w:eastAsia="Calibri" w:hAnsi="Palatino Linotype" w:cs="Gill Sans MT"/>
          <w:lang w:val="es-MX" w:eastAsia="en-US"/>
        </w:rPr>
        <w:t xml:space="preserve">, la </w:t>
      </w:r>
      <w:r w:rsidR="00CD47C2" w:rsidRPr="00CD47C2">
        <w:rPr>
          <w:rFonts w:ascii="Palatino Linotype" w:eastAsia="Calibri" w:hAnsi="Palatino Linotype" w:cs="Gill Sans MT"/>
          <w:b/>
          <w:lang w:val="es-MX" w:eastAsia="en-US"/>
        </w:rPr>
        <w:t>Ley de Obras Públicas y Servicios Relacionados con las Mismas</w:t>
      </w:r>
      <w:r w:rsidR="00CD47C2" w:rsidRPr="00CD47C2">
        <w:rPr>
          <w:rFonts w:ascii="Palatino Linotype" w:eastAsia="Calibri" w:hAnsi="Palatino Linotype" w:cs="Gill Sans MT"/>
          <w:lang w:val="es-MX" w:eastAsia="en-US"/>
        </w:rPr>
        <w:t xml:space="preserve">, señalan que como obra pública debe entenderse: </w:t>
      </w:r>
    </w:p>
    <w:p w:rsidR="00CD47C2" w:rsidRPr="00CD47C2" w:rsidRDefault="00CD47C2" w:rsidP="00CD47C2">
      <w:pPr>
        <w:autoSpaceDE w:val="0"/>
        <w:autoSpaceDN w:val="0"/>
        <w:adjustRightInd w:val="0"/>
        <w:spacing w:after="160"/>
        <w:ind w:left="567" w:right="1185"/>
        <w:jc w:val="both"/>
        <w:rPr>
          <w:rFonts w:ascii="Palatino Linotype" w:eastAsia="Calibri" w:hAnsi="Palatino Linotype"/>
          <w:b/>
          <w:i/>
          <w:sz w:val="22"/>
          <w:lang w:val="es-MX" w:eastAsia="en-US"/>
        </w:rPr>
      </w:pPr>
      <w:r w:rsidRPr="00CD47C2">
        <w:rPr>
          <w:rFonts w:ascii="Palatino Linotype" w:eastAsia="Calibri" w:hAnsi="Palatino Linotype" w:cs="Gill Sans MT"/>
          <w:sz w:val="22"/>
          <w:lang w:val="es-MX" w:eastAsia="en-US"/>
        </w:rPr>
        <w:t>“</w:t>
      </w:r>
      <w:r w:rsidRPr="00CD47C2">
        <w:rPr>
          <w:rFonts w:ascii="Palatino Linotype" w:eastAsia="Calibri" w:hAnsi="Palatino Linotype"/>
          <w:i/>
          <w:sz w:val="22"/>
          <w:lang w:val="es-MX" w:eastAsia="en-US"/>
        </w:rPr>
        <w:t xml:space="preserve">Artículo 3. Para los efectos de esta Ley, </w:t>
      </w:r>
      <w:r w:rsidRPr="00CD47C2">
        <w:rPr>
          <w:rFonts w:ascii="Palatino Linotype" w:eastAsia="Calibri" w:hAnsi="Palatino Linotype"/>
          <w:b/>
          <w:i/>
          <w:sz w:val="22"/>
          <w:lang w:val="es-MX" w:eastAsia="en-US"/>
        </w:rPr>
        <w:t xml:space="preserve">se consideran obras públicas los trabajos que tengan por objeto construir, instalar, ampliar, adecuar, remodelar, restaurar, conservar, mantener, modificar y demoler bienes inmuebles. Así mismo, quedan comprendidos dentro de las obras públicas los siguientes conceptos: </w:t>
      </w:r>
    </w:p>
    <w:p w:rsidR="00CD47C2" w:rsidRPr="00CD47C2" w:rsidRDefault="00CD47C2" w:rsidP="00CD47C2">
      <w:pPr>
        <w:numPr>
          <w:ilvl w:val="0"/>
          <w:numId w:val="22"/>
        </w:numPr>
        <w:autoSpaceDE w:val="0"/>
        <w:autoSpaceDN w:val="0"/>
        <w:adjustRightInd w:val="0"/>
        <w:spacing w:after="160"/>
        <w:ind w:left="567" w:right="1185" w:hanging="141"/>
        <w:contextualSpacing/>
        <w:jc w:val="both"/>
        <w:rPr>
          <w:rFonts w:ascii="Palatino Linotype" w:eastAsia="Calibri" w:hAnsi="Palatino Linotype"/>
          <w:i/>
          <w:sz w:val="22"/>
          <w:lang w:val="es-MX" w:eastAsia="en-US"/>
        </w:rPr>
      </w:pPr>
      <w:r w:rsidRPr="00CD47C2">
        <w:rPr>
          <w:rFonts w:ascii="Palatino Linotype" w:eastAsia="Calibri" w:hAnsi="Palatino Linotype"/>
          <w:i/>
          <w:sz w:val="22"/>
          <w:lang w:val="es-MX" w:eastAsia="en-US"/>
        </w:rPr>
        <w:t xml:space="preserve">El mantenimiento y la restauración de bienes muebles incorporados o adheridos a un inmueble, </w:t>
      </w:r>
      <w:r w:rsidRPr="00CD47C2">
        <w:rPr>
          <w:rFonts w:ascii="Palatino Linotype" w:eastAsia="Calibri" w:hAnsi="Palatino Linotype"/>
          <w:b/>
          <w:i/>
          <w:sz w:val="22"/>
          <w:lang w:val="es-MX" w:eastAsia="en-US"/>
        </w:rPr>
        <w:t>cuando implique modificación al propio inmueble</w:t>
      </w:r>
      <w:r w:rsidRPr="00CD47C2">
        <w:rPr>
          <w:rFonts w:ascii="Palatino Linotype" w:eastAsia="Calibri" w:hAnsi="Palatino Linotype"/>
          <w:i/>
          <w:sz w:val="22"/>
          <w:lang w:val="es-MX" w:eastAsia="en-US"/>
        </w:rPr>
        <w:t>…</w:t>
      </w:r>
      <w:r>
        <w:rPr>
          <w:rFonts w:ascii="Palatino Linotype" w:eastAsia="Calibri" w:hAnsi="Palatino Linotype"/>
          <w:i/>
          <w:sz w:val="22"/>
          <w:lang w:val="es-MX" w:eastAsia="en-US"/>
        </w:rPr>
        <w:t>”</w:t>
      </w:r>
    </w:p>
    <w:p w:rsidR="00CD47C2" w:rsidRPr="00CD47C2" w:rsidRDefault="00CD47C2" w:rsidP="00CD47C2">
      <w:pPr>
        <w:tabs>
          <w:tab w:val="left" w:pos="8505"/>
        </w:tabs>
        <w:spacing w:before="100" w:beforeAutospacing="1" w:after="100" w:afterAutospacing="1" w:line="360" w:lineRule="auto"/>
        <w:ind w:left="567" w:right="1185"/>
        <w:contextualSpacing/>
        <w:rPr>
          <w:rFonts w:ascii="Palatino Linotype" w:hAnsi="Palatino Linotype"/>
          <w:i/>
          <w:color w:val="000000"/>
          <w:lang w:val="es-MX" w:eastAsia="es-MX"/>
        </w:rPr>
      </w:pPr>
      <w:r w:rsidRPr="00CD47C2">
        <w:rPr>
          <w:rFonts w:ascii="Palatino Linotype" w:hAnsi="Palatino Linotype"/>
          <w:i/>
          <w:color w:val="000000"/>
          <w:lang w:val="es-MX" w:eastAsia="es-MX"/>
        </w:rPr>
        <w:t>(Énfasis añadido)</w:t>
      </w:r>
    </w:p>
    <w:p w:rsidR="00CD47C2" w:rsidRPr="00CD47C2" w:rsidRDefault="00CD47C2" w:rsidP="00CD47C2">
      <w:pPr>
        <w:spacing w:before="240" w:after="360" w:line="360" w:lineRule="auto"/>
        <w:contextualSpacing/>
        <w:jc w:val="both"/>
        <w:rPr>
          <w:rFonts w:ascii="Palatino Linotype" w:eastAsia="Calibri" w:hAnsi="Palatino Linotype" w:cs="Gill Sans MT"/>
          <w:lang w:val="es-MX" w:eastAsia="en-US"/>
        </w:rPr>
      </w:pPr>
      <w:r w:rsidRPr="00CD47C2">
        <w:rPr>
          <w:rFonts w:ascii="Palatino Linotype" w:eastAsia="Calibri" w:hAnsi="Palatino Linotype"/>
          <w:lang w:eastAsia="en-US"/>
        </w:rPr>
        <w:t>Por</w:t>
      </w:r>
      <w:r w:rsidRPr="00CD47C2">
        <w:rPr>
          <w:rFonts w:ascii="Palatino Linotype" w:eastAsia="Calibri" w:hAnsi="Palatino Linotype" w:cs="Gill Sans MT"/>
          <w:lang w:val="es-MX" w:eastAsia="en-US"/>
        </w:rPr>
        <w:t xml:space="preserve"> lo tanto, es importante considerar el concepto de servicios relacionados con las obras públicas, al efecto es conveniente señalar la </w:t>
      </w:r>
      <w:r w:rsidRPr="00CD47C2">
        <w:rPr>
          <w:rFonts w:ascii="Palatino Linotype" w:eastAsia="Calibri" w:hAnsi="Palatino Linotype" w:cs="Gill Sans MT"/>
          <w:b/>
          <w:lang w:val="es-MX" w:eastAsia="en-US"/>
        </w:rPr>
        <w:t>Ley de Obras Públicas y Servicios Relacionados con las Mismas</w:t>
      </w:r>
      <w:r w:rsidRPr="00CD47C2">
        <w:rPr>
          <w:rFonts w:ascii="Palatino Linotype" w:eastAsia="Calibri" w:hAnsi="Palatino Linotype" w:cs="Gill Sans MT"/>
          <w:lang w:val="es-MX" w:eastAsia="en-US"/>
        </w:rPr>
        <w:t xml:space="preserve"> en referencia:</w:t>
      </w:r>
    </w:p>
    <w:p w:rsidR="00CD47C2" w:rsidRPr="00CD47C2" w:rsidRDefault="00CD47C2" w:rsidP="00CD47C2">
      <w:pPr>
        <w:autoSpaceDE w:val="0"/>
        <w:autoSpaceDN w:val="0"/>
        <w:adjustRightInd w:val="0"/>
        <w:spacing w:after="160"/>
        <w:ind w:left="567" w:right="1185"/>
        <w:jc w:val="both"/>
        <w:rPr>
          <w:rFonts w:ascii="Palatino Linotype" w:eastAsia="Calibri" w:hAnsi="Palatino Linotype"/>
          <w:i/>
          <w:lang w:val="es-MX" w:eastAsia="en-US"/>
        </w:rPr>
      </w:pPr>
      <w:r>
        <w:rPr>
          <w:rFonts w:ascii="Palatino Linotype" w:eastAsia="Calibri" w:hAnsi="Palatino Linotype"/>
          <w:i/>
          <w:lang w:val="es-MX" w:eastAsia="en-US"/>
        </w:rPr>
        <w:t>“</w:t>
      </w:r>
      <w:r w:rsidRPr="00CD47C2">
        <w:rPr>
          <w:rFonts w:ascii="Palatino Linotype" w:eastAsia="Calibri" w:hAnsi="Palatino Linotype"/>
          <w:i/>
          <w:lang w:val="es-MX" w:eastAsia="en-US"/>
        </w:rPr>
        <w:t xml:space="preserve">…Artículo 4. Para los efectos de esta Ley, se considera como servicios relacionados con las obras públicas, los trabajos que tengan por objeto concebir, diseñar y calcular los elementos que integran un proyecto de obra pública; las investigaciones, estudios, asesorías y consultorías que se vinculen con las acciones que regula esta Ley; la dirección o supervisión de la ejecución de las obras y los estudios que tengan por objeto rehabilitar, corregir o incrementar la eficiencia de las instalaciones. Asimismo, quedan comprendidos dentro de los servicios relacionados con las obras públicas los siguientes conceptos: </w:t>
      </w:r>
    </w:p>
    <w:p w:rsidR="00CD47C2" w:rsidRDefault="00CD47C2" w:rsidP="00CD47C2">
      <w:pPr>
        <w:autoSpaceDE w:val="0"/>
        <w:autoSpaceDN w:val="0"/>
        <w:adjustRightInd w:val="0"/>
        <w:spacing w:after="160"/>
        <w:ind w:left="567" w:right="1185"/>
        <w:jc w:val="both"/>
        <w:rPr>
          <w:rFonts w:ascii="Palatino Linotype" w:eastAsia="Calibri" w:hAnsi="Palatino Linotype"/>
          <w:i/>
          <w:lang w:val="es-MX" w:eastAsia="en-US"/>
        </w:rPr>
      </w:pPr>
      <w:r w:rsidRPr="00CD47C2">
        <w:rPr>
          <w:rFonts w:ascii="Palatino Linotype" w:eastAsia="Calibri" w:hAnsi="Palatino Linotype"/>
          <w:i/>
          <w:lang w:val="es-MX" w:eastAsia="en-US"/>
        </w:rPr>
        <w:t>…</w:t>
      </w:r>
    </w:p>
    <w:p w:rsidR="00CD47C2" w:rsidRDefault="00CD47C2" w:rsidP="00CD47C2">
      <w:pPr>
        <w:autoSpaceDE w:val="0"/>
        <w:autoSpaceDN w:val="0"/>
        <w:adjustRightInd w:val="0"/>
        <w:spacing w:after="160"/>
        <w:ind w:left="567" w:right="1185"/>
        <w:jc w:val="both"/>
        <w:rPr>
          <w:rFonts w:ascii="Palatino Linotype" w:eastAsia="Calibri" w:hAnsi="Palatino Linotype"/>
          <w:i/>
          <w:lang w:val="es-MX" w:eastAsia="en-US"/>
        </w:rPr>
      </w:pPr>
      <w:r w:rsidRPr="00CD47C2">
        <w:rPr>
          <w:rFonts w:ascii="Palatino Linotype" w:eastAsia="Calibri" w:hAnsi="Palatino Linotype"/>
          <w:i/>
          <w:lang w:val="es-MX" w:eastAsia="en-US"/>
        </w:rPr>
        <w:t>VIII.- Los estudios que tengan por objeto rehabilitar, corregir, sustituir, o incrementar la eficiencia de las instalaciones de un bien inmueble…</w:t>
      </w:r>
      <w:r>
        <w:rPr>
          <w:rFonts w:ascii="Palatino Linotype" w:eastAsia="Calibri" w:hAnsi="Palatino Linotype"/>
          <w:i/>
          <w:lang w:val="es-MX" w:eastAsia="en-US"/>
        </w:rPr>
        <w:t>”</w:t>
      </w:r>
    </w:p>
    <w:p w:rsidR="00FE1DB5" w:rsidRPr="00FE1DB5" w:rsidRDefault="00FE1DB5" w:rsidP="00FE1DB5">
      <w:pPr>
        <w:autoSpaceDE w:val="0"/>
        <w:autoSpaceDN w:val="0"/>
        <w:adjustRightInd w:val="0"/>
        <w:spacing w:before="240" w:after="240" w:line="360" w:lineRule="auto"/>
        <w:ind w:right="49" w:firstLine="1"/>
        <w:jc w:val="both"/>
        <w:rPr>
          <w:rFonts w:ascii="Palatino Linotype" w:eastAsia="MS Mincho" w:hAnsi="Palatino Linotype" w:cs="Arial"/>
          <w:color w:val="000000"/>
          <w:lang w:val="es-MX"/>
        </w:rPr>
      </w:pPr>
      <w:r w:rsidRPr="00FE1DB5">
        <w:rPr>
          <w:rFonts w:ascii="Palatino Linotype" w:eastAsia="MS Mincho" w:hAnsi="Palatino Linotype" w:cs="Arial"/>
          <w:color w:val="000000"/>
          <w:lang w:val="es-MX"/>
        </w:rPr>
        <w:t xml:space="preserve">En relación directa con lo anterior, en términos del artículo 12.4 del Código Administrativo del Estado de México, se considera </w:t>
      </w:r>
      <w:r>
        <w:rPr>
          <w:rFonts w:ascii="Palatino Linotype" w:eastAsia="MS Mincho" w:hAnsi="Palatino Linotype" w:cs="Arial"/>
          <w:color w:val="000000"/>
          <w:lang w:val="es-MX"/>
        </w:rPr>
        <w:t xml:space="preserve">obra pública </w:t>
      </w:r>
      <w:r w:rsidRPr="00FE1DB5">
        <w:rPr>
          <w:rFonts w:ascii="Palatino Linotype" w:eastAsia="MS Mincho" w:hAnsi="Palatino Linotype" w:cs="Arial"/>
          <w:color w:val="000000"/>
          <w:lang w:val="es-MX"/>
        </w:rPr>
        <w:t xml:space="preserve">todo trabajo que tenga por objeto principal construir, instalar, ampliar, adecuar, remodelar, restaurar, conservar, mantener, modificar o demoler bienes inmuebles propiedad </w:t>
      </w:r>
      <w:r w:rsidRPr="00FE1DB5">
        <w:rPr>
          <w:rFonts w:ascii="Palatino Linotype" w:eastAsia="MS Mincho" w:hAnsi="Palatino Linotype" w:cs="Arial"/>
          <w:color w:val="000000"/>
          <w:lang w:val="es-MX"/>
        </w:rPr>
        <w:lastRenderedPageBreak/>
        <w:t>del Estado, de sus dependencias y entidades y de los municipios y sus organismos con cargo a recursos públicos estatales o municipales, entre las que se encuentras las siguientes:</w:t>
      </w:r>
    </w:p>
    <w:p w:rsidR="00FE1DB5" w:rsidRPr="00FE1DB5" w:rsidRDefault="00FE1DB5" w:rsidP="00FE1DB5">
      <w:pPr>
        <w:autoSpaceDE w:val="0"/>
        <w:autoSpaceDN w:val="0"/>
        <w:adjustRightInd w:val="0"/>
        <w:spacing w:before="240" w:after="240" w:line="360" w:lineRule="auto"/>
        <w:ind w:left="567" w:right="900" w:firstLine="1"/>
        <w:jc w:val="both"/>
        <w:rPr>
          <w:rFonts w:ascii="Palatino Linotype" w:eastAsia="MS Mincho" w:hAnsi="Palatino Linotype" w:cs="Arial"/>
          <w:color w:val="000000"/>
          <w:lang w:val="es-MX"/>
        </w:rPr>
      </w:pPr>
      <w:r w:rsidRPr="00FE1DB5">
        <w:rPr>
          <w:rFonts w:ascii="Palatino Linotype" w:eastAsia="MS Mincho" w:hAnsi="Palatino Linotype" w:cs="Arial"/>
          <w:color w:val="000000"/>
          <w:lang w:val="es-MX"/>
        </w:rPr>
        <w:t xml:space="preserve">I. El mantenimiento, restauración, desmantelamiento o remoción de bienes muebles incorporados o adheridos a un inmueble; </w:t>
      </w:r>
    </w:p>
    <w:p w:rsidR="00FE1DB5" w:rsidRPr="00FE1DB5" w:rsidRDefault="00FE1DB5" w:rsidP="00FE1DB5">
      <w:pPr>
        <w:autoSpaceDE w:val="0"/>
        <w:autoSpaceDN w:val="0"/>
        <w:adjustRightInd w:val="0"/>
        <w:spacing w:before="240" w:after="240" w:line="360" w:lineRule="auto"/>
        <w:ind w:left="567" w:right="900" w:firstLine="1"/>
        <w:jc w:val="both"/>
        <w:rPr>
          <w:rFonts w:ascii="Palatino Linotype" w:eastAsia="MS Mincho" w:hAnsi="Palatino Linotype" w:cs="Arial"/>
          <w:color w:val="000000"/>
          <w:lang w:val="es-MX"/>
        </w:rPr>
      </w:pPr>
      <w:r w:rsidRPr="00FE1DB5">
        <w:rPr>
          <w:rFonts w:ascii="Palatino Linotype" w:eastAsia="MS Mincho" w:hAnsi="Palatino Linotype" w:cs="Arial"/>
          <w:color w:val="000000"/>
          <w:lang w:val="es-MX"/>
        </w:rPr>
        <w:t xml:space="preserve">II. Los proyectos integrales o comúnmente denominados llave en mano, en los cuales el contratista se obliga desde el diseño de la obra hasta su terminación total, incluyéndose, cuando se requiera, la transferencia de tecnología; </w:t>
      </w:r>
    </w:p>
    <w:p w:rsidR="00FE1DB5" w:rsidRPr="00FE1DB5" w:rsidRDefault="00FE1DB5" w:rsidP="00FE1DB5">
      <w:pPr>
        <w:autoSpaceDE w:val="0"/>
        <w:autoSpaceDN w:val="0"/>
        <w:adjustRightInd w:val="0"/>
        <w:spacing w:before="240" w:after="240" w:line="360" w:lineRule="auto"/>
        <w:ind w:left="567" w:right="900" w:firstLine="1"/>
        <w:jc w:val="both"/>
        <w:rPr>
          <w:rFonts w:ascii="Palatino Linotype" w:eastAsia="MS Mincho" w:hAnsi="Palatino Linotype" w:cs="Arial"/>
          <w:color w:val="000000"/>
          <w:lang w:val="es-MX"/>
        </w:rPr>
      </w:pPr>
      <w:r w:rsidRPr="00FE1DB5">
        <w:rPr>
          <w:rFonts w:ascii="Palatino Linotype" w:eastAsia="MS Mincho" w:hAnsi="Palatino Linotype" w:cs="Arial"/>
          <w:color w:val="000000"/>
          <w:lang w:val="es-MX"/>
        </w:rPr>
        <w:t xml:space="preserve">III. Los trabajos de exploración, localización y perforación; mejoramiento del suelo y/o subsuelo; desmontes y extracción y aquellos similares que tengan por objeto la explotación y desarrollo de los recursos naturales que se encuentran en el suelo y/o subsuelo; </w:t>
      </w:r>
    </w:p>
    <w:p w:rsidR="00FE1DB5" w:rsidRPr="00FE1DB5" w:rsidRDefault="00FE1DB5" w:rsidP="00FE1DB5">
      <w:pPr>
        <w:autoSpaceDE w:val="0"/>
        <w:autoSpaceDN w:val="0"/>
        <w:adjustRightInd w:val="0"/>
        <w:spacing w:before="240" w:after="240" w:line="360" w:lineRule="auto"/>
        <w:ind w:left="567" w:right="900" w:firstLine="1"/>
        <w:jc w:val="both"/>
        <w:rPr>
          <w:rFonts w:ascii="Palatino Linotype" w:eastAsia="MS Mincho" w:hAnsi="Palatino Linotype" w:cs="Arial"/>
          <w:color w:val="000000"/>
          <w:lang w:val="es-MX"/>
        </w:rPr>
      </w:pPr>
      <w:r w:rsidRPr="00FE1DB5">
        <w:rPr>
          <w:rFonts w:ascii="Palatino Linotype" w:eastAsia="MS Mincho" w:hAnsi="Palatino Linotype" w:cs="Arial"/>
          <w:color w:val="000000"/>
          <w:lang w:val="es-MX"/>
        </w:rPr>
        <w:t xml:space="preserve">IV. Los trabajos de infraestructura agropecuaria e hidroagrícola: </w:t>
      </w:r>
    </w:p>
    <w:p w:rsidR="00FE1DB5" w:rsidRPr="00FE1DB5" w:rsidRDefault="00FE1DB5" w:rsidP="00FE1DB5">
      <w:pPr>
        <w:autoSpaceDE w:val="0"/>
        <w:autoSpaceDN w:val="0"/>
        <w:adjustRightInd w:val="0"/>
        <w:spacing w:before="240" w:after="240" w:line="360" w:lineRule="auto"/>
        <w:ind w:left="567" w:right="900" w:firstLine="1"/>
        <w:jc w:val="both"/>
        <w:rPr>
          <w:rFonts w:ascii="Palatino Linotype" w:eastAsia="MS Mincho" w:hAnsi="Palatino Linotype" w:cs="Arial"/>
          <w:color w:val="000000"/>
          <w:lang w:val="es-MX"/>
        </w:rPr>
      </w:pPr>
      <w:r w:rsidRPr="00FE1DB5">
        <w:rPr>
          <w:rFonts w:ascii="Palatino Linotype" w:eastAsia="MS Mincho" w:hAnsi="Palatino Linotype" w:cs="Arial"/>
          <w:color w:val="000000"/>
          <w:lang w:val="es-MX"/>
        </w:rPr>
        <w:t xml:space="preserve">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rsidR="00FE1DB5" w:rsidRPr="00FE1DB5" w:rsidRDefault="00FE1DB5" w:rsidP="00FE1DB5">
      <w:pPr>
        <w:autoSpaceDE w:val="0"/>
        <w:autoSpaceDN w:val="0"/>
        <w:adjustRightInd w:val="0"/>
        <w:spacing w:before="240" w:after="240" w:line="360" w:lineRule="auto"/>
        <w:ind w:left="567" w:right="900" w:firstLine="1"/>
        <w:jc w:val="both"/>
        <w:rPr>
          <w:rFonts w:ascii="Palatino Linotype" w:eastAsia="MS Mincho" w:hAnsi="Palatino Linotype" w:cs="Arial"/>
          <w:color w:val="000000"/>
          <w:lang w:val="es-MX"/>
        </w:rPr>
      </w:pPr>
      <w:r w:rsidRPr="00FE1DB5">
        <w:rPr>
          <w:rFonts w:ascii="Palatino Linotype" w:eastAsia="MS Mincho" w:hAnsi="Palatino Linotype" w:cs="Arial"/>
          <w:color w:val="000000"/>
          <w:lang w:val="es-MX"/>
        </w:rPr>
        <w:lastRenderedPageBreak/>
        <w:t>VI. Los demás que tengan por objeto principal alguno de los conceptos a que se refiere el párrafo primero de este artículo, excluyéndose expresamente los trabajos regulados por el Libro Décimo Sexto de este Código.</w:t>
      </w:r>
    </w:p>
    <w:p w:rsidR="00352652" w:rsidRDefault="00E246DB" w:rsidP="00F65F45">
      <w:pPr>
        <w:autoSpaceDE w:val="0"/>
        <w:autoSpaceDN w:val="0"/>
        <w:adjustRightInd w:val="0"/>
        <w:spacing w:before="240" w:after="240" w:line="360" w:lineRule="auto"/>
        <w:ind w:right="49"/>
        <w:jc w:val="both"/>
        <w:rPr>
          <w:rFonts w:ascii="Palatino Linotype" w:eastAsia="MS Mincho" w:hAnsi="Palatino Linotype" w:cs="Arial"/>
          <w:color w:val="000000"/>
          <w:lang w:val="es-MX"/>
        </w:rPr>
      </w:pPr>
      <w:r>
        <w:rPr>
          <w:rFonts w:ascii="Palatino Linotype" w:eastAsia="MS Mincho" w:hAnsi="Palatino Linotype" w:cs="Arial"/>
          <w:color w:val="000000"/>
          <w:lang w:val="es-MX"/>
        </w:rPr>
        <w:t xml:space="preserve">Expuesto lo anterior, resulta importante señalar que las obras públicas pueden devenir de recursos estatales o federales, esto de conformidad con lo previsto por el Código Administrativo del Estado de México, mismos que se insertan a continuación para mejor proveer del presente estudio: </w:t>
      </w:r>
    </w:p>
    <w:p w:rsidR="00E246DB" w:rsidRPr="00E246DB" w:rsidRDefault="00E246DB" w:rsidP="00E246DB">
      <w:pPr>
        <w:autoSpaceDE w:val="0"/>
        <w:autoSpaceDN w:val="0"/>
        <w:adjustRightInd w:val="0"/>
        <w:spacing w:before="240" w:after="240"/>
        <w:ind w:left="567" w:right="900"/>
        <w:jc w:val="both"/>
        <w:rPr>
          <w:rFonts w:ascii="Palatino Linotype" w:eastAsia="MS Mincho" w:hAnsi="Palatino Linotype" w:cs="Arial"/>
          <w:i/>
          <w:color w:val="000000"/>
          <w:sz w:val="22"/>
        </w:rPr>
      </w:pPr>
      <w:r>
        <w:rPr>
          <w:rFonts w:ascii="Palatino Linotype" w:eastAsia="MS Mincho" w:hAnsi="Palatino Linotype" w:cs="Arial"/>
          <w:i/>
          <w:color w:val="000000"/>
          <w:sz w:val="22"/>
        </w:rPr>
        <w:t>“</w:t>
      </w:r>
      <w:r w:rsidRPr="00E246DB">
        <w:rPr>
          <w:rFonts w:ascii="Palatino Linotype" w:eastAsia="MS Mincho" w:hAnsi="Palatino Linotype" w:cs="Arial"/>
          <w:i/>
          <w:color w:val="000000"/>
          <w:sz w:val="22"/>
        </w:rPr>
        <w:t xml:space="preserve">Artículo 12.7.- </w:t>
      </w:r>
      <w:r w:rsidRPr="00E246DB">
        <w:rPr>
          <w:rFonts w:ascii="Palatino Linotype" w:eastAsia="MS Mincho" w:hAnsi="Palatino Linotype" w:cs="Arial"/>
          <w:b/>
          <w:i/>
          <w:color w:val="000000"/>
          <w:sz w:val="22"/>
        </w:rPr>
        <w:t>La ejecución de la obra pública o servicios relacionados con la misma que realicen las dependencias, entidades o ayuntamientos con cargo total o parcial a fondos aportados por la Federación, estarán sujetas a las disposiciones de la ley federal de la materia, conforme a los convenios respectivos.</w:t>
      </w:r>
    </w:p>
    <w:p w:rsidR="00E246DB" w:rsidRPr="00E246DB" w:rsidRDefault="00E246DB" w:rsidP="00E246DB">
      <w:pPr>
        <w:autoSpaceDE w:val="0"/>
        <w:autoSpaceDN w:val="0"/>
        <w:adjustRightInd w:val="0"/>
        <w:spacing w:before="240" w:after="240"/>
        <w:ind w:left="567" w:right="900"/>
        <w:jc w:val="both"/>
        <w:rPr>
          <w:rFonts w:ascii="Palatino Linotype" w:eastAsia="MS Mincho" w:hAnsi="Palatino Linotype" w:cs="Arial"/>
          <w:i/>
          <w:color w:val="000000"/>
          <w:sz w:val="22"/>
          <w:lang w:val="es-MX"/>
        </w:rPr>
      </w:pPr>
      <w:r w:rsidRPr="00E246DB">
        <w:rPr>
          <w:rFonts w:ascii="Palatino Linotype" w:eastAsia="MS Mincho" w:hAnsi="Palatino Linotype" w:cs="Arial"/>
          <w:i/>
          <w:color w:val="000000"/>
          <w:sz w:val="22"/>
          <w:lang w:val="es-MX"/>
        </w:rPr>
        <w:t>Artículo 12.8.- Corresponde a la Secretaría del Ramo y a los ayuntamientos, en el ámbito de sus respectivas competencias, ejecutar la obra pública, mediante contrato con terceros o por administración directa.</w:t>
      </w:r>
    </w:p>
    <w:p w:rsidR="00E246DB" w:rsidRPr="00E246DB" w:rsidRDefault="00E246DB" w:rsidP="00E246DB">
      <w:pPr>
        <w:autoSpaceDE w:val="0"/>
        <w:autoSpaceDN w:val="0"/>
        <w:adjustRightInd w:val="0"/>
        <w:spacing w:before="240" w:after="240"/>
        <w:ind w:left="567" w:right="900"/>
        <w:jc w:val="both"/>
        <w:rPr>
          <w:rFonts w:ascii="Palatino Linotype" w:eastAsia="MS Mincho" w:hAnsi="Palatino Linotype" w:cs="Arial"/>
          <w:i/>
          <w:color w:val="000000"/>
          <w:sz w:val="22"/>
          <w:lang w:val="es-MX"/>
        </w:rPr>
      </w:pPr>
      <w:r w:rsidRPr="00E246DB">
        <w:rPr>
          <w:rFonts w:ascii="Palatino Linotype" w:eastAsia="MS Mincho" w:hAnsi="Palatino Linotype" w:cs="Arial"/>
          <w:i/>
          <w:color w:val="000000"/>
          <w:sz w:val="22"/>
          <w:lang w:val="es-MX"/>
        </w:rPr>
        <w:t>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w:t>
      </w:r>
    </w:p>
    <w:p w:rsidR="00E246DB" w:rsidRPr="00C71A7E" w:rsidRDefault="00E246DB" w:rsidP="00E246DB">
      <w:pPr>
        <w:autoSpaceDE w:val="0"/>
        <w:autoSpaceDN w:val="0"/>
        <w:adjustRightInd w:val="0"/>
        <w:spacing w:before="240" w:after="240"/>
        <w:ind w:left="567" w:right="900"/>
        <w:jc w:val="both"/>
        <w:rPr>
          <w:rFonts w:ascii="Palatino Linotype" w:eastAsia="MS Mincho" w:hAnsi="Palatino Linotype" w:cs="Arial"/>
          <w:i/>
          <w:color w:val="000000"/>
          <w:sz w:val="20"/>
          <w:lang w:val="es-MX"/>
        </w:rPr>
      </w:pPr>
      <w:r w:rsidRPr="00E246DB">
        <w:rPr>
          <w:rFonts w:ascii="Palatino Linotype" w:eastAsia="MS Mincho" w:hAnsi="Palatino Linotype" w:cs="Arial"/>
          <w:b/>
          <w:i/>
          <w:color w:val="000000"/>
          <w:sz w:val="22"/>
          <w:lang w:val="es-MX"/>
        </w:rPr>
        <w:t>Lo dispuesto en el párrafo anterior será aplicable a los ayuntamientos, tratándose de la realización de  obras con cargo a fondos estatales total o parcialmente</w:t>
      </w:r>
      <w:r w:rsidR="00C71A7E">
        <w:rPr>
          <w:rFonts w:ascii="Palatino Linotype" w:eastAsia="MS Mincho" w:hAnsi="Palatino Linotype" w:cs="Arial"/>
          <w:i/>
          <w:color w:val="000000"/>
          <w:sz w:val="22"/>
          <w:lang w:val="es-MX"/>
        </w:rPr>
        <w:t>.</w:t>
      </w:r>
    </w:p>
    <w:p w:rsidR="00E246DB" w:rsidRDefault="00E246DB" w:rsidP="00C71A7E">
      <w:pPr>
        <w:autoSpaceDE w:val="0"/>
        <w:autoSpaceDN w:val="0"/>
        <w:adjustRightInd w:val="0"/>
        <w:spacing w:before="240" w:after="240"/>
        <w:ind w:left="567" w:right="900"/>
        <w:jc w:val="both"/>
        <w:rPr>
          <w:rFonts w:ascii="Palatino Linotype" w:eastAsia="MS Mincho" w:hAnsi="Palatino Linotype" w:cs="Arial"/>
          <w:b/>
          <w:i/>
          <w:color w:val="000000"/>
          <w:sz w:val="22"/>
          <w:lang w:val="es-MX"/>
        </w:rPr>
      </w:pPr>
      <w:r w:rsidRPr="00C71A7E">
        <w:rPr>
          <w:rFonts w:ascii="Palatino Linotype" w:eastAsia="MS Mincho" w:hAnsi="Palatino Linotype" w:cs="Arial"/>
          <w:i/>
          <w:color w:val="000000"/>
          <w:sz w:val="22"/>
          <w:lang w:val="es-MX"/>
        </w:rPr>
        <w:t xml:space="preserve">Artículo 12.15 Bis.- </w:t>
      </w:r>
      <w:r w:rsidRPr="00C71A7E">
        <w:rPr>
          <w:rFonts w:ascii="Palatino Linotype" w:eastAsia="MS Mincho" w:hAnsi="Palatino Linotype" w:cs="Arial"/>
          <w:b/>
          <w:i/>
          <w:color w:val="000000"/>
          <w:sz w:val="22"/>
          <w:lang w:val="es-MX"/>
        </w:rPr>
        <w:t>En la obra pública o los servicios relacionados con la misma, financiados con fondos provenientes de recursos o créditos externos de los otorgados al Gobierno del Estado, los procedimientos, requisitos y demás disposiciones para su contratac</w:t>
      </w:r>
      <w:r w:rsidR="00C71A7E" w:rsidRPr="00C71A7E">
        <w:rPr>
          <w:rFonts w:ascii="Palatino Linotype" w:eastAsia="MS Mincho" w:hAnsi="Palatino Linotype" w:cs="Arial"/>
          <w:b/>
          <w:i/>
          <w:color w:val="000000"/>
          <w:sz w:val="22"/>
          <w:lang w:val="es-MX"/>
        </w:rPr>
        <w:t xml:space="preserve">ión serán establecidos, previa  </w:t>
      </w:r>
      <w:r w:rsidRPr="00C71A7E">
        <w:rPr>
          <w:rFonts w:ascii="Palatino Linotype" w:eastAsia="MS Mincho" w:hAnsi="Palatino Linotype" w:cs="Arial"/>
          <w:b/>
          <w:i/>
          <w:color w:val="000000"/>
          <w:sz w:val="22"/>
          <w:lang w:val="es-MX"/>
        </w:rPr>
        <w:lastRenderedPageBreak/>
        <w:t>autorización de la Secretaría y</w:t>
      </w:r>
      <w:r w:rsidRPr="00C71A7E">
        <w:rPr>
          <w:rFonts w:ascii="Palatino Linotype" w:eastAsia="MS Mincho" w:hAnsi="Palatino Linotype" w:cs="Arial"/>
          <w:i/>
          <w:color w:val="000000"/>
          <w:sz w:val="22"/>
          <w:lang w:val="es-MX"/>
        </w:rPr>
        <w:t xml:space="preserve"> </w:t>
      </w:r>
      <w:r w:rsidRPr="00C71A7E">
        <w:rPr>
          <w:rFonts w:ascii="Palatino Linotype" w:eastAsia="MS Mincho" w:hAnsi="Palatino Linotype" w:cs="Arial"/>
          <w:b/>
          <w:i/>
          <w:color w:val="000000"/>
          <w:sz w:val="22"/>
          <w:lang w:val="es-MX"/>
        </w:rPr>
        <w:t>deberán precisarse en las convocato</w:t>
      </w:r>
      <w:r w:rsidR="00C71A7E" w:rsidRPr="00C71A7E">
        <w:rPr>
          <w:rFonts w:ascii="Palatino Linotype" w:eastAsia="MS Mincho" w:hAnsi="Palatino Linotype" w:cs="Arial"/>
          <w:b/>
          <w:i/>
          <w:color w:val="000000"/>
          <w:sz w:val="22"/>
          <w:lang w:val="es-MX"/>
        </w:rPr>
        <w:t xml:space="preserve">rias, invitaciones y contratos </w:t>
      </w:r>
      <w:r w:rsidRPr="00C71A7E">
        <w:rPr>
          <w:rFonts w:ascii="Palatino Linotype" w:eastAsia="MS Mincho" w:hAnsi="Palatino Linotype" w:cs="Arial"/>
          <w:b/>
          <w:i/>
          <w:color w:val="000000"/>
          <w:sz w:val="22"/>
          <w:lang w:val="es-MX"/>
        </w:rPr>
        <w:t>correspondientes.</w:t>
      </w:r>
      <w:r w:rsidR="00C71A7E">
        <w:rPr>
          <w:rFonts w:ascii="Palatino Linotype" w:eastAsia="MS Mincho" w:hAnsi="Palatino Linotype" w:cs="Arial"/>
          <w:b/>
          <w:i/>
          <w:color w:val="000000"/>
          <w:sz w:val="22"/>
          <w:lang w:val="es-MX"/>
        </w:rPr>
        <w:t>”</w:t>
      </w:r>
    </w:p>
    <w:p w:rsidR="00C71A7E" w:rsidRDefault="00C71A7E" w:rsidP="00C71A7E">
      <w:pPr>
        <w:autoSpaceDE w:val="0"/>
        <w:autoSpaceDN w:val="0"/>
        <w:adjustRightInd w:val="0"/>
        <w:spacing w:before="240" w:after="240"/>
        <w:ind w:left="567" w:right="900"/>
        <w:jc w:val="both"/>
        <w:rPr>
          <w:rFonts w:ascii="Palatino Linotype" w:eastAsia="MS Mincho" w:hAnsi="Palatino Linotype" w:cs="Arial"/>
          <w:i/>
          <w:color w:val="000000"/>
          <w:sz w:val="22"/>
          <w:lang w:val="es-MX"/>
        </w:rPr>
      </w:pPr>
      <w:r>
        <w:rPr>
          <w:rFonts w:ascii="Palatino Linotype" w:eastAsia="MS Mincho" w:hAnsi="Palatino Linotype" w:cs="Arial"/>
          <w:i/>
          <w:color w:val="000000"/>
          <w:sz w:val="22"/>
          <w:lang w:val="es-MX"/>
        </w:rPr>
        <w:t>(Énfasis añadido)</w:t>
      </w:r>
    </w:p>
    <w:p w:rsidR="00C71A7E" w:rsidRPr="00C71A7E" w:rsidRDefault="00C71A7E" w:rsidP="00C71A7E">
      <w:pPr>
        <w:autoSpaceDE w:val="0"/>
        <w:autoSpaceDN w:val="0"/>
        <w:adjustRightInd w:val="0"/>
        <w:spacing w:before="240" w:after="240" w:line="360" w:lineRule="auto"/>
        <w:ind w:right="49"/>
        <w:jc w:val="both"/>
        <w:rPr>
          <w:rFonts w:ascii="Palatino Linotype" w:eastAsia="MS Mincho" w:hAnsi="Palatino Linotype" w:cs="Arial"/>
          <w:color w:val="000000"/>
          <w:lang w:val="es-MX"/>
        </w:rPr>
      </w:pPr>
      <w:r>
        <w:rPr>
          <w:rFonts w:ascii="Palatino Linotype" w:eastAsia="MS Mincho" w:hAnsi="Palatino Linotype" w:cs="Arial"/>
          <w:color w:val="000000"/>
          <w:lang w:val="es-MX"/>
        </w:rPr>
        <w:t xml:space="preserve">De manera que como se advierte de lo anteriormente citado, las obras públicas ejecutadas por las entidades públicas, dependencias o ayuntamientos, pueden ejecutarse con cargo total o parcial a fondos estatales o federales y compete a los mismos precisarlo mediante sus convocatorias, invitaciones y contratos correspondientes, aunado a que los </w:t>
      </w:r>
      <w:r w:rsidRPr="00C71A7E">
        <w:rPr>
          <w:rFonts w:ascii="Palatino Linotype" w:eastAsia="MS Mincho" w:hAnsi="Palatino Linotype" w:cs="Arial"/>
          <w:color w:val="000000"/>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Pr>
          <w:rFonts w:ascii="Palatino Linotype" w:eastAsia="MS Mincho" w:hAnsi="Palatino Linotype" w:cs="Arial"/>
          <w:color w:val="000000"/>
        </w:rPr>
        <w:t xml:space="preserve"> mandatan a los sujetos obligados al momento de la publicación de la información concerniente a la obra pública, la precisión del origen de los recurso que financian la obra. </w:t>
      </w:r>
    </w:p>
    <w:p w:rsidR="00DE5ED1" w:rsidRPr="00FE1DB5" w:rsidRDefault="00DE5ED1" w:rsidP="00F65F45">
      <w:pPr>
        <w:autoSpaceDE w:val="0"/>
        <w:autoSpaceDN w:val="0"/>
        <w:adjustRightInd w:val="0"/>
        <w:spacing w:before="240" w:after="240" w:line="360" w:lineRule="auto"/>
        <w:ind w:right="49"/>
        <w:jc w:val="both"/>
        <w:rPr>
          <w:rFonts w:ascii="Palatino Linotype" w:eastAsia="MS Mincho" w:hAnsi="Palatino Linotype" w:cs="Arial"/>
          <w:color w:val="000000"/>
          <w:lang w:val="es-MX"/>
        </w:rPr>
      </w:pPr>
      <w:r>
        <w:rPr>
          <w:rFonts w:ascii="Palatino Linotype" w:eastAsia="MS Mincho" w:hAnsi="Palatino Linotype" w:cs="Arial"/>
          <w:color w:val="000000"/>
          <w:lang w:val="es-MX"/>
        </w:rPr>
        <w:t xml:space="preserve">En  </w:t>
      </w:r>
      <w:r w:rsidR="00FE1DB5" w:rsidRPr="00FE1DB5">
        <w:rPr>
          <w:rFonts w:ascii="Palatino Linotype" w:eastAsia="MS Mincho" w:hAnsi="Palatino Linotype" w:cs="Arial"/>
          <w:color w:val="000000"/>
          <w:lang w:val="es-MX"/>
        </w:rPr>
        <w:t>relatadas circunstancias, se puede decir, que corresponde a los Ayuntamientos, en el ámbito de sus respectivas competencias, ejecutar la obra pública, mediante contrato con tercer</w:t>
      </w:r>
      <w:r w:rsidR="00F65F45">
        <w:rPr>
          <w:rFonts w:ascii="Palatino Linotype" w:eastAsia="MS Mincho" w:hAnsi="Palatino Linotype" w:cs="Arial"/>
          <w:color w:val="000000"/>
          <w:lang w:val="es-MX"/>
        </w:rPr>
        <w:t xml:space="preserve">os o por administración directa, para ello deberán observar lo previsto por </w:t>
      </w:r>
      <w:r w:rsidRPr="00FE1DB5">
        <w:rPr>
          <w:rFonts w:ascii="Palatino Linotype" w:eastAsia="MS Mincho" w:hAnsi="Palatino Linotype" w:cs="Arial"/>
          <w:color w:val="000000"/>
          <w:lang w:val="es-MX"/>
        </w:rPr>
        <w:t xml:space="preserve">el Libro Décimo Segundo del Código Administrativo del Estado de México, </w:t>
      </w:r>
      <w:r w:rsidR="00F65F45">
        <w:rPr>
          <w:rFonts w:ascii="Palatino Linotype" w:eastAsia="MS Mincho" w:hAnsi="Palatino Linotype" w:cs="Arial"/>
          <w:color w:val="000000"/>
          <w:lang w:val="es-MX"/>
        </w:rPr>
        <w:t xml:space="preserve">el cual </w:t>
      </w:r>
      <w:r w:rsidRPr="00FE1DB5">
        <w:rPr>
          <w:rFonts w:ascii="Palatino Linotype" w:eastAsia="MS Mincho" w:hAnsi="Palatino Linotype" w:cs="Arial"/>
          <w:color w:val="000000"/>
          <w:lang w:val="es-MX"/>
        </w:rPr>
        <w:t>regula los actos relativos a la planeación, programación, presupuestación, adjudicación, contratación, ejecución y control de la obra pública, así como los servicios relacionados con la misma que, por sí o por conducto de terceros, realicen entre otros, los ayuntamientos de los municipios del Estado.</w:t>
      </w:r>
    </w:p>
    <w:p w:rsidR="00FE1DB5" w:rsidRPr="00FE1DB5" w:rsidRDefault="00FE1DB5" w:rsidP="00FE1DB5">
      <w:pPr>
        <w:autoSpaceDE w:val="0"/>
        <w:autoSpaceDN w:val="0"/>
        <w:adjustRightInd w:val="0"/>
        <w:spacing w:before="240" w:after="240" w:line="360" w:lineRule="auto"/>
        <w:ind w:right="49" w:firstLine="1"/>
        <w:jc w:val="both"/>
        <w:rPr>
          <w:rFonts w:ascii="Palatino Linotype" w:eastAsia="MS Mincho" w:hAnsi="Palatino Linotype" w:cs="Arial"/>
          <w:color w:val="000000"/>
          <w:lang w:val="es-MX"/>
        </w:rPr>
      </w:pPr>
      <w:r w:rsidRPr="00FE1DB5">
        <w:rPr>
          <w:rFonts w:ascii="Palatino Linotype" w:eastAsia="MS Mincho" w:hAnsi="Palatino Linotype" w:cs="Arial"/>
          <w:color w:val="000000"/>
          <w:lang w:val="es-MX"/>
        </w:rPr>
        <w:lastRenderedPageBreak/>
        <w:t>Para la mejor planeación de la obra pública en el Estado, las dependencias, entidades y ayuntamientos que ejecuten obra, deberán dar aviso a la Secretaría del ramo, de sus proyectos y programación de ejecución, independientemente del origen de los recursos.</w:t>
      </w:r>
    </w:p>
    <w:p w:rsidR="00FE1DB5" w:rsidRPr="00FE1DB5" w:rsidRDefault="00FE1DB5" w:rsidP="00FE1DB5">
      <w:pPr>
        <w:autoSpaceDE w:val="0"/>
        <w:autoSpaceDN w:val="0"/>
        <w:adjustRightInd w:val="0"/>
        <w:spacing w:before="240" w:after="240" w:line="360" w:lineRule="auto"/>
        <w:ind w:right="49" w:firstLine="1"/>
        <w:jc w:val="both"/>
        <w:rPr>
          <w:rFonts w:ascii="Palatino Linotype" w:eastAsia="MS Mincho" w:hAnsi="Palatino Linotype" w:cs="Arial"/>
          <w:color w:val="000000"/>
          <w:lang w:val="es-MX"/>
        </w:rPr>
      </w:pPr>
      <w:r w:rsidRPr="00FE1DB5">
        <w:rPr>
          <w:rFonts w:ascii="Palatino Linotype" w:eastAsia="MS Mincho" w:hAnsi="Palatino Linotype" w:cs="Arial"/>
          <w:color w:val="000000"/>
          <w:lang w:val="es-MX"/>
        </w:rPr>
        <w:t xml:space="preserve">A partir de estas percepciones, el Reglamento del Libro Décimo Segundo del Código Administrativo del Estado de México, prevé en su artículo 4, que la planeación de la obra pública comprende el conjunto de actividades necesarias para la debida programación, presupuestación, ejecución, seguimiento, control y evaluación; bajo las siguientes actividades básicas: </w:t>
      </w:r>
    </w:p>
    <w:p w:rsidR="00FE1DB5" w:rsidRPr="00FE1DB5" w:rsidRDefault="00FE1DB5" w:rsidP="00FE1DB5">
      <w:pPr>
        <w:autoSpaceDE w:val="0"/>
        <w:autoSpaceDN w:val="0"/>
        <w:adjustRightInd w:val="0"/>
        <w:spacing w:before="240" w:after="240" w:line="360" w:lineRule="auto"/>
        <w:ind w:left="567" w:right="49"/>
        <w:jc w:val="both"/>
        <w:rPr>
          <w:rFonts w:ascii="Palatino Linotype" w:eastAsia="MS Mincho" w:hAnsi="Palatino Linotype" w:cs="Arial"/>
          <w:color w:val="000000"/>
          <w:lang w:val="es-MX"/>
        </w:rPr>
      </w:pPr>
      <w:r w:rsidRPr="00FE1DB5">
        <w:rPr>
          <w:rFonts w:ascii="Palatino Linotype" w:eastAsia="MS Mincho" w:hAnsi="Palatino Linotype" w:cs="Arial"/>
          <w:color w:val="000000"/>
          <w:lang w:val="es-MX"/>
        </w:rPr>
        <w:t xml:space="preserve">I. La descripción de la obra; </w:t>
      </w:r>
    </w:p>
    <w:p w:rsidR="00FE1DB5" w:rsidRPr="00FE1DB5" w:rsidRDefault="00FE1DB5" w:rsidP="00FE1DB5">
      <w:pPr>
        <w:autoSpaceDE w:val="0"/>
        <w:autoSpaceDN w:val="0"/>
        <w:adjustRightInd w:val="0"/>
        <w:spacing w:before="240" w:after="240" w:line="360" w:lineRule="auto"/>
        <w:ind w:left="567" w:right="49"/>
        <w:jc w:val="both"/>
        <w:rPr>
          <w:rFonts w:ascii="Palatino Linotype" w:eastAsia="MS Mincho" w:hAnsi="Palatino Linotype" w:cs="Arial"/>
          <w:color w:val="000000"/>
          <w:lang w:val="es-MX"/>
        </w:rPr>
      </w:pPr>
      <w:r w:rsidRPr="00FE1DB5">
        <w:rPr>
          <w:rFonts w:ascii="Palatino Linotype" w:eastAsia="MS Mincho" w:hAnsi="Palatino Linotype" w:cs="Arial"/>
          <w:color w:val="000000"/>
          <w:lang w:val="es-MX"/>
        </w:rPr>
        <w:t xml:space="preserve">II. El análisis de factibilidad; </w:t>
      </w:r>
    </w:p>
    <w:p w:rsidR="00FE1DB5" w:rsidRPr="00FE1DB5" w:rsidRDefault="00FE1DB5" w:rsidP="00FE1DB5">
      <w:pPr>
        <w:autoSpaceDE w:val="0"/>
        <w:autoSpaceDN w:val="0"/>
        <w:adjustRightInd w:val="0"/>
        <w:spacing w:before="240" w:after="240" w:line="360" w:lineRule="auto"/>
        <w:ind w:left="567" w:right="49"/>
        <w:jc w:val="both"/>
        <w:rPr>
          <w:rFonts w:ascii="Palatino Linotype" w:eastAsia="MS Mincho" w:hAnsi="Palatino Linotype" w:cs="Arial"/>
          <w:color w:val="000000"/>
          <w:lang w:val="es-MX"/>
        </w:rPr>
      </w:pPr>
      <w:r w:rsidRPr="00FE1DB5">
        <w:rPr>
          <w:rFonts w:ascii="Palatino Linotype" w:eastAsia="MS Mincho" w:hAnsi="Palatino Linotype" w:cs="Arial"/>
          <w:color w:val="000000"/>
          <w:lang w:val="es-MX"/>
        </w:rPr>
        <w:t xml:space="preserve">III. El desarrollo del proyecto arquitectónico; </w:t>
      </w:r>
    </w:p>
    <w:p w:rsidR="00FE1DB5" w:rsidRPr="00FE1DB5" w:rsidRDefault="00FE1DB5" w:rsidP="00FE1DB5">
      <w:pPr>
        <w:autoSpaceDE w:val="0"/>
        <w:autoSpaceDN w:val="0"/>
        <w:adjustRightInd w:val="0"/>
        <w:spacing w:before="240" w:after="240" w:line="360" w:lineRule="auto"/>
        <w:ind w:left="567" w:right="49"/>
        <w:jc w:val="both"/>
        <w:rPr>
          <w:rFonts w:ascii="Palatino Linotype" w:eastAsia="MS Mincho" w:hAnsi="Palatino Linotype" w:cs="Arial"/>
          <w:color w:val="000000"/>
          <w:lang w:val="es-MX"/>
        </w:rPr>
      </w:pPr>
      <w:r w:rsidRPr="00FE1DB5">
        <w:rPr>
          <w:rFonts w:ascii="Palatino Linotype" w:eastAsia="MS Mincho" w:hAnsi="Palatino Linotype" w:cs="Arial"/>
          <w:color w:val="000000"/>
          <w:lang w:val="es-MX"/>
        </w:rPr>
        <w:t xml:space="preserve">IV. El desarrollo del proyecto de ingeniería; </w:t>
      </w:r>
    </w:p>
    <w:p w:rsidR="00FE1DB5" w:rsidRPr="00FE1DB5" w:rsidRDefault="00FE1DB5" w:rsidP="00FE1DB5">
      <w:pPr>
        <w:autoSpaceDE w:val="0"/>
        <w:autoSpaceDN w:val="0"/>
        <w:adjustRightInd w:val="0"/>
        <w:spacing w:before="240" w:after="240" w:line="360" w:lineRule="auto"/>
        <w:ind w:left="567" w:right="49"/>
        <w:jc w:val="both"/>
        <w:rPr>
          <w:rFonts w:ascii="Palatino Linotype" w:eastAsia="MS Mincho" w:hAnsi="Palatino Linotype" w:cs="Arial"/>
          <w:color w:val="000000"/>
          <w:lang w:val="es-MX"/>
        </w:rPr>
      </w:pPr>
      <w:r w:rsidRPr="00FE1DB5">
        <w:rPr>
          <w:rFonts w:ascii="Palatino Linotype" w:eastAsia="MS Mincho" w:hAnsi="Palatino Linotype" w:cs="Arial"/>
          <w:color w:val="000000"/>
          <w:lang w:val="es-MX"/>
        </w:rPr>
        <w:t xml:space="preserve">V. La integración del proyecto ejecutivo; </w:t>
      </w:r>
    </w:p>
    <w:p w:rsidR="00FE1DB5" w:rsidRPr="00FE1DB5" w:rsidRDefault="00FE1DB5" w:rsidP="00FE1DB5">
      <w:pPr>
        <w:autoSpaceDE w:val="0"/>
        <w:autoSpaceDN w:val="0"/>
        <w:adjustRightInd w:val="0"/>
        <w:spacing w:before="240" w:after="240" w:line="360" w:lineRule="auto"/>
        <w:ind w:left="567" w:right="49"/>
        <w:jc w:val="both"/>
        <w:rPr>
          <w:rFonts w:ascii="Palatino Linotype" w:eastAsia="MS Mincho" w:hAnsi="Palatino Linotype" w:cs="Arial"/>
          <w:color w:val="000000"/>
          <w:lang w:val="es-MX"/>
        </w:rPr>
      </w:pPr>
      <w:r w:rsidRPr="00FE1DB5">
        <w:rPr>
          <w:rFonts w:ascii="Palatino Linotype" w:eastAsia="MS Mincho" w:hAnsi="Palatino Linotype" w:cs="Arial"/>
          <w:color w:val="000000"/>
          <w:lang w:val="es-MX"/>
        </w:rPr>
        <w:t xml:space="preserve">VI. La determinación de normas técnicas y de calidad de materiales y equipos de instalación permanente; </w:t>
      </w:r>
    </w:p>
    <w:p w:rsidR="00FE1DB5" w:rsidRPr="00FE1DB5" w:rsidRDefault="00FE1DB5" w:rsidP="00FE1DB5">
      <w:pPr>
        <w:autoSpaceDE w:val="0"/>
        <w:autoSpaceDN w:val="0"/>
        <w:adjustRightInd w:val="0"/>
        <w:spacing w:before="240" w:after="240" w:line="360" w:lineRule="auto"/>
        <w:ind w:left="567" w:right="49"/>
        <w:jc w:val="both"/>
        <w:rPr>
          <w:rFonts w:ascii="Palatino Linotype" w:eastAsia="MS Mincho" w:hAnsi="Palatino Linotype" w:cs="Arial"/>
          <w:color w:val="000000"/>
          <w:lang w:val="es-MX"/>
        </w:rPr>
      </w:pPr>
      <w:r w:rsidRPr="00FE1DB5">
        <w:rPr>
          <w:rFonts w:ascii="Palatino Linotype" w:eastAsia="MS Mincho" w:hAnsi="Palatino Linotype" w:cs="Arial"/>
          <w:color w:val="000000"/>
          <w:lang w:val="es-MX"/>
        </w:rPr>
        <w:t xml:space="preserve">VII. La determinación de especificaciones particulares de construcción, de así requerirse; </w:t>
      </w:r>
    </w:p>
    <w:p w:rsidR="00FE1DB5" w:rsidRPr="00FE1DB5" w:rsidRDefault="00FE1DB5" w:rsidP="00FE1DB5">
      <w:pPr>
        <w:autoSpaceDE w:val="0"/>
        <w:autoSpaceDN w:val="0"/>
        <w:adjustRightInd w:val="0"/>
        <w:spacing w:before="240" w:after="240" w:line="360" w:lineRule="auto"/>
        <w:ind w:left="567" w:right="49"/>
        <w:jc w:val="both"/>
        <w:rPr>
          <w:rFonts w:ascii="Palatino Linotype" w:eastAsia="MS Mincho" w:hAnsi="Palatino Linotype" w:cs="Arial"/>
          <w:color w:val="000000"/>
          <w:lang w:val="es-MX"/>
        </w:rPr>
      </w:pPr>
      <w:r w:rsidRPr="00FE1DB5">
        <w:rPr>
          <w:rFonts w:ascii="Palatino Linotype" w:eastAsia="MS Mincho" w:hAnsi="Palatino Linotype" w:cs="Arial"/>
          <w:color w:val="000000"/>
          <w:lang w:val="es-MX"/>
        </w:rPr>
        <w:t xml:space="preserve">VIII. La definición de los servicios relacionados con la obra; </w:t>
      </w:r>
    </w:p>
    <w:p w:rsidR="00FE1DB5" w:rsidRPr="00FE1DB5" w:rsidRDefault="00FE1DB5" w:rsidP="00FE1DB5">
      <w:pPr>
        <w:autoSpaceDE w:val="0"/>
        <w:autoSpaceDN w:val="0"/>
        <w:adjustRightInd w:val="0"/>
        <w:spacing w:before="240" w:after="240" w:line="360" w:lineRule="auto"/>
        <w:ind w:left="567" w:right="49"/>
        <w:jc w:val="both"/>
        <w:rPr>
          <w:rFonts w:ascii="Palatino Linotype" w:eastAsia="MS Mincho" w:hAnsi="Palatino Linotype" w:cs="Arial"/>
          <w:color w:val="000000"/>
          <w:lang w:val="es-MX"/>
        </w:rPr>
      </w:pPr>
      <w:r w:rsidRPr="00FE1DB5">
        <w:rPr>
          <w:rFonts w:ascii="Palatino Linotype" w:eastAsia="MS Mincho" w:hAnsi="Palatino Linotype" w:cs="Arial"/>
          <w:color w:val="000000"/>
          <w:lang w:val="es-MX"/>
        </w:rPr>
        <w:lastRenderedPageBreak/>
        <w:t xml:space="preserve">IX. El programa de ejecución; </w:t>
      </w:r>
    </w:p>
    <w:p w:rsidR="00FE1DB5" w:rsidRPr="00FE1DB5" w:rsidRDefault="00FE1DB5" w:rsidP="00FE1DB5">
      <w:pPr>
        <w:autoSpaceDE w:val="0"/>
        <w:autoSpaceDN w:val="0"/>
        <w:adjustRightInd w:val="0"/>
        <w:spacing w:before="240" w:after="240" w:line="360" w:lineRule="auto"/>
        <w:ind w:left="567" w:right="49"/>
        <w:jc w:val="both"/>
        <w:rPr>
          <w:rFonts w:ascii="Palatino Linotype" w:eastAsia="MS Mincho" w:hAnsi="Palatino Linotype" w:cs="Arial"/>
          <w:color w:val="000000"/>
          <w:lang w:val="es-MX"/>
        </w:rPr>
      </w:pPr>
      <w:r w:rsidRPr="00FE1DB5">
        <w:rPr>
          <w:rFonts w:ascii="Palatino Linotype" w:eastAsia="MS Mincho" w:hAnsi="Palatino Linotype" w:cs="Arial"/>
          <w:color w:val="000000"/>
          <w:lang w:val="es-MX"/>
        </w:rPr>
        <w:t xml:space="preserve">X. El presupuesto. </w:t>
      </w:r>
    </w:p>
    <w:p w:rsidR="00FE1DB5" w:rsidRPr="00FE1DB5" w:rsidRDefault="00FE1DB5" w:rsidP="00FE1DB5">
      <w:pPr>
        <w:autoSpaceDE w:val="0"/>
        <w:autoSpaceDN w:val="0"/>
        <w:adjustRightInd w:val="0"/>
        <w:spacing w:before="240" w:after="240" w:line="360" w:lineRule="auto"/>
        <w:ind w:right="49" w:firstLine="1"/>
        <w:jc w:val="both"/>
        <w:rPr>
          <w:rFonts w:ascii="Palatino Linotype" w:eastAsia="MS Mincho" w:hAnsi="Palatino Linotype" w:cs="Arial"/>
          <w:color w:val="000000"/>
          <w:lang w:val="es-MX"/>
        </w:rPr>
      </w:pPr>
      <w:r w:rsidRPr="00FE1DB5">
        <w:rPr>
          <w:rFonts w:ascii="Palatino Linotype" w:eastAsia="MS Mincho" w:hAnsi="Palatino Linotype" w:cs="Arial"/>
          <w:color w:val="000000"/>
          <w:lang w:val="es-MX"/>
        </w:rPr>
        <w:t>Establecido lo previo, cabe considerar lo que establecen los artículos 26, 27 y 28 de la Ley de Contratación Pública del Estado de México y Municipios, que rezan así:</w:t>
      </w:r>
    </w:p>
    <w:p w:rsidR="00FE1DB5" w:rsidRPr="00FE1DB5" w:rsidRDefault="00FE1DB5" w:rsidP="00FE1DB5">
      <w:pPr>
        <w:autoSpaceDE w:val="0"/>
        <w:autoSpaceDN w:val="0"/>
        <w:adjustRightInd w:val="0"/>
        <w:spacing w:after="120"/>
        <w:ind w:left="567" w:right="992"/>
        <w:jc w:val="both"/>
        <w:rPr>
          <w:rFonts w:ascii="Palatino Linotype" w:eastAsia="MS Mincho" w:hAnsi="Palatino Linotype" w:cs="Arial"/>
          <w:i/>
          <w:color w:val="000000"/>
          <w:sz w:val="22"/>
          <w:szCs w:val="20"/>
          <w:lang w:val="es-MX"/>
        </w:rPr>
      </w:pPr>
      <w:r w:rsidRPr="00FE1DB5">
        <w:rPr>
          <w:rFonts w:ascii="Palatino Linotype" w:eastAsia="MS Mincho" w:hAnsi="Palatino Linotype" w:cs="Arial"/>
          <w:i/>
          <w:color w:val="000000"/>
          <w:sz w:val="22"/>
          <w:szCs w:val="20"/>
          <w:lang w:val="es-MX"/>
        </w:rPr>
        <w:t>“</w:t>
      </w:r>
      <w:r w:rsidRPr="00FE1DB5">
        <w:rPr>
          <w:rFonts w:ascii="Palatino Linotype" w:eastAsia="MS Mincho" w:hAnsi="Palatino Linotype" w:cs="Arial"/>
          <w:b/>
          <w:i/>
          <w:color w:val="000000"/>
          <w:sz w:val="22"/>
          <w:szCs w:val="20"/>
          <w:lang w:val="es-MX"/>
        </w:rPr>
        <w:t xml:space="preserve">Artículo 26.- </w:t>
      </w:r>
      <w:r w:rsidRPr="00FE1DB5">
        <w:rPr>
          <w:rFonts w:ascii="Palatino Linotype" w:eastAsia="MS Mincho" w:hAnsi="Palatino Linotype" w:cs="Arial"/>
          <w:i/>
          <w:color w:val="000000"/>
          <w:sz w:val="22"/>
          <w:szCs w:val="20"/>
          <w:lang w:val="es-MX"/>
        </w:rPr>
        <w:t xml:space="preserve">Las adquisiciones, arrendamientos y servicios se adjudicarán a través de licitaciones públicas, mediante convocatoria pública. </w:t>
      </w:r>
    </w:p>
    <w:p w:rsidR="00FE1DB5" w:rsidRPr="00FE1DB5" w:rsidRDefault="00FE1DB5" w:rsidP="00FE1DB5">
      <w:pPr>
        <w:autoSpaceDE w:val="0"/>
        <w:autoSpaceDN w:val="0"/>
        <w:adjustRightInd w:val="0"/>
        <w:spacing w:after="120"/>
        <w:ind w:left="567" w:right="992"/>
        <w:jc w:val="both"/>
        <w:rPr>
          <w:rFonts w:ascii="Palatino Linotype" w:eastAsia="MS Mincho" w:hAnsi="Palatino Linotype" w:cs="Arial"/>
          <w:i/>
          <w:color w:val="000000"/>
          <w:sz w:val="22"/>
          <w:szCs w:val="20"/>
          <w:lang w:val="es-MX"/>
        </w:rPr>
      </w:pPr>
      <w:r w:rsidRPr="00FE1DB5">
        <w:rPr>
          <w:rFonts w:ascii="Palatino Linotype" w:eastAsia="MS Mincho" w:hAnsi="Palatino Linotype" w:cs="Arial"/>
          <w:b/>
          <w:i/>
          <w:color w:val="000000"/>
          <w:sz w:val="22"/>
          <w:szCs w:val="20"/>
          <w:lang w:val="es-MX"/>
        </w:rPr>
        <w:t>Artículo 27.-</w:t>
      </w:r>
      <w:r w:rsidRPr="00FE1DB5">
        <w:rPr>
          <w:rFonts w:ascii="Palatino Linotype" w:eastAsia="MS Mincho" w:hAnsi="Palatino Linotype" w:cs="Arial"/>
          <w:i/>
          <w:color w:val="000000"/>
          <w:sz w:val="22"/>
          <w:szCs w:val="20"/>
          <w:lang w:val="es-MX"/>
        </w:rPr>
        <w:t xml:space="preserve"> La Secretaría, las entidades, los tribunales administrativos y los ayuntamientos podrán adjudicar adquisiciones, arrendamientos y servicios, mediante las excepciones al procedimiento de licitación que a continuación se señalan: </w:t>
      </w:r>
    </w:p>
    <w:p w:rsidR="00FE1DB5" w:rsidRPr="00FE1DB5" w:rsidRDefault="00FE1DB5" w:rsidP="00FE1DB5">
      <w:pPr>
        <w:autoSpaceDE w:val="0"/>
        <w:autoSpaceDN w:val="0"/>
        <w:adjustRightInd w:val="0"/>
        <w:spacing w:after="120"/>
        <w:ind w:left="567" w:right="992"/>
        <w:jc w:val="both"/>
        <w:rPr>
          <w:rFonts w:ascii="Palatino Linotype" w:eastAsia="MS Mincho" w:hAnsi="Palatino Linotype" w:cs="Arial"/>
          <w:i/>
          <w:color w:val="000000"/>
          <w:sz w:val="22"/>
          <w:szCs w:val="20"/>
          <w:lang w:val="es-MX"/>
        </w:rPr>
      </w:pPr>
      <w:r w:rsidRPr="00FE1DB5">
        <w:rPr>
          <w:rFonts w:ascii="Palatino Linotype" w:eastAsia="MS Mincho" w:hAnsi="Palatino Linotype" w:cs="Arial"/>
          <w:i/>
          <w:color w:val="000000"/>
          <w:sz w:val="22"/>
          <w:szCs w:val="20"/>
          <w:lang w:val="es-MX"/>
        </w:rPr>
        <w:t xml:space="preserve">I. Invitación restringida. </w:t>
      </w:r>
    </w:p>
    <w:p w:rsidR="00FE1DB5" w:rsidRPr="00FE1DB5" w:rsidRDefault="00FE1DB5" w:rsidP="00FE1DB5">
      <w:pPr>
        <w:autoSpaceDE w:val="0"/>
        <w:autoSpaceDN w:val="0"/>
        <w:adjustRightInd w:val="0"/>
        <w:spacing w:after="120"/>
        <w:ind w:left="567" w:right="992"/>
        <w:jc w:val="both"/>
        <w:rPr>
          <w:rFonts w:ascii="Palatino Linotype" w:eastAsia="MS Mincho" w:hAnsi="Palatino Linotype" w:cs="Arial"/>
          <w:i/>
          <w:color w:val="000000"/>
          <w:sz w:val="22"/>
          <w:szCs w:val="20"/>
          <w:lang w:val="es-MX"/>
        </w:rPr>
      </w:pPr>
      <w:r w:rsidRPr="00FE1DB5">
        <w:rPr>
          <w:rFonts w:ascii="Palatino Linotype" w:eastAsia="MS Mincho" w:hAnsi="Palatino Linotype" w:cs="Arial"/>
          <w:i/>
          <w:color w:val="000000"/>
          <w:sz w:val="22"/>
          <w:szCs w:val="20"/>
          <w:lang w:val="es-MX"/>
        </w:rPr>
        <w:t xml:space="preserve">II. Adjudicación directa. </w:t>
      </w:r>
    </w:p>
    <w:p w:rsidR="00FE1DB5" w:rsidRPr="00FE1DB5" w:rsidRDefault="00FE1DB5" w:rsidP="00FE1DB5">
      <w:pPr>
        <w:autoSpaceDE w:val="0"/>
        <w:autoSpaceDN w:val="0"/>
        <w:adjustRightInd w:val="0"/>
        <w:spacing w:after="120"/>
        <w:ind w:left="567" w:right="992"/>
        <w:jc w:val="both"/>
        <w:rPr>
          <w:rFonts w:ascii="Palatino Linotype" w:eastAsia="MS Mincho" w:hAnsi="Palatino Linotype" w:cs="Arial"/>
          <w:i/>
          <w:color w:val="000000"/>
          <w:sz w:val="22"/>
          <w:szCs w:val="20"/>
          <w:lang w:val="es-MX"/>
        </w:rPr>
      </w:pPr>
      <w:r w:rsidRPr="00FE1DB5">
        <w:rPr>
          <w:rFonts w:ascii="Palatino Linotype" w:eastAsia="MS Mincho" w:hAnsi="Palatino Linotype" w:cs="Arial"/>
          <w:b/>
          <w:i/>
          <w:color w:val="000000"/>
          <w:sz w:val="22"/>
          <w:szCs w:val="20"/>
          <w:lang w:val="es-MX"/>
        </w:rPr>
        <w:t>Artículo 28.-</w:t>
      </w:r>
      <w:r w:rsidRPr="00FE1DB5">
        <w:rPr>
          <w:rFonts w:ascii="Palatino Linotype" w:eastAsia="MS Mincho" w:hAnsi="Palatino Linotype" w:cs="Arial"/>
          <w:i/>
          <w:color w:val="000000"/>
          <w:sz w:val="22"/>
          <w:szCs w:val="20"/>
          <w:lang w:val="es-MX"/>
        </w:rPr>
        <w:t xml:space="preserve"> La licitación pública, conforme a los medios que se utilicen, podrá ser: </w:t>
      </w:r>
    </w:p>
    <w:p w:rsidR="00FE1DB5" w:rsidRPr="00FE1DB5" w:rsidRDefault="00FE1DB5" w:rsidP="00FE1DB5">
      <w:pPr>
        <w:autoSpaceDE w:val="0"/>
        <w:autoSpaceDN w:val="0"/>
        <w:adjustRightInd w:val="0"/>
        <w:spacing w:after="120"/>
        <w:ind w:left="567" w:right="992"/>
        <w:jc w:val="both"/>
        <w:rPr>
          <w:rFonts w:ascii="Palatino Linotype" w:eastAsia="MS Mincho" w:hAnsi="Palatino Linotype" w:cs="Arial"/>
          <w:i/>
          <w:color w:val="000000"/>
          <w:sz w:val="22"/>
          <w:szCs w:val="20"/>
          <w:lang w:val="es-MX"/>
        </w:rPr>
      </w:pPr>
      <w:r w:rsidRPr="00FE1DB5">
        <w:rPr>
          <w:rFonts w:ascii="Palatino Linotype" w:eastAsia="MS Mincho" w:hAnsi="Palatino Linotype" w:cs="Arial"/>
          <w:i/>
          <w:color w:val="000000"/>
          <w:sz w:val="22"/>
          <w:szCs w:val="20"/>
          <w:lang w:val="es-MX"/>
        </w:rPr>
        <w:t xml:space="preserve">I. Presencial, en la cual los licitantes exclusivamente podrán presentar sus propuestas en forma documental y por escrito, en sobre cerrado, durante el acto de presentación y apertura de propuestas, o bien, si así se prevé en la convocatoria a la licitación, mediante el uso del servicio postal. </w:t>
      </w:r>
    </w:p>
    <w:p w:rsidR="00FE1DB5" w:rsidRPr="00FE1DB5" w:rsidRDefault="00FE1DB5" w:rsidP="00FE1DB5">
      <w:pPr>
        <w:autoSpaceDE w:val="0"/>
        <w:autoSpaceDN w:val="0"/>
        <w:adjustRightInd w:val="0"/>
        <w:spacing w:after="120"/>
        <w:ind w:left="567" w:right="992"/>
        <w:jc w:val="both"/>
        <w:rPr>
          <w:rFonts w:ascii="Palatino Linotype" w:eastAsia="MS Mincho" w:hAnsi="Palatino Linotype" w:cs="Arial"/>
          <w:i/>
          <w:color w:val="000000"/>
          <w:sz w:val="22"/>
          <w:szCs w:val="20"/>
          <w:lang w:val="es-MX"/>
        </w:rPr>
      </w:pPr>
      <w:r w:rsidRPr="00FE1DB5">
        <w:rPr>
          <w:rFonts w:ascii="Palatino Linotype" w:eastAsia="MS Mincho" w:hAnsi="Palatino Linotype" w:cs="Arial"/>
          <w:i/>
          <w:color w:val="000000"/>
          <w:sz w:val="22"/>
          <w:szCs w:val="20"/>
          <w:lang w:val="es-MX"/>
        </w:rPr>
        <w:t xml:space="preserve">Bajo esta modalidad, la o las juntas de aclaraciones, el acto de presentación y la apertura de propuestas se realizarán de manera presencial, a los cuales podrán asistir los licitantes. </w:t>
      </w:r>
    </w:p>
    <w:p w:rsidR="00FE1DB5" w:rsidRPr="00FE1DB5" w:rsidRDefault="00FE1DB5" w:rsidP="00FE1DB5">
      <w:pPr>
        <w:autoSpaceDE w:val="0"/>
        <w:autoSpaceDN w:val="0"/>
        <w:adjustRightInd w:val="0"/>
        <w:spacing w:after="120"/>
        <w:ind w:left="567" w:right="992"/>
        <w:jc w:val="both"/>
        <w:rPr>
          <w:rFonts w:ascii="Palatino Linotype" w:eastAsia="MS Mincho" w:hAnsi="Palatino Linotype" w:cs="Arial"/>
          <w:i/>
          <w:color w:val="000000"/>
          <w:sz w:val="22"/>
          <w:szCs w:val="20"/>
          <w:lang w:val="es-MX"/>
        </w:rPr>
      </w:pPr>
      <w:r w:rsidRPr="00FE1DB5">
        <w:rPr>
          <w:rFonts w:ascii="Palatino Linotype" w:eastAsia="MS Mincho" w:hAnsi="Palatino Linotype" w:cs="Arial"/>
          <w:i/>
          <w:color w:val="000000"/>
          <w:sz w:val="22"/>
          <w:szCs w:val="20"/>
          <w:lang w:val="es-MX"/>
        </w:rPr>
        <w:t xml:space="preserve">II. Electrónica, en la cual exclusivamente se permitirá la participación de los licitantes a través de COMPRAMEX, se utilizarán medios de identificación electrónica, las comunicaciones producirán los efectos que señala la Ley para el Uso de Medios Electrónicos del Estado de México. </w:t>
      </w:r>
    </w:p>
    <w:p w:rsidR="00FE1DB5" w:rsidRPr="00FE1DB5" w:rsidRDefault="00FE1DB5" w:rsidP="00FE1DB5">
      <w:pPr>
        <w:autoSpaceDE w:val="0"/>
        <w:autoSpaceDN w:val="0"/>
        <w:adjustRightInd w:val="0"/>
        <w:spacing w:after="120"/>
        <w:ind w:left="567" w:right="992"/>
        <w:jc w:val="both"/>
        <w:rPr>
          <w:rFonts w:ascii="Palatino Linotype" w:eastAsia="MS Mincho" w:hAnsi="Palatino Linotype" w:cs="Arial"/>
          <w:i/>
          <w:color w:val="000000"/>
          <w:sz w:val="22"/>
          <w:szCs w:val="20"/>
          <w:lang w:val="es-MX"/>
        </w:rPr>
      </w:pPr>
      <w:r w:rsidRPr="00FE1DB5">
        <w:rPr>
          <w:rFonts w:ascii="Palatino Linotype" w:eastAsia="MS Mincho" w:hAnsi="Palatino Linotype" w:cs="Arial"/>
          <w:i/>
          <w:color w:val="000000"/>
          <w:sz w:val="22"/>
          <w:szCs w:val="20"/>
          <w:lang w:val="es-MX"/>
        </w:rPr>
        <w:t xml:space="preserve">Bajo esta modalidad, la o las juntas de aclaraciones, el acto de presentación, la apertura de propuestas y el acto de fallo sólo se realizarán a través de COMPRAMEX y sin la presencia de los licitantes en dichos actos, y </w:t>
      </w:r>
    </w:p>
    <w:p w:rsidR="00FE1DB5" w:rsidRPr="00FE1DB5" w:rsidRDefault="00FE1DB5" w:rsidP="00FE1DB5">
      <w:pPr>
        <w:autoSpaceDE w:val="0"/>
        <w:autoSpaceDN w:val="0"/>
        <w:adjustRightInd w:val="0"/>
        <w:spacing w:after="120"/>
        <w:ind w:left="1134" w:right="992"/>
        <w:jc w:val="both"/>
        <w:rPr>
          <w:rFonts w:ascii="Palatino Linotype" w:eastAsia="MS Mincho" w:hAnsi="Palatino Linotype" w:cs="Arial"/>
          <w:i/>
          <w:color w:val="000000"/>
          <w:sz w:val="22"/>
          <w:szCs w:val="20"/>
          <w:lang w:val="es-MX"/>
        </w:rPr>
      </w:pPr>
      <w:r w:rsidRPr="00FE1DB5">
        <w:rPr>
          <w:rFonts w:ascii="Palatino Linotype" w:eastAsia="MS Mincho" w:hAnsi="Palatino Linotype" w:cs="Arial"/>
          <w:i/>
          <w:color w:val="000000"/>
          <w:sz w:val="22"/>
          <w:szCs w:val="20"/>
          <w:lang w:val="es-MX"/>
        </w:rPr>
        <w:lastRenderedPageBreak/>
        <w:t>III. Mixta, en la cual los licitantes, a su elección, podrán participar en forma presencial o electrónica en la o las juntas de aclaraciones, en el acto de presentación y en la apertura de propuestas, y el acto de fallo.”</w:t>
      </w:r>
    </w:p>
    <w:p w:rsidR="00FE1DB5" w:rsidRPr="00FE1DB5" w:rsidRDefault="00FE1DB5" w:rsidP="00FE1DB5">
      <w:pPr>
        <w:autoSpaceDE w:val="0"/>
        <w:autoSpaceDN w:val="0"/>
        <w:adjustRightInd w:val="0"/>
        <w:spacing w:before="240" w:after="240" w:line="360" w:lineRule="auto"/>
        <w:ind w:right="49" w:firstLine="1"/>
        <w:jc w:val="both"/>
        <w:rPr>
          <w:rFonts w:ascii="Palatino Linotype" w:eastAsia="MS Mincho" w:hAnsi="Palatino Linotype" w:cs="Arial"/>
          <w:color w:val="000000"/>
          <w:lang w:val="es-MX"/>
        </w:rPr>
      </w:pPr>
      <w:r w:rsidRPr="00FE1DB5">
        <w:rPr>
          <w:rFonts w:ascii="Palatino Linotype" w:eastAsia="MS Mincho" w:hAnsi="Palatino Linotype" w:cs="Arial"/>
          <w:color w:val="000000"/>
          <w:lang w:val="es-MX"/>
        </w:rPr>
        <w:t>Al respecto, el Reglamento de la Ley de Contratación Pública del Estado de México y Municipios, dispone lo que a la letra se inserta:</w:t>
      </w:r>
    </w:p>
    <w:p w:rsidR="00FE1DB5" w:rsidRPr="00FE1DB5" w:rsidRDefault="00FE1DB5" w:rsidP="00FE1DB5">
      <w:pPr>
        <w:autoSpaceDE w:val="0"/>
        <w:autoSpaceDN w:val="0"/>
        <w:adjustRightInd w:val="0"/>
        <w:spacing w:after="120"/>
        <w:ind w:left="567" w:right="992"/>
        <w:jc w:val="both"/>
        <w:rPr>
          <w:rFonts w:ascii="Palatino Linotype" w:eastAsia="MS Mincho" w:hAnsi="Palatino Linotype" w:cs="Arial"/>
          <w:i/>
          <w:color w:val="000000"/>
          <w:sz w:val="22"/>
          <w:szCs w:val="20"/>
          <w:lang w:val="es-MX"/>
        </w:rPr>
      </w:pPr>
      <w:r w:rsidRPr="00FE1DB5">
        <w:rPr>
          <w:rFonts w:ascii="Palatino Linotype" w:eastAsia="MS Mincho" w:hAnsi="Palatino Linotype" w:cs="Arial"/>
          <w:i/>
          <w:color w:val="000000"/>
          <w:sz w:val="22"/>
          <w:szCs w:val="20"/>
          <w:lang w:val="es-MX"/>
        </w:rPr>
        <w:t>“</w:t>
      </w:r>
      <w:r w:rsidRPr="00FE1DB5">
        <w:rPr>
          <w:rFonts w:ascii="Palatino Linotype" w:eastAsia="MS Mincho" w:hAnsi="Palatino Linotype" w:cs="Arial"/>
          <w:b/>
          <w:i/>
          <w:color w:val="000000"/>
          <w:sz w:val="22"/>
          <w:szCs w:val="20"/>
          <w:lang w:val="es-MX"/>
        </w:rPr>
        <w:t>Artículo 2.-</w:t>
      </w:r>
      <w:r w:rsidRPr="00FE1DB5">
        <w:rPr>
          <w:rFonts w:ascii="Palatino Linotype" w:eastAsia="MS Mincho" w:hAnsi="Palatino Linotype" w:cs="Arial"/>
          <w:i/>
          <w:color w:val="000000"/>
          <w:sz w:val="22"/>
          <w:szCs w:val="20"/>
          <w:lang w:val="es-MX"/>
        </w:rPr>
        <w:t xml:space="preserve"> Para los efectos de este Reglamento, se entenderá por: </w:t>
      </w:r>
    </w:p>
    <w:p w:rsidR="00FE1DB5" w:rsidRPr="00FE1DB5" w:rsidRDefault="00FE1DB5" w:rsidP="00FE1DB5">
      <w:pPr>
        <w:autoSpaceDE w:val="0"/>
        <w:autoSpaceDN w:val="0"/>
        <w:adjustRightInd w:val="0"/>
        <w:spacing w:after="120"/>
        <w:ind w:left="567" w:right="992"/>
        <w:jc w:val="both"/>
        <w:rPr>
          <w:rFonts w:ascii="Palatino Linotype" w:eastAsia="MS Mincho" w:hAnsi="Palatino Linotype" w:cs="Arial"/>
          <w:i/>
          <w:color w:val="000000"/>
          <w:sz w:val="22"/>
          <w:szCs w:val="20"/>
          <w:lang w:val="es-MX"/>
        </w:rPr>
      </w:pPr>
      <w:r w:rsidRPr="00FE1DB5">
        <w:rPr>
          <w:rFonts w:ascii="Palatino Linotype" w:eastAsia="MS Mincho" w:hAnsi="Palatino Linotype" w:cs="Arial"/>
          <w:i/>
          <w:color w:val="000000"/>
          <w:sz w:val="22"/>
          <w:szCs w:val="20"/>
          <w:lang w:val="es-MX"/>
        </w:rPr>
        <w:t xml:space="preserve">I. Adjudicación directa: Excepción al procedimiento de licitación pública para la adquisición de bienes, enajenación o arrendamiento de bienes, o la contratación de servicios en el que la convocante, designa al proveedor de bienes, arrendador, comprador o prestador del servicio, con base en las mejores condiciones en cuanto a precio, calidad, financiamiento, oportunidad y demás circunstancias pertinentes. </w:t>
      </w:r>
    </w:p>
    <w:p w:rsidR="00FE1DB5" w:rsidRPr="00FE1DB5" w:rsidRDefault="00FE1DB5" w:rsidP="00FE1DB5">
      <w:pPr>
        <w:autoSpaceDE w:val="0"/>
        <w:autoSpaceDN w:val="0"/>
        <w:adjustRightInd w:val="0"/>
        <w:spacing w:after="120"/>
        <w:ind w:left="567" w:right="992"/>
        <w:jc w:val="both"/>
        <w:rPr>
          <w:rFonts w:ascii="Palatino Linotype" w:eastAsia="MS Mincho" w:hAnsi="Palatino Linotype" w:cs="Arial"/>
          <w:i/>
          <w:color w:val="000000"/>
          <w:sz w:val="22"/>
          <w:szCs w:val="20"/>
          <w:lang w:val="es-MX"/>
        </w:rPr>
      </w:pPr>
      <w:r w:rsidRPr="00FE1DB5">
        <w:rPr>
          <w:rFonts w:ascii="Palatino Linotype" w:eastAsia="MS Mincho" w:hAnsi="Palatino Linotype" w:cs="Arial"/>
          <w:i/>
          <w:color w:val="000000"/>
          <w:sz w:val="22"/>
          <w:szCs w:val="20"/>
          <w:lang w:val="es-MX"/>
        </w:rPr>
        <w:t>(…)</w:t>
      </w:r>
    </w:p>
    <w:p w:rsidR="00FE1DB5" w:rsidRPr="00FE1DB5" w:rsidRDefault="00FE1DB5" w:rsidP="00FE1DB5">
      <w:pPr>
        <w:autoSpaceDE w:val="0"/>
        <w:autoSpaceDN w:val="0"/>
        <w:adjustRightInd w:val="0"/>
        <w:spacing w:after="120"/>
        <w:ind w:left="567" w:right="992"/>
        <w:jc w:val="both"/>
        <w:rPr>
          <w:rFonts w:ascii="Palatino Linotype" w:eastAsia="MS Mincho" w:hAnsi="Palatino Linotype" w:cs="Arial"/>
          <w:i/>
          <w:color w:val="000000"/>
          <w:sz w:val="22"/>
          <w:szCs w:val="20"/>
          <w:lang w:val="es-MX"/>
        </w:rPr>
      </w:pPr>
      <w:r w:rsidRPr="00FE1DB5">
        <w:rPr>
          <w:rFonts w:ascii="Palatino Linotype" w:eastAsia="MS Mincho" w:hAnsi="Palatino Linotype" w:cs="Arial"/>
          <w:i/>
          <w:color w:val="000000"/>
          <w:sz w:val="22"/>
          <w:szCs w:val="20"/>
          <w:lang w:val="es-MX"/>
        </w:rPr>
        <w:t xml:space="preserve">II. Invitación restringida: Excepción al procedimiento de licitación pública, mediante el cual la Secretaría, organismos auxiliares, tribunales administrativos o municipios adquieren bienes muebles y contratan servicios, a través de la invitación a cuando menos tres personas, para obtener las mejores condiciones en cuanto a precio, calidad, financiamiento, oportunidad y demás circunstancias pertinentes, en términos de la Ley y del presente Reglamento. </w:t>
      </w:r>
    </w:p>
    <w:p w:rsidR="00FE1DB5" w:rsidRPr="00FE1DB5" w:rsidRDefault="00FE1DB5" w:rsidP="00FE1DB5">
      <w:pPr>
        <w:autoSpaceDE w:val="0"/>
        <w:autoSpaceDN w:val="0"/>
        <w:adjustRightInd w:val="0"/>
        <w:spacing w:after="120"/>
        <w:ind w:left="567" w:right="992"/>
        <w:jc w:val="both"/>
        <w:rPr>
          <w:rFonts w:ascii="Palatino Linotype" w:eastAsia="MS Mincho" w:hAnsi="Palatino Linotype" w:cs="Arial"/>
          <w:i/>
          <w:color w:val="000000"/>
          <w:sz w:val="22"/>
          <w:szCs w:val="20"/>
          <w:lang w:val="es-MX"/>
        </w:rPr>
      </w:pPr>
      <w:r w:rsidRPr="00FE1DB5">
        <w:rPr>
          <w:rFonts w:ascii="Palatino Linotype" w:eastAsia="MS Mincho" w:hAnsi="Palatino Linotype" w:cs="Arial"/>
          <w:i/>
          <w:color w:val="000000"/>
          <w:sz w:val="22"/>
          <w:szCs w:val="20"/>
          <w:lang w:val="es-MX"/>
        </w:rPr>
        <w:t>(…)</w:t>
      </w:r>
    </w:p>
    <w:p w:rsidR="00FE1DB5" w:rsidRPr="00FE1DB5" w:rsidRDefault="00FE1DB5" w:rsidP="00FE1DB5">
      <w:pPr>
        <w:autoSpaceDE w:val="0"/>
        <w:autoSpaceDN w:val="0"/>
        <w:adjustRightInd w:val="0"/>
        <w:spacing w:after="120"/>
        <w:ind w:left="567" w:right="992"/>
        <w:jc w:val="both"/>
        <w:rPr>
          <w:rFonts w:ascii="Palatino Linotype" w:eastAsia="MS Mincho" w:hAnsi="Palatino Linotype" w:cs="Arial"/>
          <w:i/>
          <w:color w:val="000000"/>
          <w:sz w:val="22"/>
          <w:szCs w:val="20"/>
          <w:lang w:val="es-MX"/>
        </w:rPr>
      </w:pPr>
      <w:r w:rsidRPr="00FE1DB5">
        <w:rPr>
          <w:rFonts w:ascii="Palatino Linotype" w:eastAsia="MS Mincho" w:hAnsi="Palatino Linotype" w:cs="Arial"/>
          <w:i/>
          <w:color w:val="000000"/>
          <w:sz w:val="22"/>
          <w:szCs w:val="20"/>
          <w:lang w:val="es-MX"/>
        </w:rPr>
        <w:t xml:space="preserve">XIV. Licitación pública: Modalidad de adquisición de bienes y contratación de servicios, mediante convocatoria pública que realicen la Secretaría, organismos auxiliares, tribunales administrativos o municipios, por el que se aseguran las mejores condiciones en cuanto a precio, calidad, financiamiento, oportunidad y demás circunstancias pertinentes. </w:t>
      </w:r>
    </w:p>
    <w:p w:rsidR="00FE1DB5" w:rsidRPr="00FE1DB5" w:rsidRDefault="00FE1DB5" w:rsidP="00FE1DB5">
      <w:pPr>
        <w:autoSpaceDE w:val="0"/>
        <w:autoSpaceDN w:val="0"/>
        <w:adjustRightInd w:val="0"/>
        <w:spacing w:after="120"/>
        <w:ind w:left="567" w:right="992"/>
        <w:jc w:val="both"/>
        <w:rPr>
          <w:rFonts w:ascii="Palatino Linotype" w:eastAsia="MS Mincho" w:hAnsi="Palatino Linotype" w:cs="Arial"/>
          <w:i/>
          <w:color w:val="000000"/>
          <w:sz w:val="22"/>
          <w:szCs w:val="20"/>
          <w:lang w:val="es-MX"/>
        </w:rPr>
      </w:pPr>
      <w:r w:rsidRPr="00FE1DB5">
        <w:rPr>
          <w:rFonts w:ascii="Palatino Linotype" w:eastAsia="MS Mincho" w:hAnsi="Palatino Linotype" w:cs="Arial"/>
          <w:i/>
          <w:color w:val="000000"/>
          <w:sz w:val="22"/>
          <w:szCs w:val="20"/>
          <w:lang w:val="es-MX"/>
        </w:rPr>
        <w:t>(…)</w:t>
      </w:r>
    </w:p>
    <w:p w:rsidR="00FE1DB5" w:rsidRPr="00FE1DB5" w:rsidRDefault="00FE1DB5" w:rsidP="00FE1DB5">
      <w:pPr>
        <w:autoSpaceDE w:val="0"/>
        <w:autoSpaceDN w:val="0"/>
        <w:adjustRightInd w:val="0"/>
        <w:spacing w:after="120"/>
        <w:ind w:left="567" w:right="992"/>
        <w:jc w:val="both"/>
        <w:rPr>
          <w:rFonts w:ascii="Palatino Linotype" w:eastAsia="MS Mincho" w:hAnsi="Palatino Linotype" w:cs="Arial"/>
          <w:i/>
          <w:color w:val="000000"/>
          <w:sz w:val="22"/>
          <w:szCs w:val="20"/>
          <w:lang w:val="es-MX"/>
        </w:rPr>
      </w:pPr>
      <w:r w:rsidRPr="00FE1DB5">
        <w:rPr>
          <w:rFonts w:ascii="Palatino Linotype" w:eastAsia="MS Mincho" w:hAnsi="Palatino Linotype" w:cs="Arial"/>
          <w:i/>
          <w:color w:val="000000"/>
          <w:sz w:val="22"/>
          <w:szCs w:val="20"/>
          <w:lang w:val="es-MX"/>
        </w:rPr>
        <w:t>XXI. Procedimiento de adquisición: Conjunto de etapas por las que la Secretaría, las dependencias, organismos auxiliares, tribunales administrativos o municipios, adquieren bienes, contratan servicios o adquieren en arrendamiento bienes inmuebles para el cumplimiento de sus funciones, programas y acciones…</w:t>
      </w:r>
    </w:p>
    <w:p w:rsidR="00FE1DB5" w:rsidRPr="00FE1DB5" w:rsidRDefault="00FE1DB5" w:rsidP="00FE1DB5">
      <w:pPr>
        <w:autoSpaceDE w:val="0"/>
        <w:autoSpaceDN w:val="0"/>
        <w:adjustRightInd w:val="0"/>
        <w:spacing w:after="120"/>
        <w:ind w:left="567" w:right="900"/>
        <w:jc w:val="both"/>
        <w:rPr>
          <w:rFonts w:ascii="Palatino Linotype" w:eastAsia="MS Mincho" w:hAnsi="Palatino Linotype" w:cs="Arial"/>
          <w:i/>
          <w:color w:val="000000"/>
          <w:sz w:val="22"/>
          <w:szCs w:val="22"/>
          <w:lang w:val="es-MX"/>
        </w:rPr>
      </w:pPr>
      <w:r w:rsidRPr="00FE1DB5">
        <w:rPr>
          <w:rFonts w:ascii="Palatino Linotype" w:eastAsia="MS Mincho" w:hAnsi="Palatino Linotype" w:cs="Arial"/>
          <w:b/>
          <w:i/>
          <w:color w:val="000000"/>
          <w:sz w:val="22"/>
          <w:szCs w:val="22"/>
          <w:lang w:val="es-MX"/>
        </w:rPr>
        <w:t>Artículo 61.-</w:t>
      </w:r>
      <w:r w:rsidRPr="00FE1DB5">
        <w:rPr>
          <w:rFonts w:ascii="Palatino Linotype" w:eastAsia="MS Mincho" w:hAnsi="Palatino Linotype" w:cs="Arial"/>
          <w:i/>
          <w:color w:val="000000"/>
          <w:sz w:val="22"/>
          <w:szCs w:val="22"/>
          <w:lang w:val="es-MX"/>
        </w:rPr>
        <w:t xml:space="preserve"> La Secretaría, organismos auxiliares, tribunales administrativos y municipios podrán realizar licitaciones públicas, para la adquisición, arrendamiento </w:t>
      </w:r>
      <w:r w:rsidRPr="00FE1DB5">
        <w:rPr>
          <w:rFonts w:ascii="Palatino Linotype" w:eastAsia="MS Mincho" w:hAnsi="Palatino Linotype" w:cs="Arial"/>
          <w:i/>
          <w:color w:val="000000"/>
          <w:sz w:val="22"/>
          <w:szCs w:val="22"/>
          <w:lang w:val="es-MX"/>
        </w:rPr>
        <w:lastRenderedPageBreak/>
        <w:t xml:space="preserve">de bienes y la contratación de servicios de cualquier naturaleza, conforme a las previsiones y disposiciones presupuestarias respectivas. </w:t>
      </w:r>
    </w:p>
    <w:p w:rsidR="00FE1DB5" w:rsidRPr="00FE1DB5" w:rsidRDefault="00FE1DB5" w:rsidP="00FE1DB5">
      <w:pPr>
        <w:autoSpaceDE w:val="0"/>
        <w:autoSpaceDN w:val="0"/>
        <w:adjustRightInd w:val="0"/>
        <w:spacing w:after="120"/>
        <w:ind w:left="567" w:right="900"/>
        <w:jc w:val="both"/>
        <w:rPr>
          <w:rFonts w:ascii="Palatino Linotype" w:eastAsia="MS Mincho" w:hAnsi="Palatino Linotype" w:cs="Arial"/>
          <w:i/>
          <w:color w:val="000000"/>
          <w:sz w:val="22"/>
          <w:szCs w:val="22"/>
          <w:lang w:val="es-MX"/>
        </w:rPr>
      </w:pPr>
      <w:r w:rsidRPr="00FE1DB5">
        <w:rPr>
          <w:rFonts w:ascii="Palatino Linotype" w:eastAsia="MS Mincho" w:hAnsi="Palatino Linotype" w:cs="Arial"/>
          <w:b/>
          <w:i/>
          <w:color w:val="000000"/>
          <w:sz w:val="22"/>
          <w:szCs w:val="22"/>
          <w:lang w:val="es-MX"/>
        </w:rPr>
        <w:t>Artículo 62.-</w:t>
      </w:r>
      <w:r w:rsidRPr="00FE1DB5">
        <w:rPr>
          <w:rFonts w:ascii="Palatino Linotype" w:eastAsia="MS Mincho" w:hAnsi="Palatino Linotype" w:cs="Arial"/>
          <w:i/>
          <w:color w:val="000000"/>
          <w:sz w:val="22"/>
          <w:szCs w:val="22"/>
          <w:lang w:val="es-MX"/>
        </w:rPr>
        <w:t xml:space="preserve"> Las personas que participen en los procedimientos licitatorios que convoquen la Secretaría, organismos auxiliares, tribunales administrativos y municipios, tendrán igual acceso a la información relacionada con éstos; cumplirán los mismos requisitos y participarán bajo las mismas condiciones. </w:t>
      </w:r>
    </w:p>
    <w:p w:rsidR="00FE1DB5" w:rsidRPr="00FE1DB5" w:rsidRDefault="00FE1DB5" w:rsidP="00FE1DB5">
      <w:pPr>
        <w:autoSpaceDE w:val="0"/>
        <w:autoSpaceDN w:val="0"/>
        <w:adjustRightInd w:val="0"/>
        <w:spacing w:after="120"/>
        <w:ind w:left="567" w:right="900"/>
        <w:jc w:val="both"/>
        <w:rPr>
          <w:rFonts w:ascii="Palatino Linotype" w:eastAsia="MS Mincho" w:hAnsi="Palatino Linotype" w:cs="Arial"/>
          <w:i/>
          <w:color w:val="000000"/>
          <w:sz w:val="22"/>
          <w:szCs w:val="22"/>
          <w:lang w:val="es-MX"/>
        </w:rPr>
      </w:pPr>
      <w:r w:rsidRPr="00FE1DB5">
        <w:rPr>
          <w:rFonts w:ascii="Palatino Linotype" w:eastAsia="MS Mincho" w:hAnsi="Palatino Linotype" w:cs="Arial"/>
          <w:b/>
          <w:i/>
          <w:color w:val="000000"/>
          <w:sz w:val="22"/>
          <w:szCs w:val="22"/>
          <w:lang w:val="es-MX"/>
        </w:rPr>
        <w:t xml:space="preserve">Artículo 67.- </w:t>
      </w:r>
      <w:r w:rsidRPr="00FE1DB5">
        <w:rPr>
          <w:rFonts w:ascii="Palatino Linotype" w:eastAsia="MS Mincho" w:hAnsi="Palatino Linotype" w:cs="Arial"/>
          <w:i/>
          <w:color w:val="000000"/>
          <w:sz w:val="22"/>
          <w:szCs w:val="22"/>
          <w:lang w:val="es-MX"/>
        </w:rPr>
        <w:t xml:space="preserve">El procedimiento de licitación pública comprende las siguientes fases: </w:t>
      </w:r>
    </w:p>
    <w:p w:rsidR="00FE1DB5" w:rsidRPr="00FE1DB5" w:rsidRDefault="00FE1DB5" w:rsidP="00FE1DB5">
      <w:pPr>
        <w:autoSpaceDE w:val="0"/>
        <w:autoSpaceDN w:val="0"/>
        <w:adjustRightInd w:val="0"/>
        <w:spacing w:after="120"/>
        <w:ind w:left="567" w:right="900"/>
        <w:jc w:val="both"/>
        <w:rPr>
          <w:rFonts w:ascii="Palatino Linotype" w:eastAsia="MS Mincho" w:hAnsi="Palatino Linotype" w:cs="Arial"/>
          <w:i/>
          <w:color w:val="000000"/>
          <w:sz w:val="22"/>
          <w:szCs w:val="22"/>
          <w:lang w:val="es-MX"/>
        </w:rPr>
      </w:pPr>
      <w:r w:rsidRPr="00FE1DB5">
        <w:rPr>
          <w:rFonts w:ascii="Palatino Linotype" w:eastAsia="MS Mincho" w:hAnsi="Palatino Linotype" w:cs="Arial"/>
          <w:i/>
          <w:color w:val="000000"/>
          <w:sz w:val="22"/>
          <w:szCs w:val="22"/>
          <w:lang w:val="es-MX"/>
        </w:rPr>
        <w:t>I.</w:t>
      </w:r>
      <w:r w:rsidRPr="00FE1DB5">
        <w:rPr>
          <w:rFonts w:ascii="Palatino Linotype" w:eastAsia="MS Mincho" w:hAnsi="Palatino Linotype" w:cs="Arial"/>
          <w:i/>
          <w:color w:val="000000"/>
          <w:sz w:val="22"/>
          <w:szCs w:val="22"/>
          <w:lang w:val="es-MX"/>
        </w:rPr>
        <w:tab/>
        <w:t xml:space="preserve">Publicación de la convocatoria; </w:t>
      </w:r>
    </w:p>
    <w:p w:rsidR="00FE1DB5" w:rsidRPr="00FE1DB5" w:rsidRDefault="00FE1DB5" w:rsidP="00FE1DB5">
      <w:pPr>
        <w:autoSpaceDE w:val="0"/>
        <w:autoSpaceDN w:val="0"/>
        <w:adjustRightInd w:val="0"/>
        <w:spacing w:after="120"/>
        <w:ind w:left="567" w:right="900"/>
        <w:jc w:val="both"/>
        <w:rPr>
          <w:rFonts w:ascii="Palatino Linotype" w:eastAsia="MS Mincho" w:hAnsi="Palatino Linotype" w:cs="Arial"/>
          <w:i/>
          <w:color w:val="000000"/>
          <w:sz w:val="22"/>
          <w:szCs w:val="22"/>
          <w:lang w:val="es-MX"/>
        </w:rPr>
      </w:pPr>
      <w:r w:rsidRPr="00FE1DB5">
        <w:rPr>
          <w:rFonts w:ascii="Palatino Linotype" w:eastAsia="MS Mincho" w:hAnsi="Palatino Linotype" w:cs="Arial"/>
          <w:i/>
          <w:color w:val="000000"/>
          <w:sz w:val="22"/>
          <w:szCs w:val="22"/>
          <w:lang w:val="es-MX"/>
        </w:rPr>
        <w:t>II.</w:t>
      </w:r>
      <w:r w:rsidRPr="00FE1DB5">
        <w:rPr>
          <w:rFonts w:ascii="Palatino Linotype" w:eastAsia="MS Mincho" w:hAnsi="Palatino Linotype" w:cs="Arial"/>
          <w:i/>
          <w:color w:val="000000"/>
          <w:sz w:val="22"/>
          <w:szCs w:val="22"/>
          <w:lang w:val="es-MX"/>
        </w:rPr>
        <w:tab/>
        <w:t>Venta de las bases de licitación;</w:t>
      </w:r>
    </w:p>
    <w:p w:rsidR="00FE1DB5" w:rsidRPr="00FE1DB5" w:rsidRDefault="00FE1DB5" w:rsidP="00FE1DB5">
      <w:pPr>
        <w:autoSpaceDE w:val="0"/>
        <w:autoSpaceDN w:val="0"/>
        <w:adjustRightInd w:val="0"/>
        <w:spacing w:after="120"/>
        <w:ind w:left="567" w:right="900"/>
        <w:jc w:val="both"/>
        <w:rPr>
          <w:rFonts w:ascii="Palatino Linotype" w:eastAsia="MS Mincho" w:hAnsi="Palatino Linotype" w:cs="Arial"/>
          <w:i/>
          <w:color w:val="000000"/>
          <w:sz w:val="22"/>
          <w:szCs w:val="22"/>
          <w:lang w:val="es-MX"/>
        </w:rPr>
      </w:pPr>
      <w:r w:rsidRPr="00FE1DB5">
        <w:rPr>
          <w:rFonts w:ascii="Palatino Linotype" w:eastAsia="MS Mincho" w:hAnsi="Palatino Linotype" w:cs="Arial"/>
          <w:i/>
          <w:color w:val="000000"/>
          <w:sz w:val="22"/>
          <w:szCs w:val="22"/>
          <w:lang w:val="es-MX"/>
        </w:rPr>
        <w:t>III.</w:t>
      </w:r>
      <w:r w:rsidRPr="00FE1DB5">
        <w:rPr>
          <w:rFonts w:ascii="Palatino Linotype" w:eastAsia="MS Mincho" w:hAnsi="Palatino Linotype" w:cs="Arial"/>
          <w:i/>
          <w:color w:val="000000"/>
          <w:sz w:val="22"/>
          <w:szCs w:val="22"/>
          <w:lang w:val="es-MX"/>
        </w:rPr>
        <w:tab/>
        <w:t>Visita, en su caso, al sitio donde se vayan a suministrar los bienes o a prestar los servicios;</w:t>
      </w:r>
    </w:p>
    <w:p w:rsidR="00FE1DB5" w:rsidRPr="00FE1DB5" w:rsidRDefault="00FE1DB5" w:rsidP="00FE1DB5">
      <w:pPr>
        <w:autoSpaceDE w:val="0"/>
        <w:autoSpaceDN w:val="0"/>
        <w:adjustRightInd w:val="0"/>
        <w:spacing w:after="120"/>
        <w:ind w:left="567" w:right="900"/>
        <w:jc w:val="both"/>
        <w:rPr>
          <w:rFonts w:ascii="Palatino Linotype" w:eastAsia="MS Mincho" w:hAnsi="Palatino Linotype" w:cs="Arial"/>
          <w:i/>
          <w:color w:val="000000"/>
          <w:sz w:val="22"/>
          <w:szCs w:val="22"/>
          <w:lang w:val="es-MX"/>
        </w:rPr>
      </w:pPr>
      <w:r w:rsidRPr="00FE1DB5">
        <w:rPr>
          <w:rFonts w:ascii="Palatino Linotype" w:eastAsia="MS Mincho" w:hAnsi="Palatino Linotype" w:cs="Arial"/>
          <w:i/>
          <w:color w:val="000000"/>
          <w:sz w:val="22"/>
          <w:szCs w:val="22"/>
          <w:lang w:val="es-MX"/>
        </w:rPr>
        <w:t>IV.</w:t>
      </w:r>
      <w:r w:rsidRPr="00FE1DB5">
        <w:rPr>
          <w:rFonts w:ascii="Palatino Linotype" w:eastAsia="MS Mincho" w:hAnsi="Palatino Linotype" w:cs="Arial"/>
          <w:i/>
          <w:color w:val="000000"/>
          <w:sz w:val="22"/>
          <w:szCs w:val="22"/>
          <w:lang w:val="es-MX"/>
        </w:rPr>
        <w:tab/>
        <w:t xml:space="preserve">Junta de aclaraciones, en su caso; </w:t>
      </w:r>
    </w:p>
    <w:p w:rsidR="00FE1DB5" w:rsidRPr="00FE1DB5" w:rsidRDefault="00FE1DB5" w:rsidP="00FE1DB5">
      <w:pPr>
        <w:autoSpaceDE w:val="0"/>
        <w:autoSpaceDN w:val="0"/>
        <w:adjustRightInd w:val="0"/>
        <w:spacing w:after="120"/>
        <w:ind w:left="567" w:right="900"/>
        <w:jc w:val="both"/>
        <w:rPr>
          <w:rFonts w:ascii="Palatino Linotype" w:eastAsia="MS Mincho" w:hAnsi="Palatino Linotype" w:cs="Arial"/>
          <w:i/>
          <w:color w:val="000000"/>
          <w:sz w:val="22"/>
          <w:szCs w:val="22"/>
          <w:lang w:val="es-MX"/>
        </w:rPr>
      </w:pPr>
      <w:r w:rsidRPr="00FE1DB5">
        <w:rPr>
          <w:rFonts w:ascii="Palatino Linotype" w:eastAsia="MS Mincho" w:hAnsi="Palatino Linotype" w:cs="Arial"/>
          <w:i/>
          <w:color w:val="000000"/>
          <w:sz w:val="22"/>
          <w:szCs w:val="22"/>
          <w:lang w:val="es-MX"/>
        </w:rPr>
        <w:t>V.</w:t>
      </w:r>
      <w:r w:rsidRPr="00FE1DB5">
        <w:rPr>
          <w:rFonts w:ascii="Palatino Linotype" w:eastAsia="MS Mincho" w:hAnsi="Palatino Linotype" w:cs="Arial"/>
          <w:i/>
          <w:color w:val="000000"/>
          <w:sz w:val="22"/>
          <w:szCs w:val="22"/>
          <w:lang w:val="es-MX"/>
        </w:rPr>
        <w:tab/>
        <w:t>Acto de presentación y apertura de propuestas;</w:t>
      </w:r>
    </w:p>
    <w:p w:rsidR="00FE1DB5" w:rsidRPr="00FE1DB5" w:rsidRDefault="00FE1DB5" w:rsidP="00FE1DB5">
      <w:pPr>
        <w:autoSpaceDE w:val="0"/>
        <w:autoSpaceDN w:val="0"/>
        <w:adjustRightInd w:val="0"/>
        <w:spacing w:after="120"/>
        <w:ind w:left="567" w:right="900"/>
        <w:jc w:val="both"/>
        <w:rPr>
          <w:rFonts w:ascii="Palatino Linotype" w:eastAsia="MS Mincho" w:hAnsi="Palatino Linotype" w:cs="Arial"/>
          <w:i/>
          <w:color w:val="000000"/>
          <w:sz w:val="22"/>
          <w:szCs w:val="22"/>
          <w:lang w:val="es-MX"/>
        </w:rPr>
      </w:pPr>
      <w:r w:rsidRPr="00FE1DB5">
        <w:rPr>
          <w:rFonts w:ascii="Palatino Linotype" w:eastAsia="MS Mincho" w:hAnsi="Palatino Linotype" w:cs="Arial"/>
          <w:i/>
          <w:color w:val="000000"/>
          <w:sz w:val="22"/>
          <w:szCs w:val="22"/>
          <w:lang w:val="es-MX"/>
        </w:rPr>
        <w:t>VI.</w:t>
      </w:r>
      <w:r w:rsidRPr="00FE1DB5">
        <w:rPr>
          <w:rFonts w:ascii="Palatino Linotype" w:eastAsia="MS Mincho" w:hAnsi="Palatino Linotype" w:cs="Arial"/>
          <w:i/>
          <w:color w:val="000000"/>
          <w:sz w:val="22"/>
          <w:szCs w:val="22"/>
          <w:lang w:val="es-MX"/>
        </w:rPr>
        <w:tab/>
        <w:t>Análisis y evaluación de propuestas;</w:t>
      </w:r>
    </w:p>
    <w:p w:rsidR="00FE1DB5" w:rsidRPr="00FE1DB5" w:rsidRDefault="00FE1DB5" w:rsidP="00FE1DB5">
      <w:pPr>
        <w:autoSpaceDE w:val="0"/>
        <w:autoSpaceDN w:val="0"/>
        <w:adjustRightInd w:val="0"/>
        <w:spacing w:after="120"/>
        <w:ind w:left="567" w:right="900"/>
        <w:jc w:val="both"/>
        <w:rPr>
          <w:rFonts w:ascii="Palatino Linotype" w:eastAsia="MS Mincho" w:hAnsi="Palatino Linotype" w:cs="Arial"/>
          <w:i/>
          <w:color w:val="000000"/>
          <w:sz w:val="22"/>
          <w:szCs w:val="22"/>
          <w:lang w:val="es-MX"/>
        </w:rPr>
      </w:pPr>
      <w:r w:rsidRPr="00FE1DB5">
        <w:rPr>
          <w:rFonts w:ascii="Palatino Linotype" w:eastAsia="MS Mincho" w:hAnsi="Palatino Linotype" w:cs="Arial"/>
          <w:i/>
          <w:color w:val="000000"/>
          <w:sz w:val="22"/>
          <w:szCs w:val="22"/>
          <w:lang w:val="es-MX"/>
        </w:rPr>
        <w:t>VII.</w:t>
      </w:r>
      <w:r w:rsidRPr="00FE1DB5">
        <w:rPr>
          <w:rFonts w:ascii="Palatino Linotype" w:eastAsia="MS Mincho" w:hAnsi="Palatino Linotype" w:cs="Arial"/>
          <w:i/>
          <w:color w:val="000000"/>
          <w:sz w:val="22"/>
          <w:szCs w:val="22"/>
          <w:lang w:val="es-MX"/>
        </w:rPr>
        <w:tab/>
        <w:t xml:space="preserve">Dictamen de adjudicación; </w:t>
      </w:r>
    </w:p>
    <w:p w:rsidR="00FE1DB5" w:rsidRPr="00FE1DB5" w:rsidRDefault="00FE1DB5" w:rsidP="00FE1DB5">
      <w:pPr>
        <w:autoSpaceDE w:val="0"/>
        <w:autoSpaceDN w:val="0"/>
        <w:adjustRightInd w:val="0"/>
        <w:spacing w:after="120"/>
        <w:ind w:left="567" w:right="900"/>
        <w:jc w:val="both"/>
        <w:rPr>
          <w:rFonts w:ascii="Palatino Linotype" w:eastAsia="MS Mincho" w:hAnsi="Palatino Linotype" w:cs="Arial"/>
          <w:i/>
          <w:color w:val="000000"/>
          <w:sz w:val="22"/>
          <w:szCs w:val="22"/>
          <w:lang w:val="es-MX"/>
        </w:rPr>
      </w:pPr>
      <w:r w:rsidRPr="00FE1DB5">
        <w:rPr>
          <w:rFonts w:ascii="Palatino Linotype" w:eastAsia="MS Mincho" w:hAnsi="Palatino Linotype" w:cs="Arial"/>
          <w:i/>
          <w:color w:val="000000"/>
          <w:sz w:val="22"/>
          <w:szCs w:val="22"/>
          <w:lang w:val="es-MX"/>
        </w:rPr>
        <w:t>VIII.</w:t>
      </w:r>
      <w:r w:rsidRPr="00FE1DB5">
        <w:rPr>
          <w:rFonts w:ascii="Palatino Linotype" w:eastAsia="MS Mincho" w:hAnsi="Palatino Linotype" w:cs="Arial"/>
          <w:i/>
          <w:color w:val="000000"/>
          <w:sz w:val="22"/>
          <w:szCs w:val="22"/>
          <w:lang w:val="es-MX"/>
        </w:rPr>
        <w:tab/>
        <w:t xml:space="preserve">Fallo; </w:t>
      </w:r>
    </w:p>
    <w:p w:rsidR="00FE1DB5" w:rsidRPr="00FE1DB5" w:rsidRDefault="00FE1DB5" w:rsidP="00FE1DB5">
      <w:pPr>
        <w:autoSpaceDE w:val="0"/>
        <w:autoSpaceDN w:val="0"/>
        <w:adjustRightInd w:val="0"/>
        <w:spacing w:after="120"/>
        <w:ind w:left="567" w:right="900"/>
        <w:jc w:val="both"/>
        <w:rPr>
          <w:rFonts w:ascii="Palatino Linotype" w:eastAsia="MS Mincho" w:hAnsi="Palatino Linotype" w:cs="Arial"/>
          <w:i/>
          <w:color w:val="000000"/>
          <w:sz w:val="22"/>
          <w:szCs w:val="22"/>
          <w:lang w:val="es-MX"/>
        </w:rPr>
      </w:pPr>
      <w:r w:rsidRPr="00FE1DB5">
        <w:rPr>
          <w:rFonts w:ascii="Palatino Linotype" w:eastAsia="MS Mincho" w:hAnsi="Palatino Linotype" w:cs="Arial"/>
          <w:i/>
          <w:color w:val="000000"/>
          <w:sz w:val="22"/>
          <w:szCs w:val="22"/>
          <w:lang w:val="es-MX"/>
        </w:rPr>
        <w:t>IX.</w:t>
      </w:r>
      <w:r w:rsidRPr="00FE1DB5">
        <w:rPr>
          <w:rFonts w:ascii="Palatino Linotype" w:eastAsia="MS Mincho" w:hAnsi="Palatino Linotype" w:cs="Arial"/>
          <w:i/>
          <w:color w:val="000000"/>
          <w:sz w:val="22"/>
          <w:szCs w:val="22"/>
          <w:lang w:val="es-MX"/>
        </w:rPr>
        <w:tab/>
        <w:t xml:space="preserve">Suscripción del contrato; y </w:t>
      </w:r>
    </w:p>
    <w:p w:rsidR="00FE1DB5" w:rsidRPr="00FE1DB5" w:rsidRDefault="00FE1DB5" w:rsidP="00FE1DB5">
      <w:pPr>
        <w:autoSpaceDE w:val="0"/>
        <w:autoSpaceDN w:val="0"/>
        <w:adjustRightInd w:val="0"/>
        <w:spacing w:after="120"/>
        <w:ind w:left="567" w:right="900"/>
        <w:jc w:val="both"/>
        <w:rPr>
          <w:rFonts w:ascii="Palatino Linotype" w:eastAsia="MS Mincho" w:hAnsi="Palatino Linotype" w:cs="Arial"/>
          <w:i/>
          <w:color w:val="000000"/>
          <w:sz w:val="22"/>
          <w:szCs w:val="22"/>
          <w:lang w:val="es-MX"/>
        </w:rPr>
      </w:pPr>
      <w:r w:rsidRPr="00FE1DB5">
        <w:rPr>
          <w:rFonts w:ascii="Palatino Linotype" w:eastAsia="MS Mincho" w:hAnsi="Palatino Linotype" w:cs="Arial"/>
          <w:i/>
          <w:color w:val="000000"/>
          <w:sz w:val="22"/>
          <w:szCs w:val="22"/>
          <w:lang w:val="es-MX"/>
        </w:rPr>
        <w:t>X.</w:t>
      </w:r>
      <w:r w:rsidRPr="00FE1DB5">
        <w:rPr>
          <w:rFonts w:ascii="Palatino Linotype" w:eastAsia="MS Mincho" w:hAnsi="Palatino Linotype" w:cs="Arial"/>
          <w:i/>
          <w:color w:val="000000"/>
          <w:sz w:val="22"/>
          <w:szCs w:val="22"/>
          <w:lang w:val="es-MX"/>
        </w:rPr>
        <w:tab/>
        <w:t>Suministro de los bienes o inicio de la prestación del servicio.</w:t>
      </w:r>
    </w:p>
    <w:p w:rsidR="00FE1DB5" w:rsidRPr="00FE1DB5" w:rsidRDefault="00FE1DB5" w:rsidP="00FE1DB5">
      <w:pPr>
        <w:autoSpaceDE w:val="0"/>
        <w:autoSpaceDN w:val="0"/>
        <w:adjustRightInd w:val="0"/>
        <w:spacing w:after="120"/>
        <w:ind w:left="567" w:right="900"/>
        <w:jc w:val="both"/>
        <w:rPr>
          <w:rFonts w:ascii="Palatino Linotype" w:eastAsia="MS Mincho" w:hAnsi="Palatino Linotype" w:cs="Arial"/>
          <w:i/>
          <w:color w:val="000000"/>
          <w:sz w:val="22"/>
          <w:szCs w:val="22"/>
          <w:lang w:val="es-MX"/>
        </w:rPr>
      </w:pPr>
      <w:r w:rsidRPr="00FE1DB5">
        <w:rPr>
          <w:rFonts w:ascii="Palatino Linotype" w:eastAsia="MS Mincho" w:hAnsi="Palatino Linotype" w:cs="Arial"/>
          <w:b/>
          <w:i/>
          <w:color w:val="000000"/>
          <w:sz w:val="22"/>
          <w:szCs w:val="22"/>
          <w:lang w:val="es-MX"/>
        </w:rPr>
        <w:t>Artículo 90.-</w:t>
      </w:r>
      <w:r w:rsidRPr="00FE1DB5">
        <w:rPr>
          <w:rFonts w:ascii="Palatino Linotype" w:eastAsia="MS Mincho" w:hAnsi="Palatino Linotype" w:cs="Arial"/>
          <w:i/>
          <w:color w:val="000000"/>
          <w:sz w:val="22"/>
          <w:szCs w:val="22"/>
          <w:lang w:val="es-MX"/>
        </w:rPr>
        <w:t xml:space="preserve"> En el procedimiento de invitación restringida se deberá observar lo siguiente: </w:t>
      </w:r>
    </w:p>
    <w:p w:rsidR="00FE1DB5" w:rsidRPr="00FE1DB5" w:rsidRDefault="00FE1DB5" w:rsidP="00FE1DB5">
      <w:pPr>
        <w:autoSpaceDE w:val="0"/>
        <w:autoSpaceDN w:val="0"/>
        <w:adjustRightInd w:val="0"/>
        <w:spacing w:after="120"/>
        <w:ind w:left="567" w:right="900"/>
        <w:jc w:val="both"/>
        <w:rPr>
          <w:rFonts w:ascii="Palatino Linotype" w:eastAsia="MS Mincho" w:hAnsi="Palatino Linotype" w:cs="Arial"/>
          <w:i/>
          <w:color w:val="000000"/>
          <w:sz w:val="22"/>
          <w:szCs w:val="22"/>
          <w:lang w:val="es-MX"/>
        </w:rPr>
      </w:pPr>
      <w:r w:rsidRPr="00FE1DB5">
        <w:rPr>
          <w:rFonts w:ascii="Palatino Linotype" w:eastAsia="MS Mincho" w:hAnsi="Palatino Linotype" w:cs="Arial"/>
          <w:i/>
          <w:color w:val="000000"/>
          <w:sz w:val="22"/>
          <w:szCs w:val="22"/>
          <w:lang w:val="es-MX"/>
        </w:rPr>
        <w:t xml:space="preserve">I. Se invitará a un mínimo de tres personas seleccionadas de entre las que se encuentren inscritas e n el catálogo de proveedores y de prestadores de servicios. </w:t>
      </w:r>
    </w:p>
    <w:p w:rsidR="00FE1DB5" w:rsidRPr="00FE1DB5" w:rsidRDefault="00FE1DB5" w:rsidP="00FE1DB5">
      <w:pPr>
        <w:autoSpaceDE w:val="0"/>
        <w:autoSpaceDN w:val="0"/>
        <w:adjustRightInd w:val="0"/>
        <w:spacing w:after="120"/>
        <w:ind w:left="567" w:right="900"/>
        <w:jc w:val="both"/>
        <w:rPr>
          <w:rFonts w:ascii="Palatino Linotype" w:eastAsia="MS Mincho" w:hAnsi="Palatino Linotype" w:cs="Arial"/>
          <w:i/>
          <w:color w:val="000000"/>
          <w:sz w:val="22"/>
          <w:szCs w:val="22"/>
          <w:lang w:val="es-MX"/>
        </w:rPr>
      </w:pPr>
      <w:r w:rsidRPr="00FE1DB5">
        <w:rPr>
          <w:rFonts w:ascii="Palatino Linotype" w:eastAsia="MS Mincho" w:hAnsi="Palatino Linotype" w:cs="Arial"/>
          <w:i/>
          <w:color w:val="000000"/>
          <w:sz w:val="22"/>
          <w:szCs w:val="22"/>
          <w:lang w:val="es-MX"/>
        </w:rPr>
        <w:t xml:space="preserve">Se podrá invitar a personas que no se encuentren inscritas, cuando en el giro correspondiente del catálogo de proveedores y prestadores de servicios no exista el registro mínimo de personas requeridas para tal modalidad; </w:t>
      </w:r>
    </w:p>
    <w:p w:rsidR="00FE1DB5" w:rsidRPr="00FE1DB5" w:rsidRDefault="00FE1DB5" w:rsidP="00FE1DB5">
      <w:pPr>
        <w:autoSpaceDE w:val="0"/>
        <w:autoSpaceDN w:val="0"/>
        <w:adjustRightInd w:val="0"/>
        <w:spacing w:after="120"/>
        <w:ind w:left="567" w:right="900"/>
        <w:jc w:val="both"/>
        <w:rPr>
          <w:rFonts w:ascii="Palatino Linotype" w:eastAsia="MS Mincho" w:hAnsi="Palatino Linotype" w:cs="Arial"/>
          <w:i/>
          <w:color w:val="000000"/>
          <w:sz w:val="22"/>
          <w:szCs w:val="22"/>
          <w:lang w:val="es-MX"/>
        </w:rPr>
      </w:pPr>
      <w:r w:rsidRPr="00FE1DB5">
        <w:rPr>
          <w:rFonts w:ascii="Palatino Linotype" w:eastAsia="MS Mincho" w:hAnsi="Palatino Linotype" w:cs="Arial"/>
          <w:i/>
          <w:color w:val="000000"/>
          <w:sz w:val="22"/>
          <w:szCs w:val="22"/>
          <w:lang w:val="es-MX"/>
        </w:rPr>
        <w:t xml:space="preserve">II. Las bases de la invitación restringida indicarán los aspectos de la adquisición o contratación; y </w:t>
      </w:r>
    </w:p>
    <w:p w:rsidR="00FE1DB5" w:rsidRPr="00FE1DB5" w:rsidRDefault="00FE1DB5" w:rsidP="00FE1DB5">
      <w:pPr>
        <w:autoSpaceDE w:val="0"/>
        <w:autoSpaceDN w:val="0"/>
        <w:adjustRightInd w:val="0"/>
        <w:spacing w:after="120"/>
        <w:ind w:left="567" w:right="900"/>
        <w:jc w:val="both"/>
        <w:rPr>
          <w:rFonts w:ascii="Palatino Linotype" w:eastAsia="MS Mincho" w:hAnsi="Palatino Linotype" w:cs="Arial"/>
          <w:i/>
          <w:color w:val="000000"/>
          <w:sz w:val="22"/>
          <w:szCs w:val="22"/>
          <w:lang w:val="es-MX"/>
        </w:rPr>
      </w:pPr>
      <w:r w:rsidRPr="00FE1DB5">
        <w:rPr>
          <w:rFonts w:ascii="Palatino Linotype" w:eastAsia="MS Mincho" w:hAnsi="Palatino Linotype" w:cs="Arial"/>
          <w:i/>
          <w:color w:val="000000"/>
          <w:sz w:val="22"/>
          <w:szCs w:val="22"/>
          <w:lang w:val="es-MX"/>
        </w:rPr>
        <w:t>III. Serán aplicables, en lo conducente, las disposiciones de la licitación pública.</w:t>
      </w:r>
    </w:p>
    <w:p w:rsidR="00FE1DB5" w:rsidRPr="00FE1DB5" w:rsidRDefault="00FE1DB5" w:rsidP="00FE1DB5">
      <w:pPr>
        <w:autoSpaceDE w:val="0"/>
        <w:autoSpaceDN w:val="0"/>
        <w:adjustRightInd w:val="0"/>
        <w:spacing w:after="120"/>
        <w:ind w:left="567" w:right="900"/>
        <w:jc w:val="both"/>
        <w:rPr>
          <w:rFonts w:ascii="Palatino Linotype" w:eastAsia="MS Mincho" w:hAnsi="Palatino Linotype" w:cs="Arial"/>
          <w:i/>
          <w:color w:val="000000"/>
          <w:sz w:val="22"/>
          <w:szCs w:val="22"/>
          <w:lang w:val="es-MX"/>
        </w:rPr>
      </w:pPr>
      <w:r w:rsidRPr="00FE1DB5">
        <w:rPr>
          <w:rFonts w:ascii="Palatino Linotype" w:eastAsia="MS Mincho" w:hAnsi="Palatino Linotype" w:cs="Arial"/>
          <w:b/>
          <w:i/>
          <w:color w:val="000000"/>
          <w:sz w:val="22"/>
          <w:szCs w:val="22"/>
          <w:lang w:val="es-MX"/>
        </w:rPr>
        <w:t>Artículo 91.-</w:t>
      </w:r>
      <w:r w:rsidRPr="00FE1DB5">
        <w:rPr>
          <w:rFonts w:ascii="Palatino Linotype" w:eastAsia="MS Mincho" w:hAnsi="Palatino Linotype" w:cs="Arial"/>
          <w:i/>
          <w:color w:val="000000"/>
          <w:sz w:val="22"/>
          <w:szCs w:val="22"/>
          <w:lang w:val="es-MX"/>
        </w:rPr>
        <w:t xml:space="preserve"> La Secretaría, organismos auxiliares, tribunales administrativos y municipios podrán adquirir, arrendar o enajenar bienes, y contratar servicios, </w:t>
      </w:r>
      <w:r w:rsidRPr="00FE1DB5">
        <w:rPr>
          <w:rFonts w:ascii="Palatino Linotype" w:eastAsia="MS Mincho" w:hAnsi="Palatino Linotype" w:cs="Arial"/>
          <w:i/>
          <w:color w:val="000000"/>
          <w:sz w:val="22"/>
          <w:szCs w:val="22"/>
          <w:lang w:val="es-MX"/>
        </w:rPr>
        <w:lastRenderedPageBreak/>
        <w:t xml:space="preserve">mediante el procedimiento de adjudicación directa en los términos establecidos por la Ley. </w:t>
      </w:r>
    </w:p>
    <w:p w:rsidR="00FE1DB5" w:rsidRPr="00FE1DB5" w:rsidRDefault="00FE1DB5" w:rsidP="00FE1DB5">
      <w:pPr>
        <w:autoSpaceDE w:val="0"/>
        <w:autoSpaceDN w:val="0"/>
        <w:adjustRightInd w:val="0"/>
        <w:spacing w:after="120"/>
        <w:ind w:left="567" w:right="992"/>
        <w:jc w:val="both"/>
        <w:rPr>
          <w:rFonts w:ascii="Palatino Linotype" w:eastAsia="MS Mincho" w:hAnsi="Palatino Linotype" w:cs="Arial"/>
          <w:i/>
          <w:color w:val="000000"/>
          <w:sz w:val="22"/>
          <w:szCs w:val="22"/>
          <w:lang w:val="es-MX"/>
        </w:rPr>
      </w:pPr>
      <w:r w:rsidRPr="00FE1DB5">
        <w:rPr>
          <w:rFonts w:ascii="Palatino Linotype" w:eastAsia="MS Mincho" w:hAnsi="Palatino Linotype" w:cs="Arial"/>
          <w:b/>
          <w:i/>
          <w:color w:val="000000"/>
          <w:sz w:val="22"/>
          <w:szCs w:val="22"/>
          <w:lang w:val="es-MX"/>
        </w:rPr>
        <w:t>Artículo 92.-</w:t>
      </w:r>
      <w:r w:rsidRPr="00FE1DB5">
        <w:rPr>
          <w:rFonts w:ascii="Palatino Linotype" w:eastAsia="MS Mincho" w:hAnsi="Palatino Linotype" w:cs="Arial"/>
          <w:i/>
          <w:color w:val="000000"/>
          <w:sz w:val="22"/>
          <w:szCs w:val="22"/>
          <w:lang w:val="es-MX"/>
        </w:rPr>
        <w:t xml:space="preserve"> Para los procedimientos de adjudicación directa cuyo importe de la operación no rebase los montos establecidos en el Presupuesto de Egresos del Gobierno del Estado en el ejercicio correspondiente y, cuyo importe sea superior al monto determinado para el fondo fijo de caja; se deberá celebrar contrato pedido, sin que sea necesario observar las disposiciones de los demás artículos de esta Sección. </w:t>
      </w:r>
    </w:p>
    <w:p w:rsidR="00FE1DB5" w:rsidRPr="00FE1DB5" w:rsidRDefault="00FE1DB5" w:rsidP="00FE1DB5">
      <w:pPr>
        <w:autoSpaceDE w:val="0"/>
        <w:autoSpaceDN w:val="0"/>
        <w:adjustRightInd w:val="0"/>
        <w:spacing w:after="120"/>
        <w:ind w:left="567" w:right="992"/>
        <w:jc w:val="both"/>
        <w:rPr>
          <w:rFonts w:ascii="Palatino Linotype" w:eastAsia="MS Mincho" w:hAnsi="Palatino Linotype" w:cs="Arial"/>
          <w:i/>
          <w:color w:val="000000"/>
          <w:sz w:val="22"/>
          <w:szCs w:val="22"/>
          <w:lang w:val="es-MX"/>
        </w:rPr>
      </w:pPr>
      <w:r w:rsidRPr="00FE1DB5">
        <w:rPr>
          <w:rFonts w:ascii="Palatino Linotype" w:eastAsia="MS Mincho" w:hAnsi="Palatino Linotype" w:cs="Arial"/>
          <w:i/>
          <w:color w:val="000000"/>
          <w:sz w:val="22"/>
          <w:szCs w:val="22"/>
          <w:lang w:val="es-MX"/>
        </w:rPr>
        <w:t xml:space="preserve">En este supuesto, las dependencias, organismos auxiliares y tribunales administrativos deberán obtener preferentemente a través de la Secretaría dentro de los treinta días naturales anteriores a la fecha de la contratación, al menos dos cotizaciones, que deberán sujetarse al precio máximo derivado del estudio de mercado, al que deberán adjudicarse los bienes y servicios; analizando previamente su contenido técnico y económico para seleccionar la que presente las mejores condiciones para el Estado. </w:t>
      </w:r>
    </w:p>
    <w:p w:rsidR="00FE1DB5" w:rsidRPr="00FE1DB5" w:rsidRDefault="00FE1DB5" w:rsidP="00FE1DB5">
      <w:pPr>
        <w:autoSpaceDE w:val="0"/>
        <w:autoSpaceDN w:val="0"/>
        <w:adjustRightInd w:val="0"/>
        <w:spacing w:after="120"/>
        <w:ind w:left="567" w:right="992"/>
        <w:jc w:val="both"/>
        <w:rPr>
          <w:rFonts w:ascii="Palatino Linotype" w:eastAsia="MS Mincho" w:hAnsi="Palatino Linotype" w:cs="Arial"/>
          <w:i/>
          <w:color w:val="000000"/>
          <w:sz w:val="22"/>
          <w:szCs w:val="22"/>
          <w:lang w:val="es-MX"/>
        </w:rPr>
      </w:pPr>
      <w:r w:rsidRPr="00FE1DB5">
        <w:rPr>
          <w:rFonts w:ascii="Palatino Linotype" w:eastAsia="MS Mincho" w:hAnsi="Palatino Linotype" w:cs="Arial"/>
          <w:i/>
          <w:color w:val="000000"/>
          <w:sz w:val="22"/>
          <w:szCs w:val="22"/>
          <w:lang w:val="es-MX"/>
        </w:rPr>
        <w:t>En el caso de los municipios, las cotizaciones deberán obtenerse a través de sus áreas de administración.”</w:t>
      </w:r>
    </w:p>
    <w:p w:rsidR="00FE1DB5" w:rsidRPr="00FE1DB5" w:rsidRDefault="00FE1DB5" w:rsidP="00FE1DB5">
      <w:pPr>
        <w:autoSpaceDE w:val="0"/>
        <w:autoSpaceDN w:val="0"/>
        <w:adjustRightInd w:val="0"/>
        <w:spacing w:before="240" w:after="240" w:line="360" w:lineRule="auto"/>
        <w:ind w:right="49" w:firstLine="1"/>
        <w:jc w:val="both"/>
        <w:rPr>
          <w:rFonts w:ascii="Palatino Linotype" w:eastAsia="MS Mincho" w:hAnsi="Palatino Linotype" w:cs="Arial"/>
          <w:color w:val="000000"/>
          <w:lang w:val="es-MX"/>
        </w:rPr>
      </w:pPr>
      <w:r w:rsidRPr="00FE1DB5">
        <w:rPr>
          <w:rFonts w:ascii="Palatino Linotype" w:eastAsia="MS Mincho" w:hAnsi="Palatino Linotype" w:cs="Arial"/>
          <w:color w:val="000000"/>
          <w:lang w:val="es-MX"/>
        </w:rPr>
        <w:t>De lo que se advierte, que cuando los Ayuntamientos deban o tengan que realizar la adquisición, arrendamiento de un bien o contratación de servicios, deberán regular su actividad a través de las licitaciones públicas mediante convocatoria y conforme el procedimiento establecido en la ley de contratación, o bien, mediante invitación restringida o adjudicación directa.</w:t>
      </w:r>
    </w:p>
    <w:p w:rsidR="00FE1DB5" w:rsidRPr="00FE1DB5" w:rsidRDefault="00FE1DB5" w:rsidP="00FE1DB5">
      <w:pPr>
        <w:autoSpaceDE w:val="0"/>
        <w:autoSpaceDN w:val="0"/>
        <w:adjustRightInd w:val="0"/>
        <w:spacing w:before="240" w:after="240" w:line="360" w:lineRule="auto"/>
        <w:ind w:right="49" w:firstLine="1"/>
        <w:jc w:val="both"/>
        <w:rPr>
          <w:rFonts w:ascii="Palatino Linotype" w:eastAsia="MS Mincho" w:hAnsi="Palatino Linotype" w:cs="Arial"/>
          <w:color w:val="000000"/>
          <w:lang w:val="es-MX"/>
        </w:rPr>
      </w:pPr>
      <w:r w:rsidRPr="00FE1DB5">
        <w:rPr>
          <w:rFonts w:ascii="Palatino Linotype" w:eastAsia="MS Mincho" w:hAnsi="Palatino Linotype" w:cs="Arial"/>
          <w:color w:val="000000"/>
          <w:lang w:val="es-MX"/>
        </w:rPr>
        <w:t>En relación directa con ello, el artículo 120 del Reglamento de la Ley de Contratación, dispone que los contratos relacionados con las materias reguladas por la Ley, referirán como mínimo lo siguiente:</w:t>
      </w:r>
    </w:p>
    <w:p w:rsidR="00FE1DB5" w:rsidRPr="00FE1DB5" w:rsidRDefault="00FE1DB5" w:rsidP="00FE1DB5">
      <w:pPr>
        <w:autoSpaceDE w:val="0"/>
        <w:autoSpaceDN w:val="0"/>
        <w:adjustRightInd w:val="0"/>
        <w:spacing w:before="240" w:after="240"/>
        <w:ind w:left="567" w:right="51"/>
        <w:jc w:val="both"/>
        <w:rPr>
          <w:rFonts w:ascii="Palatino Linotype" w:eastAsia="MS Mincho" w:hAnsi="Palatino Linotype" w:cs="Arial"/>
          <w:i/>
          <w:color w:val="000000"/>
          <w:sz w:val="22"/>
          <w:lang w:val="es-MX"/>
        </w:rPr>
      </w:pPr>
      <w:r w:rsidRPr="00FE1DB5">
        <w:rPr>
          <w:rFonts w:ascii="Palatino Linotype" w:eastAsia="MS Mincho" w:hAnsi="Palatino Linotype" w:cs="Arial"/>
          <w:i/>
          <w:color w:val="000000"/>
          <w:sz w:val="22"/>
          <w:lang w:val="es-MX"/>
        </w:rPr>
        <w:t xml:space="preserve">I. Objeto; </w:t>
      </w:r>
    </w:p>
    <w:p w:rsidR="00FE1DB5" w:rsidRPr="00FE1DB5" w:rsidRDefault="00FE1DB5" w:rsidP="00FE1DB5">
      <w:pPr>
        <w:autoSpaceDE w:val="0"/>
        <w:autoSpaceDN w:val="0"/>
        <w:adjustRightInd w:val="0"/>
        <w:spacing w:before="240" w:after="240"/>
        <w:ind w:left="567" w:right="51"/>
        <w:jc w:val="both"/>
        <w:rPr>
          <w:rFonts w:ascii="Palatino Linotype" w:eastAsia="MS Mincho" w:hAnsi="Palatino Linotype" w:cs="Arial"/>
          <w:i/>
          <w:color w:val="000000"/>
          <w:sz w:val="22"/>
          <w:lang w:val="es-MX"/>
        </w:rPr>
      </w:pPr>
      <w:r w:rsidRPr="00FE1DB5">
        <w:rPr>
          <w:rFonts w:ascii="Palatino Linotype" w:eastAsia="MS Mincho" w:hAnsi="Palatino Linotype" w:cs="Arial"/>
          <w:i/>
          <w:color w:val="000000"/>
          <w:sz w:val="22"/>
          <w:lang w:val="es-MX"/>
        </w:rPr>
        <w:t xml:space="preserve">II. Fecha de suministro de los bienes o período de prestación del servicio; </w:t>
      </w:r>
    </w:p>
    <w:p w:rsidR="00FE1DB5" w:rsidRPr="00FE1DB5" w:rsidRDefault="00FE1DB5" w:rsidP="00FE1DB5">
      <w:pPr>
        <w:autoSpaceDE w:val="0"/>
        <w:autoSpaceDN w:val="0"/>
        <w:adjustRightInd w:val="0"/>
        <w:spacing w:before="240" w:after="240"/>
        <w:ind w:left="567" w:right="51"/>
        <w:jc w:val="both"/>
        <w:rPr>
          <w:rFonts w:ascii="Palatino Linotype" w:eastAsia="MS Mincho" w:hAnsi="Palatino Linotype" w:cs="Arial"/>
          <w:i/>
          <w:color w:val="000000"/>
          <w:sz w:val="22"/>
          <w:lang w:val="es-MX"/>
        </w:rPr>
      </w:pPr>
      <w:r w:rsidRPr="00FE1DB5">
        <w:rPr>
          <w:rFonts w:ascii="Palatino Linotype" w:eastAsia="MS Mincho" w:hAnsi="Palatino Linotype" w:cs="Arial"/>
          <w:i/>
          <w:color w:val="000000"/>
          <w:sz w:val="22"/>
          <w:lang w:val="es-MX"/>
        </w:rPr>
        <w:t xml:space="preserve">III. Datos del procedimiento que dio origen al contrato; </w:t>
      </w:r>
    </w:p>
    <w:p w:rsidR="00FE1DB5" w:rsidRPr="00FE1DB5" w:rsidRDefault="00FE1DB5" w:rsidP="00FE1DB5">
      <w:pPr>
        <w:autoSpaceDE w:val="0"/>
        <w:autoSpaceDN w:val="0"/>
        <w:adjustRightInd w:val="0"/>
        <w:spacing w:before="240" w:after="240"/>
        <w:ind w:left="567" w:right="51"/>
        <w:jc w:val="both"/>
        <w:rPr>
          <w:rFonts w:ascii="Palatino Linotype" w:eastAsia="MS Mincho" w:hAnsi="Palatino Linotype" w:cs="Arial"/>
          <w:i/>
          <w:color w:val="000000"/>
          <w:sz w:val="22"/>
          <w:lang w:val="es-MX"/>
        </w:rPr>
      </w:pPr>
      <w:r w:rsidRPr="00FE1DB5">
        <w:rPr>
          <w:rFonts w:ascii="Palatino Linotype" w:eastAsia="MS Mincho" w:hAnsi="Palatino Linotype" w:cs="Arial"/>
          <w:i/>
          <w:color w:val="000000"/>
          <w:sz w:val="22"/>
          <w:lang w:val="es-MX"/>
        </w:rPr>
        <w:lastRenderedPageBreak/>
        <w:t xml:space="preserve">IV. Importe total; </w:t>
      </w:r>
    </w:p>
    <w:p w:rsidR="00FE1DB5" w:rsidRPr="00FE1DB5" w:rsidRDefault="00FE1DB5" w:rsidP="00FE1DB5">
      <w:pPr>
        <w:autoSpaceDE w:val="0"/>
        <w:autoSpaceDN w:val="0"/>
        <w:adjustRightInd w:val="0"/>
        <w:spacing w:before="240" w:after="240"/>
        <w:ind w:left="567" w:right="900"/>
        <w:jc w:val="both"/>
        <w:rPr>
          <w:rFonts w:ascii="Palatino Linotype" w:eastAsia="MS Mincho" w:hAnsi="Palatino Linotype" w:cs="Arial"/>
          <w:i/>
          <w:color w:val="000000"/>
          <w:sz w:val="22"/>
          <w:lang w:val="es-MX"/>
        </w:rPr>
      </w:pPr>
      <w:r w:rsidRPr="00FE1DB5">
        <w:rPr>
          <w:rFonts w:ascii="Palatino Linotype" w:eastAsia="MS Mincho" w:hAnsi="Palatino Linotype" w:cs="Arial"/>
          <w:i/>
          <w:color w:val="000000"/>
          <w:sz w:val="22"/>
          <w:lang w:val="es-MX"/>
        </w:rPr>
        <w:t xml:space="preserve">V. Porcentajes, número y fechas de las exhibiciones y amortización de los anticipos que se otorguen; </w:t>
      </w:r>
    </w:p>
    <w:p w:rsidR="00FE1DB5" w:rsidRPr="00FE1DB5" w:rsidRDefault="00FE1DB5" w:rsidP="00FE1DB5">
      <w:pPr>
        <w:autoSpaceDE w:val="0"/>
        <w:autoSpaceDN w:val="0"/>
        <w:adjustRightInd w:val="0"/>
        <w:spacing w:before="240" w:after="240"/>
        <w:ind w:left="567" w:right="900"/>
        <w:jc w:val="both"/>
        <w:rPr>
          <w:rFonts w:ascii="Palatino Linotype" w:eastAsia="MS Mincho" w:hAnsi="Palatino Linotype" w:cs="Arial"/>
          <w:i/>
          <w:color w:val="000000"/>
          <w:sz w:val="22"/>
          <w:lang w:val="es-MX"/>
        </w:rPr>
      </w:pPr>
      <w:r w:rsidRPr="00FE1DB5">
        <w:rPr>
          <w:rFonts w:ascii="Palatino Linotype" w:eastAsia="MS Mincho" w:hAnsi="Palatino Linotype" w:cs="Arial"/>
          <w:i/>
          <w:color w:val="000000"/>
          <w:sz w:val="22"/>
          <w:lang w:val="es-MX"/>
        </w:rPr>
        <w:t xml:space="preserve">VI. Formalidades para el otorgamiento y cobro de garantías; </w:t>
      </w:r>
    </w:p>
    <w:p w:rsidR="00FE1DB5" w:rsidRPr="00FE1DB5" w:rsidRDefault="00FE1DB5" w:rsidP="00FE1DB5">
      <w:pPr>
        <w:autoSpaceDE w:val="0"/>
        <w:autoSpaceDN w:val="0"/>
        <w:adjustRightInd w:val="0"/>
        <w:spacing w:before="240" w:after="240"/>
        <w:ind w:left="567" w:right="900"/>
        <w:jc w:val="both"/>
        <w:rPr>
          <w:rFonts w:ascii="Palatino Linotype" w:eastAsia="MS Mincho" w:hAnsi="Palatino Linotype" w:cs="Arial"/>
          <w:i/>
          <w:color w:val="000000"/>
          <w:sz w:val="22"/>
          <w:lang w:val="es-MX"/>
        </w:rPr>
      </w:pPr>
      <w:r w:rsidRPr="00FE1DB5">
        <w:rPr>
          <w:rFonts w:ascii="Palatino Linotype" w:eastAsia="MS Mincho" w:hAnsi="Palatino Linotype" w:cs="Arial"/>
          <w:i/>
          <w:color w:val="000000"/>
          <w:sz w:val="22"/>
          <w:lang w:val="es-MX"/>
        </w:rPr>
        <w:t xml:space="preserve">VII. Penas convencionales por causas imputables al proveedor o prestador del servicio, las que se determinarán en función del incumplimiento de las condiciones convenidas, y que en ningún caso podrán ser superiores, en su conjunto, al monto de la garantía de cumplimiento. Las dependencias, organismos auxiliares, tribunales administrativos y municipios deberán fijar los términos, forma y porcentajes para aplicar las penas convencionales; </w:t>
      </w:r>
    </w:p>
    <w:p w:rsidR="00FE1DB5" w:rsidRPr="00FE1DB5" w:rsidRDefault="00FE1DB5" w:rsidP="00FE1DB5">
      <w:pPr>
        <w:autoSpaceDE w:val="0"/>
        <w:autoSpaceDN w:val="0"/>
        <w:adjustRightInd w:val="0"/>
        <w:spacing w:before="240" w:after="240"/>
        <w:ind w:left="567" w:right="900"/>
        <w:jc w:val="both"/>
        <w:rPr>
          <w:rFonts w:ascii="Palatino Linotype" w:eastAsia="MS Mincho" w:hAnsi="Palatino Linotype" w:cs="Arial"/>
          <w:i/>
          <w:color w:val="000000"/>
          <w:sz w:val="22"/>
          <w:lang w:val="es-MX"/>
        </w:rPr>
      </w:pPr>
      <w:r w:rsidRPr="00FE1DB5">
        <w:rPr>
          <w:rFonts w:ascii="Palatino Linotype" w:eastAsia="MS Mincho" w:hAnsi="Palatino Linotype" w:cs="Arial"/>
          <w:i/>
          <w:color w:val="000000"/>
          <w:sz w:val="22"/>
          <w:lang w:val="es-MX"/>
        </w:rPr>
        <w:t>VIII. Términos en que el proveedor o prestador del servicio, en su caso, reintegrará las cantidades que, en cualquier forma, hubiere recibido en exceso por la contratación;</w:t>
      </w:r>
    </w:p>
    <w:p w:rsidR="00FE1DB5" w:rsidRPr="00FE1DB5" w:rsidRDefault="00FE1DB5" w:rsidP="00FE1DB5">
      <w:pPr>
        <w:autoSpaceDE w:val="0"/>
        <w:autoSpaceDN w:val="0"/>
        <w:adjustRightInd w:val="0"/>
        <w:spacing w:before="240" w:after="240"/>
        <w:ind w:left="567" w:right="900"/>
        <w:jc w:val="both"/>
        <w:rPr>
          <w:rFonts w:ascii="Palatino Linotype" w:eastAsia="MS Mincho" w:hAnsi="Palatino Linotype" w:cs="Arial"/>
          <w:i/>
          <w:color w:val="000000"/>
          <w:sz w:val="22"/>
          <w:lang w:val="es-MX"/>
        </w:rPr>
      </w:pPr>
      <w:r w:rsidRPr="00FE1DB5">
        <w:rPr>
          <w:rFonts w:ascii="Palatino Linotype" w:eastAsia="MS Mincho" w:hAnsi="Palatino Linotype" w:cs="Arial"/>
          <w:i/>
          <w:color w:val="000000"/>
          <w:sz w:val="22"/>
          <w:lang w:val="es-MX"/>
        </w:rPr>
        <w:t xml:space="preserve">IX. Causales por las que la Secretaría, organismos auxiliares, tribunales administrativos o municipios podrán dar por rescindido el contrato y sus efectos; </w:t>
      </w:r>
    </w:p>
    <w:p w:rsidR="00FE1DB5" w:rsidRPr="00FE1DB5" w:rsidRDefault="00FE1DB5" w:rsidP="00FE1DB5">
      <w:pPr>
        <w:autoSpaceDE w:val="0"/>
        <w:autoSpaceDN w:val="0"/>
        <w:adjustRightInd w:val="0"/>
        <w:spacing w:before="240" w:after="240"/>
        <w:ind w:left="567" w:right="900"/>
        <w:jc w:val="both"/>
        <w:rPr>
          <w:rFonts w:ascii="Palatino Linotype" w:eastAsia="MS Mincho" w:hAnsi="Palatino Linotype" w:cs="Arial"/>
          <w:i/>
          <w:color w:val="000000"/>
          <w:sz w:val="22"/>
          <w:lang w:val="es-MX"/>
        </w:rPr>
      </w:pPr>
      <w:r w:rsidRPr="00FE1DB5">
        <w:rPr>
          <w:rFonts w:ascii="Palatino Linotype" w:eastAsia="MS Mincho" w:hAnsi="Palatino Linotype" w:cs="Arial"/>
          <w:i/>
          <w:color w:val="000000"/>
          <w:sz w:val="22"/>
          <w:lang w:val="es-MX"/>
        </w:rPr>
        <w:t xml:space="preserve">X. Las consecuencias de la cancelación o terminación anticipada por causas imputables al proveedor o prestador del servicio; </w:t>
      </w:r>
    </w:p>
    <w:p w:rsidR="00FE1DB5" w:rsidRPr="00FE1DB5" w:rsidRDefault="00FE1DB5" w:rsidP="00FE1DB5">
      <w:pPr>
        <w:autoSpaceDE w:val="0"/>
        <w:autoSpaceDN w:val="0"/>
        <w:adjustRightInd w:val="0"/>
        <w:spacing w:before="240" w:after="240"/>
        <w:ind w:left="567" w:right="900"/>
        <w:jc w:val="both"/>
        <w:rPr>
          <w:rFonts w:ascii="Palatino Linotype" w:eastAsia="MS Mincho" w:hAnsi="Palatino Linotype" w:cs="Arial"/>
          <w:i/>
          <w:color w:val="000000"/>
          <w:sz w:val="22"/>
          <w:lang w:val="es-MX"/>
        </w:rPr>
      </w:pPr>
      <w:r w:rsidRPr="00FE1DB5">
        <w:rPr>
          <w:rFonts w:ascii="Palatino Linotype" w:eastAsia="MS Mincho" w:hAnsi="Palatino Linotype" w:cs="Arial"/>
          <w:i/>
          <w:color w:val="000000"/>
          <w:sz w:val="22"/>
          <w:lang w:val="es-MX"/>
        </w:rPr>
        <w:t xml:space="preserve">XI. Señalamiento del domicilio de las partes, ubicado en el territorio del Estado, o bien, domicilio para oír y recibir notificaciones; y </w:t>
      </w:r>
    </w:p>
    <w:p w:rsidR="00FE1DB5" w:rsidRPr="00FE1DB5" w:rsidRDefault="00FE1DB5" w:rsidP="00FE1DB5">
      <w:pPr>
        <w:autoSpaceDE w:val="0"/>
        <w:autoSpaceDN w:val="0"/>
        <w:adjustRightInd w:val="0"/>
        <w:spacing w:before="240" w:after="240"/>
        <w:ind w:left="567" w:right="900"/>
        <w:jc w:val="both"/>
        <w:rPr>
          <w:rFonts w:ascii="Palatino Linotype" w:eastAsia="MS Mincho" w:hAnsi="Palatino Linotype" w:cs="Arial"/>
          <w:i/>
          <w:color w:val="000000"/>
          <w:sz w:val="22"/>
          <w:lang w:val="es-MX"/>
        </w:rPr>
      </w:pPr>
      <w:r w:rsidRPr="00FE1DB5">
        <w:rPr>
          <w:rFonts w:ascii="Palatino Linotype" w:eastAsia="MS Mincho" w:hAnsi="Palatino Linotype" w:cs="Arial"/>
          <w:i/>
          <w:color w:val="000000"/>
          <w:sz w:val="22"/>
          <w:lang w:val="es-MX"/>
        </w:rPr>
        <w:t>XII. Renuncia expresa al fuero que les pudiera corresponder en función de su domicilio o vecindad presente o futuro.</w:t>
      </w:r>
    </w:p>
    <w:p w:rsidR="00FE1DB5" w:rsidRPr="00FE1DB5" w:rsidRDefault="00FE1DB5" w:rsidP="00FE1DB5">
      <w:pPr>
        <w:autoSpaceDE w:val="0"/>
        <w:autoSpaceDN w:val="0"/>
        <w:adjustRightInd w:val="0"/>
        <w:spacing w:before="240" w:after="240" w:line="360" w:lineRule="auto"/>
        <w:ind w:right="49" w:firstLine="1"/>
        <w:jc w:val="both"/>
        <w:rPr>
          <w:rFonts w:ascii="Palatino Linotype" w:eastAsia="MS Mincho" w:hAnsi="Palatino Linotype" w:cs="Arial"/>
          <w:color w:val="000000"/>
          <w:lang w:val="es-MX"/>
        </w:rPr>
      </w:pPr>
      <w:r w:rsidRPr="00FE1DB5">
        <w:rPr>
          <w:rFonts w:ascii="Palatino Linotype" w:eastAsia="MS Mincho" w:hAnsi="Palatino Linotype" w:cs="Arial"/>
          <w:color w:val="000000"/>
          <w:lang w:val="es-MX"/>
        </w:rPr>
        <w:t xml:space="preserve">Documentos a los cuales les reviste el carácter de públicos, en el entendido de que los sujetos obligados deben hacer pública toda aquella información relativa a los montos a quienes entreguen por cualquier motivo recursos públicos , no obstante, que el artículo 92 fracción XXIX de la Ley de Transparencia y Acceso a la Información Pública del Estado de México y Municipios,  establece que la información sobre los procesos y resultados sobre procedimientos de adjudicación directa, invitación restringida y licitación de cualquier naturaleza, deberá ser puesta </w:t>
      </w:r>
      <w:r w:rsidRPr="00FE1DB5">
        <w:rPr>
          <w:rFonts w:ascii="Palatino Linotype" w:eastAsia="MS Mincho" w:hAnsi="Palatino Linotype" w:cs="Arial"/>
          <w:color w:val="000000"/>
          <w:lang w:val="es-MX"/>
        </w:rPr>
        <w:lastRenderedPageBreak/>
        <w:t>a disposición del público de manera permanente y actualizada en forma sencilla, precisa y entendible en los respectivos medios electrónicos, de acuerdo con sus facultades, atribuciones, funciones u objeto social, como se advierte del texto que se transcribe a continuación:</w:t>
      </w:r>
    </w:p>
    <w:p w:rsidR="00FE1DB5" w:rsidRPr="00FE1DB5" w:rsidRDefault="00FE1DB5" w:rsidP="00FE1DB5">
      <w:pPr>
        <w:autoSpaceDE w:val="0"/>
        <w:autoSpaceDN w:val="0"/>
        <w:adjustRightInd w:val="0"/>
        <w:spacing w:after="120"/>
        <w:ind w:left="567" w:right="992"/>
        <w:jc w:val="both"/>
        <w:rPr>
          <w:rFonts w:ascii="Palatino Linotype" w:eastAsia="MS Mincho" w:hAnsi="Palatino Linotype" w:cs="Arial"/>
          <w:i/>
          <w:color w:val="000000"/>
          <w:sz w:val="22"/>
          <w:szCs w:val="20"/>
          <w:lang w:val="es-MX"/>
        </w:rPr>
      </w:pPr>
      <w:r w:rsidRPr="00FE1DB5">
        <w:rPr>
          <w:rFonts w:ascii="Palatino Linotype" w:eastAsia="MS Mincho" w:hAnsi="Palatino Linotype" w:cs="Arial"/>
          <w:b/>
          <w:i/>
          <w:color w:val="000000"/>
          <w:sz w:val="22"/>
          <w:szCs w:val="20"/>
          <w:lang w:val="es-MX"/>
        </w:rPr>
        <w:t>“Artículo 92.</w:t>
      </w:r>
      <w:r w:rsidRPr="00FE1DB5">
        <w:rPr>
          <w:rFonts w:ascii="Palatino Linotype" w:eastAsia="MS Mincho" w:hAnsi="Palatino Linotype" w:cs="Arial"/>
          <w:i/>
          <w:color w:val="000000"/>
          <w:sz w:val="22"/>
          <w:szCs w:val="20"/>
          <w:lang w:val="es-MX"/>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FE1DB5" w:rsidRPr="00FE1DB5" w:rsidRDefault="00FE1DB5" w:rsidP="00FE1DB5">
      <w:pPr>
        <w:autoSpaceDE w:val="0"/>
        <w:autoSpaceDN w:val="0"/>
        <w:adjustRightInd w:val="0"/>
        <w:spacing w:after="120"/>
        <w:ind w:left="567" w:right="992"/>
        <w:jc w:val="both"/>
        <w:rPr>
          <w:rFonts w:ascii="Palatino Linotype" w:eastAsia="MS Mincho" w:hAnsi="Palatino Linotype" w:cs="Arial"/>
          <w:i/>
          <w:color w:val="000000"/>
          <w:sz w:val="22"/>
          <w:szCs w:val="20"/>
          <w:lang w:val="es-MX"/>
        </w:rPr>
      </w:pPr>
      <w:r w:rsidRPr="00FE1DB5">
        <w:rPr>
          <w:rFonts w:ascii="Palatino Linotype" w:eastAsia="MS Mincho" w:hAnsi="Palatino Linotype" w:cs="Arial"/>
          <w:i/>
          <w:color w:val="000000"/>
          <w:sz w:val="22"/>
          <w:szCs w:val="20"/>
          <w:lang w:val="es-MX"/>
        </w:rPr>
        <w:t>(…)</w:t>
      </w:r>
    </w:p>
    <w:p w:rsidR="00FE1DB5" w:rsidRPr="00FE1DB5" w:rsidRDefault="00FE1DB5" w:rsidP="00FE1DB5">
      <w:pPr>
        <w:autoSpaceDE w:val="0"/>
        <w:autoSpaceDN w:val="0"/>
        <w:adjustRightInd w:val="0"/>
        <w:spacing w:after="120"/>
        <w:ind w:left="567" w:right="992"/>
        <w:jc w:val="both"/>
        <w:rPr>
          <w:rFonts w:ascii="Palatino Linotype" w:eastAsia="MS Mincho" w:hAnsi="Palatino Linotype" w:cs="Arial"/>
          <w:i/>
          <w:color w:val="000000"/>
          <w:sz w:val="22"/>
          <w:szCs w:val="20"/>
          <w:lang w:val="es-MX"/>
        </w:rPr>
      </w:pPr>
      <w:r w:rsidRPr="00FE1DB5">
        <w:rPr>
          <w:rFonts w:ascii="Palatino Linotype" w:eastAsia="MS Mincho" w:hAnsi="Palatino Linotype" w:cs="Arial"/>
          <w:i/>
          <w:color w:val="000000"/>
          <w:sz w:val="22"/>
          <w:szCs w:val="20"/>
          <w:lang w:val="es-MX"/>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rsidR="00FE1DB5" w:rsidRPr="00FE1DB5" w:rsidRDefault="00FE1DB5" w:rsidP="00FE1DB5">
      <w:pPr>
        <w:autoSpaceDE w:val="0"/>
        <w:autoSpaceDN w:val="0"/>
        <w:adjustRightInd w:val="0"/>
        <w:spacing w:after="120"/>
        <w:ind w:left="567" w:right="992"/>
        <w:jc w:val="both"/>
        <w:rPr>
          <w:rFonts w:ascii="Palatino Linotype" w:eastAsia="MS Mincho" w:hAnsi="Palatino Linotype" w:cs="Arial"/>
          <w:i/>
          <w:color w:val="000000"/>
          <w:sz w:val="22"/>
          <w:szCs w:val="20"/>
          <w:lang w:val="es-MX"/>
        </w:rPr>
      </w:pPr>
      <w:r w:rsidRPr="00FE1DB5">
        <w:rPr>
          <w:rFonts w:ascii="Palatino Linotype" w:eastAsia="MS Mincho" w:hAnsi="Palatino Linotype" w:cs="Arial"/>
          <w:i/>
          <w:color w:val="000000"/>
          <w:sz w:val="22"/>
          <w:szCs w:val="20"/>
          <w:lang w:val="es-MX"/>
        </w:rPr>
        <w:t>a) De las licitaciones públicas o procedimientos de invitación restringida:</w:t>
      </w:r>
    </w:p>
    <w:p w:rsidR="00FE1DB5" w:rsidRPr="00FE1DB5" w:rsidRDefault="00FE1DB5" w:rsidP="00FE1DB5">
      <w:pPr>
        <w:autoSpaceDE w:val="0"/>
        <w:autoSpaceDN w:val="0"/>
        <w:adjustRightInd w:val="0"/>
        <w:spacing w:after="120"/>
        <w:ind w:left="567" w:right="992"/>
        <w:jc w:val="both"/>
        <w:rPr>
          <w:rFonts w:ascii="Palatino Linotype" w:eastAsia="MS Mincho" w:hAnsi="Palatino Linotype" w:cs="Arial"/>
          <w:i/>
          <w:color w:val="000000"/>
          <w:sz w:val="22"/>
          <w:szCs w:val="20"/>
          <w:lang w:val="es-MX"/>
        </w:rPr>
      </w:pPr>
      <w:r w:rsidRPr="00FE1DB5">
        <w:rPr>
          <w:rFonts w:ascii="Palatino Linotype" w:eastAsia="MS Mincho" w:hAnsi="Palatino Linotype" w:cs="Arial"/>
          <w:i/>
          <w:color w:val="000000"/>
          <w:sz w:val="22"/>
          <w:szCs w:val="20"/>
          <w:lang w:val="es-MX"/>
        </w:rPr>
        <w:t>(…)</w:t>
      </w:r>
    </w:p>
    <w:p w:rsidR="00FE1DB5" w:rsidRPr="00FE1DB5" w:rsidRDefault="00FE1DB5" w:rsidP="00FE1DB5">
      <w:pPr>
        <w:autoSpaceDE w:val="0"/>
        <w:autoSpaceDN w:val="0"/>
        <w:adjustRightInd w:val="0"/>
        <w:spacing w:after="120"/>
        <w:ind w:left="567" w:right="992"/>
        <w:jc w:val="both"/>
        <w:rPr>
          <w:rFonts w:ascii="Palatino Linotype" w:eastAsia="MS Mincho" w:hAnsi="Palatino Linotype" w:cs="Arial"/>
          <w:i/>
          <w:color w:val="000000"/>
          <w:sz w:val="22"/>
          <w:szCs w:val="20"/>
          <w:lang w:val="es-MX"/>
        </w:rPr>
      </w:pPr>
      <w:r w:rsidRPr="00FE1DB5">
        <w:rPr>
          <w:rFonts w:ascii="Palatino Linotype" w:eastAsia="MS Mincho" w:hAnsi="Palatino Linotype" w:cs="Arial"/>
          <w:i/>
          <w:color w:val="000000"/>
          <w:sz w:val="22"/>
          <w:szCs w:val="20"/>
          <w:lang w:val="es-MX"/>
        </w:rPr>
        <w:t>b) De las adjudicaciones directas:…”</w:t>
      </w:r>
    </w:p>
    <w:p w:rsidR="0044589F" w:rsidRDefault="0044589F" w:rsidP="0044589F">
      <w:pPr>
        <w:spacing w:before="240" w:after="240" w:line="360" w:lineRule="auto"/>
        <w:ind w:right="51"/>
        <w:jc w:val="both"/>
        <w:rPr>
          <w:rFonts w:ascii="Palatino Linotype" w:eastAsia="Palatino Linotype" w:hAnsi="Palatino Linotype" w:cs="Palatino Linotype"/>
          <w:color w:val="000000" w:themeColor="text1"/>
        </w:rPr>
      </w:pPr>
      <w:r w:rsidRPr="00062D9E">
        <w:rPr>
          <w:rFonts w:ascii="Palatino Linotype" w:eastAsia="Palatino Linotype" w:hAnsi="Palatino Linotype" w:cs="Palatino Linotype"/>
          <w:color w:val="000000" w:themeColor="text1"/>
        </w:rPr>
        <w:t>Para robustecer</w:t>
      </w:r>
      <w:r>
        <w:rPr>
          <w:rFonts w:ascii="Palatino Linotype" w:eastAsia="Palatino Linotype" w:hAnsi="Palatino Linotype" w:cs="Palatino Linotype"/>
          <w:color w:val="000000" w:themeColor="text1"/>
        </w:rPr>
        <w:t xml:space="preserve"> este punto, este Instituto procedió a consultar la tabla de aplicabilidad de este Sujeto Obligado para verificar si se encuentra constreñido a su publicación, obteniendo así lo siguiente: </w:t>
      </w:r>
    </w:p>
    <w:p w:rsidR="00FE1DB5" w:rsidRPr="00FE1DB5" w:rsidRDefault="00CD2FEF" w:rsidP="00FE1DB5">
      <w:pPr>
        <w:autoSpaceDE w:val="0"/>
        <w:autoSpaceDN w:val="0"/>
        <w:adjustRightInd w:val="0"/>
        <w:spacing w:after="120"/>
        <w:ind w:right="992"/>
        <w:jc w:val="both"/>
        <w:rPr>
          <w:rFonts w:ascii="Palatino Linotype" w:eastAsia="MS Mincho" w:hAnsi="Palatino Linotype" w:cs="Arial"/>
          <w:color w:val="000000"/>
          <w:sz w:val="20"/>
          <w:szCs w:val="20"/>
          <w:lang w:val="es-MX"/>
        </w:rPr>
      </w:pPr>
      <w:r>
        <w:rPr>
          <w:rFonts w:ascii="Palatino Linotype" w:eastAsia="Palatino Linotype" w:hAnsi="Palatino Linotype" w:cs="Palatino Linotype"/>
          <w:noProof/>
          <w:lang w:val="es-MX" w:eastAsia="es-MX"/>
        </w:rPr>
        <w:lastRenderedPageBreak/>
        <mc:AlternateContent>
          <mc:Choice Requires="wps">
            <w:drawing>
              <wp:anchor distT="0" distB="0" distL="114300" distR="114300" simplePos="0" relativeHeight="251663360" behindDoc="0" locked="0" layoutInCell="1" allowOverlap="1">
                <wp:simplePos x="0" y="0"/>
                <wp:positionH relativeFrom="column">
                  <wp:posOffset>5715</wp:posOffset>
                </wp:positionH>
                <wp:positionV relativeFrom="paragraph">
                  <wp:posOffset>1360170</wp:posOffset>
                </wp:positionV>
                <wp:extent cx="5697855" cy="323850"/>
                <wp:effectExtent l="19050" t="19050" r="17145" b="19050"/>
                <wp:wrapNone/>
                <wp:docPr id="21" name="Rectángulo 21"/>
                <wp:cNvGraphicFramePr/>
                <a:graphic xmlns:a="http://schemas.openxmlformats.org/drawingml/2006/main">
                  <a:graphicData uri="http://schemas.microsoft.com/office/word/2010/wordprocessingShape">
                    <wps:wsp>
                      <wps:cNvSpPr/>
                      <wps:spPr>
                        <a:xfrm>
                          <a:off x="0" y="0"/>
                          <a:ext cx="5697855" cy="32385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D7287A" id="Rectángulo 21" o:spid="_x0000_s1026" style="position:absolute;margin-left:.45pt;margin-top:107.1pt;width:448.65pt;height:2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" filled="f" strokecolor="#1f3763 [1604]" strokeweight="2.25pt"/>
            </w:pict>
          </mc:Fallback>
        </mc:AlternateContent>
      </w:r>
      <w:r>
        <w:rPr>
          <w:rFonts w:ascii="Palatino Linotype" w:eastAsia="Palatino Linotype" w:hAnsi="Palatino Linotype" w:cs="Palatino Linotype"/>
          <w:noProof/>
          <w:lang w:val="es-MX" w:eastAsia="es-MX"/>
        </w:rPr>
        <w:drawing>
          <wp:anchor distT="0" distB="0" distL="114300" distR="114300" simplePos="0" relativeHeight="251662336" behindDoc="0" locked="0" layoutInCell="1" allowOverlap="1" wp14:anchorId="2D697125" wp14:editId="412665B1">
            <wp:simplePos x="0" y="0"/>
            <wp:positionH relativeFrom="margin">
              <wp:align>left</wp:align>
            </wp:positionH>
            <wp:positionV relativeFrom="paragraph">
              <wp:posOffset>1017270</wp:posOffset>
            </wp:positionV>
            <wp:extent cx="5695950" cy="866140"/>
            <wp:effectExtent l="0" t="0" r="0"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7511" cy="868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eastAsia="MS Mincho" w:hAnsi="Palatino Linotype" w:cs="Arial"/>
          <w:noProof/>
          <w:color w:val="000000"/>
          <w:sz w:val="20"/>
          <w:szCs w:val="20"/>
          <w:lang w:val="es-MX" w:eastAsia="es-MX"/>
        </w:rPr>
        <w:drawing>
          <wp:inline distT="0" distB="0" distL="0" distR="0" wp14:anchorId="0A7A0849" wp14:editId="069C8CC0">
            <wp:extent cx="5707613" cy="100965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6937" cy="1011299"/>
                    </a:xfrm>
                    <a:prstGeom prst="rect">
                      <a:avLst/>
                    </a:prstGeom>
                    <a:noFill/>
                    <a:ln>
                      <a:noFill/>
                    </a:ln>
                  </pic:spPr>
                </pic:pic>
              </a:graphicData>
            </a:graphic>
          </wp:inline>
        </w:drawing>
      </w:r>
    </w:p>
    <w:p w:rsidR="00CD2FEF" w:rsidRDefault="00CD2FEF" w:rsidP="00CD2FEF">
      <w:pPr>
        <w:spacing w:before="240" w:after="240" w:line="360" w:lineRule="auto"/>
        <w:ind w:right="51"/>
        <w:jc w:val="both"/>
        <w:rPr>
          <w:rFonts w:ascii="Palatino Linotype" w:eastAsia="Palatino Linotype" w:hAnsi="Palatino Linotype" w:cs="Palatino Linotype"/>
          <w:color w:val="000000" w:themeColor="text1"/>
        </w:rPr>
      </w:pPr>
    </w:p>
    <w:p w:rsidR="00CD2FEF" w:rsidRDefault="00CD2FEF" w:rsidP="00CD2FEF">
      <w:pPr>
        <w:spacing w:before="240" w:after="240" w:line="360" w:lineRule="auto"/>
        <w:ind w:right="51"/>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 xml:space="preserve">Asimismo, debe precisarse que la publicación de esta información se realizará conforme lo establecen los </w:t>
      </w:r>
      <w:r w:rsidRPr="00062D9E">
        <w:rPr>
          <w:rFonts w:ascii="Palatino Linotype" w:eastAsia="Palatino Linotype" w:hAnsi="Palatino Linotype" w:cs="Palatino Linotype"/>
          <w:color w:val="000000" w:themeColor="text1"/>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Pr>
          <w:rFonts w:ascii="Palatino Linotype" w:eastAsia="Palatino Linotype" w:hAnsi="Palatino Linotype" w:cs="Palatino Linotype"/>
          <w:color w:val="000000" w:themeColor="text1"/>
        </w:rPr>
        <w:t xml:space="preserve">, mismos que se insertan a continuación: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Pr>
          <w:rFonts w:ascii="Palatino Linotype" w:eastAsia="Palatino Linotype" w:hAnsi="Palatino Linotype" w:cs="Palatino Linotype"/>
          <w:i/>
          <w:color w:val="000000" w:themeColor="text1"/>
          <w:sz w:val="22"/>
        </w:rPr>
        <w:t>“</w:t>
      </w:r>
      <w:r w:rsidRPr="00CD2FEF">
        <w:rPr>
          <w:rFonts w:ascii="Palatino Linotype" w:eastAsia="Palatino Linotype" w:hAnsi="Palatino Linotype" w:cs="Palatino Linotype"/>
          <w:i/>
          <w:color w:val="000000" w:themeColor="text1"/>
          <w:sz w:val="22"/>
        </w:rPr>
        <w:t xml:space="preserve">XXVIII. 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t xml:space="preserve">a) De licitaciones públicas o procedimientos de invitación restringida: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t>1. La convocatoria o invitación emitida, así como los fundamentos legales aplicados para llevarla a cabo;</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t xml:space="preserve"> 2. Los nombres de los participantes o invitados;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t xml:space="preserve">3. El nombre del ganador y las razones que lo justifican;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lastRenderedPageBreak/>
        <w:t xml:space="preserve">4. El área solicitante y la responsable de su ejecución;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t xml:space="preserve">5. Las convocatorias e invitaciones emitidas;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t xml:space="preserve">6. Los dictámenes y fallo de adjudicación;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t xml:space="preserve">7. El contrato y, en su caso, sus anexos;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t xml:space="preserve">8. Los mecanismos de vigilancia y supervisión, incluyendo, en su caso, los estudios de impacto urbano y ambiental, según corresponda;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t xml:space="preserve">9. La partida presupuestal de conformidad con el clasificador por objeto del gasto, en el caso de ser aplicable;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t xml:space="preserve">10. Origen de los recursos especificando si son federales, estatales o municipales, así como el tipo de fondo de participación o aportación respectiva;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t xml:space="preserve">11. Los convenios modificatorios que, en su caso, sean firmados, precisando el objeto y la fecha de celebración;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t xml:space="preserve">12. Los informes de avance físico y financiero sobre las obras o servicios contratados;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t xml:space="preserve">13. El convenio de terminación; y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t xml:space="preserve">14. El finiquito.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t xml:space="preserve">b) De las adjudicaciones directas: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t xml:space="preserve">1. La propuesta enviada por el participante;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t xml:space="preserve">2. Los motivos y fundamentos legales aplicados para llevarla a cabo;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t xml:space="preserve">3. La autorización del ejercicio de la opción;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t xml:space="preserve">4. En su caso, las cotizaciones consideradas, especificando los nombres de los proveedores y los montos;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t xml:space="preserve">5. El nombre de la persona física o moral adjudicada;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t xml:space="preserve">6. La unidad administrativa solicitante y la responsable de su ejecución;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lastRenderedPageBreak/>
        <w:t xml:space="preserve">7. El número, fecha, el monto del contrato y el plazo de entrega o de ejecución de los servicios u obra;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t xml:space="preserve">8. Los mecanismos de vigilancia y supervisión, incluyendo, en su caso, los estudios de impacto urbano y ambiental, según corresponda;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t>9. Los informes de avance sobre las obras o servicios contratados;</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t xml:space="preserve">10. El convenio de terminación; y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t xml:space="preserve">11. El finiquito.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t xml:space="preserve">En este apartado se dispone cuáles son los contenidos y la forma en que los sujetos obligados deberán publicar y actualizar la información que generen, relativa a los resultados de los procedimientos de licitación pública, invitación restringida y adjudicación directa, así como los equivalentes que realizan en términos de la Ley de Adquisiciones, Arrendamientos y Servicios del Sector Público y la Ley de Obras Públicas y Servicios Relacionados con las Mismas –ambas reglamentarias del artículo 134 de la Constitución Política de los Estados Unidos Mexicanos–; las que resulten aplicables en materia de adquisiciones, arrendamiento de bienes muebles, prestación de servicios y contrataciones de obras públicas, y los servicios relacionados con las mismas de las entidades federativas; los ordenamientos legales que regulen a los poderes Legislativo y Judicial y a los organismos autónomos; así como la Ley Federal de Presupuesto y Responsabilidad Hacendaria.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t xml:space="preserve">En ese sentido, la información que deberá registrarse en la Plataforma Nacional, es aquella que acredite que ha concluido el procedimiento, es decir cuando los sujetos obligados ya tienen identificado a quién(es) se adjudicó, ganó la licitación realizada, o en su caso si se declaró desierta, por lo que el ejercicio deberá corresponder al periodo en el que ya se podía identificar al ganador.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t xml:space="preserve">La información sobre los actos, contratos y convenios celebrados se presentará en una base de datos en la que cada registro se hará por tipo de procedimiento: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t xml:space="preserve">• Licitación pública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t xml:space="preserve">• Invitación a cuando menos tres personas (restringida)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t xml:space="preserve">• Adjudicación directa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lastRenderedPageBreak/>
        <w:t>Para cada tipo de procedimiento se deberá especificar la materia:</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t xml:space="preserve"> • Obra pública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t xml:space="preserve">• Servicios relacionados con obra pública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t xml:space="preserve">• Arrendamiento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t xml:space="preserve">• Adquisición o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t xml:space="preserve">• Servicios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t xml:space="preserve">Y el carácter: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t xml:space="preserve">• Nacional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t xml:space="preserve">• Internacional (en cualquier modalidad específica)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t xml:space="preserve">Respecto de los documentos fuente solicitados en los criterios sustantivos que deban ser publicados, tales como contratos, convenios, actas, dictámenes, fallos, convenios modificatorios, informes, entre otros, incluyendo sus anexos correspondientes, exceptuando aquellos que sean demasiado extensos 105 , se deberá elaborar versión pública 106 de los mismos.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t>Los sujetos obligados deberán asegurarse de que la información publicada en esta sección mantenga correspondencia y coherencia, con lo publicado en el sistema electrónico de información pública gubernamental sobre contrataciones, concursos, licitaciones, adquisiciones, arrendamientos y servicios, que en su caso cada entidad federat</w:t>
      </w:r>
      <w:r>
        <w:rPr>
          <w:rFonts w:ascii="Palatino Linotype" w:eastAsia="Palatino Linotype" w:hAnsi="Palatino Linotype" w:cs="Palatino Linotype"/>
          <w:i/>
          <w:color w:val="000000" w:themeColor="text1"/>
          <w:sz w:val="22"/>
        </w:rPr>
        <w:t>iva desarrolle y administre</w:t>
      </w:r>
      <w:r w:rsidRPr="00CD2FEF">
        <w:rPr>
          <w:rFonts w:ascii="Palatino Linotype" w:eastAsia="Palatino Linotype" w:hAnsi="Palatino Linotype" w:cs="Palatino Linotype"/>
          <w:i/>
          <w:color w:val="000000" w:themeColor="text1"/>
          <w:sz w:val="22"/>
        </w:rPr>
        <w:t xml:space="preserve">.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t xml:space="preserve">Periodo de actualización: trimestral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sidRPr="00CD2FEF">
        <w:rPr>
          <w:rFonts w:ascii="Palatino Linotype" w:eastAsia="Palatino Linotype" w:hAnsi="Palatino Linotype" w:cs="Palatino Linotype"/>
          <w:i/>
          <w:color w:val="000000" w:themeColor="text1"/>
          <w:sz w:val="22"/>
        </w:rPr>
        <w:t xml:space="preserve">Conservar en el sitio de Internet: información vigente, es decir, los instrumentos jurídicos vigentes, contratos y convenios, aun cuando éstos sean de ejercicios anteriores; la generada en el ejercicio en curso y la correspondiente a dos ejercicios anteriores. </w:t>
      </w:r>
    </w:p>
    <w:p w:rsidR="00CD2FEF" w:rsidRDefault="00CD2FEF" w:rsidP="00CD2FEF">
      <w:pPr>
        <w:spacing w:before="240" w:after="240"/>
        <w:ind w:left="567" w:right="900"/>
        <w:jc w:val="both"/>
        <w:rPr>
          <w:rFonts w:ascii="Palatino Linotype" w:eastAsia="Palatino Linotype" w:hAnsi="Palatino Linotype" w:cs="Palatino Linotype"/>
          <w:i/>
          <w:color w:val="000000" w:themeColor="text1"/>
          <w:sz w:val="22"/>
        </w:rPr>
      </w:pPr>
      <w:r>
        <w:rPr>
          <w:rFonts w:ascii="Palatino Linotype" w:eastAsia="Palatino Linotype" w:hAnsi="Palatino Linotype" w:cs="Palatino Linotype"/>
          <w:i/>
          <w:noProof/>
          <w:color w:val="000000" w:themeColor="text1"/>
          <w:sz w:val="22"/>
          <w:lang w:val="es-MX"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805815</wp:posOffset>
                </wp:positionH>
                <wp:positionV relativeFrom="paragraph">
                  <wp:posOffset>955675</wp:posOffset>
                </wp:positionV>
                <wp:extent cx="4591050" cy="6238875"/>
                <wp:effectExtent l="0" t="0" r="19050" b="28575"/>
                <wp:wrapNone/>
                <wp:docPr id="24" name="Conector recto 24"/>
                <wp:cNvGraphicFramePr/>
                <a:graphic xmlns:a="http://schemas.openxmlformats.org/drawingml/2006/main">
                  <a:graphicData uri="http://schemas.microsoft.com/office/word/2010/wordprocessingShape">
                    <wps:wsp>
                      <wps:cNvCnPr/>
                      <wps:spPr>
                        <a:xfrm>
                          <a:off x="0" y="0"/>
                          <a:ext cx="4591050" cy="6238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253A0C" id="Conector recto 2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45pt,75.25pt" to="424.95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" strokecolor="black [3200]" strokeweight=".5pt">
                <v:stroke joinstyle="miter"/>
              </v:line>
            </w:pict>
          </mc:Fallback>
        </mc:AlternateContent>
      </w:r>
      <w:r>
        <w:rPr>
          <w:rFonts w:ascii="Palatino Linotype" w:eastAsia="Palatino Linotype" w:hAnsi="Palatino Linotype" w:cs="Palatino Linotype"/>
          <w:i/>
          <w:noProof/>
          <w:color w:val="000000" w:themeColor="text1"/>
          <w:sz w:val="22"/>
          <w:lang w:val="es-MX" w:eastAsia="es-MX"/>
        </w:rPr>
        <w:drawing>
          <wp:anchor distT="0" distB="0" distL="114300" distR="114300" simplePos="0" relativeHeight="251664384" behindDoc="0" locked="0" layoutInCell="1" allowOverlap="1" wp14:anchorId="5DB4B5ED" wp14:editId="78B42D52">
            <wp:simplePos x="0" y="0"/>
            <wp:positionH relativeFrom="margin">
              <wp:align>right</wp:align>
            </wp:positionH>
            <wp:positionV relativeFrom="paragraph">
              <wp:posOffset>299085</wp:posOffset>
            </wp:positionV>
            <wp:extent cx="5572125" cy="714375"/>
            <wp:effectExtent l="0" t="0" r="9525" b="9525"/>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21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FEF">
        <w:rPr>
          <w:rFonts w:ascii="Palatino Linotype" w:eastAsia="Palatino Linotype" w:hAnsi="Palatino Linotype" w:cs="Palatino Linotype"/>
          <w:i/>
          <w:color w:val="000000" w:themeColor="text1"/>
          <w:sz w:val="22"/>
        </w:rPr>
        <w:t>Aplica a: todos los sujetos obligados</w:t>
      </w:r>
      <w:bookmarkStart w:id="6" w:name="_GoBack"/>
      <w:bookmarkEnd w:id="6"/>
    </w:p>
    <w:p w:rsidR="00CD2FEF" w:rsidRPr="00CD2FEF" w:rsidRDefault="00CD2FEF" w:rsidP="00CD2FEF">
      <w:pPr>
        <w:spacing w:before="240" w:after="240"/>
        <w:ind w:left="567" w:right="900"/>
        <w:jc w:val="center"/>
        <w:rPr>
          <w:rFonts w:ascii="Palatino Linotype" w:eastAsia="Palatino Linotype" w:hAnsi="Palatino Linotype" w:cs="Palatino Linotype"/>
          <w:i/>
          <w:color w:val="000000" w:themeColor="text1"/>
          <w:sz w:val="22"/>
        </w:rPr>
      </w:pPr>
      <w:r>
        <w:rPr>
          <w:rFonts w:ascii="Palatino Linotype" w:eastAsia="Palatino Linotype" w:hAnsi="Palatino Linotype" w:cs="Palatino Linotype"/>
          <w:i/>
          <w:noProof/>
          <w:color w:val="000000" w:themeColor="text1"/>
          <w:sz w:val="22"/>
          <w:lang w:val="es-MX" w:eastAsia="es-MX"/>
        </w:rPr>
        <w:lastRenderedPageBreak/>
        <w:drawing>
          <wp:inline distT="0" distB="0" distL="0" distR="0">
            <wp:extent cx="5144972" cy="71342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0929" cy="7156351"/>
                    </a:xfrm>
                    <a:prstGeom prst="rect">
                      <a:avLst/>
                    </a:prstGeom>
                    <a:noFill/>
                    <a:ln>
                      <a:noFill/>
                    </a:ln>
                  </pic:spPr>
                </pic:pic>
              </a:graphicData>
            </a:graphic>
          </wp:inline>
        </w:drawing>
      </w:r>
    </w:p>
    <w:p w:rsidR="00682AA4" w:rsidRDefault="008A07FC" w:rsidP="00CD2FEF">
      <w:pPr>
        <w:spacing w:before="240" w:after="240"/>
        <w:ind w:right="49"/>
        <w:jc w:val="both"/>
        <w:rPr>
          <w:rFonts w:ascii="Palatino Linotype" w:eastAsia="Palatino Linotype" w:hAnsi="Palatino Linotype" w:cs="Palatino Linotype"/>
          <w:i/>
          <w:sz w:val="22"/>
        </w:rPr>
      </w:pPr>
      <w:r>
        <w:rPr>
          <w:rFonts w:ascii="Palatino Linotype" w:eastAsia="Palatino Linotype" w:hAnsi="Palatino Linotype" w:cs="Palatino Linotype"/>
          <w:i/>
          <w:noProof/>
          <w:sz w:val="22"/>
          <w:lang w:val="es-MX" w:eastAsia="es-MX"/>
        </w:rPr>
        <w:lastRenderedPageBreak/>
        <mc:AlternateContent>
          <mc:Choice Requires="wps">
            <w:drawing>
              <wp:anchor distT="0" distB="0" distL="114300" distR="114300" simplePos="0" relativeHeight="251667456" behindDoc="0" locked="0" layoutInCell="1" allowOverlap="1">
                <wp:simplePos x="0" y="0"/>
                <wp:positionH relativeFrom="column">
                  <wp:posOffset>91440</wp:posOffset>
                </wp:positionH>
                <wp:positionV relativeFrom="paragraph">
                  <wp:posOffset>3546475</wp:posOffset>
                </wp:positionV>
                <wp:extent cx="4286250" cy="1257300"/>
                <wp:effectExtent l="0" t="0" r="19050" b="19050"/>
                <wp:wrapNone/>
                <wp:docPr id="32" name="Rectángulo 32"/>
                <wp:cNvGraphicFramePr/>
                <a:graphic xmlns:a="http://schemas.openxmlformats.org/drawingml/2006/main">
                  <a:graphicData uri="http://schemas.microsoft.com/office/word/2010/wordprocessingShape">
                    <wps:wsp>
                      <wps:cNvSpPr/>
                      <wps:spPr>
                        <a:xfrm>
                          <a:off x="0" y="0"/>
                          <a:ext cx="4286250" cy="1257300"/>
                        </a:xfrm>
                        <a:prstGeom prst="rect">
                          <a:avLst/>
                        </a:prstGeom>
                        <a:no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46CB9F" id="Rectángulo 32" o:spid="_x0000_s1026" style="position:absolute;margin-left:7.2pt;margin-top:279.25pt;width:337.5pt;height:99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" filled="f" strokecolor="#002060" strokeweight="1.5pt"/>
            </w:pict>
          </mc:Fallback>
        </mc:AlternateContent>
      </w:r>
      <w:r w:rsidR="00CD2FEF">
        <w:rPr>
          <w:rFonts w:ascii="Palatino Linotype" w:eastAsia="Palatino Linotype" w:hAnsi="Palatino Linotype" w:cs="Palatino Linotype"/>
          <w:i/>
          <w:noProof/>
          <w:sz w:val="22"/>
          <w:lang w:val="es-MX" w:eastAsia="es-MX"/>
        </w:rPr>
        <w:drawing>
          <wp:inline distT="0" distB="0" distL="0" distR="0">
            <wp:extent cx="4924425" cy="599122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24425" cy="5991225"/>
                    </a:xfrm>
                    <a:prstGeom prst="rect">
                      <a:avLst/>
                    </a:prstGeom>
                    <a:noFill/>
                    <a:ln>
                      <a:noFill/>
                    </a:ln>
                  </pic:spPr>
                </pic:pic>
              </a:graphicData>
            </a:graphic>
          </wp:inline>
        </w:drawing>
      </w:r>
    </w:p>
    <w:p w:rsidR="00CD2FEF" w:rsidRDefault="00CD2FEF" w:rsidP="00CD2FEF">
      <w:pPr>
        <w:spacing w:before="240" w:after="240"/>
        <w:ind w:right="49"/>
        <w:jc w:val="both"/>
        <w:rPr>
          <w:rFonts w:ascii="Palatino Linotype" w:eastAsia="Palatino Linotype" w:hAnsi="Palatino Linotype" w:cs="Palatino Linotype"/>
          <w:i/>
          <w:sz w:val="22"/>
        </w:rPr>
      </w:pPr>
    </w:p>
    <w:p w:rsidR="00CD2FEF" w:rsidRDefault="00CD2FEF" w:rsidP="00CD2FEF">
      <w:pPr>
        <w:spacing w:before="240" w:after="240"/>
        <w:ind w:right="49"/>
        <w:jc w:val="both"/>
        <w:rPr>
          <w:rFonts w:ascii="Palatino Linotype" w:eastAsia="Palatino Linotype" w:hAnsi="Palatino Linotype" w:cs="Palatino Linotype"/>
          <w:i/>
          <w:sz w:val="22"/>
        </w:rPr>
      </w:pPr>
    </w:p>
    <w:p w:rsidR="00CD2FEF" w:rsidRDefault="00CD2FEF" w:rsidP="00CD2FEF">
      <w:pPr>
        <w:spacing w:before="240" w:after="240"/>
        <w:ind w:right="49"/>
        <w:jc w:val="both"/>
        <w:rPr>
          <w:rFonts w:ascii="Palatino Linotype" w:eastAsia="Palatino Linotype" w:hAnsi="Palatino Linotype" w:cs="Palatino Linotype"/>
          <w:i/>
          <w:sz w:val="22"/>
        </w:rPr>
      </w:pPr>
    </w:p>
    <w:p w:rsidR="00CD2FEF" w:rsidRPr="00CD2FEF" w:rsidRDefault="008A07FC" w:rsidP="00CD2FEF">
      <w:pPr>
        <w:spacing w:before="240" w:after="240"/>
        <w:ind w:right="49"/>
        <w:jc w:val="both"/>
        <w:rPr>
          <w:rFonts w:ascii="Palatino Linotype" w:eastAsia="Palatino Linotype" w:hAnsi="Palatino Linotype" w:cs="Palatino Linotype"/>
          <w:i/>
          <w:sz w:val="22"/>
        </w:rPr>
      </w:pPr>
      <w:r>
        <w:rPr>
          <w:rFonts w:ascii="Palatino Linotype" w:eastAsia="Palatino Linotype" w:hAnsi="Palatino Linotype" w:cs="Palatino Linotype"/>
          <w:i/>
          <w:noProof/>
          <w:sz w:val="22"/>
          <w:lang w:val="es-MX" w:eastAsia="es-MX"/>
        </w:rPr>
        <w:lastRenderedPageBreak/>
        <mc:AlternateContent>
          <mc:Choice Requires="wps">
            <w:drawing>
              <wp:anchor distT="0" distB="0" distL="114300" distR="114300" simplePos="0" relativeHeight="251666432" behindDoc="0" locked="0" layoutInCell="1" allowOverlap="1">
                <wp:simplePos x="0" y="0"/>
                <wp:positionH relativeFrom="column">
                  <wp:posOffset>120015</wp:posOffset>
                </wp:positionH>
                <wp:positionV relativeFrom="paragraph">
                  <wp:posOffset>1012825</wp:posOffset>
                </wp:positionV>
                <wp:extent cx="5267325" cy="4467225"/>
                <wp:effectExtent l="19050" t="19050" r="28575" b="28575"/>
                <wp:wrapNone/>
                <wp:docPr id="31" name="Rectángulo 31"/>
                <wp:cNvGraphicFramePr/>
                <a:graphic xmlns:a="http://schemas.openxmlformats.org/drawingml/2006/main">
                  <a:graphicData uri="http://schemas.microsoft.com/office/word/2010/wordprocessingShape">
                    <wps:wsp>
                      <wps:cNvSpPr/>
                      <wps:spPr>
                        <a:xfrm>
                          <a:off x="0" y="0"/>
                          <a:ext cx="5267325" cy="4467225"/>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834A1C" id="Rectángulo 31" o:spid="_x0000_s1026" style="position:absolute;margin-left:9.45pt;margin-top:79.75pt;width:414.75pt;height:351.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" filled="f" strokecolor="#002060" strokeweight="2.25pt"/>
            </w:pict>
          </mc:Fallback>
        </mc:AlternateContent>
      </w:r>
      <w:r w:rsidR="00CD2FEF">
        <w:rPr>
          <w:rFonts w:ascii="Palatino Linotype" w:eastAsia="Palatino Linotype" w:hAnsi="Palatino Linotype" w:cs="Palatino Linotype"/>
          <w:i/>
          <w:noProof/>
          <w:sz w:val="22"/>
          <w:lang w:val="es-MX" w:eastAsia="es-MX"/>
        </w:rPr>
        <w:drawing>
          <wp:inline distT="0" distB="0" distL="0" distR="0">
            <wp:extent cx="5507513" cy="67818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13139" cy="6788728"/>
                    </a:xfrm>
                    <a:prstGeom prst="rect">
                      <a:avLst/>
                    </a:prstGeom>
                    <a:noFill/>
                    <a:ln>
                      <a:noFill/>
                    </a:ln>
                  </pic:spPr>
                </pic:pic>
              </a:graphicData>
            </a:graphic>
          </wp:inline>
        </w:drawing>
      </w:r>
    </w:p>
    <w:p w:rsidR="00CD2FEF" w:rsidRPr="00682AA4" w:rsidRDefault="00CD2FEF">
      <w:pPr>
        <w:spacing w:before="240" w:after="240" w:line="360" w:lineRule="auto"/>
        <w:ind w:right="49"/>
        <w:jc w:val="both"/>
        <w:rPr>
          <w:rFonts w:ascii="Palatino Linotype" w:eastAsia="Palatino Linotype" w:hAnsi="Palatino Linotype" w:cs="Palatino Linotype"/>
        </w:rPr>
      </w:pPr>
    </w:p>
    <w:p w:rsidR="00682AA4" w:rsidRDefault="00CD2FE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extent cx="5473780" cy="65913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6327" cy="6594367"/>
                    </a:xfrm>
                    <a:prstGeom prst="rect">
                      <a:avLst/>
                    </a:prstGeom>
                    <a:noFill/>
                    <a:ln>
                      <a:noFill/>
                    </a:ln>
                  </pic:spPr>
                </pic:pic>
              </a:graphicData>
            </a:graphic>
          </wp:inline>
        </w:drawing>
      </w:r>
    </w:p>
    <w:p w:rsidR="00CD2FEF" w:rsidRDefault="00CD2FEF">
      <w:pPr>
        <w:spacing w:before="240" w:after="240" w:line="360" w:lineRule="auto"/>
        <w:ind w:right="49"/>
        <w:jc w:val="both"/>
        <w:rPr>
          <w:rFonts w:ascii="Palatino Linotype" w:eastAsia="Palatino Linotype" w:hAnsi="Palatino Linotype" w:cs="Palatino Linotype"/>
        </w:rPr>
      </w:pPr>
    </w:p>
    <w:p w:rsidR="00CD2FEF" w:rsidRDefault="00CD2FE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extent cx="5662281" cy="64103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5917" cy="6414442"/>
                    </a:xfrm>
                    <a:prstGeom prst="rect">
                      <a:avLst/>
                    </a:prstGeom>
                    <a:noFill/>
                    <a:ln>
                      <a:noFill/>
                    </a:ln>
                  </pic:spPr>
                </pic:pic>
              </a:graphicData>
            </a:graphic>
          </wp:inline>
        </w:drawing>
      </w:r>
    </w:p>
    <w:p w:rsidR="00682AA4" w:rsidRDefault="00682AA4">
      <w:pPr>
        <w:spacing w:before="240" w:after="240" w:line="360" w:lineRule="auto"/>
        <w:ind w:right="49"/>
        <w:jc w:val="both"/>
        <w:rPr>
          <w:rFonts w:ascii="Palatino Linotype" w:eastAsia="Palatino Linotype" w:hAnsi="Palatino Linotype" w:cs="Palatino Linotype"/>
        </w:rPr>
      </w:pPr>
    </w:p>
    <w:p w:rsidR="00D91EA1" w:rsidRDefault="00CD2FE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extent cx="5305425" cy="641032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05425" cy="6410325"/>
                    </a:xfrm>
                    <a:prstGeom prst="rect">
                      <a:avLst/>
                    </a:prstGeom>
                    <a:noFill/>
                    <a:ln>
                      <a:noFill/>
                    </a:ln>
                  </pic:spPr>
                </pic:pic>
              </a:graphicData>
            </a:graphic>
          </wp:inline>
        </w:drawing>
      </w:r>
    </w:p>
    <w:p w:rsidR="00A04D33" w:rsidRDefault="00A04D33">
      <w:pPr>
        <w:spacing w:before="240" w:after="240" w:line="360" w:lineRule="auto"/>
        <w:ind w:right="49"/>
        <w:jc w:val="both"/>
        <w:rPr>
          <w:rFonts w:ascii="Palatino Linotype" w:eastAsia="Palatino Linotype" w:hAnsi="Palatino Linotype" w:cs="Palatino Linotype"/>
          <w:b/>
        </w:rPr>
      </w:pPr>
    </w:p>
    <w:p w:rsidR="008A07FC" w:rsidRDefault="008A07FC" w:rsidP="008A07FC">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Como se aprecia en el dispositivo legal citado, los sujetos obligados deben publicar la información concerniente a l</w:t>
      </w:r>
      <w:r w:rsidRPr="008A07FC">
        <w:rPr>
          <w:rFonts w:ascii="Palatino Linotype" w:eastAsia="Palatino Linotype" w:hAnsi="Palatino Linotype" w:cs="Palatino Linotype"/>
          <w:color w:val="000000"/>
        </w:rPr>
        <w:t>a información sobre los resultados sobre procedimientos de adjudicación directa, invitación restringida y licitación de cualquier naturaleza, inc</w:t>
      </w:r>
      <w:r>
        <w:rPr>
          <w:rFonts w:ascii="Palatino Linotype" w:eastAsia="Palatino Linotype" w:hAnsi="Palatino Linotype" w:cs="Palatino Linotype"/>
          <w:color w:val="000000"/>
        </w:rPr>
        <w:t>luyendo la v</w:t>
      </w:r>
      <w:r w:rsidRPr="008A07FC">
        <w:rPr>
          <w:rFonts w:ascii="Palatino Linotype" w:eastAsia="Palatino Linotype" w:hAnsi="Palatino Linotype" w:cs="Palatino Linotype"/>
          <w:color w:val="000000"/>
        </w:rPr>
        <w:t>ersión Pública del Expediente respectivo y de los contratos celebrados</w:t>
      </w:r>
      <w:r>
        <w:rPr>
          <w:rFonts w:ascii="Palatino Linotype" w:eastAsia="Palatino Linotype" w:hAnsi="Palatino Linotype" w:cs="Palatino Linotype"/>
          <w:color w:val="000000"/>
        </w:rPr>
        <w:t xml:space="preserve">, para el caso que nos ocupa, es decir, de obra pública, deberá precisarse el lugar donde se realizará la obra pública, breve descripción, estudios de impacto urbano y ambiental, convenios y en su caso, finiquito, por lo que se estima que en el presente asunto es procedente la entrega de los documentos generados por la realización de las obras públicas, como pueden ser de manera enunciativa más no limitativa </w:t>
      </w:r>
      <w:r w:rsidRPr="008A07FC">
        <w:rPr>
          <w:rFonts w:ascii="Palatino Linotype" w:eastAsia="Palatino Linotype" w:hAnsi="Palatino Linotype" w:cs="Palatino Linotype"/>
          <w:color w:val="000000"/>
        </w:rPr>
        <w:t>los contratos, facturas, los informes de a</w:t>
      </w:r>
      <w:r>
        <w:rPr>
          <w:rFonts w:ascii="Palatino Linotype" w:eastAsia="Palatino Linotype" w:hAnsi="Palatino Linotype" w:cs="Palatino Linotype"/>
          <w:color w:val="000000"/>
        </w:rPr>
        <w:t xml:space="preserve">vance y concusión de la obra, etcétera. </w:t>
      </w:r>
    </w:p>
    <w:p w:rsidR="008A07FC" w:rsidRPr="008A07FC" w:rsidRDefault="008A07FC" w:rsidP="008A07FC">
      <w:pPr>
        <w:spacing w:before="240" w:after="240" w:line="360" w:lineRule="auto"/>
        <w:ind w:right="51"/>
        <w:jc w:val="both"/>
        <w:rPr>
          <w:rFonts w:ascii="Palatino Linotype" w:eastAsia="Palatino Linotype" w:hAnsi="Palatino Linotype" w:cs="Palatino Linotype"/>
          <w:b/>
          <w:color w:val="000000"/>
          <w:lang w:val="es-MX"/>
        </w:rPr>
      </w:pPr>
      <w:r>
        <w:rPr>
          <w:rFonts w:ascii="Palatino Linotype" w:eastAsia="Palatino Linotype" w:hAnsi="Palatino Linotype" w:cs="Palatino Linotype"/>
          <w:color w:val="000000"/>
        </w:rPr>
        <w:t xml:space="preserve">No pasa desapercibido para este Órgano Garante que respecto de las obras realizadas en el ejercicio fiscal 2018, </w:t>
      </w:r>
      <w:r w:rsidR="004E489C">
        <w:rPr>
          <w:rFonts w:ascii="Palatino Linotype" w:eastAsia="Palatino Linotype" w:hAnsi="Palatino Linotype" w:cs="Palatino Linotype"/>
          <w:color w:val="000000"/>
        </w:rPr>
        <w:t xml:space="preserve">en ambas solicitudes, </w:t>
      </w:r>
      <w:r w:rsidR="004E489C">
        <w:rPr>
          <w:rFonts w:ascii="Palatino Linotype" w:eastAsia="Palatino Linotype" w:hAnsi="Palatino Linotype" w:cs="Palatino Linotype"/>
          <w:color w:val="000000"/>
          <w:lang w:val="es-MX"/>
        </w:rPr>
        <w:t xml:space="preserve">el </w:t>
      </w:r>
      <w:r w:rsidR="004E489C">
        <w:rPr>
          <w:rFonts w:ascii="Palatino Linotype" w:eastAsia="Palatino Linotype" w:hAnsi="Palatino Linotype" w:cs="Palatino Linotype"/>
          <w:b/>
          <w:color w:val="000000"/>
          <w:lang w:val="es-MX"/>
        </w:rPr>
        <w:t>Director</w:t>
      </w:r>
      <w:r w:rsidRPr="008A07FC">
        <w:rPr>
          <w:rFonts w:ascii="Palatino Linotype" w:eastAsia="Palatino Linotype" w:hAnsi="Palatino Linotype" w:cs="Palatino Linotype"/>
          <w:b/>
          <w:color w:val="000000"/>
          <w:lang w:val="es-MX"/>
        </w:rPr>
        <w:t xml:space="preserve"> de Desarrollo Urbano y Obras Públicas</w:t>
      </w:r>
      <w:r w:rsidRPr="008A07FC">
        <w:rPr>
          <w:rFonts w:ascii="Palatino Linotype" w:eastAsia="Palatino Linotype" w:hAnsi="Palatino Linotype" w:cs="Palatino Linotype"/>
          <w:color w:val="000000"/>
          <w:lang w:val="es-MX"/>
        </w:rPr>
        <w:t xml:space="preserve">, únicamente refirió que no contaba con información respecto de ese año, sin que se advierta de dicha respuesta si la información fue generada y ya no la posee, o bien si no cuenta con ella porque no fue generada durante ese periodo. </w:t>
      </w:r>
    </w:p>
    <w:p w:rsidR="008A07FC" w:rsidRPr="008A07FC" w:rsidRDefault="008A07FC" w:rsidP="008A07FC">
      <w:pPr>
        <w:spacing w:before="240" w:after="240" w:line="360" w:lineRule="auto"/>
        <w:ind w:right="51"/>
        <w:jc w:val="both"/>
        <w:rPr>
          <w:rFonts w:ascii="Palatino Linotype" w:eastAsia="Palatino Linotype" w:hAnsi="Palatino Linotype" w:cs="Palatino Linotype"/>
          <w:color w:val="000000"/>
          <w:lang w:val="es-MX"/>
        </w:rPr>
      </w:pPr>
      <w:r>
        <w:rPr>
          <w:rFonts w:ascii="Palatino Linotype" w:eastAsia="Palatino Linotype" w:hAnsi="Palatino Linotype" w:cs="Palatino Linotype"/>
          <w:color w:val="000000"/>
        </w:rPr>
        <w:t>De ahí que se estime</w:t>
      </w:r>
      <w:r w:rsidRPr="008A07FC">
        <w:rPr>
          <w:rFonts w:ascii="Palatino Linotype" w:eastAsia="Palatino Linotype" w:hAnsi="Palatino Linotype" w:cs="Palatino Linotype"/>
          <w:color w:val="000000"/>
        </w:rPr>
        <w:t xml:space="preserve"> que su respuesta careció de los principios de congruencia y exhaustividad, como refuerzo de lo anterior</w:t>
      </w:r>
      <w:r w:rsidRPr="008A07FC">
        <w:rPr>
          <w:rFonts w:ascii="Palatino Linotype" w:eastAsia="Palatino Linotype" w:hAnsi="Palatino Linotype" w:cs="Palatino Linotype"/>
          <w:bCs/>
          <w:color w:val="000000"/>
          <w:u w:val="single"/>
          <w:lang w:val="es-MX"/>
        </w:rPr>
        <w:t xml:space="preserve">, resulta crucial el Criterio 02/17, emitido por el Pleno del </w:t>
      </w:r>
      <w:r w:rsidRPr="008A07FC">
        <w:rPr>
          <w:rFonts w:ascii="Palatino Linotype" w:eastAsia="Palatino Linotype" w:hAnsi="Palatino Linotype" w:cs="Palatino Linotype"/>
          <w:color w:val="000000"/>
          <w:lang w:val="es-MX"/>
        </w:rPr>
        <w:t>Instituto Nacional de Transparencia y Acceso a la Información y Protección de Datos Personales, de título y texto siguientes:</w:t>
      </w:r>
    </w:p>
    <w:p w:rsidR="008A07FC" w:rsidRDefault="008A07FC" w:rsidP="008A07FC">
      <w:pPr>
        <w:spacing w:before="240" w:after="240"/>
        <w:ind w:left="567" w:right="900"/>
        <w:jc w:val="both"/>
        <w:rPr>
          <w:rFonts w:ascii="Palatino Linotype" w:eastAsia="Palatino Linotype" w:hAnsi="Palatino Linotype" w:cs="Palatino Linotype"/>
          <w:i/>
          <w:color w:val="000000"/>
        </w:rPr>
      </w:pPr>
      <w:r w:rsidRPr="008A07FC">
        <w:rPr>
          <w:rFonts w:ascii="Palatino Linotype" w:eastAsia="Palatino Linotype" w:hAnsi="Palatino Linotype" w:cs="Palatino Linotype"/>
          <w:b/>
          <w:i/>
          <w:color w:val="000000"/>
          <w:sz w:val="22"/>
        </w:rPr>
        <w:lastRenderedPageBreak/>
        <w:t xml:space="preserve">“Congruencia y exhaustividad. Sus alcances para garantizar el derecho de acceso a la información. </w:t>
      </w:r>
      <w:r w:rsidRPr="008A07FC">
        <w:rPr>
          <w:rFonts w:ascii="Palatino Linotype" w:eastAsia="Palatino Linotype" w:hAnsi="Palatino Linotype" w:cs="Palatino Linotype"/>
          <w:i/>
          <w:color w:val="000000"/>
          <w:sz w:val="22"/>
        </w:rPr>
        <w:t xml:space="preserve">De conformidad con el artículo </w:t>
      </w:r>
      <w:r w:rsidRPr="008A07FC">
        <w:rPr>
          <w:rFonts w:ascii="Palatino Linotype" w:eastAsia="Palatino Linotype" w:hAnsi="Palatino Linotype" w:cs="Palatino Linotype"/>
          <w:i/>
          <w:color w:val="000000"/>
          <w:sz w:val="22"/>
          <w:lang w:val="es-ES_tradnl"/>
        </w:rPr>
        <w:t>3 de la Ley Federal de Procedimiento Administrativo</w:t>
      </w:r>
      <w:r w:rsidRPr="008A07FC">
        <w:rPr>
          <w:rFonts w:ascii="Palatino Linotype" w:eastAsia="Palatino Linotype" w:hAnsi="Palatino Linotype" w:cs="Palatino Linotype"/>
          <w:i/>
          <w:color w:val="000000"/>
          <w:sz w:val="22"/>
        </w:rPr>
        <w:t xml:space="preserve">, de aplicación supletoria a la Ley Federal de Transparencia y Acceso a la Información Pública, en términos de su artículo 7; todo acto administrativo debe cumplir </w:t>
      </w:r>
      <w:r w:rsidRPr="008A07FC">
        <w:rPr>
          <w:rFonts w:ascii="Palatino Linotype" w:eastAsia="Palatino Linotype" w:hAnsi="Palatino Linotype" w:cs="Palatino Linotype"/>
          <w:i/>
          <w:color w:val="000000"/>
        </w:rPr>
        <w:t xml:space="preserve">con los principios de congruencia y exhaustividad. Para el efectivo ejercicio del derecho de acceso a la información, </w:t>
      </w:r>
      <w:r w:rsidRPr="008A07FC">
        <w:rPr>
          <w:rFonts w:ascii="Palatino Linotype" w:eastAsia="Palatino Linotype" w:hAnsi="Palatino Linotype" w:cs="Palatino Linotype"/>
          <w:b/>
          <w:i/>
          <w:color w:val="000000"/>
        </w:rPr>
        <w:t>la congruencia implica que exista concordancia entre el requerimiento formulado por el particular y la respuesta proporcionada por el sujeto obligado</w:t>
      </w:r>
      <w:r w:rsidRPr="008A07FC">
        <w:rPr>
          <w:rFonts w:ascii="Palatino Linotype" w:eastAsia="Palatino Linotype" w:hAnsi="Palatino Linotype" w:cs="Palatino Linotype"/>
          <w:i/>
          <w:color w:val="000000"/>
        </w:rPr>
        <w:t xml:space="preserve">; mientras que </w:t>
      </w:r>
      <w:r w:rsidRPr="008A07FC">
        <w:rPr>
          <w:rFonts w:ascii="Palatino Linotype" w:eastAsia="Palatino Linotype" w:hAnsi="Palatino Linotype" w:cs="Palatino Linotype"/>
          <w:b/>
          <w:i/>
          <w:color w:val="000000"/>
        </w:rPr>
        <w:t>la exhaustividad significa que dicha respuesta se refiera expresamente a cada uno de los puntos solicitados</w:t>
      </w:r>
      <w:r w:rsidRPr="008A07FC">
        <w:rPr>
          <w:rFonts w:ascii="Palatino Linotype" w:eastAsia="Palatino Linotype" w:hAnsi="Palatino Linotype" w:cs="Palatino Linotype"/>
          <w:i/>
          <w:color w:val="000000"/>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8A07FC" w:rsidRPr="008A07FC" w:rsidRDefault="008A07FC" w:rsidP="008A07FC">
      <w:pPr>
        <w:spacing w:before="240" w:after="240"/>
        <w:ind w:left="567" w:right="900"/>
        <w:jc w:val="both"/>
        <w:rPr>
          <w:rFonts w:ascii="Palatino Linotype" w:eastAsia="Palatino Linotype" w:hAnsi="Palatino Linotype" w:cs="Palatino Linotype"/>
          <w:i/>
          <w:color w:val="000000"/>
        </w:rPr>
      </w:pPr>
      <w:r w:rsidRPr="008A07FC">
        <w:rPr>
          <w:rFonts w:ascii="Palatino Linotype" w:eastAsia="Palatino Linotype" w:hAnsi="Palatino Linotype" w:cs="Palatino Linotype"/>
          <w:i/>
          <w:color w:val="000000"/>
        </w:rPr>
        <w:t>(Énfasis añadido)</w:t>
      </w:r>
    </w:p>
    <w:p w:rsidR="004E489C" w:rsidRDefault="004E489C" w:rsidP="004E489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en el presente asunto, es dable </w:t>
      </w:r>
      <w:r>
        <w:rPr>
          <w:rFonts w:ascii="Palatino Linotype" w:eastAsia="Palatino Linotype" w:hAnsi="Palatino Linotype" w:cs="Palatino Linotype"/>
          <w:b/>
        </w:rPr>
        <w:t>ordenar</w:t>
      </w:r>
      <w:r>
        <w:rPr>
          <w:rFonts w:ascii="Palatino Linotype" w:eastAsia="Palatino Linotype" w:hAnsi="Palatino Linotype" w:cs="Palatino Linotype"/>
        </w:rPr>
        <w:t xml:space="preserve">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realice una búsqueda exhaustiva y razonable en sus archivos para efecto de localizar la información correspondiente a las obras públicas realizadas en el año 2018, de ser el caso en que si obre la información en sus archivos, procederá la entrega de la información, sin embargo, </w:t>
      </w:r>
      <w:r w:rsidR="001E0429">
        <w:rPr>
          <w:rFonts w:ascii="Palatino Linotype" w:eastAsia="Palatino Linotype" w:hAnsi="Palatino Linotype" w:cs="Palatino Linotype"/>
        </w:rPr>
        <w:t xml:space="preserve">en el supuesto de </w:t>
      </w:r>
      <w:r>
        <w:rPr>
          <w:rFonts w:ascii="Palatino Linotype" w:eastAsia="Palatino Linotype" w:hAnsi="Palatino Linotype" w:cs="Palatino Linotype"/>
        </w:rPr>
        <w:t>que no haya ejecutado obras públicas durante ese ejercicio fiscal, deberá manifestarl</w:t>
      </w:r>
      <w:r w:rsidR="001E0429">
        <w:rPr>
          <w:rFonts w:ascii="Palatino Linotype" w:eastAsia="Palatino Linotype" w:hAnsi="Palatino Linotype" w:cs="Palatino Linotype"/>
        </w:rPr>
        <w:t>o de manera clara y precisa; finalmente</w:t>
      </w:r>
      <w:r>
        <w:rPr>
          <w:rFonts w:ascii="Palatino Linotype" w:eastAsia="Palatino Linotype" w:hAnsi="Palatino Linotype" w:cs="Palatino Linotype"/>
        </w:rPr>
        <w:t xml:space="preserve"> </w:t>
      </w:r>
      <w:r w:rsidR="001E0429">
        <w:rPr>
          <w:rFonts w:ascii="Palatino Linotype" w:eastAsia="Palatino Linotype" w:hAnsi="Palatino Linotype" w:cs="Palatino Linotype"/>
        </w:rPr>
        <w:t xml:space="preserve">de actualizarse la circunstancia fáctica </w:t>
      </w:r>
      <w:r>
        <w:rPr>
          <w:rFonts w:ascii="Palatino Linotype" w:eastAsia="Palatino Linotype" w:hAnsi="Palatino Linotype" w:cs="Palatino Linotype"/>
        </w:rPr>
        <w:t xml:space="preserve">de que derivado de una búsqueda exhaustiva y razonable, </w:t>
      </w:r>
      <w:r w:rsidR="001E0429">
        <w:rPr>
          <w:rFonts w:ascii="Palatino Linotype" w:eastAsia="Palatino Linotype" w:hAnsi="Palatino Linotype" w:cs="Palatino Linotype"/>
        </w:rPr>
        <w:t xml:space="preserve">por alguna razón, </w:t>
      </w:r>
      <w:r>
        <w:rPr>
          <w:rFonts w:ascii="Palatino Linotype" w:eastAsia="Palatino Linotype" w:hAnsi="Palatino Linotype" w:cs="Palatino Linotype"/>
        </w:rPr>
        <w:t xml:space="preserve">la información solicitada no obre en sus archivos, tendrá que realizar un Acuerdo de Inexistencia de la Información y notificárselo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p>
    <w:p w:rsidR="004E489C" w:rsidRDefault="004E489C" w:rsidP="004E489C">
      <w:pPr>
        <w:spacing w:line="360" w:lineRule="auto"/>
        <w:jc w:val="both"/>
        <w:rPr>
          <w:rFonts w:ascii="Palatino Linotype" w:eastAsia="Palatino Linotype" w:hAnsi="Palatino Linotype" w:cs="Palatino Linotype"/>
        </w:rPr>
      </w:pPr>
    </w:p>
    <w:p w:rsidR="004E489C" w:rsidRDefault="004E489C" w:rsidP="004E489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Dicho acuerdo deberá exponer las razones por las que se buscó la información, las áreas en las que se instruyó la búsqueda, los criterios y los métodos de búsqueda de </w:t>
      </w:r>
      <w:r>
        <w:rPr>
          <w:rFonts w:ascii="Palatino Linotype" w:eastAsia="Palatino Linotype" w:hAnsi="Palatino Linotype" w:cs="Palatino Linotype"/>
        </w:rPr>
        <w:lastRenderedPageBreak/>
        <w:t xml:space="preserve">la información utilizados,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w:t>
      </w:r>
      <w:r w:rsidR="00352652" w:rsidRPr="00352652">
        <w:rPr>
          <w:rFonts w:ascii="Palatino Linotype" w:eastAsia="Palatino Linotype" w:hAnsi="Palatino Linotype" w:cs="Palatino Linotype"/>
          <w:b/>
        </w:rPr>
        <w:t>Sujeto Obligado</w:t>
      </w:r>
      <w:r>
        <w:rPr>
          <w:rFonts w:ascii="Palatino Linotype" w:eastAsia="Palatino Linotype" w:hAnsi="Palatino Linotype" w:cs="Palatino Linotype"/>
        </w:rPr>
        <w:t xml:space="preserve"> correspondiente, de acuerdo a los artículos 47 y 49, fracciones II y III, de la Ley de Transparencia y Acceso a la Información Pública del Estado de México y Municipios:</w:t>
      </w:r>
    </w:p>
    <w:p w:rsidR="004E489C" w:rsidRDefault="004E489C" w:rsidP="004E489C">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47.</w:t>
      </w:r>
      <w:r>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w:t>
      </w:r>
    </w:p>
    <w:p w:rsidR="004E489C" w:rsidRDefault="004E489C" w:rsidP="004E489C">
      <w:pPr>
        <w:ind w:left="567" w:right="567"/>
        <w:jc w:val="both"/>
        <w:rPr>
          <w:rFonts w:ascii="Palatino Linotype" w:eastAsia="Palatino Linotype" w:hAnsi="Palatino Linotype" w:cs="Palatino Linotype"/>
          <w:i/>
          <w:sz w:val="22"/>
          <w:szCs w:val="22"/>
        </w:rPr>
      </w:pPr>
    </w:p>
    <w:p w:rsidR="004E489C" w:rsidRDefault="004E489C" w:rsidP="004E489C">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4E489C" w:rsidRDefault="004E489C" w:rsidP="004E489C">
      <w:pPr>
        <w:ind w:left="567" w:right="567"/>
        <w:jc w:val="both"/>
        <w:rPr>
          <w:rFonts w:ascii="Palatino Linotype" w:eastAsia="Palatino Linotype" w:hAnsi="Palatino Linotype" w:cs="Palatino Linotype"/>
          <w:i/>
          <w:sz w:val="22"/>
          <w:szCs w:val="22"/>
        </w:rPr>
      </w:pPr>
    </w:p>
    <w:p w:rsidR="004E489C" w:rsidRDefault="004E489C" w:rsidP="004E489C">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Comité se reunirá en sesión ordinaria o extraordinaria las veces que estime necesario. El tipo de sesión se precisará en la convocatoria emitida.</w:t>
      </w:r>
    </w:p>
    <w:p w:rsidR="004E489C" w:rsidRDefault="004E489C" w:rsidP="004E489C">
      <w:pPr>
        <w:ind w:left="567" w:right="567"/>
        <w:jc w:val="both"/>
        <w:rPr>
          <w:rFonts w:ascii="Palatino Linotype" w:eastAsia="Palatino Linotype" w:hAnsi="Palatino Linotype" w:cs="Palatino Linotype"/>
          <w:i/>
          <w:sz w:val="22"/>
          <w:szCs w:val="22"/>
        </w:rPr>
      </w:pPr>
    </w:p>
    <w:p w:rsidR="004E489C" w:rsidRDefault="004E489C" w:rsidP="004E489C">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rsidR="004E489C" w:rsidRDefault="004E489C" w:rsidP="004E489C">
      <w:pPr>
        <w:ind w:left="567" w:right="567"/>
        <w:jc w:val="both"/>
        <w:rPr>
          <w:rFonts w:ascii="Palatino Linotype" w:eastAsia="Palatino Linotype" w:hAnsi="Palatino Linotype" w:cs="Palatino Linotype"/>
          <w:i/>
          <w:sz w:val="22"/>
          <w:szCs w:val="22"/>
        </w:rPr>
      </w:pPr>
    </w:p>
    <w:p w:rsidR="004E489C" w:rsidRDefault="004E489C" w:rsidP="004E489C">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En las sesiones y trabajos del Comité, podrán participar como invitados permanentes, los representantes de las áreas que decida el Comité, y contará con derecho de voz, pero no voto.</w:t>
      </w:r>
    </w:p>
    <w:p w:rsidR="004E489C" w:rsidRDefault="004E489C" w:rsidP="004E489C">
      <w:pPr>
        <w:ind w:left="567" w:right="567"/>
        <w:jc w:val="both"/>
        <w:rPr>
          <w:rFonts w:ascii="Palatino Linotype" w:eastAsia="Palatino Linotype" w:hAnsi="Palatino Linotype" w:cs="Palatino Linotype"/>
          <w:i/>
          <w:sz w:val="22"/>
          <w:szCs w:val="22"/>
        </w:rPr>
      </w:pPr>
    </w:p>
    <w:p w:rsidR="004E489C" w:rsidRDefault="004E489C" w:rsidP="004E489C">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titulares de las unidades administrativas que propongan la reserva, confidencialidad o declaren la </w:t>
      </w:r>
      <w:r>
        <w:rPr>
          <w:rFonts w:ascii="Palatino Linotype" w:eastAsia="Palatino Linotype" w:hAnsi="Palatino Linotype" w:cs="Palatino Linotype"/>
          <w:i/>
          <w:sz w:val="22"/>
          <w:szCs w:val="22"/>
          <w:u w:val="single"/>
        </w:rPr>
        <w:t>inexistencia</w:t>
      </w:r>
      <w:r>
        <w:rPr>
          <w:rFonts w:ascii="Palatino Linotype" w:eastAsia="Palatino Linotype" w:hAnsi="Palatino Linotype" w:cs="Palatino Linotype"/>
          <w:i/>
          <w:sz w:val="22"/>
          <w:szCs w:val="22"/>
        </w:rPr>
        <w:t xml:space="preserve"> de información, acudirán a las sesiones de dicho Comité donde se discuta la propuesta correspondiente.”</w:t>
      </w:r>
    </w:p>
    <w:p w:rsidR="004E489C" w:rsidRDefault="004E489C" w:rsidP="004E489C">
      <w:pPr>
        <w:ind w:left="567" w:right="567"/>
        <w:jc w:val="both"/>
        <w:rPr>
          <w:rFonts w:ascii="Palatino Linotype" w:eastAsia="Palatino Linotype" w:hAnsi="Palatino Linotype" w:cs="Palatino Linotype"/>
          <w:i/>
          <w:sz w:val="22"/>
          <w:szCs w:val="22"/>
        </w:rPr>
      </w:pPr>
    </w:p>
    <w:p w:rsidR="004E489C" w:rsidRDefault="004E489C" w:rsidP="004E489C">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Los Comités de Transparencia tendrán las siguientes atribuciones:</w:t>
      </w:r>
    </w:p>
    <w:p w:rsidR="004E489C" w:rsidRDefault="004E489C" w:rsidP="004E489C">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4E489C" w:rsidRDefault="004E489C" w:rsidP="004E489C">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Confirmar, modificar o revocar las determinaciones que en materia de ampliación del plazo de respuesta, clasificación de la información y </w:t>
      </w:r>
      <w:r>
        <w:rPr>
          <w:rFonts w:ascii="Palatino Linotype" w:eastAsia="Palatino Linotype" w:hAnsi="Palatino Linotype" w:cs="Palatino Linotype"/>
          <w:i/>
          <w:sz w:val="22"/>
          <w:szCs w:val="22"/>
          <w:u w:val="single"/>
        </w:rPr>
        <w:t xml:space="preserve">declaración de inexistencia </w:t>
      </w:r>
      <w:r>
        <w:rPr>
          <w:rFonts w:ascii="Palatino Linotype" w:eastAsia="Palatino Linotype" w:hAnsi="Palatino Linotype" w:cs="Palatino Linotype"/>
          <w:i/>
          <w:sz w:val="22"/>
          <w:szCs w:val="22"/>
        </w:rPr>
        <w:t>o de incompetencia realicen los titulares de las áreas de los sujetos obligados;</w:t>
      </w:r>
    </w:p>
    <w:p w:rsidR="004E489C" w:rsidRDefault="004E489C" w:rsidP="004E489C">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4E489C" w:rsidRDefault="004E489C" w:rsidP="004E489C">
      <w:pPr>
        <w:ind w:left="567" w:right="567"/>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XIII. Dictaminar las declaratorias de inexistencia de la información que les remitan las unidades administrativas y resolver en consecuencia;</w:t>
      </w:r>
    </w:p>
    <w:p w:rsidR="004E489C" w:rsidRDefault="004E489C" w:rsidP="004E489C">
      <w:pPr>
        <w:spacing w:line="360" w:lineRule="auto"/>
        <w:jc w:val="both"/>
        <w:rPr>
          <w:rFonts w:ascii="Palatino Linotype" w:eastAsia="Palatino Linotype" w:hAnsi="Palatino Linotype" w:cs="Palatino Linotype"/>
          <w:i/>
        </w:rPr>
      </w:pPr>
    </w:p>
    <w:p w:rsidR="004E489C" w:rsidRDefault="004E489C" w:rsidP="004E489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el acuerdo de inexistencia deberá apegarse a lo dispuesto por los artículos 169 y 170, de la Ley de la materia que ordenan: </w:t>
      </w:r>
    </w:p>
    <w:p w:rsidR="004E489C" w:rsidRDefault="004E489C" w:rsidP="004E489C">
      <w:pPr>
        <w:spacing w:line="360" w:lineRule="auto"/>
        <w:jc w:val="both"/>
        <w:rPr>
          <w:rFonts w:ascii="Palatino Linotype" w:eastAsia="Palatino Linotype" w:hAnsi="Palatino Linotype" w:cs="Palatino Linotype"/>
        </w:rPr>
      </w:pPr>
    </w:p>
    <w:p w:rsidR="004E489C" w:rsidRDefault="004E489C" w:rsidP="004E489C">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169.</w:t>
      </w:r>
      <w:r>
        <w:rPr>
          <w:rFonts w:ascii="Palatino Linotype" w:eastAsia="Palatino Linotype" w:hAnsi="Palatino Linotype" w:cs="Palatino Linotype"/>
          <w:i/>
          <w:sz w:val="22"/>
          <w:szCs w:val="22"/>
        </w:rPr>
        <w:t xml:space="preserve"> Cuando la información no se encuentre en los archivos del sujeto obligado, el Comité de Transparencia:</w:t>
      </w:r>
    </w:p>
    <w:p w:rsidR="004E489C" w:rsidRDefault="004E489C" w:rsidP="004E489C">
      <w:pPr>
        <w:ind w:left="567" w:right="567"/>
        <w:jc w:val="both"/>
        <w:rPr>
          <w:rFonts w:ascii="Palatino Linotype" w:eastAsia="Palatino Linotype" w:hAnsi="Palatino Linotype" w:cs="Palatino Linotype"/>
          <w:i/>
          <w:sz w:val="22"/>
          <w:szCs w:val="22"/>
        </w:rPr>
      </w:pPr>
    </w:p>
    <w:p w:rsidR="004E489C" w:rsidRDefault="004E489C" w:rsidP="004E489C">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Analizará el caso y tomará las medidas necesarias para localizar la información;</w:t>
      </w:r>
    </w:p>
    <w:p w:rsidR="004E489C" w:rsidRDefault="004E489C" w:rsidP="004E489C">
      <w:pPr>
        <w:ind w:left="567" w:right="567"/>
        <w:jc w:val="both"/>
        <w:rPr>
          <w:rFonts w:ascii="Palatino Linotype" w:eastAsia="Palatino Linotype" w:hAnsi="Palatino Linotype" w:cs="Palatino Linotype"/>
          <w:i/>
          <w:sz w:val="22"/>
          <w:szCs w:val="22"/>
        </w:rPr>
      </w:pPr>
    </w:p>
    <w:p w:rsidR="004E489C" w:rsidRDefault="004E489C" w:rsidP="004E489C">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Expedirá una resolución que confirme la inexistencia del documento;</w:t>
      </w:r>
    </w:p>
    <w:p w:rsidR="004E489C" w:rsidRDefault="004E489C" w:rsidP="004E489C">
      <w:pPr>
        <w:ind w:left="567" w:right="567"/>
        <w:jc w:val="both"/>
        <w:rPr>
          <w:rFonts w:ascii="Palatino Linotype" w:eastAsia="Palatino Linotype" w:hAnsi="Palatino Linotype" w:cs="Palatino Linotype"/>
          <w:i/>
          <w:sz w:val="22"/>
          <w:szCs w:val="22"/>
        </w:rPr>
      </w:pPr>
    </w:p>
    <w:p w:rsidR="004E489C" w:rsidRDefault="004E489C" w:rsidP="004E489C">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4E489C" w:rsidRDefault="004E489C" w:rsidP="004E489C">
      <w:pPr>
        <w:ind w:left="567" w:right="567"/>
        <w:jc w:val="both"/>
        <w:rPr>
          <w:rFonts w:ascii="Palatino Linotype" w:eastAsia="Palatino Linotype" w:hAnsi="Palatino Linotype" w:cs="Palatino Linotype"/>
          <w:i/>
          <w:sz w:val="22"/>
          <w:szCs w:val="22"/>
        </w:rPr>
      </w:pPr>
    </w:p>
    <w:p w:rsidR="004E489C" w:rsidRDefault="004E489C" w:rsidP="004E489C">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IV. Notificará al órgano interno de control o equivalente del sujeto obligado quien, en su caso, deberá iniciar el procedimiento de responsabilidad administrativa que corresponda</w:t>
      </w:r>
      <w:r>
        <w:rPr>
          <w:rFonts w:ascii="Palatino Linotype" w:eastAsia="Palatino Linotype" w:hAnsi="Palatino Linotype" w:cs="Palatino Linotype"/>
          <w:i/>
          <w:sz w:val="22"/>
          <w:szCs w:val="22"/>
        </w:rPr>
        <w:t>.</w:t>
      </w:r>
    </w:p>
    <w:p w:rsidR="004E489C" w:rsidRDefault="004E489C" w:rsidP="004E489C">
      <w:pPr>
        <w:ind w:left="567" w:right="567"/>
        <w:jc w:val="both"/>
        <w:rPr>
          <w:rFonts w:ascii="Palatino Linotype" w:eastAsia="Palatino Linotype" w:hAnsi="Palatino Linotype" w:cs="Palatino Linotype"/>
          <w:i/>
          <w:sz w:val="22"/>
          <w:szCs w:val="22"/>
        </w:rPr>
      </w:pPr>
    </w:p>
    <w:p w:rsidR="004E489C" w:rsidRDefault="004E489C" w:rsidP="004E489C">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rsidR="004E489C" w:rsidRDefault="004E489C" w:rsidP="004E489C">
      <w:pPr>
        <w:ind w:left="567" w:right="567"/>
        <w:jc w:val="both"/>
        <w:rPr>
          <w:rFonts w:ascii="Palatino Linotype" w:eastAsia="Palatino Linotype" w:hAnsi="Palatino Linotype" w:cs="Palatino Linotype"/>
          <w:i/>
          <w:sz w:val="22"/>
          <w:szCs w:val="22"/>
        </w:rPr>
      </w:pPr>
    </w:p>
    <w:p w:rsidR="004E489C" w:rsidRDefault="004E489C" w:rsidP="004E489C">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rsidR="004E489C" w:rsidRDefault="004E489C" w:rsidP="004E489C">
      <w:pPr>
        <w:ind w:left="567" w:right="567"/>
        <w:jc w:val="both"/>
        <w:rPr>
          <w:rFonts w:ascii="Palatino Linotype" w:eastAsia="Palatino Linotype" w:hAnsi="Palatino Linotype" w:cs="Palatino Linotype"/>
          <w:i/>
          <w:sz w:val="22"/>
          <w:szCs w:val="22"/>
        </w:rPr>
      </w:pPr>
    </w:p>
    <w:p w:rsidR="004E489C" w:rsidRDefault="004E489C" w:rsidP="004E489C">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170.</w:t>
      </w:r>
      <w:r>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rsidR="004E489C" w:rsidRDefault="004E489C" w:rsidP="004E489C">
      <w:pPr>
        <w:ind w:left="567" w:right="567"/>
        <w:jc w:val="both"/>
        <w:rPr>
          <w:rFonts w:ascii="Palatino Linotype" w:eastAsia="Palatino Linotype" w:hAnsi="Palatino Linotype" w:cs="Palatino Linotype"/>
        </w:rPr>
      </w:pPr>
    </w:p>
    <w:p w:rsidR="004E489C" w:rsidRDefault="004E489C" w:rsidP="004E489C">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rsidR="004E489C" w:rsidRDefault="004E489C" w:rsidP="004E489C">
      <w:pPr>
        <w:spacing w:line="360" w:lineRule="auto"/>
        <w:jc w:val="both"/>
        <w:rPr>
          <w:rFonts w:ascii="Palatino Linotype" w:eastAsia="Palatino Linotype" w:hAnsi="Palatino Linotype" w:cs="Palatino Linotype"/>
        </w:rPr>
      </w:pPr>
    </w:p>
    <w:p w:rsidR="004E489C" w:rsidRDefault="004E489C" w:rsidP="004E489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de conformidad con los </w:t>
      </w:r>
      <w:r>
        <w:rPr>
          <w:rFonts w:ascii="Palatino Linotype" w:eastAsia="Palatino Linotype" w:hAnsi="Palatino Linotype" w:cs="Palatino Linotype"/>
          <w:b/>
        </w:rPr>
        <w:t>criterios 12/10 y 04/19</w:t>
      </w:r>
      <w:r>
        <w:rPr>
          <w:rFonts w:ascii="Palatino Linotype" w:eastAsia="Palatino Linotype" w:hAnsi="Palatino Linotype" w:cs="Palatino Linotype"/>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rsidR="004E489C" w:rsidRDefault="004E489C" w:rsidP="004E489C">
      <w:pPr>
        <w:numPr>
          <w:ilvl w:val="0"/>
          <w:numId w:val="24"/>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Motivación por las que se buscó la información, en determinadas unidades administrativas;</w:t>
      </w:r>
    </w:p>
    <w:p w:rsidR="004E489C" w:rsidRDefault="004E489C" w:rsidP="004E489C">
      <w:pPr>
        <w:numPr>
          <w:ilvl w:val="0"/>
          <w:numId w:val="24"/>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Los criterios de búsqueda utilizados, y</w:t>
      </w:r>
    </w:p>
    <w:p w:rsidR="004E489C" w:rsidRDefault="004E489C" w:rsidP="004E489C">
      <w:pPr>
        <w:numPr>
          <w:ilvl w:val="0"/>
          <w:numId w:val="24"/>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Las circunstancias que fueron tomadas en cuenta.</w:t>
      </w:r>
    </w:p>
    <w:p w:rsidR="004E489C" w:rsidRDefault="004E489C" w:rsidP="004E489C">
      <w:pPr>
        <w:pBdr>
          <w:top w:val="nil"/>
          <w:left w:val="nil"/>
          <w:bottom w:val="nil"/>
          <w:right w:val="nil"/>
          <w:between w:val="nil"/>
        </w:pBdr>
        <w:rPr>
          <w:color w:val="000000"/>
        </w:rPr>
      </w:pPr>
    </w:p>
    <w:p w:rsidR="004E489C" w:rsidRDefault="004E489C" w:rsidP="004E489C">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De tales circunstancias, se considera que para que los Sujetos Obligados justifiquen que realizaron una búsqueda exhaustiva y razonable, deben indicar de manera clara, lo siguiente:</w:t>
      </w:r>
    </w:p>
    <w:p w:rsidR="004E489C" w:rsidRDefault="004E489C" w:rsidP="004E489C">
      <w:pPr>
        <w:numPr>
          <w:ilvl w:val="0"/>
          <w:numId w:val="23"/>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Las áreas donde se buscó la información;</w:t>
      </w:r>
    </w:p>
    <w:p w:rsidR="004E489C" w:rsidRDefault="004E489C" w:rsidP="004E489C">
      <w:pPr>
        <w:numPr>
          <w:ilvl w:val="0"/>
          <w:numId w:val="23"/>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Tipo de archivos buscados (físicos o electrónicos);</w:t>
      </w:r>
    </w:p>
    <w:p w:rsidR="004E489C" w:rsidRDefault="004E489C" w:rsidP="004E489C">
      <w:pPr>
        <w:numPr>
          <w:ilvl w:val="0"/>
          <w:numId w:val="23"/>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Los criterios de búsqueda utilizados, y </w:t>
      </w:r>
    </w:p>
    <w:p w:rsidR="004E489C" w:rsidRDefault="004E489C" w:rsidP="004E489C">
      <w:pPr>
        <w:numPr>
          <w:ilvl w:val="0"/>
          <w:numId w:val="23"/>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Las circunstancias que fueron tomadas en cuenta.</w:t>
      </w:r>
    </w:p>
    <w:p w:rsidR="008A07FC" w:rsidRPr="008A07FC" w:rsidRDefault="004E489C" w:rsidP="008A07FC">
      <w:pPr>
        <w:spacing w:before="240" w:after="240" w:line="360" w:lineRule="auto"/>
        <w:ind w:right="51"/>
        <w:jc w:val="both"/>
        <w:rPr>
          <w:rFonts w:ascii="Palatino Linotype" w:eastAsia="Palatino Linotype" w:hAnsi="Palatino Linotype" w:cs="Palatino Linotype"/>
          <w:color w:val="000000"/>
        </w:rPr>
      </w:pPr>
      <w:r w:rsidRPr="004E489C">
        <w:rPr>
          <w:rFonts w:ascii="Palatino Linotype" w:eastAsia="Palatino Linotype" w:hAnsi="Palatino Linotype" w:cs="Palatino Linotype"/>
          <w:color w:val="000000"/>
        </w:rPr>
        <w:t xml:space="preserve">Es </w:t>
      </w:r>
      <w:r>
        <w:rPr>
          <w:rFonts w:ascii="Palatino Linotype" w:eastAsia="Palatino Linotype" w:hAnsi="Palatino Linotype" w:cs="Palatino Linotype"/>
          <w:color w:val="000000"/>
        </w:rPr>
        <w:t xml:space="preserve">por </w:t>
      </w:r>
      <w:r w:rsidRPr="004E489C">
        <w:rPr>
          <w:rFonts w:ascii="Palatino Linotype" w:eastAsia="Palatino Linotype" w:hAnsi="Palatino Linotype" w:cs="Palatino Linotype"/>
          <w:color w:val="000000"/>
        </w:rPr>
        <w:t>todo lo anteriormente expuesto, que este Órgano Garante considera que el derecho de acceso a la información solamente puede tenerse por satisfecho en el momento en que el particular tenga en su poder l</w:t>
      </w:r>
      <w:r w:rsidR="001E0429">
        <w:rPr>
          <w:rFonts w:ascii="Palatino Linotype" w:eastAsia="Palatino Linotype" w:hAnsi="Palatino Linotype" w:cs="Palatino Linotype"/>
          <w:color w:val="000000"/>
        </w:rPr>
        <w:t xml:space="preserve">os soportes documentales </w:t>
      </w:r>
      <w:r w:rsidR="001E0429" w:rsidRPr="001E0429">
        <w:rPr>
          <w:rFonts w:ascii="Palatino Linotype" w:eastAsia="Palatino Linotype" w:hAnsi="Palatino Linotype" w:cs="Palatino Linotype"/>
          <w:color w:val="000000"/>
        </w:rPr>
        <w:t>generados por la realización de las obras públicas</w:t>
      </w:r>
      <w:r w:rsidR="001E0429">
        <w:rPr>
          <w:rFonts w:ascii="Palatino Linotype" w:eastAsia="Palatino Linotype" w:hAnsi="Palatino Linotype" w:cs="Palatino Linotype"/>
          <w:color w:val="000000"/>
        </w:rPr>
        <w:t xml:space="preserve"> de los años 2018, 2019, 2020 y del 1 de enero al 3 de noviembre de 2021, </w:t>
      </w:r>
      <w:r w:rsidRPr="004E489C">
        <w:rPr>
          <w:rFonts w:ascii="Palatino Linotype" w:eastAsia="Palatino Linotype" w:hAnsi="Palatino Linotype" w:cs="Palatino Linotype"/>
          <w:color w:val="000000"/>
        </w:rPr>
        <w:t>esta última por ser la fecha de presentación de la solicitud, por ello se determina ordenar al Sujeto Obligado, la entrega de la información al Recurrente, de ser procedente en versión pública, tal como se detallará en el considerando siguiente.</w:t>
      </w:r>
    </w:p>
    <w:p w:rsidR="00B343F1" w:rsidRPr="00B343F1" w:rsidRDefault="00B343F1" w:rsidP="00B343F1">
      <w:pPr>
        <w:spacing w:before="240" w:after="240" w:line="360" w:lineRule="auto"/>
        <w:ind w:right="49"/>
        <w:jc w:val="both"/>
        <w:rPr>
          <w:rFonts w:ascii="Palatino Linotype" w:eastAsia="Palatino Linotype" w:hAnsi="Palatino Linotype" w:cs="Palatino Linotype"/>
        </w:rPr>
      </w:pPr>
      <w:r w:rsidRPr="00B343F1">
        <w:rPr>
          <w:rFonts w:ascii="Palatino Linotype" w:eastAsia="Palatino Linotype" w:hAnsi="Palatino Linotype" w:cs="Palatino Linotype"/>
          <w:b/>
        </w:rPr>
        <w:t xml:space="preserve">Quinto. Versión Pública. </w:t>
      </w:r>
      <w:r w:rsidRPr="00B343F1">
        <w:rPr>
          <w:rFonts w:ascii="Palatino Linotype" w:eastAsia="Palatino Linotype" w:hAnsi="Palatino Linotype" w:cs="Palatino Linotype"/>
        </w:rPr>
        <w:t xml:space="preserve">Finalmente para la entrega de los soportes documentales que en todo caso deberá proporcionar el sujeto obligado para dar satisfacción de la derecho humano de acceso a la información de la particular,  deberá considerar que </w:t>
      </w:r>
      <w:r w:rsidRPr="00B343F1">
        <w:rPr>
          <w:rFonts w:ascii="Palatino Linotype" w:eastAsia="Palatino Linotype" w:hAnsi="Palatino Linotype" w:cs="Palatino Linotype"/>
        </w:rPr>
        <w:lastRenderedPageBreak/>
        <w:t>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B343F1" w:rsidRPr="00B343F1" w:rsidRDefault="00B343F1" w:rsidP="00B343F1">
      <w:pPr>
        <w:spacing w:before="240" w:after="240" w:line="360" w:lineRule="auto"/>
        <w:ind w:right="50"/>
        <w:jc w:val="both"/>
        <w:rPr>
          <w:rFonts w:ascii="Palatino Linotype" w:eastAsia="Palatino Linotype" w:hAnsi="Palatino Linotype" w:cs="Palatino Linotype"/>
        </w:rPr>
      </w:pPr>
      <w:r w:rsidRPr="00B343F1">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rsidR="00B343F1" w:rsidRPr="00B343F1" w:rsidRDefault="00B343F1" w:rsidP="00B343F1">
      <w:pPr>
        <w:spacing w:before="120" w:after="120"/>
        <w:ind w:left="851" w:right="902"/>
        <w:jc w:val="both"/>
        <w:rPr>
          <w:rFonts w:ascii="Palatino Linotype" w:eastAsia="Palatino Linotype" w:hAnsi="Palatino Linotype" w:cs="Palatino Linotype"/>
          <w:i/>
          <w:sz w:val="22"/>
          <w:szCs w:val="22"/>
        </w:rPr>
      </w:pPr>
      <w:r w:rsidRPr="00B343F1">
        <w:rPr>
          <w:rFonts w:ascii="Palatino Linotype" w:eastAsia="Palatino Linotype" w:hAnsi="Palatino Linotype" w:cs="Palatino Linotype"/>
          <w:i/>
          <w:sz w:val="22"/>
          <w:szCs w:val="22"/>
        </w:rPr>
        <w:t>“</w:t>
      </w:r>
      <w:r w:rsidRPr="00B343F1">
        <w:rPr>
          <w:rFonts w:ascii="Palatino Linotype" w:eastAsia="Palatino Linotype" w:hAnsi="Palatino Linotype" w:cs="Palatino Linotype"/>
          <w:b/>
          <w:i/>
          <w:sz w:val="22"/>
          <w:szCs w:val="22"/>
        </w:rPr>
        <w:t>Artículo 3</w:t>
      </w:r>
      <w:r w:rsidRPr="00B343F1">
        <w:rPr>
          <w:rFonts w:ascii="Palatino Linotype" w:eastAsia="Palatino Linotype" w:hAnsi="Palatino Linotype" w:cs="Palatino Linotype"/>
          <w:i/>
          <w:sz w:val="22"/>
          <w:szCs w:val="22"/>
        </w:rPr>
        <w:t>. Para los efectos de la presente Ley se entenderá por:</w:t>
      </w:r>
    </w:p>
    <w:p w:rsidR="00B343F1" w:rsidRPr="00B343F1" w:rsidRDefault="00B343F1" w:rsidP="00B343F1">
      <w:pPr>
        <w:spacing w:before="120" w:after="120"/>
        <w:ind w:left="993" w:right="902"/>
        <w:jc w:val="both"/>
        <w:rPr>
          <w:rFonts w:ascii="Palatino Linotype" w:eastAsia="Palatino Linotype" w:hAnsi="Palatino Linotype" w:cs="Palatino Linotype"/>
          <w:i/>
          <w:sz w:val="22"/>
          <w:szCs w:val="22"/>
        </w:rPr>
      </w:pPr>
      <w:r w:rsidRPr="00B343F1">
        <w:rPr>
          <w:rFonts w:ascii="Palatino Linotype" w:eastAsia="Palatino Linotype" w:hAnsi="Palatino Linotype" w:cs="Palatino Linotype"/>
          <w:i/>
          <w:sz w:val="22"/>
          <w:szCs w:val="22"/>
        </w:rPr>
        <w:t>[…]</w:t>
      </w:r>
    </w:p>
    <w:p w:rsidR="00B343F1" w:rsidRPr="00B343F1" w:rsidRDefault="00B343F1" w:rsidP="00B343F1">
      <w:pPr>
        <w:spacing w:before="120" w:after="120"/>
        <w:ind w:left="993" w:right="902"/>
        <w:jc w:val="both"/>
        <w:rPr>
          <w:rFonts w:ascii="Palatino Linotype" w:eastAsia="Palatino Linotype" w:hAnsi="Palatino Linotype" w:cs="Palatino Linotype"/>
          <w:i/>
          <w:sz w:val="22"/>
          <w:szCs w:val="22"/>
        </w:rPr>
      </w:pPr>
      <w:r w:rsidRPr="00B343F1">
        <w:rPr>
          <w:rFonts w:ascii="Palatino Linotype" w:eastAsia="Palatino Linotype" w:hAnsi="Palatino Linotype" w:cs="Palatino Linotype"/>
          <w:b/>
          <w:i/>
          <w:sz w:val="22"/>
          <w:szCs w:val="22"/>
        </w:rPr>
        <w:t>IX. Datos personales:</w:t>
      </w:r>
      <w:r w:rsidRPr="00B343F1">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B343F1" w:rsidRPr="00B343F1" w:rsidRDefault="00B343F1" w:rsidP="00B343F1">
      <w:pPr>
        <w:spacing w:before="120" w:after="120"/>
        <w:ind w:left="993" w:right="902"/>
        <w:jc w:val="both"/>
        <w:rPr>
          <w:rFonts w:ascii="Palatino Linotype" w:eastAsia="Palatino Linotype" w:hAnsi="Palatino Linotype" w:cs="Palatino Linotype"/>
          <w:i/>
          <w:sz w:val="22"/>
          <w:szCs w:val="22"/>
        </w:rPr>
      </w:pPr>
      <w:r w:rsidRPr="00B343F1">
        <w:rPr>
          <w:rFonts w:ascii="Palatino Linotype" w:eastAsia="Palatino Linotype" w:hAnsi="Palatino Linotype" w:cs="Palatino Linotype"/>
          <w:b/>
          <w:i/>
          <w:sz w:val="22"/>
          <w:szCs w:val="22"/>
        </w:rPr>
        <w:t>XX. Información clasificada</w:t>
      </w:r>
      <w:r w:rsidRPr="00B343F1">
        <w:rPr>
          <w:rFonts w:ascii="Palatino Linotype" w:eastAsia="Palatino Linotype" w:hAnsi="Palatino Linotype" w:cs="Palatino Linotype"/>
          <w:i/>
          <w:sz w:val="22"/>
          <w:szCs w:val="22"/>
        </w:rPr>
        <w:t>: Aquella considerada por la presente Ley como reservada o confidencial;</w:t>
      </w:r>
    </w:p>
    <w:p w:rsidR="00B343F1" w:rsidRPr="00B343F1" w:rsidRDefault="00B343F1" w:rsidP="00B343F1">
      <w:pPr>
        <w:spacing w:before="120" w:after="120"/>
        <w:ind w:left="993" w:right="902"/>
        <w:jc w:val="both"/>
        <w:rPr>
          <w:rFonts w:ascii="Palatino Linotype" w:eastAsia="Palatino Linotype" w:hAnsi="Palatino Linotype" w:cs="Palatino Linotype"/>
          <w:i/>
          <w:sz w:val="22"/>
          <w:szCs w:val="22"/>
        </w:rPr>
      </w:pPr>
      <w:r w:rsidRPr="00B343F1">
        <w:rPr>
          <w:rFonts w:ascii="Palatino Linotype" w:eastAsia="Palatino Linotype" w:hAnsi="Palatino Linotype" w:cs="Palatino Linotype"/>
          <w:b/>
          <w:i/>
          <w:sz w:val="22"/>
          <w:szCs w:val="22"/>
        </w:rPr>
        <w:t>XXI. Información confidencial:</w:t>
      </w:r>
      <w:r w:rsidRPr="00B343F1">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B343F1" w:rsidRPr="00B343F1" w:rsidRDefault="00B343F1" w:rsidP="00B343F1">
      <w:pPr>
        <w:spacing w:before="120" w:after="120"/>
        <w:ind w:left="993" w:right="902"/>
        <w:jc w:val="both"/>
        <w:rPr>
          <w:rFonts w:ascii="Palatino Linotype" w:eastAsia="Palatino Linotype" w:hAnsi="Palatino Linotype" w:cs="Palatino Linotype"/>
          <w:i/>
          <w:sz w:val="22"/>
          <w:szCs w:val="22"/>
        </w:rPr>
      </w:pPr>
      <w:r w:rsidRPr="00B343F1">
        <w:rPr>
          <w:rFonts w:ascii="Palatino Linotype" w:eastAsia="Palatino Linotype" w:hAnsi="Palatino Linotype" w:cs="Palatino Linotype"/>
          <w:b/>
          <w:i/>
          <w:sz w:val="22"/>
          <w:szCs w:val="22"/>
        </w:rPr>
        <w:t>XLV. Versión pública:</w:t>
      </w:r>
      <w:r w:rsidRPr="00B343F1">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B343F1" w:rsidRPr="00B343F1" w:rsidRDefault="00B343F1" w:rsidP="00B343F1">
      <w:pPr>
        <w:spacing w:before="120" w:after="120"/>
        <w:ind w:left="993" w:right="902"/>
        <w:jc w:val="both"/>
        <w:rPr>
          <w:rFonts w:ascii="Palatino Linotype" w:eastAsia="Palatino Linotype" w:hAnsi="Palatino Linotype" w:cs="Palatino Linotype"/>
          <w:i/>
          <w:sz w:val="22"/>
          <w:szCs w:val="22"/>
        </w:rPr>
      </w:pPr>
      <w:r w:rsidRPr="00B343F1">
        <w:rPr>
          <w:rFonts w:ascii="Palatino Linotype" w:eastAsia="Palatino Linotype" w:hAnsi="Palatino Linotype" w:cs="Palatino Linotype"/>
          <w:i/>
          <w:sz w:val="22"/>
          <w:szCs w:val="22"/>
        </w:rPr>
        <w:t>[…]</w:t>
      </w:r>
    </w:p>
    <w:p w:rsidR="00B343F1" w:rsidRPr="00B343F1" w:rsidRDefault="00B343F1" w:rsidP="00B343F1">
      <w:pPr>
        <w:spacing w:before="120" w:after="120"/>
        <w:ind w:left="851" w:right="902"/>
        <w:jc w:val="both"/>
        <w:rPr>
          <w:rFonts w:ascii="Palatino Linotype" w:eastAsia="Palatino Linotype" w:hAnsi="Palatino Linotype" w:cs="Palatino Linotype"/>
          <w:i/>
          <w:sz w:val="22"/>
          <w:szCs w:val="22"/>
        </w:rPr>
      </w:pPr>
      <w:r w:rsidRPr="00B343F1">
        <w:rPr>
          <w:rFonts w:ascii="Palatino Linotype" w:eastAsia="Palatino Linotype" w:hAnsi="Palatino Linotype" w:cs="Palatino Linotype"/>
          <w:b/>
          <w:i/>
          <w:sz w:val="22"/>
          <w:szCs w:val="22"/>
        </w:rPr>
        <w:t xml:space="preserve">Artículo 91. </w:t>
      </w:r>
      <w:r w:rsidRPr="00B343F1">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B343F1" w:rsidRPr="00B343F1" w:rsidRDefault="00B343F1" w:rsidP="00B343F1">
      <w:pPr>
        <w:spacing w:before="120" w:after="120"/>
        <w:ind w:left="851" w:right="902"/>
        <w:jc w:val="both"/>
        <w:rPr>
          <w:rFonts w:ascii="Palatino Linotype" w:eastAsia="Palatino Linotype" w:hAnsi="Palatino Linotype" w:cs="Palatino Linotype"/>
          <w:i/>
          <w:sz w:val="22"/>
          <w:szCs w:val="22"/>
        </w:rPr>
      </w:pPr>
      <w:r w:rsidRPr="00B343F1">
        <w:rPr>
          <w:rFonts w:ascii="Palatino Linotype" w:eastAsia="Palatino Linotype" w:hAnsi="Palatino Linotype" w:cs="Palatino Linotype"/>
          <w:b/>
          <w:i/>
          <w:sz w:val="22"/>
          <w:szCs w:val="22"/>
        </w:rPr>
        <w:lastRenderedPageBreak/>
        <w:t xml:space="preserve">Artículo 132. </w:t>
      </w:r>
      <w:r w:rsidRPr="00B343F1">
        <w:rPr>
          <w:rFonts w:ascii="Palatino Linotype" w:eastAsia="Palatino Linotype" w:hAnsi="Palatino Linotype" w:cs="Palatino Linotype"/>
          <w:i/>
          <w:sz w:val="22"/>
          <w:szCs w:val="22"/>
        </w:rPr>
        <w:t>La clasificación de la información se llevará a cabo en el momento en que:</w:t>
      </w:r>
    </w:p>
    <w:p w:rsidR="00B343F1" w:rsidRPr="00B343F1" w:rsidRDefault="00B343F1" w:rsidP="00B343F1">
      <w:pPr>
        <w:spacing w:before="120" w:after="120"/>
        <w:ind w:left="993" w:right="902"/>
        <w:jc w:val="both"/>
        <w:rPr>
          <w:rFonts w:ascii="Palatino Linotype" w:eastAsia="Palatino Linotype" w:hAnsi="Palatino Linotype" w:cs="Palatino Linotype"/>
          <w:i/>
          <w:sz w:val="22"/>
          <w:szCs w:val="22"/>
        </w:rPr>
      </w:pPr>
      <w:r w:rsidRPr="00B343F1">
        <w:rPr>
          <w:rFonts w:ascii="Palatino Linotype" w:eastAsia="Palatino Linotype" w:hAnsi="Palatino Linotype" w:cs="Palatino Linotype"/>
          <w:b/>
          <w:i/>
          <w:sz w:val="22"/>
          <w:szCs w:val="22"/>
        </w:rPr>
        <w:t>I</w:t>
      </w:r>
      <w:r w:rsidRPr="00B343F1">
        <w:rPr>
          <w:rFonts w:ascii="Palatino Linotype" w:eastAsia="Palatino Linotype" w:hAnsi="Palatino Linotype" w:cs="Palatino Linotype"/>
          <w:i/>
          <w:sz w:val="22"/>
          <w:szCs w:val="22"/>
        </w:rPr>
        <w:t>. Se reciba una solicitud de acceso a la información;</w:t>
      </w:r>
    </w:p>
    <w:p w:rsidR="00B343F1" w:rsidRPr="00B343F1" w:rsidRDefault="00B343F1" w:rsidP="00B343F1">
      <w:pPr>
        <w:spacing w:before="120" w:after="120"/>
        <w:ind w:left="993" w:right="902"/>
        <w:jc w:val="both"/>
        <w:rPr>
          <w:rFonts w:ascii="Palatino Linotype" w:eastAsia="Palatino Linotype" w:hAnsi="Palatino Linotype" w:cs="Palatino Linotype"/>
          <w:i/>
          <w:sz w:val="22"/>
          <w:szCs w:val="22"/>
        </w:rPr>
      </w:pPr>
      <w:r w:rsidRPr="00B343F1">
        <w:rPr>
          <w:rFonts w:ascii="Palatino Linotype" w:eastAsia="Palatino Linotype" w:hAnsi="Palatino Linotype" w:cs="Palatino Linotype"/>
          <w:b/>
          <w:i/>
          <w:sz w:val="22"/>
          <w:szCs w:val="22"/>
        </w:rPr>
        <w:t>II</w:t>
      </w:r>
      <w:r w:rsidRPr="00B343F1">
        <w:rPr>
          <w:rFonts w:ascii="Palatino Linotype" w:eastAsia="Palatino Linotype" w:hAnsi="Palatino Linotype" w:cs="Palatino Linotype"/>
          <w:i/>
          <w:sz w:val="22"/>
          <w:szCs w:val="22"/>
        </w:rPr>
        <w:t>. Se determine mediante resolución de autoridad competente; o</w:t>
      </w:r>
    </w:p>
    <w:p w:rsidR="00B343F1" w:rsidRPr="00B343F1" w:rsidRDefault="00B343F1" w:rsidP="00B343F1">
      <w:pPr>
        <w:spacing w:before="120" w:after="120"/>
        <w:ind w:left="993" w:right="902"/>
        <w:jc w:val="both"/>
        <w:rPr>
          <w:rFonts w:ascii="Palatino Linotype" w:eastAsia="Palatino Linotype" w:hAnsi="Palatino Linotype" w:cs="Palatino Linotype"/>
          <w:i/>
          <w:sz w:val="22"/>
          <w:szCs w:val="22"/>
        </w:rPr>
      </w:pPr>
      <w:r w:rsidRPr="00B343F1">
        <w:rPr>
          <w:rFonts w:ascii="Palatino Linotype" w:eastAsia="Palatino Linotype" w:hAnsi="Palatino Linotype" w:cs="Palatino Linotype"/>
          <w:b/>
          <w:i/>
          <w:sz w:val="22"/>
          <w:szCs w:val="22"/>
        </w:rPr>
        <w:t>III</w:t>
      </w:r>
      <w:r w:rsidRPr="00B343F1">
        <w:rPr>
          <w:rFonts w:ascii="Palatino Linotype" w:eastAsia="Palatino Linotype" w:hAnsi="Palatino Linotype" w:cs="Palatino Linotype"/>
          <w:i/>
          <w:sz w:val="22"/>
          <w:szCs w:val="22"/>
        </w:rPr>
        <w:t>. Se generen versiones públicas para dar cumplimiento a las obligaciones de transparencia previstas en esta Ley.</w:t>
      </w:r>
    </w:p>
    <w:p w:rsidR="00B343F1" w:rsidRPr="00B343F1" w:rsidRDefault="00B343F1" w:rsidP="00B343F1">
      <w:pPr>
        <w:spacing w:before="120" w:after="120"/>
        <w:ind w:left="851" w:right="902"/>
        <w:jc w:val="both"/>
        <w:rPr>
          <w:rFonts w:ascii="Palatino Linotype" w:eastAsia="Palatino Linotype" w:hAnsi="Palatino Linotype" w:cs="Palatino Linotype"/>
          <w:i/>
          <w:sz w:val="22"/>
          <w:szCs w:val="22"/>
        </w:rPr>
      </w:pPr>
      <w:r w:rsidRPr="00B343F1">
        <w:rPr>
          <w:rFonts w:ascii="Palatino Linotype" w:eastAsia="Palatino Linotype" w:hAnsi="Palatino Linotype" w:cs="Palatino Linotype"/>
          <w:i/>
          <w:sz w:val="22"/>
          <w:szCs w:val="22"/>
        </w:rPr>
        <w:t>[…]</w:t>
      </w:r>
    </w:p>
    <w:p w:rsidR="00B343F1" w:rsidRPr="00B343F1" w:rsidRDefault="00B343F1" w:rsidP="00B343F1">
      <w:pPr>
        <w:spacing w:before="120" w:after="120"/>
        <w:ind w:left="851" w:right="902"/>
        <w:jc w:val="both"/>
        <w:rPr>
          <w:rFonts w:ascii="Palatino Linotype" w:eastAsia="Palatino Linotype" w:hAnsi="Palatino Linotype" w:cs="Palatino Linotype"/>
          <w:i/>
          <w:sz w:val="22"/>
          <w:szCs w:val="22"/>
        </w:rPr>
      </w:pPr>
      <w:r w:rsidRPr="00B343F1">
        <w:rPr>
          <w:rFonts w:ascii="Palatino Linotype" w:eastAsia="Palatino Linotype" w:hAnsi="Palatino Linotype" w:cs="Palatino Linotype"/>
          <w:b/>
          <w:i/>
          <w:sz w:val="22"/>
          <w:szCs w:val="22"/>
        </w:rPr>
        <w:t>Artículo 143</w:t>
      </w:r>
      <w:r w:rsidRPr="00B343F1">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B343F1" w:rsidRPr="00B343F1" w:rsidRDefault="00B343F1" w:rsidP="00B343F1">
      <w:pPr>
        <w:spacing w:before="120" w:after="120"/>
        <w:ind w:left="993" w:right="902"/>
        <w:jc w:val="both"/>
        <w:rPr>
          <w:rFonts w:ascii="Palatino Linotype" w:eastAsia="Palatino Linotype" w:hAnsi="Palatino Linotype" w:cs="Palatino Linotype"/>
          <w:i/>
          <w:sz w:val="22"/>
          <w:szCs w:val="22"/>
        </w:rPr>
      </w:pPr>
      <w:r w:rsidRPr="00B343F1">
        <w:rPr>
          <w:rFonts w:ascii="Palatino Linotype" w:eastAsia="Palatino Linotype" w:hAnsi="Palatino Linotype" w:cs="Palatino Linotype"/>
          <w:b/>
          <w:i/>
          <w:sz w:val="22"/>
          <w:szCs w:val="22"/>
        </w:rPr>
        <w:t>I.</w:t>
      </w:r>
      <w:r w:rsidRPr="00B343F1">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rsidR="00B343F1" w:rsidRPr="00B343F1" w:rsidRDefault="00B343F1" w:rsidP="00B343F1">
      <w:pPr>
        <w:spacing w:before="120" w:after="120"/>
        <w:ind w:left="993" w:right="902"/>
        <w:jc w:val="both"/>
        <w:rPr>
          <w:rFonts w:ascii="Palatino Linotype" w:eastAsia="Palatino Linotype" w:hAnsi="Palatino Linotype" w:cs="Palatino Linotype"/>
          <w:i/>
          <w:sz w:val="22"/>
          <w:szCs w:val="22"/>
        </w:rPr>
      </w:pPr>
      <w:r w:rsidRPr="00B343F1">
        <w:rPr>
          <w:rFonts w:ascii="Palatino Linotype" w:eastAsia="Palatino Linotype" w:hAnsi="Palatino Linotype" w:cs="Palatino Linotype"/>
          <w:b/>
          <w:i/>
          <w:sz w:val="22"/>
          <w:szCs w:val="22"/>
        </w:rPr>
        <w:t>II.</w:t>
      </w:r>
      <w:r w:rsidRPr="00B343F1">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B343F1" w:rsidRPr="00B343F1" w:rsidRDefault="00B343F1" w:rsidP="00B343F1">
      <w:pPr>
        <w:spacing w:before="120" w:after="120"/>
        <w:ind w:left="993" w:right="902"/>
        <w:jc w:val="both"/>
        <w:rPr>
          <w:rFonts w:ascii="Palatino Linotype" w:eastAsia="Palatino Linotype" w:hAnsi="Palatino Linotype" w:cs="Palatino Linotype"/>
          <w:i/>
          <w:sz w:val="22"/>
          <w:szCs w:val="22"/>
        </w:rPr>
      </w:pPr>
      <w:r w:rsidRPr="00B343F1">
        <w:rPr>
          <w:rFonts w:ascii="Palatino Linotype" w:eastAsia="Palatino Linotype" w:hAnsi="Palatino Linotype" w:cs="Palatino Linotype"/>
          <w:b/>
          <w:i/>
          <w:sz w:val="22"/>
          <w:szCs w:val="22"/>
        </w:rPr>
        <w:t>III</w:t>
      </w:r>
      <w:r w:rsidRPr="00B343F1">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B343F1" w:rsidRPr="00B343F1" w:rsidRDefault="00B343F1" w:rsidP="00B343F1">
      <w:pPr>
        <w:spacing w:before="120" w:after="120"/>
        <w:ind w:left="851" w:right="902"/>
        <w:jc w:val="both"/>
        <w:rPr>
          <w:rFonts w:ascii="Palatino Linotype" w:eastAsia="Palatino Linotype" w:hAnsi="Palatino Linotype" w:cs="Palatino Linotype"/>
          <w:i/>
          <w:sz w:val="22"/>
          <w:szCs w:val="22"/>
        </w:rPr>
      </w:pPr>
      <w:r w:rsidRPr="00B343F1">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B343F1" w:rsidRPr="00B343F1" w:rsidRDefault="00B343F1" w:rsidP="00B343F1">
      <w:pPr>
        <w:spacing w:before="120" w:after="120"/>
        <w:ind w:left="851" w:right="902"/>
        <w:jc w:val="both"/>
        <w:rPr>
          <w:rFonts w:ascii="Palatino Linotype" w:eastAsia="Palatino Linotype" w:hAnsi="Palatino Linotype" w:cs="Palatino Linotype"/>
          <w:i/>
          <w:sz w:val="22"/>
          <w:szCs w:val="22"/>
        </w:rPr>
      </w:pPr>
      <w:r w:rsidRPr="00B343F1">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B343F1" w:rsidRPr="00B343F1" w:rsidRDefault="00B343F1" w:rsidP="00B343F1">
      <w:pPr>
        <w:spacing w:before="240" w:after="240" w:line="360" w:lineRule="auto"/>
        <w:jc w:val="both"/>
        <w:rPr>
          <w:rFonts w:ascii="Palatino Linotype" w:eastAsia="Palatino Linotype" w:hAnsi="Palatino Linotype" w:cs="Palatino Linotype"/>
        </w:rPr>
      </w:pPr>
      <w:r w:rsidRPr="00B343F1">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w:t>
      </w:r>
      <w:r w:rsidRPr="00B343F1">
        <w:rPr>
          <w:rFonts w:ascii="Palatino Linotype" w:eastAsia="Palatino Linotype" w:hAnsi="Palatino Linotype" w:cs="Palatino Linotype"/>
        </w:rPr>
        <w:lastRenderedPageBreak/>
        <w:t>como reservada o confidencial la información que posean, desclasificarán y generarán, en su caso, versiones públicas de expedientes o documentos que contengan partes o secciones clasificadas.</w:t>
      </w:r>
    </w:p>
    <w:p w:rsidR="00B343F1" w:rsidRPr="00B343F1" w:rsidRDefault="00B343F1" w:rsidP="00B343F1">
      <w:pPr>
        <w:spacing w:before="240" w:after="240" w:line="360" w:lineRule="auto"/>
        <w:jc w:val="both"/>
        <w:rPr>
          <w:rFonts w:ascii="Palatino Linotype" w:eastAsia="Palatino Linotype" w:hAnsi="Palatino Linotype" w:cs="Palatino Linotype"/>
        </w:rPr>
      </w:pPr>
      <w:r w:rsidRPr="00B343F1">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B343F1" w:rsidRPr="00B343F1" w:rsidRDefault="00B343F1" w:rsidP="00B343F1">
      <w:pPr>
        <w:spacing w:before="120" w:after="120"/>
        <w:ind w:left="851" w:right="902"/>
        <w:jc w:val="both"/>
        <w:rPr>
          <w:rFonts w:ascii="Palatino Linotype" w:eastAsia="Palatino Linotype" w:hAnsi="Palatino Linotype" w:cs="Palatino Linotype"/>
          <w:i/>
          <w:sz w:val="22"/>
          <w:szCs w:val="22"/>
        </w:rPr>
      </w:pPr>
      <w:r w:rsidRPr="00B343F1">
        <w:rPr>
          <w:rFonts w:ascii="Palatino Linotype" w:eastAsia="Palatino Linotype" w:hAnsi="Palatino Linotype" w:cs="Palatino Linotype"/>
          <w:i/>
          <w:sz w:val="22"/>
          <w:szCs w:val="22"/>
        </w:rPr>
        <w:t>“</w:t>
      </w:r>
      <w:r w:rsidRPr="00B343F1">
        <w:rPr>
          <w:rFonts w:ascii="Palatino Linotype" w:eastAsia="Palatino Linotype" w:hAnsi="Palatino Linotype" w:cs="Palatino Linotype"/>
          <w:b/>
          <w:i/>
          <w:sz w:val="22"/>
          <w:szCs w:val="22"/>
        </w:rPr>
        <w:t>Quincuagésimo sexto</w:t>
      </w:r>
      <w:r w:rsidRPr="00B343F1">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B343F1" w:rsidRPr="00B343F1" w:rsidRDefault="00B343F1" w:rsidP="00B343F1">
      <w:pPr>
        <w:spacing w:before="120" w:after="120"/>
        <w:ind w:left="851" w:right="902"/>
        <w:jc w:val="both"/>
        <w:rPr>
          <w:rFonts w:ascii="Palatino Linotype" w:eastAsia="Palatino Linotype" w:hAnsi="Palatino Linotype" w:cs="Palatino Linotype"/>
          <w:i/>
          <w:sz w:val="22"/>
          <w:szCs w:val="22"/>
        </w:rPr>
      </w:pPr>
      <w:r w:rsidRPr="00B343F1">
        <w:rPr>
          <w:rFonts w:ascii="Palatino Linotype" w:eastAsia="Palatino Linotype" w:hAnsi="Palatino Linotype" w:cs="Palatino Linotype"/>
          <w:b/>
          <w:i/>
          <w:sz w:val="22"/>
          <w:szCs w:val="22"/>
        </w:rPr>
        <w:t>Quincuagésimo séptimo</w:t>
      </w:r>
      <w:r w:rsidRPr="00B343F1">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rsidR="00B343F1" w:rsidRPr="00B343F1" w:rsidRDefault="00B343F1" w:rsidP="00B343F1">
      <w:pPr>
        <w:spacing w:before="120" w:after="120"/>
        <w:ind w:left="993" w:right="902"/>
        <w:jc w:val="both"/>
        <w:rPr>
          <w:rFonts w:ascii="Palatino Linotype" w:eastAsia="Palatino Linotype" w:hAnsi="Palatino Linotype" w:cs="Palatino Linotype"/>
          <w:i/>
          <w:sz w:val="22"/>
          <w:szCs w:val="22"/>
        </w:rPr>
      </w:pPr>
      <w:r w:rsidRPr="00B343F1">
        <w:rPr>
          <w:rFonts w:ascii="Palatino Linotype" w:eastAsia="Palatino Linotype" w:hAnsi="Palatino Linotype" w:cs="Palatino Linotype"/>
          <w:b/>
          <w:i/>
          <w:sz w:val="22"/>
          <w:szCs w:val="22"/>
        </w:rPr>
        <w:t>I</w:t>
      </w:r>
      <w:r w:rsidRPr="00B343F1">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B343F1" w:rsidRPr="00B343F1" w:rsidRDefault="00B343F1" w:rsidP="00B343F1">
      <w:pPr>
        <w:spacing w:before="120" w:after="120"/>
        <w:ind w:left="993" w:right="902"/>
        <w:jc w:val="both"/>
        <w:rPr>
          <w:rFonts w:ascii="Palatino Linotype" w:eastAsia="Palatino Linotype" w:hAnsi="Palatino Linotype" w:cs="Palatino Linotype"/>
          <w:i/>
          <w:sz w:val="22"/>
          <w:szCs w:val="22"/>
        </w:rPr>
      </w:pPr>
      <w:r w:rsidRPr="00B343F1">
        <w:rPr>
          <w:rFonts w:ascii="Palatino Linotype" w:eastAsia="Palatino Linotype" w:hAnsi="Palatino Linotype" w:cs="Palatino Linotype"/>
          <w:b/>
          <w:i/>
          <w:sz w:val="22"/>
          <w:szCs w:val="22"/>
        </w:rPr>
        <w:t>II.</w:t>
      </w:r>
      <w:r w:rsidRPr="00B343F1">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rsidR="00B343F1" w:rsidRPr="00B343F1" w:rsidRDefault="00B343F1" w:rsidP="00B343F1">
      <w:pPr>
        <w:spacing w:before="120" w:after="120"/>
        <w:ind w:left="993" w:right="902"/>
        <w:jc w:val="both"/>
        <w:rPr>
          <w:rFonts w:ascii="Palatino Linotype" w:eastAsia="Palatino Linotype" w:hAnsi="Palatino Linotype" w:cs="Palatino Linotype"/>
          <w:i/>
          <w:sz w:val="22"/>
          <w:szCs w:val="22"/>
        </w:rPr>
      </w:pPr>
      <w:r w:rsidRPr="00B343F1">
        <w:rPr>
          <w:rFonts w:ascii="Palatino Linotype" w:eastAsia="Palatino Linotype" w:hAnsi="Palatino Linotype" w:cs="Palatino Linotype"/>
          <w:b/>
          <w:i/>
          <w:sz w:val="22"/>
          <w:szCs w:val="22"/>
        </w:rPr>
        <w:t>III.</w:t>
      </w:r>
      <w:r w:rsidRPr="00B343F1">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B343F1" w:rsidRPr="00B343F1" w:rsidRDefault="00B343F1" w:rsidP="00B343F1">
      <w:pPr>
        <w:spacing w:before="120" w:after="120"/>
        <w:ind w:left="851" w:right="902"/>
        <w:jc w:val="both"/>
        <w:rPr>
          <w:rFonts w:ascii="Palatino Linotype" w:eastAsia="Palatino Linotype" w:hAnsi="Palatino Linotype" w:cs="Palatino Linotype"/>
          <w:i/>
          <w:sz w:val="22"/>
          <w:szCs w:val="22"/>
        </w:rPr>
      </w:pPr>
      <w:r w:rsidRPr="00B343F1">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rsidR="00B343F1" w:rsidRPr="00B343F1" w:rsidRDefault="00B343F1" w:rsidP="00B343F1">
      <w:pPr>
        <w:spacing w:before="120" w:after="120"/>
        <w:ind w:left="851" w:right="902"/>
        <w:jc w:val="both"/>
        <w:rPr>
          <w:rFonts w:ascii="Palatino Linotype" w:eastAsia="Palatino Linotype" w:hAnsi="Palatino Linotype" w:cs="Palatino Linotype"/>
          <w:i/>
          <w:sz w:val="22"/>
          <w:szCs w:val="22"/>
        </w:rPr>
      </w:pPr>
      <w:r w:rsidRPr="00B343F1">
        <w:rPr>
          <w:rFonts w:ascii="Palatino Linotype" w:eastAsia="Palatino Linotype" w:hAnsi="Palatino Linotype" w:cs="Palatino Linotype"/>
          <w:b/>
          <w:i/>
          <w:sz w:val="22"/>
          <w:szCs w:val="22"/>
        </w:rPr>
        <w:t>Quincuagésimo octavo</w:t>
      </w:r>
      <w:r w:rsidRPr="00B343F1">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rsidR="00B343F1" w:rsidRPr="00B343F1" w:rsidRDefault="00B343F1" w:rsidP="00B343F1">
      <w:pPr>
        <w:spacing w:before="240" w:after="240" w:line="360" w:lineRule="auto"/>
        <w:jc w:val="both"/>
        <w:rPr>
          <w:rFonts w:ascii="Palatino Linotype" w:eastAsia="Palatino Linotype" w:hAnsi="Palatino Linotype" w:cs="Palatino Linotype"/>
        </w:rPr>
      </w:pPr>
      <w:r w:rsidRPr="00B343F1">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w:t>
      </w:r>
      <w:r w:rsidRPr="00B343F1">
        <w:rPr>
          <w:rFonts w:ascii="Palatino Linotype" w:eastAsia="Palatino Linotype" w:hAnsi="Palatino Linotype" w:cs="Palatino Linotype"/>
        </w:rPr>
        <w:lastRenderedPageBreak/>
        <w:t>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B343F1" w:rsidRPr="00B343F1" w:rsidRDefault="00B343F1" w:rsidP="00B343F1">
      <w:pPr>
        <w:spacing w:before="240" w:after="240" w:line="360" w:lineRule="auto"/>
        <w:jc w:val="both"/>
        <w:rPr>
          <w:rFonts w:ascii="Palatino Linotype" w:eastAsia="Palatino Linotype" w:hAnsi="Palatino Linotype" w:cs="Palatino Linotype"/>
        </w:rPr>
      </w:pPr>
      <w:r w:rsidRPr="00B343F1">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3119"/>
        <w:gridCol w:w="1129"/>
        <w:gridCol w:w="3446"/>
      </w:tblGrid>
      <w:tr w:rsidR="00B343F1" w:rsidRPr="00B343F1" w:rsidTr="00352652">
        <w:tc>
          <w:tcPr>
            <w:tcW w:w="4253" w:type="dxa"/>
            <w:gridSpan w:val="2"/>
            <w:tcBorders>
              <w:top w:val="nil"/>
              <w:left w:val="nil"/>
              <w:right w:val="nil"/>
            </w:tcBorders>
          </w:tcPr>
          <w:p w:rsidR="00B343F1" w:rsidRPr="00B343F1" w:rsidRDefault="00B343F1" w:rsidP="00B343F1">
            <w:pPr>
              <w:jc w:val="center"/>
              <w:rPr>
                <w:rFonts w:ascii="Palatino Linotype" w:eastAsia="Palatino Linotype" w:hAnsi="Palatino Linotype" w:cs="Palatino Linotype"/>
                <w:b/>
                <w:sz w:val="12"/>
                <w:szCs w:val="12"/>
              </w:rPr>
            </w:pPr>
            <w:r w:rsidRPr="00B343F1">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rsidR="00B343F1" w:rsidRPr="00B343F1" w:rsidRDefault="00B343F1" w:rsidP="00B343F1">
            <w:pPr>
              <w:jc w:val="center"/>
              <w:rPr>
                <w:rFonts w:ascii="Palatino Linotype" w:eastAsia="Palatino Linotype" w:hAnsi="Palatino Linotype" w:cs="Palatino Linotype"/>
                <w:b/>
                <w:sz w:val="12"/>
                <w:szCs w:val="12"/>
              </w:rPr>
            </w:pPr>
            <w:r w:rsidRPr="00B343F1">
              <w:rPr>
                <w:rFonts w:ascii="Palatino Linotype" w:eastAsia="Palatino Linotype" w:hAnsi="Palatino Linotype" w:cs="Palatino Linotype"/>
                <w:b/>
                <w:sz w:val="12"/>
                <w:szCs w:val="12"/>
              </w:rPr>
              <w:t>Total</w:t>
            </w:r>
          </w:p>
        </w:tc>
      </w:tr>
      <w:tr w:rsidR="00B343F1" w:rsidRPr="00B343F1" w:rsidTr="00352652">
        <w:tc>
          <w:tcPr>
            <w:tcW w:w="1134" w:type="dxa"/>
          </w:tcPr>
          <w:p w:rsidR="00B343F1" w:rsidRPr="00B343F1" w:rsidRDefault="00B343F1" w:rsidP="00B343F1">
            <w:pPr>
              <w:jc w:val="center"/>
              <w:rPr>
                <w:rFonts w:ascii="Palatino Linotype" w:eastAsia="Palatino Linotype" w:hAnsi="Palatino Linotype" w:cs="Palatino Linotype"/>
                <w:b/>
                <w:sz w:val="12"/>
                <w:szCs w:val="12"/>
              </w:rPr>
            </w:pPr>
            <w:r w:rsidRPr="00B343F1">
              <w:rPr>
                <w:rFonts w:ascii="Palatino Linotype" w:eastAsia="Palatino Linotype" w:hAnsi="Palatino Linotype" w:cs="Palatino Linotype"/>
                <w:b/>
                <w:sz w:val="12"/>
                <w:szCs w:val="12"/>
              </w:rPr>
              <w:t>Concepto</w:t>
            </w:r>
          </w:p>
        </w:tc>
        <w:tc>
          <w:tcPr>
            <w:tcW w:w="3119" w:type="dxa"/>
          </w:tcPr>
          <w:p w:rsidR="00B343F1" w:rsidRPr="00B343F1" w:rsidRDefault="00B343F1" w:rsidP="00B343F1">
            <w:pPr>
              <w:jc w:val="center"/>
              <w:rPr>
                <w:rFonts w:ascii="Palatino Linotype" w:eastAsia="Palatino Linotype" w:hAnsi="Palatino Linotype" w:cs="Palatino Linotype"/>
                <w:b/>
                <w:sz w:val="12"/>
                <w:szCs w:val="12"/>
              </w:rPr>
            </w:pPr>
            <w:r w:rsidRPr="00B343F1">
              <w:rPr>
                <w:rFonts w:ascii="Palatino Linotype" w:eastAsia="Palatino Linotype" w:hAnsi="Palatino Linotype" w:cs="Palatino Linotype"/>
                <w:b/>
                <w:sz w:val="12"/>
                <w:szCs w:val="12"/>
              </w:rPr>
              <w:t>Dónde</w:t>
            </w:r>
          </w:p>
        </w:tc>
        <w:tc>
          <w:tcPr>
            <w:tcW w:w="1129" w:type="dxa"/>
          </w:tcPr>
          <w:p w:rsidR="00B343F1" w:rsidRPr="00B343F1" w:rsidRDefault="00B343F1" w:rsidP="00B343F1">
            <w:pPr>
              <w:jc w:val="center"/>
              <w:rPr>
                <w:rFonts w:ascii="Palatino Linotype" w:eastAsia="Palatino Linotype" w:hAnsi="Palatino Linotype" w:cs="Palatino Linotype"/>
                <w:b/>
                <w:sz w:val="12"/>
                <w:szCs w:val="12"/>
              </w:rPr>
            </w:pPr>
            <w:r w:rsidRPr="00B343F1">
              <w:rPr>
                <w:rFonts w:ascii="Palatino Linotype" w:eastAsia="Palatino Linotype" w:hAnsi="Palatino Linotype" w:cs="Palatino Linotype"/>
                <w:b/>
                <w:sz w:val="12"/>
                <w:szCs w:val="12"/>
              </w:rPr>
              <w:t>Concepto</w:t>
            </w:r>
          </w:p>
        </w:tc>
        <w:tc>
          <w:tcPr>
            <w:tcW w:w="3446" w:type="dxa"/>
          </w:tcPr>
          <w:p w:rsidR="00B343F1" w:rsidRPr="00B343F1" w:rsidRDefault="00B343F1" w:rsidP="00B343F1">
            <w:pPr>
              <w:jc w:val="center"/>
              <w:rPr>
                <w:rFonts w:ascii="Palatino Linotype" w:eastAsia="Palatino Linotype" w:hAnsi="Palatino Linotype" w:cs="Palatino Linotype"/>
                <w:b/>
                <w:sz w:val="12"/>
                <w:szCs w:val="12"/>
              </w:rPr>
            </w:pPr>
            <w:r w:rsidRPr="00B343F1">
              <w:rPr>
                <w:rFonts w:ascii="Palatino Linotype" w:eastAsia="Palatino Linotype" w:hAnsi="Palatino Linotype" w:cs="Palatino Linotype"/>
                <w:b/>
                <w:sz w:val="12"/>
                <w:szCs w:val="12"/>
              </w:rPr>
              <w:t>Dónde</w:t>
            </w:r>
          </w:p>
        </w:tc>
      </w:tr>
      <w:tr w:rsidR="00B343F1" w:rsidRPr="00B343F1" w:rsidTr="00352652">
        <w:tc>
          <w:tcPr>
            <w:tcW w:w="8828" w:type="dxa"/>
            <w:gridSpan w:val="4"/>
          </w:tcPr>
          <w:p w:rsidR="00B343F1" w:rsidRPr="00B343F1" w:rsidRDefault="00B343F1" w:rsidP="00B343F1">
            <w:pPr>
              <w:jc w:val="center"/>
              <w:rPr>
                <w:rFonts w:ascii="Palatino Linotype" w:eastAsia="Palatino Linotype" w:hAnsi="Palatino Linotype" w:cs="Palatino Linotype"/>
                <w:b/>
                <w:sz w:val="12"/>
                <w:szCs w:val="12"/>
              </w:rPr>
            </w:pPr>
            <w:r w:rsidRPr="00B343F1">
              <w:rPr>
                <w:rFonts w:ascii="Palatino Linotype" w:eastAsia="Palatino Linotype" w:hAnsi="Palatino Linotype" w:cs="Palatino Linotype"/>
                <w:b/>
                <w:sz w:val="12"/>
                <w:szCs w:val="12"/>
              </w:rPr>
              <w:t>Sello oficial o logotipo del sujeto obligado</w:t>
            </w:r>
          </w:p>
        </w:tc>
      </w:tr>
      <w:tr w:rsidR="00B343F1" w:rsidRPr="00B343F1" w:rsidTr="00352652">
        <w:tc>
          <w:tcPr>
            <w:tcW w:w="1134" w:type="dxa"/>
          </w:tcPr>
          <w:p w:rsidR="00B343F1" w:rsidRPr="00B343F1" w:rsidRDefault="00B343F1" w:rsidP="00B343F1">
            <w:pPr>
              <w:jc w:val="both"/>
              <w:rPr>
                <w:rFonts w:ascii="Palatino Linotype" w:eastAsia="Palatino Linotype" w:hAnsi="Palatino Linotype" w:cs="Palatino Linotype"/>
                <w:b/>
                <w:sz w:val="12"/>
                <w:szCs w:val="12"/>
              </w:rPr>
            </w:pPr>
            <w:r w:rsidRPr="00B343F1">
              <w:rPr>
                <w:rFonts w:ascii="Palatino Linotype" w:eastAsia="Palatino Linotype" w:hAnsi="Palatino Linotype" w:cs="Palatino Linotype"/>
                <w:b/>
                <w:sz w:val="12"/>
                <w:szCs w:val="12"/>
              </w:rPr>
              <w:t>Fecha de clasificación</w:t>
            </w:r>
          </w:p>
        </w:tc>
        <w:tc>
          <w:tcPr>
            <w:tcW w:w="3119" w:type="dxa"/>
          </w:tcPr>
          <w:p w:rsidR="00B343F1" w:rsidRPr="00B343F1" w:rsidRDefault="00B343F1" w:rsidP="00B343F1">
            <w:pPr>
              <w:jc w:val="both"/>
              <w:rPr>
                <w:rFonts w:ascii="Palatino Linotype" w:eastAsia="Palatino Linotype" w:hAnsi="Palatino Linotype" w:cs="Palatino Linotype"/>
                <w:sz w:val="12"/>
                <w:szCs w:val="12"/>
              </w:rPr>
            </w:pPr>
            <w:r w:rsidRPr="00B343F1">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rsidR="00B343F1" w:rsidRPr="00B343F1" w:rsidRDefault="00B343F1" w:rsidP="00B343F1">
            <w:pPr>
              <w:jc w:val="both"/>
              <w:rPr>
                <w:rFonts w:ascii="Palatino Linotype" w:eastAsia="Palatino Linotype" w:hAnsi="Palatino Linotype" w:cs="Palatino Linotype"/>
                <w:b/>
                <w:sz w:val="12"/>
                <w:szCs w:val="12"/>
              </w:rPr>
            </w:pPr>
            <w:r w:rsidRPr="00B343F1">
              <w:rPr>
                <w:rFonts w:ascii="Palatino Linotype" w:eastAsia="Palatino Linotype" w:hAnsi="Palatino Linotype" w:cs="Palatino Linotype"/>
                <w:b/>
                <w:sz w:val="12"/>
                <w:szCs w:val="12"/>
              </w:rPr>
              <w:t>Fecha de clasificación</w:t>
            </w:r>
          </w:p>
        </w:tc>
        <w:tc>
          <w:tcPr>
            <w:tcW w:w="3446" w:type="dxa"/>
          </w:tcPr>
          <w:p w:rsidR="00B343F1" w:rsidRPr="00B343F1" w:rsidRDefault="00B343F1" w:rsidP="00B343F1">
            <w:pPr>
              <w:jc w:val="both"/>
              <w:rPr>
                <w:rFonts w:ascii="Palatino Linotype" w:eastAsia="Palatino Linotype" w:hAnsi="Palatino Linotype" w:cs="Palatino Linotype"/>
                <w:sz w:val="12"/>
                <w:szCs w:val="12"/>
              </w:rPr>
            </w:pPr>
            <w:r w:rsidRPr="00B343F1">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B343F1" w:rsidRPr="00B343F1" w:rsidTr="00352652">
        <w:tc>
          <w:tcPr>
            <w:tcW w:w="1134" w:type="dxa"/>
          </w:tcPr>
          <w:p w:rsidR="00B343F1" w:rsidRPr="00B343F1" w:rsidRDefault="00B343F1" w:rsidP="00B343F1">
            <w:pPr>
              <w:jc w:val="both"/>
              <w:rPr>
                <w:rFonts w:ascii="Palatino Linotype" w:eastAsia="Palatino Linotype" w:hAnsi="Palatino Linotype" w:cs="Palatino Linotype"/>
                <w:b/>
                <w:sz w:val="12"/>
                <w:szCs w:val="12"/>
              </w:rPr>
            </w:pPr>
            <w:r w:rsidRPr="00B343F1">
              <w:rPr>
                <w:rFonts w:ascii="Palatino Linotype" w:eastAsia="Palatino Linotype" w:hAnsi="Palatino Linotype" w:cs="Palatino Linotype"/>
                <w:b/>
                <w:sz w:val="12"/>
                <w:szCs w:val="12"/>
              </w:rPr>
              <w:t>Área</w:t>
            </w:r>
          </w:p>
        </w:tc>
        <w:tc>
          <w:tcPr>
            <w:tcW w:w="3119" w:type="dxa"/>
          </w:tcPr>
          <w:p w:rsidR="00B343F1" w:rsidRPr="00B343F1" w:rsidRDefault="00B343F1" w:rsidP="00B343F1">
            <w:pPr>
              <w:jc w:val="both"/>
              <w:rPr>
                <w:rFonts w:ascii="Palatino Linotype" w:eastAsia="Palatino Linotype" w:hAnsi="Palatino Linotype" w:cs="Palatino Linotype"/>
                <w:sz w:val="12"/>
                <w:szCs w:val="12"/>
              </w:rPr>
            </w:pPr>
            <w:r w:rsidRPr="00B343F1">
              <w:rPr>
                <w:rFonts w:ascii="Palatino Linotype" w:eastAsia="Palatino Linotype" w:hAnsi="Palatino Linotype" w:cs="Palatino Linotype"/>
                <w:sz w:val="12"/>
                <w:szCs w:val="12"/>
              </w:rPr>
              <w:t>Se señalará el nombre del área del cual es titular quien clasifica.</w:t>
            </w:r>
          </w:p>
        </w:tc>
        <w:tc>
          <w:tcPr>
            <w:tcW w:w="1129" w:type="dxa"/>
          </w:tcPr>
          <w:p w:rsidR="00B343F1" w:rsidRPr="00B343F1" w:rsidRDefault="00B343F1" w:rsidP="00B343F1">
            <w:pPr>
              <w:jc w:val="both"/>
              <w:rPr>
                <w:rFonts w:ascii="Palatino Linotype" w:eastAsia="Palatino Linotype" w:hAnsi="Palatino Linotype" w:cs="Palatino Linotype"/>
                <w:b/>
                <w:sz w:val="12"/>
                <w:szCs w:val="12"/>
              </w:rPr>
            </w:pPr>
            <w:r w:rsidRPr="00B343F1">
              <w:rPr>
                <w:rFonts w:ascii="Palatino Linotype" w:eastAsia="Palatino Linotype" w:hAnsi="Palatino Linotype" w:cs="Palatino Linotype"/>
                <w:b/>
                <w:sz w:val="12"/>
                <w:szCs w:val="12"/>
              </w:rPr>
              <w:t>Área</w:t>
            </w:r>
          </w:p>
        </w:tc>
        <w:tc>
          <w:tcPr>
            <w:tcW w:w="3446" w:type="dxa"/>
          </w:tcPr>
          <w:p w:rsidR="00B343F1" w:rsidRPr="00B343F1" w:rsidRDefault="00B343F1" w:rsidP="00B343F1">
            <w:pPr>
              <w:jc w:val="both"/>
              <w:rPr>
                <w:rFonts w:ascii="Palatino Linotype" w:eastAsia="Palatino Linotype" w:hAnsi="Palatino Linotype" w:cs="Palatino Linotype"/>
                <w:sz w:val="12"/>
                <w:szCs w:val="12"/>
              </w:rPr>
            </w:pPr>
            <w:r w:rsidRPr="00B343F1">
              <w:rPr>
                <w:rFonts w:ascii="Palatino Linotype" w:eastAsia="Palatino Linotype" w:hAnsi="Palatino Linotype" w:cs="Palatino Linotype"/>
                <w:sz w:val="12"/>
                <w:szCs w:val="12"/>
              </w:rPr>
              <w:t>Se señalará el nombre del área de la cual es el titular quien clasifica.</w:t>
            </w:r>
          </w:p>
        </w:tc>
      </w:tr>
      <w:tr w:rsidR="00B343F1" w:rsidRPr="00B343F1" w:rsidTr="00352652">
        <w:tc>
          <w:tcPr>
            <w:tcW w:w="1134" w:type="dxa"/>
          </w:tcPr>
          <w:p w:rsidR="00B343F1" w:rsidRPr="00B343F1" w:rsidRDefault="00B343F1" w:rsidP="00B343F1">
            <w:pPr>
              <w:jc w:val="both"/>
              <w:rPr>
                <w:rFonts w:ascii="Palatino Linotype" w:eastAsia="Palatino Linotype" w:hAnsi="Palatino Linotype" w:cs="Palatino Linotype"/>
                <w:b/>
                <w:sz w:val="12"/>
                <w:szCs w:val="12"/>
              </w:rPr>
            </w:pPr>
            <w:r w:rsidRPr="00B343F1">
              <w:rPr>
                <w:rFonts w:ascii="Palatino Linotype" w:eastAsia="Palatino Linotype" w:hAnsi="Palatino Linotype" w:cs="Palatino Linotype"/>
                <w:b/>
                <w:sz w:val="12"/>
                <w:szCs w:val="12"/>
              </w:rPr>
              <w:t>Información reservada</w:t>
            </w:r>
          </w:p>
        </w:tc>
        <w:tc>
          <w:tcPr>
            <w:tcW w:w="3119" w:type="dxa"/>
          </w:tcPr>
          <w:p w:rsidR="00B343F1" w:rsidRPr="00B343F1" w:rsidRDefault="00B343F1" w:rsidP="00B343F1">
            <w:pPr>
              <w:jc w:val="both"/>
              <w:rPr>
                <w:rFonts w:ascii="Palatino Linotype" w:eastAsia="Palatino Linotype" w:hAnsi="Palatino Linotype" w:cs="Palatino Linotype"/>
                <w:sz w:val="12"/>
                <w:szCs w:val="12"/>
              </w:rPr>
            </w:pPr>
            <w:r w:rsidRPr="00B343F1">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rsidR="00B343F1" w:rsidRPr="00B343F1" w:rsidRDefault="00B343F1" w:rsidP="00B343F1">
            <w:pPr>
              <w:jc w:val="both"/>
              <w:rPr>
                <w:rFonts w:ascii="Palatino Linotype" w:eastAsia="Palatino Linotype" w:hAnsi="Palatino Linotype" w:cs="Palatino Linotype"/>
                <w:b/>
                <w:sz w:val="12"/>
                <w:szCs w:val="12"/>
              </w:rPr>
            </w:pPr>
            <w:r w:rsidRPr="00B343F1">
              <w:rPr>
                <w:rFonts w:ascii="Palatino Linotype" w:eastAsia="Palatino Linotype" w:hAnsi="Palatino Linotype" w:cs="Palatino Linotype"/>
                <w:b/>
                <w:sz w:val="12"/>
                <w:szCs w:val="12"/>
              </w:rPr>
              <w:t>Reservado</w:t>
            </w:r>
          </w:p>
        </w:tc>
        <w:tc>
          <w:tcPr>
            <w:tcW w:w="3446" w:type="dxa"/>
          </w:tcPr>
          <w:p w:rsidR="00B343F1" w:rsidRPr="00B343F1" w:rsidRDefault="00B343F1" w:rsidP="00B343F1">
            <w:pPr>
              <w:jc w:val="both"/>
              <w:rPr>
                <w:rFonts w:ascii="Palatino Linotype" w:eastAsia="Palatino Linotype" w:hAnsi="Palatino Linotype" w:cs="Palatino Linotype"/>
                <w:sz w:val="12"/>
                <w:szCs w:val="12"/>
              </w:rPr>
            </w:pPr>
            <w:r w:rsidRPr="00B343F1">
              <w:rPr>
                <w:rFonts w:ascii="Palatino Linotype" w:eastAsia="Palatino Linotype" w:hAnsi="Palatino Linotype" w:cs="Palatino Linotype"/>
                <w:sz w:val="12"/>
                <w:szCs w:val="12"/>
              </w:rPr>
              <w:t>Leyenda de información RESERVADA.</w:t>
            </w:r>
          </w:p>
        </w:tc>
      </w:tr>
      <w:tr w:rsidR="00B343F1" w:rsidRPr="00B343F1" w:rsidTr="00352652">
        <w:tc>
          <w:tcPr>
            <w:tcW w:w="1134" w:type="dxa"/>
          </w:tcPr>
          <w:p w:rsidR="00B343F1" w:rsidRPr="00B343F1" w:rsidRDefault="00B343F1" w:rsidP="00B343F1">
            <w:pPr>
              <w:jc w:val="both"/>
              <w:rPr>
                <w:rFonts w:ascii="Palatino Linotype" w:eastAsia="Palatino Linotype" w:hAnsi="Palatino Linotype" w:cs="Palatino Linotype"/>
                <w:b/>
                <w:sz w:val="12"/>
                <w:szCs w:val="12"/>
              </w:rPr>
            </w:pPr>
            <w:r w:rsidRPr="00B343F1">
              <w:rPr>
                <w:rFonts w:ascii="Palatino Linotype" w:eastAsia="Palatino Linotype" w:hAnsi="Palatino Linotype" w:cs="Palatino Linotype"/>
                <w:b/>
                <w:sz w:val="12"/>
                <w:szCs w:val="12"/>
              </w:rPr>
              <w:t>Fundamento legal</w:t>
            </w:r>
          </w:p>
        </w:tc>
        <w:tc>
          <w:tcPr>
            <w:tcW w:w="3119" w:type="dxa"/>
          </w:tcPr>
          <w:p w:rsidR="00B343F1" w:rsidRPr="00B343F1" w:rsidRDefault="00B343F1" w:rsidP="00B343F1">
            <w:pPr>
              <w:jc w:val="both"/>
              <w:rPr>
                <w:rFonts w:ascii="Palatino Linotype" w:eastAsia="Palatino Linotype" w:hAnsi="Palatino Linotype" w:cs="Palatino Linotype"/>
                <w:sz w:val="12"/>
                <w:szCs w:val="12"/>
              </w:rPr>
            </w:pPr>
            <w:r w:rsidRPr="00B343F1">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rsidR="00B343F1" w:rsidRPr="00B343F1" w:rsidRDefault="00B343F1" w:rsidP="00B343F1">
            <w:pPr>
              <w:jc w:val="both"/>
              <w:rPr>
                <w:rFonts w:ascii="Palatino Linotype" w:eastAsia="Palatino Linotype" w:hAnsi="Palatino Linotype" w:cs="Palatino Linotype"/>
                <w:b/>
                <w:sz w:val="12"/>
                <w:szCs w:val="12"/>
              </w:rPr>
            </w:pPr>
            <w:r w:rsidRPr="00B343F1">
              <w:rPr>
                <w:rFonts w:ascii="Palatino Linotype" w:eastAsia="Palatino Linotype" w:hAnsi="Palatino Linotype" w:cs="Palatino Linotype"/>
                <w:b/>
                <w:sz w:val="12"/>
                <w:szCs w:val="12"/>
              </w:rPr>
              <w:t>Periodo de reserva</w:t>
            </w:r>
          </w:p>
        </w:tc>
        <w:tc>
          <w:tcPr>
            <w:tcW w:w="3446" w:type="dxa"/>
          </w:tcPr>
          <w:p w:rsidR="00B343F1" w:rsidRPr="00B343F1" w:rsidRDefault="00B343F1" w:rsidP="00B343F1">
            <w:pPr>
              <w:jc w:val="both"/>
              <w:rPr>
                <w:rFonts w:ascii="Palatino Linotype" w:eastAsia="Palatino Linotype" w:hAnsi="Palatino Linotype" w:cs="Palatino Linotype"/>
                <w:sz w:val="12"/>
                <w:szCs w:val="12"/>
              </w:rPr>
            </w:pPr>
            <w:r w:rsidRPr="00B343F1">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B343F1" w:rsidRPr="00B343F1" w:rsidTr="00352652">
        <w:tc>
          <w:tcPr>
            <w:tcW w:w="1134" w:type="dxa"/>
          </w:tcPr>
          <w:p w:rsidR="00B343F1" w:rsidRPr="00B343F1" w:rsidRDefault="00B343F1" w:rsidP="00B343F1">
            <w:pPr>
              <w:jc w:val="both"/>
              <w:rPr>
                <w:rFonts w:ascii="Palatino Linotype" w:eastAsia="Palatino Linotype" w:hAnsi="Palatino Linotype" w:cs="Palatino Linotype"/>
                <w:b/>
                <w:sz w:val="12"/>
                <w:szCs w:val="12"/>
              </w:rPr>
            </w:pPr>
            <w:r w:rsidRPr="00B343F1">
              <w:rPr>
                <w:rFonts w:ascii="Palatino Linotype" w:eastAsia="Palatino Linotype" w:hAnsi="Palatino Linotype" w:cs="Palatino Linotype"/>
                <w:b/>
                <w:sz w:val="12"/>
                <w:szCs w:val="12"/>
              </w:rPr>
              <w:t>Ampliación del periodo de reserva</w:t>
            </w:r>
          </w:p>
        </w:tc>
        <w:tc>
          <w:tcPr>
            <w:tcW w:w="3119" w:type="dxa"/>
          </w:tcPr>
          <w:p w:rsidR="00B343F1" w:rsidRPr="00B343F1" w:rsidRDefault="00B343F1" w:rsidP="00B343F1">
            <w:pPr>
              <w:jc w:val="both"/>
              <w:rPr>
                <w:rFonts w:ascii="Palatino Linotype" w:eastAsia="Palatino Linotype" w:hAnsi="Palatino Linotype" w:cs="Palatino Linotype"/>
                <w:sz w:val="12"/>
                <w:szCs w:val="12"/>
              </w:rPr>
            </w:pPr>
            <w:r w:rsidRPr="00B343F1">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rsidR="00B343F1" w:rsidRPr="00B343F1" w:rsidRDefault="00B343F1" w:rsidP="00B343F1">
            <w:pPr>
              <w:jc w:val="both"/>
              <w:rPr>
                <w:rFonts w:ascii="Palatino Linotype" w:eastAsia="Palatino Linotype" w:hAnsi="Palatino Linotype" w:cs="Palatino Linotype"/>
                <w:b/>
                <w:sz w:val="12"/>
                <w:szCs w:val="12"/>
              </w:rPr>
            </w:pPr>
            <w:r w:rsidRPr="00B343F1">
              <w:rPr>
                <w:rFonts w:ascii="Palatino Linotype" w:eastAsia="Palatino Linotype" w:hAnsi="Palatino Linotype" w:cs="Palatino Linotype"/>
                <w:b/>
                <w:sz w:val="12"/>
                <w:szCs w:val="12"/>
              </w:rPr>
              <w:t>Fundamento legal</w:t>
            </w:r>
          </w:p>
        </w:tc>
        <w:tc>
          <w:tcPr>
            <w:tcW w:w="3446" w:type="dxa"/>
          </w:tcPr>
          <w:p w:rsidR="00B343F1" w:rsidRPr="00B343F1" w:rsidRDefault="00B343F1" w:rsidP="00B343F1">
            <w:pPr>
              <w:jc w:val="both"/>
              <w:rPr>
                <w:rFonts w:ascii="Palatino Linotype" w:eastAsia="Palatino Linotype" w:hAnsi="Palatino Linotype" w:cs="Palatino Linotype"/>
                <w:sz w:val="12"/>
                <w:szCs w:val="12"/>
              </w:rPr>
            </w:pPr>
            <w:r w:rsidRPr="00B343F1">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B343F1" w:rsidRPr="00B343F1" w:rsidTr="00352652">
        <w:tc>
          <w:tcPr>
            <w:tcW w:w="1134" w:type="dxa"/>
          </w:tcPr>
          <w:p w:rsidR="00B343F1" w:rsidRPr="00B343F1" w:rsidRDefault="00B343F1" w:rsidP="00B343F1">
            <w:pPr>
              <w:jc w:val="both"/>
              <w:rPr>
                <w:rFonts w:ascii="Palatino Linotype" w:eastAsia="Palatino Linotype" w:hAnsi="Palatino Linotype" w:cs="Palatino Linotype"/>
                <w:b/>
                <w:sz w:val="12"/>
                <w:szCs w:val="12"/>
              </w:rPr>
            </w:pPr>
            <w:r w:rsidRPr="00B343F1">
              <w:rPr>
                <w:rFonts w:ascii="Palatino Linotype" w:eastAsia="Palatino Linotype" w:hAnsi="Palatino Linotype" w:cs="Palatino Linotype"/>
                <w:b/>
                <w:sz w:val="12"/>
                <w:szCs w:val="12"/>
              </w:rPr>
              <w:t>Confidencial</w:t>
            </w:r>
          </w:p>
        </w:tc>
        <w:tc>
          <w:tcPr>
            <w:tcW w:w="3119" w:type="dxa"/>
          </w:tcPr>
          <w:p w:rsidR="00B343F1" w:rsidRPr="00B343F1" w:rsidRDefault="00B343F1" w:rsidP="00B343F1">
            <w:pPr>
              <w:jc w:val="both"/>
              <w:rPr>
                <w:rFonts w:ascii="Palatino Linotype" w:eastAsia="Palatino Linotype" w:hAnsi="Palatino Linotype" w:cs="Palatino Linotype"/>
                <w:sz w:val="12"/>
                <w:szCs w:val="12"/>
              </w:rPr>
            </w:pPr>
            <w:r w:rsidRPr="00B343F1">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rsidR="00B343F1" w:rsidRPr="00B343F1" w:rsidRDefault="00B343F1" w:rsidP="00B343F1">
            <w:pPr>
              <w:jc w:val="both"/>
              <w:rPr>
                <w:rFonts w:ascii="Palatino Linotype" w:eastAsia="Palatino Linotype" w:hAnsi="Palatino Linotype" w:cs="Palatino Linotype"/>
                <w:b/>
                <w:sz w:val="12"/>
                <w:szCs w:val="12"/>
              </w:rPr>
            </w:pPr>
            <w:r w:rsidRPr="00B343F1">
              <w:rPr>
                <w:rFonts w:ascii="Palatino Linotype" w:eastAsia="Palatino Linotype" w:hAnsi="Palatino Linotype" w:cs="Palatino Linotype"/>
                <w:b/>
                <w:sz w:val="12"/>
                <w:szCs w:val="12"/>
              </w:rPr>
              <w:t>Ampliación del periodo de reserva</w:t>
            </w:r>
          </w:p>
        </w:tc>
        <w:tc>
          <w:tcPr>
            <w:tcW w:w="3446" w:type="dxa"/>
          </w:tcPr>
          <w:p w:rsidR="00B343F1" w:rsidRPr="00B343F1" w:rsidRDefault="00B343F1" w:rsidP="00B343F1">
            <w:pPr>
              <w:jc w:val="both"/>
              <w:rPr>
                <w:rFonts w:ascii="Palatino Linotype" w:eastAsia="Palatino Linotype" w:hAnsi="Palatino Linotype" w:cs="Palatino Linotype"/>
                <w:sz w:val="12"/>
                <w:szCs w:val="12"/>
              </w:rPr>
            </w:pPr>
            <w:r w:rsidRPr="00B343F1">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B343F1" w:rsidRPr="00B343F1" w:rsidTr="00352652">
        <w:tc>
          <w:tcPr>
            <w:tcW w:w="1134" w:type="dxa"/>
          </w:tcPr>
          <w:p w:rsidR="00B343F1" w:rsidRPr="00B343F1" w:rsidRDefault="00B343F1" w:rsidP="00B343F1">
            <w:pPr>
              <w:jc w:val="both"/>
              <w:rPr>
                <w:rFonts w:ascii="Palatino Linotype" w:eastAsia="Palatino Linotype" w:hAnsi="Palatino Linotype" w:cs="Palatino Linotype"/>
                <w:b/>
                <w:sz w:val="12"/>
                <w:szCs w:val="12"/>
              </w:rPr>
            </w:pPr>
            <w:r w:rsidRPr="00B343F1">
              <w:rPr>
                <w:rFonts w:ascii="Palatino Linotype" w:eastAsia="Palatino Linotype" w:hAnsi="Palatino Linotype" w:cs="Palatino Linotype"/>
                <w:b/>
                <w:sz w:val="12"/>
                <w:szCs w:val="12"/>
              </w:rPr>
              <w:t>Fundamento legal</w:t>
            </w:r>
          </w:p>
        </w:tc>
        <w:tc>
          <w:tcPr>
            <w:tcW w:w="3119" w:type="dxa"/>
          </w:tcPr>
          <w:p w:rsidR="00B343F1" w:rsidRPr="00B343F1" w:rsidRDefault="00B343F1" w:rsidP="00B343F1">
            <w:pPr>
              <w:jc w:val="both"/>
              <w:rPr>
                <w:rFonts w:ascii="Palatino Linotype" w:eastAsia="Palatino Linotype" w:hAnsi="Palatino Linotype" w:cs="Palatino Linotype"/>
                <w:sz w:val="12"/>
                <w:szCs w:val="12"/>
              </w:rPr>
            </w:pPr>
            <w:r w:rsidRPr="00B343F1">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rsidR="00B343F1" w:rsidRPr="00B343F1" w:rsidRDefault="00B343F1" w:rsidP="00B343F1">
            <w:pPr>
              <w:jc w:val="both"/>
              <w:rPr>
                <w:rFonts w:ascii="Palatino Linotype" w:eastAsia="Palatino Linotype" w:hAnsi="Palatino Linotype" w:cs="Palatino Linotype"/>
                <w:b/>
                <w:sz w:val="12"/>
                <w:szCs w:val="12"/>
              </w:rPr>
            </w:pPr>
            <w:r w:rsidRPr="00B343F1">
              <w:rPr>
                <w:rFonts w:ascii="Palatino Linotype" w:eastAsia="Palatino Linotype" w:hAnsi="Palatino Linotype" w:cs="Palatino Linotype"/>
                <w:b/>
                <w:sz w:val="12"/>
                <w:szCs w:val="12"/>
              </w:rPr>
              <w:t>Confidencial</w:t>
            </w:r>
          </w:p>
        </w:tc>
        <w:tc>
          <w:tcPr>
            <w:tcW w:w="3446" w:type="dxa"/>
          </w:tcPr>
          <w:p w:rsidR="00B343F1" w:rsidRPr="00B343F1" w:rsidRDefault="00B343F1" w:rsidP="00B343F1">
            <w:pPr>
              <w:jc w:val="both"/>
              <w:rPr>
                <w:rFonts w:ascii="Palatino Linotype" w:eastAsia="Palatino Linotype" w:hAnsi="Palatino Linotype" w:cs="Palatino Linotype"/>
                <w:sz w:val="12"/>
                <w:szCs w:val="12"/>
              </w:rPr>
            </w:pPr>
            <w:r w:rsidRPr="00B343F1">
              <w:rPr>
                <w:rFonts w:ascii="Palatino Linotype" w:eastAsia="Palatino Linotype" w:hAnsi="Palatino Linotype" w:cs="Palatino Linotype"/>
                <w:sz w:val="12"/>
                <w:szCs w:val="12"/>
              </w:rPr>
              <w:t>Leyenda de información CONFIDENCIAL.</w:t>
            </w:r>
          </w:p>
        </w:tc>
      </w:tr>
      <w:tr w:rsidR="00B343F1" w:rsidRPr="00B343F1" w:rsidTr="00352652">
        <w:tc>
          <w:tcPr>
            <w:tcW w:w="1134" w:type="dxa"/>
          </w:tcPr>
          <w:p w:rsidR="00B343F1" w:rsidRPr="00B343F1" w:rsidRDefault="00B343F1" w:rsidP="00B343F1">
            <w:pPr>
              <w:jc w:val="both"/>
              <w:rPr>
                <w:rFonts w:ascii="Palatino Linotype" w:eastAsia="Palatino Linotype" w:hAnsi="Palatino Linotype" w:cs="Palatino Linotype"/>
                <w:b/>
                <w:sz w:val="12"/>
                <w:szCs w:val="12"/>
              </w:rPr>
            </w:pPr>
            <w:r w:rsidRPr="00B343F1">
              <w:rPr>
                <w:rFonts w:ascii="Palatino Linotype" w:eastAsia="Palatino Linotype" w:hAnsi="Palatino Linotype" w:cs="Palatino Linotype"/>
                <w:b/>
                <w:sz w:val="12"/>
                <w:szCs w:val="12"/>
              </w:rPr>
              <w:t>Rúbrica del titular del área</w:t>
            </w:r>
          </w:p>
        </w:tc>
        <w:tc>
          <w:tcPr>
            <w:tcW w:w="3119" w:type="dxa"/>
          </w:tcPr>
          <w:p w:rsidR="00B343F1" w:rsidRPr="00B343F1" w:rsidRDefault="00B343F1" w:rsidP="00B343F1">
            <w:pPr>
              <w:jc w:val="both"/>
              <w:rPr>
                <w:rFonts w:ascii="Palatino Linotype" w:eastAsia="Palatino Linotype" w:hAnsi="Palatino Linotype" w:cs="Palatino Linotype"/>
                <w:sz w:val="12"/>
                <w:szCs w:val="12"/>
              </w:rPr>
            </w:pPr>
            <w:r w:rsidRPr="00B343F1">
              <w:rPr>
                <w:rFonts w:ascii="Palatino Linotype" w:eastAsia="Palatino Linotype" w:hAnsi="Palatino Linotype" w:cs="Palatino Linotype"/>
                <w:sz w:val="12"/>
                <w:szCs w:val="12"/>
              </w:rPr>
              <w:t>Rúbrica autógrafa de quien clasifica.</w:t>
            </w:r>
          </w:p>
        </w:tc>
        <w:tc>
          <w:tcPr>
            <w:tcW w:w="1129" w:type="dxa"/>
          </w:tcPr>
          <w:p w:rsidR="00B343F1" w:rsidRPr="00B343F1" w:rsidRDefault="00B343F1" w:rsidP="00B343F1">
            <w:pPr>
              <w:jc w:val="both"/>
              <w:rPr>
                <w:rFonts w:ascii="Palatino Linotype" w:eastAsia="Palatino Linotype" w:hAnsi="Palatino Linotype" w:cs="Palatino Linotype"/>
                <w:b/>
                <w:sz w:val="12"/>
                <w:szCs w:val="12"/>
              </w:rPr>
            </w:pPr>
            <w:r w:rsidRPr="00B343F1">
              <w:rPr>
                <w:rFonts w:ascii="Palatino Linotype" w:eastAsia="Palatino Linotype" w:hAnsi="Palatino Linotype" w:cs="Palatino Linotype"/>
                <w:b/>
                <w:sz w:val="12"/>
                <w:szCs w:val="12"/>
              </w:rPr>
              <w:t>Fundamento legal</w:t>
            </w:r>
          </w:p>
        </w:tc>
        <w:tc>
          <w:tcPr>
            <w:tcW w:w="3446" w:type="dxa"/>
          </w:tcPr>
          <w:p w:rsidR="00B343F1" w:rsidRPr="00B343F1" w:rsidRDefault="00B343F1" w:rsidP="00B343F1">
            <w:pPr>
              <w:jc w:val="both"/>
              <w:rPr>
                <w:rFonts w:ascii="Palatino Linotype" w:eastAsia="Palatino Linotype" w:hAnsi="Palatino Linotype" w:cs="Palatino Linotype"/>
                <w:sz w:val="12"/>
                <w:szCs w:val="12"/>
              </w:rPr>
            </w:pPr>
            <w:r w:rsidRPr="00B343F1">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B343F1" w:rsidRPr="00B343F1" w:rsidTr="00352652">
        <w:tc>
          <w:tcPr>
            <w:tcW w:w="1134" w:type="dxa"/>
          </w:tcPr>
          <w:p w:rsidR="00B343F1" w:rsidRPr="00B343F1" w:rsidRDefault="00B343F1" w:rsidP="00B343F1">
            <w:pPr>
              <w:jc w:val="both"/>
              <w:rPr>
                <w:rFonts w:ascii="Palatino Linotype" w:eastAsia="Palatino Linotype" w:hAnsi="Palatino Linotype" w:cs="Palatino Linotype"/>
                <w:b/>
                <w:sz w:val="12"/>
                <w:szCs w:val="12"/>
              </w:rPr>
            </w:pPr>
            <w:r w:rsidRPr="00B343F1">
              <w:rPr>
                <w:rFonts w:ascii="Palatino Linotype" w:eastAsia="Palatino Linotype" w:hAnsi="Palatino Linotype" w:cs="Palatino Linotype"/>
                <w:b/>
                <w:sz w:val="12"/>
                <w:szCs w:val="12"/>
              </w:rPr>
              <w:t>Fecha de desclasificación</w:t>
            </w:r>
          </w:p>
        </w:tc>
        <w:tc>
          <w:tcPr>
            <w:tcW w:w="3119" w:type="dxa"/>
          </w:tcPr>
          <w:p w:rsidR="00B343F1" w:rsidRPr="00B343F1" w:rsidRDefault="00B343F1" w:rsidP="00B343F1">
            <w:pPr>
              <w:jc w:val="both"/>
              <w:rPr>
                <w:rFonts w:ascii="Palatino Linotype" w:eastAsia="Palatino Linotype" w:hAnsi="Palatino Linotype" w:cs="Palatino Linotype"/>
                <w:sz w:val="12"/>
                <w:szCs w:val="12"/>
              </w:rPr>
            </w:pPr>
            <w:r w:rsidRPr="00B343F1">
              <w:rPr>
                <w:rFonts w:ascii="Palatino Linotype" w:eastAsia="Palatino Linotype" w:hAnsi="Palatino Linotype" w:cs="Palatino Linotype"/>
                <w:sz w:val="12"/>
                <w:szCs w:val="12"/>
              </w:rPr>
              <w:t>Se anotará la fecha en que se desclasifica el documento.</w:t>
            </w:r>
          </w:p>
        </w:tc>
        <w:tc>
          <w:tcPr>
            <w:tcW w:w="1129" w:type="dxa"/>
          </w:tcPr>
          <w:p w:rsidR="00B343F1" w:rsidRPr="00B343F1" w:rsidRDefault="00B343F1" w:rsidP="00B343F1">
            <w:pPr>
              <w:jc w:val="both"/>
              <w:rPr>
                <w:rFonts w:ascii="Palatino Linotype" w:eastAsia="Palatino Linotype" w:hAnsi="Palatino Linotype" w:cs="Palatino Linotype"/>
                <w:b/>
                <w:sz w:val="12"/>
                <w:szCs w:val="12"/>
              </w:rPr>
            </w:pPr>
            <w:r w:rsidRPr="00B343F1">
              <w:rPr>
                <w:rFonts w:ascii="Palatino Linotype" w:eastAsia="Palatino Linotype" w:hAnsi="Palatino Linotype" w:cs="Palatino Linotype"/>
                <w:b/>
                <w:sz w:val="12"/>
                <w:szCs w:val="12"/>
              </w:rPr>
              <w:t>Rúbrica del titular del área</w:t>
            </w:r>
          </w:p>
        </w:tc>
        <w:tc>
          <w:tcPr>
            <w:tcW w:w="3446" w:type="dxa"/>
          </w:tcPr>
          <w:p w:rsidR="00B343F1" w:rsidRPr="00B343F1" w:rsidRDefault="00B343F1" w:rsidP="00B343F1">
            <w:pPr>
              <w:jc w:val="both"/>
              <w:rPr>
                <w:rFonts w:ascii="Palatino Linotype" w:eastAsia="Palatino Linotype" w:hAnsi="Palatino Linotype" w:cs="Palatino Linotype"/>
                <w:sz w:val="12"/>
                <w:szCs w:val="12"/>
              </w:rPr>
            </w:pPr>
            <w:r w:rsidRPr="00B343F1">
              <w:rPr>
                <w:rFonts w:ascii="Palatino Linotype" w:eastAsia="Palatino Linotype" w:hAnsi="Palatino Linotype" w:cs="Palatino Linotype"/>
                <w:sz w:val="12"/>
                <w:szCs w:val="12"/>
              </w:rPr>
              <w:t>Rúbrica autógrafa de quien clasifica.</w:t>
            </w:r>
          </w:p>
        </w:tc>
      </w:tr>
      <w:tr w:rsidR="00B343F1" w:rsidRPr="00B343F1" w:rsidTr="00352652">
        <w:tc>
          <w:tcPr>
            <w:tcW w:w="1134" w:type="dxa"/>
          </w:tcPr>
          <w:p w:rsidR="00B343F1" w:rsidRPr="00B343F1" w:rsidRDefault="00B343F1" w:rsidP="00B343F1">
            <w:pPr>
              <w:jc w:val="both"/>
              <w:rPr>
                <w:rFonts w:ascii="Palatino Linotype" w:eastAsia="Palatino Linotype" w:hAnsi="Palatino Linotype" w:cs="Palatino Linotype"/>
                <w:b/>
                <w:sz w:val="12"/>
                <w:szCs w:val="12"/>
              </w:rPr>
            </w:pPr>
            <w:r w:rsidRPr="00B343F1">
              <w:rPr>
                <w:rFonts w:ascii="Palatino Linotype" w:eastAsia="Palatino Linotype" w:hAnsi="Palatino Linotype" w:cs="Palatino Linotype"/>
                <w:b/>
                <w:sz w:val="12"/>
                <w:szCs w:val="12"/>
              </w:rPr>
              <w:lastRenderedPageBreak/>
              <w:t>Rúbrica y cargo del servidor público</w:t>
            </w:r>
          </w:p>
        </w:tc>
        <w:tc>
          <w:tcPr>
            <w:tcW w:w="3119" w:type="dxa"/>
          </w:tcPr>
          <w:p w:rsidR="00B343F1" w:rsidRPr="00B343F1" w:rsidRDefault="00B343F1" w:rsidP="00B343F1">
            <w:pPr>
              <w:jc w:val="both"/>
              <w:rPr>
                <w:rFonts w:ascii="Palatino Linotype" w:eastAsia="Palatino Linotype" w:hAnsi="Palatino Linotype" w:cs="Palatino Linotype"/>
                <w:sz w:val="12"/>
                <w:szCs w:val="12"/>
              </w:rPr>
            </w:pPr>
            <w:r w:rsidRPr="00B343F1">
              <w:rPr>
                <w:rFonts w:ascii="Palatino Linotype" w:eastAsia="Palatino Linotype" w:hAnsi="Palatino Linotype" w:cs="Palatino Linotype"/>
                <w:sz w:val="12"/>
                <w:szCs w:val="12"/>
              </w:rPr>
              <w:t>Rúbrica autógrafa de quien desclasifica.</w:t>
            </w:r>
          </w:p>
        </w:tc>
        <w:tc>
          <w:tcPr>
            <w:tcW w:w="1129" w:type="dxa"/>
          </w:tcPr>
          <w:p w:rsidR="00B343F1" w:rsidRPr="00B343F1" w:rsidRDefault="00B343F1" w:rsidP="00B343F1">
            <w:pPr>
              <w:jc w:val="both"/>
              <w:rPr>
                <w:rFonts w:ascii="Palatino Linotype" w:eastAsia="Palatino Linotype" w:hAnsi="Palatino Linotype" w:cs="Palatino Linotype"/>
                <w:b/>
                <w:sz w:val="12"/>
                <w:szCs w:val="12"/>
              </w:rPr>
            </w:pPr>
            <w:r w:rsidRPr="00B343F1">
              <w:rPr>
                <w:rFonts w:ascii="Palatino Linotype" w:eastAsia="Palatino Linotype" w:hAnsi="Palatino Linotype" w:cs="Palatino Linotype"/>
                <w:b/>
                <w:sz w:val="12"/>
                <w:szCs w:val="12"/>
              </w:rPr>
              <w:t>Fecha de desclasificación</w:t>
            </w:r>
          </w:p>
        </w:tc>
        <w:tc>
          <w:tcPr>
            <w:tcW w:w="3446" w:type="dxa"/>
          </w:tcPr>
          <w:p w:rsidR="00B343F1" w:rsidRPr="00B343F1" w:rsidRDefault="00B343F1" w:rsidP="00B343F1">
            <w:pPr>
              <w:jc w:val="both"/>
              <w:rPr>
                <w:rFonts w:ascii="Palatino Linotype" w:eastAsia="Palatino Linotype" w:hAnsi="Palatino Linotype" w:cs="Palatino Linotype"/>
                <w:sz w:val="12"/>
                <w:szCs w:val="12"/>
              </w:rPr>
            </w:pPr>
            <w:r w:rsidRPr="00B343F1">
              <w:rPr>
                <w:rFonts w:ascii="Palatino Linotype" w:eastAsia="Palatino Linotype" w:hAnsi="Palatino Linotype" w:cs="Palatino Linotype"/>
                <w:sz w:val="12"/>
                <w:szCs w:val="12"/>
              </w:rPr>
              <w:t>Se anotará la fecha en que se desclasifica.</w:t>
            </w:r>
          </w:p>
        </w:tc>
      </w:tr>
      <w:tr w:rsidR="00B343F1" w:rsidRPr="00B343F1" w:rsidTr="00352652">
        <w:tc>
          <w:tcPr>
            <w:tcW w:w="1134" w:type="dxa"/>
          </w:tcPr>
          <w:p w:rsidR="00B343F1" w:rsidRPr="00B343F1" w:rsidRDefault="00B343F1" w:rsidP="00B343F1">
            <w:pPr>
              <w:jc w:val="both"/>
              <w:rPr>
                <w:rFonts w:ascii="Palatino Linotype" w:eastAsia="Palatino Linotype" w:hAnsi="Palatino Linotype" w:cs="Palatino Linotype"/>
                <w:b/>
                <w:sz w:val="12"/>
                <w:szCs w:val="12"/>
              </w:rPr>
            </w:pPr>
          </w:p>
        </w:tc>
        <w:tc>
          <w:tcPr>
            <w:tcW w:w="3119" w:type="dxa"/>
          </w:tcPr>
          <w:p w:rsidR="00B343F1" w:rsidRPr="00B343F1" w:rsidRDefault="00B343F1" w:rsidP="00B343F1">
            <w:pPr>
              <w:jc w:val="both"/>
              <w:rPr>
                <w:rFonts w:ascii="Palatino Linotype" w:eastAsia="Palatino Linotype" w:hAnsi="Palatino Linotype" w:cs="Palatino Linotype"/>
                <w:sz w:val="12"/>
                <w:szCs w:val="12"/>
              </w:rPr>
            </w:pPr>
          </w:p>
        </w:tc>
        <w:tc>
          <w:tcPr>
            <w:tcW w:w="1129" w:type="dxa"/>
          </w:tcPr>
          <w:p w:rsidR="00B343F1" w:rsidRPr="00B343F1" w:rsidRDefault="00B343F1" w:rsidP="00B343F1">
            <w:pPr>
              <w:jc w:val="both"/>
              <w:rPr>
                <w:rFonts w:ascii="Palatino Linotype" w:eastAsia="Palatino Linotype" w:hAnsi="Palatino Linotype" w:cs="Palatino Linotype"/>
                <w:b/>
                <w:sz w:val="12"/>
                <w:szCs w:val="12"/>
              </w:rPr>
            </w:pPr>
            <w:r w:rsidRPr="00B343F1">
              <w:rPr>
                <w:rFonts w:ascii="Palatino Linotype" w:eastAsia="Palatino Linotype" w:hAnsi="Palatino Linotype" w:cs="Palatino Linotype"/>
                <w:b/>
                <w:sz w:val="12"/>
                <w:szCs w:val="12"/>
              </w:rPr>
              <w:t>Partes o secciones reservadas o confidenciales</w:t>
            </w:r>
          </w:p>
        </w:tc>
        <w:tc>
          <w:tcPr>
            <w:tcW w:w="3446" w:type="dxa"/>
          </w:tcPr>
          <w:p w:rsidR="00B343F1" w:rsidRPr="00B343F1" w:rsidRDefault="00B343F1" w:rsidP="00B343F1">
            <w:pPr>
              <w:jc w:val="both"/>
              <w:rPr>
                <w:rFonts w:ascii="Palatino Linotype" w:eastAsia="Palatino Linotype" w:hAnsi="Palatino Linotype" w:cs="Palatino Linotype"/>
                <w:sz w:val="12"/>
                <w:szCs w:val="12"/>
              </w:rPr>
            </w:pPr>
            <w:r w:rsidRPr="00B343F1">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B343F1" w:rsidRPr="00B343F1" w:rsidTr="00352652">
        <w:tc>
          <w:tcPr>
            <w:tcW w:w="1134" w:type="dxa"/>
          </w:tcPr>
          <w:p w:rsidR="00B343F1" w:rsidRPr="00B343F1" w:rsidRDefault="00B343F1" w:rsidP="00B343F1">
            <w:pPr>
              <w:jc w:val="both"/>
              <w:rPr>
                <w:rFonts w:ascii="Palatino Linotype" w:eastAsia="Palatino Linotype" w:hAnsi="Palatino Linotype" w:cs="Palatino Linotype"/>
                <w:b/>
                <w:sz w:val="12"/>
                <w:szCs w:val="12"/>
              </w:rPr>
            </w:pPr>
          </w:p>
        </w:tc>
        <w:tc>
          <w:tcPr>
            <w:tcW w:w="3119" w:type="dxa"/>
          </w:tcPr>
          <w:p w:rsidR="00B343F1" w:rsidRPr="00B343F1" w:rsidRDefault="00B343F1" w:rsidP="00B343F1">
            <w:pPr>
              <w:jc w:val="both"/>
              <w:rPr>
                <w:rFonts w:ascii="Palatino Linotype" w:eastAsia="Palatino Linotype" w:hAnsi="Palatino Linotype" w:cs="Palatino Linotype"/>
                <w:sz w:val="12"/>
                <w:szCs w:val="12"/>
              </w:rPr>
            </w:pPr>
          </w:p>
        </w:tc>
        <w:tc>
          <w:tcPr>
            <w:tcW w:w="1129" w:type="dxa"/>
          </w:tcPr>
          <w:p w:rsidR="00B343F1" w:rsidRPr="00B343F1" w:rsidRDefault="00B343F1" w:rsidP="00B343F1">
            <w:pPr>
              <w:jc w:val="both"/>
              <w:rPr>
                <w:rFonts w:ascii="Palatino Linotype" w:eastAsia="Palatino Linotype" w:hAnsi="Palatino Linotype" w:cs="Palatino Linotype"/>
                <w:b/>
                <w:sz w:val="12"/>
                <w:szCs w:val="12"/>
              </w:rPr>
            </w:pPr>
            <w:r w:rsidRPr="00B343F1">
              <w:rPr>
                <w:rFonts w:ascii="Palatino Linotype" w:eastAsia="Palatino Linotype" w:hAnsi="Palatino Linotype" w:cs="Palatino Linotype"/>
                <w:b/>
                <w:sz w:val="12"/>
                <w:szCs w:val="12"/>
              </w:rPr>
              <w:t>Rúbrica y cargo del servidor público</w:t>
            </w:r>
          </w:p>
        </w:tc>
        <w:tc>
          <w:tcPr>
            <w:tcW w:w="3446" w:type="dxa"/>
          </w:tcPr>
          <w:p w:rsidR="00B343F1" w:rsidRPr="00B343F1" w:rsidRDefault="00B343F1" w:rsidP="00B343F1">
            <w:pPr>
              <w:jc w:val="both"/>
              <w:rPr>
                <w:rFonts w:ascii="Palatino Linotype" w:eastAsia="Palatino Linotype" w:hAnsi="Palatino Linotype" w:cs="Palatino Linotype"/>
                <w:sz w:val="12"/>
                <w:szCs w:val="12"/>
              </w:rPr>
            </w:pPr>
            <w:r w:rsidRPr="00B343F1">
              <w:rPr>
                <w:rFonts w:ascii="Palatino Linotype" w:eastAsia="Palatino Linotype" w:hAnsi="Palatino Linotype" w:cs="Palatino Linotype"/>
                <w:sz w:val="12"/>
                <w:szCs w:val="12"/>
              </w:rPr>
              <w:t>Rúbrica autógrafa de quien desclasifica.</w:t>
            </w:r>
          </w:p>
        </w:tc>
      </w:tr>
    </w:tbl>
    <w:p w:rsidR="00D06374" w:rsidRDefault="001A0B5D" w:rsidP="00D06374">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Es así que, en mérito de lo expuesto en líneas anteriores, resultan fundadas las razones o motivos de inconformidad hechos valer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los recursos de revisión </w:t>
      </w:r>
      <w:r w:rsidR="00D06374">
        <w:rPr>
          <w:rFonts w:ascii="Palatino Linotype" w:eastAsia="Palatino Linotype" w:hAnsi="Palatino Linotype" w:cs="Palatino Linotype"/>
          <w:b/>
        </w:rPr>
        <w:t xml:space="preserve">05984/INFOEM/IP/RR/2021 y 05986/INFOEM/IP/RR/2021 </w:t>
      </w:r>
      <w:r>
        <w:rPr>
          <w:rFonts w:ascii="Palatino Linotype" w:eastAsia="Palatino Linotype" w:hAnsi="Palatino Linotype" w:cs="Palatino Linotype"/>
          <w:b/>
        </w:rPr>
        <w:t xml:space="preserve"> acumulados</w:t>
      </w:r>
      <w:r>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se </w:t>
      </w:r>
      <w:r w:rsidR="00D06374" w:rsidRPr="00B343F1">
        <w:rPr>
          <w:rFonts w:ascii="Palatino Linotype" w:eastAsia="Palatino Linotype" w:hAnsi="Palatino Linotype" w:cs="Palatino Linotype"/>
          <w:b/>
          <w:color w:val="000000" w:themeColor="text1"/>
        </w:rPr>
        <w:t>REVOCA</w:t>
      </w:r>
      <w:r w:rsidR="00D06374" w:rsidRPr="00B343F1">
        <w:rPr>
          <w:rFonts w:ascii="Palatino Linotype" w:eastAsia="Palatino Linotype" w:hAnsi="Palatino Linotype" w:cs="Palatino Linotype"/>
          <w:color w:val="000000" w:themeColor="text1"/>
        </w:rPr>
        <w:t xml:space="preserve"> </w:t>
      </w:r>
      <w:r w:rsidR="00D06374">
        <w:rPr>
          <w:rFonts w:ascii="Palatino Linotype" w:eastAsia="Palatino Linotype" w:hAnsi="Palatino Linotype" w:cs="Palatino Linotype"/>
        </w:rPr>
        <w:t>la respuesta a la solicitud</w:t>
      </w:r>
      <w:r>
        <w:rPr>
          <w:rFonts w:ascii="Palatino Linotype" w:eastAsia="Palatino Linotype" w:hAnsi="Palatino Linotype" w:cs="Palatino Linotype"/>
        </w:rPr>
        <w:t xml:space="preserve"> de información </w:t>
      </w:r>
      <w:r w:rsidR="00D06374" w:rsidRPr="00E265F0">
        <w:rPr>
          <w:rFonts w:ascii="Palatino Linotype" w:eastAsia="Palatino Linotype" w:hAnsi="Palatino Linotype" w:cs="Palatino Linotype"/>
          <w:b/>
          <w:bCs/>
        </w:rPr>
        <w:t>00793/ECATEPEC/IP/2021</w:t>
      </w:r>
      <w:r w:rsidR="00D06374">
        <w:rPr>
          <w:rFonts w:ascii="Palatino Linotype" w:eastAsia="Palatino Linotype" w:hAnsi="Palatino Linotype" w:cs="Palatino Linotype"/>
          <w:b/>
        </w:rPr>
        <w:t xml:space="preserve"> y</w:t>
      </w:r>
      <w:r w:rsidR="00D06374" w:rsidRPr="00D06374">
        <w:rPr>
          <w:rFonts w:ascii="Palatino Linotype" w:eastAsia="Palatino Linotype" w:hAnsi="Palatino Linotype" w:cs="Palatino Linotype"/>
        </w:rPr>
        <w:t xml:space="preserve"> se</w:t>
      </w:r>
      <w:r w:rsidR="00D06374">
        <w:rPr>
          <w:rFonts w:ascii="Palatino Linotype" w:eastAsia="Palatino Linotype" w:hAnsi="Palatino Linotype" w:cs="Palatino Linotype"/>
          <w:b/>
        </w:rPr>
        <w:t xml:space="preserve"> M</w:t>
      </w:r>
      <w:r w:rsidR="00D06374" w:rsidRPr="00B343F1">
        <w:rPr>
          <w:rFonts w:ascii="Palatino Linotype" w:eastAsia="Palatino Linotype" w:hAnsi="Palatino Linotype" w:cs="Palatino Linotype"/>
          <w:b/>
          <w:color w:val="000000" w:themeColor="text1"/>
        </w:rPr>
        <w:t>ODIFICA</w:t>
      </w:r>
      <w:r w:rsidR="00D06374" w:rsidRPr="00E73681">
        <w:rPr>
          <w:rFonts w:ascii="Palatino Linotype" w:eastAsia="Palatino Linotype" w:hAnsi="Palatino Linotype" w:cs="Palatino Linotype"/>
          <w:b/>
          <w:color w:val="FF0000"/>
        </w:rPr>
        <w:t xml:space="preserve"> </w:t>
      </w:r>
      <w:r w:rsidR="00D06374" w:rsidRPr="00D06374">
        <w:rPr>
          <w:rFonts w:ascii="Palatino Linotype" w:eastAsia="Palatino Linotype" w:hAnsi="Palatino Linotype" w:cs="Palatino Linotype"/>
        </w:rPr>
        <w:t xml:space="preserve">la respuesta a la solicitud de información </w:t>
      </w:r>
      <w:r w:rsidR="00D06374" w:rsidRPr="00D06374">
        <w:rPr>
          <w:rFonts w:ascii="Palatino Linotype" w:eastAsia="Palatino Linotype" w:hAnsi="Palatino Linotype" w:cs="Palatino Linotype"/>
          <w:b/>
          <w:bCs/>
        </w:rPr>
        <w:t>00792/ECATEPEC/IP/2021</w:t>
      </w:r>
      <w:r w:rsidR="00D06374">
        <w:rPr>
          <w:rFonts w:ascii="Palatino Linotype" w:eastAsia="Palatino Linotype" w:hAnsi="Palatino Linotype" w:cs="Palatino Linotype"/>
          <w:b/>
          <w:bCs/>
        </w:rPr>
        <w:t>.</w:t>
      </w:r>
    </w:p>
    <w:p w:rsidR="00BD26AA" w:rsidRDefault="001A0B5D" w:rsidP="00D0637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BD26AA" w:rsidRDefault="001A0B5D">
      <w:pPr>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III. R E S U E L V E:</w:t>
      </w:r>
    </w:p>
    <w:p w:rsidR="00BD26AA" w:rsidRDefault="001A0B5D">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 f</w:t>
      </w:r>
      <w:r w:rsidRPr="001E0429">
        <w:rPr>
          <w:rFonts w:ascii="Palatino Linotype" w:eastAsia="Palatino Linotype" w:hAnsi="Palatino Linotype" w:cs="Palatino Linotype"/>
          <w:color w:val="000000" w:themeColor="text1"/>
        </w:rPr>
        <w:t>undados</w:t>
      </w:r>
      <w:r>
        <w:rPr>
          <w:rFonts w:ascii="Palatino Linotype" w:eastAsia="Palatino Linotype" w:hAnsi="Palatino Linotype" w:cs="Palatino Linotype"/>
        </w:rPr>
        <w:t xml:space="preserve"> los motivos de inconformidad hechos valer por el </w:t>
      </w:r>
      <w:r>
        <w:rPr>
          <w:rFonts w:ascii="Palatino Linotype" w:eastAsia="Palatino Linotype" w:hAnsi="Palatino Linotype" w:cs="Palatino Linotype"/>
          <w:b/>
        </w:rPr>
        <w:t xml:space="preserve">Recurrente </w:t>
      </w:r>
      <w:r w:rsidR="00D06374">
        <w:rPr>
          <w:rFonts w:ascii="Palatino Linotype" w:eastAsia="Palatino Linotype" w:hAnsi="Palatino Linotype" w:cs="Palatino Linotype"/>
        </w:rPr>
        <w:t>en el recurso</w:t>
      </w:r>
      <w:r>
        <w:rPr>
          <w:rFonts w:ascii="Palatino Linotype" w:eastAsia="Palatino Linotype" w:hAnsi="Palatino Linotype" w:cs="Palatino Linotype"/>
        </w:rPr>
        <w:t xml:space="preserve"> de revisión </w:t>
      </w:r>
      <w:r w:rsidR="00D06374">
        <w:rPr>
          <w:rFonts w:ascii="Palatino Linotype" w:eastAsia="Palatino Linotype" w:hAnsi="Palatino Linotype" w:cs="Palatino Linotype"/>
          <w:b/>
        </w:rPr>
        <w:t>05984/INFOEM/IP/RR/2021</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por lo que, en términos del </w:t>
      </w:r>
      <w:r>
        <w:rPr>
          <w:rFonts w:ascii="Palatino Linotype" w:eastAsia="Palatino Linotype" w:hAnsi="Palatino Linotype" w:cs="Palatino Linotype"/>
          <w:b/>
        </w:rPr>
        <w:t>Considerando Cuarto</w:t>
      </w:r>
      <w:r>
        <w:rPr>
          <w:rFonts w:ascii="Palatino Linotype" w:eastAsia="Palatino Linotype" w:hAnsi="Palatino Linotype" w:cs="Palatino Linotype"/>
        </w:rPr>
        <w:t xml:space="preserve"> de la presente resolución, se</w:t>
      </w:r>
      <w:r w:rsidR="00D06374">
        <w:rPr>
          <w:rFonts w:ascii="Palatino Linotype" w:eastAsia="Palatino Linotype" w:hAnsi="Palatino Linotype" w:cs="Palatino Linotype"/>
          <w:b/>
        </w:rPr>
        <w:t xml:space="preserve"> REVOCA</w:t>
      </w:r>
      <w:r>
        <w:rPr>
          <w:rFonts w:ascii="Palatino Linotype" w:eastAsia="Palatino Linotype" w:hAnsi="Palatino Linotype" w:cs="Palatino Linotype"/>
          <w:b/>
        </w:rPr>
        <w:t xml:space="preserve"> </w:t>
      </w:r>
      <w:r w:rsidR="00D06374">
        <w:rPr>
          <w:rFonts w:ascii="Palatino Linotype" w:eastAsia="Palatino Linotype" w:hAnsi="Palatino Linotype" w:cs="Palatino Linotype"/>
        </w:rPr>
        <w:t>la respuesta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del </w:t>
      </w:r>
      <w:r>
        <w:rPr>
          <w:rFonts w:ascii="Palatino Linotype" w:eastAsia="Palatino Linotype" w:hAnsi="Palatino Linotype" w:cs="Palatino Linotype"/>
          <w:b/>
        </w:rPr>
        <w:t>Sujeto Obligado.</w:t>
      </w:r>
    </w:p>
    <w:p w:rsidR="00D06374" w:rsidRPr="00D06374" w:rsidRDefault="00D06374" w:rsidP="00D06374">
      <w:pPr>
        <w:pBdr>
          <w:top w:val="nil"/>
          <w:left w:val="nil"/>
          <w:bottom w:val="nil"/>
          <w:right w:val="nil"/>
          <w:between w:val="nil"/>
        </w:pBdr>
        <w:spacing w:line="360" w:lineRule="auto"/>
        <w:contextualSpacing/>
        <w:jc w:val="both"/>
        <w:rPr>
          <w:rFonts w:ascii="Palatino Linotype" w:eastAsia="Palatino Linotype" w:hAnsi="Palatino Linotype" w:cs="Palatino Linotype"/>
          <w:lang w:eastAsia="es-MX"/>
        </w:rPr>
      </w:pPr>
      <w:r w:rsidRPr="00D06374">
        <w:rPr>
          <w:rFonts w:ascii="Palatino Linotype" w:hAnsi="Palatino Linotype" w:cs="Arial"/>
          <w:b/>
          <w:lang w:val="es-MX" w:eastAsia="es-MX"/>
        </w:rPr>
        <w:lastRenderedPageBreak/>
        <w:t>Segundo.</w:t>
      </w:r>
      <w:r w:rsidRPr="00D06374">
        <w:rPr>
          <w:rFonts w:ascii="Palatino Linotype" w:hAnsi="Palatino Linotype" w:cs="Arial"/>
          <w:lang w:val="es-MX" w:eastAsia="es-MX"/>
        </w:rPr>
        <w:t xml:space="preserve"> </w:t>
      </w:r>
      <w:r w:rsidRPr="00D06374">
        <w:rPr>
          <w:rFonts w:ascii="Palatino Linotype" w:eastAsia="Palatino Linotype" w:hAnsi="Palatino Linotype" w:cs="Palatino Linotype"/>
          <w:lang w:eastAsia="es-MX"/>
        </w:rPr>
        <w:t>Resulta</w:t>
      </w:r>
      <w:r w:rsidR="001E0429">
        <w:rPr>
          <w:rFonts w:ascii="Palatino Linotype" w:eastAsia="Palatino Linotype" w:hAnsi="Palatino Linotype" w:cs="Palatino Linotype"/>
          <w:lang w:eastAsia="es-MX"/>
        </w:rPr>
        <w:t>n</w:t>
      </w:r>
      <w:r w:rsidRPr="00D06374">
        <w:rPr>
          <w:rFonts w:ascii="Palatino Linotype" w:eastAsia="Palatino Linotype" w:hAnsi="Palatino Linotype" w:cs="Palatino Linotype"/>
          <w:lang w:eastAsia="es-MX"/>
        </w:rPr>
        <w:t xml:space="preserve"> </w:t>
      </w:r>
      <w:r w:rsidRPr="001E0429">
        <w:rPr>
          <w:rFonts w:ascii="Palatino Linotype" w:eastAsia="Palatino Linotype" w:hAnsi="Palatino Linotype" w:cs="Palatino Linotype"/>
          <w:b/>
          <w:color w:val="000000" w:themeColor="text1"/>
          <w:lang w:eastAsia="es-MX"/>
        </w:rPr>
        <w:t>fundado</w:t>
      </w:r>
      <w:r w:rsidR="001E0429">
        <w:rPr>
          <w:rFonts w:ascii="Palatino Linotype" w:eastAsia="Palatino Linotype" w:hAnsi="Palatino Linotype" w:cs="Palatino Linotype"/>
          <w:b/>
          <w:color w:val="000000" w:themeColor="text1"/>
          <w:lang w:eastAsia="es-MX"/>
        </w:rPr>
        <w:t>s</w:t>
      </w:r>
      <w:r w:rsidRPr="00E73681">
        <w:rPr>
          <w:rFonts w:ascii="Palatino Linotype" w:eastAsia="Palatino Linotype" w:hAnsi="Palatino Linotype" w:cs="Palatino Linotype"/>
          <w:color w:val="FF0000"/>
          <w:lang w:eastAsia="es-MX"/>
        </w:rPr>
        <w:t xml:space="preserve"> </w:t>
      </w:r>
      <w:r w:rsidR="001E0429">
        <w:rPr>
          <w:rFonts w:ascii="Palatino Linotype" w:eastAsia="Palatino Linotype" w:hAnsi="Palatino Linotype" w:cs="Palatino Linotype"/>
          <w:lang w:eastAsia="es-MX"/>
        </w:rPr>
        <w:t xml:space="preserve">los </w:t>
      </w:r>
      <w:r w:rsidRPr="00D06374">
        <w:rPr>
          <w:rFonts w:ascii="Palatino Linotype" w:eastAsia="Palatino Linotype" w:hAnsi="Palatino Linotype" w:cs="Palatino Linotype"/>
          <w:lang w:eastAsia="es-MX"/>
        </w:rPr>
        <w:t>motivo</w:t>
      </w:r>
      <w:r w:rsidR="001E0429">
        <w:rPr>
          <w:rFonts w:ascii="Palatino Linotype" w:eastAsia="Palatino Linotype" w:hAnsi="Palatino Linotype" w:cs="Palatino Linotype"/>
          <w:lang w:eastAsia="es-MX"/>
        </w:rPr>
        <w:t>s</w:t>
      </w:r>
      <w:r w:rsidRPr="00D06374">
        <w:rPr>
          <w:rFonts w:ascii="Palatino Linotype" w:eastAsia="Palatino Linotype" w:hAnsi="Palatino Linotype" w:cs="Palatino Linotype"/>
          <w:lang w:eastAsia="es-MX"/>
        </w:rPr>
        <w:t xml:space="preserve"> de inconformidad hecho valer por la recurrente en el Recurso de Revisión</w:t>
      </w:r>
      <w:r w:rsidRPr="00D06374">
        <w:rPr>
          <w:rFonts w:ascii="Palatino Linotype" w:eastAsia="Palatino Linotype" w:hAnsi="Palatino Linotype" w:cs="Palatino Linotype"/>
          <w:b/>
          <w:lang w:eastAsia="es-MX"/>
        </w:rPr>
        <w:t xml:space="preserve"> </w:t>
      </w:r>
      <w:r w:rsidRPr="00D06374">
        <w:rPr>
          <w:rFonts w:ascii="Palatino Linotype" w:hAnsi="Palatino Linotype" w:cs="Arial"/>
          <w:b/>
          <w:lang w:val="es-MX" w:eastAsia="es-MX"/>
        </w:rPr>
        <w:t>05986/INFOEM/IP/RR/2021</w:t>
      </w:r>
      <w:r w:rsidRPr="00D06374">
        <w:rPr>
          <w:rFonts w:ascii="Palatino Linotype" w:eastAsia="Palatino Linotype" w:hAnsi="Palatino Linotype" w:cs="Palatino Linotype"/>
          <w:b/>
          <w:lang w:eastAsia="es-MX"/>
        </w:rPr>
        <w:t xml:space="preserve">, </w:t>
      </w:r>
      <w:r w:rsidRPr="00D06374">
        <w:rPr>
          <w:rFonts w:ascii="Palatino Linotype" w:eastAsia="Palatino Linotype" w:hAnsi="Palatino Linotype" w:cs="Palatino Linotype"/>
          <w:lang w:eastAsia="es-MX"/>
        </w:rPr>
        <w:t xml:space="preserve">por lo que, en términos del considerando </w:t>
      </w:r>
      <w:r w:rsidRPr="00D06374">
        <w:rPr>
          <w:rFonts w:ascii="Palatino Linotype" w:eastAsia="Palatino Linotype" w:hAnsi="Palatino Linotype" w:cs="Palatino Linotype"/>
          <w:b/>
          <w:lang w:eastAsia="es-MX"/>
        </w:rPr>
        <w:t xml:space="preserve">Cuarto </w:t>
      </w:r>
      <w:r w:rsidRPr="00D06374">
        <w:rPr>
          <w:rFonts w:ascii="Palatino Linotype" w:eastAsia="Palatino Linotype" w:hAnsi="Palatino Linotype" w:cs="Palatino Linotype"/>
          <w:lang w:eastAsia="es-MX"/>
        </w:rPr>
        <w:t xml:space="preserve">de esta resolución, se </w:t>
      </w:r>
      <w:r w:rsidRPr="00D06374">
        <w:rPr>
          <w:rFonts w:ascii="Palatino Linotype" w:eastAsia="Palatino Linotype" w:hAnsi="Palatino Linotype" w:cs="Palatino Linotype"/>
          <w:b/>
          <w:lang w:eastAsia="es-MX"/>
        </w:rPr>
        <w:t>M</w:t>
      </w:r>
      <w:r w:rsidRPr="001E0429">
        <w:rPr>
          <w:rFonts w:ascii="Palatino Linotype" w:eastAsia="Palatino Linotype" w:hAnsi="Palatino Linotype" w:cs="Palatino Linotype"/>
          <w:b/>
          <w:color w:val="000000" w:themeColor="text1"/>
          <w:lang w:eastAsia="es-MX"/>
        </w:rPr>
        <w:t>ODIFICA</w:t>
      </w:r>
      <w:r w:rsidRPr="00D06374">
        <w:rPr>
          <w:rFonts w:ascii="Palatino Linotype" w:eastAsia="Palatino Linotype" w:hAnsi="Palatino Linotype" w:cs="Palatino Linotype"/>
          <w:b/>
          <w:lang w:eastAsia="es-MX"/>
        </w:rPr>
        <w:t xml:space="preserve"> </w:t>
      </w:r>
      <w:r w:rsidRPr="00D06374">
        <w:rPr>
          <w:rFonts w:ascii="Palatino Linotype" w:eastAsia="Palatino Linotype" w:hAnsi="Palatino Linotype" w:cs="Palatino Linotype"/>
          <w:lang w:eastAsia="es-MX"/>
        </w:rPr>
        <w:t>la respuesta emitida por el Sujeto Obligado.</w:t>
      </w:r>
    </w:p>
    <w:p w:rsidR="00BD26AA" w:rsidRDefault="00D0637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w:t>
      </w:r>
      <w:r w:rsidR="001A0B5D">
        <w:rPr>
          <w:rFonts w:ascii="Palatino Linotype" w:eastAsia="Palatino Linotype" w:hAnsi="Palatino Linotype" w:cs="Palatino Linotype"/>
          <w:b/>
        </w:rPr>
        <w:t xml:space="preserve">o. </w:t>
      </w:r>
      <w:r w:rsidR="001A0B5D">
        <w:rPr>
          <w:rFonts w:ascii="Palatino Linotype" w:eastAsia="Palatino Linotype" w:hAnsi="Palatino Linotype" w:cs="Palatino Linotype"/>
        </w:rPr>
        <w:t xml:space="preserve">Se Ordena al </w:t>
      </w:r>
      <w:r w:rsidR="001A0B5D">
        <w:rPr>
          <w:rFonts w:ascii="Palatino Linotype" w:eastAsia="Palatino Linotype" w:hAnsi="Palatino Linotype" w:cs="Palatino Linotype"/>
          <w:b/>
        </w:rPr>
        <w:t>Sujeto Obligado</w:t>
      </w:r>
      <w:r w:rsidR="001A0B5D">
        <w:rPr>
          <w:rFonts w:ascii="Palatino Linotype" w:eastAsia="Palatino Linotype" w:hAnsi="Palatino Linotype" w:cs="Palatino Linotype"/>
        </w:rPr>
        <w:t xml:space="preserve">, en términos de los </w:t>
      </w:r>
      <w:r w:rsidR="001A0B5D">
        <w:rPr>
          <w:rFonts w:ascii="Palatino Linotype" w:eastAsia="Palatino Linotype" w:hAnsi="Palatino Linotype" w:cs="Palatino Linotype"/>
          <w:b/>
        </w:rPr>
        <w:t>Considerandos Cuarto y Quinto</w:t>
      </w:r>
      <w:r w:rsidR="001A0B5D">
        <w:rPr>
          <w:rFonts w:ascii="Palatino Linotype" w:eastAsia="Palatino Linotype" w:hAnsi="Palatino Linotype" w:cs="Palatino Linotype"/>
        </w:rPr>
        <w:t xml:space="preserve"> de esta resolución, haga entrega vía Sistema de Acceso a la Información Mexiquense (SAIMEX), </w:t>
      </w:r>
      <w:r w:rsidR="001A0B5D">
        <w:rPr>
          <w:rFonts w:ascii="Palatino Linotype" w:eastAsia="Palatino Linotype" w:hAnsi="Palatino Linotype" w:cs="Palatino Linotype"/>
          <w:b/>
        </w:rPr>
        <w:t>de ser el caso en versión pública</w:t>
      </w:r>
      <w:r w:rsidR="001A0B5D">
        <w:rPr>
          <w:rFonts w:ascii="Palatino Linotype" w:eastAsia="Palatino Linotype" w:hAnsi="Palatino Linotype" w:cs="Palatino Linotype"/>
        </w:rPr>
        <w:t>,</w:t>
      </w:r>
      <w:r w:rsidR="001A0B5D">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 </w:t>
      </w:r>
      <w:r w:rsidR="001E0429">
        <w:rPr>
          <w:rFonts w:ascii="Palatino Linotype" w:eastAsia="Palatino Linotype" w:hAnsi="Palatino Linotype" w:cs="Palatino Linotype"/>
          <w:b/>
        </w:rPr>
        <w:t>lo siguiente</w:t>
      </w:r>
      <w:r w:rsidR="001A0B5D">
        <w:rPr>
          <w:rFonts w:ascii="Palatino Linotype" w:eastAsia="Palatino Linotype" w:hAnsi="Palatino Linotype" w:cs="Palatino Linotype"/>
        </w:rPr>
        <w:t>:</w:t>
      </w:r>
    </w:p>
    <w:p w:rsidR="00352652" w:rsidRDefault="001E0429" w:rsidP="00352652">
      <w:pPr>
        <w:pStyle w:val="Prrafodelista"/>
        <w:numPr>
          <w:ilvl w:val="0"/>
          <w:numId w:val="25"/>
        </w:numPr>
        <w:pBdr>
          <w:top w:val="nil"/>
          <w:left w:val="nil"/>
          <w:bottom w:val="nil"/>
          <w:right w:val="nil"/>
          <w:between w:val="nil"/>
        </w:pBdr>
        <w:ind w:left="567" w:right="900" w:hanging="141"/>
        <w:jc w:val="both"/>
        <w:rPr>
          <w:rFonts w:ascii="Palatino Linotype" w:eastAsia="Palatino Linotype" w:hAnsi="Palatino Linotype" w:cs="Palatino Linotype"/>
          <w:i/>
          <w:color w:val="000000"/>
          <w:szCs w:val="20"/>
        </w:rPr>
      </w:pPr>
      <w:r>
        <w:rPr>
          <w:rFonts w:ascii="Palatino Linotype" w:eastAsia="Palatino Linotype" w:hAnsi="Palatino Linotype" w:cs="Palatino Linotype"/>
          <w:i/>
          <w:color w:val="000000"/>
          <w:szCs w:val="20"/>
        </w:rPr>
        <w:t xml:space="preserve">Documentos soporte de </w:t>
      </w:r>
      <w:r w:rsidRPr="001E0429">
        <w:rPr>
          <w:rFonts w:ascii="Palatino Linotype" w:eastAsia="Palatino Linotype" w:hAnsi="Palatino Linotype" w:cs="Palatino Linotype"/>
          <w:i/>
          <w:color w:val="000000"/>
          <w:szCs w:val="20"/>
        </w:rPr>
        <w:t xml:space="preserve"> la realización de las obras públicas</w:t>
      </w:r>
      <w:r w:rsidRPr="001E0429">
        <w:rPr>
          <w:rFonts w:ascii="Palatino Linotype" w:eastAsia="Palatino Linotype" w:hAnsi="Palatino Linotype" w:cs="Palatino Linotype"/>
          <w:i/>
          <w:color w:val="000000"/>
          <w:sz w:val="24"/>
          <w:szCs w:val="20"/>
          <w:lang w:val="es-ES" w:eastAsia="es-ES"/>
        </w:rPr>
        <w:t xml:space="preserve"> </w:t>
      </w:r>
      <w:r w:rsidRPr="001E0429">
        <w:rPr>
          <w:rFonts w:ascii="Palatino Linotype" w:eastAsia="Palatino Linotype" w:hAnsi="Palatino Linotype" w:cs="Palatino Linotype"/>
          <w:i/>
          <w:color w:val="000000"/>
          <w:szCs w:val="20"/>
          <w:lang w:val="es-ES"/>
        </w:rPr>
        <w:t>y de servicios</w:t>
      </w:r>
      <w:r>
        <w:rPr>
          <w:rFonts w:ascii="Palatino Linotype" w:eastAsia="Palatino Linotype" w:hAnsi="Palatino Linotype" w:cs="Palatino Linotype"/>
          <w:i/>
          <w:color w:val="000000"/>
          <w:szCs w:val="20"/>
        </w:rPr>
        <w:t>,</w:t>
      </w:r>
      <w:r w:rsidRPr="001E0429">
        <w:rPr>
          <w:rFonts w:ascii="Palatino Linotype" w:eastAsia="Palatino Linotype" w:hAnsi="Palatino Linotype" w:cs="Palatino Linotype"/>
          <w:i/>
          <w:color w:val="000000"/>
          <w:szCs w:val="20"/>
        </w:rPr>
        <w:t xml:space="preserve"> </w:t>
      </w:r>
      <w:r>
        <w:rPr>
          <w:rFonts w:ascii="Palatino Linotype" w:eastAsia="Palatino Linotype" w:hAnsi="Palatino Linotype" w:cs="Palatino Linotype"/>
          <w:i/>
          <w:color w:val="000000"/>
          <w:szCs w:val="20"/>
        </w:rPr>
        <w:t xml:space="preserve">así como las </w:t>
      </w:r>
      <w:r w:rsidRPr="001E0429">
        <w:rPr>
          <w:rFonts w:ascii="Palatino Linotype" w:eastAsia="Palatino Linotype" w:hAnsi="Palatino Linotype" w:cs="Palatino Linotype"/>
          <w:i/>
          <w:color w:val="000000"/>
          <w:szCs w:val="20"/>
        </w:rPr>
        <w:t>que se hayan realizado en la red de drenaje y alcantarillado</w:t>
      </w:r>
      <w:r>
        <w:rPr>
          <w:rFonts w:ascii="Palatino Linotype" w:eastAsia="Palatino Linotype" w:hAnsi="Palatino Linotype" w:cs="Palatino Linotype"/>
          <w:i/>
          <w:color w:val="000000"/>
          <w:szCs w:val="20"/>
        </w:rPr>
        <w:t>, durante</w:t>
      </w:r>
      <w:r w:rsidRPr="001E0429">
        <w:rPr>
          <w:rFonts w:ascii="Palatino Linotype" w:eastAsia="Palatino Linotype" w:hAnsi="Palatino Linotype" w:cs="Palatino Linotype"/>
          <w:i/>
          <w:color w:val="000000"/>
          <w:szCs w:val="20"/>
        </w:rPr>
        <w:t xml:space="preserve"> los años 2018, 2019, 2020 y del 1 de enero al 3 de noviembre de 2021</w:t>
      </w:r>
      <w:r>
        <w:rPr>
          <w:rFonts w:ascii="Palatino Linotype" w:eastAsia="Palatino Linotype" w:hAnsi="Palatino Linotype" w:cs="Palatino Linotype"/>
          <w:i/>
          <w:color w:val="000000"/>
          <w:szCs w:val="20"/>
        </w:rPr>
        <w:t>.</w:t>
      </w:r>
    </w:p>
    <w:p w:rsidR="00352652" w:rsidRDefault="00352652" w:rsidP="00352652">
      <w:pPr>
        <w:pStyle w:val="Prrafodelista"/>
        <w:pBdr>
          <w:top w:val="nil"/>
          <w:left w:val="nil"/>
          <w:bottom w:val="nil"/>
          <w:right w:val="nil"/>
          <w:between w:val="nil"/>
        </w:pBdr>
        <w:ind w:left="567" w:right="900"/>
        <w:jc w:val="both"/>
        <w:rPr>
          <w:rFonts w:ascii="Palatino Linotype" w:eastAsia="Palatino Linotype" w:hAnsi="Palatino Linotype" w:cs="Palatino Linotype"/>
          <w:i/>
          <w:color w:val="000000"/>
          <w:szCs w:val="20"/>
        </w:rPr>
      </w:pPr>
    </w:p>
    <w:p w:rsidR="00352652" w:rsidRPr="00352652" w:rsidRDefault="00352652" w:rsidP="00352652">
      <w:pPr>
        <w:pStyle w:val="Prrafodelista"/>
        <w:numPr>
          <w:ilvl w:val="0"/>
          <w:numId w:val="25"/>
        </w:numPr>
        <w:pBdr>
          <w:top w:val="nil"/>
          <w:left w:val="nil"/>
          <w:bottom w:val="nil"/>
          <w:right w:val="nil"/>
          <w:between w:val="nil"/>
        </w:pBdr>
        <w:ind w:left="567" w:right="900" w:hanging="141"/>
        <w:jc w:val="both"/>
        <w:rPr>
          <w:rFonts w:ascii="Palatino Linotype" w:eastAsia="Palatino Linotype" w:hAnsi="Palatino Linotype" w:cs="Palatino Linotype"/>
          <w:i/>
          <w:color w:val="000000"/>
          <w:szCs w:val="20"/>
        </w:rPr>
      </w:pPr>
      <w:r>
        <w:rPr>
          <w:rFonts w:ascii="Palatino Linotype" w:eastAsia="Palatino Linotype" w:hAnsi="Palatino Linotype" w:cs="Palatino Linotype"/>
          <w:i/>
          <w:color w:val="000000"/>
          <w:szCs w:val="20"/>
        </w:rPr>
        <w:t xml:space="preserve">Documento en el </w:t>
      </w:r>
      <w:r w:rsidR="007D5625">
        <w:rPr>
          <w:rFonts w:ascii="Palatino Linotype" w:eastAsia="Palatino Linotype" w:hAnsi="Palatino Linotype" w:cs="Palatino Linotype"/>
          <w:i/>
          <w:color w:val="000000"/>
          <w:szCs w:val="20"/>
        </w:rPr>
        <w:t>consten</w:t>
      </w:r>
      <w:r>
        <w:rPr>
          <w:rFonts w:ascii="Palatino Linotype" w:eastAsia="Palatino Linotype" w:hAnsi="Palatino Linotype" w:cs="Palatino Linotype"/>
          <w:i/>
          <w:color w:val="000000"/>
          <w:szCs w:val="20"/>
        </w:rPr>
        <w:t xml:space="preserve"> los montos de las obras públicas realizadas con recursos estatales d</w:t>
      </w:r>
      <w:r w:rsidR="007D5625">
        <w:rPr>
          <w:rFonts w:ascii="Palatino Linotype" w:eastAsia="Palatino Linotype" w:hAnsi="Palatino Linotype" w:cs="Palatino Linotype"/>
          <w:i/>
          <w:color w:val="000000"/>
          <w:szCs w:val="20"/>
        </w:rPr>
        <w:t>urante el ejercicio fiscal 2018, así como los soportes documentales que den cuenta de su realización.</w:t>
      </w:r>
    </w:p>
    <w:p w:rsidR="001E0429" w:rsidRPr="001E0429" w:rsidRDefault="001E0429" w:rsidP="001E0429">
      <w:pPr>
        <w:pBdr>
          <w:top w:val="nil"/>
          <w:left w:val="nil"/>
          <w:bottom w:val="nil"/>
          <w:right w:val="nil"/>
          <w:between w:val="nil"/>
        </w:pBdr>
        <w:ind w:right="900"/>
        <w:jc w:val="both"/>
        <w:rPr>
          <w:rFonts w:ascii="Palatino Linotype" w:eastAsia="Palatino Linotype" w:hAnsi="Palatino Linotype" w:cs="Palatino Linotype"/>
          <w:i/>
          <w:color w:val="000000"/>
          <w:szCs w:val="20"/>
        </w:rPr>
      </w:pPr>
    </w:p>
    <w:p w:rsidR="00BD26AA" w:rsidRDefault="001A0B5D" w:rsidP="001E0429">
      <w:pPr>
        <w:pStyle w:val="Prrafodelista"/>
        <w:pBdr>
          <w:top w:val="nil"/>
          <w:left w:val="nil"/>
          <w:bottom w:val="nil"/>
          <w:right w:val="nil"/>
          <w:between w:val="nil"/>
        </w:pBdr>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Deberá emitir el Acuerdo del Comité de Transparencia de conformidad con lo dispuesto en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rsidR="001E0429" w:rsidRDefault="001E0429" w:rsidP="001E0429">
      <w:pPr>
        <w:pStyle w:val="Prrafodelista"/>
        <w:pBdr>
          <w:top w:val="nil"/>
          <w:left w:val="nil"/>
          <w:bottom w:val="nil"/>
          <w:right w:val="nil"/>
          <w:between w:val="nil"/>
        </w:pBdr>
        <w:ind w:left="567" w:right="900"/>
        <w:jc w:val="both"/>
        <w:rPr>
          <w:rFonts w:ascii="Palatino Linotype" w:eastAsia="Palatino Linotype" w:hAnsi="Palatino Linotype" w:cs="Palatino Linotype"/>
          <w:i/>
          <w:color w:val="000000"/>
        </w:rPr>
      </w:pPr>
    </w:p>
    <w:p w:rsidR="001E0429" w:rsidRDefault="001E0429" w:rsidP="001E0429">
      <w:pPr>
        <w:pBdr>
          <w:top w:val="nil"/>
          <w:left w:val="nil"/>
          <w:bottom w:val="nil"/>
          <w:right w:val="nil"/>
          <w:between w:val="nil"/>
        </w:pBdr>
        <w:ind w:left="567" w:right="900"/>
        <w:jc w:val="both"/>
        <w:rPr>
          <w:rFonts w:ascii="Palatino Linotype" w:eastAsia="Palatino Linotype" w:hAnsi="Palatino Linotype" w:cs="Palatino Linotype"/>
          <w:i/>
          <w:color w:val="000000"/>
          <w:sz w:val="22"/>
        </w:rPr>
      </w:pPr>
      <w:r w:rsidRPr="001E0429">
        <w:rPr>
          <w:rFonts w:ascii="Palatino Linotype" w:eastAsia="Palatino Linotype" w:hAnsi="Palatino Linotype" w:cs="Palatino Linotype"/>
          <w:i/>
          <w:color w:val="000000"/>
          <w:sz w:val="22"/>
        </w:rPr>
        <w:t>De ser el caso en el que no se hayan realizado obras públicas durante el ejercicio fiscal 2018, el Sujeto Obligado deberá manifestarlo de manera clara y precisa, al momento de dar cumplimiento a la resolución.</w:t>
      </w:r>
    </w:p>
    <w:p w:rsidR="001E0429" w:rsidRDefault="001E0429" w:rsidP="001E0429">
      <w:pPr>
        <w:pBdr>
          <w:top w:val="nil"/>
          <w:left w:val="nil"/>
          <w:bottom w:val="nil"/>
          <w:right w:val="nil"/>
          <w:between w:val="nil"/>
        </w:pBdr>
        <w:ind w:left="567" w:right="900"/>
        <w:jc w:val="both"/>
        <w:rPr>
          <w:rFonts w:ascii="Palatino Linotype" w:eastAsia="Palatino Linotype" w:hAnsi="Palatino Linotype" w:cs="Palatino Linotype"/>
          <w:i/>
          <w:color w:val="000000"/>
          <w:sz w:val="22"/>
        </w:rPr>
      </w:pPr>
    </w:p>
    <w:p w:rsidR="001E0429" w:rsidRPr="00B343F1" w:rsidRDefault="001E0429" w:rsidP="00B343F1">
      <w:pPr>
        <w:pBdr>
          <w:top w:val="nil"/>
          <w:left w:val="nil"/>
          <w:bottom w:val="nil"/>
          <w:right w:val="nil"/>
          <w:between w:val="nil"/>
        </w:pBdr>
        <w:ind w:left="567" w:right="900"/>
        <w:jc w:val="both"/>
        <w:rPr>
          <w:rFonts w:ascii="Palatino Linotype" w:eastAsia="Palatino Linotype" w:hAnsi="Palatino Linotype" w:cs="Palatino Linotype"/>
          <w:i/>
          <w:color w:val="000000"/>
          <w:sz w:val="22"/>
        </w:rPr>
      </w:pPr>
      <w:r>
        <w:rPr>
          <w:rFonts w:ascii="Palatino Linotype" w:eastAsia="Palatino Linotype" w:hAnsi="Palatino Linotype" w:cs="Palatino Linotype"/>
          <w:i/>
          <w:sz w:val="22"/>
          <w:szCs w:val="22"/>
        </w:rPr>
        <w:t xml:space="preserve">En el caso que derivado de la búsqueda exhaustiva y razonable, </w:t>
      </w:r>
      <w:r w:rsidR="00B343F1">
        <w:rPr>
          <w:rFonts w:ascii="Palatino Linotype" w:eastAsia="Palatino Linotype" w:hAnsi="Palatino Linotype" w:cs="Palatino Linotype"/>
          <w:i/>
          <w:sz w:val="22"/>
          <w:szCs w:val="22"/>
        </w:rPr>
        <w:t xml:space="preserve">por alguna razón </w:t>
      </w:r>
      <w:r>
        <w:rPr>
          <w:rFonts w:ascii="Palatino Linotype" w:eastAsia="Palatino Linotype" w:hAnsi="Palatino Linotype" w:cs="Palatino Linotype"/>
          <w:i/>
          <w:sz w:val="22"/>
          <w:szCs w:val="22"/>
        </w:rPr>
        <w:t>no se localice</w:t>
      </w:r>
      <w:r w:rsidR="00B343F1">
        <w:rPr>
          <w:rFonts w:ascii="Palatino Linotype" w:eastAsia="Palatino Linotype" w:hAnsi="Palatino Linotype" w:cs="Palatino Linotype"/>
          <w:i/>
          <w:sz w:val="22"/>
          <w:szCs w:val="22"/>
        </w:rPr>
        <w:t xml:space="preserve"> en los archivos del Sujeto Obligado, </w:t>
      </w:r>
      <w:r>
        <w:rPr>
          <w:rFonts w:ascii="Palatino Linotype" w:eastAsia="Palatino Linotype" w:hAnsi="Palatino Linotype" w:cs="Palatino Linotype"/>
          <w:i/>
          <w:sz w:val="22"/>
          <w:szCs w:val="22"/>
        </w:rPr>
        <w:t xml:space="preserve">la información </w:t>
      </w:r>
      <w:r w:rsidR="00B343F1">
        <w:rPr>
          <w:rFonts w:ascii="Palatino Linotype" w:eastAsia="Palatino Linotype" w:hAnsi="Palatino Linotype" w:cs="Palatino Linotype"/>
          <w:i/>
          <w:sz w:val="22"/>
          <w:szCs w:val="22"/>
        </w:rPr>
        <w:t xml:space="preserve">referente a las </w:t>
      </w:r>
      <w:r w:rsidR="00B343F1" w:rsidRPr="00B343F1">
        <w:rPr>
          <w:rFonts w:ascii="Palatino Linotype" w:eastAsia="Palatino Linotype" w:hAnsi="Palatino Linotype" w:cs="Palatino Linotype"/>
          <w:i/>
          <w:sz w:val="22"/>
          <w:szCs w:val="22"/>
        </w:rPr>
        <w:t>obras públicas durante el ejercicio fiscal 2018</w:t>
      </w:r>
      <w:r>
        <w:rPr>
          <w:rFonts w:ascii="Palatino Linotype" w:eastAsia="Palatino Linotype" w:hAnsi="Palatino Linotype" w:cs="Palatino Linotype"/>
          <w:i/>
          <w:sz w:val="22"/>
          <w:szCs w:val="22"/>
        </w:rPr>
        <w:t xml:space="preserve">, el Sujeto Obligado deberá emitir el Acuerdo de Inexistencia en términos de los artículos 49, fracciones II y XIII, 169 y 170 de la Ley de Transparencia y Acceso a la Información Pública del Estado de México y </w:t>
      </w:r>
      <w:r>
        <w:rPr>
          <w:rFonts w:ascii="Palatino Linotype" w:eastAsia="Palatino Linotype" w:hAnsi="Palatino Linotype" w:cs="Palatino Linotype"/>
          <w:i/>
          <w:sz w:val="22"/>
          <w:szCs w:val="22"/>
        </w:rPr>
        <w:lastRenderedPageBreak/>
        <w:t>Municipios, debiendo notificarlo al Recurrente al momento de dar cumplimiento a la presente resolución.</w:t>
      </w:r>
    </w:p>
    <w:p w:rsidR="001E0429" w:rsidRDefault="001E0429" w:rsidP="001E0429">
      <w:pPr>
        <w:pStyle w:val="Prrafodelista"/>
        <w:pBdr>
          <w:top w:val="nil"/>
          <w:left w:val="nil"/>
          <w:bottom w:val="nil"/>
          <w:right w:val="nil"/>
          <w:between w:val="nil"/>
        </w:pBdr>
        <w:ind w:left="567" w:right="900"/>
        <w:jc w:val="both"/>
        <w:rPr>
          <w:rFonts w:ascii="Palatino Linotype" w:eastAsia="Palatino Linotype" w:hAnsi="Palatino Linotype" w:cs="Palatino Linotype"/>
          <w:i/>
          <w:color w:val="000000"/>
        </w:rPr>
      </w:pPr>
    </w:p>
    <w:p w:rsidR="00BD26AA" w:rsidRDefault="00355AD1">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Cuart</w:t>
      </w:r>
      <w:r w:rsidR="001A0B5D">
        <w:rPr>
          <w:rFonts w:ascii="Palatino Linotype" w:eastAsia="Palatino Linotype" w:hAnsi="Palatino Linotype" w:cs="Palatino Linotype"/>
          <w:b/>
        </w:rPr>
        <w:t xml:space="preserve">o. Notifíquese, vía SAIMEX </w:t>
      </w:r>
      <w:r w:rsidR="001A0B5D">
        <w:rPr>
          <w:rFonts w:ascii="Palatino Linotype" w:eastAsia="Palatino Linotype" w:hAnsi="Palatino Linotype" w:cs="Palatino Linotype"/>
        </w:rPr>
        <w:t>al Responsable de la Unidad de Transparencia del Sujeto Obligado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001A0B5D">
        <w:rPr>
          <w:rFonts w:ascii="Palatino Linotype" w:eastAsia="Palatino Linotype" w:hAnsi="Palatino Linotype" w:cs="Palatino Linotype"/>
          <w:b/>
        </w:rPr>
        <w:t>.</w:t>
      </w:r>
    </w:p>
    <w:p w:rsidR="00BD26AA" w:rsidRDefault="00355AD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w:t>
      </w:r>
      <w:r w:rsidR="001A0B5D">
        <w:rPr>
          <w:rFonts w:ascii="Palatino Linotype" w:eastAsia="Palatino Linotype" w:hAnsi="Palatino Linotype" w:cs="Palatino Linotype"/>
          <w:b/>
        </w:rPr>
        <w:t xml:space="preserve">o. </w:t>
      </w:r>
      <w:r w:rsidR="001A0B5D">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BD26AA" w:rsidRDefault="00355AD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Sext</w:t>
      </w:r>
      <w:r w:rsidR="001A0B5D">
        <w:rPr>
          <w:rFonts w:ascii="Palatino Linotype" w:eastAsia="Palatino Linotype" w:hAnsi="Palatino Linotype" w:cs="Palatino Linotype"/>
          <w:b/>
        </w:rPr>
        <w:t>o</w:t>
      </w:r>
      <w:r w:rsidR="001A0B5D">
        <w:rPr>
          <w:rFonts w:ascii="Palatino Linotype" w:eastAsia="Palatino Linotype" w:hAnsi="Palatino Linotype" w:cs="Palatino Linotype"/>
          <w:b/>
          <w:sz w:val="28"/>
          <w:szCs w:val="28"/>
        </w:rPr>
        <w:t>.</w:t>
      </w:r>
      <w:r w:rsidR="001A0B5D">
        <w:rPr>
          <w:rFonts w:ascii="Palatino Linotype" w:eastAsia="Palatino Linotype" w:hAnsi="Palatino Linotype" w:cs="Palatino Linotype"/>
          <w:b/>
        </w:rPr>
        <w:t xml:space="preserve">  Notifíquese </w:t>
      </w:r>
      <w:r w:rsidR="001A0B5D">
        <w:rPr>
          <w:rFonts w:ascii="Palatino Linotype" w:eastAsia="Palatino Linotype" w:hAnsi="Palatino Linotype" w:cs="Palatino Linotype"/>
        </w:rPr>
        <w:t xml:space="preserve">al </w:t>
      </w:r>
      <w:r w:rsidR="001A0B5D">
        <w:rPr>
          <w:rFonts w:ascii="Palatino Linotype" w:eastAsia="Palatino Linotype" w:hAnsi="Palatino Linotype" w:cs="Palatino Linotype"/>
          <w:b/>
        </w:rPr>
        <w:t>Recurrente,</w:t>
      </w:r>
      <w:r w:rsidR="001A0B5D">
        <w:rPr>
          <w:rFonts w:ascii="Palatino Linotype" w:eastAsia="Palatino Linotype" w:hAnsi="Palatino Linotype" w:cs="Palatino Linotype"/>
        </w:rPr>
        <w:t xml:space="preserve"> la presente resolución vía SAIMEX,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BD26AA" w:rsidRDefault="001A0B5D">
      <w:pPr>
        <w:spacing w:before="240" w:after="240" w:line="360" w:lineRule="auto"/>
        <w:jc w:val="both"/>
        <w:rPr>
          <w:rFonts w:ascii="Palatino Linotype" w:eastAsia="Palatino Linotype" w:hAnsi="Palatino Linotype" w:cs="Palatino Linotype"/>
        </w:rPr>
        <w:sectPr w:rsidR="00BD26AA">
          <w:headerReference w:type="default" r:id="rId35"/>
          <w:footerReference w:type="default" r:id="rId36"/>
          <w:headerReference w:type="first" r:id="rId37"/>
          <w:footerReference w:type="first" r:id="rId38"/>
          <w:pgSz w:w="12240" w:h="15840"/>
          <w:pgMar w:top="1985" w:right="1701" w:bottom="1701" w:left="1701" w:header="709" w:footer="709" w:gutter="0"/>
          <w:pgNumType w:start="1"/>
          <w:cols w:space="720"/>
          <w:titlePg/>
        </w:sect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Pr>
          <w:rFonts w:ascii="Palatino Linotype" w:eastAsia="Palatino Linotype" w:hAnsi="Palatino Linotype" w:cs="Palatino Linotype"/>
        </w:rPr>
        <w:lastRenderedPageBreak/>
        <w:t>VILCHIS;</w:t>
      </w:r>
      <w:r w:rsidR="008033AA">
        <w:rPr>
          <w:rFonts w:ascii="Palatino Linotype" w:eastAsia="Palatino Linotype" w:hAnsi="Palatino Linotype" w:cs="Palatino Linotype"/>
        </w:rPr>
        <w:t xml:space="preserve"> MARÍA DEL ROSARIO MEJÍA AYALA, </w:t>
      </w:r>
      <w:r>
        <w:rPr>
          <w:rFonts w:ascii="Palatino Linotype" w:eastAsia="Palatino Linotype" w:hAnsi="Palatino Linotype" w:cs="Palatino Linotype"/>
        </w:rPr>
        <w:t>S</w:t>
      </w:r>
      <w:r w:rsidR="00355AD1">
        <w:rPr>
          <w:rFonts w:ascii="Palatino Linotype" w:eastAsia="Palatino Linotype" w:hAnsi="Palatino Linotype" w:cs="Palatino Linotype"/>
        </w:rPr>
        <w:t xml:space="preserve">HARON CRISTINA MORALES MARTÍNEZ, LUIS GUSTAVO PARRA NORIEGA </w:t>
      </w:r>
      <w:r>
        <w:rPr>
          <w:rFonts w:ascii="Palatino Linotype" w:eastAsia="Palatino Linotype" w:hAnsi="Palatino Linotype" w:cs="Palatino Linotype"/>
        </w:rPr>
        <w:t>Y GUA</w:t>
      </w:r>
      <w:r w:rsidR="00355AD1">
        <w:rPr>
          <w:rFonts w:ascii="Palatino Linotype" w:eastAsia="Palatino Linotype" w:hAnsi="Palatino Linotype" w:cs="Palatino Linotype"/>
        </w:rPr>
        <w:t>DALUPE RAMÍREZ PEÑA; EN LA DÉCIM</w:t>
      </w:r>
      <w:r>
        <w:rPr>
          <w:rFonts w:ascii="Palatino Linotype" w:eastAsia="Palatino Linotype" w:hAnsi="Palatino Linotype" w:cs="Palatino Linotype"/>
        </w:rPr>
        <w:t xml:space="preserve">A SESIÓN </w:t>
      </w:r>
      <w:r w:rsidR="00355AD1">
        <w:rPr>
          <w:rFonts w:ascii="Palatino Linotype" w:eastAsia="Palatino Linotype" w:hAnsi="Palatino Linotype" w:cs="Palatino Linotype"/>
        </w:rPr>
        <w:t xml:space="preserve">ORDINARIA CELEBRADA EL </w:t>
      </w:r>
      <w:r w:rsidR="008033AA">
        <w:rPr>
          <w:rFonts w:ascii="Palatino Linotype" w:eastAsia="Palatino Linotype" w:hAnsi="Palatino Linotype" w:cs="Palatino Linotype"/>
        </w:rPr>
        <w:t>DIECISÉ</w:t>
      </w:r>
      <w:r w:rsidR="00355AD1">
        <w:rPr>
          <w:rFonts w:ascii="Palatino Linotype" w:eastAsia="Palatino Linotype" w:hAnsi="Palatino Linotype" w:cs="Palatino Linotype"/>
        </w:rPr>
        <w:t>IS</w:t>
      </w:r>
      <w:r>
        <w:rPr>
          <w:rFonts w:ascii="Palatino Linotype" w:eastAsia="Palatino Linotype" w:hAnsi="Palatino Linotype" w:cs="Palatino Linotype"/>
        </w:rPr>
        <w:t xml:space="preserve"> DE MARZO DE DOS MIL VEINTIDÓS, ANTE EL SECRETARIO </w:t>
      </w:r>
      <w:r w:rsidR="00F74FAA">
        <w:rPr>
          <w:rFonts w:ascii="Palatino Linotype" w:eastAsia="Palatino Linotype" w:hAnsi="Palatino Linotype" w:cs="Palatino Linotype"/>
          <w:noProof/>
          <w:lang w:val="es-MX" w:eastAsia="es-MX"/>
        </w:rPr>
        <mc:AlternateContent>
          <mc:Choice Requires="wps">
            <w:drawing>
              <wp:anchor distT="0" distB="0" distL="114300" distR="114300" simplePos="0" relativeHeight="251668480" behindDoc="0" locked="0" layoutInCell="1" allowOverlap="1">
                <wp:simplePos x="0" y="0"/>
                <wp:positionH relativeFrom="margin">
                  <wp:align>left</wp:align>
                </wp:positionH>
                <wp:positionV relativeFrom="paragraph">
                  <wp:posOffset>1422400</wp:posOffset>
                </wp:positionV>
                <wp:extent cx="5400675" cy="595312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5400675" cy="5953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9F6A02" id="Conector recto 1" o:spid="_x0000_s1026" style="position:absolute;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2pt" to="425.25pt,5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" strokecolor="black [3200]" strokeweight=".5pt">
                <v:stroke joinstyle="miter"/>
                <w10:wrap anchorx="margin"/>
              </v:line>
            </w:pict>
          </mc:Fallback>
        </mc:AlternateContent>
      </w:r>
      <w:r>
        <w:rPr>
          <w:rFonts w:ascii="Palatino Linotype" w:eastAsia="Palatino Linotype" w:hAnsi="Palatino Linotype" w:cs="Palatino Linotype"/>
        </w:rPr>
        <w:t>TÉCNICO DEL PLENO, ALEXIS TAPIA RAMÍREZ.</w:t>
      </w:r>
    </w:p>
    <w:p w:rsidR="00BD26AA" w:rsidRDefault="00BD26AA">
      <w:pPr>
        <w:spacing w:before="240" w:after="240"/>
      </w:pPr>
    </w:p>
    <w:p w:rsidR="00BD26AA" w:rsidRDefault="00BD26AA">
      <w:pPr>
        <w:spacing w:before="240" w:after="240"/>
      </w:pPr>
    </w:p>
    <w:p w:rsidR="00BD26AA" w:rsidRDefault="00BD26AA">
      <w:pPr>
        <w:spacing w:before="240" w:after="240"/>
      </w:pPr>
    </w:p>
    <w:p w:rsidR="00BD26AA" w:rsidRDefault="00BD26AA">
      <w:pPr>
        <w:spacing w:before="240" w:after="240"/>
      </w:pPr>
    </w:p>
    <w:p w:rsidR="00BD26AA" w:rsidRDefault="00BD26AA">
      <w:pPr>
        <w:spacing w:before="240" w:after="240"/>
      </w:pPr>
    </w:p>
    <w:p w:rsidR="00BD26AA" w:rsidRDefault="00BD26AA">
      <w:pPr>
        <w:spacing w:before="240" w:after="240"/>
      </w:pPr>
    </w:p>
    <w:p w:rsidR="00BD26AA" w:rsidRDefault="00BD26AA">
      <w:pPr>
        <w:spacing w:before="240" w:after="240"/>
      </w:pPr>
    </w:p>
    <w:p w:rsidR="00BD26AA" w:rsidRDefault="00BD26AA">
      <w:pPr>
        <w:spacing w:before="240" w:after="240"/>
      </w:pPr>
    </w:p>
    <w:p w:rsidR="00BD26AA" w:rsidRDefault="00BD26AA">
      <w:pPr>
        <w:spacing w:before="240" w:after="240"/>
      </w:pPr>
    </w:p>
    <w:p w:rsidR="00BD26AA" w:rsidRDefault="00BD26AA">
      <w:pPr>
        <w:spacing w:before="240" w:after="240"/>
      </w:pPr>
    </w:p>
    <w:p w:rsidR="00BD26AA" w:rsidRDefault="00BD26AA">
      <w:pPr>
        <w:spacing w:before="240" w:after="240"/>
      </w:pPr>
    </w:p>
    <w:p w:rsidR="00BD26AA" w:rsidRDefault="00BD26AA">
      <w:pPr>
        <w:spacing w:before="240" w:after="240"/>
        <w:jc w:val="right"/>
      </w:pPr>
    </w:p>
    <w:p w:rsidR="00BD26AA" w:rsidRDefault="00BD26AA">
      <w:pPr>
        <w:spacing w:before="240" w:after="240"/>
        <w:jc w:val="right"/>
      </w:pPr>
    </w:p>
    <w:sectPr w:rsidR="00BD26AA">
      <w:headerReference w:type="default" r:id="rId39"/>
      <w:headerReference w:type="first" r:id="rId40"/>
      <w:footerReference w:type="first" r:id="rId4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7B61" w:rsidRDefault="00007B61">
      <w:r>
        <w:separator/>
      </w:r>
    </w:p>
  </w:endnote>
  <w:endnote w:type="continuationSeparator" w:id="0">
    <w:p w:rsidR="00007B61" w:rsidRDefault="00007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652" w:rsidRDefault="0035265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E6341">
      <w:rPr>
        <w:rFonts w:ascii="Arial" w:eastAsia="Arial" w:hAnsi="Arial" w:cs="Arial"/>
        <w:b/>
        <w:noProof/>
        <w:color w:val="000000"/>
        <w:sz w:val="20"/>
        <w:szCs w:val="20"/>
      </w:rPr>
      <w:t>70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E6341">
      <w:rPr>
        <w:rFonts w:ascii="Arial" w:eastAsia="Arial" w:hAnsi="Arial" w:cs="Arial"/>
        <w:b/>
        <w:noProof/>
        <w:color w:val="000000"/>
        <w:sz w:val="20"/>
        <w:szCs w:val="20"/>
      </w:rPr>
      <w:t>71</w:t>
    </w:r>
    <w:r>
      <w:rPr>
        <w:rFonts w:ascii="Arial" w:eastAsia="Arial" w:hAnsi="Arial" w:cs="Arial"/>
        <w:b/>
        <w:color w:val="000000"/>
        <w:sz w:val="20"/>
        <w:szCs w:val="20"/>
      </w:rPr>
      <w:fldChar w:fldCharType="end"/>
    </w:r>
  </w:p>
  <w:p w:rsidR="00352652" w:rsidRDefault="00352652">
    <w:pPr>
      <w:pBdr>
        <w:top w:val="nil"/>
        <w:left w:val="nil"/>
        <w:bottom w:val="nil"/>
        <w:right w:val="nil"/>
        <w:between w:val="nil"/>
      </w:pBdr>
      <w:tabs>
        <w:tab w:val="center" w:pos="4252"/>
        <w:tab w:val="right" w:pos="8504"/>
      </w:tabs>
      <w:rPr>
        <w:color w:val="000000"/>
      </w:rPr>
    </w:pPr>
  </w:p>
  <w:p w:rsidR="00352652" w:rsidRDefault="00352652">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652" w:rsidRDefault="0035265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E6341">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E6341">
      <w:rPr>
        <w:rFonts w:ascii="Arial" w:eastAsia="Arial" w:hAnsi="Arial" w:cs="Arial"/>
        <w:b/>
        <w:noProof/>
        <w:color w:val="000000"/>
        <w:sz w:val="20"/>
        <w:szCs w:val="20"/>
      </w:rPr>
      <w:t>71</w:t>
    </w:r>
    <w:r>
      <w:rPr>
        <w:rFonts w:ascii="Arial" w:eastAsia="Arial" w:hAnsi="Arial" w:cs="Arial"/>
        <w:b/>
        <w:color w:val="000000"/>
        <w:sz w:val="20"/>
        <w:szCs w:val="20"/>
      </w:rPr>
      <w:fldChar w:fldCharType="end"/>
    </w:r>
  </w:p>
  <w:p w:rsidR="00352652" w:rsidRDefault="00352652">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652" w:rsidRDefault="00352652">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7B61" w:rsidRDefault="00007B61">
      <w:r>
        <w:separator/>
      </w:r>
    </w:p>
  </w:footnote>
  <w:footnote w:type="continuationSeparator" w:id="0">
    <w:p w:rsidR="00007B61" w:rsidRDefault="00007B61">
      <w:r>
        <w:continuationSeparator/>
      </w:r>
    </w:p>
  </w:footnote>
  <w:footnote w:id="1">
    <w:p w:rsidR="00352652" w:rsidRDefault="00352652">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libri" w:eastAsia="Calibri" w:hAnsi="Calibri" w:cs="Calibri"/>
          <w:color w:val="000000"/>
          <w:sz w:val="20"/>
          <w:szCs w:val="20"/>
        </w:rPr>
        <w:t xml:space="preserve"> (…)</w:t>
      </w:r>
    </w:p>
  </w:footnote>
  <w:footnote w:id="2">
    <w:p w:rsidR="00352652" w:rsidRDefault="0035265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352652" w:rsidRDefault="00352652" w:rsidP="00CD47C2">
      <w:pPr>
        <w:pStyle w:val="Textonotapie"/>
      </w:pPr>
      <w:r>
        <w:rPr>
          <w:rStyle w:val="Refdenotaalpie"/>
        </w:rPr>
        <w:footnoteRef/>
      </w:r>
      <w:r>
        <w:t xml:space="preserve"> SERRA ROJAS, Andrés. </w:t>
      </w:r>
      <w:r w:rsidRPr="00F26805">
        <w:rPr>
          <w:i/>
        </w:rPr>
        <w:t>Derecho Administrativo. Segundo Curso</w:t>
      </w:r>
      <w:r>
        <w:t>. Editorial Porrúa. México: 2001. P.  662.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652" w:rsidRDefault="00352652">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simplePos x="0" y="0"/>
          <wp:positionH relativeFrom="column">
            <wp:posOffset>-1066799</wp:posOffset>
          </wp:positionH>
          <wp:positionV relativeFrom="paragraph">
            <wp:posOffset>-307974</wp:posOffset>
          </wp:positionV>
          <wp:extent cx="7635163" cy="9944100"/>
          <wp:effectExtent l="0" t="0" r="0" b="0"/>
          <wp:wrapNone/>
          <wp:docPr id="4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d"/>
      <w:tblW w:w="5528" w:type="dxa"/>
      <w:tblInd w:w="3261" w:type="dxa"/>
      <w:tblLayout w:type="fixed"/>
      <w:tblLook w:val="0400" w:firstRow="0" w:lastRow="0" w:firstColumn="0" w:lastColumn="0" w:noHBand="0" w:noVBand="1"/>
    </w:tblPr>
    <w:tblGrid>
      <w:gridCol w:w="2552"/>
      <w:gridCol w:w="2976"/>
    </w:tblGrid>
    <w:tr w:rsidR="00352652">
      <w:tc>
        <w:tcPr>
          <w:tcW w:w="2552" w:type="dxa"/>
          <w:vAlign w:val="center"/>
        </w:tcPr>
        <w:p w:rsidR="00352652" w:rsidRDefault="00352652">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2976" w:type="dxa"/>
          <w:vAlign w:val="center"/>
        </w:tcPr>
        <w:p w:rsidR="00352652" w:rsidRDefault="00352652">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05984/INFOEM/IP/RR/2021  y acumulado</w:t>
          </w:r>
        </w:p>
      </w:tc>
    </w:tr>
    <w:tr w:rsidR="00352652">
      <w:trPr>
        <w:trHeight w:val="228"/>
      </w:trPr>
      <w:tc>
        <w:tcPr>
          <w:tcW w:w="2552" w:type="dxa"/>
          <w:vAlign w:val="center"/>
        </w:tcPr>
        <w:p w:rsidR="00352652" w:rsidRDefault="00352652">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2976" w:type="dxa"/>
          <w:vAlign w:val="center"/>
        </w:tcPr>
        <w:p w:rsidR="00352652" w:rsidRDefault="00352652">
          <w:pPr>
            <w:jc w:val="both"/>
            <w:rPr>
              <w:rFonts w:ascii="Palatino Linotype" w:eastAsia="Palatino Linotype" w:hAnsi="Palatino Linotype" w:cs="Palatino Linotype"/>
              <w:b/>
              <w:sz w:val="21"/>
              <w:szCs w:val="21"/>
            </w:rPr>
          </w:pPr>
          <w:r w:rsidRPr="00E265F0">
            <w:rPr>
              <w:rFonts w:ascii="Palatino Linotype" w:eastAsia="Palatino Linotype" w:hAnsi="Palatino Linotype" w:cs="Palatino Linotype"/>
              <w:b/>
              <w:sz w:val="21"/>
              <w:szCs w:val="21"/>
            </w:rPr>
            <w:t>Ayuntamiento de Ecatepec de Morelos</w:t>
          </w:r>
        </w:p>
      </w:tc>
    </w:tr>
    <w:tr w:rsidR="00352652">
      <w:tc>
        <w:tcPr>
          <w:tcW w:w="2552" w:type="dxa"/>
          <w:vAlign w:val="center"/>
        </w:tcPr>
        <w:p w:rsidR="00352652" w:rsidRDefault="00352652">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2976" w:type="dxa"/>
          <w:vAlign w:val="center"/>
        </w:tcPr>
        <w:p w:rsidR="00352652" w:rsidRDefault="00352652">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rsidR="00352652" w:rsidRDefault="00352652">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652" w:rsidRDefault="00352652">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simplePos x="0" y="0"/>
          <wp:positionH relativeFrom="column">
            <wp:posOffset>-1080134</wp:posOffset>
          </wp:positionH>
          <wp:positionV relativeFrom="paragraph">
            <wp:posOffset>-450849</wp:posOffset>
          </wp:positionV>
          <wp:extent cx="7635240" cy="9942830"/>
          <wp:effectExtent l="0" t="0" r="0" b="0"/>
          <wp:wrapNone/>
          <wp:docPr id="4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240" cy="9942830"/>
                  </a:xfrm>
                  <a:prstGeom prst="rect">
                    <a:avLst/>
                  </a:prstGeom>
                  <a:ln/>
                </pic:spPr>
              </pic:pic>
            </a:graphicData>
          </a:graphic>
        </wp:anchor>
      </w:drawing>
    </w:r>
  </w:p>
  <w:tbl>
    <w:tblPr>
      <w:tblStyle w:val="ac"/>
      <w:tblW w:w="6238" w:type="dxa"/>
      <w:tblInd w:w="3119" w:type="dxa"/>
      <w:tblLayout w:type="fixed"/>
      <w:tblLook w:val="0400" w:firstRow="0" w:lastRow="0" w:firstColumn="0" w:lastColumn="0" w:noHBand="0" w:noVBand="1"/>
    </w:tblPr>
    <w:tblGrid>
      <w:gridCol w:w="2551"/>
      <w:gridCol w:w="3687"/>
    </w:tblGrid>
    <w:tr w:rsidR="00352652">
      <w:tc>
        <w:tcPr>
          <w:tcW w:w="2551" w:type="dxa"/>
          <w:vAlign w:val="center"/>
        </w:tcPr>
        <w:p w:rsidR="00352652" w:rsidRDefault="00352652">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3687" w:type="dxa"/>
          <w:vAlign w:val="center"/>
        </w:tcPr>
        <w:p w:rsidR="00352652" w:rsidRDefault="00352652">
          <w:pPr>
            <w:ind w:right="595"/>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05984/INFOEM/IP/RR/2021 y acumulado</w:t>
          </w:r>
        </w:p>
      </w:tc>
    </w:tr>
    <w:tr w:rsidR="00352652">
      <w:tc>
        <w:tcPr>
          <w:tcW w:w="2551" w:type="dxa"/>
          <w:vAlign w:val="center"/>
        </w:tcPr>
        <w:p w:rsidR="00352652" w:rsidRDefault="00352652">
          <w:pPr>
            <w:ind w:left="35" w:hanging="35"/>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Recurrente:</w:t>
          </w:r>
        </w:p>
      </w:tc>
      <w:tc>
        <w:tcPr>
          <w:tcW w:w="3687" w:type="dxa"/>
          <w:vAlign w:val="center"/>
        </w:tcPr>
        <w:p w:rsidR="00352652" w:rsidRDefault="006E6341">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XXXXXX XXXXXXXX XXXXX</w:t>
          </w:r>
        </w:p>
      </w:tc>
    </w:tr>
    <w:tr w:rsidR="00352652">
      <w:trPr>
        <w:trHeight w:val="228"/>
      </w:trPr>
      <w:tc>
        <w:tcPr>
          <w:tcW w:w="2551" w:type="dxa"/>
          <w:vAlign w:val="center"/>
        </w:tcPr>
        <w:p w:rsidR="00352652" w:rsidRDefault="00352652">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3687" w:type="dxa"/>
          <w:vAlign w:val="center"/>
        </w:tcPr>
        <w:p w:rsidR="00352652" w:rsidRDefault="00352652">
          <w:pPr>
            <w:ind w:right="595"/>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Ayuntamiento de Ecatepec de Morelos</w:t>
          </w:r>
        </w:p>
      </w:tc>
    </w:tr>
    <w:tr w:rsidR="00352652">
      <w:tc>
        <w:tcPr>
          <w:tcW w:w="2551" w:type="dxa"/>
          <w:vAlign w:val="center"/>
        </w:tcPr>
        <w:p w:rsidR="00352652" w:rsidRDefault="00352652">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3687" w:type="dxa"/>
          <w:vAlign w:val="center"/>
        </w:tcPr>
        <w:p w:rsidR="00352652" w:rsidRDefault="00352652">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rsidR="00352652" w:rsidRDefault="00352652">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652" w:rsidRDefault="00352652">
    <w:pPr>
      <w:widowControl w:val="0"/>
      <w:pBdr>
        <w:top w:val="nil"/>
        <w:left w:val="nil"/>
        <w:bottom w:val="nil"/>
        <w:right w:val="nil"/>
        <w:between w:val="nil"/>
      </w:pBdr>
      <w:spacing w:line="276" w:lineRule="auto"/>
      <w:rPr>
        <w:rFonts w:ascii="Calibri" w:eastAsia="Calibri" w:hAnsi="Calibri" w:cs="Calibri"/>
        <w:color w:val="000000"/>
      </w:rPr>
    </w:pPr>
  </w:p>
  <w:tbl>
    <w:tblPr>
      <w:tblStyle w:val="ae"/>
      <w:tblW w:w="5528" w:type="dxa"/>
      <w:tblInd w:w="3261" w:type="dxa"/>
      <w:tblLayout w:type="fixed"/>
      <w:tblLook w:val="0400" w:firstRow="0" w:lastRow="0" w:firstColumn="0" w:lastColumn="0" w:noHBand="0" w:noVBand="1"/>
    </w:tblPr>
    <w:tblGrid>
      <w:gridCol w:w="2552"/>
      <w:gridCol w:w="2976"/>
    </w:tblGrid>
    <w:tr w:rsidR="00352652">
      <w:tc>
        <w:tcPr>
          <w:tcW w:w="2552" w:type="dxa"/>
          <w:vAlign w:val="center"/>
        </w:tcPr>
        <w:p w:rsidR="00352652" w:rsidRDefault="00352652">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2976" w:type="dxa"/>
          <w:vAlign w:val="center"/>
        </w:tcPr>
        <w:p w:rsidR="00352652" w:rsidRDefault="00352652">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06499/INFOEM/IP/RR/2021 y acumulado</w:t>
          </w:r>
        </w:p>
      </w:tc>
    </w:tr>
    <w:tr w:rsidR="00352652">
      <w:trPr>
        <w:trHeight w:val="228"/>
      </w:trPr>
      <w:tc>
        <w:tcPr>
          <w:tcW w:w="2552" w:type="dxa"/>
          <w:vAlign w:val="center"/>
        </w:tcPr>
        <w:p w:rsidR="00352652" w:rsidRDefault="00352652">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2976" w:type="dxa"/>
          <w:vAlign w:val="center"/>
        </w:tcPr>
        <w:p w:rsidR="00352652" w:rsidRDefault="00352652">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Sistema Municipal para el Desarrollo Integral de la Familia de Nezahualcóyotl</w:t>
          </w:r>
        </w:p>
      </w:tc>
    </w:tr>
    <w:tr w:rsidR="00352652">
      <w:tc>
        <w:tcPr>
          <w:tcW w:w="2552" w:type="dxa"/>
          <w:vAlign w:val="center"/>
        </w:tcPr>
        <w:p w:rsidR="00352652" w:rsidRDefault="00352652">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2976" w:type="dxa"/>
          <w:vAlign w:val="center"/>
        </w:tcPr>
        <w:p w:rsidR="00352652" w:rsidRDefault="00352652">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rsidR="00352652" w:rsidRDefault="00352652">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60288" behindDoc="1" locked="0" layoutInCell="1" hidden="0" allowOverlap="1">
          <wp:simplePos x="0" y="0"/>
          <wp:positionH relativeFrom="column">
            <wp:posOffset>0</wp:posOffset>
          </wp:positionH>
          <wp:positionV relativeFrom="paragraph">
            <wp:posOffset>-1249678</wp:posOffset>
          </wp:positionV>
          <wp:extent cx="7635163" cy="9944100"/>
          <wp:effectExtent l="0" t="0" r="0" b="0"/>
          <wp:wrapNone/>
          <wp:docPr id="4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652" w:rsidRDefault="00352652">
    <w:pPr>
      <w:pBdr>
        <w:top w:val="nil"/>
        <w:left w:val="nil"/>
        <w:bottom w:val="nil"/>
        <w:right w:val="nil"/>
        <w:between w:val="nil"/>
      </w:pBdr>
      <w:tabs>
        <w:tab w:val="center" w:pos="4252"/>
        <w:tab w:val="right" w:pos="8504"/>
      </w:tabs>
      <w:jc w:val="both"/>
      <w:rPr>
        <w:rFonts w:ascii="Calibri" w:eastAsia="Calibri" w:hAnsi="Calibri" w:cs="Calibri"/>
        <w:color w:val="000000"/>
      </w:rPr>
    </w:pPr>
  </w:p>
  <w:p w:rsidR="00352652" w:rsidRDefault="00352652">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87B65"/>
    <w:multiLevelType w:val="multilevel"/>
    <w:tmpl w:val="6D9A41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18E576D"/>
    <w:multiLevelType w:val="multilevel"/>
    <w:tmpl w:val="621C2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837552F"/>
    <w:multiLevelType w:val="multilevel"/>
    <w:tmpl w:val="4CB42F1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C391173"/>
    <w:multiLevelType w:val="multilevel"/>
    <w:tmpl w:val="520283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EA44A02"/>
    <w:multiLevelType w:val="multilevel"/>
    <w:tmpl w:val="E6A281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8EC4769"/>
    <w:multiLevelType w:val="multilevel"/>
    <w:tmpl w:val="A3CA08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EFF41BF"/>
    <w:multiLevelType w:val="multilevel"/>
    <w:tmpl w:val="EF10E08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0017FA8"/>
    <w:multiLevelType w:val="multilevel"/>
    <w:tmpl w:val="6B2842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31A4A90"/>
    <w:multiLevelType w:val="multilevel"/>
    <w:tmpl w:val="6984449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01554D9"/>
    <w:multiLevelType w:val="hybridMultilevel"/>
    <w:tmpl w:val="BFEC6D4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nsid w:val="33230FB7"/>
    <w:multiLevelType w:val="multilevel"/>
    <w:tmpl w:val="19B0D55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3F32AF9"/>
    <w:multiLevelType w:val="multilevel"/>
    <w:tmpl w:val="AC18C5FE"/>
    <w:lvl w:ilvl="0">
      <w:start w:val="1"/>
      <w:numFmt w:val="lowerLetter"/>
      <w:lvlText w:val="%1)"/>
      <w:lvlJc w:val="left"/>
      <w:pPr>
        <w:ind w:left="644" w:hanging="359"/>
      </w:pPr>
      <w:rPr>
        <w:b w:val="0"/>
        <w:i/>
        <w:color w:val="00000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
    <w:nsid w:val="34317490"/>
    <w:multiLevelType w:val="hybridMultilevel"/>
    <w:tmpl w:val="AA32CFE6"/>
    <w:lvl w:ilvl="0" w:tplc="21AAC458">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4C04C3"/>
    <w:multiLevelType w:val="multilevel"/>
    <w:tmpl w:val="A308FF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3CFE284C"/>
    <w:multiLevelType w:val="hybridMultilevel"/>
    <w:tmpl w:val="E7F417D2"/>
    <w:lvl w:ilvl="0" w:tplc="65A613B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D2A3BB7"/>
    <w:multiLevelType w:val="multilevel"/>
    <w:tmpl w:val="4D7C03C0"/>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3F987ACA"/>
    <w:multiLevelType w:val="multilevel"/>
    <w:tmpl w:val="C12AEE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47F96743"/>
    <w:multiLevelType w:val="hybridMultilevel"/>
    <w:tmpl w:val="1CAE9EA2"/>
    <w:lvl w:ilvl="0" w:tplc="CD8CEBB4">
      <w:start w:val="1"/>
      <w:numFmt w:val="lowerLetter"/>
      <w:lvlText w:val="%1)"/>
      <w:lvlJc w:val="left"/>
      <w:pPr>
        <w:ind w:left="900" w:hanging="360"/>
      </w:pPr>
      <w:rPr>
        <w:rFonts w:hint="default"/>
        <w:color w:val="auto"/>
        <w:sz w:val="24"/>
      </w:rPr>
    </w:lvl>
    <w:lvl w:ilvl="1" w:tplc="080A0019" w:tentative="1">
      <w:start w:val="1"/>
      <w:numFmt w:val="lowerLetter"/>
      <w:lvlText w:val="%2."/>
      <w:lvlJc w:val="left"/>
      <w:pPr>
        <w:ind w:left="1620" w:hanging="360"/>
      </w:pPr>
    </w:lvl>
    <w:lvl w:ilvl="2" w:tplc="080A001B" w:tentative="1">
      <w:start w:val="1"/>
      <w:numFmt w:val="lowerRoman"/>
      <w:lvlText w:val="%3."/>
      <w:lvlJc w:val="right"/>
      <w:pPr>
        <w:ind w:left="2340" w:hanging="180"/>
      </w:p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18">
    <w:nsid w:val="5291530B"/>
    <w:multiLevelType w:val="hybridMultilevel"/>
    <w:tmpl w:val="117051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4352BBF"/>
    <w:multiLevelType w:val="hybridMultilevel"/>
    <w:tmpl w:val="751E7ADE"/>
    <w:lvl w:ilvl="0" w:tplc="D59E9D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59D7AD5"/>
    <w:multiLevelType w:val="hybridMultilevel"/>
    <w:tmpl w:val="6EFAD2BA"/>
    <w:lvl w:ilvl="0" w:tplc="FF4EF5A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9A827E8"/>
    <w:multiLevelType w:val="hybridMultilevel"/>
    <w:tmpl w:val="AE2E906E"/>
    <w:lvl w:ilvl="0" w:tplc="AA8A0E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E7F5503"/>
    <w:multiLevelType w:val="multilevel"/>
    <w:tmpl w:val="2722BB1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nsid w:val="74EC4CC7"/>
    <w:multiLevelType w:val="multilevel"/>
    <w:tmpl w:val="4D94B9A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A880335"/>
    <w:multiLevelType w:val="multilevel"/>
    <w:tmpl w:val="7C66DCA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abstractNumId w:val="13"/>
  </w:num>
  <w:num w:numId="2">
    <w:abstractNumId w:val="4"/>
  </w:num>
  <w:num w:numId="3">
    <w:abstractNumId w:val="16"/>
  </w:num>
  <w:num w:numId="4">
    <w:abstractNumId w:val="24"/>
  </w:num>
  <w:num w:numId="5">
    <w:abstractNumId w:val="10"/>
  </w:num>
  <w:num w:numId="6">
    <w:abstractNumId w:val="8"/>
  </w:num>
  <w:num w:numId="7">
    <w:abstractNumId w:val="2"/>
  </w:num>
  <w:num w:numId="8">
    <w:abstractNumId w:val="7"/>
  </w:num>
  <w:num w:numId="9">
    <w:abstractNumId w:val="11"/>
  </w:num>
  <w:num w:numId="10">
    <w:abstractNumId w:val="6"/>
  </w:num>
  <w:num w:numId="11">
    <w:abstractNumId w:val="22"/>
  </w:num>
  <w:num w:numId="12">
    <w:abstractNumId w:val="0"/>
  </w:num>
  <w:num w:numId="13">
    <w:abstractNumId w:val="15"/>
  </w:num>
  <w:num w:numId="14">
    <w:abstractNumId w:val="3"/>
  </w:num>
  <w:num w:numId="15">
    <w:abstractNumId w:val="5"/>
  </w:num>
  <w:num w:numId="16">
    <w:abstractNumId w:val="18"/>
  </w:num>
  <w:num w:numId="17">
    <w:abstractNumId w:val="20"/>
  </w:num>
  <w:num w:numId="18">
    <w:abstractNumId w:val="14"/>
  </w:num>
  <w:num w:numId="19">
    <w:abstractNumId w:val="21"/>
  </w:num>
  <w:num w:numId="20">
    <w:abstractNumId w:val="17"/>
  </w:num>
  <w:num w:numId="21">
    <w:abstractNumId w:val="12"/>
  </w:num>
  <w:num w:numId="22">
    <w:abstractNumId w:val="19"/>
  </w:num>
  <w:num w:numId="23">
    <w:abstractNumId w:val="23"/>
  </w:num>
  <w:num w:numId="24">
    <w:abstractNumId w:val="1"/>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6AA"/>
    <w:rsid w:val="00007B61"/>
    <w:rsid w:val="00046ED4"/>
    <w:rsid w:val="000642AB"/>
    <w:rsid w:val="000B794D"/>
    <w:rsid w:val="00102AFD"/>
    <w:rsid w:val="00103A43"/>
    <w:rsid w:val="00140EF6"/>
    <w:rsid w:val="00150D13"/>
    <w:rsid w:val="00160DD7"/>
    <w:rsid w:val="001A0B5D"/>
    <w:rsid w:val="001B7189"/>
    <w:rsid w:val="001D4F71"/>
    <w:rsid w:val="001E0429"/>
    <w:rsid w:val="0024526B"/>
    <w:rsid w:val="0025523A"/>
    <w:rsid w:val="002C082C"/>
    <w:rsid w:val="002E1D97"/>
    <w:rsid w:val="0030572E"/>
    <w:rsid w:val="00352652"/>
    <w:rsid w:val="00355AD1"/>
    <w:rsid w:val="00363D8E"/>
    <w:rsid w:val="003769F2"/>
    <w:rsid w:val="003B7E52"/>
    <w:rsid w:val="003E24CC"/>
    <w:rsid w:val="003E5081"/>
    <w:rsid w:val="004223FA"/>
    <w:rsid w:val="0044589F"/>
    <w:rsid w:val="004516B1"/>
    <w:rsid w:val="00460265"/>
    <w:rsid w:val="00490550"/>
    <w:rsid w:val="004E489C"/>
    <w:rsid w:val="005407CC"/>
    <w:rsid w:val="00567037"/>
    <w:rsid w:val="00580AD2"/>
    <w:rsid w:val="005A71FF"/>
    <w:rsid w:val="00682AA4"/>
    <w:rsid w:val="006B79B2"/>
    <w:rsid w:val="006E6341"/>
    <w:rsid w:val="007D5625"/>
    <w:rsid w:val="008033AA"/>
    <w:rsid w:val="00873CFC"/>
    <w:rsid w:val="008750B7"/>
    <w:rsid w:val="008A07FC"/>
    <w:rsid w:val="00943511"/>
    <w:rsid w:val="009B6878"/>
    <w:rsid w:val="009F4D4F"/>
    <w:rsid w:val="00A04D33"/>
    <w:rsid w:val="00A072EC"/>
    <w:rsid w:val="00A1046A"/>
    <w:rsid w:val="00A44192"/>
    <w:rsid w:val="00A46667"/>
    <w:rsid w:val="00A505A0"/>
    <w:rsid w:val="00A7563C"/>
    <w:rsid w:val="00A84328"/>
    <w:rsid w:val="00AC58B6"/>
    <w:rsid w:val="00B04463"/>
    <w:rsid w:val="00B343F1"/>
    <w:rsid w:val="00B75C6E"/>
    <w:rsid w:val="00B823EC"/>
    <w:rsid w:val="00B95453"/>
    <w:rsid w:val="00BD26AA"/>
    <w:rsid w:val="00C01CD8"/>
    <w:rsid w:val="00C71A7E"/>
    <w:rsid w:val="00C80844"/>
    <w:rsid w:val="00CB49CD"/>
    <w:rsid w:val="00CD2FEF"/>
    <w:rsid w:val="00CD47C2"/>
    <w:rsid w:val="00CD5DC6"/>
    <w:rsid w:val="00D06374"/>
    <w:rsid w:val="00D8086A"/>
    <w:rsid w:val="00D87082"/>
    <w:rsid w:val="00D91EA1"/>
    <w:rsid w:val="00D96C33"/>
    <w:rsid w:val="00DB2687"/>
    <w:rsid w:val="00DC5354"/>
    <w:rsid w:val="00DD2D0F"/>
    <w:rsid w:val="00DD56C9"/>
    <w:rsid w:val="00DE5ED1"/>
    <w:rsid w:val="00DF5180"/>
    <w:rsid w:val="00E246DB"/>
    <w:rsid w:val="00E265F0"/>
    <w:rsid w:val="00E66F23"/>
    <w:rsid w:val="00E73681"/>
    <w:rsid w:val="00EC0558"/>
    <w:rsid w:val="00EF240D"/>
    <w:rsid w:val="00F32379"/>
    <w:rsid w:val="00F617A7"/>
    <w:rsid w:val="00F65F45"/>
    <w:rsid w:val="00F74E4E"/>
    <w:rsid w:val="00F74FAA"/>
    <w:rsid w:val="00F96015"/>
    <w:rsid w:val="00FA21DC"/>
    <w:rsid w:val="00FA35FA"/>
    <w:rsid w:val="00FC79D1"/>
    <w:rsid w:val="00FE1D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E3DF45C4-9427-4A9E-90C9-247672030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670F"/>
    <w:rPr>
      <w:lang w:eastAsia="es-ES"/>
    </w:rPr>
  </w:style>
  <w:style w:type="paragraph" w:styleId="Ttulo1">
    <w:name w:val="heading 1"/>
    <w:basedOn w:val="Normal"/>
    <w:next w:val="Normal"/>
    <w:link w:val="Ttulo1Car"/>
    <w:uiPriority w:val="9"/>
    <w:qFormat/>
    <w:rsid w:val="00990F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90F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990FD0"/>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990FD0"/>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F100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F100F"/>
    <w:rPr>
      <w:rFonts w:eastAsiaTheme="minorEastAsia"/>
      <w:sz w:val="24"/>
      <w:szCs w:val="24"/>
      <w:lang w:val="es-ES_tradnl" w:eastAsia="es-ES"/>
    </w:rPr>
  </w:style>
  <w:style w:type="paragraph" w:styleId="Piedepgina">
    <w:name w:val="footer"/>
    <w:basedOn w:val="Normal"/>
    <w:link w:val="PiedepginaCar"/>
    <w:uiPriority w:val="99"/>
    <w:unhideWhenUsed/>
    <w:rsid w:val="00AF100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F100F"/>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F100F"/>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F100F"/>
    <w:pPr>
      <w:ind w:left="708"/>
    </w:pPr>
    <w:rPr>
      <w:sz w:val="22"/>
      <w:szCs w:val="22"/>
      <w:lang w:val="es-MX" w:eastAsia="en-US"/>
    </w:rPr>
  </w:style>
  <w:style w:type="table" w:styleId="Tablaconcuadrcula">
    <w:name w:val="Table Grid"/>
    <w:basedOn w:val="Tablanormal"/>
    <w:uiPriority w:val="59"/>
    <w:rsid w:val="00AF100F"/>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F100F"/>
  </w:style>
  <w:style w:type="character" w:customStyle="1" w:styleId="apple-converted-space">
    <w:name w:val="apple-converted-space"/>
    <w:basedOn w:val="Fuentedeprrafopredeter"/>
    <w:rsid w:val="00AF100F"/>
  </w:style>
  <w:style w:type="paragraph" w:customStyle="1" w:styleId="paragraph">
    <w:name w:val="paragraph"/>
    <w:basedOn w:val="Normal"/>
    <w:rsid w:val="00AF100F"/>
    <w:pPr>
      <w:spacing w:before="100" w:beforeAutospacing="1" w:after="100" w:afterAutospacing="1"/>
    </w:pPr>
    <w:rPr>
      <w:lang w:val="es-MX" w:eastAsia="es-MX"/>
    </w:rPr>
  </w:style>
  <w:style w:type="paragraph" w:styleId="NormalWeb">
    <w:name w:val="Normal (Web)"/>
    <w:basedOn w:val="Normal"/>
    <w:uiPriority w:val="99"/>
    <w:unhideWhenUsed/>
    <w:rsid w:val="00AF100F"/>
    <w:pPr>
      <w:spacing w:before="100" w:beforeAutospacing="1" w:after="100" w:afterAutospacing="1"/>
    </w:pPr>
    <w:rPr>
      <w:lang w:val="es-MX" w:eastAsia="es-MX"/>
    </w:rPr>
  </w:style>
  <w:style w:type="paragraph" w:styleId="Sinespaciado">
    <w:name w:val="No Spacing"/>
    <w:aliases w:val="Francesa,INAI"/>
    <w:link w:val="SinespaciadoCar"/>
    <w:uiPriority w:val="1"/>
    <w:qFormat/>
    <w:rsid w:val="00AF100F"/>
    <w:rPr>
      <w:lang w:eastAsia="es-ES"/>
    </w:rPr>
  </w:style>
  <w:style w:type="character" w:customStyle="1" w:styleId="SinespaciadoCar">
    <w:name w:val="Sin espaciado Car"/>
    <w:aliases w:val="Francesa Car,INAI Car"/>
    <w:link w:val="Sinespaciado"/>
    <w:uiPriority w:val="1"/>
    <w:locked/>
    <w:rsid w:val="00AF100F"/>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AF100F"/>
    <w:rPr>
      <w:b/>
      <w:bCs/>
    </w:rPr>
  </w:style>
  <w:style w:type="character" w:styleId="Hipervnculo">
    <w:name w:val="Hyperlink"/>
    <w:basedOn w:val="Fuentedeprrafopredeter"/>
    <w:uiPriority w:val="99"/>
    <w:unhideWhenUsed/>
    <w:rsid w:val="00D9255F"/>
    <w:rPr>
      <w:color w:val="0000FF"/>
      <w:u w:val="single"/>
    </w:rPr>
  </w:style>
  <w:style w:type="character" w:customStyle="1" w:styleId="UnresolvedMention">
    <w:name w:val="Unresolved Mention"/>
    <w:basedOn w:val="Fuentedeprrafopredeter"/>
    <w:uiPriority w:val="99"/>
    <w:semiHidden/>
    <w:unhideWhenUsed/>
    <w:rsid w:val="005422BF"/>
    <w:rPr>
      <w:color w:val="605E5C"/>
      <w:shd w:val="clear" w:color="auto" w:fill="E1DFDD"/>
    </w:rPr>
  </w:style>
  <w:style w:type="paragraph" w:customStyle="1" w:styleId="n2">
    <w:name w:val="n2"/>
    <w:basedOn w:val="Normal"/>
    <w:rsid w:val="00CC302E"/>
    <w:pPr>
      <w:spacing w:before="100" w:beforeAutospacing="1" w:after="100" w:afterAutospacing="1"/>
    </w:pPr>
    <w:rPr>
      <w:lang w:val="es-MX" w:eastAsia="es-MX"/>
    </w:rPr>
  </w:style>
  <w:style w:type="character" w:styleId="nfasis">
    <w:name w:val="Emphasis"/>
    <w:basedOn w:val="Fuentedeprrafopredeter"/>
    <w:uiPriority w:val="20"/>
    <w:qFormat/>
    <w:rsid w:val="00CC302E"/>
    <w:rPr>
      <w:i/>
      <w:iCs/>
    </w:rPr>
  </w:style>
  <w:style w:type="paragraph" w:customStyle="1" w:styleId="j">
    <w:name w:val="j"/>
    <w:basedOn w:val="Normal"/>
    <w:rsid w:val="00CC302E"/>
    <w:pPr>
      <w:spacing w:before="100" w:beforeAutospacing="1" w:after="100" w:afterAutospacing="1"/>
    </w:pPr>
    <w:rPr>
      <w:lang w:val="es-MX" w:eastAsia="es-MX"/>
    </w:rPr>
  </w:style>
  <w:style w:type="character" w:customStyle="1" w:styleId="nacep">
    <w:name w:val="n_acep"/>
    <w:basedOn w:val="Fuentedeprrafopredeter"/>
    <w:rsid w:val="00CC302E"/>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B4198"/>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B419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B4198"/>
    <w:rPr>
      <w:sz w:val="20"/>
      <w:szCs w:val="20"/>
    </w:rPr>
  </w:style>
  <w:style w:type="character" w:customStyle="1" w:styleId="Ttulo1Car">
    <w:name w:val="Título 1 Car"/>
    <w:basedOn w:val="Fuentedeprrafopredeter"/>
    <w:link w:val="Ttulo1"/>
    <w:uiPriority w:val="9"/>
    <w:rsid w:val="00990FD0"/>
    <w:rPr>
      <w:rFonts w:asciiTheme="majorHAnsi" w:eastAsiaTheme="majorEastAsia" w:hAnsiTheme="majorHAnsi" w:cstheme="majorBidi"/>
      <w:color w:val="2F5496" w:themeColor="accent1" w:themeShade="BF"/>
      <w:sz w:val="32"/>
      <w:szCs w:val="32"/>
      <w:lang w:val="es-ES" w:eastAsia="es-ES"/>
    </w:rPr>
  </w:style>
  <w:style w:type="character" w:customStyle="1" w:styleId="Ttulo2Car">
    <w:name w:val="Título 2 Car"/>
    <w:basedOn w:val="Fuentedeprrafopredeter"/>
    <w:link w:val="Ttulo2"/>
    <w:uiPriority w:val="9"/>
    <w:rsid w:val="00990FD0"/>
    <w:rPr>
      <w:rFonts w:asciiTheme="majorHAnsi" w:eastAsiaTheme="majorEastAsia" w:hAnsiTheme="majorHAnsi" w:cstheme="majorBidi"/>
      <w:color w:val="2F5496" w:themeColor="accent1" w:themeShade="BF"/>
      <w:sz w:val="26"/>
      <w:szCs w:val="26"/>
      <w:lang w:val="es-ES" w:eastAsia="es-ES"/>
    </w:rPr>
  </w:style>
  <w:style w:type="character" w:customStyle="1" w:styleId="Ttulo3Car">
    <w:name w:val="Título 3 Car"/>
    <w:basedOn w:val="Fuentedeprrafopredeter"/>
    <w:link w:val="Ttulo3"/>
    <w:uiPriority w:val="9"/>
    <w:rsid w:val="00990FD0"/>
    <w:rPr>
      <w:rFonts w:asciiTheme="majorHAnsi" w:eastAsiaTheme="majorEastAsia" w:hAnsiTheme="majorHAnsi" w:cstheme="majorBidi"/>
      <w:color w:val="1F3763" w:themeColor="accent1" w:themeShade="7F"/>
      <w:sz w:val="24"/>
      <w:szCs w:val="24"/>
      <w:lang w:val="es-ES" w:eastAsia="es-ES"/>
    </w:rPr>
  </w:style>
  <w:style w:type="character" w:customStyle="1" w:styleId="Ttulo4Car">
    <w:name w:val="Título 4 Car"/>
    <w:basedOn w:val="Fuentedeprrafopredeter"/>
    <w:link w:val="Ttulo4"/>
    <w:uiPriority w:val="9"/>
    <w:rsid w:val="00990FD0"/>
    <w:rPr>
      <w:rFonts w:asciiTheme="majorHAnsi" w:eastAsiaTheme="majorEastAsia" w:hAnsiTheme="majorHAnsi" w:cstheme="majorBidi"/>
      <w:i/>
      <w:iCs/>
      <w:color w:val="2F5496" w:themeColor="accent1" w:themeShade="BF"/>
      <w:sz w:val="24"/>
      <w:szCs w:val="24"/>
      <w:lang w:val="es-ES" w:eastAsia="es-ES"/>
    </w:rPr>
  </w:style>
  <w:style w:type="paragraph" w:styleId="Lista">
    <w:name w:val="List"/>
    <w:basedOn w:val="Normal"/>
    <w:uiPriority w:val="99"/>
    <w:unhideWhenUsed/>
    <w:rsid w:val="00990FD0"/>
    <w:pPr>
      <w:ind w:left="283" w:hanging="283"/>
      <w:contextualSpacing/>
    </w:pPr>
  </w:style>
  <w:style w:type="paragraph" w:styleId="Lista2">
    <w:name w:val="List 2"/>
    <w:basedOn w:val="Normal"/>
    <w:uiPriority w:val="99"/>
    <w:unhideWhenUsed/>
    <w:rsid w:val="00990FD0"/>
    <w:pPr>
      <w:ind w:left="566" w:hanging="283"/>
      <w:contextualSpacing/>
    </w:pPr>
  </w:style>
  <w:style w:type="paragraph" w:styleId="Lista3">
    <w:name w:val="List 3"/>
    <w:basedOn w:val="Normal"/>
    <w:uiPriority w:val="99"/>
    <w:unhideWhenUsed/>
    <w:rsid w:val="00990FD0"/>
    <w:pPr>
      <w:ind w:left="849" w:hanging="283"/>
      <w:contextualSpacing/>
    </w:pPr>
  </w:style>
  <w:style w:type="paragraph" w:styleId="Continuarlista">
    <w:name w:val="List Continue"/>
    <w:basedOn w:val="Normal"/>
    <w:uiPriority w:val="99"/>
    <w:unhideWhenUsed/>
    <w:rsid w:val="00990FD0"/>
    <w:pPr>
      <w:spacing w:after="120"/>
      <w:ind w:left="283"/>
      <w:contextualSpacing/>
    </w:pPr>
  </w:style>
  <w:style w:type="paragraph" w:styleId="Descripcin">
    <w:name w:val="caption"/>
    <w:basedOn w:val="Normal"/>
    <w:next w:val="Normal"/>
    <w:uiPriority w:val="35"/>
    <w:unhideWhenUsed/>
    <w:qFormat/>
    <w:rsid w:val="00990FD0"/>
    <w:pPr>
      <w:spacing w:after="200"/>
    </w:pPr>
    <w:rPr>
      <w:i/>
      <w:iCs/>
      <w:color w:val="44546A" w:themeColor="text2"/>
      <w:sz w:val="18"/>
      <w:szCs w:val="18"/>
    </w:rPr>
  </w:style>
  <w:style w:type="paragraph" w:styleId="Textoindependiente">
    <w:name w:val="Body Text"/>
    <w:basedOn w:val="Normal"/>
    <w:link w:val="TextoindependienteCar"/>
    <w:uiPriority w:val="99"/>
    <w:unhideWhenUsed/>
    <w:rsid w:val="00990FD0"/>
    <w:pPr>
      <w:spacing w:after="120"/>
    </w:pPr>
  </w:style>
  <w:style w:type="character" w:customStyle="1" w:styleId="TextoindependienteCar">
    <w:name w:val="Texto independiente Car"/>
    <w:basedOn w:val="Fuentedeprrafopredeter"/>
    <w:link w:val="Textoindependiente"/>
    <w:uiPriority w:val="99"/>
    <w:rsid w:val="00990FD0"/>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990FD0"/>
    <w:pPr>
      <w:spacing w:after="120"/>
      <w:ind w:left="283"/>
    </w:pPr>
  </w:style>
  <w:style w:type="character" w:customStyle="1" w:styleId="SangradetextonormalCar">
    <w:name w:val="Sangría de texto normal Car"/>
    <w:basedOn w:val="Fuentedeprrafopredeter"/>
    <w:link w:val="Sangradetextonormal"/>
    <w:uiPriority w:val="99"/>
    <w:rsid w:val="00990FD0"/>
    <w:rPr>
      <w:rFonts w:ascii="Times New Roman" w:eastAsia="Times New Roman" w:hAnsi="Times New Roman" w:cs="Times New Roman"/>
      <w:sz w:val="24"/>
      <w:szCs w:val="24"/>
      <w:lang w:val="es-ES" w:eastAsia="es-ES"/>
    </w:rPr>
  </w:style>
  <w:style w:type="paragraph" w:styleId="Textoindependienteprimerasangra">
    <w:name w:val="Body Text First Indent"/>
    <w:basedOn w:val="Textoindependiente"/>
    <w:link w:val="TextoindependienteprimerasangraCar"/>
    <w:uiPriority w:val="99"/>
    <w:unhideWhenUsed/>
    <w:rsid w:val="00990FD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990FD0"/>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990FD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90FD0"/>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6B7F2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7F24"/>
    <w:rPr>
      <w:rFonts w:ascii="Segoe UI" w:eastAsia="Times New Roman" w:hAnsi="Segoe UI" w:cs="Segoe UI"/>
      <w:sz w:val="18"/>
      <w:szCs w:val="18"/>
      <w:lang w:val="es-ES" w:eastAsia="es-ES"/>
    </w:rPr>
  </w:style>
  <w:style w:type="paragraph" w:customStyle="1" w:styleId="Default">
    <w:name w:val="Default"/>
    <w:rsid w:val="006A1C61"/>
    <w:pPr>
      <w:autoSpaceDE w:val="0"/>
      <w:autoSpaceDN w:val="0"/>
      <w:adjustRightInd w:val="0"/>
    </w:pPr>
    <w:rPr>
      <w:rFonts w:ascii="Palatino Linotype" w:hAnsi="Palatino Linotype" w:cs="Palatino Linotype"/>
      <w:color w:val="00000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Tabladelista1clara-nfasis11">
    <w:name w:val="Tabla de lista 1 clara - Énfasis 11"/>
    <w:basedOn w:val="Tablanormal"/>
    <w:uiPriority w:val="46"/>
    <w:rsid w:val="00157753"/>
    <w:rPr>
      <w:rFonts w:asciiTheme="minorHAnsi" w:eastAsia="MS Mincho" w:hAnsiTheme="minorHAnsi" w:cstheme="minorBidi"/>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Textoindependiente2">
    <w:name w:val="Body Text 2"/>
    <w:basedOn w:val="Normal"/>
    <w:link w:val="Textoindependiente2Car"/>
    <w:uiPriority w:val="99"/>
    <w:semiHidden/>
    <w:unhideWhenUsed/>
    <w:rsid w:val="006D0F06"/>
    <w:pPr>
      <w:spacing w:after="120" w:line="480" w:lineRule="auto"/>
    </w:pPr>
  </w:style>
  <w:style w:type="character" w:customStyle="1" w:styleId="Textoindependiente2Car">
    <w:name w:val="Texto independiente 2 Car"/>
    <w:basedOn w:val="Fuentedeprrafopredeter"/>
    <w:link w:val="Textoindependiente2"/>
    <w:uiPriority w:val="99"/>
    <w:semiHidden/>
    <w:rsid w:val="006D0F06"/>
    <w:rPr>
      <w:lang w:eastAsia="es-ES"/>
    </w:r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a">
    <w:basedOn w:val="TableNormal0"/>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b">
    <w:basedOn w:val="TableNormal0"/>
    <w:rPr>
      <w:rFonts w:ascii="Calibri" w:eastAsia="Calibri" w:hAnsi="Calibri" w:cs="Calibri"/>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787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2.xml"/><Relationship Id="rId40"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_rels/header2.xml.rels><?xml version="1.0" encoding="UTF-8" standalone="yes"?>
<Relationships xmlns="http://schemas.openxmlformats.org/package/2006/relationships"><Relationship Id="rId1" Type="http://schemas.openxmlformats.org/officeDocument/2006/relationships/image" Target="media/image23.jpg"/></Relationships>
</file>

<file path=word/_rels/header3.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ijf+nqN46tDLdj7/HdgMcKt/0g==">AMUW2mXkE1Du8whJy/oUgdTkoOohv3j8yTOxx3cKk3StAVEZGiz1yzZW6C5wJlOZUj9jmXY9xH3fZIYZU6vv4+/V3zu+gdHra4J0rkFTRziT3aHrgWWpa8PGqOsV5ZNZbSD4Ec7BtJ7jkxzjlRRYeqP/1NE3Kb/DbTsUL+hsLVQkuoQXZGxu7dl78R5eu/BEahudRmw3wLaArO9diYOgzAvJYOaADvEZKVxuUmpoJ+1tim2RItMxOzPB7YRscbBXy3yjPGSexaIYCo+x9KyS3G5OuZAwnTKtR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8AFBE5C-676E-4B3B-AD96-C0DC1D93E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12677</Words>
  <Characters>69724</Characters>
  <Application>Microsoft Office Word</Application>
  <DocSecurity>0</DocSecurity>
  <Lines>581</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dc:creator>
  <cp:lastModifiedBy>USUARIO</cp:lastModifiedBy>
  <cp:revision>2</cp:revision>
  <dcterms:created xsi:type="dcterms:W3CDTF">2022-04-04T22:47:00Z</dcterms:created>
  <dcterms:modified xsi:type="dcterms:W3CDTF">2022-04-04T22:47:00Z</dcterms:modified>
</cp:coreProperties>
</file>